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50C1A"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r w:rsidRPr="00AA5833">
        <w:rPr>
          <w:rFonts w:ascii="Times New Roman" w:eastAsia="Times New Roman" w:hAnsi="Times New Roman" w:cs="Times New Roman"/>
          <w:b/>
          <w:color w:val="000000"/>
          <w:sz w:val="28"/>
          <w:szCs w:val="28"/>
          <w:lang w:eastAsia="bg-BG"/>
        </w:rPr>
        <w:tab/>
      </w:r>
    </w:p>
    <w:p w14:paraId="719E0A7F" w14:textId="656A3A88" w:rsidR="006856A7" w:rsidRPr="00AA5833" w:rsidRDefault="006856A7" w:rsidP="006856A7">
      <w:pPr>
        <w:spacing w:after="0" w:line="240" w:lineRule="auto"/>
        <w:jc w:val="right"/>
        <w:rPr>
          <w:rFonts w:ascii="Times New Roman" w:eastAsia="Times New Roman" w:hAnsi="Times New Roman" w:cs="Times New Roman"/>
          <w:b/>
          <w:color w:val="000000"/>
          <w:sz w:val="24"/>
          <w:szCs w:val="24"/>
          <w:lang w:eastAsia="bg-BG"/>
        </w:rPr>
      </w:pPr>
    </w:p>
    <w:p w14:paraId="5705AE29" w14:textId="77777777" w:rsidR="006856A7" w:rsidRPr="00AA5833" w:rsidRDefault="006856A7" w:rsidP="006856A7">
      <w:pPr>
        <w:spacing w:after="0" w:line="240" w:lineRule="auto"/>
        <w:jc w:val="right"/>
        <w:rPr>
          <w:rFonts w:ascii="Times New Roman" w:eastAsia="Times New Roman" w:hAnsi="Times New Roman" w:cs="Times New Roman"/>
          <w:color w:val="000000"/>
          <w:sz w:val="24"/>
          <w:szCs w:val="24"/>
          <w:lang w:eastAsia="bg-BG"/>
        </w:rPr>
      </w:pPr>
    </w:p>
    <w:p w14:paraId="0FF736D6" w14:textId="77777777" w:rsidR="006856A7" w:rsidRPr="00AA5833" w:rsidRDefault="006856A7" w:rsidP="006856A7">
      <w:pPr>
        <w:spacing w:after="0" w:line="240" w:lineRule="auto"/>
        <w:jc w:val="right"/>
        <w:rPr>
          <w:rFonts w:ascii="Times New Roman" w:eastAsia="Times New Roman" w:hAnsi="Times New Roman" w:cs="Times New Roman"/>
          <w:color w:val="000000"/>
          <w:sz w:val="24"/>
          <w:szCs w:val="24"/>
          <w:lang w:eastAsia="bg-BG"/>
        </w:rPr>
      </w:pPr>
    </w:p>
    <w:p w14:paraId="19FF5E5A" w14:textId="77777777" w:rsidR="006856A7" w:rsidRPr="00AA5833" w:rsidRDefault="006856A7" w:rsidP="006856A7">
      <w:pPr>
        <w:spacing w:after="0" w:line="240" w:lineRule="auto"/>
        <w:jc w:val="right"/>
        <w:rPr>
          <w:rFonts w:ascii="Times New Roman" w:eastAsia="Times New Roman" w:hAnsi="Times New Roman" w:cs="Times New Roman"/>
          <w:color w:val="000000"/>
          <w:sz w:val="24"/>
          <w:szCs w:val="24"/>
          <w:lang w:eastAsia="bg-BG"/>
        </w:rPr>
      </w:pPr>
    </w:p>
    <w:p w14:paraId="74D3556B"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МИНИСТЕРСТВО НА ТРУДА И СОЦИАЛНАТА ПОЛИТИКА</w:t>
      </w:r>
    </w:p>
    <w:p w14:paraId="6A80E8F2"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p>
    <w:p w14:paraId="6E758E83"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noProof/>
          <w:color w:val="000000"/>
          <w:sz w:val="24"/>
          <w:szCs w:val="24"/>
          <w:lang w:eastAsia="bg-BG"/>
        </w:rPr>
        <w:drawing>
          <wp:inline distT="0" distB="0" distL="0" distR="0" wp14:anchorId="22C5E028" wp14:editId="1C352FD5">
            <wp:extent cx="882650" cy="698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698500"/>
                    </a:xfrm>
                    <a:prstGeom prst="rect">
                      <a:avLst/>
                    </a:prstGeom>
                    <a:noFill/>
                    <a:ln>
                      <a:noFill/>
                    </a:ln>
                  </pic:spPr>
                </pic:pic>
              </a:graphicData>
            </a:graphic>
          </wp:inline>
        </w:drawing>
      </w:r>
    </w:p>
    <w:p w14:paraId="2EE9286F" w14:textId="77777777" w:rsidR="006856A7" w:rsidRPr="00AA5833" w:rsidRDefault="006856A7" w:rsidP="006856A7">
      <w:pPr>
        <w:spacing w:after="0" w:line="240" w:lineRule="auto"/>
        <w:jc w:val="right"/>
        <w:rPr>
          <w:rFonts w:ascii="Times New Roman" w:eastAsia="Times New Roman" w:hAnsi="Times New Roman" w:cs="Times New Roman"/>
          <w:color w:val="000000"/>
          <w:sz w:val="24"/>
          <w:szCs w:val="24"/>
          <w:lang w:eastAsia="bg-BG"/>
        </w:rPr>
      </w:pPr>
    </w:p>
    <w:p w14:paraId="41C0F314"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ab/>
      </w:r>
    </w:p>
    <w:p w14:paraId="223A2E6B"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2D1384C8"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60D9B230"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ОТЧЕТ ЗА 202</w:t>
      </w:r>
      <w:r w:rsidR="00347E76" w:rsidRPr="00AA5833">
        <w:rPr>
          <w:rFonts w:ascii="Times New Roman" w:eastAsia="Times New Roman" w:hAnsi="Times New Roman" w:cs="Times New Roman"/>
          <w:b/>
          <w:bCs/>
          <w:color w:val="000000"/>
          <w:sz w:val="24"/>
          <w:szCs w:val="24"/>
        </w:rPr>
        <w:t>4</w:t>
      </w:r>
      <w:r w:rsidRPr="00AA5833">
        <w:rPr>
          <w:rFonts w:ascii="Times New Roman" w:eastAsia="Times New Roman" w:hAnsi="Times New Roman" w:cs="Times New Roman"/>
          <w:b/>
          <w:bCs/>
          <w:color w:val="000000"/>
          <w:sz w:val="24"/>
          <w:szCs w:val="24"/>
        </w:rPr>
        <w:t xml:space="preserve"> г. </w:t>
      </w:r>
    </w:p>
    <w:p w14:paraId="1A95CADC"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7F941137" w14:textId="77777777" w:rsidR="006856A7" w:rsidRPr="00AA5833" w:rsidRDefault="006856A7" w:rsidP="006856A7">
      <w:pPr>
        <w:spacing w:after="0" w:line="240" w:lineRule="auto"/>
        <w:jc w:val="center"/>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bCs/>
          <w:color w:val="000000"/>
          <w:sz w:val="24"/>
          <w:szCs w:val="24"/>
          <w:lang w:eastAsia="bg-BG"/>
        </w:rPr>
        <w:t>За</w:t>
      </w:r>
      <w:r w:rsidR="00263DBB">
        <w:rPr>
          <w:rFonts w:ascii="Times New Roman" w:eastAsia="Times New Roman" w:hAnsi="Times New Roman" w:cs="Times New Roman"/>
          <w:b/>
          <w:bCs/>
          <w:color w:val="000000"/>
          <w:sz w:val="24"/>
          <w:szCs w:val="24"/>
          <w:lang w:eastAsia="bg-BG"/>
        </w:rPr>
        <w:t xml:space="preserve"> изпълнение на Актуализираната н</w:t>
      </w:r>
      <w:r w:rsidRPr="00AA5833">
        <w:rPr>
          <w:rFonts w:ascii="Times New Roman" w:eastAsia="Times New Roman" w:hAnsi="Times New Roman" w:cs="Times New Roman"/>
          <w:b/>
          <w:bCs/>
          <w:color w:val="000000"/>
          <w:sz w:val="24"/>
          <w:szCs w:val="24"/>
          <w:lang w:eastAsia="bg-BG"/>
        </w:rPr>
        <w:t xml:space="preserve">ационална стратегия </w:t>
      </w:r>
    </w:p>
    <w:p w14:paraId="6E656D21" w14:textId="77777777" w:rsidR="006856A7" w:rsidRPr="00AA5833" w:rsidRDefault="006856A7" w:rsidP="006856A7">
      <w:pPr>
        <w:spacing w:after="0" w:line="240" w:lineRule="auto"/>
        <w:jc w:val="center"/>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bCs/>
          <w:color w:val="000000"/>
          <w:sz w:val="24"/>
          <w:szCs w:val="24"/>
          <w:lang w:eastAsia="bg-BG"/>
        </w:rPr>
        <w:t>за демографско развитие на населението</w:t>
      </w:r>
    </w:p>
    <w:p w14:paraId="44187875" w14:textId="77777777" w:rsidR="006856A7" w:rsidRPr="00AA5833" w:rsidRDefault="007575B5" w:rsidP="006856A7">
      <w:pPr>
        <w:spacing w:after="0" w:line="240" w:lineRule="auto"/>
        <w:jc w:val="center"/>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в Република България (2012 – </w:t>
      </w:r>
      <w:r w:rsidR="006856A7" w:rsidRPr="00AA5833">
        <w:rPr>
          <w:rFonts w:ascii="Times New Roman" w:eastAsia="Times New Roman" w:hAnsi="Times New Roman" w:cs="Times New Roman"/>
          <w:b/>
          <w:bCs/>
          <w:color w:val="000000"/>
          <w:sz w:val="24"/>
          <w:szCs w:val="24"/>
          <w:lang w:eastAsia="bg-BG"/>
        </w:rPr>
        <w:t>2030 г.)</w:t>
      </w:r>
    </w:p>
    <w:p w14:paraId="79D208E0" w14:textId="77777777" w:rsidR="006856A7" w:rsidRPr="00AA5833" w:rsidRDefault="006856A7" w:rsidP="006856A7">
      <w:pPr>
        <w:spacing w:after="0" w:line="240" w:lineRule="auto"/>
        <w:jc w:val="both"/>
        <w:rPr>
          <w:rFonts w:ascii="Times New Roman" w:eastAsia="Times New Roman" w:hAnsi="Times New Roman" w:cs="Times New Roman"/>
          <w:b/>
          <w:bCs/>
          <w:color w:val="000000"/>
          <w:sz w:val="24"/>
          <w:szCs w:val="24"/>
          <w:lang w:eastAsia="bg-BG"/>
        </w:rPr>
      </w:pPr>
    </w:p>
    <w:p w14:paraId="09AB7A8E" w14:textId="77777777" w:rsidR="006856A7" w:rsidRPr="00AA5833" w:rsidRDefault="006856A7" w:rsidP="006856A7">
      <w:pPr>
        <w:spacing w:after="0" w:line="240" w:lineRule="auto"/>
        <w:rPr>
          <w:rFonts w:ascii="Times New Roman" w:hAnsi="Times New Roman" w:cs="Times New Roman"/>
          <w:sz w:val="24"/>
          <w:szCs w:val="24"/>
        </w:rPr>
      </w:pPr>
    </w:p>
    <w:p w14:paraId="128952C2"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3938A6A8"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4D5E4E20"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35E80C53"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222D98CE"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4A4BE9B5"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5D519A8C"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1EA2C5E0"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658DF41F"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11DB299F"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1FD882DE"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50214AC6"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283E7CC0"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00449E08"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636F48EF"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3F4DE339"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2A12E73D"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323DC75C"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0715D0BE"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6AF5C4F7"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71921D8E"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0D84CB19"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3A7030F6"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7D130DA7"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5EFFBA06" w14:textId="77777777" w:rsidR="006856A7" w:rsidRPr="00AA5833" w:rsidRDefault="006856A7" w:rsidP="006856A7">
      <w:pPr>
        <w:spacing w:after="0" w:line="240" w:lineRule="auto"/>
        <w:jc w:val="center"/>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bCs/>
          <w:color w:val="000000"/>
          <w:sz w:val="24"/>
          <w:szCs w:val="24"/>
          <w:lang w:eastAsia="bg-BG"/>
        </w:rPr>
        <w:lastRenderedPageBreak/>
        <w:t>СЪДЪРЖАНИЕ</w:t>
      </w:r>
    </w:p>
    <w:p w14:paraId="139069D9" w14:textId="77777777" w:rsidR="006856A7" w:rsidRPr="00AA5833" w:rsidRDefault="006856A7" w:rsidP="006856A7">
      <w:pPr>
        <w:spacing w:after="0" w:line="240" w:lineRule="auto"/>
        <w:jc w:val="center"/>
        <w:rPr>
          <w:rFonts w:ascii="Times New Roman" w:eastAsia="Times New Roman" w:hAnsi="Times New Roman" w:cs="Times New Roman"/>
          <w:b/>
          <w:bCs/>
          <w:color w:val="000000"/>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2"/>
        <w:gridCol w:w="1060"/>
      </w:tblGrid>
      <w:tr w:rsidR="006856A7" w:rsidRPr="00AA5833" w14:paraId="69A0ABE1" w14:textId="77777777" w:rsidTr="002A3A5E">
        <w:trPr>
          <w:jc w:val="center"/>
        </w:trPr>
        <w:tc>
          <w:tcPr>
            <w:tcW w:w="8002" w:type="dxa"/>
            <w:shd w:val="clear" w:color="auto" w:fill="00CC99"/>
            <w:vAlign w:val="center"/>
          </w:tcPr>
          <w:p w14:paraId="2639725D"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p>
          <w:p w14:paraId="04E52D09"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ЧАСТ І. ОСНОВНИ ТЕНДЕНЦИИ В ДЕМОГРАФСКОТО РАЗВИТИЕ НА ЕВРОПЕЙСКИЯ СЪЮЗ И НА РЕПУБЛИКА БЪЛГАРИЯ </w:t>
            </w:r>
          </w:p>
          <w:p w14:paraId="66FD5E2D"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p>
        </w:tc>
        <w:tc>
          <w:tcPr>
            <w:tcW w:w="1060" w:type="dxa"/>
            <w:shd w:val="clear" w:color="auto" w:fill="00CC99"/>
            <w:vAlign w:val="center"/>
          </w:tcPr>
          <w:p w14:paraId="2112CF1F" w14:textId="77777777" w:rsidR="006856A7" w:rsidRPr="00AA5833" w:rsidRDefault="006856A7" w:rsidP="006856A7">
            <w:pPr>
              <w:spacing w:after="0" w:line="240" w:lineRule="auto"/>
              <w:jc w:val="center"/>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5</w:t>
            </w:r>
          </w:p>
        </w:tc>
      </w:tr>
      <w:tr w:rsidR="006856A7" w:rsidRPr="00AA5833" w14:paraId="58703DD7" w14:textId="77777777" w:rsidTr="002A3A5E">
        <w:trPr>
          <w:jc w:val="center"/>
        </w:trPr>
        <w:tc>
          <w:tcPr>
            <w:tcW w:w="8002" w:type="dxa"/>
            <w:shd w:val="clear" w:color="auto" w:fill="00FF99"/>
            <w:vAlign w:val="center"/>
          </w:tcPr>
          <w:p w14:paraId="53EECBDA"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b/>
                <w:caps/>
                <w:color w:val="000000"/>
                <w:sz w:val="24"/>
                <w:szCs w:val="24"/>
                <w:lang w:eastAsia="bg-BG"/>
              </w:rPr>
            </w:pPr>
          </w:p>
          <w:p w14:paraId="0B0F405E"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1.1. БРОЙ И СТРУКТУРИ НА НАСЕЛЕНИЕТО В БЪЛГАРИЯ</w:t>
            </w:r>
          </w:p>
          <w:p w14:paraId="63250547"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b/>
                <w:color w:val="000000"/>
                <w:sz w:val="24"/>
                <w:szCs w:val="24"/>
                <w:lang w:eastAsia="bg-BG"/>
              </w:rPr>
            </w:pPr>
          </w:p>
        </w:tc>
        <w:tc>
          <w:tcPr>
            <w:tcW w:w="1060" w:type="dxa"/>
            <w:shd w:val="clear" w:color="auto" w:fill="00FF99"/>
            <w:vAlign w:val="center"/>
          </w:tcPr>
          <w:p w14:paraId="1E48584D"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12</w:t>
            </w:r>
          </w:p>
        </w:tc>
      </w:tr>
      <w:tr w:rsidR="006856A7" w:rsidRPr="00AA5833" w14:paraId="1D4C358F" w14:textId="77777777" w:rsidTr="002A3A5E">
        <w:trPr>
          <w:jc w:val="center"/>
        </w:trPr>
        <w:tc>
          <w:tcPr>
            <w:tcW w:w="8002" w:type="dxa"/>
            <w:vAlign w:val="center"/>
          </w:tcPr>
          <w:p w14:paraId="65013FF6"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sz w:val="24"/>
                <w:szCs w:val="24"/>
              </w:rPr>
              <w:t>1.1.1. Абсолютен естествен прираст на населението</w:t>
            </w:r>
          </w:p>
        </w:tc>
        <w:tc>
          <w:tcPr>
            <w:tcW w:w="1060" w:type="dxa"/>
            <w:vAlign w:val="center"/>
          </w:tcPr>
          <w:p w14:paraId="7BFFBEEB"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12</w:t>
            </w:r>
          </w:p>
        </w:tc>
      </w:tr>
      <w:tr w:rsidR="006856A7" w:rsidRPr="00AA5833" w14:paraId="3C08C1C7" w14:textId="77777777" w:rsidTr="002A3A5E">
        <w:trPr>
          <w:jc w:val="center"/>
        </w:trPr>
        <w:tc>
          <w:tcPr>
            <w:tcW w:w="8002" w:type="dxa"/>
            <w:vAlign w:val="center"/>
          </w:tcPr>
          <w:p w14:paraId="0FAF6FEA"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1.1.2. Относителен естествен прираст на населението</w:t>
            </w:r>
          </w:p>
        </w:tc>
        <w:tc>
          <w:tcPr>
            <w:tcW w:w="1060" w:type="dxa"/>
            <w:vAlign w:val="center"/>
          </w:tcPr>
          <w:p w14:paraId="586529FD" w14:textId="77777777" w:rsidR="006856A7" w:rsidRPr="000E6B28" w:rsidRDefault="000E6B28" w:rsidP="006856A7">
            <w:pPr>
              <w:spacing w:after="0" w:line="240" w:lineRule="auto"/>
              <w:jc w:val="center"/>
              <w:rPr>
                <w:rFonts w:ascii="Times New Roman" w:eastAsia="Times New Roman" w:hAnsi="Times New Roman" w:cs="Times New Roman"/>
                <w:color w:val="000000"/>
                <w:sz w:val="24"/>
                <w:szCs w:val="24"/>
                <w:lang w:val="en-US" w:eastAsia="bg-BG"/>
              </w:rPr>
            </w:pPr>
            <w:r>
              <w:rPr>
                <w:rFonts w:ascii="Times New Roman" w:eastAsia="Times New Roman" w:hAnsi="Times New Roman" w:cs="Times New Roman"/>
                <w:color w:val="000000"/>
                <w:sz w:val="24"/>
                <w:szCs w:val="24"/>
                <w:lang w:eastAsia="bg-BG"/>
              </w:rPr>
              <w:t>1</w:t>
            </w:r>
            <w:r>
              <w:rPr>
                <w:rFonts w:ascii="Times New Roman" w:eastAsia="Times New Roman" w:hAnsi="Times New Roman" w:cs="Times New Roman"/>
                <w:color w:val="000000"/>
                <w:sz w:val="24"/>
                <w:szCs w:val="24"/>
                <w:lang w:val="en-US" w:eastAsia="bg-BG"/>
              </w:rPr>
              <w:t>3</w:t>
            </w:r>
          </w:p>
        </w:tc>
      </w:tr>
      <w:tr w:rsidR="006856A7" w:rsidRPr="00AA5833" w14:paraId="35387982" w14:textId="77777777" w:rsidTr="002A3A5E">
        <w:trPr>
          <w:jc w:val="center"/>
        </w:trPr>
        <w:tc>
          <w:tcPr>
            <w:tcW w:w="8002" w:type="dxa"/>
            <w:shd w:val="clear" w:color="auto" w:fill="00FF99"/>
            <w:vAlign w:val="center"/>
          </w:tcPr>
          <w:p w14:paraId="36FEB43A"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p>
          <w:p w14:paraId="6454F31A"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bCs/>
                <w:caps/>
                <w:color w:val="000000"/>
                <w:sz w:val="24"/>
                <w:szCs w:val="24"/>
                <w:lang w:eastAsia="bg-BG"/>
              </w:rPr>
              <w:t>1.2. Раждаемост</w:t>
            </w:r>
            <w:r w:rsidRPr="00AA5833">
              <w:rPr>
                <w:rFonts w:ascii="Times New Roman" w:eastAsia="Times New Roman" w:hAnsi="Times New Roman" w:cs="Times New Roman"/>
                <w:b/>
                <w:color w:val="000000"/>
                <w:sz w:val="24"/>
                <w:szCs w:val="24"/>
                <w:lang w:eastAsia="bg-BG"/>
              </w:rPr>
              <w:t xml:space="preserve"> </w:t>
            </w:r>
          </w:p>
          <w:p w14:paraId="29FF2B13"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p>
        </w:tc>
        <w:tc>
          <w:tcPr>
            <w:tcW w:w="1060" w:type="dxa"/>
            <w:shd w:val="clear" w:color="auto" w:fill="00FF99"/>
            <w:vAlign w:val="center"/>
          </w:tcPr>
          <w:p w14:paraId="3D2450B1"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13</w:t>
            </w:r>
          </w:p>
        </w:tc>
      </w:tr>
      <w:tr w:rsidR="006856A7" w:rsidRPr="00AA5833" w14:paraId="31D2B5A6" w14:textId="77777777" w:rsidTr="002A3A5E">
        <w:trPr>
          <w:jc w:val="center"/>
        </w:trPr>
        <w:tc>
          <w:tcPr>
            <w:tcW w:w="8002" w:type="dxa"/>
            <w:vAlign w:val="center"/>
          </w:tcPr>
          <w:p w14:paraId="529A3695" w14:textId="77777777" w:rsidR="006856A7" w:rsidRPr="00AA5833" w:rsidRDefault="006856A7" w:rsidP="006856A7">
            <w:pPr>
              <w:spacing w:after="0" w:line="240" w:lineRule="auto"/>
              <w:jc w:val="both"/>
              <w:outlineLvl w:val="3"/>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bCs/>
                <w:caps/>
                <w:color w:val="000000"/>
                <w:sz w:val="24"/>
                <w:szCs w:val="24"/>
                <w:lang w:eastAsia="bg-BG"/>
              </w:rPr>
              <w:t xml:space="preserve">1.2.1. </w:t>
            </w:r>
            <w:r w:rsidRPr="00AA5833">
              <w:rPr>
                <w:rFonts w:ascii="Times New Roman" w:eastAsia="Times New Roman" w:hAnsi="Times New Roman" w:cs="Times New Roman"/>
                <w:b/>
                <w:bCs/>
                <w:color w:val="000000"/>
                <w:sz w:val="24"/>
                <w:szCs w:val="24"/>
                <w:lang w:eastAsia="bg-BG"/>
              </w:rPr>
              <w:t>Аборти</w:t>
            </w:r>
          </w:p>
        </w:tc>
        <w:tc>
          <w:tcPr>
            <w:tcW w:w="1060" w:type="dxa"/>
            <w:vAlign w:val="center"/>
          </w:tcPr>
          <w:p w14:paraId="012CE17A"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15</w:t>
            </w:r>
          </w:p>
        </w:tc>
      </w:tr>
      <w:tr w:rsidR="006856A7" w:rsidRPr="00AA5833" w14:paraId="47024B54" w14:textId="77777777" w:rsidTr="002A3A5E">
        <w:trPr>
          <w:jc w:val="center"/>
        </w:trPr>
        <w:tc>
          <w:tcPr>
            <w:tcW w:w="8002" w:type="dxa"/>
            <w:vAlign w:val="center"/>
          </w:tcPr>
          <w:p w14:paraId="7B8F8136"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color w:val="000000"/>
                <w:sz w:val="24"/>
                <w:szCs w:val="24"/>
                <w:lang w:eastAsia="bg-BG"/>
              </w:rPr>
              <w:t>1.2.2. Семейства и семейни отношения. Бракове и бракоразводи</w:t>
            </w:r>
          </w:p>
        </w:tc>
        <w:tc>
          <w:tcPr>
            <w:tcW w:w="1060" w:type="dxa"/>
            <w:vAlign w:val="center"/>
          </w:tcPr>
          <w:p w14:paraId="4B5CED24"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17</w:t>
            </w:r>
          </w:p>
        </w:tc>
      </w:tr>
      <w:tr w:rsidR="006856A7" w:rsidRPr="00AA5833" w14:paraId="3CB60548" w14:textId="77777777" w:rsidTr="002A3A5E">
        <w:trPr>
          <w:jc w:val="center"/>
        </w:trPr>
        <w:tc>
          <w:tcPr>
            <w:tcW w:w="8002" w:type="dxa"/>
            <w:shd w:val="clear" w:color="auto" w:fill="00FF99"/>
            <w:vAlign w:val="center"/>
          </w:tcPr>
          <w:p w14:paraId="3E10B9C5"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p>
          <w:p w14:paraId="22B395C2"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bCs/>
                <w:caps/>
                <w:color w:val="000000"/>
                <w:sz w:val="24"/>
                <w:szCs w:val="24"/>
                <w:lang w:eastAsia="bg-BG"/>
              </w:rPr>
              <w:t xml:space="preserve">1.3. Смъртност </w:t>
            </w:r>
          </w:p>
          <w:p w14:paraId="5E84E920"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p>
        </w:tc>
        <w:tc>
          <w:tcPr>
            <w:tcW w:w="1060" w:type="dxa"/>
            <w:shd w:val="clear" w:color="auto" w:fill="00FF99"/>
            <w:vAlign w:val="center"/>
          </w:tcPr>
          <w:p w14:paraId="2BF04C90"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18</w:t>
            </w:r>
          </w:p>
        </w:tc>
      </w:tr>
      <w:tr w:rsidR="006856A7" w:rsidRPr="00AA5833" w14:paraId="196E892F" w14:textId="77777777" w:rsidTr="002A3A5E">
        <w:trPr>
          <w:jc w:val="center"/>
        </w:trPr>
        <w:tc>
          <w:tcPr>
            <w:tcW w:w="8002" w:type="dxa"/>
            <w:vAlign w:val="center"/>
          </w:tcPr>
          <w:p w14:paraId="2DF5743F"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1.3.1. Обща смъртност</w:t>
            </w:r>
          </w:p>
        </w:tc>
        <w:tc>
          <w:tcPr>
            <w:tcW w:w="1060" w:type="dxa"/>
            <w:vAlign w:val="center"/>
          </w:tcPr>
          <w:p w14:paraId="3C796D9A"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18</w:t>
            </w:r>
          </w:p>
        </w:tc>
      </w:tr>
      <w:tr w:rsidR="006856A7" w:rsidRPr="00AA5833" w14:paraId="1BD7EC04" w14:textId="77777777" w:rsidTr="002A3A5E">
        <w:trPr>
          <w:jc w:val="center"/>
        </w:trPr>
        <w:tc>
          <w:tcPr>
            <w:tcW w:w="8002" w:type="dxa"/>
            <w:vAlign w:val="center"/>
          </w:tcPr>
          <w:p w14:paraId="40919A8E"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1.3.2. Преждевременна смъртност</w:t>
            </w:r>
          </w:p>
        </w:tc>
        <w:tc>
          <w:tcPr>
            <w:tcW w:w="1060" w:type="dxa"/>
            <w:vAlign w:val="center"/>
          </w:tcPr>
          <w:p w14:paraId="2CE30231"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18</w:t>
            </w:r>
          </w:p>
        </w:tc>
      </w:tr>
      <w:tr w:rsidR="006856A7" w:rsidRPr="00AA5833" w14:paraId="0A2686D2" w14:textId="77777777" w:rsidTr="002A3A5E">
        <w:trPr>
          <w:jc w:val="center"/>
        </w:trPr>
        <w:tc>
          <w:tcPr>
            <w:tcW w:w="8002" w:type="dxa"/>
            <w:vAlign w:val="center"/>
          </w:tcPr>
          <w:p w14:paraId="4586239A"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1.3.3. Детска смъртност</w:t>
            </w:r>
          </w:p>
        </w:tc>
        <w:tc>
          <w:tcPr>
            <w:tcW w:w="1060" w:type="dxa"/>
            <w:vAlign w:val="center"/>
          </w:tcPr>
          <w:p w14:paraId="4610B618"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19</w:t>
            </w:r>
          </w:p>
        </w:tc>
      </w:tr>
      <w:tr w:rsidR="006856A7" w:rsidRPr="00AA5833" w14:paraId="56FA0C09" w14:textId="77777777" w:rsidTr="002A3A5E">
        <w:trPr>
          <w:jc w:val="center"/>
        </w:trPr>
        <w:tc>
          <w:tcPr>
            <w:tcW w:w="8002" w:type="dxa"/>
            <w:vAlign w:val="center"/>
          </w:tcPr>
          <w:p w14:paraId="030EE070"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1.3.4. Средна продължителност на предстоящия живот</w:t>
            </w:r>
          </w:p>
        </w:tc>
        <w:tc>
          <w:tcPr>
            <w:tcW w:w="1060" w:type="dxa"/>
            <w:vAlign w:val="center"/>
          </w:tcPr>
          <w:p w14:paraId="6CC4DA5D"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19</w:t>
            </w:r>
          </w:p>
        </w:tc>
      </w:tr>
      <w:tr w:rsidR="006856A7" w:rsidRPr="00AA5833" w14:paraId="0751C24B" w14:textId="77777777" w:rsidTr="002A3A5E">
        <w:trPr>
          <w:jc w:val="center"/>
        </w:trPr>
        <w:tc>
          <w:tcPr>
            <w:tcW w:w="8002" w:type="dxa"/>
            <w:shd w:val="clear" w:color="auto" w:fill="00FF99"/>
            <w:vAlign w:val="center"/>
          </w:tcPr>
          <w:p w14:paraId="51AC958D"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p>
          <w:p w14:paraId="64F22BB8"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bCs/>
                <w:caps/>
                <w:color w:val="000000"/>
                <w:sz w:val="24"/>
                <w:szCs w:val="24"/>
                <w:lang w:eastAsia="bg-BG"/>
              </w:rPr>
              <w:t>1.4. Вътрешна и външна миграция на населението</w:t>
            </w:r>
          </w:p>
          <w:p w14:paraId="39842875"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p>
        </w:tc>
        <w:tc>
          <w:tcPr>
            <w:tcW w:w="1060" w:type="dxa"/>
            <w:shd w:val="clear" w:color="auto" w:fill="00FF99"/>
            <w:vAlign w:val="center"/>
          </w:tcPr>
          <w:p w14:paraId="1E10D896"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21</w:t>
            </w:r>
          </w:p>
        </w:tc>
      </w:tr>
      <w:tr w:rsidR="006856A7" w:rsidRPr="00AA5833" w14:paraId="0E85A618"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66977BE1" w14:textId="77777777" w:rsidR="006856A7" w:rsidRPr="00AA5833" w:rsidRDefault="006856A7" w:rsidP="006856A7">
            <w:pPr>
              <w:spacing w:after="0" w:line="240" w:lineRule="auto"/>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1.4.1. Преселвания между населените места в страната (вътрешна за страната миграция)</w:t>
            </w:r>
          </w:p>
        </w:tc>
        <w:tc>
          <w:tcPr>
            <w:tcW w:w="1060" w:type="dxa"/>
            <w:tcBorders>
              <w:top w:val="single" w:sz="4" w:space="0" w:color="auto"/>
              <w:left w:val="single" w:sz="4" w:space="0" w:color="auto"/>
              <w:bottom w:val="single" w:sz="4" w:space="0" w:color="auto"/>
              <w:right w:val="single" w:sz="4" w:space="0" w:color="auto"/>
            </w:tcBorders>
            <w:vAlign w:val="center"/>
          </w:tcPr>
          <w:p w14:paraId="5C784F43"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21</w:t>
            </w:r>
          </w:p>
        </w:tc>
      </w:tr>
      <w:tr w:rsidR="006856A7" w:rsidRPr="00AA5833" w14:paraId="502177D9"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84197A6" w14:textId="77777777" w:rsidR="006856A7" w:rsidRPr="00AA5833" w:rsidRDefault="006856A7" w:rsidP="006856A7">
            <w:pPr>
              <w:spacing w:after="0" w:line="240" w:lineRule="auto"/>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1.4.2. Миграция от страната в чужбина (миграция извън страната/емиграция)</w:t>
            </w:r>
          </w:p>
        </w:tc>
        <w:tc>
          <w:tcPr>
            <w:tcW w:w="1060" w:type="dxa"/>
            <w:tcBorders>
              <w:top w:val="single" w:sz="4" w:space="0" w:color="auto"/>
              <w:left w:val="single" w:sz="4" w:space="0" w:color="auto"/>
              <w:bottom w:val="single" w:sz="4" w:space="0" w:color="auto"/>
              <w:right w:val="single" w:sz="4" w:space="0" w:color="auto"/>
            </w:tcBorders>
            <w:vAlign w:val="center"/>
          </w:tcPr>
          <w:p w14:paraId="4763863C"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22</w:t>
            </w:r>
          </w:p>
        </w:tc>
      </w:tr>
      <w:tr w:rsidR="006856A7" w:rsidRPr="00AA5833" w14:paraId="01BB8A7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2EFFA7AF" w14:textId="77777777" w:rsidR="006856A7" w:rsidRPr="00AA5833" w:rsidRDefault="006856A7" w:rsidP="006856A7">
            <w:pPr>
              <w:spacing w:after="0" w:line="240" w:lineRule="auto"/>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1.4.3. Миграция от чужбина в страната (имиграция)</w:t>
            </w:r>
          </w:p>
        </w:tc>
        <w:tc>
          <w:tcPr>
            <w:tcW w:w="1060" w:type="dxa"/>
            <w:tcBorders>
              <w:top w:val="single" w:sz="4" w:space="0" w:color="auto"/>
              <w:left w:val="single" w:sz="4" w:space="0" w:color="auto"/>
              <w:bottom w:val="single" w:sz="4" w:space="0" w:color="auto"/>
              <w:right w:val="single" w:sz="4" w:space="0" w:color="auto"/>
            </w:tcBorders>
            <w:vAlign w:val="center"/>
          </w:tcPr>
          <w:p w14:paraId="20D0B4F9"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22</w:t>
            </w:r>
          </w:p>
        </w:tc>
      </w:tr>
      <w:tr w:rsidR="006856A7" w:rsidRPr="00AA5833" w14:paraId="16727FC0"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12BC31E1" w14:textId="77777777" w:rsidR="006856A7" w:rsidRPr="00AA5833" w:rsidRDefault="006856A7" w:rsidP="006856A7">
            <w:pPr>
              <w:spacing w:after="0" w:line="240" w:lineRule="auto"/>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1.4.4. Механичен прираст на населението </w:t>
            </w:r>
          </w:p>
        </w:tc>
        <w:tc>
          <w:tcPr>
            <w:tcW w:w="1060" w:type="dxa"/>
            <w:tcBorders>
              <w:top w:val="single" w:sz="4" w:space="0" w:color="auto"/>
              <w:left w:val="single" w:sz="4" w:space="0" w:color="auto"/>
              <w:bottom w:val="single" w:sz="4" w:space="0" w:color="auto"/>
              <w:right w:val="single" w:sz="4" w:space="0" w:color="auto"/>
            </w:tcBorders>
            <w:vAlign w:val="center"/>
          </w:tcPr>
          <w:p w14:paraId="58D24A1F" w14:textId="77777777" w:rsidR="006856A7" w:rsidRPr="00AA5833" w:rsidRDefault="007F7241"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22</w:t>
            </w:r>
          </w:p>
        </w:tc>
      </w:tr>
      <w:tr w:rsidR="006856A7" w:rsidRPr="00AA5833" w14:paraId="699BD6CF"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CC99"/>
            <w:vAlign w:val="center"/>
          </w:tcPr>
          <w:p w14:paraId="419B9F39" w14:textId="77777777" w:rsidR="008A7EDA" w:rsidRDefault="008A7EDA" w:rsidP="006856A7">
            <w:pPr>
              <w:spacing w:after="0" w:line="240" w:lineRule="auto"/>
              <w:jc w:val="both"/>
              <w:rPr>
                <w:rFonts w:ascii="Times New Roman" w:eastAsia="Times New Roman" w:hAnsi="Times New Roman" w:cs="Times New Roman"/>
                <w:b/>
                <w:color w:val="000000"/>
                <w:sz w:val="24"/>
                <w:szCs w:val="24"/>
                <w:lang w:eastAsia="bg-BG"/>
              </w:rPr>
            </w:pPr>
          </w:p>
          <w:p w14:paraId="0A382993" w14:textId="77777777" w:rsidR="008A7EDA" w:rsidRDefault="00DF7C5E"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ЧАСТ ІІ. СТРУКТУРА</w:t>
            </w:r>
            <w:r w:rsidR="006856A7" w:rsidRPr="00AA5833">
              <w:rPr>
                <w:rFonts w:ascii="Times New Roman" w:eastAsia="Times New Roman" w:hAnsi="Times New Roman" w:cs="Times New Roman"/>
                <w:b/>
                <w:color w:val="000000"/>
                <w:sz w:val="24"/>
                <w:szCs w:val="24"/>
                <w:lang w:eastAsia="bg-BG"/>
              </w:rPr>
              <w:t xml:space="preserve"> </w:t>
            </w:r>
            <w:r w:rsidRPr="00AA5833">
              <w:rPr>
                <w:rFonts w:ascii="Times New Roman" w:eastAsia="Times New Roman" w:hAnsi="Times New Roman" w:cs="Times New Roman"/>
                <w:b/>
                <w:color w:val="000000"/>
                <w:sz w:val="24"/>
                <w:szCs w:val="24"/>
                <w:lang w:eastAsia="bg-BG"/>
              </w:rPr>
              <w:t>И КАЧЕСТВЕНИ ХАРАКТЕРИСТИКИ НА НАСЕЛЕНИЕТО</w:t>
            </w:r>
          </w:p>
          <w:p w14:paraId="279F940B" w14:textId="77777777" w:rsidR="008A7EDA" w:rsidRPr="00AA5833" w:rsidRDefault="008A7EDA" w:rsidP="006856A7">
            <w:pPr>
              <w:spacing w:after="0" w:line="240" w:lineRule="auto"/>
              <w:jc w:val="both"/>
              <w:rPr>
                <w:rFonts w:ascii="Times New Roman" w:eastAsia="Times New Roman" w:hAnsi="Times New Roman" w:cs="Times New Roman"/>
                <w:b/>
                <w:color w:val="000000"/>
                <w:sz w:val="24"/>
                <w:szCs w:val="24"/>
                <w:lang w:eastAsia="bg-BG"/>
              </w:rPr>
            </w:pPr>
          </w:p>
        </w:tc>
        <w:tc>
          <w:tcPr>
            <w:tcW w:w="1060" w:type="dxa"/>
            <w:tcBorders>
              <w:top w:val="single" w:sz="4" w:space="0" w:color="auto"/>
              <w:left w:val="single" w:sz="4" w:space="0" w:color="auto"/>
              <w:bottom w:val="single" w:sz="4" w:space="0" w:color="auto"/>
              <w:right w:val="single" w:sz="4" w:space="0" w:color="auto"/>
            </w:tcBorders>
            <w:shd w:val="clear" w:color="auto" w:fill="00CC99"/>
            <w:vAlign w:val="center"/>
          </w:tcPr>
          <w:p w14:paraId="2FFF20D8"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23</w:t>
            </w:r>
          </w:p>
        </w:tc>
      </w:tr>
      <w:tr w:rsidR="006856A7" w:rsidRPr="00AA5833" w14:paraId="625CE916"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1A8CA2F6"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2.1. Структура на населението по пол</w:t>
            </w:r>
          </w:p>
        </w:tc>
        <w:tc>
          <w:tcPr>
            <w:tcW w:w="1060" w:type="dxa"/>
            <w:tcBorders>
              <w:top w:val="single" w:sz="4" w:space="0" w:color="auto"/>
              <w:left w:val="single" w:sz="4" w:space="0" w:color="auto"/>
              <w:bottom w:val="single" w:sz="4" w:space="0" w:color="auto"/>
              <w:right w:val="single" w:sz="4" w:space="0" w:color="auto"/>
            </w:tcBorders>
            <w:vAlign w:val="center"/>
          </w:tcPr>
          <w:p w14:paraId="20547017"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23</w:t>
            </w:r>
          </w:p>
        </w:tc>
      </w:tr>
      <w:tr w:rsidR="006856A7" w:rsidRPr="00AA5833" w14:paraId="533754DF"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2166DCD1"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2.2. Структура на населението по възраст</w:t>
            </w:r>
          </w:p>
        </w:tc>
        <w:tc>
          <w:tcPr>
            <w:tcW w:w="1060" w:type="dxa"/>
            <w:tcBorders>
              <w:top w:val="single" w:sz="4" w:space="0" w:color="auto"/>
              <w:left w:val="single" w:sz="4" w:space="0" w:color="auto"/>
              <w:bottom w:val="single" w:sz="4" w:space="0" w:color="auto"/>
              <w:right w:val="single" w:sz="4" w:space="0" w:color="auto"/>
            </w:tcBorders>
            <w:vAlign w:val="center"/>
          </w:tcPr>
          <w:p w14:paraId="02320004"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24</w:t>
            </w:r>
          </w:p>
        </w:tc>
      </w:tr>
      <w:tr w:rsidR="006856A7" w:rsidRPr="00AA5833" w14:paraId="1B915A0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0CBFCA6E"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2.3. Участие на населението в образователния процес</w:t>
            </w:r>
          </w:p>
        </w:tc>
        <w:tc>
          <w:tcPr>
            <w:tcW w:w="1060" w:type="dxa"/>
            <w:tcBorders>
              <w:top w:val="single" w:sz="4" w:space="0" w:color="auto"/>
              <w:left w:val="single" w:sz="4" w:space="0" w:color="auto"/>
              <w:bottom w:val="single" w:sz="4" w:space="0" w:color="auto"/>
              <w:right w:val="single" w:sz="4" w:space="0" w:color="auto"/>
            </w:tcBorders>
            <w:vAlign w:val="center"/>
          </w:tcPr>
          <w:p w14:paraId="34C59928"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27</w:t>
            </w:r>
          </w:p>
        </w:tc>
      </w:tr>
      <w:tr w:rsidR="006856A7" w:rsidRPr="00AA5833" w14:paraId="43DAC224"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238088D"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2.4. Здравен статус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2AACD7AD"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30</w:t>
            </w:r>
          </w:p>
        </w:tc>
      </w:tr>
      <w:tr w:rsidR="006856A7" w:rsidRPr="00AA5833" w14:paraId="01553EAD"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A56C50E"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2.5. Етническа структура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2DD28C18"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32</w:t>
            </w:r>
          </w:p>
        </w:tc>
      </w:tr>
      <w:tr w:rsidR="006856A7" w:rsidRPr="00AA5833" w14:paraId="3AE21CDF"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E52310A"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2.6. Религиозна структура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72301D54"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33</w:t>
            </w:r>
          </w:p>
        </w:tc>
      </w:tr>
      <w:tr w:rsidR="006856A7" w:rsidRPr="00AA5833" w14:paraId="5AFA1C61"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0F7A6C82"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2.7. Териториална структура и териториално разпределение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66A1745E"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33</w:t>
            </w:r>
          </w:p>
        </w:tc>
      </w:tr>
      <w:tr w:rsidR="006856A7" w:rsidRPr="00AA5833" w14:paraId="43975E40"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481F9419" w14:textId="77777777" w:rsidR="006856A7" w:rsidRPr="00AA5833" w:rsidRDefault="006856A7" w:rsidP="006856A7">
            <w:pPr>
              <w:spacing w:after="0" w:line="240" w:lineRule="auto"/>
              <w:ind w:left="426" w:hanging="426"/>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2.8. Качество и стандарт на живота</w:t>
            </w:r>
          </w:p>
        </w:tc>
        <w:tc>
          <w:tcPr>
            <w:tcW w:w="1060" w:type="dxa"/>
            <w:tcBorders>
              <w:top w:val="single" w:sz="4" w:space="0" w:color="auto"/>
              <w:left w:val="single" w:sz="4" w:space="0" w:color="auto"/>
              <w:bottom w:val="single" w:sz="4" w:space="0" w:color="auto"/>
              <w:right w:val="single" w:sz="4" w:space="0" w:color="auto"/>
            </w:tcBorders>
            <w:vAlign w:val="center"/>
          </w:tcPr>
          <w:p w14:paraId="7E815B45" w14:textId="77777777" w:rsidR="006856A7" w:rsidRPr="00AA5833" w:rsidRDefault="00F67082" w:rsidP="006856A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35</w:t>
            </w:r>
          </w:p>
        </w:tc>
      </w:tr>
      <w:tr w:rsidR="006856A7" w:rsidRPr="00AA5833" w14:paraId="16019D41"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CC99"/>
            <w:vAlign w:val="center"/>
          </w:tcPr>
          <w:p w14:paraId="2107A494" w14:textId="77777777" w:rsidR="006856A7" w:rsidRPr="00AA5833" w:rsidRDefault="006856A7" w:rsidP="00ED5421">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ЧАСТ ІII. УПРАВЛЕНИЕ НА ДЕМОГРАФСКИТЕ ПРОМЕНИ. </w:t>
            </w:r>
            <w:r w:rsidR="004C534E" w:rsidRPr="00AA5833">
              <w:rPr>
                <w:rFonts w:ascii="Times New Roman" w:eastAsia="Times New Roman" w:hAnsi="Times New Roman" w:cs="Times New Roman"/>
                <w:b/>
                <w:color w:val="000000"/>
                <w:sz w:val="24"/>
                <w:szCs w:val="24"/>
                <w:lang w:eastAsia="bg-BG"/>
              </w:rPr>
              <w:t>СЕКТОРНИ МЕРКИ ЗА АДАПРИРАНЕ КЪМ ДЕМОГ</w:t>
            </w:r>
            <w:r w:rsidR="00484D6C" w:rsidRPr="00AA5833">
              <w:rPr>
                <w:rFonts w:ascii="Times New Roman" w:eastAsia="Times New Roman" w:hAnsi="Times New Roman" w:cs="Times New Roman"/>
                <w:b/>
                <w:color w:val="000000"/>
                <w:sz w:val="24"/>
                <w:szCs w:val="24"/>
                <w:lang w:eastAsia="bg-BG"/>
              </w:rPr>
              <w:t>РА</w:t>
            </w:r>
            <w:r w:rsidR="004C534E" w:rsidRPr="00AA5833">
              <w:rPr>
                <w:rFonts w:ascii="Times New Roman" w:eastAsia="Times New Roman" w:hAnsi="Times New Roman" w:cs="Times New Roman"/>
                <w:b/>
                <w:color w:val="000000"/>
                <w:sz w:val="24"/>
                <w:szCs w:val="24"/>
                <w:lang w:eastAsia="bg-BG"/>
              </w:rPr>
              <w:t>ФСКИТЕ ПРОМЕНИ</w:t>
            </w:r>
          </w:p>
        </w:tc>
        <w:tc>
          <w:tcPr>
            <w:tcW w:w="1060" w:type="dxa"/>
            <w:tcBorders>
              <w:top w:val="single" w:sz="4" w:space="0" w:color="auto"/>
              <w:left w:val="single" w:sz="4" w:space="0" w:color="auto"/>
              <w:bottom w:val="single" w:sz="4" w:space="0" w:color="auto"/>
              <w:right w:val="single" w:sz="4" w:space="0" w:color="auto"/>
            </w:tcBorders>
            <w:shd w:val="clear" w:color="auto" w:fill="00CC99"/>
            <w:vAlign w:val="center"/>
          </w:tcPr>
          <w:p w14:paraId="3D4187C0" w14:textId="77777777" w:rsidR="006856A7" w:rsidRPr="00AA5833" w:rsidRDefault="006856A7" w:rsidP="006856A7">
            <w:pPr>
              <w:spacing w:after="0" w:line="240" w:lineRule="auto"/>
              <w:jc w:val="center"/>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41</w:t>
            </w:r>
          </w:p>
        </w:tc>
      </w:tr>
      <w:tr w:rsidR="006856A7" w:rsidRPr="00AA5833" w14:paraId="74E0C474"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56FA8B8C" w14:textId="77777777" w:rsidR="006856A7"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lastRenderedPageBreak/>
              <w:t>3.1. У</w:t>
            </w:r>
            <w:r w:rsidRPr="00AA5833">
              <w:rPr>
                <w:rFonts w:ascii="Times New Roman" w:eastAsia="Times New Roman" w:hAnsi="Times New Roman" w:cs="Times New Roman"/>
                <w:b/>
                <w:color w:val="000000"/>
                <w:sz w:val="24"/>
                <w:szCs w:val="24"/>
                <w:lang w:eastAsia="bg-BG"/>
              </w:rPr>
              <w:t>съвършенстване на демографската политика</w:t>
            </w:r>
          </w:p>
        </w:tc>
        <w:tc>
          <w:tcPr>
            <w:tcW w:w="1060" w:type="dxa"/>
            <w:tcBorders>
              <w:top w:val="single" w:sz="4" w:space="0" w:color="auto"/>
              <w:left w:val="single" w:sz="4" w:space="0" w:color="auto"/>
              <w:bottom w:val="single" w:sz="4" w:space="0" w:color="auto"/>
              <w:right w:val="single" w:sz="4" w:space="0" w:color="auto"/>
            </w:tcBorders>
            <w:vAlign w:val="center"/>
          </w:tcPr>
          <w:p w14:paraId="64C857E4" w14:textId="77777777" w:rsidR="006856A7" w:rsidRPr="00AA5833" w:rsidRDefault="002A3A5E" w:rsidP="006856A7">
            <w:pPr>
              <w:spacing w:after="200" w:line="240" w:lineRule="auto"/>
              <w:jc w:val="center"/>
              <w:rPr>
                <w:rFonts w:ascii="Times New Roman" w:hAnsi="Times New Roman" w:cs="Times New Roman"/>
                <w:sz w:val="24"/>
                <w:szCs w:val="24"/>
              </w:rPr>
            </w:pPr>
            <w:r w:rsidRPr="00AA5833">
              <w:rPr>
                <w:rFonts w:ascii="Times New Roman" w:hAnsi="Times New Roman" w:cs="Times New Roman"/>
                <w:sz w:val="24"/>
                <w:szCs w:val="24"/>
              </w:rPr>
              <w:t>41</w:t>
            </w:r>
          </w:p>
        </w:tc>
      </w:tr>
      <w:tr w:rsidR="002A3A5E" w:rsidRPr="00AA5833" w14:paraId="0C9FA573"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6DDD954B" w14:textId="77777777" w:rsidR="002A3A5E" w:rsidRPr="00AA5833" w:rsidRDefault="002A3A5E" w:rsidP="00B7685F">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3.2. </w:t>
            </w:r>
            <w:r w:rsidR="00B7685F">
              <w:rPr>
                <w:rFonts w:ascii="Times New Roman" w:eastAsia="Times New Roman" w:hAnsi="Times New Roman" w:cs="Times New Roman"/>
                <w:b/>
                <w:color w:val="000000"/>
                <w:sz w:val="24"/>
                <w:szCs w:val="24"/>
                <w:lang w:eastAsia="bg-BG"/>
              </w:rPr>
              <w:t>Препоръчителни м</w:t>
            </w:r>
            <w:r w:rsidRPr="00AA5833">
              <w:rPr>
                <w:rFonts w:ascii="Times New Roman" w:eastAsia="Times New Roman" w:hAnsi="Times New Roman" w:cs="Times New Roman"/>
                <w:b/>
                <w:color w:val="000000"/>
                <w:sz w:val="24"/>
                <w:szCs w:val="24"/>
                <w:lang w:eastAsia="bg-BG"/>
              </w:rPr>
              <w:t>ерки за компенсиране на демографските дисбаланси</w:t>
            </w:r>
          </w:p>
        </w:tc>
        <w:tc>
          <w:tcPr>
            <w:tcW w:w="1060" w:type="dxa"/>
            <w:tcBorders>
              <w:top w:val="single" w:sz="4" w:space="0" w:color="auto"/>
              <w:left w:val="single" w:sz="4" w:space="0" w:color="auto"/>
              <w:bottom w:val="single" w:sz="4" w:space="0" w:color="auto"/>
              <w:right w:val="single" w:sz="4" w:space="0" w:color="auto"/>
            </w:tcBorders>
            <w:vAlign w:val="center"/>
          </w:tcPr>
          <w:p w14:paraId="68B54186" w14:textId="77777777" w:rsidR="002A3A5E" w:rsidRPr="00AA5833" w:rsidRDefault="002A3A5E" w:rsidP="002A3A5E">
            <w:pPr>
              <w:spacing w:after="200" w:line="240" w:lineRule="auto"/>
              <w:jc w:val="center"/>
              <w:rPr>
                <w:rFonts w:ascii="Times New Roman" w:hAnsi="Times New Roman" w:cs="Times New Roman"/>
                <w:sz w:val="24"/>
                <w:szCs w:val="24"/>
              </w:rPr>
            </w:pPr>
            <w:r w:rsidRPr="00AA5833">
              <w:rPr>
                <w:rFonts w:ascii="Times New Roman" w:hAnsi="Times New Roman" w:cs="Times New Roman"/>
                <w:sz w:val="24"/>
                <w:szCs w:val="24"/>
              </w:rPr>
              <w:t>43</w:t>
            </w:r>
          </w:p>
        </w:tc>
      </w:tr>
      <w:tr w:rsidR="002A3A5E" w:rsidRPr="00AA5833" w14:paraId="6A0E435A"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639AD23D"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3.2.1. Мерки с компенсиращ характер по отношение на раждаемостта</w:t>
            </w:r>
          </w:p>
        </w:tc>
        <w:tc>
          <w:tcPr>
            <w:tcW w:w="1060" w:type="dxa"/>
            <w:tcBorders>
              <w:top w:val="single" w:sz="4" w:space="0" w:color="auto"/>
              <w:left w:val="single" w:sz="4" w:space="0" w:color="auto"/>
              <w:bottom w:val="single" w:sz="4" w:space="0" w:color="auto"/>
              <w:right w:val="single" w:sz="4" w:space="0" w:color="auto"/>
            </w:tcBorders>
            <w:vAlign w:val="center"/>
          </w:tcPr>
          <w:p w14:paraId="45806778" w14:textId="77777777" w:rsidR="002A3A5E" w:rsidRPr="000E6B28" w:rsidRDefault="00F67082" w:rsidP="000E6B28">
            <w:pPr>
              <w:spacing w:after="200" w:line="240" w:lineRule="auto"/>
              <w:jc w:val="center"/>
              <w:rPr>
                <w:rFonts w:ascii="Times New Roman" w:hAnsi="Times New Roman" w:cs="Times New Roman"/>
                <w:sz w:val="24"/>
                <w:szCs w:val="24"/>
                <w:lang w:val="en-US"/>
              </w:rPr>
            </w:pPr>
            <w:r>
              <w:rPr>
                <w:rFonts w:ascii="Times New Roman" w:hAnsi="Times New Roman" w:cs="Times New Roman"/>
                <w:sz w:val="24"/>
                <w:szCs w:val="24"/>
              </w:rPr>
              <w:t>4</w:t>
            </w:r>
            <w:r w:rsidR="000E6B28">
              <w:rPr>
                <w:rFonts w:ascii="Times New Roman" w:hAnsi="Times New Roman" w:cs="Times New Roman"/>
                <w:sz w:val="24"/>
                <w:szCs w:val="24"/>
                <w:lang w:val="en-US"/>
              </w:rPr>
              <w:t>3</w:t>
            </w:r>
          </w:p>
        </w:tc>
      </w:tr>
      <w:tr w:rsidR="002A3A5E" w:rsidRPr="00AA5833" w14:paraId="5AE86DAD"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403ACEF4"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3.2.2. Мерки с компенсиращ характер на пазара на труда</w:t>
            </w:r>
          </w:p>
        </w:tc>
        <w:tc>
          <w:tcPr>
            <w:tcW w:w="1060" w:type="dxa"/>
            <w:tcBorders>
              <w:top w:val="single" w:sz="4" w:space="0" w:color="auto"/>
              <w:left w:val="single" w:sz="4" w:space="0" w:color="auto"/>
              <w:bottom w:val="single" w:sz="4" w:space="0" w:color="auto"/>
              <w:right w:val="single" w:sz="4" w:space="0" w:color="auto"/>
            </w:tcBorders>
            <w:vAlign w:val="center"/>
          </w:tcPr>
          <w:p w14:paraId="2B2238C3" w14:textId="77777777" w:rsidR="002A3A5E" w:rsidRPr="00AA5833" w:rsidRDefault="002A3A5E" w:rsidP="002A3A5E">
            <w:pPr>
              <w:spacing w:after="200" w:line="240" w:lineRule="auto"/>
              <w:jc w:val="center"/>
              <w:rPr>
                <w:rFonts w:ascii="Times New Roman" w:hAnsi="Times New Roman" w:cs="Times New Roman"/>
                <w:sz w:val="24"/>
                <w:szCs w:val="24"/>
              </w:rPr>
            </w:pPr>
            <w:r w:rsidRPr="00AA5833">
              <w:rPr>
                <w:rFonts w:ascii="Times New Roman" w:hAnsi="Times New Roman" w:cs="Times New Roman"/>
                <w:sz w:val="24"/>
                <w:szCs w:val="24"/>
              </w:rPr>
              <w:t>44</w:t>
            </w:r>
          </w:p>
        </w:tc>
      </w:tr>
      <w:tr w:rsidR="002A3A5E" w:rsidRPr="00AA5833" w14:paraId="4965C91C"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21C461B6"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3.2.3. Мерки с компенсиращ характер в системата на дългосрочните грижи</w:t>
            </w:r>
          </w:p>
        </w:tc>
        <w:tc>
          <w:tcPr>
            <w:tcW w:w="1060" w:type="dxa"/>
            <w:tcBorders>
              <w:top w:val="single" w:sz="4" w:space="0" w:color="auto"/>
              <w:left w:val="single" w:sz="4" w:space="0" w:color="auto"/>
              <w:bottom w:val="single" w:sz="4" w:space="0" w:color="auto"/>
              <w:right w:val="single" w:sz="4" w:space="0" w:color="auto"/>
            </w:tcBorders>
            <w:vAlign w:val="center"/>
          </w:tcPr>
          <w:p w14:paraId="05E5511F" w14:textId="77777777" w:rsidR="002A3A5E" w:rsidRPr="00AA5833" w:rsidRDefault="002A3A5E" w:rsidP="002A3A5E">
            <w:pPr>
              <w:spacing w:after="200" w:line="240" w:lineRule="auto"/>
              <w:jc w:val="center"/>
              <w:rPr>
                <w:rFonts w:ascii="Times New Roman" w:hAnsi="Times New Roman" w:cs="Times New Roman"/>
                <w:sz w:val="24"/>
                <w:szCs w:val="24"/>
              </w:rPr>
            </w:pPr>
            <w:r w:rsidRPr="00AA5833">
              <w:rPr>
                <w:rFonts w:ascii="Times New Roman" w:hAnsi="Times New Roman" w:cs="Times New Roman"/>
                <w:sz w:val="24"/>
                <w:szCs w:val="24"/>
              </w:rPr>
              <w:t>46</w:t>
            </w:r>
          </w:p>
        </w:tc>
      </w:tr>
      <w:tr w:rsidR="002A3A5E" w:rsidRPr="00AA5833" w14:paraId="32D6D96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60E10F83"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3.2.4. Мерки с компенсиращ характер в системата на образованието</w:t>
            </w:r>
          </w:p>
        </w:tc>
        <w:tc>
          <w:tcPr>
            <w:tcW w:w="1060" w:type="dxa"/>
            <w:tcBorders>
              <w:top w:val="single" w:sz="4" w:space="0" w:color="auto"/>
              <w:left w:val="single" w:sz="4" w:space="0" w:color="auto"/>
              <w:bottom w:val="single" w:sz="4" w:space="0" w:color="auto"/>
              <w:right w:val="single" w:sz="4" w:space="0" w:color="auto"/>
            </w:tcBorders>
            <w:vAlign w:val="center"/>
          </w:tcPr>
          <w:p w14:paraId="351CF459" w14:textId="77777777" w:rsidR="002A3A5E" w:rsidRPr="00AA5833" w:rsidRDefault="002A3A5E" w:rsidP="002A3A5E">
            <w:pPr>
              <w:spacing w:after="200" w:line="240" w:lineRule="auto"/>
              <w:jc w:val="center"/>
              <w:rPr>
                <w:rFonts w:ascii="Times New Roman" w:hAnsi="Times New Roman" w:cs="Times New Roman"/>
                <w:sz w:val="24"/>
                <w:szCs w:val="24"/>
              </w:rPr>
            </w:pPr>
            <w:r w:rsidRPr="00AA5833">
              <w:rPr>
                <w:rFonts w:ascii="Times New Roman" w:hAnsi="Times New Roman" w:cs="Times New Roman"/>
                <w:sz w:val="24"/>
                <w:szCs w:val="24"/>
              </w:rPr>
              <w:t>47</w:t>
            </w:r>
          </w:p>
        </w:tc>
      </w:tr>
      <w:tr w:rsidR="002A3A5E" w:rsidRPr="00AA5833" w14:paraId="0143AEB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775FA49A"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3.2.5. Мерки с компенсиращ характер в системата на здравеопазването</w:t>
            </w:r>
          </w:p>
        </w:tc>
        <w:tc>
          <w:tcPr>
            <w:tcW w:w="1060" w:type="dxa"/>
            <w:tcBorders>
              <w:top w:val="single" w:sz="4" w:space="0" w:color="auto"/>
              <w:left w:val="single" w:sz="4" w:space="0" w:color="auto"/>
              <w:bottom w:val="single" w:sz="4" w:space="0" w:color="auto"/>
              <w:right w:val="single" w:sz="4" w:space="0" w:color="auto"/>
            </w:tcBorders>
            <w:vAlign w:val="center"/>
          </w:tcPr>
          <w:p w14:paraId="2B3A93C5" w14:textId="77777777" w:rsidR="002A3A5E" w:rsidRPr="00AA5833" w:rsidRDefault="00423FEC" w:rsidP="002A3A5E">
            <w:pPr>
              <w:spacing w:after="20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2A3A5E" w:rsidRPr="00AA5833" w14:paraId="25066710"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1C92FE53" w14:textId="77777777" w:rsidR="002A3A5E" w:rsidRPr="00AA5833" w:rsidRDefault="002A3A5E" w:rsidP="002A3A5E">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3.2.6. Мерки с компенсиращ характер по отношение на неравномерното териториално разпределение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4E336715" w14:textId="77777777" w:rsidR="002A3A5E" w:rsidRPr="00AA5833" w:rsidRDefault="00423FEC" w:rsidP="002A3A5E">
            <w:pPr>
              <w:spacing w:after="20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2A3A5E" w:rsidRPr="00AA5833" w14:paraId="5201CE78"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CC99"/>
            <w:vAlign w:val="center"/>
          </w:tcPr>
          <w:p w14:paraId="01AC851E"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p>
          <w:p w14:paraId="527B7B22" w14:textId="77777777" w:rsidR="002A3A5E"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ЧАСТ ІV. МОНИТОРИНГОВ ОТЧЕТ ЗА 2024 г. ЗА ИЗПЪЛНЕНИЕ НА АКТУАЛИЗИРАНАТА НАЦИОНАЛНА СТРАТЕГИЯ ЗА ДЕМОГРАФСКО РАЗВИТИЕ НА НАСЕЛЕНИЕТО В Р БЪЛГАРИЯ (2012-2030 г.)</w:t>
            </w:r>
          </w:p>
          <w:p w14:paraId="662F99C6" w14:textId="77777777" w:rsidR="00F67082" w:rsidRPr="00AA5833" w:rsidRDefault="00F67082" w:rsidP="002A3A5E">
            <w:pPr>
              <w:spacing w:after="0" w:line="240" w:lineRule="auto"/>
              <w:rPr>
                <w:rFonts w:ascii="Times New Roman" w:eastAsia="Times New Roman" w:hAnsi="Times New Roman" w:cs="Times New Roman"/>
                <w:b/>
                <w:color w:val="000000"/>
                <w:sz w:val="24"/>
                <w:szCs w:val="24"/>
                <w:lang w:eastAsia="bg-BG"/>
              </w:rPr>
            </w:pPr>
          </w:p>
        </w:tc>
        <w:tc>
          <w:tcPr>
            <w:tcW w:w="1060" w:type="dxa"/>
            <w:tcBorders>
              <w:top w:val="single" w:sz="4" w:space="0" w:color="auto"/>
              <w:left w:val="single" w:sz="4" w:space="0" w:color="auto"/>
              <w:bottom w:val="single" w:sz="4" w:space="0" w:color="auto"/>
              <w:right w:val="single" w:sz="4" w:space="0" w:color="auto"/>
            </w:tcBorders>
            <w:shd w:val="clear" w:color="auto" w:fill="00CC99"/>
            <w:vAlign w:val="center"/>
          </w:tcPr>
          <w:p w14:paraId="4B2B2A47" w14:textId="77777777" w:rsidR="002A3A5E" w:rsidRPr="00AA5833" w:rsidRDefault="004072F9"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50</w:t>
            </w:r>
          </w:p>
        </w:tc>
      </w:tr>
      <w:tr w:rsidR="002A3A5E" w:rsidRPr="00AA5833" w14:paraId="657891E9"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FF99"/>
            <w:vAlign w:val="center"/>
          </w:tcPr>
          <w:p w14:paraId="2A5AA1EB" w14:textId="77777777" w:rsidR="002A3A5E" w:rsidRPr="00AA5833" w:rsidRDefault="002A3A5E" w:rsidP="002A3A5E">
            <w:pPr>
              <w:spacing w:after="0" w:line="240" w:lineRule="auto"/>
              <w:rPr>
                <w:rFonts w:eastAsia="Times New Roman" w:cs="Times New Roman"/>
                <w:b/>
                <w:caps/>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А. </w:t>
            </w:r>
            <w:r w:rsidRPr="00AA5833">
              <w:rPr>
                <w:rFonts w:ascii="Times New Roman Bold" w:eastAsia="Times New Roman" w:hAnsi="Times New Roman Bold" w:cs="Times New Roman"/>
                <w:b/>
                <w:caps/>
                <w:color w:val="000000"/>
                <w:sz w:val="24"/>
                <w:szCs w:val="24"/>
                <w:lang w:eastAsia="bg-BG"/>
              </w:rPr>
              <w:t xml:space="preserve">Приоритет І </w:t>
            </w:r>
            <w:r w:rsidRPr="00AA5833">
              <w:rPr>
                <w:rFonts w:eastAsia="Times New Roman" w:cs="Times New Roman"/>
                <w:b/>
                <w:caps/>
                <w:color w:val="000000"/>
                <w:sz w:val="24"/>
                <w:szCs w:val="24"/>
                <w:lang w:eastAsia="bg-BG"/>
              </w:rPr>
              <w:t>–</w:t>
            </w:r>
            <w:r w:rsidRPr="00AA5833">
              <w:rPr>
                <w:rFonts w:ascii="Times New Roman Bold" w:eastAsia="Times New Roman" w:hAnsi="Times New Roman Bold" w:cs="Times New Roman"/>
                <w:b/>
                <w:caps/>
                <w:color w:val="000000"/>
                <w:sz w:val="24"/>
                <w:szCs w:val="24"/>
                <w:lang w:eastAsia="bg-BG"/>
              </w:rPr>
              <w:t xml:space="preserve"> Забавяне на негативните демографски процеси и намаляването на броя на населението</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7202836B" w14:textId="77777777" w:rsidR="002A3A5E" w:rsidRPr="00AA5833" w:rsidRDefault="004072F9"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50</w:t>
            </w:r>
          </w:p>
        </w:tc>
      </w:tr>
      <w:tr w:rsidR="002A3A5E" w:rsidRPr="00AA5833" w14:paraId="4F75D16E"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5D82832A"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НАПРАВЛЕНИЕ 1 – </w:t>
            </w:r>
            <w:r w:rsidRPr="00AA5833">
              <w:rPr>
                <w:rFonts w:ascii="Times New Roman Bold" w:eastAsia="Times New Roman" w:hAnsi="Times New Roman Bold" w:cs="Times New Roman"/>
                <w:b/>
                <w:color w:val="000000"/>
                <w:sz w:val="24"/>
                <w:szCs w:val="24"/>
                <w:lang w:eastAsia="bg-BG"/>
              </w:rPr>
              <w:t>Насърчаване на раждаемостта чрез създаване на среда, благоприятна за отглеждането и възпитанието на деца</w:t>
            </w:r>
          </w:p>
        </w:tc>
        <w:tc>
          <w:tcPr>
            <w:tcW w:w="1060" w:type="dxa"/>
            <w:tcBorders>
              <w:top w:val="single" w:sz="4" w:space="0" w:color="auto"/>
              <w:left w:val="single" w:sz="4" w:space="0" w:color="auto"/>
              <w:bottom w:val="single" w:sz="4" w:space="0" w:color="auto"/>
              <w:right w:val="single" w:sz="4" w:space="0" w:color="auto"/>
            </w:tcBorders>
            <w:vAlign w:val="center"/>
          </w:tcPr>
          <w:p w14:paraId="72EED532" w14:textId="77777777" w:rsidR="002A3A5E" w:rsidRPr="00AA5833" w:rsidRDefault="004072F9"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50</w:t>
            </w:r>
          </w:p>
        </w:tc>
      </w:tr>
      <w:tr w:rsidR="002A3A5E" w:rsidRPr="00AA5833" w14:paraId="054A2C9E"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75F042F2"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2 – Подобряване на репродуктивното здраве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1D4543E3"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70</w:t>
            </w:r>
          </w:p>
        </w:tc>
      </w:tr>
      <w:tr w:rsidR="002A3A5E" w:rsidRPr="00AA5833" w14:paraId="02FADE9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099E5203"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themeColor="text1"/>
                <w:sz w:val="24"/>
                <w:szCs w:val="24"/>
                <w:lang w:eastAsia="bg-BG"/>
              </w:rPr>
              <w:t>НАПРАВЛЕНИЕ 3 – Подобряване на общата демографска информираност и сексуално-репродуктивна култура на населението</w:t>
            </w:r>
          </w:p>
        </w:tc>
        <w:tc>
          <w:tcPr>
            <w:tcW w:w="1060" w:type="dxa"/>
            <w:tcBorders>
              <w:top w:val="single" w:sz="4" w:space="0" w:color="auto"/>
              <w:left w:val="single" w:sz="4" w:space="0" w:color="auto"/>
              <w:bottom w:val="single" w:sz="4" w:space="0" w:color="auto"/>
              <w:right w:val="single" w:sz="4" w:space="0" w:color="auto"/>
            </w:tcBorders>
            <w:vAlign w:val="center"/>
          </w:tcPr>
          <w:p w14:paraId="19BD01CD"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77</w:t>
            </w:r>
          </w:p>
        </w:tc>
      </w:tr>
      <w:tr w:rsidR="002A3A5E" w:rsidRPr="00AA5833" w14:paraId="0F80A207"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6D3A9E92"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4 – Подобряване на общото здравословно състояние на населението и намаляване на общата, преждевременната, детската и майчината смъртност</w:t>
            </w:r>
          </w:p>
        </w:tc>
        <w:tc>
          <w:tcPr>
            <w:tcW w:w="1060" w:type="dxa"/>
            <w:tcBorders>
              <w:top w:val="single" w:sz="4" w:space="0" w:color="auto"/>
              <w:left w:val="single" w:sz="4" w:space="0" w:color="auto"/>
              <w:bottom w:val="single" w:sz="4" w:space="0" w:color="auto"/>
              <w:right w:val="single" w:sz="4" w:space="0" w:color="auto"/>
            </w:tcBorders>
            <w:vAlign w:val="center"/>
          </w:tcPr>
          <w:p w14:paraId="7CE24511"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78</w:t>
            </w:r>
          </w:p>
        </w:tc>
      </w:tr>
      <w:tr w:rsidR="002A3A5E" w:rsidRPr="00AA5833" w14:paraId="1C58ECF6"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54D49BF7"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5 – Разработване на адекватна миграционна (външна и вътрешна) и имиграционна политика</w:t>
            </w:r>
          </w:p>
        </w:tc>
        <w:tc>
          <w:tcPr>
            <w:tcW w:w="1060" w:type="dxa"/>
            <w:tcBorders>
              <w:top w:val="single" w:sz="4" w:space="0" w:color="auto"/>
              <w:left w:val="single" w:sz="4" w:space="0" w:color="auto"/>
              <w:bottom w:val="single" w:sz="4" w:space="0" w:color="auto"/>
              <w:right w:val="single" w:sz="4" w:space="0" w:color="auto"/>
            </w:tcBorders>
            <w:vAlign w:val="center"/>
          </w:tcPr>
          <w:p w14:paraId="7B70401F"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115</w:t>
            </w:r>
          </w:p>
        </w:tc>
      </w:tr>
      <w:tr w:rsidR="002A3A5E" w:rsidRPr="00AA5833" w14:paraId="44596D17"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1A874B0C"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6 – Значително намаляване на броя на емигриращите млади хора в репродуктивна възраст</w:t>
            </w:r>
          </w:p>
        </w:tc>
        <w:tc>
          <w:tcPr>
            <w:tcW w:w="1060" w:type="dxa"/>
            <w:tcBorders>
              <w:top w:val="single" w:sz="4" w:space="0" w:color="auto"/>
              <w:left w:val="single" w:sz="4" w:space="0" w:color="auto"/>
              <w:bottom w:val="single" w:sz="4" w:space="0" w:color="auto"/>
              <w:right w:val="single" w:sz="4" w:space="0" w:color="auto"/>
            </w:tcBorders>
            <w:vAlign w:val="center"/>
          </w:tcPr>
          <w:p w14:paraId="5356CF3E" w14:textId="77777777" w:rsidR="002A3A5E" w:rsidRPr="00AA5833" w:rsidRDefault="0062068F"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14</w:t>
            </w:r>
            <w:r w:rsidR="000201A7">
              <w:rPr>
                <w:rFonts w:ascii="Times New Roman" w:eastAsia="Times New Roman" w:hAnsi="Times New Roman" w:cs="Times New Roman"/>
                <w:color w:val="000000"/>
                <w:sz w:val="24"/>
                <w:szCs w:val="24"/>
                <w:lang w:eastAsia="bg-BG"/>
              </w:rPr>
              <w:t>7</w:t>
            </w:r>
          </w:p>
        </w:tc>
      </w:tr>
      <w:tr w:rsidR="002A3A5E" w:rsidRPr="00AA5833" w14:paraId="12467339"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FF99"/>
            <w:vAlign w:val="center"/>
          </w:tcPr>
          <w:p w14:paraId="35BAF6F4"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Б.ПРИОРИТЕТ ІІ – ПРЕОДОЛЯВАНЕ НА НЕГАТИВНИТЕ ПОСЛЕДИЦИ ОТ ОСТАРЯВАНЕТО НА НАСЕЛЕНИЕТО И ПОДОБРЯВАНЕ НА КАЧЕСТВЕНИТЕ ХАРАКТЕРИСТИКИ НА ЧОВЕШКИЯ КАПИТАЛ</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60A0C22F"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159</w:t>
            </w:r>
          </w:p>
        </w:tc>
      </w:tr>
      <w:tr w:rsidR="002A3A5E" w:rsidRPr="00AA5833" w14:paraId="5C5ACD1E"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3BF05A2"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7 – Възприемане на комплексен междусекторен подход за активен и продуктивен живот на възрастните хора в добро здраве. Адаптиране на социалните системи към демографските промени и остаряването на населението – пазар на труда, пенсионна система, социално подпомагане и грижи, здравеопазване, образование, култура и др.</w:t>
            </w:r>
          </w:p>
        </w:tc>
        <w:tc>
          <w:tcPr>
            <w:tcW w:w="1060" w:type="dxa"/>
            <w:tcBorders>
              <w:top w:val="single" w:sz="4" w:space="0" w:color="auto"/>
              <w:left w:val="single" w:sz="4" w:space="0" w:color="auto"/>
              <w:bottom w:val="single" w:sz="4" w:space="0" w:color="auto"/>
              <w:right w:val="single" w:sz="4" w:space="0" w:color="auto"/>
            </w:tcBorders>
            <w:vAlign w:val="center"/>
          </w:tcPr>
          <w:p w14:paraId="4247ECF8"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159</w:t>
            </w:r>
          </w:p>
        </w:tc>
      </w:tr>
      <w:tr w:rsidR="002A3A5E" w:rsidRPr="00AA5833" w14:paraId="3459D6F5"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227BEEBD"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8 – Развитие на солидарност между поколенията</w:t>
            </w:r>
          </w:p>
        </w:tc>
        <w:tc>
          <w:tcPr>
            <w:tcW w:w="1060" w:type="dxa"/>
            <w:tcBorders>
              <w:top w:val="single" w:sz="4" w:space="0" w:color="auto"/>
              <w:left w:val="single" w:sz="4" w:space="0" w:color="auto"/>
              <w:bottom w:val="single" w:sz="4" w:space="0" w:color="auto"/>
              <w:right w:val="single" w:sz="4" w:space="0" w:color="auto"/>
            </w:tcBorders>
            <w:vAlign w:val="center"/>
          </w:tcPr>
          <w:p w14:paraId="07827F49" w14:textId="77777777" w:rsidR="002A3A5E" w:rsidRPr="000E6B28" w:rsidRDefault="000201A7" w:rsidP="000E6B28">
            <w:pPr>
              <w:spacing w:after="0" w:line="240" w:lineRule="auto"/>
              <w:jc w:val="center"/>
              <w:rPr>
                <w:rFonts w:ascii="Times New Roman" w:eastAsia="Times New Roman" w:hAnsi="Times New Roman" w:cs="Times New Roman"/>
                <w:color w:val="000000"/>
                <w:sz w:val="24"/>
                <w:szCs w:val="24"/>
                <w:lang w:val="en-US" w:eastAsia="bg-BG"/>
              </w:rPr>
            </w:pPr>
            <w:r>
              <w:rPr>
                <w:rFonts w:ascii="Times New Roman" w:eastAsia="Times New Roman" w:hAnsi="Times New Roman" w:cs="Times New Roman"/>
                <w:color w:val="000000"/>
                <w:sz w:val="24"/>
                <w:szCs w:val="24"/>
                <w:lang w:eastAsia="bg-BG"/>
              </w:rPr>
              <w:t>1</w:t>
            </w:r>
            <w:r w:rsidR="000E6B28">
              <w:rPr>
                <w:rFonts w:ascii="Times New Roman" w:eastAsia="Times New Roman" w:hAnsi="Times New Roman" w:cs="Times New Roman"/>
                <w:color w:val="000000"/>
                <w:sz w:val="24"/>
                <w:szCs w:val="24"/>
                <w:lang w:val="en-US" w:eastAsia="bg-BG"/>
              </w:rPr>
              <w:t>80</w:t>
            </w:r>
          </w:p>
        </w:tc>
      </w:tr>
      <w:tr w:rsidR="002A3A5E" w:rsidRPr="00AA5833" w14:paraId="361111EC"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75983AC2"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НАПРАВЛЕНИЕ 9 – Повишаване на общото образователно, духовно и културно равнище, квалификация, способности и умения на населението от всички възрастови групи</w:t>
            </w:r>
          </w:p>
        </w:tc>
        <w:tc>
          <w:tcPr>
            <w:tcW w:w="1060" w:type="dxa"/>
            <w:tcBorders>
              <w:top w:val="single" w:sz="4" w:space="0" w:color="auto"/>
              <w:left w:val="single" w:sz="4" w:space="0" w:color="auto"/>
              <w:bottom w:val="single" w:sz="4" w:space="0" w:color="auto"/>
              <w:right w:val="single" w:sz="4" w:space="0" w:color="auto"/>
            </w:tcBorders>
            <w:vAlign w:val="center"/>
          </w:tcPr>
          <w:p w14:paraId="6C1328CC" w14:textId="77777777" w:rsidR="002A3A5E" w:rsidRPr="000E6B28" w:rsidRDefault="002A3A5E" w:rsidP="000E6B28">
            <w:pPr>
              <w:spacing w:after="0" w:line="240" w:lineRule="auto"/>
              <w:jc w:val="center"/>
              <w:rPr>
                <w:rFonts w:ascii="Times New Roman" w:eastAsia="Times New Roman" w:hAnsi="Times New Roman" w:cs="Times New Roman"/>
                <w:color w:val="000000"/>
                <w:sz w:val="24"/>
                <w:szCs w:val="24"/>
                <w:lang w:val="en-US" w:eastAsia="bg-BG"/>
              </w:rPr>
            </w:pPr>
            <w:r w:rsidRPr="00AA5833">
              <w:rPr>
                <w:rFonts w:ascii="Times New Roman" w:eastAsia="Times New Roman" w:hAnsi="Times New Roman" w:cs="Times New Roman"/>
                <w:color w:val="000000"/>
                <w:sz w:val="24"/>
                <w:szCs w:val="24"/>
                <w:lang w:eastAsia="bg-BG"/>
              </w:rPr>
              <w:t>18</w:t>
            </w:r>
            <w:r w:rsidR="000E6B28">
              <w:rPr>
                <w:rFonts w:ascii="Times New Roman" w:eastAsia="Times New Roman" w:hAnsi="Times New Roman" w:cs="Times New Roman"/>
                <w:color w:val="000000"/>
                <w:sz w:val="24"/>
                <w:szCs w:val="24"/>
                <w:lang w:val="en-US" w:eastAsia="bg-BG"/>
              </w:rPr>
              <w:t>1</w:t>
            </w:r>
          </w:p>
        </w:tc>
      </w:tr>
      <w:tr w:rsidR="002A3A5E" w:rsidRPr="00AA5833" w14:paraId="2DE49258"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FF99"/>
            <w:vAlign w:val="center"/>
          </w:tcPr>
          <w:p w14:paraId="47E94F4B" w14:textId="77777777" w:rsidR="002A3A5E" w:rsidRPr="00AA5833" w:rsidRDefault="002A3A5E" w:rsidP="006438B6">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В. ПРИОРИТЕТ ІІІ – ПОСТИГАНЕ НА СОЦИАЛНА КОХЕЗИЯ И СЪЗДАВАНЕ НА РАВНИ ВЪЗМОЖНОСТИ ЗА ПЪЛНОЦЕНЕН, СОЦИАЛЕН И ПРОДУКТИВЕН ЖИВОТ ЗА ВСИЧКИ СОЦИАЛНИ ГРУПИ</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5C93D1CD"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206</w:t>
            </w:r>
          </w:p>
        </w:tc>
      </w:tr>
      <w:tr w:rsidR="002A3A5E" w:rsidRPr="00AA5833" w14:paraId="33C1CBAB"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34CF10E3"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10 – Създаване на условия за равни възможности за пълноценен, социален и продуктивен живот за всички социални групи</w:t>
            </w:r>
          </w:p>
        </w:tc>
        <w:tc>
          <w:tcPr>
            <w:tcW w:w="1060" w:type="dxa"/>
            <w:tcBorders>
              <w:top w:val="single" w:sz="4" w:space="0" w:color="auto"/>
              <w:left w:val="single" w:sz="4" w:space="0" w:color="auto"/>
              <w:bottom w:val="single" w:sz="4" w:space="0" w:color="auto"/>
              <w:right w:val="single" w:sz="4" w:space="0" w:color="auto"/>
            </w:tcBorders>
            <w:vAlign w:val="center"/>
          </w:tcPr>
          <w:p w14:paraId="06C7A2EB"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206</w:t>
            </w:r>
          </w:p>
        </w:tc>
      </w:tr>
      <w:tr w:rsidR="002A3A5E" w:rsidRPr="00AA5833" w14:paraId="51BB1E4A"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FF99"/>
            <w:vAlign w:val="center"/>
          </w:tcPr>
          <w:p w14:paraId="2CAF1EBD" w14:textId="77777777" w:rsidR="002A3A5E" w:rsidRPr="00AA5833" w:rsidRDefault="002A3A5E" w:rsidP="006438B6">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Г. ПРИОРИТЕТ ІV – ОГРАНИЧАВАНЕ НА ДИСПРОПОРЦИИТЕ В ТЕРИТОРИАЛНОТО РАЗПРЕДЕЛЕНИЕ НА НАСЕЛЕНИЕТО И ОБЕЗЛЮДЯВАНЕТО В НЯКОИ РЕГИОНИ И СЕЛАТА</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553AF44D"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236</w:t>
            </w:r>
          </w:p>
        </w:tc>
      </w:tr>
      <w:tr w:rsidR="002A3A5E" w:rsidRPr="00AA5833" w14:paraId="1ACCDF7F"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1285E171"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11 – Ограничаване на диспропорциите в териториалното разпределение на населението и обезлюдяването в някои региони и селата</w:t>
            </w:r>
          </w:p>
        </w:tc>
        <w:tc>
          <w:tcPr>
            <w:tcW w:w="1060" w:type="dxa"/>
            <w:tcBorders>
              <w:top w:val="single" w:sz="4" w:space="0" w:color="auto"/>
              <w:left w:val="single" w:sz="4" w:space="0" w:color="auto"/>
              <w:bottom w:val="single" w:sz="4" w:space="0" w:color="auto"/>
              <w:right w:val="single" w:sz="4" w:space="0" w:color="auto"/>
            </w:tcBorders>
            <w:vAlign w:val="center"/>
          </w:tcPr>
          <w:p w14:paraId="35265663"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236</w:t>
            </w:r>
          </w:p>
        </w:tc>
      </w:tr>
      <w:tr w:rsidR="002A3A5E" w:rsidRPr="00AA5833" w14:paraId="28D0F9E6"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FF99"/>
            <w:vAlign w:val="center"/>
          </w:tcPr>
          <w:p w14:paraId="40A6C236" w14:textId="77777777" w:rsidR="002A3A5E" w:rsidRPr="00AA5833" w:rsidRDefault="002A3A5E" w:rsidP="006438B6">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Д. ПРИОРИТЕТ V – АДАПТИРАНЕ И СИНХРОНИЗИРАНЕ НА НОРМАТИВНАТА БАЗА С ОБЩЕСТВЕНИТЕ ПОТРЕБНОСТИ ЗА БАЛАНСИРАНО ДЕМОГРАФСКО РАЗВИТИЕ НА НАСЕЛЕНИЕТО И РАЗВИТИЕТО НА КАЧЕСТВОТО НА ЧОВЕШКИЯ КАПИТАЛ</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58755880"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250</w:t>
            </w:r>
          </w:p>
        </w:tc>
      </w:tr>
      <w:tr w:rsidR="002A3A5E" w:rsidRPr="00AA5833" w14:paraId="2A9843F0" w14:textId="77777777" w:rsidTr="002A3A5E">
        <w:trPr>
          <w:jc w:val="center"/>
        </w:trPr>
        <w:tc>
          <w:tcPr>
            <w:tcW w:w="8002" w:type="dxa"/>
            <w:tcBorders>
              <w:top w:val="single" w:sz="4" w:space="0" w:color="auto"/>
              <w:left w:val="single" w:sz="4" w:space="0" w:color="auto"/>
              <w:bottom w:val="single" w:sz="4" w:space="0" w:color="auto"/>
              <w:right w:val="single" w:sz="4" w:space="0" w:color="auto"/>
            </w:tcBorders>
            <w:vAlign w:val="center"/>
          </w:tcPr>
          <w:p w14:paraId="740FA665" w14:textId="77777777" w:rsidR="002A3A5E" w:rsidRPr="00AA5833" w:rsidRDefault="002A3A5E" w:rsidP="002A3A5E">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НАПРАВЛЕНИЕ 12 – Въвеждане на задължителна оценка на въздействието върху демографското развитие на населението и качеството на човешкия капитал на всеки нов, изменян или допълван нормативен акт на държавата</w:t>
            </w:r>
          </w:p>
        </w:tc>
        <w:tc>
          <w:tcPr>
            <w:tcW w:w="1060" w:type="dxa"/>
            <w:tcBorders>
              <w:top w:val="single" w:sz="4" w:space="0" w:color="auto"/>
              <w:left w:val="single" w:sz="4" w:space="0" w:color="auto"/>
              <w:bottom w:val="single" w:sz="4" w:space="0" w:color="auto"/>
              <w:right w:val="single" w:sz="4" w:space="0" w:color="auto"/>
            </w:tcBorders>
            <w:vAlign w:val="center"/>
          </w:tcPr>
          <w:p w14:paraId="176F7997" w14:textId="77777777" w:rsidR="002A3A5E" w:rsidRPr="00AA5833" w:rsidRDefault="000201A7" w:rsidP="002A3A5E">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250</w:t>
            </w:r>
          </w:p>
        </w:tc>
      </w:tr>
      <w:tr w:rsidR="008B4756" w:rsidRPr="00AA5833" w14:paraId="240983AA" w14:textId="77777777" w:rsidTr="003007E7">
        <w:trPr>
          <w:jc w:val="center"/>
        </w:trPr>
        <w:tc>
          <w:tcPr>
            <w:tcW w:w="8002" w:type="dxa"/>
            <w:tcBorders>
              <w:top w:val="single" w:sz="4" w:space="0" w:color="auto"/>
              <w:left w:val="single" w:sz="4" w:space="0" w:color="auto"/>
              <w:bottom w:val="single" w:sz="4" w:space="0" w:color="auto"/>
              <w:right w:val="single" w:sz="4" w:space="0" w:color="auto"/>
            </w:tcBorders>
            <w:shd w:val="clear" w:color="auto" w:fill="00CC99"/>
            <w:vAlign w:val="center"/>
          </w:tcPr>
          <w:p w14:paraId="2E731CDD" w14:textId="77777777" w:rsidR="008B4756" w:rsidRPr="00AA5833" w:rsidRDefault="008B4756" w:rsidP="003007E7">
            <w:pPr>
              <w:spacing w:after="0" w:line="240" w:lineRule="auto"/>
              <w:rPr>
                <w:rFonts w:ascii="Times New Roman" w:eastAsia="Times New Roman" w:hAnsi="Times New Roman" w:cs="Times New Roman"/>
                <w:b/>
                <w:color w:val="000000"/>
                <w:sz w:val="24"/>
                <w:szCs w:val="24"/>
                <w:lang w:eastAsia="bg-BG"/>
              </w:rPr>
            </w:pPr>
            <w:r w:rsidRPr="008B4756">
              <w:rPr>
                <w:rFonts w:ascii="Times New Roman" w:eastAsia="Times New Roman" w:hAnsi="Times New Roman" w:cs="Times New Roman"/>
                <w:b/>
                <w:color w:val="000000"/>
                <w:sz w:val="24"/>
                <w:szCs w:val="24"/>
                <w:lang w:eastAsia="bg-BG"/>
              </w:rPr>
              <w:t xml:space="preserve">ЧАСТ V. ТЕКУЩО СЪСТОЯНИЕ КЪМ 2024 г. НА СЪСТАВНИТЕ ПОКАЗАТЕЛИ ЗА БАЛАНСИРАНО ДЕМОГРАФСКО РАЗВИТИЕ НА НАСЕЛЕНИЕТО И ПОВИШАВАНЕ НА КАЧЕСТВОТО НА ЧОВЕШКИТЕ РЕСУРСИ В РЕПУБЛИКА БЪЛГАРИЯ </w:t>
            </w:r>
          </w:p>
        </w:tc>
        <w:tc>
          <w:tcPr>
            <w:tcW w:w="1060" w:type="dxa"/>
            <w:tcBorders>
              <w:top w:val="single" w:sz="4" w:space="0" w:color="auto"/>
              <w:left w:val="single" w:sz="4" w:space="0" w:color="auto"/>
              <w:bottom w:val="single" w:sz="4" w:space="0" w:color="auto"/>
              <w:right w:val="single" w:sz="4" w:space="0" w:color="auto"/>
            </w:tcBorders>
            <w:shd w:val="clear" w:color="auto" w:fill="00CC99"/>
            <w:vAlign w:val="center"/>
          </w:tcPr>
          <w:p w14:paraId="1127197D" w14:textId="77777777" w:rsidR="008B4756" w:rsidRPr="000201A7" w:rsidRDefault="000201A7" w:rsidP="003007E7">
            <w:pPr>
              <w:spacing w:after="0" w:line="240" w:lineRule="auto"/>
              <w:jc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val="en-US" w:eastAsia="bg-BG"/>
              </w:rPr>
              <w:t>25</w:t>
            </w:r>
            <w:r>
              <w:rPr>
                <w:rFonts w:ascii="Times New Roman" w:eastAsia="Times New Roman" w:hAnsi="Times New Roman" w:cs="Times New Roman"/>
                <w:color w:val="000000"/>
                <w:sz w:val="24"/>
                <w:szCs w:val="24"/>
                <w:lang w:eastAsia="bg-BG"/>
              </w:rPr>
              <w:t>1</w:t>
            </w:r>
          </w:p>
        </w:tc>
      </w:tr>
      <w:tr w:rsidR="00162DAD" w:rsidRPr="00AA5833" w14:paraId="479A366D" w14:textId="77777777" w:rsidTr="003007E7">
        <w:trPr>
          <w:jc w:val="center"/>
        </w:trPr>
        <w:tc>
          <w:tcPr>
            <w:tcW w:w="8002" w:type="dxa"/>
            <w:shd w:val="clear" w:color="auto" w:fill="00FF99"/>
            <w:vAlign w:val="center"/>
          </w:tcPr>
          <w:p w14:paraId="1C0CCD87" w14:textId="77777777" w:rsidR="00162DAD" w:rsidRPr="00AA5833" w:rsidRDefault="00162DAD" w:rsidP="00162DAD">
            <w:pPr>
              <w:spacing w:after="0" w:line="240" w:lineRule="auto"/>
              <w:rPr>
                <w:rFonts w:ascii="Times New Roman" w:eastAsia="Times New Roman" w:hAnsi="Times New Roman" w:cs="Times New Roman"/>
                <w:b/>
                <w:sz w:val="24"/>
                <w:szCs w:val="24"/>
                <w:lang w:eastAsia="bg-BG"/>
              </w:rPr>
            </w:pPr>
            <w:r w:rsidRPr="00A67BA0">
              <w:rPr>
                <w:rFonts w:ascii="Times New Roman" w:eastAsia="Times New Roman" w:hAnsi="Times New Roman" w:cs="Times New Roman"/>
                <w:b/>
                <w:sz w:val="24"/>
                <w:szCs w:val="24"/>
                <w:lang w:eastAsia="bg-BG"/>
              </w:rPr>
              <w:t>Анализ на текущото състояние към 2024 г. на съставните показатели за балансирано демографско развитие на населението и повишаване на качеството на човешките ресурси в Република България</w:t>
            </w:r>
          </w:p>
        </w:tc>
        <w:tc>
          <w:tcPr>
            <w:tcW w:w="1060" w:type="dxa"/>
            <w:tcBorders>
              <w:top w:val="single" w:sz="4" w:space="0" w:color="auto"/>
              <w:left w:val="single" w:sz="4" w:space="0" w:color="auto"/>
              <w:bottom w:val="single" w:sz="4" w:space="0" w:color="auto"/>
              <w:right w:val="single" w:sz="4" w:space="0" w:color="auto"/>
            </w:tcBorders>
            <w:shd w:val="clear" w:color="auto" w:fill="00FF99"/>
            <w:vAlign w:val="center"/>
          </w:tcPr>
          <w:p w14:paraId="3235736F" w14:textId="77777777" w:rsidR="00162DAD" w:rsidRPr="00162DAD" w:rsidRDefault="000201A7" w:rsidP="00162DAD">
            <w:pPr>
              <w:spacing w:after="0" w:line="240" w:lineRule="auto"/>
              <w:jc w:val="center"/>
              <w:rPr>
                <w:rFonts w:ascii="Times New Roman" w:eastAsia="Times New Roman" w:hAnsi="Times New Roman" w:cs="Times New Roman"/>
                <w:b/>
                <w:sz w:val="24"/>
                <w:szCs w:val="24"/>
                <w:lang w:eastAsia="bg-BG"/>
              </w:rPr>
            </w:pPr>
            <w:r>
              <w:rPr>
                <w:rFonts w:ascii="Times New Roman" w:eastAsia="Times New Roman" w:hAnsi="Times New Roman" w:cs="Times New Roman"/>
                <w:color w:val="000000"/>
                <w:sz w:val="24"/>
                <w:szCs w:val="24"/>
                <w:lang w:eastAsia="bg-BG"/>
              </w:rPr>
              <w:t>261</w:t>
            </w:r>
          </w:p>
        </w:tc>
      </w:tr>
    </w:tbl>
    <w:p w14:paraId="0226C9EB"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251CF971"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639A18F3" w14:textId="77777777" w:rsidR="006856A7" w:rsidRPr="00AA5833" w:rsidRDefault="006856A7" w:rsidP="006856A7">
      <w:pPr>
        <w:spacing w:after="0" w:line="240" w:lineRule="auto"/>
        <w:jc w:val="both"/>
        <w:rPr>
          <w:rFonts w:ascii="Times New Roman" w:eastAsia="Times New Roman" w:hAnsi="Times New Roman" w:cs="Times New Roman"/>
          <w:b/>
          <w:color w:val="000000"/>
          <w:sz w:val="28"/>
          <w:szCs w:val="28"/>
          <w:lang w:eastAsia="bg-BG"/>
        </w:rPr>
      </w:pPr>
    </w:p>
    <w:p w14:paraId="29BC1C43" w14:textId="77777777" w:rsidR="00DF7C5E" w:rsidRPr="00AA5833" w:rsidRDefault="00DF7C5E" w:rsidP="006856A7">
      <w:pPr>
        <w:spacing w:after="0" w:line="240" w:lineRule="auto"/>
        <w:jc w:val="both"/>
        <w:rPr>
          <w:rFonts w:ascii="Times New Roman" w:eastAsia="Times New Roman" w:hAnsi="Times New Roman" w:cs="Times New Roman"/>
          <w:b/>
          <w:color w:val="000000"/>
          <w:sz w:val="28"/>
          <w:szCs w:val="28"/>
          <w:lang w:eastAsia="bg-BG"/>
        </w:rPr>
      </w:pPr>
    </w:p>
    <w:p w14:paraId="30950517" w14:textId="77777777" w:rsidR="00DF7C5E" w:rsidRDefault="00DF7C5E" w:rsidP="006856A7">
      <w:pPr>
        <w:spacing w:after="0" w:line="240" w:lineRule="auto"/>
        <w:jc w:val="both"/>
        <w:rPr>
          <w:rFonts w:ascii="Times New Roman" w:eastAsia="Times New Roman" w:hAnsi="Times New Roman" w:cs="Times New Roman"/>
          <w:b/>
          <w:color w:val="000000"/>
          <w:sz w:val="28"/>
          <w:szCs w:val="28"/>
          <w:lang w:eastAsia="bg-BG"/>
        </w:rPr>
      </w:pPr>
    </w:p>
    <w:p w14:paraId="5FF11985"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3F6CFF2C"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53861E7D"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5B4C83A4"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21630971"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6F6DE5E0"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6618BA8F"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5DB9E746" w14:textId="77777777" w:rsidR="00A67BA0" w:rsidRDefault="00A67BA0" w:rsidP="006856A7">
      <w:pPr>
        <w:spacing w:after="0" w:line="240" w:lineRule="auto"/>
        <w:jc w:val="both"/>
        <w:rPr>
          <w:rFonts w:ascii="Times New Roman" w:eastAsia="Times New Roman" w:hAnsi="Times New Roman" w:cs="Times New Roman"/>
          <w:b/>
          <w:color w:val="000000"/>
          <w:sz w:val="28"/>
          <w:szCs w:val="28"/>
          <w:lang w:eastAsia="bg-BG"/>
        </w:rPr>
      </w:pPr>
    </w:p>
    <w:p w14:paraId="3FEA54C7" w14:textId="77777777" w:rsidR="00FD3941" w:rsidRDefault="00FD3941" w:rsidP="006856A7">
      <w:pPr>
        <w:spacing w:after="0" w:line="240" w:lineRule="auto"/>
        <w:jc w:val="both"/>
        <w:rPr>
          <w:rFonts w:ascii="Times New Roman" w:eastAsia="Times New Roman" w:hAnsi="Times New Roman" w:cs="Times New Roman"/>
          <w:b/>
          <w:color w:val="000000"/>
          <w:sz w:val="28"/>
          <w:szCs w:val="28"/>
          <w:lang w:eastAsia="bg-BG"/>
        </w:rPr>
      </w:pPr>
    </w:p>
    <w:p w14:paraId="1BC322CC" w14:textId="77777777" w:rsidR="00FD3941" w:rsidRDefault="00FD3941" w:rsidP="006856A7">
      <w:pPr>
        <w:spacing w:after="0" w:line="240" w:lineRule="auto"/>
        <w:jc w:val="both"/>
        <w:rPr>
          <w:rFonts w:ascii="Times New Roman" w:eastAsia="Times New Roman" w:hAnsi="Times New Roman" w:cs="Times New Roman"/>
          <w:b/>
          <w:color w:val="000000"/>
          <w:sz w:val="28"/>
          <w:szCs w:val="28"/>
          <w:lang w:eastAsia="bg-BG"/>
        </w:rPr>
      </w:pPr>
    </w:p>
    <w:p w14:paraId="281AB10C" w14:textId="77777777" w:rsidR="00FD3941" w:rsidRPr="00AA5833" w:rsidRDefault="00FD3941" w:rsidP="006856A7">
      <w:pPr>
        <w:spacing w:after="0" w:line="240" w:lineRule="auto"/>
        <w:jc w:val="both"/>
        <w:rPr>
          <w:rFonts w:ascii="Times New Roman" w:eastAsia="Times New Roman" w:hAnsi="Times New Roman" w:cs="Times New Roman"/>
          <w:b/>
          <w:color w:val="000000"/>
          <w:sz w:val="28"/>
          <w:szCs w:val="28"/>
          <w:lang w:eastAsia="bg-BG"/>
        </w:rPr>
      </w:pPr>
    </w:p>
    <w:p w14:paraId="2306D108" w14:textId="77777777" w:rsidR="00DE2FFC" w:rsidRPr="00AA5833" w:rsidRDefault="00DE2FFC" w:rsidP="006856A7">
      <w:pPr>
        <w:spacing w:after="0" w:line="240" w:lineRule="auto"/>
        <w:jc w:val="both"/>
        <w:rPr>
          <w:rFonts w:ascii="Times New Roman" w:eastAsia="Times New Roman" w:hAnsi="Times New Roman" w:cs="Times New Roman"/>
          <w:b/>
          <w:color w:val="000000"/>
          <w:sz w:val="28"/>
          <w:szCs w:val="28"/>
          <w:lang w:eastAsia="bg-BG"/>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DE2FFC" w:rsidRPr="00AA5833" w14:paraId="7C7688C5" w14:textId="77777777" w:rsidTr="00DE2FFC">
        <w:tc>
          <w:tcPr>
            <w:tcW w:w="9067" w:type="dxa"/>
            <w:shd w:val="clear" w:color="auto" w:fill="00CC99"/>
            <w:vAlign w:val="center"/>
          </w:tcPr>
          <w:p w14:paraId="578DF82C" w14:textId="77777777" w:rsidR="00DE2FFC" w:rsidRPr="00AA5833" w:rsidRDefault="00DE2FFC" w:rsidP="0019337D">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 xml:space="preserve">ЧАСТ І. ОСНОВНИ ТЕНДЕНЦИИ В ДЕМОГРАФСКОТО РАЗВИТИЕ НА ЕВРОПЕЙСКИЯ СЪЮЗ И НА РЕПУБЛИКА БЪЛГАРИЯ </w:t>
            </w:r>
          </w:p>
        </w:tc>
      </w:tr>
    </w:tbl>
    <w:p w14:paraId="6A69F722" w14:textId="77777777" w:rsidR="006856A7" w:rsidRPr="00AA5833" w:rsidRDefault="006856A7" w:rsidP="006856A7">
      <w:pPr>
        <w:spacing w:after="0" w:line="240" w:lineRule="auto"/>
        <w:rPr>
          <w:rFonts w:ascii="Times New Roman" w:eastAsia="Times New Roman" w:hAnsi="Times New Roman" w:cs="Times New Roman"/>
          <w:color w:val="0000FF"/>
          <w:sz w:val="24"/>
          <w:szCs w:val="24"/>
        </w:rPr>
      </w:pPr>
    </w:p>
    <w:p w14:paraId="7E3AC012"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Демографската ситуация в Европейския съюз – 202</w:t>
      </w:r>
      <w:r w:rsidR="00347E76" w:rsidRPr="00AA5833">
        <w:rPr>
          <w:rFonts w:ascii="Times New Roman" w:eastAsia="Times New Roman" w:hAnsi="Times New Roman" w:cs="Times New Roman"/>
          <w:b/>
          <w:color w:val="000000"/>
          <w:sz w:val="24"/>
          <w:szCs w:val="24"/>
          <w:lang w:eastAsia="bg-BG"/>
        </w:rPr>
        <w:t>4</w:t>
      </w:r>
      <w:r w:rsidRPr="00AA5833">
        <w:rPr>
          <w:rFonts w:ascii="Times New Roman" w:eastAsia="Times New Roman" w:hAnsi="Times New Roman" w:cs="Times New Roman"/>
          <w:b/>
          <w:color w:val="000000"/>
          <w:sz w:val="24"/>
          <w:szCs w:val="24"/>
          <w:lang w:eastAsia="bg-BG"/>
        </w:rPr>
        <w:t xml:space="preserve"> г.</w:t>
      </w:r>
    </w:p>
    <w:p w14:paraId="2EE761E2" w14:textId="77777777" w:rsidR="008634E0" w:rsidRPr="00AA5833" w:rsidRDefault="008634E0" w:rsidP="006856A7">
      <w:pPr>
        <w:spacing w:after="0" w:line="240" w:lineRule="auto"/>
        <w:jc w:val="center"/>
        <w:rPr>
          <w:rFonts w:ascii="Times New Roman" w:eastAsia="Times New Roman" w:hAnsi="Times New Roman" w:cs="Times New Roman"/>
          <w:b/>
          <w:color w:val="000000"/>
          <w:sz w:val="24"/>
          <w:szCs w:val="24"/>
          <w:lang w:eastAsia="bg-BG"/>
        </w:rPr>
      </w:pPr>
    </w:p>
    <w:p w14:paraId="7DA2F1F1"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Населението на ЕС показва увеличение през 202</w:t>
      </w:r>
      <w:r w:rsidR="00347E76" w:rsidRPr="00AA5833">
        <w:rPr>
          <w:rFonts w:ascii="Times New Roman" w:eastAsia="Times New Roman" w:hAnsi="Times New Roman" w:cs="Times New Roman"/>
          <w:b/>
          <w:color w:val="000000"/>
          <w:sz w:val="24"/>
          <w:szCs w:val="24"/>
          <w:lang w:eastAsia="bg-BG"/>
        </w:rPr>
        <w:t>4</w:t>
      </w:r>
      <w:r w:rsidRPr="00AA5833">
        <w:rPr>
          <w:rFonts w:ascii="Times New Roman" w:eastAsia="Times New Roman" w:hAnsi="Times New Roman" w:cs="Times New Roman"/>
          <w:b/>
          <w:color w:val="000000"/>
          <w:sz w:val="24"/>
          <w:szCs w:val="24"/>
          <w:lang w:eastAsia="bg-BG"/>
        </w:rPr>
        <w:t xml:space="preserve"> година</w:t>
      </w:r>
    </w:p>
    <w:p w14:paraId="6F289865"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8"/>
          <w:szCs w:val="24"/>
          <w:lang w:eastAsia="bg-BG"/>
        </w:rPr>
        <w:t xml:space="preserve"> </w:t>
      </w:r>
    </w:p>
    <w:p w14:paraId="036B3FA0" w14:textId="77777777" w:rsidR="008564C3" w:rsidRPr="00946CA4" w:rsidRDefault="008564C3" w:rsidP="008564C3">
      <w:pPr>
        <w:spacing w:after="0" w:line="240" w:lineRule="auto"/>
        <w:ind w:firstLine="709"/>
        <w:jc w:val="both"/>
        <w:rPr>
          <w:rFonts w:ascii="Times New Roman" w:hAnsi="Times New Roman" w:cs="Times New Roman"/>
          <w:sz w:val="24"/>
          <w:szCs w:val="24"/>
        </w:rPr>
      </w:pPr>
      <w:r w:rsidRPr="00946CA4">
        <w:rPr>
          <w:rFonts w:ascii="Times New Roman" w:hAnsi="Times New Roman" w:cs="Times New Roman"/>
          <w:sz w:val="24"/>
          <w:szCs w:val="24"/>
        </w:rPr>
        <w:t xml:space="preserve">След пандемията от COVID-19 населението на ЕС се </w:t>
      </w:r>
      <w:r w:rsidR="000136A9" w:rsidRPr="00946CA4">
        <w:rPr>
          <w:rFonts w:ascii="Times New Roman" w:hAnsi="Times New Roman" w:cs="Times New Roman"/>
          <w:sz w:val="24"/>
          <w:szCs w:val="24"/>
        </w:rPr>
        <w:t xml:space="preserve">увеличава </w:t>
      </w:r>
      <w:r w:rsidRPr="00946CA4">
        <w:rPr>
          <w:rFonts w:ascii="Times New Roman" w:hAnsi="Times New Roman" w:cs="Times New Roman"/>
          <w:sz w:val="24"/>
          <w:szCs w:val="24"/>
        </w:rPr>
        <w:t>през 2024 г. от 449</w:t>
      </w:r>
      <w:r w:rsidR="00F42C93" w:rsidRPr="00946CA4">
        <w:rPr>
          <w:rFonts w:ascii="Times New Roman" w:hAnsi="Times New Roman" w:cs="Times New Roman"/>
          <w:sz w:val="24"/>
          <w:szCs w:val="24"/>
        </w:rPr>
        <w:t>.</w:t>
      </w:r>
      <w:r w:rsidRPr="00946CA4">
        <w:rPr>
          <w:rFonts w:ascii="Times New Roman" w:hAnsi="Times New Roman" w:cs="Times New Roman"/>
          <w:sz w:val="24"/>
          <w:szCs w:val="24"/>
        </w:rPr>
        <w:t>3 мил</w:t>
      </w:r>
      <w:r w:rsidR="00F42C93" w:rsidRPr="00946CA4">
        <w:rPr>
          <w:rFonts w:ascii="Times New Roman" w:hAnsi="Times New Roman" w:cs="Times New Roman"/>
          <w:sz w:val="24"/>
          <w:szCs w:val="24"/>
        </w:rPr>
        <w:t>иона на 1 януари 2024 г. до 450.</w:t>
      </w:r>
      <w:r w:rsidRPr="00946CA4">
        <w:rPr>
          <w:rFonts w:ascii="Times New Roman" w:hAnsi="Times New Roman" w:cs="Times New Roman"/>
          <w:sz w:val="24"/>
          <w:szCs w:val="24"/>
        </w:rPr>
        <w:t xml:space="preserve">4 милиона на 1 януари 2025 г. Отрицателният естествен прираст (повече смъртни случаи, отколкото раждания) </w:t>
      </w:r>
      <w:r w:rsidR="000136A9" w:rsidRPr="00946CA4">
        <w:rPr>
          <w:rFonts w:ascii="Times New Roman" w:hAnsi="Times New Roman" w:cs="Times New Roman"/>
          <w:sz w:val="24"/>
          <w:szCs w:val="24"/>
        </w:rPr>
        <w:t>е</w:t>
      </w:r>
      <w:r w:rsidRPr="00946CA4">
        <w:rPr>
          <w:rFonts w:ascii="Times New Roman" w:hAnsi="Times New Roman" w:cs="Times New Roman"/>
          <w:sz w:val="24"/>
          <w:szCs w:val="24"/>
        </w:rPr>
        <w:t xml:space="preserve"> </w:t>
      </w:r>
      <w:r w:rsidR="000136A9" w:rsidRPr="00946CA4">
        <w:rPr>
          <w:rFonts w:ascii="Times New Roman" w:hAnsi="Times New Roman" w:cs="Times New Roman"/>
          <w:sz w:val="24"/>
          <w:szCs w:val="24"/>
        </w:rPr>
        <w:t>компенсиран</w:t>
      </w:r>
      <w:r w:rsidRPr="00946CA4">
        <w:rPr>
          <w:rFonts w:ascii="Times New Roman" w:hAnsi="Times New Roman" w:cs="Times New Roman"/>
          <w:sz w:val="24"/>
          <w:szCs w:val="24"/>
        </w:rPr>
        <w:t xml:space="preserve"> от положителната нетна миграция. Наблюдаваният растеж на населението може до голяма степен да се обясни с увеличените миграционни движения след COVID-19.</w:t>
      </w:r>
    </w:p>
    <w:p w14:paraId="44748403" w14:textId="77777777" w:rsidR="006856A7" w:rsidRPr="00AA5833" w:rsidRDefault="008564C3" w:rsidP="008564C3">
      <w:pPr>
        <w:spacing w:after="0" w:line="240" w:lineRule="auto"/>
        <w:ind w:firstLine="709"/>
        <w:jc w:val="both"/>
        <w:rPr>
          <w:rFonts w:ascii="Times New Roman" w:hAnsi="Times New Roman" w:cs="Times New Roman"/>
          <w:sz w:val="24"/>
          <w:szCs w:val="24"/>
        </w:rPr>
      </w:pPr>
      <w:r w:rsidRPr="00946CA4">
        <w:rPr>
          <w:rFonts w:ascii="Times New Roman" w:eastAsia="Times New Roman" w:hAnsi="Times New Roman" w:cs="Times New Roman"/>
          <w:sz w:val="24"/>
          <w:szCs w:val="24"/>
          <w:lang w:eastAsia="bg-BG"/>
        </w:rPr>
        <w:t>Погледнато</w:t>
      </w:r>
      <w:r w:rsidRPr="00AA5833">
        <w:rPr>
          <w:rFonts w:ascii="Times New Roman" w:hAnsi="Times New Roman" w:cs="Times New Roman"/>
          <w:sz w:val="24"/>
          <w:szCs w:val="24"/>
        </w:rPr>
        <w:t xml:space="preserve"> в по-широк план, населението на ЕС </w:t>
      </w:r>
      <w:r w:rsidR="000136A9">
        <w:rPr>
          <w:rFonts w:ascii="Times New Roman" w:hAnsi="Times New Roman" w:cs="Times New Roman"/>
          <w:sz w:val="24"/>
          <w:szCs w:val="24"/>
        </w:rPr>
        <w:t>нараства</w:t>
      </w:r>
      <w:r w:rsidRPr="00AA5833">
        <w:rPr>
          <w:rFonts w:ascii="Times New Roman" w:hAnsi="Times New Roman" w:cs="Times New Roman"/>
          <w:sz w:val="24"/>
          <w:szCs w:val="24"/>
        </w:rPr>
        <w:t xml:space="preserve"> от 35</w:t>
      </w:r>
      <w:r w:rsidR="00F42C93" w:rsidRPr="00AA5833">
        <w:rPr>
          <w:rFonts w:ascii="Times New Roman" w:hAnsi="Times New Roman" w:cs="Times New Roman"/>
          <w:sz w:val="24"/>
          <w:szCs w:val="24"/>
        </w:rPr>
        <w:t>4.5 милиона през 1960 г. до 450.</w:t>
      </w:r>
      <w:r w:rsidRPr="00AA5833">
        <w:rPr>
          <w:rFonts w:ascii="Times New Roman" w:hAnsi="Times New Roman" w:cs="Times New Roman"/>
          <w:sz w:val="24"/>
          <w:szCs w:val="24"/>
        </w:rPr>
        <w:t>4 милиона на 1 януари 2</w:t>
      </w:r>
      <w:r w:rsidR="00F42C93" w:rsidRPr="00AA5833">
        <w:rPr>
          <w:rFonts w:ascii="Times New Roman" w:hAnsi="Times New Roman" w:cs="Times New Roman"/>
          <w:sz w:val="24"/>
          <w:szCs w:val="24"/>
        </w:rPr>
        <w:t>025 г., което е увеличение с 95.</w:t>
      </w:r>
      <w:r w:rsidRPr="00AA5833">
        <w:rPr>
          <w:rFonts w:ascii="Times New Roman" w:hAnsi="Times New Roman" w:cs="Times New Roman"/>
          <w:sz w:val="24"/>
          <w:szCs w:val="24"/>
        </w:rPr>
        <w:t>9 милиона души (</w:t>
      </w:r>
      <w:r w:rsidR="00393DEE" w:rsidRPr="00AA5833">
        <w:rPr>
          <w:rFonts w:ascii="Times New Roman" w:hAnsi="Times New Roman" w:cs="Times New Roman"/>
          <w:sz w:val="24"/>
          <w:szCs w:val="24"/>
        </w:rPr>
        <w:t>ф</w:t>
      </w:r>
      <w:r w:rsidRPr="00AA5833">
        <w:rPr>
          <w:rFonts w:ascii="Times New Roman" w:hAnsi="Times New Roman" w:cs="Times New Roman"/>
          <w:sz w:val="24"/>
          <w:szCs w:val="24"/>
        </w:rPr>
        <w:t>иг</w:t>
      </w:r>
      <w:r w:rsidR="00393DEE" w:rsidRPr="00AA5833">
        <w:rPr>
          <w:rFonts w:ascii="Times New Roman" w:hAnsi="Times New Roman" w:cs="Times New Roman"/>
          <w:sz w:val="24"/>
          <w:szCs w:val="24"/>
        </w:rPr>
        <w:t>.</w:t>
      </w:r>
      <w:r w:rsidR="000136A9">
        <w:rPr>
          <w:rFonts w:ascii="Times New Roman" w:hAnsi="Times New Roman" w:cs="Times New Roman"/>
          <w:sz w:val="24"/>
          <w:szCs w:val="24"/>
        </w:rPr>
        <w:t xml:space="preserve">1). </w:t>
      </w:r>
      <w:r w:rsidRPr="00AA5833">
        <w:rPr>
          <w:rFonts w:ascii="Times New Roman" w:hAnsi="Times New Roman" w:cs="Times New Roman"/>
          <w:sz w:val="24"/>
          <w:szCs w:val="24"/>
        </w:rPr>
        <w:t>Темпът на</w:t>
      </w:r>
      <w:r w:rsidR="00281AF1" w:rsidRPr="00AA5833">
        <w:rPr>
          <w:rFonts w:ascii="Times New Roman" w:hAnsi="Times New Roman" w:cs="Times New Roman"/>
          <w:sz w:val="24"/>
          <w:szCs w:val="24"/>
        </w:rPr>
        <w:t xml:space="preserve"> растеж на населението се забавя</w:t>
      </w:r>
      <w:r w:rsidRPr="00AA5833">
        <w:rPr>
          <w:rFonts w:ascii="Times New Roman" w:hAnsi="Times New Roman" w:cs="Times New Roman"/>
          <w:sz w:val="24"/>
          <w:szCs w:val="24"/>
        </w:rPr>
        <w:t xml:space="preserve"> постепенно през последните десетилетия: населението на ЕС се</w:t>
      </w:r>
      <w:r w:rsidR="00F42C93" w:rsidRPr="00AA5833">
        <w:rPr>
          <w:rFonts w:ascii="Times New Roman" w:hAnsi="Times New Roman" w:cs="Times New Roman"/>
          <w:sz w:val="24"/>
          <w:szCs w:val="24"/>
        </w:rPr>
        <w:t xml:space="preserve"> е увеличавало средно с около 0.</w:t>
      </w:r>
      <w:r w:rsidRPr="00AA5833">
        <w:rPr>
          <w:rFonts w:ascii="Times New Roman" w:hAnsi="Times New Roman" w:cs="Times New Roman"/>
          <w:sz w:val="24"/>
          <w:szCs w:val="24"/>
        </w:rPr>
        <w:t>9 милиона</w:t>
      </w:r>
      <w:r w:rsidR="00393DEE" w:rsidRPr="00AA5833">
        <w:rPr>
          <w:rFonts w:ascii="Times New Roman" w:hAnsi="Times New Roman" w:cs="Times New Roman"/>
          <w:sz w:val="24"/>
          <w:szCs w:val="24"/>
        </w:rPr>
        <w:t xml:space="preserve"> души годишно през периода 2005</w:t>
      </w:r>
      <w:r w:rsidR="00EA576B" w:rsidRPr="00AA5833">
        <w:rPr>
          <w:rFonts w:ascii="Times New Roman" w:hAnsi="Times New Roman" w:cs="Times New Roman"/>
          <w:sz w:val="24"/>
          <w:szCs w:val="24"/>
        </w:rPr>
        <w:t xml:space="preserve"> </w:t>
      </w:r>
      <w:r w:rsidR="00EA576B" w:rsidRPr="00AA5833">
        <w:rPr>
          <w:rFonts w:ascii="Times New Roman" w:eastAsia="Times New Roman" w:hAnsi="Times New Roman" w:cs="Times New Roman"/>
          <w:sz w:val="24"/>
          <w:szCs w:val="24"/>
        </w:rPr>
        <w:t xml:space="preserve">– </w:t>
      </w:r>
      <w:r w:rsidR="000136A9">
        <w:rPr>
          <w:rFonts w:ascii="Times New Roman" w:hAnsi="Times New Roman" w:cs="Times New Roman"/>
          <w:sz w:val="24"/>
          <w:szCs w:val="24"/>
        </w:rPr>
        <w:t>2024 г.</w:t>
      </w:r>
      <w:r w:rsidRPr="00AA5833">
        <w:rPr>
          <w:rFonts w:ascii="Times New Roman" w:hAnsi="Times New Roman" w:cs="Times New Roman"/>
          <w:sz w:val="24"/>
          <w:szCs w:val="24"/>
        </w:rPr>
        <w:t xml:space="preserve"> в сравнение с</w:t>
      </w:r>
      <w:r w:rsidR="00F42C93" w:rsidRPr="00AA5833">
        <w:rPr>
          <w:rFonts w:ascii="Times New Roman" w:hAnsi="Times New Roman" w:cs="Times New Roman"/>
          <w:sz w:val="24"/>
          <w:szCs w:val="24"/>
        </w:rPr>
        <w:t>ъс средно увеличение от около 3.</w:t>
      </w:r>
      <w:r w:rsidRPr="00AA5833">
        <w:rPr>
          <w:rFonts w:ascii="Times New Roman" w:hAnsi="Times New Roman" w:cs="Times New Roman"/>
          <w:sz w:val="24"/>
          <w:szCs w:val="24"/>
        </w:rPr>
        <w:t>0 милиона души годишно през 60-те години на миналия век.</w:t>
      </w:r>
      <w:r w:rsidR="006856A7" w:rsidRPr="00AA5833">
        <w:rPr>
          <w:rFonts w:ascii="Times New Roman" w:hAnsi="Times New Roman" w:cs="Times New Roman"/>
          <w:sz w:val="24"/>
          <w:szCs w:val="24"/>
        </w:rPr>
        <w:t xml:space="preserve"> </w:t>
      </w:r>
    </w:p>
    <w:p w14:paraId="44F94B58" w14:textId="77777777" w:rsidR="006856A7" w:rsidRPr="00AA5833" w:rsidRDefault="006856A7" w:rsidP="006856A7">
      <w:pPr>
        <w:spacing w:after="0" w:line="240" w:lineRule="auto"/>
        <w:ind w:firstLine="709"/>
        <w:jc w:val="both"/>
        <w:rPr>
          <w:rFonts w:ascii="Times New Roman" w:hAnsi="Times New Roman" w:cs="Times New Roman"/>
          <w:b/>
          <w:sz w:val="24"/>
          <w:szCs w:val="24"/>
        </w:rPr>
      </w:pPr>
    </w:p>
    <w:p w14:paraId="2ACC4A28" w14:textId="77777777" w:rsidR="006856A7" w:rsidRPr="00AA5833" w:rsidRDefault="006856A7" w:rsidP="006856A7">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Фиг.1. Население на ЕС, 1960-202</w:t>
      </w:r>
      <w:r w:rsidR="00F42C93" w:rsidRPr="00AA5833">
        <w:rPr>
          <w:rFonts w:ascii="Times New Roman" w:hAnsi="Times New Roman" w:cs="Times New Roman"/>
          <w:b/>
          <w:sz w:val="24"/>
          <w:szCs w:val="24"/>
        </w:rPr>
        <w:t>5</w:t>
      </w:r>
      <w:r w:rsidRPr="00AA5833">
        <w:rPr>
          <w:rFonts w:ascii="Times New Roman" w:hAnsi="Times New Roman" w:cs="Times New Roman"/>
          <w:b/>
          <w:sz w:val="24"/>
          <w:szCs w:val="24"/>
        </w:rPr>
        <w:t xml:space="preserve"> г. (към 1 януари 202</w:t>
      </w:r>
      <w:r w:rsidR="00F42C93" w:rsidRPr="00AA5833">
        <w:rPr>
          <w:rFonts w:ascii="Times New Roman" w:hAnsi="Times New Roman" w:cs="Times New Roman"/>
          <w:b/>
          <w:sz w:val="24"/>
          <w:szCs w:val="24"/>
        </w:rPr>
        <w:t>5</w:t>
      </w:r>
      <w:r w:rsidRPr="00AA5833">
        <w:rPr>
          <w:rFonts w:ascii="Times New Roman" w:hAnsi="Times New Roman" w:cs="Times New Roman"/>
          <w:b/>
          <w:sz w:val="24"/>
          <w:szCs w:val="24"/>
        </w:rPr>
        <w:t xml:space="preserve"> г., милиона души)</w:t>
      </w:r>
    </w:p>
    <w:p w14:paraId="7A45BC8A" w14:textId="77777777" w:rsidR="00F42C93" w:rsidRPr="00AA5833" w:rsidRDefault="00F42C93" w:rsidP="006856A7">
      <w:pPr>
        <w:spacing w:after="0" w:line="240" w:lineRule="auto"/>
        <w:jc w:val="both"/>
        <w:rPr>
          <w:rFonts w:ascii="Times New Roman" w:hAnsi="Times New Roman" w:cs="Times New Roman"/>
          <w:b/>
          <w:sz w:val="24"/>
          <w:szCs w:val="24"/>
        </w:rPr>
      </w:pPr>
      <w:r w:rsidRPr="00AA5833">
        <w:rPr>
          <w:rFonts w:ascii="Times New Roman" w:hAnsi="Times New Roman" w:cs="Times New Roman"/>
          <w:noProof/>
          <w:sz w:val="18"/>
          <w:szCs w:val="18"/>
          <w:lang w:eastAsia="bg-BG"/>
        </w:rPr>
        <w:drawing>
          <wp:inline distT="0" distB="0" distL="0" distR="0" wp14:anchorId="3F78B4ED" wp14:editId="785E692F">
            <wp:extent cx="5759817" cy="3373291"/>
            <wp:effectExtent l="0" t="0" r="0" b="0"/>
            <wp:docPr id="13" name="Picture 13" descr="https://ec.europa.eu/eurostat/statistics-explained/images/2/2b/Population_change_2025_Fig01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eurostat/statistics-explained/images/2/2b/Population_change_2025_Fig01_v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899" cy="3375096"/>
                    </a:xfrm>
                    <a:prstGeom prst="rect">
                      <a:avLst/>
                    </a:prstGeom>
                    <a:noFill/>
                    <a:ln>
                      <a:noFill/>
                    </a:ln>
                  </pic:spPr>
                </pic:pic>
              </a:graphicData>
            </a:graphic>
          </wp:inline>
        </w:drawing>
      </w:r>
    </w:p>
    <w:p w14:paraId="605EFC6E" w14:textId="77777777" w:rsidR="006856A7" w:rsidRPr="00AA5833" w:rsidRDefault="006856A7" w:rsidP="006856A7">
      <w:pPr>
        <w:spacing w:after="0" w:line="240" w:lineRule="auto"/>
        <w:jc w:val="both"/>
        <w:rPr>
          <w:rFonts w:ascii="Times New Roman" w:hAnsi="Times New Roman" w:cs="Times New Roman"/>
          <w:b/>
          <w:sz w:val="24"/>
          <w:szCs w:val="24"/>
        </w:rPr>
      </w:pPr>
    </w:p>
    <w:p w14:paraId="3707035E" w14:textId="77777777" w:rsidR="00F42C93" w:rsidRPr="00AA5833" w:rsidRDefault="00F42C93" w:rsidP="006856A7">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Естественият прираст на населението на ЕС </w:t>
      </w:r>
      <w:r w:rsidR="00281AF1" w:rsidRPr="00AA5833">
        <w:rPr>
          <w:rFonts w:ascii="Times New Roman" w:hAnsi="Times New Roman" w:cs="Times New Roman"/>
          <w:sz w:val="24"/>
          <w:szCs w:val="24"/>
        </w:rPr>
        <w:t>е</w:t>
      </w:r>
      <w:r w:rsidR="003D7D9E">
        <w:rPr>
          <w:rFonts w:ascii="Times New Roman" w:hAnsi="Times New Roman" w:cs="Times New Roman"/>
          <w:sz w:val="24"/>
          <w:szCs w:val="24"/>
        </w:rPr>
        <w:t xml:space="preserve"> положителен </w:t>
      </w:r>
      <w:r w:rsidR="003D7D9E" w:rsidRPr="00AA5833">
        <w:rPr>
          <w:rFonts w:ascii="Times New Roman" w:hAnsi="Times New Roman" w:cs="Times New Roman"/>
          <w:sz w:val="24"/>
          <w:szCs w:val="24"/>
        </w:rPr>
        <w:t>до 2011 г.</w:t>
      </w:r>
      <w:r w:rsidR="003D7D9E">
        <w:rPr>
          <w:rFonts w:ascii="Times New Roman" w:hAnsi="Times New Roman" w:cs="Times New Roman"/>
          <w:sz w:val="24"/>
          <w:szCs w:val="24"/>
        </w:rPr>
        <w:t>, макар и намаляващ</w:t>
      </w:r>
      <w:r w:rsidRPr="00AA5833">
        <w:rPr>
          <w:rFonts w:ascii="Times New Roman" w:hAnsi="Times New Roman" w:cs="Times New Roman"/>
          <w:sz w:val="24"/>
          <w:szCs w:val="24"/>
        </w:rPr>
        <w:t xml:space="preserve">, а след това </w:t>
      </w:r>
      <w:r w:rsidR="003D7D9E" w:rsidRPr="00AA5833">
        <w:rPr>
          <w:rFonts w:ascii="Times New Roman" w:hAnsi="Times New Roman" w:cs="Times New Roman"/>
          <w:sz w:val="24"/>
          <w:szCs w:val="24"/>
        </w:rPr>
        <w:t xml:space="preserve">от 2012 г. </w:t>
      </w:r>
      <w:r w:rsidR="00281AF1" w:rsidRPr="00AA5833">
        <w:rPr>
          <w:rFonts w:ascii="Times New Roman" w:hAnsi="Times New Roman" w:cs="Times New Roman"/>
          <w:sz w:val="24"/>
          <w:szCs w:val="24"/>
        </w:rPr>
        <w:t>е</w:t>
      </w:r>
      <w:r w:rsidRPr="00AA5833">
        <w:rPr>
          <w:rFonts w:ascii="Times New Roman" w:hAnsi="Times New Roman" w:cs="Times New Roman"/>
          <w:sz w:val="24"/>
          <w:szCs w:val="24"/>
        </w:rPr>
        <w:t xml:space="preserve"> отрицателен, като в ЕС </w:t>
      </w:r>
      <w:r w:rsidR="00281AF1" w:rsidRPr="00AA5833">
        <w:rPr>
          <w:rFonts w:ascii="Times New Roman" w:hAnsi="Times New Roman" w:cs="Times New Roman"/>
          <w:sz w:val="24"/>
          <w:szCs w:val="24"/>
        </w:rPr>
        <w:t>са</w:t>
      </w:r>
      <w:r w:rsidRPr="00AA5833">
        <w:rPr>
          <w:rFonts w:ascii="Times New Roman" w:hAnsi="Times New Roman" w:cs="Times New Roman"/>
          <w:sz w:val="24"/>
          <w:szCs w:val="24"/>
        </w:rPr>
        <w:t xml:space="preserve"> регистрирани повече смъртни случаи, отколкото раждания (</w:t>
      </w:r>
      <w:r w:rsidR="00393DEE" w:rsidRPr="00AA5833">
        <w:rPr>
          <w:rFonts w:ascii="Times New Roman" w:hAnsi="Times New Roman" w:cs="Times New Roman"/>
          <w:sz w:val="24"/>
          <w:szCs w:val="24"/>
        </w:rPr>
        <w:t>ф</w:t>
      </w:r>
      <w:r w:rsidRPr="00AA5833">
        <w:rPr>
          <w:rFonts w:ascii="Times New Roman" w:hAnsi="Times New Roman" w:cs="Times New Roman"/>
          <w:sz w:val="24"/>
          <w:szCs w:val="24"/>
        </w:rPr>
        <w:t>иг</w:t>
      </w:r>
      <w:r w:rsidR="00393DEE" w:rsidRPr="00AA5833">
        <w:rPr>
          <w:rFonts w:ascii="Times New Roman" w:hAnsi="Times New Roman" w:cs="Times New Roman"/>
          <w:sz w:val="24"/>
          <w:szCs w:val="24"/>
        </w:rPr>
        <w:t>.</w:t>
      </w:r>
      <w:r w:rsidRPr="00AA5833">
        <w:rPr>
          <w:rFonts w:ascii="Times New Roman" w:hAnsi="Times New Roman" w:cs="Times New Roman"/>
          <w:sz w:val="24"/>
          <w:szCs w:val="24"/>
        </w:rPr>
        <w:t xml:space="preserve">2). </w:t>
      </w:r>
      <w:r w:rsidR="003D7D9E">
        <w:rPr>
          <w:rFonts w:ascii="Times New Roman" w:hAnsi="Times New Roman" w:cs="Times New Roman"/>
          <w:sz w:val="24"/>
          <w:szCs w:val="24"/>
        </w:rPr>
        <w:t>О</w:t>
      </w:r>
      <w:r w:rsidRPr="00AA5833">
        <w:rPr>
          <w:rFonts w:ascii="Times New Roman" w:hAnsi="Times New Roman" w:cs="Times New Roman"/>
          <w:sz w:val="24"/>
          <w:szCs w:val="24"/>
        </w:rPr>
        <w:t xml:space="preserve">бщата промяна </w:t>
      </w:r>
      <w:r w:rsidR="003D7D9E">
        <w:rPr>
          <w:rFonts w:ascii="Times New Roman" w:hAnsi="Times New Roman" w:cs="Times New Roman"/>
          <w:sz w:val="24"/>
          <w:szCs w:val="24"/>
        </w:rPr>
        <w:t xml:space="preserve">в броя на населението </w:t>
      </w:r>
      <w:r w:rsidRPr="00AA5833">
        <w:rPr>
          <w:rFonts w:ascii="Times New Roman" w:hAnsi="Times New Roman" w:cs="Times New Roman"/>
          <w:sz w:val="24"/>
          <w:szCs w:val="24"/>
        </w:rPr>
        <w:t>след 2011 г. се дължи на нетната миграция. Докато по време на пандемията от COVID</w:t>
      </w:r>
      <w:r w:rsidR="00804FF6" w:rsidRPr="00AA5833">
        <w:rPr>
          <w:rFonts w:ascii="Times New Roman" w:hAnsi="Times New Roman" w:cs="Times New Roman"/>
          <w:sz w:val="24"/>
          <w:szCs w:val="24"/>
        </w:rPr>
        <w:t xml:space="preserve"> </w:t>
      </w:r>
      <w:r w:rsidR="00804FF6" w:rsidRPr="00AA5833">
        <w:rPr>
          <w:rFonts w:ascii="Times New Roman" w:hAnsi="Times New Roman" w:cs="Times New Roman"/>
          <w:b/>
          <w:sz w:val="24"/>
          <w:szCs w:val="24"/>
        </w:rPr>
        <w:t xml:space="preserve">– </w:t>
      </w:r>
      <w:r w:rsidRPr="00AA5833">
        <w:rPr>
          <w:rFonts w:ascii="Times New Roman" w:hAnsi="Times New Roman" w:cs="Times New Roman"/>
          <w:sz w:val="24"/>
          <w:szCs w:val="24"/>
        </w:rPr>
        <w:t>19 (положителната) нетна</w:t>
      </w:r>
      <w:r w:rsidR="00281AF1" w:rsidRPr="00AA5833">
        <w:rPr>
          <w:rFonts w:ascii="Times New Roman" w:hAnsi="Times New Roman" w:cs="Times New Roman"/>
          <w:sz w:val="24"/>
          <w:szCs w:val="24"/>
        </w:rPr>
        <w:t>та</w:t>
      </w:r>
      <w:r w:rsidRPr="00AA5833">
        <w:rPr>
          <w:rFonts w:ascii="Times New Roman" w:hAnsi="Times New Roman" w:cs="Times New Roman"/>
          <w:sz w:val="24"/>
          <w:szCs w:val="24"/>
        </w:rPr>
        <w:t xml:space="preserve"> миграция </w:t>
      </w:r>
      <w:r w:rsidR="00281AF1" w:rsidRPr="00AA5833">
        <w:rPr>
          <w:rFonts w:ascii="Times New Roman" w:hAnsi="Times New Roman" w:cs="Times New Roman"/>
          <w:sz w:val="24"/>
          <w:szCs w:val="24"/>
        </w:rPr>
        <w:t>не компенсира</w:t>
      </w:r>
      <w:r w:rsidRPr="00AA5833">
        <w:rPr>
          <w:rFonts w:ascii="Times New Roman" w:hAnsi="Times New Roman" w:cs="Times New Roman"/>
          <w:sz w:val="24"/>
          <w:szCs w:val="24"/>
        </w:rPr>
        <w:t xml:space="preserve"> отрицателния естествен прираст в ЕС, от 2022 г. насам тенденцията се </w:t>
      </w:r>
      <w:r w:rsidR="00281AF1" w:rsidRPr="00AA5833">
        <w:rPr>
          <w:rFonts w:ascii="Times New Roman" w:hAnsi="Times New Roman" w:cs="Times New Roman"/>
          <w:sz w:val="24"/>
          <w:szCs w:val="24"/>
        </w:rPr>
        <w:t xml:space="preserve">променя и </w:t>
      </w:r>
      <w:r w:rsidRPr="00AA5833">
        <w:rPr>
          <w:rFonts w:ascii="Times New Roman" w:hAnsi="Times New Roman" w:cs="Times New Roman"/>
          <w:sz w:val="24"/>
          <w:szCs w:val="24"/>
        </w:rPr>
        <w:t>о</w:t>
      </w:r>
      <w:r w:rsidR="00281AF1" w:rsidRPr="00AA5833">
        <w:rPr>
          <w:rFonts w:ascii="Times New Roman" w:hAnsi="Times New Roman" w:cs="Times New Roman"/>
          <w:sz w:val="24"/>
          <w:szCs w:val="24"/>
        </w:rPr>
        <w:t>бщото население на ЕС се увеличава</w:t>
      </w:r>
      <w:r w:rsidRPr="00AA5833">
        <w:rPr>
          <w:rFonts w:ascii="Times New Roman" w:hAnsi="Times New Roman" w:cs="Times New Roman"/>
          <w:sz w:val="24"/>
          <w:szCs w:val="24"/>
        </w:rPr>
        <w:t>.</w:t>
      </w:r>
    </w:p>
    <w:p w14:paraId="23190D35" w14:textId="77777777" w:rsidR="006856A7" w:rsidRPr="00AA5833" w:rsidRDefault="006856A7" w:rsidP="006856A7">
      <w:pPr>
        <w:spacing w:after="0" w:line="240" w:lineRule="auto"/>
        <w:ind w:firstLine="709"/>
        <w:jc w:val="both"/>
        <w:rPr>
          <w:rFonts w:ascii="Times New Roman" w:hAnsi="Times New Roman" w:cs="Times New Roman"/>
          <w:sz w:val="24"/>
          <w:szCs w:val="24"/>
        </w:rPr>
      </w:pPr>
    </w:p>
    <w:p w14:paraId="131C7EDA" w14:textId="77777777" w:rsidR="008634E0" w:rsidRPr="00AA5833" w:rsidRDefault="008634E0" w:rsidP="006856A7">
      <w:pPr>
        <w:spacing w:line="240" w:lineRule="auto"/>
        <w:jc w:val="both"/>
        <w:rPr>
          <w:rFonts w:ascii="Times New Roman" w:hAnsi="Times New Roman" w:cs="Times New Roman"/>
          <w:b/>
          <w:sz w:val="24"/>
          <w:szCs w:val="24"/>
        </w:rPr>
      </w:pPr>
    </w:p>
    <w:p w14:paraId="473B2771" w14:textId="77777777" w:rsidR="00281AF1" w:rsidRPr="00AA5833" w:rsidRDefault="00281AF1" w:rsidP="006856A7">
      <w:pPr>
        <w:spacing w:line="240" w:lineRule="auto"/>
        <w:jc w:val="both"/>
        <w:rPr>
          <w:rFonts w:ascii="Times New Roman" w:hAnsi="Times New Roman" w:cs="Times New Roman"/>
          <w:b/>
          <w:sz w:val="24"/>
          <w:szCs w:val="24"/>
        </w:rPr>
      </w:pPr>
    </w:p>
    <w:p w14:paraId="4365075F" w14:textId="77777777" w:rsidR="006856A7" w:rsidRPr="00AA5833" w:rsidRDefault="006856A7" w:rsidP="006856A7">
      <w:pPr>
        <w:spacing w:line="240" w:lineRule="auto"/>
        <w:jc w:val="both"/>
        <w:rPr>
          <w:rFonts w:ascii="Times New Roman" w:hAnsi="Times New Roman" w:cs="Times New Roman"/>
          <w:b/>
          <w:sz w:val="24"/>
          <w:szCs w:val="24"/>
        </w:rPr>
      </w:pPr>
      <w:r w:rsidRPr="00AA5833">
        <w:rPr>
          <w:rFonts w:ascii="Times New Roman" w:hAnsi="Times New Roman" w:cs="Times New Roman"/>
          <w:b/>
          <w:sz w:val="24"/>
          <w:szCs w:val="24"/>
        </w:rPr>
        <w:lastRenderedPageBreak/>
        <w:t>Фиг.2.</w:t>
      </w:r>
      <w:r w:rsidRPr="00AA5833">
        <w:rPr>
          <w:rFonts w:ascii="inherit" w:eastAsia="Times New Roman" w:hAnsi="inherit" w:cs="Courier New"/>
          <w:b/>
          <w:color w:val="202124"/>
          <w:sz w:val="24"/>
          <w:szCs w:val="24"/>
          <w:lang w:eastAsia="bg-BG"/>
        </w:rPr>
        <w:t xml:space="preserve"> </w:t>
      </w:r>
      <w:r w:rsidRPr="00AA5833">
        <w:rPr>
          <w:rFonts w:ascii="Times New Roman" w:hAnsi="Times New Roman" w:cs="Times New Roman"/>
          <w:b/>
          <w:sz w:val="24"/>
          <w:szCs w:val="24"/>
        </w:rPr>
        <w:t>Раждаемост и смъртност в ЕС, 1961-202</w:t>
      </w:r>
      <w:r w:rsidR="00F42C93" w:rsidRPr="00AA5833">
        <w:rPr>
          <w:rFonts w:ascii="Times New Roman" w:hAnsi="Times New Roman" w:cs="Times New Roman"/>
          <w:b/>
          <w:sz w:val="24"/>
          <w:szCs w:val="24"/>
        </w:rPr>
        <w:t>4</w:t>
      </w:r>
      <w:r w:rsidRPr="00AA5833">
        <w:rPr>
          <w:rFonts w:ascii="Times New Roman" w:hAnsi="Times New Roman" w:cs="Times New Roman"/>
          <w:b/>
          <w:sz w:val="24"/>
          <w:szCs w:val="24"/>
        </w:rPr>
        <w:t xml:space="preserve"> г. (в милиони)</w:t>
      </w:r>
    </w:p>
    <w:p w14:paraId="15D8A1E1" w14:textId="77777777" w:rsidR="006856A7" w:rsidRPr="00AA5833" w:rsidRDefault="00F42C93" w:rsidP="006856A7">
      <w:pPr>
        <w:spacing w:after="0" w:line="240" w:lineRule="auto"/>
        <w:jc w:val="both"/>
        <w:rPr>
          <w:rFonts w:ascii="Times New Roman" w:hAnsi="Times New Roman" w:cs="Times New Roman"/>
          <w:b/>
          <w:sz w:val="24"/>
          <w:szCs w:val="24"/>
        </w:rPr>
      </w:pPr>
      <w:r w:rsidRPr="00AA5833">
        <w:rPr>
          <w:rFonts w:ascii="Times New Roman" w:hAnsi="Times New Roman" w:cs="Times New Roman"/>
          <w:noProof/>
          <w:sz w:val="20"/>
          <w:szCs w:val="20"/>
          <w:lang w:eastAsia="bg-BG"/>
        </w:rPr>
        <w:drawing>
          <wp:inline distT="0" distB="0" distL="0" distR="0" wp14:anchorId="6992D657" wp14:editId="00A9423A">
            <wp:extent cx="5759367" cy="2919933"/>
            <wp:effectExtent l="0" t="0" r="0" b="0"/>
            <wp:docPr id="23" name="Picture 23" descr="https://ec.europa.eu/eurostat/statistics-explained/images/a/a0/Population_change_2025_Fig02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eurostat/statistics-explained/images/a/a0/Population_change_2025_Fig02_v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921" cy="2927819"/>
                    </a:xfrm>
                    <a:prstGeom prst="rect">
                      <a:avLst/>
                    </a:prstGeom>
                    <a:noFill/>
                    <a:ln>
                      <a:noFill/>
                    </a:ln>
                  </pic:spPr>
                </pic:pic>
              </a:graphicData>
            </a:graphic>
          </wp:inline>
        </w:drawing>
      </w:r>
    </w:p>
    <w:p w14:paraId="32C6EA77" w14:textId="77777777" w:rsidR="006856A7" w:rsidRPr="00AA5833" w:rsidRDefault="006856A7" w:rsidP="006856A7">
      <w:pPr>
        <w:spacing w:after="0" w:line="240" w:lineRule="auto"/>
        <w:jc w:val="both"/>
        <w:rPr>
          <w:rFonts w:ascii="Times New Roman" w:hAnsi="Times New Roman" w:cs="Times New Roman"/>
          <w:sz w:val="24"/>
          <w:szCs w:val="24"/>
        </w:rPr>
      </w:pPr>
    </w:p>
    <w:p w14:paraId="141D93C7" w14:textId="77777777" w:rsidR="000D6E63" w:rsidRPr="00AA5833" w:rsidRDefault="000D6E63" w:rsidP="000D6E63">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През 2024 г., както и през предходните години, броя</w:t>
      </w:r>
      <w:r w:rsidR="001863C6" w:rsidRPr="00AA5833">
        <w:rPr>
          <w:rFonts w:ascii="Times New Roman" w:hAnsi="Times New Roman" w:cs="Times New Roman"/>
          <w:sz w:val="24"/>
          <w:szCs w:val="24"/>
        </w:rPr>
        <w:t>т на смъртните случаи (4.</w:t>
      </w:r>
      <w:r w:rsidR="00281AF1" w:rsidRPr="00AA5833">
        <w:rPr>
          <w:rFonts w:ascii="Times New Roman" w:hAnsi="Times New Roman" w:cs="Times New Roman"/>
          <w:sz w:val="24"/>
          <w:szCs w:val="24"/>
        </w:rPr>
        <w:t>82 милиона) продължава</w:t>
      </w:r>
      <w:r w:rsidRPr="00AA5833">
        <w:rPr>
          <w:rFonts w:ascii="Times New Roman" w:hAnsi="Times New Roman" w:cs="Times New Roman"/>
          <w:sz w:val="24"/>
          <w:szCs w:val="24"/>
        </w:rPr>
        <w:t xml:space="preserve"> да пр</w:t>
      </w:r>
      <w:r w:rsidR="001863C6" w:rsidRPr="00AA5833">
        <w:rPr>
          <w:rFonts w:ascii="Times New Roman" w:hAnsi="Times New Roman" w:cs="Times New Roman"/>
          <w:sz w:val="24"/>
          <w:szCs w:val="24"/>
        </w:rPr>
        <w:t>евишава броя на живородените (3.</w:t>
      </w:r>
      <w:r w:rsidRPr="00AA5833">
        <w:rPr>
          <w:rFonts w:ascii="Times New Roman" w:hAnsi="Times New Roman" w:cs="Times New Roman"/>
          <w:sz w:val="24"/>
          <w:szCs w:val="24"/>
        </w:rPr>
        <w:t>56 милиона) в ЕС, което води до гореспоменатия отрицателен естествен прираст на</w:t>
      </w:r>
      <w:r w:rsidR="00281AF1" w:rsidRPr="00AA5833">
        <w:rPr>
          <w:rFonts w:ascii="Times New Roman" w:hAnsi="Times New Roman" w:cs="Times New Roman"/>
          <w:sz w:val="24"/>
          <w:szCs w:val="24"/>
        </w:rPr>
        <w:t xml:space="preserve"> населението. Общото увеличение</w:t>
      </w:r>
      <w:r w:rsidRPr="00AA5833">
        <w:rPr>
          <w:rFonts w:ascii="Times New Roman" w:hAnsi="Times New Roman" w:cs="Times New Roman"/>
          <w:sz w:val="24"/>
          <w:szCs w:val="24"/>
        </w:rPr>
        <w:t xml:space="preserve"> на населението на ЕС, регистрирано през 2024 г.</w:t>
      </w:r>
      <w:r w:rsidR="001863C6" w:rsidRPr="00AA5833">
        <w:rPr>
          <w:rFonts w:ascii="Times New Roman" w:hAnsi="Times New Roman" w:cs="Times New Roman"/>
          <w:sz w:val="24"/>
          <w:szCs w:val="24"/>
        </w:rPr>
        <w:t>,</w:t>
      </w:r>
      <w:r w:rsidRPr="00AA5833">
        <w:rPr>
          <w:rFonts w:ascii="Times New Roman" w:hAnsi="Times New Roman" w:cs="Times New Roman"/>
          <w:sz w:val="24"/>
          <w:szCs w:val="24"/>
        </w:rPr>
        <w:t xml:space="preserve"> се дължи изключително на </w:t>
      </w:r>
      <w:r w:rsidR="001863C6" w:rsidRPr="00AA5833">
        <w:rPr>
          <w:rFonts w:ascii="Times New Roman" w:hAnsi="Times New Roman" w:cs="Times New Roman"/>
          <w:sz w:val="24"/>
          <w:szCs w:val="24"/>
        </w:rPr>
        <w:t>положителния нетен прираст от миграция</w:t>
      </w:r>
      <w:r w:rsidRPr="00AA5833">
        <w:rPr>
          <w:rFonts w:ascii="Times New Roman" w:hAnsi="Times New Roman" w:cs="Times New Roman"/>
          <w:sz w:val="24"/>
          <w:szCs w:val="24"/>
        </w:rPr>
        <w:t>. Накратко, естественият п</w:t>
      </w:r>
      <w:r w:rsidR="001863C6" w:rsidRPr="00AA5833">
        <w:rPr>
          <w:rFonts w:ascii="Times New Roman" w:hAnsi="Times New Roman" w:cs="Times New Roman"/>
          <w:sz w:val="24"/>
          <w:szCs w:val="24"/>
        </w:rPr>
        <w:t>рираст на населението на ЕС (-1.</w:t>
      </w:r>
      <w:r w:rsidRPr="00AA5833">
        <w:rPr>
          <w:rFonts w:ascii="Times New Roman" w:hAnsi="Times New Roman" w:cs="Times New Roman"/>
          <w:sz w:val="24"/>
          <w:szCs w:val="24"/>
        </w:rPr>
        <w:t>3 милиона души) е п</w:t>
      </w:r>
      <w:r w:rsidR="001863C6" w:rsidRPr="00AA5833">
        <w:rPr>
          <w:rFonts w:ascii="Times New Roman" w:hAnsi="Times New Roman" w:cs="Times New Roman"/>
          <w:sz w:val="24"/>
          <w:szCs w:val="24"/>
        </w:rPr>
        <w:t>о-нисък от нетната миграция (+2.</w:t>
      </w:r>
      <w:r w:rsidRPr="00AA5833">
        <w:rPr>
          <w:rFonts w:ascii="Times New Roman" w:hAnsi="Times New Roman" w:cs="Times New Roman"/>
          <w:sz w:val="24"/>
          <w:szCs w:val="24"/>
        </w:rPr>
        <w:t xml:space="preserve">3 милиона), което </w:t>
      </w:r>
      <w:r w:rsidR="001863C6" w:rsidRPr="00AA5833">
        <w:rPr>
          <w:rFonts w:ascii="Times New Roman" w:hAnsi="Times New Roman" w:cs="Times New Roman"/>
          <w:sz w:val="24"/>
          <w:szCs w:val="24"/>
        </w:rPr>
        <w:t>води</w:t>
      </w:r>
      <w:r w:rsidRPr="00AA5833">
        <w:rPr>
          <w:rFonts w:ascii="Times New Roman" w:hAnsi="Times New Roman" w:cs="Times New Roman"/>
          <w:sz w:val="24"/>
          <w:szCs w:val="24"/>
        </w:rPr>
        <w:t xml:space="preserve"> до увел</w:t>
      </w:r>
      <w:r w:rsidR="001863C6" w:rsidRPr="00AA5833">
        <w:rPr>
          <w:rFonts w:ascii="Times New Roman" w:hAnsi="Times New Roman" w:cs="Times New Roman"/>
          <w:sz w:val="24"/>
          <w:szCs w:val="24"/>
        </w:rPr>
        <w:t>ичение на населението с почти 1.</w:t>
      </w:r>
      <w:r w:rsidRPr="00AA5833">
        <w:rPr>
          <w:rFonts w:ascii="Times New Roman" w:hAnsi="Times New Roman" w:cs="Times New Roman"/>
          <w:sz w:val="24"/>
          <w:szCs w:val="24"/>
        </w:rPr>
        <w:t xml:space="preserve">1 милиона. </w:t>
      </w:r>
      <w:r w:rsidR="001863C6" w:rsidRPr="00AA5833">
        <w:rPr>
          <w:rFonts w:ascii="Times New Roman" w:hAnsi="Times New Roman" w:cs="Times New Roman"/>
          <w:sz w:val="24"/>
          <w:szCs w:val="24"/>
        </w:rPr>
        <w:t xml:space="preserve">Нетният прираст от миграцията </w:t>
      </w:r>
      <w:r w:rsidR="00281AF1" w:rsidRPr="00AA5833">
        <w:rPr>
          <w:rFonts w:ascii="Times New Roman" w:hAnsi="Times New Roman" w:cs="Times New Roman"/>
          <w:sz w:val="24"/>
          <w:szCs w:val="24"/>
        </w:rPr>
        <w:t>се увеличава</w:t>
      </w:r>
      <w:r w:rsidRPr="00AA5833">
        <w:rPr>
          <w:rFonts w:ascii="Times New Roman" w:hAnsi="Times New Roman" w:cs="Times New Roman"/>
          <w:sz w:val="24"/>
          <w:szCs w:val="24"/>
        </w:rPr>
        <w:t xml:space="preserve"> в абсолютна стойност от </w:t>
      </w:r>
      <w:r w:rsidR="001863C6" w:rsidRPr="00AA5833">
        <w:rPr>
          <w:rFonts w:ascii="Times New Roman" w:hAnsi="Times New Roman" w:cs="Times New Roman"/>
          <w:sz w:val="24"/>
          <w:szCs w:val="24"/>
        </w:rPr>
        <w:t>+1.2 милиона през 2021 г. до +2.</w:t>
      </w:r>
      <w:r w:rsidRPr="00AA5833">
        <w:rPr>
          <w:rFonts w:ascii="Times New Roman" w:hAnsi="Times New Roman" w:cs="Times New Roman"/>
          <w:sz w:val="24"/>
          <w:szCs w:val="24"/>
        </w:rPr>
        <w:t>3 милиона през 2024 г.</w:t>
      </w:r>
    </w:p>
    <w:p w14:paraId="4DBAE3C7" w14:textId="77777777" w:rsidR="000D6E63" w:rsidRPr="00AA5833" w:rsidRDefault="000D6E63" w:rsidP="000D6E63">
      <w:pPr>
        <w:spacing w:after="0" w:line="240" w:lineRule="auto"/>
        <w:ind w:firstLine="709"/>
        <w:jc w:val="both"/>
        <w:rPr>
          <w:rFonts w:ascii="Times New Roman" w:hAnsi="Times New Roman" w:cs="Times New Roman"/>
          <w:sz w:val="24"/>
          <w:szCs w:val="24"/>
        </w:rPr>
      </w:pPr>
    </w:p>
    <w:p w14:paraId="15C122C3" w14:textId="77777777" w:rsidR="006856A7" w:rsidRPr="00AA5833" w:rsidRDefault="006856A7" w:rsidP="006856A7">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Фиг.3.</w:t>
      </w:r>
      <w:r w:rsidRPr="00AA5833">
        <w:rPr>
          <w:rFonts w:ascii="inherit" w:eastAsia="Times New Roman" w:hAnsi="inherit" w:cs="Courier New"/>
          <w:b/>
          <w:color w:val="202124"/>
          <w:sz w:val="24"/>
          <w:szCs w:val="24"/>
          <w:lang w:eastAsia="bg-BG"/>
        </w:rPr>
        <w:t xml:space="preserve"> </w:t>
      </w:r>
      <w:r w:rsidRPr="00AA5833">
        <w:rPr>
          <w:rFonts w:ascii="Times New Roman" w:hAnsi="Times New Roman" w:cs="Times New Roman"/>
          <w:b/>
          <w:sz w:val="24"/>
          <w:szCs w:val="24"/>
        </w:rPr>
        <w:t>Промяна на населението по компоненти (годишни коефициенти на прирасти) в ЕС, 1960-202</w:t>
      </w:r>
      <w:r w:rsidR="001863C6" w:rsidRPr="00AA5833">
        <w:rPr>
          <w:rFonts w:ascii="Times New Roman" w:hAnsi="Times New Roman" w:cs="Times New Roman"/>
          <w:b/>
          <w:sz w:val="24"/>
          <w:szCs w:val="24"/>
        </w:rPr>
        <w:t>4</w:t>
      </w:r>
      <w:r w:rsidRPr="00AA5833">
        <w:rPr>
          <w:rFonts w:ascii="Times New Roman" w:hAnsi="Times New Roman" w:cs="Times New Roman"/>
          <w:b/>
          <w:sz w:val="24"/>
          <w:szCs w:val="24"/>
        </w:rPr>
        <w:t xml:space="preserve"> г. (на 1000 души)</w:t>
      </w:r>
    </w:p>
    <w:p w14:paraId="2D5F41AC" w14:textId="77777777" w:rsidR="001863C6" w:rsidRPr="00AA5833" w:rsidRDefault="001863C6" w:rsidP="006856A7">
      <w:pPr>
        <w:spacing w:after="0" w:line="240" w:lineRule="auto"/>
        <w:jc w:val="both"/>
        <w:rPr>
          <w:rFonts w:ascii="Times New Roman" w:hAnsi="Times New Roman" w:cs="Times New Roman"/>
          <w:b/>
          <w:sz w:val="24"/>
          <w:szCs w:val="24"/>
        </w:rPr>
      </w:pPr>
    </w:p>
    <w:p w14:paraId="3A672B1E" w14:textId="77777777" w:rsidR="006856A7" w:rsidRPr="00AA5833" w:rsidRDefault="001863C6" w:rsidP="006856A7">
      <w:pPr>
        <w:spacing w:after="0" w:line="240" w:lineRule="auto"/>
        <w:jc w:val="both"/>
        <w:rPr>
          <w:rFonts w:ascii="Times New Roman" w:hAnsi="Times New Roman" w:cs="Times New Roman"/>
          <w:b/>
          <w:sz w:val="24"/>
          <w:szCs w:val="24"/>
        </w:rPr>
      </w:pPr>
      <w:r w:rsidRPr="00AA5833">
        <w:rPr>
          <w:noProof/>
          <w:lang w:eastAsia="bg-BG"/>
        </w:rPr>
        <w:drawing>
          <wp:inline distT="0" distB="0" distL="0" distR="0" wp14:anchorId="420F1D9F" wp14:editId="58F027EA">
            <wp:extent cx="5194115" cy="2758967"/>
            <wp:effectExtent l="0" t="0" r="6985" b="3810"/>
            <wp:docPr id="24" name="Picture 24" descr="File:Population change 2025 Fig03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opulation change 2025 Fig03 v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073" cy="2797720"/>
                    </a:xfrm>
                    <a:prstGeom prst="rect">
                      <a:avLst/>
                    </a:prstGeom>
                    <a:noFill/>
                    <a:ln>
                      <a:noFill/>
                    </a:ln>
                  </pic:spPr>
                </pic:pic>
              </a:graphicData>
            </a:graphic>
          </wp:inline>
        </w:drawing>
      </w:r>
    </w:p>
    <w:p w14:paraId="22EDEA41" w14:textId="77777777" w:rsidR="002C1C56" w:rsidRDefault="002C1C56" w:rsidP="006856A7">
      <w:pPr>
        <w:spacing w:after="0" w:line="240" w:lineRule="auto"/>
        <w:jc w:val="center"/>
        <w:rPr>
          <w:rFonts w:ascii="Times New Roman" w:eastAsia="Times New Roman" w:hAnsi="Times New Roman" w:cs="Times New Roman"/>
          <w:b/>
          <w:color w:val="000000"/>
          <w:sz w:val="24"/>
          <w:szCs w:val="24"/>
          <w:lang w:eastAsia="bg-BG"/>
        </w:rPr>
      </w:pPr>
    </w:p>
    <w:p w14:paraId="1C40769D" w14:textId="77777777" w:rsidR="002C1C56" w:rsidRDefault="002C1C56" w:rsidP="006856A7">
      <w:pPr>
        <w:spacing w:after="0" w:line="240" w:lineRule="auto"/>
        <w:jc w:val="center"/>
        <w:rPr>
          <w:rFonts w:ascii="Times New Roman" w:eastAsia="Times New Roman" w:hAnsi="Times New Roman" w:cs="Times New Roman"/>
          <w:b/>
          <w:color w:val="000000"/>
          <w:sz w:val="24"/>
          <w:szCs w:val="24"/>
          <w:lang w:eastAsia="bg-BG"/>
        </w:rPr>
      </w:pPr>
    </w:p>
    <w:p w14:paraId="701324F2"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 xml:space="preserve">Промяна на населението на отделните държави-членки на ЕС </w:t>
      </w:r>
    </w:p>
    <w:p w14:paraId="297D55CC" w14:textId="77777777" w:rsidR="006856A7" w:rsidRPr="00AA5833" w:rsidRDefault="006856A7" w:rsidP="006856A7">
      <w:pPr>
        <w:spacing w:after="0" w:line="240" w:lineRule="auto"/>
        <w:rPr>
          <w:rFonts w:ascii="Times New Roman" w:hAnsi="Times New Roman" w:cs="Times New Roman"/>
          <w:sz w:val="24"/>
          <w:szCs w:val="24"/>
        </w:rPr>
      </w:pPr>
    </w:p>
    <w:p w14:paraId="48512C94" w14:textId="77777777" w:rsidR="006856A7" w:rsidRPr="00AA5833" w:rsidRDefault="001E17DC" w:rsidP="001E17DC">
      <w:pPr>
        <w:tabs>
          <w:tab w:val="left" w:pos="3180"/>
        </w:tabs>
        <w:spacing w:after="0" w:line="240" w:lineRule="auto"/>
        <w:ind w:firstLine="709"/>
        <w:jc w:val="both"/>
        <w:rPr>
          <w:rFonts w:ascii="Times New Roman" w:hAnsi="Times New Roman" w:cs="Times New Roman"/>
          <w:b/>
          <w:sz w:val="24"/>
          <w:szCs w:val="24"/>
        </w:rPr>
      </w:pPr>
      <w:r w:rsidRPr="00AA5833">
        <w:rPr>
          <w:rFonts w:ascii="Times New Roman" w:hAnsi="Times New Roman" w:cs="Times New Roman"/>
          <w:sz w:val="24"/>
          <w:szCs w:val="24"/>
        </w:rPr>
        <w:t>Населението на отделните страни от ЕС към 1 януари 2025 г. варира от 0.6 милиона в Малта до 83.</w:t>
      </w:r>
      <w:r w:rsidR="00393DEE" w:rsidRPr="00AA5833">
        <w:rPr>
          <w:rFonts w:ascii="Times New Roman" w:hAnsi="Times New Roman" w:cs="Times New Roman"/>
          <w:sz w:val="24"/>
          <w:szCs w:val="24"/>
        </w:rPr>
        <w:t>6 милиона в Германия (т</w:t>
      </w:r>
      <w:r w:rsidRPr="00AA5833">
        <w:rPr>
          <w:rFonts w:ascii="Times New Roman" w:hAnsi="Times New Roman" w:cs="Times New Roman"/>
          <w:sz w:val="24"/>
          <w:szCs w:val="24"/>
        </w:rPr>
        <w:t>аб</w:t>
      </w:r>
      <w:r w:rsidR="00393DEE" w:rsidRPr="00AA5833">
        <w:rPr>
          <w:rFonts w:ascii="Times New Roman" w:hAnsi="Times New Roman" w:cs="Times New Roman"/>
          <w:sz w:val="24"/>
          <w:szCs w:val="24"/>
        </w:rPr>
        <w:t xml:space="preserve">. </w:t>
      </w:r>
      <w:r w:rsidRPr="00AA5833">
        <w:rPr>
          <w:rFonts w:ascii="Times New Roman" w:hAnsi="Times New Roman" w:cs="Times New Roman"/>
          <w:sz w:val="24"/>
          <w:szCs w:val="24"/>
        </w:rPr>
        <w:t>1). Германия, Франция и Италия заедно съставляват почти половината (47%) от общото население на ЕС към 1 януари 2025 г.</w:t>
      </w:r>
    </w:p>
    <w:p w14:paraId="6D280FD1" w14:textId="77777777" w:rsidR="006856A7" w:rsidRPr="00AA5833" w:rsidRDefault="006856A7" w:rsidP="006856A7">
      <w:pPr>
        <w:tabs>
          <w:tab w:val="left" w:pos="3180"/>
        </w:tabs>
        <w:spacing w:after="0" w:line="240" w:lineRule="auto"/>
        <w:jc w:val="center"/>
        <w:rPr>
          <w:rFonts w:ascii="Times New Roman" w:hAnsi="Times New Roman" w:cs="Times New Roman"/>
          <w:b/>
          <w:sz w:val="24"/>
          <w:szCs w:val="24"/>
        </w:rPr>
      </w:pPr>
      <w:r w:rsidRPr="00AA5833">
        <w:rPr>
          <w:rFonts w:ascii="Times New Roman" w:hAnsi="Times New Roman" w:cs="Times New Roman"/>
          <w:b/>
          <w:sz w:val="24"/>
          <w:szCs w:val="24"/>
        </w:rPr>
        <w:t>Таблица 1. Демографски баланс 202</w:t>
      </w:r>
      <w:r w:rsidR="00393E99" w:rsidRPr="00AA5833">
        <w:rPr>
          <w:rFonts w:ascii="Times New Roman" w:hAnsi="Times New Roman" w:cs="Times New Roman"/>
          <w:b/>
          <w:sz w:val="24"/>
          <w:szCs w:val="24"/>
        </w:rPr>
        <w:t>4</w:t>
      </w:r>
      <w:r w:rsidRPr="00AA5833">
        <w:rPr>
          <w:rFonts w:ascii="Times New Roman" w:hAnsi="Times New Roman" w:cs="Times New Roman"/>
          <w:b/>
          <w:sz w:val="24"/>
          <w:szCs w:val="24"/>
        </w:rPr>
        <w:t xml:space="preserve"> г. на страни-членки в ЕС</w:t>
      </w:r>
    </w:p>
    <w:p w14:paraId="34F3ADE7" w14:textId="77777777" w:rsidR="00393E99" w:rsidRPr="00AA5833" w:rsidRDefault="00393E99" w:rsidP="006856A7">
      <w:pPr>
        <w:tabs>
          <w:tab w:val="left" w:pos="3180"/>
        </w:tabs>
        <w:spacing w:after="0" w:line="240" w:lineRule="auto"/>
        <w:jc w:val="center"/>
        <w:rPr>
          <w:rFonts w:ascii="Times New Roman" w:hAnsi="Times New Roman" w:cs="Times New Roman"/>
          <w:b/>
          <w:sz w:val="24"/>
          <w:szCs w:val="24"/>
        </w:rPr>
      </w:pPr>
      <w:r w:rsidRPr="00AA5833">
        <w:rPr>
          <w:noProof/>
          <w:lang w:eastAsia="bg-BG"/>
        </w:rPr>
        <w:drawing>
          <wp:inline distT="0" distB="0" distL="0" distR="0" wp14:anchorId="10381CF8" wp14:editId="53BC0B38">
            <wp:extent cx="5872360" cy="3752697"/>
            <wp:effectExtent l="0" t="0" r="0" b="635"/>
            <wp:docPr id="25" name="Picture 25" descr="https://ec.europa.eu/eurostat/statistics-explained/images/6/66/Population_change_2025_Table01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eurostat/statistics-explained/images/6/66/Population_change_2025_Table01_v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7785" cy="3762554"/>
                    </a:xfrm>
                    <a:prstGeom prst="rect">
                      <a:avLst/>
                    </a:prstGeom>
                    <a:noFill/>
                    <a:ln>
                      <a:noFill/>
                    </a:ln>
                  </pic:spPr>
                </pic:pic>
              </a:graphicData>
            </a:graphic>
          </wp:inline>
        </w:drawing>
      </w:r>
    </w:p>
    <w:p w14:paraId="03633CD5" w14:textId="77777777" w:rsidR="00393E99" w:rsidRPr="00AA5833" w:rsidRDefault="00393E99" w:rsidP="006856A7">
      <w:pPr>
        <w:tabs>
          <w:tab w:val="left" w:pos="3180"/>
        </w:tabs>
        <w:spacing w:after="0" w:line="240" w:lineRule="auto"/>
        <w:jc w:val="center"/>
        <w:rPr>
          <w:rFonts w:ascii="Times New Roman" w:hAnsi="Times New Roman" w:cs="Times New Roman"/>
          <w:b/>
          <w:sz w:val="24"/>
          <w:szCs w:val="24"/>
        </w:rPr>
      </w:pPr>
    </w:p>
    <w:p w14:paraId="1121568D" w14:textId="77777777" w:rsidR="006856A7" w:rsidRPr="00AA5833" w:rsidRDefault="006856A7" w:rsidP="006856A7">
      <w:pPr>
        <w:spacing w:after="0" w:line="240" w:lineRule="auto"/>
        <w:jc w:val="both"/>
        <w:rPr>
          <w:rFonts w:ascii="Times New Roman" w:hAnsi="Times New Roman" w:cs="Times New Roman"/>
          <w:sz w:val="24"/>
          <w:szCs w:val="24"/>
        </w:rPr>
      </w:pPr>
    </w:p>
    <w:p w14:paraId="47022847" w14:textId="77777777" w:rsidR="006856A7" w:rsidRPr="00AA5833" w:rsidRDefault="00393E99" w:rsidP="006856A7">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Въпреки че населението</w:t>
      </w:r>
      <w:r w:rsidR="00281AF1" w:rsidRPr="00AA5833">
        <w:rPr>
          <w:rFonts w:ascii="Times New Roman" w:hAnsi="Times New Roman" w:cs="Times New Roman"/>
          <w:sz w:val="24"/>
          <w:szCs w:val="24"/>
        </w:rPr>
        <w:t xml:space="preserve"> на ЕС като цяло леко се увеличава</w:t>
      </w:r>
      <w:r w:rsidRPr="00AA5833">
        <w:rPr>
          <w:rFonts w:ascii="Times New Roman" w:hAnsi="Times New Roman" w:cs="Times New Roman"/>
          <w:sz w:val="24"/>
          <w:szCs w:val="24"/>
        </w:rPr>
        <w:t xml:space="preserve"> през 2024 г. (темп на растеж от 2.4 на 1000 души), промяната не </w:t>
      </w:r>
      <w:r w:rsidR="00393DEE" w:rsidRPr="00AA5833">
        <w:rPr>
          <w:rFonts w:ascii="Times New Roman" w:hAnsi="Times New Roman" w:cs="Times New Roman"/>
          <w:sz w:val="24"/>
          <w:szCs w:val="24"/>
        </w:rPr>
        <w:t>е</w:t>
      </w:r>
      <w:r w:rsidRPr="00AA5833">
        <w:rPr>
          <w:rFonts w:ascii="Times New Roman" w:hAnsi="Times New Roman" w:cs="Times New Roman"/>
          <w:sz w:val="24"/>
          <w:szCs w:val="24"/>
        </w:rPr>
        <w:t xml:space="preserve"> равномерно разпределена в държавите от Е</w:t>
      </w:r>
      <w:r w:rsidR="00393DEE" w:rsidRPr="00AA5833">
        <w:rPr>
          <w:rFonts w:ascii="Times New Roman" w:hAnsi="Times New Roman" w:cs="Times New Roman"/>
          <w:sz w:val="24"/>
          <w:szCs w:val="24"/>
        </w:rPr>
        <w:t>С</w:t>
      </w:r>
      <w:r w:rsidRPr="00AA5833">
        <w:rPr>
          <w:rFonts w:ascii="Times New Roman" w:hAnsi="Times New Roman" w:cs="Times New Roman"/>
          <w:sz w:val="24"/>
          <w:szCs w:val="24"/>
        </w:rPr>
        <w:t xml:space="preserve"> – в 19 държави се наблюдава увеличение на население</w:t>
      </w:r>
      <w:r w:rsidR="00393DEE" w:rsidRPr="00AA5833">
        <w:rPr>
          <w:rFonts w:ascii="Times New Roman" w:hAnsi="Times New Roman" w:cs="Times New Roman"/>
          <w:sz w:val="24"/>
          <w:szCs w:val="24"/>
        </w:rPr>
        <w:t>то</w:t>
      </w:r>
      <w:r w:rsidRPr="00AA5833">
        <w:rPr>
          <w:rFonts w:ascii="Times New Roman" w:hAnsi="Times New Roman" w:cs="Times New Roman"/>
          <w:sz w:val="24"/>
          <w:szCs w:val="24"/>
        </w:rPr>
        <w:t xml:space="preserve">, а в 8 други </w:t>
      </w:r>
      <w:r w:rsidR="00393DEE" w:rsidRPr="00AA5833">
        <w:rPr>
          <w:rFonts w:ascii="Times New Roman" w:hAnsi="Times New Roman" w:cs="Times New Roman"/>
          <w:sz w:val="24"/>
          <w:szCs w:val="24"/>
        </w:rPr>
        <w:t xml:space="preserve">– </w:t>
      </w:r>
      <w:r w:rsidRPr="00AA5833">
        <w:rPr>
          <w:rFonts w:ascii="Times New Roman" w:hAnsi="Times New Roman" w:cs="Times New Roman"/>
          <w:sz w:val="24"/>
          <w:szCs w:val="24"/>
        </w:rPr>
        <w:t xml:space="preserve">населението </w:t>
      </w:r>
      <w:r w:rsidR="00281AF1" w:rsidRPr="00AA5833">
        <w:rPr>
          <w:rFonts w:ascii="Times New Roman" w:hAnsi="Times New Roman" w:cs="Times New Roman"/>
          <w:sz w:val="24"/>
          <w:szCs w:val="24"/>
        </w:rPr>
        <w:t>намалява</w:t>
      </w:r>
      <w:r w:rsidRPr="00AA5833">
        <w:rPr>
          <w:rFonts w:ascii="Times New Roman" w:hAnsi="Times New Roman" w:cs="Times New Roman"/>
          <w:sz w:val="24"/>
          <w:szCs w:val="24"/>
        </w:rPr>
        <w:t>. Малта (19.0 на 1000 души), Ирландия (16.3) и Люксембург (14.7) регистрират най-високи нива на прираст на населението през 2024 г., докато Латвия (-9.9), Унгария (-4.7), както и Полша и Ест</w:t>
      </w:r>
      <w:r w:rsidR="00281AF1" w:rsidRPr="00AA5833">
        <w:rPr>
          <w:rFonts w:ascii="Times New Roman" w:hAnsi="Times New Roman" w:cs="Times New Roman"/>
          <w:sz w:val="24"/>
          <w:szCs w:val="24"/>
        </w:rPr>
        <w:t>ония (и двете -3.4) регистрират</w:t>
      </w:r>
      <w:r w:rsidRPr="00AA5833">
        <w:rPr>
          <w:rFonts w:ascii="Times New Roman" w:hAnsi="Times New Roman" w:cs="Times New Roman"/>
          <w:sz w:val="24"/>
          <w:szCs w:val="24"/>
        </w:rPr>
        <w:t xml:space="preserve"> най-голям спад (</w:t>
      </w:r>
      <w:r w:rsidR="00393DEE" w:rsidRPr="00AA5833">
        <w:rPr>
          <w:rFonts w:ascii="Times New Roman" w:hAnsi="Times New Roman" w:cs="Times New Roman"/>
          <w:sz w:val="24"/>
          <w:szCs w:val="24"/>
        </w:rPr>
        <w:t>т</w:t>
      </w:r>
      <w:r w:rsidRPr="00AA5833">
        <w:rPr>
          <w:rFonts w:ascii="Times New Roman" w:hAnsi="Times New Roman" w:cs="Times New Roman"/>
          <w:sz w:val="24"/>
          <w:szCs w:val="24"/>
        </w:rPr>
        <w:t>аб</w:t>
      </w:r>
      <w:r w:rsidR="00393DEE" w:rsidRPr="00AA5833">
        <w:rPr>
          <w:rFonts w:ascii="Times New Roman" w:hAnsi="Times New Roman" w:cs="Times New Roman"/>
          <w:sz w:val="24"/>
          <w:szCs w:val="24"/>
        </w:rPr>
        <w:t>.</w:t>
      </w:r>
      <w:r w:rsidR="00E354C3">
        <w:rPr>
          <w:rFonts w:ascii="Times New Roman" w:hAnsi="Times New Roman" w:cs="Times New Roman"/>
          <w:sz w:val="24"/>
          <w:szCs w:val="24"/>
        </w:rPr>
        <w:t xml:space="preserve"> </w:t>
      </w:r>
      <w:r w:rsidRPr="00AA5833">
        <w:rPr>
          <w:rFonts w:ascii="Times New Roman" w:hAnsi="Times New Roman" w:cs="Times New Roman"/>
          <w:sz w:val="24"/>
          <w:szCs w:val="24"/>
        </w:rPr>
        <w:t>2).</w:t>
      </w:r>
    </w:p>
    <w:p w14:paraId="38D00974" w14:textId="77777777" w:rsidR="006856A7" w:rsidRPr="00AA5833" w:rsidRDefault="006856A7" w:rsidP="006856A7">
      <w:pPr>
        <w:spacing w:after="0" w:line="240" w:lineRule="auto"/>
        <w:ind w:firstLine="709"/>
        <w:jc w:val="both"/>
        <w:rPr>
          <w:rFonts w:ascii="Times New Roman" w:hAnsi="Times New Roman" w:cs="Times New Roman"/>
          <w:sz w:val="24"/>
          <w:szCs w:val="24"/>
        </w:rPr>
      </w:pPr>
    </w:p>
    <w:p w14:paraId="200782EE" w14:textId="77777777" w:rsidR="006856A7" w:rsidRPr="00AA5833" w:rsidRDefault="006856A7" w:rsidP="006856A7">
      <w:pPr>
        <w:tabs>
          <w:tab w:val="left" w:pos="3180"/>
        </w:tabs>
        <w:spacing w:after="0" w:line="240" w:lineRule="auto"/>
        <w:ind w:firstLine="709"/>
        <w:rPr>
          <w:rFonts w:ascii="Times New Roman" w:hAnsi="Times New Roman" w:cs="Times New Roman"/>
          <w:b/>
          <w:sz w:val="24"/>
          <w:szCs w:val="24"/>
        </w:rPr>
      </w:pPr>
    </w:p>
    <w:p w14:paraId="5B36AB7E" w14:textId="77777777" w:rsidR="00C25E83" w:rsidRDefault="00C25E83" w:rsidP="006856A7">
      <w:pPr>
        <w:tabs>
          <w:tab w:val="left" w:pos="3180"/>
        </w:tabs>
        <w:spacing w:after="0" w:line="240" w:lineRule="auto"/>
        <w:jc w:val="center"/>
        <w:rPr>
          <w:rFonts w:ascii="Times New Roman" w:hAnsi="Times New Roman" w:cs="Times New Roman"/>
          <w:b/>
          <w:sz w:val="24"/>
          <w:szCs w:val="24"/>
        </w:rPr>
      </w:pPr>
    </w:p>
    <w:p w14:paraId="5B5DE21B"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3BB7FDC6"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1C8F7836"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47037CF1"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6BDD14C5"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1B72C700"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1D49012D"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14BEDB57"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78F150B9"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5CB2CB48" w14:textId="77777777" w:rsidR="00544AD2" w:rsidRDefault="00544AD2" w:rsidP="006856A7">
      <w:pPr>
        <w:tabs>
          <w:tab w:val="left" w:pos="3180"/>
        </w:tabs>
        <w:spacing w:after="0" w:line="240" w:lineRule="auto"/>
        <w:jc w:val="center"/>
        <w:rPr>
          <w:rFonts w:ascii="Times New Roman" w:hAnsi="Times New Roman" w:cs="Times New Roman"/>
          <w:b/>
          <w:sz w:val="24"/>
          <w:szCs w:val="24"/>
        </w:rPr>
      </w:pPr>
    </w:p>
    <w:p w14:paraId="522D6F95" w14:textId="77777777" w:rsidR="002C1C56" w:rsidRDefault="002C1C56" w:rsidP="006856A7">
      <w:pPr>
        <w:tabs>
          <w:tab w:val="left" w:pos="3180"/>
        </w:tabs>
        <w:spacing w:after="0" w:line="240" w:lineRule="auto"/>
        <w:jc w:val="center"/>
        <w:rPr>
          <w:rFonts w:ascii="Times New Roman" w:hAnsi="Times New Roman" w:cs="Times New Roman"/>
          <w:b/>
          <w:sz w:val="24"/>
          <w:szCs w:val="24"/>
        </w:rPr>
      </w:pPr>
    </w:p>
    <w:p w14:paraId="341E8C95" w14:textId="77777777" w:rsidR="006856A7" w:rsidRPr="00AA5833" w:rsidRDefault="006856A7" w:rsidP="006856A7">
      <w:pPr>
        <w:tabs>
          <w:tab w:val="left" w:pos="3180"/>
        </w:tabs>
        <w:spacing w:after="0" w:line="240" w:lineRule="auto"/>
        <w:jc w:val="center"/>
        <w:rPr>
          <w:rFonts w:ascii="Times New Roman" w:hAnsi="Times New Roman" w:cs="Times New Roman"/>
          <w:b/>
          <w:sz w:val="24"/>
          <w:szCs w:val="24"/>
        </w:rPr>
      </w:pPr>
      <w:r w:rsidRPr="00AA5833">
        <w:rPr>
          <w:rFonts w:ascii="Times New Roman" w:hAnsi="Times New Roman" w:cs="Times New Roman"/>
          <w:b/>
          <w:sz w:val="24"/>
          <w:szCs w:val="24"/>
        </w:rPr>
        <w:lastRenderedPageBreak/>
        <w:t>Таблица 2. Общо ниво на промяна на населението 202</w:t>
      </w:r>
      <w:r w:rsidR="00393E99" w:rsidRPr="00AA5833">
        <w:rPr>
          <w:rFonts w:ascii="Times New Roman" w:hAnsi="Times New Roman" w:cs="Times New Roman"/>
          <w:b/>
          <w:sz w:val="24"/>
          <w:szCs w:val="24"/>
        </w:rPr>
        <w:t>2</w:t>
      </w:r>
      <w:r w:rsidRPr="00AA5833">
        <w:rPr>
          <w:rFonts w:ascii="Times New Roman" w:hAnsi="Times New Roman" w:cs="Times New Roman"/>
          <w:b/>
          <w:sz w:val="24"/>
          <w:szCs w:val="24"/>
        </w:rPr>
        <w:t>-202</w:t>
      </w:r>
      <w:r w:rsidR="00393E99" w:rsidRPr="00AA5833">
        <w:rPr>
          <w:rFonts w:ascii="Times New Roman" w:hAnsi="Times New Roman" w:cs="Times New Roman"/>
          <w:b/>
          <w:sz w:val="24"/>
          <w:szCs w:val="24"/>
        </w:rPr>
        <w:t>4</w:t>
      </w:r>
      <w:r w:rsidRPr="00AA5833">
        <w:rPr>
          <w:rFonts w:ascii="Times New Roman" w:hAnsi="Times New Roman" w:cs="Times New Roman"/>
          <w:b/>
          <w:sz w:val="24"/>
          <w:szCs w:val="24"/>
        </w:rPr>
        <w:t xml:space="preserve"> г.</w:t>
      </w:r>
    </w:p>
    <w:p w14:paraId="130407B9" w14:textId="77777777" w:rsidR="006856A7" w:rsidRPr="00AA5833" w:rsidRDefault="00393E99" w:rsidP="006856A7">
      <w:pPr>
        <w:tabs>
          <w:tab w:val="left" w:pos="1464"/>
        </w:tabs>
        <w:rPr>
          <w:rFonts w:ascii="Times New Roman" w:hAnsi="Times New Roman" w:cs="Times New Roman"/>
          <w:sz w:val="20"/>
          <w:szCs w:val="20"/>
        </w:rPr>
      </w:pPr>
      <w:r w:rsidRPr="00AA5833">
        <w:rPr>
          <w:noProof/>
          <w:lang w:eastAsia="bg-BG"/>
        </w:rPr>
        <w:drawing>
          <wp:inline distT="0" distB="0" distL="0" distR="0" wp14:anchorId="700734DD" wp14:editId="5F83F41A">
            <wp:extent cx="5760720" cy="5439304"/>
            <wp:effectExtent l="0" t="0" r="0" b="9525"/>
            <wp:docPr id="26" name="Picture 26" descr="File:Population change 2025 Table02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opulation change 2025 Table02 v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439304"/>
                    </a:xfrm>
                    <a:prstGeom prst="rect">
                      <a:avLst/>
                    </a:prstGeom>
                    <a:noFill/>
                    <a:ln>
                      <a:noFill/>
                    </a:ln>
                  </pic:spPr>
                </pic:pic>
              </a:graphicData>
            </a:graphic>
          </wp:inline>
        </w:drawing>
      </w:r>
    </w:p>
    <w:p w14:paraId="1CA904A6" w14:textId="77777777" w:rsidR="00C25E83" w:rsidRPr="00AA5833" w:rsidRDefault="00C25E83" w:rsidP="00393E99">
      <w:pPr>
        <w:tabs>
          <w:tab w:val="left" w:pos="3180"/>
        </w:tabs>
        <w:spacing w:after="0" w:line="240" w:lineRule="auto"/>
        <w:ind w:firstLine="709"/>
        <w:jc w:val="both"/>
        <w:rPr>
          <w:rFonts w:ascii="Times New Roman" w:hAnsi="Times New Roman" w:cs="Times New Roman"/>
          <w:sz w:val="24"/>
          <w:szCs w:val="24"/>
        </w:rPr>
      </w:pPr>
    </w:p>
    <w:p w14:paraId="1B240FE0" w14:textId="77777777" w:rsidR="00393E99" w:rsidRPr="00AA5833" w:rsidRDefault="00393E99" w:rsidP="00393E99">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Промяната в населението може да се случи по два н</w:t>
      </w:r>
      <w:r w:rsidR="00393DEE" w:rsidRPr="00AA5833">
        <w:rPr>
          <w:rFonts w:ascii="Times New Roman" w:hAnsi="Times New Roman" w:cs="Times New Roman"/>
          <w:sz w:val="24"/>
          <w:szCs w:val="24"/>
        </w:rPr>
        <w:t>ачина –</w:t>
      </w:r>
      <w:r w:rsidRPr="00AA5833">
        <w:rPr>
          <w:rFonts w:ascii="Times New Roman" w:hAnsi="Times New Roman" w:cs="Times New Roman"/>
          <w:sz w:val="24"/>
          <w:szCs w:val="24"/>
        </w:rPr>
        <w:t xml:space="preserve"> или чрез естествен прираст, или чрез нетна миграция. Могат да се идентифицират осем вида промени в населението, като се разграничат растежът или спадът и относителните тегла на естествения прираст и нетния прираст от миграция </w:t>
      </w:r>
      <w:r w:rsidR="00393DEE" w:rsidRPr="00AA5833">
        <w:rPr>
          <w:rFonts w:ascii="Times New Roman" w:hAnsi="Times New Roman" w:cs="Times New Roman"/>
          <w:sz w:val="24"/>
          <w:szCs w:val="24"/>
        </w:rPr>
        <w:t>(</w:t>
      </w:r>
      <w:r w:rsidRPr="00AA5833">
        <w:rPr>
          <w:rFonts w:ascii="Times New Roman" w:hAnsi="Times New Roman" w:cs="Times New Roman"/>
          <w:sz w:val="24"/>
          <w:szCs w:val="24"/>
        </w:rPr>
        <w:t>вижте таб</w:t>
      </w:r>
      <w:r w:rsidR="00393DEE" w:rsidRPr="00AA5833">
        <w:rPr>
          <w:rFonts w:ascii="Times New Roman" w:hAnsi="Times New Roman" w:cs="Times New Roman"/>
          <w:sz w:val="24"/>
          <w:szCs w:val="24"/>
        </w:rPr>
        <w:t>.</w:t>
      </w:r>
      <w:r w:rsidR="00E354C3">
        <w:rPr>
          <w:rFonts w:ascii="Times New Roman" w:hAnsi="Times New Roman" w:cs="Times New Roman"/>
          <w:sz w:val="24"/>
          <w:szCs w:val="24"/>
        </w:rPr>
        <w:t xml:space="preserve"> </w:t>
      </w:r>
      <w:r w:rsidRPr="00AA5833">
        <w:rPr>
          <w:rFonts w:ascii="Times New Roman" w:hAnsi="Times New Roman" w:cs="Times New Roman"/>
          <w:sz w:val="24"/>
          <w:szCs w:val="24"/>
        </w:rPr>
        <w:t>3 за пълната типология</w:t>
      </w:r>
      <w:r w:rsidR="00393DEE" w:rsidRPr="00AA5833">
        <w:rPr>
          <w:rFonts w:ascii="Times New Roman" w:hAnsi="Times New Roman" w:cs="Times New Roman"/>
          <w:sz w:val="24"/>
          <w:szCs w:val="24"/>
        </w:rPr>
        <w:t>)</w:t>
      </w:r>
      <w:r w:rsidRPr="00AA5833">
        <w:rPr>
          <w:rFonts w:ascii="Times New Roman" w:hAnsi="Times New Roman" w:cs="Times New Roman"/>
          <w:sz w:val="24"/>
          <w:szCs w:val="24"/>
        </w:rPr>
        <w:t xml:space="preserve">. </w:t>
      </w:r>
    </w:p>
    <w:p w14:paraId="5181C75C" w14:textId="77777777" w:rsidR="006856A7" w:rsidRPr="00AA5833" w:rsidRDefault="00393E99" w:rsidP="00393E99">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Разглеждайки националните данни през 2024 г., шест държави от ЕС (Ирландия, Франция, Кипър, Люксембург, Малта и Швеция) показ</w:t>
      </w:r>
      <w:r w:rsidR="00B702BD" w:rsidRPr="00AA5833">
        <w:rPr>
          <w:rFonts w:ascii="Times New Roman" w:hAnsi="Times New Roman" w:cs="Times New Roman"/>
          <w:sz w:val="24"/>
          <w:szCs w:val="24"/>
        </w:rPr>
        <w:t>в</w:t>
      </w:r>
      <w:r w:rsidRPr="00AA5833">
        <w:rPr>
          <w:rFonts w:ascii="Times New Roman" w:hAnsi="Times New Roman" w:cs="Times New Roman"/>
          <w:sz w:val="24"/>
          <w:szCs w:val="24"/>
        </w:rPr>
        <w:t>а</w:t>
      </w:r>
      <w:r w:rsidR="00B702BD" w:rsidRPr="00AA5833">
        <w:rPr>
          <w:rFonts w:ascii="Times New Roman" w:hAnsi="Times New Roman" w:cs="Times New Roman"/>
          <w:sz w:val="24"/>
          <w:szCs w:val="24"/>
        </w:rPr>
        <w:t>т</w:t>
      </w:r>
      <w:r w:rsidRPr="00AA5833">
        <w:rPr>
          <w:rFonts w:ascii="Times New Roman" w:hAnsi="Times New Roman" w:cs="Times New Roman"/>
          <w:sz w:val="24"/>
          <w:szCs w:val="24"/>
        </w:rPr>
        <w:t xml:space="preserve"> положителен естествен прираст на населението. Общо 20 държави от ЕС има</w:t>
      </w:r>
      <w:r w:rsidR="00B702BD" w:rsidRPr="00AA5833">
        <w:rPr>
          <w:rFonts w:ascii="Times New Roman" w:hAnsi="Times New Roman" w:cs="Times New Roman"/>
          <w:sz w:val="24"/>
          <w:szCs w:val="24"/>
        </w:rPr>
        <w:t>т</w:t>
      </w:r>
      <w:r w:rsidRPr="00AA5833">
        <w:rPr>
          <w:rFonts w:ascii="Times New Roman" w:hAnsi="Times New Roman" w:cs="Times New Roman"/>
          <w:sz w:val="24"/>
          <w:szCs w:val="24"/>
        </w:rPr>
        <w:t xml:space="preserve"> отрицателни </w:t>
      </w:r>
      <w:r w:rsidR="00B702BD" w:rsidRPr="00AA5833">
        <w:rPr>
          <w:rFonts w:ascii="Times New Roman" w:hAnsi="Times New Roman" w:cs="Times New Roman"/>
          <w:sz w:val="24"/>
          <w:szCs w:val="24"/>
        </w:rPr>
        <w:t>нива</w:t>
      </w:r>
      <w:r w:rsidRPr="00AA5833">
        <w:rPr>
          <w:rFonts w:ascii="Times New Roman" w:hAnsi="Times New Roman" w:cs="Times New Roman"/>
          <w:sz w:val="24"/>
          <w:szCs w:val="24"/>
        </w:rPr>
        <w:t xml:space="preserve"> на естествен прираст, </w:t>
      </w:r>
      <w:r w:rsidR="00B702BD" w:rsidRPr="00AA5833">
        <w:rPr>
          <w:rFonts w:ascii="Times New Roman" w:hAnsi="Times New Roman" w:cs="Times New Roman"/>
          <w:sz w:val="24"/>
          <w:szCs w:val="24"/>
        </w:rPr>
        <w:t>смъртните случаи превишават ражданията</w:t>
      </w:r>
      <w:r w:rsidRPr="00AA5833">
        <w:rPr>
          <w:rFonts w:ascii="Times New Roman" w:hAnsi="Times New Roman" w:cs="Times New Roman"/>
          <w:sz w:val="24"/>
          <w:szCs w:val="24"/>
        </w:rPr>
        <w:t xml:space="preserve">; </w:t>
      </w:r>
      <w:r w:rsidRPr="00AA5833">
        <w:rPr>
          <w:rFonts w:ascii="Times New Roman" w:hAnsi="Times New Roman" w:cs="Times New Roman"/>
          <w:b/>
          <w:sz w:val="24"/>
          <w:szCs w:val="24"/>
        </w:rPr>
        <w:t xml:space="preserve">най-големите отрицателни </w:t>
      </w:r>
      <w:r w:rsidR="00B702BD" w:rsidRPr="00AA5833">
        <w:rPr>
          <w:rFonts w:ascii="Times New Roman" w:hAnsi="Times New Roman" w:cs="Times New Roman"/>
          <w:b/>
          <w:sz w:val="24"/>
          <w:szCs w:val="24"/>
        </w:rPr>
        <w:t xml:space="preserve">нива </w:t>
      </w:r>
      <w:r w:rsidRPr="00AA5833">
        <w:rPr>
          <w:rFonts w:ascii="Times New Roman" w:hAnsi="Times New Roman" w:cs="Times New Roman"/>
          <w:b/>
          <w:sz w:val="24"/>
          <w:szCs w:val="24"/>
        </w:rPr>
        <w:t>на естествен при</w:t>
      </w:r>
      <w:r w:rsidR="00B702BD" w:rsidRPr="00AA5833">
        <w:rPr>
          <w:rFonts w:ascii="Times New Roman" w:hAnsi="Times New Roman" w:cs="Times New Roman"/>
          <w:b/>
          <w:sz w:val="24"/>
          <w:szCs w:val="24"/>
        </w:rPr>
        <w:t>раст</w:t>
      </w:r>
      <w:r w:rsidR="00B702BD" w:rsidRPr="00AA5833">
        <w:rPr>
          <w:rFonts w:ascii="Times New Roman" w:hAnsi="Times New Roman" w:cs="Times New Roman"/>
          <w:sz w:val="24"/>
          <w:szCs w:val="24"/>
        </w:rPr>
        <w:t xml:space="preserve"> се наблюдават в Латвия (-7.</w:t>
      </w:r>
      <w:r w:rsidRPr="00AA5833">
        <w:rPr>
          <w:rFonts w:ascii="Times New Roman" w:hAnsi="Times New Roman" w:cs="Times New Roman"/>
          <w:sz w:val="24"/>
          <w:szCs w:val="24"/>
        </w:rPr>
        <w:t xml:space="preserve">4 на 1000 </w:t>
      </w:r>
      <w:r w:rsidR="00B702BD" w:rsidRPr="00AA5833">
        <w:rPr>
          <w:rFonts w:ascii="Times New Roman" w:hAnsi="Times New Roman" w:cs="Times New Roman"/>
          <w:sz w:val="24"/>
          <w:szCs w:val="24"/>
        </w:rPr>
        <w:t>души), с</w:t>
      </w:r>
      <w:r w:rsidR="00B702BD" w:rsidRPr="00AA5833">
        <w:rPr>
          <w:rFonts w:ascii="Times New Roman" w:hAnsi="Times New Roman" w:cs="Times New Roman"/>
          <w:b/>
          <w:sz w:val="24"/>
          <w:szCs w:val="24"/>
        </w:rPr>
        <w:t>ледвана от България (-7.3)</w:t>
      </w:r>
      <w:r w:rsidR="00B702BD" w:rsidRPr="00AA5833">
        <w:rPr>
          <w:rFonts w:ascii="Times New Roman" w:hAnsi="Times New Roman" w:cs="Times New Roman"/>
          <w:sz w:val="24"/>
          <w:szCs w:val="24"/>
        </w:rPr>
        <w:t xml:space="preserve"> и Литва (-6.</w:t>
      </w:r>
      <w:r w:rsidRPr="00AA5833">
        <w:rPr>
          <w:rFonts w:ascii="Times New Roman" w:hAnsi="Times New Roman" w:cs="Times New Roman"/>
          <w:sz w:val="24"/>
          <w:szCs w:val="24"/>
        </w:rPr>
        <w:t xml:space="preserve">4). Единствената държава от ЕС с нулев коефициент на естествен прираст е Дания. Всички държави от ЕС с изключение на Латвия </w:t>
      </w:r>
      <w:r w:rsidR="00B702BD" w:rsidRPr="00AA5833">
        <w:rPr>
          <w:rFonts w:ascii="Times New Roman" w:hAnsi="Times New Roman" w:cs="Times New Roman"/>
          <w:sz w:val="24"/>
          <w:szCs w:val="24"/>
        </w:rPr>
        <w:t>са имали</w:t>
      </w:r>
      <w:r w:rsidRPr="00AA5833">
        <w:rPr>
          <w:rFonts w:ascii="Times New Roman" w:hAnsi="Times New Roman" w:cs="Times New Roman"/>
          <w:sz w:val="24"/>
          <w:szCs w:val="24"/>
        </w:rPr>
        <w:t xml:space="preserve"> положителни </w:t>
      </w:r>
      <w:r w:rsidR="00B702BD" w:rsidRPr="00AA5833">
        <w:rPr>
          <w:rFonts w:ascii="Times New Roman" w:hAnsi="Times New Roman" w:cs="Times New Roman"/>
          <w:sz w:val="24"/>
          <w:szCs w:val="24"/>
        </w:rPr>
        <w:t>равнища</w:t>
      </w:r>
      <w:r w:rsidRPr="00AA5833">
        <w:rPr>
          <w:rFonts w:ascii="Times New Roman" w:hAnsi="Times New Roman" w:cs="Times New Roman"/>
          <w:sz w:val="24"/>
          <w:szCs w:val="24"/>
        </w:rPr>
        <w:t xml:space="preserve"> на нетна миграция през 2024 г., като най-високите коефиц</w:t>
      </w:r>
      <w:r w:rsidR="00B702BD" w:rsidRPr="00AA5833">
        <w:rPr>
          <w:rFonts w:ascii="Times New Roman" w:hAnsi="Times New Roman" w:cs="Times New Roman"/>
          <w:sz w:val="24"/>
          <w:szCs w:val="24"/>
        </w:rPr>
        <w:t>иенти се наблюдават в Малта (18.7 на 1000 души), Португалия (13.4) и Ирландия (12.</w:t>
      </w:r>
      <w:r w:rsidRPr="00AA5833">
        <w:rPr>
          <w:rFonts w:ascii="Times New Roman" w:hAnsi="Times New Roman" w:cs="Times New Roman"/>
          <w:sz w:val="24"/>
          <w:szCs w:val="24"/>
        </w:rPr>
        <w:t>8).</w:t>
      </w:r>
    </w:p>
    <w:p w14:paraId="7AC9FD18" w14:textId="77777777" w:rsidR="006856A7" w:rsidRPr="00AA5833" w:rsidRDefault="006856A7" w:rsidP="006856A7">
      <w:pPr>
        <w:tabs>
          <w:tab w:val="left" w:pos="3180"/>
        </w:tabs>
        <w:spacing w:after="0" w:line="240" w:lineRule="auto"/>
        <w:ind w:firstLine="1"/>
        <w:jc w:val="both"/>
        <w:rPr>
          <w:rFonts w:ascii="Times New Roman" w:hAnsi="Times New Roman" w:cs="Times New Roman"/>
          <w:b/>
          <w:sz w:val="24"/>
          <w:szCs w:val="24"/>
        </w:rPr>
      </w:pPr>
    </w:p>
    <w:p w14:paraId="31FF7868" w14:textId="77777777" w:rsidR="00C25E83" w:rsidRPr="00AA5833" w:rsidRDefault="00C25E83" w:rsidP="006856A7">
      <w:pPr>
        <w:tabs>
          <w:tab w:val="left" w:pos="3180"/>
        </w:tabs>
        <w:spacing w:after="0" w:line="240" w:lineRule="auto"/>
        <w:ind w:firstLine="1"/>
        <w:jc w:val="both"/>
        <w:rPr>
          <w:rFonts w:ascii="Times New Roman" w:hAnsi="Times New Roman" w:cs="Times New Roman"/>
          <w:b/>
          <w:sz w:val="24"/>
          <w:szCs w:val="24"/>
        </w:rPr>
      </w:pPr>
    </w:p>
    <w:p w14:paraId="30BAFCD5" w14:textId="77777777" w:rsidR="006856A7" w:rsidRPr="00AA5833" w:rsidRDefault="006856A7" w:rsidP="006856A7">
      <w:pPr>
        <w:tabs>
          <w:tab w:val="left" w:pos="3180"/>
        </w:tabs>
        <w:spacing w:after="0" w:line="240" w:lineRule="auto"/>
        <w:ind w:firstLine="1"/>
        <w:jc w:val="both"/>
        <w:rPr>
          <w:rFonts w:ascii="Times New Roman" w:hAnsi="Times New Roman" w:cs="Times New Roman"/>
          <w:b/>
          <w:sz w:val="24"/>
          <w:szCs w:val="24"/>
        </w:rPr>
      </w:pPr>
      <w:r w:rsidRPr="00AA5833">
        <w:rPr>
          <w:rFonts w:ascii="Times New Roman" w:hAnsi="Times New Roman" w:cs="Times New Roman"/>
          <w:b/>
          <w:sz w:val="24"/>
          <w:szCs w:val="24"/>
        </w:rPr>
        <w:lastRenderedPageBreak/>
        <w:t>Таблица 3. Принос на естествения прираст и миграцията (и статистическа корекция) към изменението на населението – 202</w:t>
      </w:r>
      <w:r w:rsidR="00B702BD" w:rsidRPr="00AA5833">
        <w:rPr>
          <w:rFonts w:ascii="Times New Roman" w:hAnsi="Times New Roman" w:cs="Times New Roman"/>
          <w:b/>
          <w:sz w:val="24"/>
          <w:szCs w:val="24"/>
        </w:rPr>
        <w:t>4</w:t>
      </w:r>
      <w:r w:rsidRPr="00AA5833">
        <w:rPr>
          <w:rFonts w:ascii="Times New Roman" w:hAnsi="Times New Roman" w:cs="Times New Roman"/>
          <w:b/>
          <w:sz w:val="24"/>
          <w:szCs w:val="24"/>
        </w:rPr>
        <w:t xml:space="preserve"> г.</w:t>
      </w:r>
    </w:p>
    <w:p w14:paraId="1082430F" w14:textId="77777777" w:rsidR="00B702BD" w:rsidRPr="00AA5833" w:rsidRDefault="00B702BD" w:rsidP="006856A7">
      <w:pPr>
        <w:tabs>
          <w:tab w:val="left" w:pos="3180"/>
        </w:tabs>
        <w:spacing w:after="0" w:line="240" w:lineRule="auto"/>
        <w:ind w:firstLine="1"/>
        <w:jc w:val="both"/>
        <w:rPr>
          <w:rFonts w:ascii="Times New Roman" w:hAnsi="Times New Roman" w:cs="Times New Roman"/>
          <w:b/>
          <w:sz w:val="24"/>
          <w:szCs w:val="24"/>
        </w:rPr>
      </w:pPr>
    </w:p>
    <w:p w14:paraId="70535B75" w14:textId="77777777" w:rsidR="006856A7" w:rsidRPr="00AA5833" w:rsidRDefault="00B702BD" w:rsidP="006856A7">
      <w:pPr>
        <w:tabs>
          <w:tab w:val="left" w:pos="3180"/>
        </w:tabs>
        <w:spacing w:after="0" w:line="240" w:lineRule="auto"/>
        <w:ind w:firstLine="1"/>
        <w:jc w:val="both"/>
        <w:rPr>
          <w:rFonts w:ascii="Times New Roman" w:hAnsi="Times New Roman" w:cs="Times New Roman"/>
          <w:b/>
          <w:sz w:val="24"/>
          <w:szCs w:val="24"/>
        </w:rPr>
      </w:pPr>
      <w:r w:rsidRPr="00AA5833">
        <w:rPr>
          <w:noProof/>
          <w:lang w:eastAsia="bg-BG"/>
        </w:rPr>
        <w:drawing>
          <wp:inline distT="0" distB="0" distL="0" distR="0" wp14:anchorId="64385FFC" wp14:editId="61C73EE1">
            <wp:extent cx="5760720" cy="2671124"/>
            <wp:effectExtent l="0" t="0" r="0" b="0"/>
            <wp:docPr id="27" name="Picture 27" descr="File:Population change 2025 Table03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opulation change 2025 Table03 v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71124"/>
                    </a:xfrm>
                    <a:prstGeom prst="rect">
                      <a:avLst/>
                    </a:prstGeom>
                    <a:noFill/>
                    <a:ln>
                      <a:noFill/>
                    </a:ln>
                  </pic:spPr>
                </pic:pic>
              </a:graphicData>
            </a:graphic>
          </wp:inline>
        </w:drawing>
      </w:r>
    </w:p>
    <w:p w14:paraId="48E87C82" w14:textId="77777777" w:rsidR="006856A7" w:rsidRPr="00AA5833" w:rsidRDefault="006856A7" w:rsidP="006856A7">
      <w:pPr>
        <w:tabs>
          <w:tab w:val="left" w:pos="3180"/>
        </w:tabs>
        <w:spacing w:after="0" w:line="240" w:lineRule="auto"/>
        <w:jc w:val="both"/>
        <w:rPr>
          <w:rFonts w:ascii="Times New Roman" w:hAnsi="Times New Roman" w:cs="Times New Roman"/>
          <w:sz w:val="24"/>
          <w:szCs w:val="24"/>
        </w:rPr>
      </w:pPr>
    </w:p>
    <w:p w14:paraId="19FD5B60" w14:textId="77777777" w:rsidR="00B702BD" w:rsidRPr="00AA5833" w:rsidRDefault="00B702BD" w:rsidP="00B702BD">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Сред 19-те държави от ЕС, в които населението се е увеличило през 2024 г., шест държави (Ирландия, Испания, Кипър, Люксембург, Малта и Швеция) регистрират както естествен прираст, така и положителна нетна миграция, допринасящи за растежа на населението им. В 13 държави (Белгия, Чехия, Дания, Германия, Гърция, Испания, Хърватия, Литва, Нидерландия, Австрия, Португалия, Словения и Финландия) положителната нетна миграция е двигател на растежа на населението, тъй като естественият прираст на населението е отрицателен.</w:t>
      </w:r>
    </w:p>
    <w:p w14:paraId="27A724AE" w14:textId="77777777" w:rsidR="006856A7" w:rsidRPr="00AA5833" w:rsidRDefault="00B702BD" w:rsidP="00B702BD">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От 8-</w:t>
      </w:r>
      <w:r w:rsidR="00281AF1" w:rsidRPr="00AA5833">
        <w:rPr>
          <w:rFonts w:ascii="Times New Roman" w:hAnsi="Times New Roman" w:cs="Times New Roman"/>
          <w:sz w:val="24"/>
          <w:szCs w:val="24"/>
        </w:rPr>
        <w:t>те държави от ЕС, които отчитат</w:t>
      </w:r>
      <w:r w:rsidRPr="00AA5833">
        <w:rPr>
          <w:rFonts w:ascii="Times New Roman" w:hAnsi="Times New Roman" w:cs="Times New Roman"/>
          <w:sz w:val="24"/>
          <w:szCs w:val="24"/>
        </w:rPr>
        <w:t xml:space="preserve"> спад на населението през 2024 г., </w:t>
      </w:r>
      <w:r w:rsidR="00281AF1" w:rsidRPr="00AA5833">
        <w:rPr>
          <w:rFonts w:ascii="Times New Roman" w:hAnsi="Times New Roman" w:cs="Times New Roman"/>
          <w:sz w:val="24"/>
          <w:szCs w:val="24"/>
        </w:rPr>
        <w:t xml:space="preserve">за </w:t>
      </w:r>
      <w:r w:rsidRPr="00AA5833">
        <w:rPr>
          <w:rFonts w:ascii="Times New Roman" w:hAnsi="Times New Roman" w:cs="Times New Roman"/>
          <w:sz w:val="24"/>
          <w:szCs w:val="24"/>
        </w:rPr>
        <w:t xml:space="preserve">седем държави (България, Естония, Италия, Латвия, Унгария, Полша, Румъния и Словакия) ефектът от положителната нетна миграция не е достатъчен, за да компенсира отрицателния естествен прираст. Латвия е единствената държава, </w:t>
      </w:r>
      <w:r w:rsidR="001059FE">
        <w:rPr>
          <w:rFonts w:ascii="Times New Roman" w:hAnsi="Times New Roman" w:cs="Times New Roman"/>
          <w:sz w:val="24"/>
          <w:szCs w:val="24"/>
        </w:rPr>
        <w:t xml:space="preserve">в </w:t>
      </w:r>
      <w:r w:rsidRPr="00AA5833">
        <w:rPr>
          <w:rFonts w:ascii="Times New Roman" w:hAnsi="Times New Roman" w:cs="Times New Roman"/>
          <w:sz w:val="24"/>
          <w:szCs w:val="24"/>
        </w:rPr>
        <w:t xml:space="preserve">която </w:t>
      </w:r>
      <w:r w:rsidR="001059FE">
        <w:rPr>
          <w:rFonts w:ascii="Times New Roman" w:hAnsi="Times New Roman" w:cs="Times New Roman"/>
          <w:sz w:val="24"/>
          <w:szCs w:val="24"/>
        </w:rPr>
        <w:t>се наблюдава</w:t>
      </w:r>
      <w:r w:rsidRPr="00AA5833">
        <w:rPr>
          <w:rFonts w:ascii="Times New Roman" w:hAnsi="Times New Roman" w:cs="Times New Roman"/>
          <w:sz w:val="24"/>
          <w:szCs w:val="24"/>
        </w:rPr>
        <w:t xml:space="preserve"> отрицателен естествен </w:t>
      </w:r>
      <w:r w:rsidR="00281AF1" w:rsidRPr="00AA5833">
        <w:rPr>
          <w:rFonts w:ascii="Times New Roman" w:hAnsi="Times New Roman" w:cs="Times New Roman"/>
          <w:sz w:val="24"/>
          <w:szCs w:val="24"/>
        </w:rPr>
        <w:t xml:space="preserve">прираст </w:t>
      </w:r>
      <w:r w:rsidRPr="00AA5833">
        <w:rPr>
          <w:rFonts w:ascii="Times New Roman" w:hAnsi="Times New Roman" w:cs="Times New Roman"/>
          <w:sz w:val="24"/>
          <w:szCs w:val="24"/>
        </w:rPr>
        <w:t>и отрицателна нетна миграция.</w:t>
      </w:r>
    </w:p>
    <w:p w14:paraId="5236E088" w14:textId="77777777" w:rsidR="00B702BD" w:rsidRPr="00AA5833" w:rsidRDefault="00B702BD" w:rsidP="00B702BD">
      <w:pPr>
        <w:tabs>
          <w:tab w:val="left" w:pos="3180"/>
        </w:tabs>
        <w:spacing w:after="0" w:line="240" w:lineRule="auto"/>
        <w:ind w:firstLine="709"/>
        <w:jc w:val="both"/>
        <w:rPr>
          <w:rFonts w:ascii="Times New Roman" w:hAnsi="Times New Roman" w:cs="Times New Roman"/>
          <w:sz w:val="24"/>
          <w:szCs w:val="24"/>
        </w:rPr>
      </w:pPr>
    </w:p>
    <w:p w14:paraId="1E509986" w14:textId="77777777" w:rsidR="002F2C47" w:rsidRPr="00AA5833" w:rsidRDefault="002F2C47" w:rsidP="006856A7">
      <w:pPr>
        <w:spacing w:line="240" w:lineRule="auto"/>
        <w:jc w:val="center"/>
        <w:rPr>
          <w:rFonts w:ascii="Times New Roman" w:hAnsi="Times New Roman" w:cs="Times New Roman"/>
          <w:b/>
          <w:sz w:val="24"/>
          <w:szCs w:val="24"/>
        </w:rPr>
      </w:pPr>
      <w:r w:rsidRPr="00AA5833">
        <w:rPr>
          <w:rFonts w:ascii="Times New Roman" w:hAnsi="Times New Roman" w:cs="Times New Roman"/>
          <w:b/>
          <w:sz w:val="24"/>
          <w:szCs w:val="24"/>
        </w:rPr>
        <w:t>Структура на населението и застаряване в Европейския съюз през 2024 г.</w:t>
      </w:r>
    </w:p>
    <w:p w14:paraId="151E7489" w14:textId="77777777" w:rsidR="002F2C47" w:rsidRPr="00AA5833" w:rsidRDefault="002F2C47" w:rsidP="002F2C47">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Демографското застаряване в Европейския съюз ще бъде от голямо значение през следващите десетилетия. Постоянно ниските нива на раждаемост и по-високата продължителност на живота променят формата на демографската пирамида на населението на ЕС. Вероятно най-важната промяна ще бъде забележимият преход към много по-възрастна структура на населението, развитие, което вече е видимо в няколко страни от ЕС.</w:t>
      </w:r>
    </w:p>
    <w:p w14:paraId="4C6970DA" w14:textId="77777777" w:rsidR="002F2C47" w:rsidRPr="00AA5833" w:rsidRDefault="002F2C47" w:rsidP="002F2C47">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В резултат на демографските промени делът на хората в трудоспособна възраст в ЕС намалява, докато относителният брой на пенсионерите се увеличава. Очаква се делът на възрастните хора в общото население да се увеличи значително през следващите десетилетия. Това от своя страна може да доведе до увеличена тежест върху хората в трудоспособна възраст, за да се осигурят социалните разходи, необходими на застаряващото население за </w:t>
      </w:r>
      <w:r w:rsidR="005B3B5A" w:rsidRPr="00AA5833">
        <w:rPr>
          <w:rFonts w:ascii="Times New Roman" w:hAnsi="Times New Roman" w:cs="Times New Roman"/>
          <w:sz w:val="24"/>
          <w:szCs w:val="24"/>
        </w:rPr>
        <w:t xml:space="preserve">здравни и социални </w:t>
      </w:r>
      <w:r w:rsidRPr="00AA5833">
        <w:rPr>
          <w:rFonts w:ascii="Times New Roman" w:hAnsi="Times New Roman" w:cs="Times New Roman"/>
          <w:sz w:val="24"/>
          <w:szCs w:val="24"/>
        </w:rPr>
        <w:t>услуги.</w:t>
      </w:r>
    </w:p>
    <w:p w14:paraId="041B472C" w14:textId="77777777" w:rsidR="002F2C47" w:rsidRPr="00AA5833" w:rsidRDefault="00980247" w:rsidP="002F2C47">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Населението на ЕС към 1 януари 2024 г. е 449,3 милиона души. </w:t>
      </w:r>
      <w:r w:rsidR="002F2C47" w:rsidRPr="00AA5833">
        <w:rPr>
          <w:rFonts w:ascii="Times New Roman" w:hAnsi="Times New Roman" w:cs="Times New Roman"/>
          <w:sz w:val="24"/>
          <w:szCs w:val="24"/>
        </w:rPr>
        <w:t>Децата на възраст меж</w:t>
      </w:r>
      <w:r w:rsidR="00AC78F8" w:rsidRPr="00AA5833">
        <w:rPr>
          <w:rFonts w:ascii="Times New Roman" w:hAnsi="Times New Roman" w:cs="Times New Roman"/>
          <w:sz w:val="24"/>
          <w:szCs w:val="24"/>
        </w:rPr>
        <w:t>ду 0 и 14 години съставляват 14.</w:t>
      </w:r>
      <w:r w:rsidR="002F2C47" w:rsidRPr="00AA5833">
        <w:rPr>
          <w:rFonts w:ascii="Times New Roman" w:hAnsi="Times New Roman" w:cs="Times New Roman"/>
          <w:sz w:val="24"/>
          <w:szCs w:val="24"/>
        </w:rPr>
        <w:t>6% от населението на ЕС (</w:t>
      </w:r>
      <w:r w:rsidR="00E010A8" w:rsidRPr="00AA5833">
        <w:rPr>
          <w:rFonts w:ascii="Times New Roman" w:hAnsi="Times New Roman" w:cs="Times New Roman"/>
          <w:sz w:val="24"/>
          <w:szCs w:val="24"/>
        </w:rPr>
        <w:t>т</w:t>
      </w:r>
      <w:r w:rsidR="002F2C47" w:rsidRPr="00AA5833">
        <w:rPr>
          <w:rFonts w:ascii="Times New Roman" w:hAnsi="Times New Roman" w:cs="Times New Roman"/>
          <w:sz w:val="24"/>
          <w:szCs w:val="24"/>
        </w:rPr>
        <w:t xml:space="preserve">аблица </w:t>
      </w:r>
      <w:r w:rsidR="00AC78F8" w:rsidRPr="00AA5833">
        <w:rPr>
          <w:rFonts w:ascii="Times New Roman" w:hAnsi="Times New Roman" w:cs="Times New Roman"/>
          <w:sz w:val="24"/>
          <w:szCs w:val="24"/>
        </w:rPr>
        <w:t>4</w:t>
      </w:r>
      <w:r w:rsidR="007016A8">
        <w:rPr>
          <w:rFonts w:ascii="Times New Roman" w:hAnsi="Times New Roman" w:cs="Times New Roman"/>
          <w:sz w:val="24"/>
          <w:szCs w:val="24"/>
        </w:rPr>
        <w:t>), докато хората</w:t>
      </w:r>
      <w:r w:rsidR="007016A8" w:rsidRPr="00EC4E07">
        <w:rPr>
          <w:rFonts w:ascii="Times New Roman" w:hAnsi="Times New Roman" w:cs="Times New Roman"/>
          <w:sz w:val="24"/>
          <w:szCs w:val="24"/>
        </w:rPr>
        <w:t xml:space="preserve"> </w:t>
      </w:r>
      <w:r w:rsidR="002F2C47" w:rsidRPr="00AA5833">
        <w:rPr>
          <w:rFonts w:ascii="Times New Roman" w:hAnsi="Times New Roman" w:cs="Times New Roman"/>
          <w:sz w:val="24"/>
          <w:szCs w:val="24"/>
        </w:rPr>
        <w:t xml:space="preserve">в трудоспособна възраст (15 </w:t>
      </w:r>
      <w:r w:rsidR="00AC78F8" w:rsidRPr="00AA5833">
        <w:rPr>
          <w:rFonts w:ascii="Times New Roman" w:hAnsi="Times New Roman" w:cs="Times New Roman"/>
          <w:sz w:val="24"/>
          <w:szCs w:val="24"/>
        </w:rPr>
        <w:t>до 64 години), представляват 63.</w:t>
      </w:r>
      <w:r w:rsidR="002F2C47" w:rsidRPr="00AA5833">
        <w:rPr>
          <w:rFonts w:ascii="Times New Roman" w:hAnsi="Times New Roman" w:cs="Times New Roman"/>
          <w:sz w:val="24"/>
          <w:szCs w:val="24"/>
        </w:rPr>
        <w:t xml:space="preserve">8% от населението. Възрастните хора (на 65 </w:t>
      </w:r>
      <w:r w:rsidR="00AC78F8" w:rsidRPr="00AA5833">
        <w:rPr>
          <w:rFonts w:ascii="Times New Roman" w:hAnsi="Times New Roman" w:cs="Times New Roman"/>
          <w:sz w:val="24"/>
          <w:szCs w:val="24"/>
        </w:rPr>
        <w:t>и повече години) имат дял от 21.6% (увеличение с 0.</w:t>
      </w:r>
      <w:r w:rsidR="002F2C47" w:rsidRPr="00AA5833">
        <w:rPr>
          <w:rFonts w:ascii="Times New Roman" w:hAnsi="Times New Roman" w:cs="Times New Roman"/>
          <w:sz w:val="24"/>
          <w:szCs w:val="24"/>
        </w:rPr>
        <w:t xml:space="preserve">3 процентни </w:t>
      </w:r>
      <w:r w:rsidR="002F2C47" w:rsidRPr="00AA5833">
        <w:rPr>
          <w:rFonts w:ascii="Times New Roman" w:hAnsi="Times New Roman" w:cs="Times New Roman"/>
          <w:sz w:val="24"/>
          <w:szCs w:val="24"/>
        </w:rPr>
        <w:lastRenderedPageBreak/>
        <w:t>пункта (п.п.) в сравнение с пред</w:t>
      </w:r>
      <w:r w:rsidR="00AC78F8" w:rsidRPr="00AA5833">
        <w:rPr>
          <w:rFonts w:ascii="Times New Roman" w:hAnsi="Times New Roman" w:cs="Times New Roman"/>
          <w:sz w:val="24"/>
          <w:szCs w:val="24"/>
        </w:rPr>
        <w:t>ходната година и увеличение с 2.</w:t>
      </w:r>
      <w:r w:rsidR="002F2C47" w:rsidRPr="00AA5833">
        <w:rPr>
          <w:rFonts w:ascii="Times New Roman" w:hAnsi="Times New Roman" w:cs="Times New Roman"/>
          <w:sz w:val="24"/>
          <w:szCs w:val="24"/>
        </w:rPr>
        <w:t>9 п.п. в сравнение с 10 години по-рано). За сравнение, през 2023 г. трите групи от населението, деца</w:t>
      </w:r>
      <w:r w:rsidR="005B3B5A" w:rsidRPr="00AA5833">
        <w:rPr>
          <w:rFonts w:ascii="Times New Roman" w:hAnsi="Times New Roman" w:cs="Times New Roman"/>
          <w:sz w:val="24"/>
          <w:szCs w:val="24"/>
        </w:rPr>
        <w:t>та</w:t>
      </w:r>
      <w:r w:rsidR="002F2C47" w:rsidRPr="00AA5833">
        <w:rPr>
          <w:rFonts w:ascii="Times New Roman" w:hAnsi="Times New Roman" w:cs="Times New Roman"/>
          <w:sz w:val="24"/>
          <w:szCs w:val="24"/>
        </w:rPr>
        <w:t xml:space="preserve"> (0 до 14 години), хора</w:t>
      </w:r>
      <w:r w:rsidR="005B3B5A" w:rsidRPr="00AA5833">
        <w:rPr>
          <w:rFonts w:ascii="Times New Roman" w:hAnsi="Times New Roman" w:cs="Times New Roman"/>
          <w:sz w:val="24"/>
          <w:szCs w:val="24"/>
        </w:rPr>
        <w:t>та</w:t>
      </w:r>
      <w:r w:rsidR="002F2C47" w:rsidRPr="00AA5833">
        <w:rPr>
          <w:rFonts w:ascii="Times New Roman" w:hAnsi="Times New Roman" w:cs="Times New Roman"/>
          <w:sz w:val="24"/>
          <w:szCs w:val="24"/>
        </w:rPr>
        <w:t xml:space="preserve"> в трудоспособна възраст (15 до 64 години) и възрастни</w:t>
      </w:r>
      <w:r w:rsidR="005B3B5A" w:rsidRPr="00AA5833">
        <w:rPr>
          <w:rFonts w:ascii="Times New Roman" w:hAnsi="Times New Roman" w:cs="Times New Roman"/>
          <w:sz w:val="24"/>
          <w:szCs w:val="24"/>
        </w:rPr>
        <w:t>те</w:t>
      </w:r>
      <w:r w:rsidR="002F2C47" w:rsidRPr="00AA5833">
        <w:rPr>
          <w:rFonts w:ascii="Times New Roman" w:hAnsi="Times New Roman" w:cs="Times New Roman"/>
          <w:sz w:val="24"/>
          <w:szCs w:val="24"/>
        </w:rPr>
        <w:t xml:space="preserve"> хора (на 65 и</w:t>
      </w:r>
      <w:r w:rsidR="007016A8">
        <w:rPr>
          <w:rFonts w:ascii="Times New Roman" w:hAnsi="Times New Roman" w:cs="Times New Roman"/>
          <w:sz w:val="24"/>
          <w:szCs w:val="24"/>
        </w:rPr>
        <w:t xml:space="preserve"> повече години)</w:t>
      </w:r>
      <w:r w:rsidR="007016A8" w:rsidRPr="00EC4E07">
        <w:rPr>
          <w:rFonts w:ascii="Times New Roman" w:hAnsi="Times New Roman" w:cs="Times New Roman"/>
          <w:sz w:val="24"/>
          <w:szCs w:val="24"/>
        </w:rPr>
        <w:t xml:space="preserve"> </w:t>
      </w:r>
      <w:r w:rsidR="002F2C47" w:rsidRPr="00AA5833">
        <w:rPr>
          <w:rFonts w:ascii="Times New Roman" w:hAnsi="Times New Roman" w:cs="Times New Roman"/>
          <w:sz w:val="24"/>
          <w:szCs w:val="24"/>
        </w:rPr>
        <w:t>представля</w:t>
      </w:r>
      <w:r w:rsidR="00AC78F8" w:rsidRPr="00AA5833">
        <w:rPr>
          <w:rFonts w:ascii="Times New Roman" w:hAnsi="Times New Roman" w:cs="Times New Roman"/>
          <w:sz w:val="24"/>
          <w:szCs w:val="24"/>
        </w:rPr>
        <w:t>ват съответно 14.8%, 63.8% и 21.</w:t>
      </w:r>
      <w:r w:rsidR="002F2C47" w:rsidRPr="00AA5833">
        <w:rPr>
          <w:rFonts w:ascii="Times New Roman" w:hAnsi="Times New Roman" w:cs="Times New Roman"/>
          <w:sz w:val="24"/>
          <w:szCs w:val="24"/>
        </w:rPr>
        <w:t>3% от населението на ЕС.</w:t>
      </w:r>
    </w:p>
    <w:p w14:paraId="25860CA5" w14:textId="77777777" w:rsidR="00AC78F8" w:rsidRPr="00AA5833" w:rsidRDefault="00AC78F8" w:rsidP="002F2C47">
      <w:pPr>
        <w:tabs>
          <w:tab w:val="left" w:pos="3180"/>
        </w:tabs>
        <w:spacing w:after="0" w:line="240" w:lineRule="auto"/>
        <w:ind w:firstLine="709"/>
        <w:jc w:val="both"/>
        <w:rPr>
          <w:rFonts w:ascii="Times New Roman" w:hAnsi="Times New Roman" w:cs="Times New Roman"/>
          <w:sz w:val="24"/>
          <w:szCs w:val="24"/>
        </w:rPr>
      </w:pPr>
    </w:p>
    <w:p w14:paraId="229FEF7C" w14:textId="77777777" w:rsidR="00AC78F8" w:rsidRPr="00AA5833" w:rsidRDefault="00AC78F8" w:rsidP="002F2C47">
      <w:pPr>
        <w:tabs>
          <w:tab w:val="left" w:pos="3180"/>
        </w:tabs>
        <w:spacing w:after="0" w:line="240" w:lineRule="auto"/>
        <w:ind w:firstLine="709"/>
        <w:jc w:val="both"/>
        <w:rPr>
          <w:rFonts w:ascii="Times New Roman" w:hAnsi="Times New Roman" w:cs="Times New Roman"/>
          <w:b/>
          <w:sz w:val="24"/>
          <w:szCs w:val="24"/>
        </w:rPr>
      </w:pPr>
      <w:r w:rsidRPr="00AA5833">
        <w:rPr>
          <w:rFonts w:ascii="Times New Roman" w:hAnsi="Times New Roman" w:cs="Times New Roman"/>
          <w:b/>
          <w:sz w:val="24"/>
          <w:szCs w:val="24"/>
        </w:rPr>
        <w:t>Таблица 4. Възрастова структура на населението по основни възрастови групи, 2014, 2023 и 2024 г. (% от общото население)</w:t>
      </w:r>
    </w:p>
    <w:p w14:paraId="6CB31DD8" w14:textId="77777777" w:rsidR="00AC78F8" w:rsidRPr="00AA5833" w:rsidRDefault="00AC78F8" w:rsidP="002F2C47">
      <w:pPr>
        <w:tabs>
          <w:tab w:val="left" w:pos="3180"/>
        </w:tabs>
        <w:spacing w:after="0" w:line="240" w:lineRule="auto"/>
        <w:ind w:firstLine="709"/>
        <w:jc w:val="both"/>
        <w:rPr>
          <w:rFonts w:ascii="Times New Roman" w:hAnsi="Times New Roman" w:cs="Times New Roman"/>
          <w:b/>
          <w:sz w:val="24"/>
          <w:szCs w:val="24"/>
        </w:rPr>
      </w:pPr>
    </w:p>
    <w:p w14:paraId="2E8CD158" w14:textId="77777777" w:rsidR="002F2C47" w:rsidRPr="00AA5833" w:rsidRDefault="00AC78F8" w:rsidP="00AC78F8">
      <w:pPr>
        <w:tabs>
          <w:tab w:val="left" w:pos="3180"/>
        </w:tabs>
        <w:spacing w:after="0" w:line="240" w:lineRule="auto"/>
        <w:jc w:val="both"/>
        <w:rPr>
          <w:rFonts w:ascii="Times New Roman" w:hAnsi="Times New Roman" w:cs="Times New Roman"/>
          <w:sz w:val="24"/>
          <w:szCs w:val="24"/>
        </w:rPr>
      </w:pPr>
      <w:r w:rsidRPr="00AA5833">
        <w:rPr>
          <w:noProof/>
          <w:lang w:eastAsia="bg-BG"/>
        </w:rPr>
        <w:drawing>
          <wp:inline distT="0" distB="0" distL="0" distR="0" wp14:anchorId="33C43301" wp14:editId="08E56B1C">
            <wp:extent cx="5916295" cy="4387583"/>
            <wp:effectExtent l="0" t="0" r="8255" b="0"/>
            <wp:docPr id="29" name="Picture 29" descr="https://ec.europa.eu/eurostat/statistics-explained/images/4/4b/Population_age_structure_by_major_age_groups%2C_2014%2C_2023_and_2024_%28%25_of_the_total_population%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eurostat/statistics-explained/images/4/4b/Population_age_structure_by_major_age_groups%2C_2014%2C_2023_and_2024_%28%25_of_the_total_population%29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3245" cy="4392737"/>
                    </a:xfrm>
                    <a:prstGeom prst="rect">
                      <a:avLst/>
                    </a:prstGeom>
                    <a:noFill/>
                    <a:ln>
                      <a:noFill/>
                    </a:ln>
                  </pic:spPr>
                </pic:pic>
              </a:graphicData>
            </a:graphic>
          </wp:inline>
        </w:drawing>
      </w:r>
    </w:p>
    <w:p w14:paraId="6B47E9C5" w14:textId="77777777" w:rsidR="002F2C47" w:rsidRPr="00AA5833" w:rsidRDefault="002F2C47" w:rsidP="002F2C47">
      <w:pPr>
        <w:tabs>
          <w:tab w:val="left" w:pos="3180"/>
        </w:tabs>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В страните от ЕС най-високите дялове на децата в общото население през 2024 г. са наблюдавани в</w:t>
      </w:r>
      <w:r w:rsidR="00AC78F8" w:rsidRPr="00AA5833">
        <w:rPr>
          <w:rFonts w:ascii="Times New Roman" w:hAnsi="Times New Roman" w:cs="Times New Roman"/>
          <w:sz w:val="24"/>
          <w:szCs w:val="24"/>
        </w:rPr>
        <w:t xml:space="preserve"> Ирландия (18.9%), Швеция (17.1%) и Франция (17.</w:t>
      </w:r>
      <w:r w:rsidRPr="00AA5833">
        <w:rPr>
          <w:rFonts w:ascii="Times New Roman" w:hAnsi="Times New Roman" w:cs="Times New Roman"/>
          <w:sz w:val="24"/>
          <w:szCs w:val="24"/>
        </w:rPr>
        <w:t>0%), докато най-ниските дяло</w:t>
      </w:r>
      <w:r w:rsidR="00AC78F8" w:rsidRPr="00AA5833">
        <w:rPr>
          <w:rFonts w:ascii="Times New Roman" w:hAnsi="Times New Roman" w:cs="Times New Roman"/>
          <w:sz w:val="24"/>
          <w:szCs w:val="24"/>
        </w:rPr>
        <w:t>ве са регистрирани в Италия (12.2%), Малта (12.3%) и Португалия (12.</w:t>
      </w:r>
      <w:r w:rsidRPr="00AA5833">
        <w:rPr>
          <w:rFonts w:ascii="Times New Roman" w:hAnsi="Times New Roman" w:cs="Times New Roman"/>
          <w:sz w:val="24"/>
          <w:szCs w:val="24"/>
        </w:rPr>
        <w:t xml:space="preserve">8%). В сравнение с 2023 г., само 2 страни от ЕС (Унгария и Австрия) </w:t>
      </w:r>
      <w:r w:rsidR="005141D5" w:rsidRPr="00AA5833">
        <w:rPr>
          <w:rFonts w:ascii="Times New Roman" w:hAnsi="Times New Roman" w:cs="Times New Roman"/>
          <w:sz w:val="24"/>
          <w:szCs w:val="24"/>
        </w:rPr>
        <w:t>имат</w:t>
      </w:r>
      <w:r w:rsidRPr="00AA5833">
        <w:rPr>
          <w:rFonts w:ascii="Times New Roman" w:hAnsi="Times New Roman" w:cs="Times New Roman"/>
          <w:sz w:val="24"/>
          <w:szCs w:val="24"/>
        </w:rPr>
        <w:t xml:space="preserve"> постоянен дял на децата в населението през 2024 г., докато</w:t>
      </w:r>
      <w:r w:rsidR="005141D5" w:rsidRPr="00AA5833">
        <w:rPr>
          <w:rFonts w:ascii="Times New Roman" w:hAnsi="Times New Roman" w:cs="Times New Roman"/>
          <w:sz w:val="24"/>
          <w:szCs w:val="24"/>
        </w:rPr>
        <w:t xml:space="preserve"> в останалите страни този дял намалява</w:t>
      </w:r>
      <w:r w:rsidRPr="00AA5833">
        <w:rPr>
          <w:rFonts w:ascii="Times New Roman" w:hAnsi="Times New Roman" w:cs="Times New Roman"/>
          <w:sz w:val="24"/>
          <w:szCs w:val="24"/>
        </w:rPr>
        <w:t>. Що се отнася до дела на възрастните хора в общото население,</w:t>
      </w:r>
      <w:r w:rsidR="00AC78F8" w:rsidRPr="00AA5833">
        <w:rPr>
          <w:rFonts w:ascii="Times New Roman" w:hAnsi="Times New Roman" w:cs="Times New Roman"/>
          <w:sz w:val="24"/>
          <w:szCs w:val="24"/>
        </w:rPr>
        <w:t xml:space="preserve"> Италия (24.3%), Португалия (24.1%), България (</w:t>
      </w:r>
      <w:r w:rsidR="005B3B5A" w:rsidRPr="00AA5833">
        <w:rPr>
          <w:rFonts w:ascii="Times New Roman" w:hAnsi="Times New Roman" w:cs="Times New Roman"/>
          <w:sz w:val="24"/>
          <w:szCs w:val="24"/>
        </w:rPr>
        <w:t>24.0</w:t>
      </w:r>
      <w:r w:rsidR="00AC78F8" w:rsidRPr="00AA5833">
        <w:rPr>
          <w:rFonts w:ascii="Times New Roman" w:hAnsi="Times New Roman" w:cs="Times New Roman"/>
          <w:sz w:val="24"/>
          <w:szCs w:val="24"/>
        </w:rPr>
        <w:t>%), Финландия (23.4%), Гърция (23.3%) и Хърватия (23.</w:t>
      </w:r>
      <w:r w:rsidRPr="00AA5833">
        <w:rPr>
          <w:rFonts w:ascii="Times New Roman" w:hAnsi="Times New Roman" w:cs="Times New Roman"/>
          <w:sz w:val="24"/>
          <w:szCs w:val="24"/>
        </w:rPr>
        <w:t xml:space="preserve">0%) </w:t>
      </w:r>
      <w:r w:rsidR="005141D5" w:rsidRPr="00AA5833">
        <w:rPr>
          <w:rFonts w:ascii="Times New Roman" w:hAnsi="Times New Roman" w:cs="Times New Roman"/>
          <w:sz w:val="24"/>
          <w:szCs w:val="24"/>
        </w:rPr>
        <w:t>имат</w:t>
      </w:r>
      <w:r w:rsidRPr="00AA5833">
        <w:rPr>
          <w:rFonts w:ascii="Times New Roman" w:hAnsi="Times New Roman" w:cs="Times New Roman"/>
          <w:sz w:val="24"/>
          <w:szCs w:val="24"/>
        </w:rPr>
        <w:t xml:space="preserve"> най-високи дяло</w:t>
      </w:r>
      <w:r w:rsidR="00AC78F8" w:rsidRPr="00AA5833">
        <w:rPr>
          <w:rFonts w:ascii="Times New Roman" w:hAnsi="Times New Roman" w:cs="Times New Roman"/>
          <w:sz w:val="24"/>
          <w:szCs w:val="24"/>
        </w:rPr>
        <w:t>ве, докато Люксембург (15.0%) и Ирландия (15.</w:t>
      </w:r>
      <w:r w:rsidRPr="00AA5833">
        <w:rPr>
          <w:rFonts w:ascii="Times New Roman" w:hAnsi="Times New Roman" w:cs="Times New Roman"/>
          <w:sz w:val="24"/>
          <w:szCs w:val="24"/>
        </w:rPr>
        <w:t xml:space="preserve">5%) </w:t>
      </w:r>
      <w:r w:rsidR="005141D5" w:rsidRPr="00AA5833">
        <w:rPr>
          <w:rFonts w:ascii="Times New Roman" w:hAnsi="Times New Roman" w:cs="Times New Roman"/>
          <w:sz w:val="24"/>
          <w:szCs w:val="24"/>
        </w:rPr>
        <w:t>имат</w:t>
      </w:r>
      <w:r w:rsidRPr="00AA5833">
        <w:rPr>
          <w:rFonts w:ascii="Times New Roman" w:hAnsi="Times New Roman" w:cs="Times New Roman"/>
          <w:sz w:val="24"/>
          <w:szCs w:val="24"/>
        </w:rPr>
        <w:t xml:space="preserve"> най-ниските дялове. През 2024 г., в сравнение с 2023 г., делът на възрастните хора е увелич</w:t>
      </w:r>
      <w:r w:rsidR="005141D5" w:rsidRPr="00AA5833">
        <w:rPr>
          <w:rFonts w:ascii="Times New Roman" w:hAnsi="Times New Roman" w:cs="Times New Roman"/>
          <w:sz w:val="24"/>
          <w:szCs w:val="24"/>
        </w:rPr>
        <w:t>ен</w:t>
      </w:r>
      <w:r w:rsidRPr="00AA5833">
        <w:rPr>
          <w:rFonts w:ascii="Times New Roman" w:hAnsi="Times New Roman" w:cs="Times New Roman"/>
          <w:sz w:val="24"/>
          <w:szCs w:val="24"/>
        </w:rPr>
        <w:t xml:space="preserve"> в 26 страни от ЕС, докато </w:t>
      </w:r>
      <w:r w:rsidR="005141D5" w:rsidRPr="00AA5833">
        <w:rPr>
          <w:rFonts w:ascii="Times New Roman" w:hAnsi="Times New Roman" w:cs="Times New Roman"/>
          <w:sz w:val="24"/>
          <w:szCs w:val="24"/>
        </w:rPr>
        <w:t>намалява</w:t>
      </w:r>
      <w:r w:rsidRPr="00AA5833">
        <w:rPr>
          <w:rFonts w:ascii="Times New Roman" w:hAnsi="Times New Roman" w:cs="Times New Roman"/>
          <w:sz w:val="24"/>
          <w:szCs w:val="24"/>
        </w:rPr>
        <w:t xml:space="preserve"> само в Малта.</w:t>
      </w:r>
    </w:p>
    <w:p w14:paraId="40E00B60" w14:textId="77777777" w:rsidR="008634E0" w:rsidRPr="00AA5833" w:rsidRDefault="008634E0" w:rsidP="006856A7">
      <w:pPr>
        <w:spacing w:after="0" w:line="240" w:lineRule="auto"/>
        <w:jc w:val="center"/>
        <w:rPr>
          <w:rFonts w:ascii="Times New Roman" w:eastAsia="Times New Roman" w:hAnsi="Times New Roman" w:cs="Times New Roman"/>
          <w:b/>
          <w:color w:val="000000"/>
          <w:sz w:val="24"/>
          <w:szCs w:val="24"/>
          <w:lang w:eastAsia="bg-BG"/>
        </w:rPr>
      </w:pPr>
    </w:p>
    <w:p w14:paraId="6E212F6C" w14:textId="77777777" w:rsidR="005B3B5A" w:rsidRPr="00AA5833" w:rsidRDefault="005B3B5A" w:rsidP="006856A7">
      <w:pPr>
        <w:spacing w:after="0" w:line="240" w:lineRule="auto"/>
        <w:jc w:val="center"/>
        <w:rPr>
          <w:rFonts w:ascii="Times New Roman" w:eastAsia="Times New Roman" w:hAnsi="Times New Roman" w:cs="Times New Roman"/>
          <w:b/>
          <w:color w:val="000000"/>
          <w:sz w:val="24"/>
          <w:szCs w:val="24"/>
          <w:lang w:eastAsia="bg-BG"/>
        </w:rPr>
      </w:pPr>
    </w:p>
    <w:p w14:paraId="0A25425E" w14:textId="77777777" w:rsidR="005B3B5A" w:rsidRPr="00AA5833" w:rsidRDefault="005B3B5A" w:rsidP="006856A7">
      <w:pPr>
        <w:spacing w:after="0" w:line="240" w:lineRule="auto"/>
        <w:jc w:val="center"/>
        <w:rPr>
          <w:rFonts w:ascii="Times New Roman" w:eastAsia="Times New Roman" w:hAnsi="Times New Roman" w:cs="Times New Roman"/>
          <w:b/>
          <w:color w:val="000000"/>
          <w:sz w:val="24"/>
          <w:szCs w:val="24"/>
          <w:lang w:eastAsia="bg-BG"/>
        </w:rPr>
      </w:pPr>
    </w:p>
    <w:p w14:paraId="526FB4A3" w14:textId="77777777" w:rsidR="005B3B5A" w:rsidRPr="00AA5833" w:rsidRDefault="005B3B5A" w:rsidP="006856A7">
      <w:pPr>
        <w:spacing w:after="0" w:line="240" w:lineRule="auto"/>
        <w:jc w:val="center"/>
        <w:rPr>
          <w:rFonts w:ascii="Times New Roman" w:eastAsia="Times New Roman" w:hAnsi="Times New Roman" w:cs="Times New Roman"/>
          <w:b/>
          <w:color w:val="000000"/>
          <w:sz w:val="24"/>
          <w:szCs w:val="24"/>
          <w:lang w:eastAsia="bg-BG"/>
        </w:rPr>
      </w:pPr>
    </w:p>
    <w:p w14:paraId="2271BCAA" w14:textId="77777777" w:rsidR="005B3B5A" w:rsidRDefault="005B3B5A" w:rsidP="006856A7">
      <w:pPr>
        <w:spacing w:after="0" w:line="240" w:lineRule="auto"/>
        <w:jc w:val="center"/>
        <w:rPr>
          <w:rFonts w:ascii="Times New Roman" w:eastAsia="Times New Roman" w:hAnsi="Times New Roman" w:cs="Times New Roman"/>
          <w:b/>
          <w:color w:val="000000"/>
          <w:sz w:val="24"/>
          <w:szCs w:val="24"/>
          <w:lang w:eastAsia="bg-BG"/>
        </w:rPr>
      </w:pPr>
    </w:p>
    <w:p w14:paraId="005F8B5F" w14:textId="77777777" w:rsidR="002B7DEF" w:rsidRDefault="002B7DEF" w:rsidP="006856A7">
      <w:pPr>
        <w:spacing w:after="0" w:line="240" w:lineRule="auto"/>
        <w:jc w:val="center"/>
        <w:rPr>
          <w:rFonts w:ascii="Times New Roman" w:eastAsia="Times New Roman" w:hAnsi="Times New Roman" w:cs="Times New Roman"/>
          <w:b/>
          <w:color w:val="000000"/>
          <w:sz w:val="24"/>
          <w:szCs w:val="24"/>
          <w:lang w:eastAsia="bg-BG"/>
        </w:rPr>
      </w:pPr>
    </w:p>
    <w:p w14:paraId="6C72652B" w14:textId="77777777" w:rsidR="002C1C56" w:rsidRDefault="002C1C56" w:rsidP="006856A7">
      <w:pPr>
        <w:spacing w:after="0" w:line="240" w:lineRule="auto"/>
        <w:jc w:val="center"/>
        <w:rPr>
          <w:rFonts w:ascii="Times New Roman" w:eastAsia="Times New Roman" w:hAnsi="Times New Roman" w:cs="Times New Roman"/>
          <w:b/>
          <w:color w:val="000000"/>
          <w:sz w:val="24"/>
          <w:szCs w:val="24"/>
          <w:lang w:eastAsia="bg-BG"/>
        </w:rPr>
      </w:pPr>
    </w:p>
    <w:p w14:paraId="7BA02286" w14:textId="77777777" w:rsidR="006856A7" w:rsidRPr="00AA5833" w:rsidRDefault="006856A7" w:rsidP="006856A7">
      <w:pPr>
        <w:spacing w:after="0" w:line="240" w:lineRule="auto"/>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Демографската ситуация в България през 202</w:t>
      </w:r>
      <w:r w:rsidR="00347E76" w:rsidRPr="00AA5833">
        <w:rPr>
          <w:rFonts w:ascii="Times New Roman" w:eastAsia="Times New Roman" w:hAnsi="Times New Roman" w:cs="Times New Roman"/>
          <w:b/>
          <w:color w:val="000000"/>
          <w:sz w:val="24"/>
          <w:szCs w:val="24"/>
          <w:lang w:eastAsia="bg-BG"/>
        </w:rPr>
        <w:t>4</w:t>
      </w:r>
      <w:r w:rsidRPr="00AA5833">
        <w:rPr>
          <w:rFonts w:ascii="Times New Roman" w:eastAsia="Times New Roman" w:hAnsi="Times New Roman" w:cs="Times New Roman"/>
          <w:b/>
          <w:color w:val="000000"/>
          <w:sz w:val="24"/>
          <w:szCs w:val="24"/>
          <w:lang w:eastAsia="bg-BG"/>
        </w:rPr>
        <w:t xml:space="preserve"> г.</w:t>
      </w:r>
    </w:p>
    <w:p w14:paraId="4959594D" w14:textId="77777777" w:rsidR="006856A7" w:rsidRPr="00AA5833" w:rsidRDefault="006856A7" w:rsidP="006856A7">
      <w:pPr>
        <w:spacing w:after="0" w:line="240" w:lineRule="auto"/>
        <w:jc w:val="center"/>
        <w:rPr>
          <w:rFonts w:ascii="Times New Roman" w:eastAsia="Times New Roman" w:hAnsi="Times New Roman" w:cs="Times New Roman"/>
          <w:b/>
          <w:sz w:val="24"/>
          <w:szCs w:val="24"/>
          <w:lang w:eastAsia="bg-BG"/>
        </w:rPr>
      </w:pPr>
    </w:p>
    <w:p w14:paraId="03C3CB19" w14:textId="77777777" w:rsidR="006856A7" w:rsidRPr="00AA5833" w:rsidRDefault="006856A7" w:rsidP="006856A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През 202</w:t>
      </w:r>
      <w:r w:rsidR="00347E76" w:rsidRPr="00AA5833">
        <w:rPr>
          <w:rFonts w:ascii="Times New Roman" w:hAnsi="Times New Roman" w:cs="Times New Roman"/>
          <w:color w:val="000000" w:themeColor="text1"/>
          <w:sz w:val="24"/>
          <w:szCs w:val="24"/>
        </w:rPr>
        <w:t>4</w:t>
      </w:r>
      <w:r w:rsidRPr="00AA5833">
        <w:rPr>
          <w:rFonts w:ascii="Times New Roman" w:hAnsi="Times New Roman" w:cs="Times New Roman"/>
          <w:color w:val="000000" w:themeColor="text1"/>
          <w:sz w:val="24"/>
          <w:szCs w:val="24"/>
        </w:rPr>
        <w:t xml:space="preserve"> г. текущата демографска ситуация в България се характеризира с продължаващо намаляване и застаряване на населението, броят на живородените деца </w:t>
      </w:r>
      <w:r w:rsidR="00EB03B3" w:rsidRPr="00AA5833">
        <w:rPr>
          <w:rFonts w:ascii="Times New Roman" w:hAnsi="Times New Roman" w:cs="Times New Roman"/>
          <w:color w:val="000000" w:themeColor="text1"/>
          <w:sz w:val="24"/>
          <w:szCs w:val="24"/>
        </w:rPr>
        <w:t>намалява</w:t>
      </w:r>
      <w:r w:rsidR="005B3B5A" w:rsidRPr="00AA5833">
        <w:rPr>
          <w:rFonts w:ascii="Times New Roman" w:hAnsi="Times New Roman" w:cs="Times New Roman"/>
          <w:color w:val="000000" w:themeColor="text1"/>
          <w:sz w:val="24"/>
          <w:szCs w:val="24"/>
        </w:rPr>
        <w:t>,</w:t>
      </w:r>
      <w:r w:rsidR="00EB03B3" w:rsidRPr="00AA5833">
        <w:rPr>
          <w:rFonts w:ascii="Times New Roman" w:hAnsi="Times New Roman" w:cs="Times New Roman"/>
          <w:color w:val="000000" w:themeColor="text1"/>
          <w:sz w:val="24"/>
          <w:szCs w:val="24"/>
        </w:rPr>
        <w:t xml:space="preserve"> </w:t>
      </w:r>
      <w:r w:rsidRPr="00AA5833">
        <w:rPr>
          <w:rFonts w:ascii="Times New Roman" w:hAnsi="Times New Roman" w:cs="Times New Roman"/>
          <w:color w:val="000000" w:themeColor="text1"/>
          <w:sz w:val="24"/>
          <w:szCs w:val="24"/>
        </w:rPr>
        <w:t>като коефициентът на обща раждаемост</w:t>
      </w:r>
      <w:r w:rsidRPr="00AA5833">
        <w:rPr>
          <w:rFonts w:ascii="Times New Roman" w:hAnsi="Times New Roman" w:cs="Times New Roman"/>
          <w:color w:val="000000" w:themeColor="text1"/>
          <w:sz w:val="24"/>
          <w:szCs w:val="24"/>
          <w:vertAlign w:val="superscript"/>
        </w:rPr>
        <w:footnoteReference w:id="1"/>
      </w:r>
      <w:r w:rsidRPr="00AA5833">
        <w:rPr>
          <w:rFonts w:ascii="Times New Roman" w:hAnsi="Times New Roman" w:cs="Times New Roman"/>
          <w:color w:val="000000" w:themeColor="text1"/>
          <w:sz w:val="24"/>
          <w:szCs w:val="24"/>
        </w:rPr>
        <w:t xml:space="preserve"> е 8.</w:t>
      </w:r>
      <w:r w:rsidR="00347E76" w:rsidRPr="00AA5833">
        <w:rPr>
          <w:rFonts w:ascii="Times New Roman" w:hAnsi="Times New Roman" w:cs="Times New Roman"/>
          <w:color w:val="000000" w:themeColor="text1"/>
          <w:sz w:val="24"/>
          <w:szCs w:val="24"/>
        </w:rPr>
        <w:t>3</w:t>
      </w:r>
      <w:r w:rsidR="005B3B5A" w:rsidRPr="00AA5833">
        <w:rPr>
          <w:rFonts w:ascii="Times New Roman" w:hAnsi="Times New Roman" w:cs="Times New Roman"/>
          <w:color w:val="000000" w:themeColor="text1"/>
          <w:sz w:val="24"/>
          <w:szCs w:val="24"/>
        </w:rPr>
        <w:t>‰. Н</w:t>
      </w:r>
      <w:r w:rsidRPr="00AA5833">
        <w:rPr>
          <w:rFonts w:ascii="Times New Roman" w:hAnsi="Times New Roman" w:cs="Times New Roman"/>
          <w:color w:val="000000" w:themeColor="text1"/>
          <w:sz w:val="24"/>
          <w:szCs w:val="24"/>
        </w:rPr>
        <w:t>амалява броят на умрелите лица, но нивото на общата смъртност продължава да е високо с коефициент на обща смъртност</w:t>
      </w:r>
      <w:r w:rsidRPr="00AA5833">
        <w:rPr>
          <w:rFonts w:ascii="Times New Roman" w:hAnsi="Times New Roman" w:cs="Times New Roman"/>
          <w:color w:val="000000" w:themeColor="text1"/>
          <w:sz w:val="24"/>
          <w:szCs w:val="24"/>
          <w:vertAlign w:val="superscript"/>
        </w:rPr>
        <w:footnoteReference w:id="2"/>
      </w:r>
      <w:r w:rsidRPr="00AA5833">
        <w:rPr>
          <w:rFonts w:ascii="Times New Roman" w:hAnsi="Times New Roman" w:cs="Times New Roman"/>
          <w:color w:val="000000" w:themeColor="text1"/>
          <w:sz w:val="24"/>
          <w:szCs w:val="24"/>
        </w:rPr>
        <w:t xml:space="preserve"> – 15.</w:t>
      </w:r>
      <w:r w:rsidR="00EB03B3" w:rsidRPr="00AA5833">
        <w:rPr>
          <w:rFonts w:ascii="Times New Roman" w:hAnsi="Times New Roman" w:cs="Times New Roman"/>
          <w:color w:val="000000" w:themeColor="text1"/>
          <w:sz w:val="24"/>
          <w:szCs w:val="24"/>
        </w:rPr>
        <w:t>6</w:t>
      </w:r>
      <w:r w:rsidRPr="00AA5833">
        <w:rPr>
          <w:rFonts w:ascii="Times New Roman" w:hAnsi="Times New Roman" w:cs="Times New Roman"/>
          <w:color w:val="000000" w:themeColor="text1"/>
          <w:sz w:val="24"/>
          <w:szCs w:val="24"/>
        </w:rPr>
        <w:t>‰ (общо за ЕС</w:t>
      </w:r>
      <w:r w:rsidR="00EA576B" w:rsidRPr="00AA5833">
        <w:rPr>
          <w:rFonts w:ascii="Times New Roman" w:hAnsi="Times New Roman" w:cs="Times New Roman"/>
          <w:color w:val="000000" w:themeColor="text1"/>
          <w:sz w:val="24"/>
          <w:szCs w:val="24"/>
        </w:rPr>
        <w:t xml:space="preserve"> </w:t>
      </w:r>
      <w:r w:rsidR="00EA576B" w:rsidRPr="00AA5833">
        <w:rPr>
          <w:rFonts w:ascii="Times New Roman" w:hAnsi="Times New Roman" w:cs="Times New Roman"/>
          <w:b/>
          <w:color w:val="000000" w:themeColor="text1"/>
          <w:sz w:val="24"/>
          <w:szCs w:val="24"/>
        </w:rPr>
        <w:t xml:space="preserve">– </w:t>
      </w:r>
      <w:r w:rsidRPr="00AA5833">
        <w:rPr>
          <w:rFonts w:ascii="Times New Roman" w:hAnsi="Times New Roman" w:cs="Times New Roman"/>
          <w:color w:val="000000" w:themeColor="text1"/>
          <w:sz w:val="24"/>
          <w:szCs w:val="24"/>
        </w:rPr>
        <w:t>27 коефициентът на смъртност през 202</w:t>
      </w:r>
      <w:r w:rsidR="00393DEE" w:rsidRPr="00AA5833">
        <w:rPr>
          <w:rFonts w:ascii="Times New Roman" w:hAnsi="Times New Roman" w:cs="Times New Roman"/>
          <w:color w:val="000000" w:themeColor="text1"/>
          <w:sz w:val="24"/>
          <w:szCs w:val="24"/>
        </w:rPr>
        <w:t>3</w:t>
      </w:r>
      <w:r w:rsidRPr="00AA5833">
        <w:rPr>
          <w:rFonts w:ascii="Times New Roman" w:hAnsi="Times New Roman" w:cs="Times New Roman"/>
          <w:color w:val="000000" w:themeColor="text1"/>
          <w:sz w:val="24"/>
          <w:szCs w:val="24"/>
        </w:rPr>
        <w:t xml:space="preserve"> г. е 1</w:t>
      </w:r>
      <w:r w:rsidR="00393DEE" w:rsidRPr="00AA5833">
        <w:rPr>
          <w:rFonts w:ascii="Times New Roman" w:hAnsi="Times New Roman" w:cs="Times New Roman"/>
          <w:color w:val="000000" w:themeColor="text1"/>
          <w:sz w:val="24"/>
          <w:szCs w:val="24"/>
        </w:rPr>
        <w:t>0</w:t>
      </w:r>
      <w:r w:rsidRPr="00AA5833">
        <w:rPr>
          <w:rFonts w:ascii="Times New Roman" w:hAnsi="Times New Roman" w:cs="Times New Roman"/>
          <w:color w:val="000000" w:themeColor="text1"/>
          <w:sz w:val="24"/>
          <w:szCs w:val="24"/>
        </w:rPr>
        <w:t>.</w:t>
      </w:r>
      <w:r w:rsidR="00393DEE" w:rsidRPr="00AA5833">
        <w:rPr>
          <w:rFonts w:ascii="Times New Roman" w:hAnsi="Times New Roman" w:cs="Times New Roman"/>
          <w:color w:val="000000" w:themeColor="text1"/>
          <w:sz w:val="24"/>
          <w:szCs w:val="24"/>
        </w:rPr>
        <w:t>8</w:t>
      </w:r>
      <w:r w:rsidRPr="00AA5833">
        <w:rPr>
          <w:rFonts w:ascii="Times New Roman" w:hAnsi="Times New Roman" w:cs="Times New Roman"/>
          <w:color w:val="000000" w:themeColor="text1"/>
          <w:sz w:val="24"/>
          <w:szCs w:val="24"/>
        </w:rPr>
        <w:t xml:space="preserve">‰). Намалява броят на сключените граждански бракове и броят на бракоразводите. </w:t>
      </w:r>
    </w:p>
    <w:p w14:paraId="095335AF" w14:textId="77777777" w:rsidR="006856A7" w:rsidRPr="00AA5833" w:rsidRDefault="006856A7" w:rsidP="006856A7">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AA5833">
        <w:rPr>
          <w:rFonts w:ascii="Times New Roman" w:hAnsi="Times New Roman" w:cs="Times New Roman"/>
          <w:b/>
          <w:color w:val="000000" w:themeColor="text1"/>
          <w:sz w:val="24"/>
          <w:szCs w:val="24"/>
        </w:rPr>
        <w:t>Като положителни тенденции през 202</w:t>
      </w:r>
      <w:r w:rsidR="00EB03B3" w:rsidRPr="00AA5833">
        <w:rPr>
          <w:rFonts w:ascii="Times New Roman" w:hAnsi="Times New Roman" w:cs="Times New Roman"/>
          <w:b/>
          <w:color w:val="000000" w:themeColor="text1"/>
          <w:sz w:val="24"/>
          <w:szCs w:val="24"/>
        </w:rPr>
        <w:t>4</w:t>
      </w:r>
      <w:r w:rsidRPr="00AA5833">
        <w:rPr>
          <w:rFonts w:ascii="Times New Roman" w:hAnsi="Times New Roman" w:cs="Times New Roman"/>
          <w:b/>
          <w:color w:val="000000" w:themeColor="text1"/>
          <w:sz w:val="24"/>
          <w:szCs w:val="24"/>
        </w:rPr>
        <w:t xml:space="preserve"> г. могат да бъдат отбелязани </w:t>
      </w:r>
      <w:r w:rsidR="00EB03B3" w:rsidRPr="00AA5833">
        <w:rPr>
          <w:rFonts w:ascii="Times New Roman" w:hAnsi="Times New Roman" w:cs="Times New Roman"/>
          <w:b/>
          <w:color w:val="000000" w:themeColor="text1"/>
          <w:sz w:val="24"/>
          <w:szCs w:val="24"/>
        </w:rPr>
        <w:t>намалява</w:t>
      </w:r>
      <w:r w:rsidR="002618E5" w:rsidRPr="00AA5833">
        <w:rPr>
          <w:rFonts w:ascii="Times New Roman" w:hAnsi="Times New Roman" w:cs="Times New Roman"/>
          <w:b/>
          <w:color w:val="000000" w:themeColor="text1"/>
          <w:sz w:val="24"/>
          <w:szCs w:val="24"/>
        </w:rPr>
        <w:t>нето</w:t>
      </w:r>
      <w:r w:rsidR="00EB03B3" w:rsidRPr="00AA5833">
        <w:rPr>
          <w:rFonts w:ascii="Times New Roman" w:hAnsi="Times New Roman" w:cs="Times New Roman"/>
          <w:b/>
          <w:color w:val="000000" w:themeColor="text1"/>
          <w:sz w:val="24"/>
          <w:szCs w:val="24"/>
        </w:rPr>
        <w:t xml:space="preserve"> </w:t>
      </w:r>
      <w:r w:rsidR="005D64F0" w:rsidRPr="00AA5833">
        <w:rPr>
          <w:rFonts w:ascii="Times New Roman" w:hAnsi="Times New Roman" w:cs="Times New Roman"/>
          <w:b/>
          <w:color w:val="000000" w:themeColor="text1"/>
          <w:sz w:val="24"/>
          <w:szCs w:val="24"/>
        </w:rPr>
        <w:t xml:space="preserve">на </w:t>
      </w:r>
      <w:r w:rsidR="00EB03B3" w:rsidRPr="00AA5833">
        <w:rPr>
          <w:rFonts w:ascii="Times New Roman" w:hAnsi="Times New Roman" w:cs="Times New Roman"/>
          <w:b/>
          <w:color w:val="000000" w:themeColor="text1"/>
          <w:sz w:val="24"/>
          <w:szCs w:val="24"/>
        </w:rPr>
        <w:t>детската смъртност</w:t>
      </w:r>
      <w:r w:rsidRPr="00AA5833">
        <w:rPr>
          <w:rFonts w:ascii="Times New Roman" w:hAnsi="Times New Roman" w:cs="Times New Roman"/>
          <w:b/>
          <w:color w:val="000000" w:themeColor="text1"/>
          <w:sz w:val="24"/>
          <w:szCs w:val="24"/>
        </w:rPr>
        <w:t xml:space="preserve">, намаляването на броя на бракоразводите, положителният механичен прираст на населението и подобряването на жизнения стандарт и качеството на живот на населението. </w:t>
      </w:r>
    </w:p>
    <w:p w14:paraId="583F2582" w14:textId="77777777" w:rsidR="006856A7" w:rsidRPr="00AA5833" w:rsidRDefault="006856A7" w:rsidP="006856A7">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През 202</w:t>
      </w:r>
      <w:r w:rsidR="005D64F0" w:rsidRPr="00AA5833">
        <w:rPr>
          <w:rFonts w:ascii="Times New Roman" w:eastAsia="Times New Roman" w:hAnsi="Times New Roman" w:cs="Times New Roman"/>
          <w:sz w:val="24"/>
          <w:szCs w:val="24"/>
        </w:rPr>
        <w:t>4</w:t>
      </w:r>
      <w:r w:rsidRPr="00AA5833">
        <w:rPr>
          <w:rFonts w:ascii="Times New Roman" w:eastAsia="Times New Roman" w:hAnsi="Times New Roman" w:cs="Times New Roman"/>
          <w:sz w:val="24"/>
          <w:szCs w:val="24"/>
        </w:rPr>
        <w:t xml:space="preserve"> г. в страната са регистрирани 57 </w:t>
      </w:r>
      <w:r w:rsidR="005D64F0" w:rsidRPr="00AA5833">
        <w:rPr>
          <w:rFonts w:ascii="Times New Roman" w:eastAsia="Times New Roman" w:hAnsi="Times New Roman" w:cs="Times New Roman"/>
          <w:sz w:val="24"/>
          <w:szCs w:val="24"/>
        </w:rPr>
        <w:t>727</w:t>
      </w:r>
      <w:r w:rsidRPr="00AA5833">
        <w:rPr>
          <w:rFonts w:ascii="Times New Roman" w:eastAsia="Times New Roman" w:hAnsi="Times New Roman" w:cs="Times New Roman"/>
          <w:sz w:val="24"/>
          <w:szCs w:val="24"/>
        </w:rPr>
        <w:t xml:space="preserve"> родени деца,</w:t>
      </w:r>
      <w:r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 xml:space="preserve">като от тях </w:t>
      </w:r>
      <w:r w:rsidRPr="00AA5833">
        <w:rPr>
          <w:rFonts w:ascii="Times New Roman" w:eastAsia="Times New Roman" w:hAnsi="Times New Roman" w:cs="Times New Roman"/>
          <w:b/>
          <w:sz w:val="24"/>
          <w:szCs w:val="24"/>
        </w:rPr>
        <w:t>5</w:t>
      </w:r>
      <w:r w:rsidR="005D64F0" w:rsidRPr="00AA5833">
        <w:rPr>
          <w:rFonts w:ascii="Times New Roman" w:eastAsia="Times New Roman" w:hAnsi="Times New Roman" w:cs="Times New Roman"/>
          <w:b/>
          <w:sz w:val="24"/>
          <w:szCs w:val="24"/>
        </w:rPr>
        <w:t>3</w:t>
      </w:r>
      <w:r w:rsidRPr="00AA5833">
        <w:rPr>
          <w:rFonts w:ascii="Times New Roman" w:eastAsia="Times New Roman" w:hAnsi="Times New Roman" w:cs="Times New Roman"/>
          <w:b/>
          <w:sz w:val="24"/>
          <w:szCs w:val="24"/>
        </w:rPr>
        <w:t xml:space="preserve"> </w:t>
      </w:r>
      <w:r w:rsidR="005D64F0" w:rsidRPr="00AA5833">
        <w:rPr>
          <w:rFonts w:ascii="Times New Roman" w:eastAsia="Times New Roman" w:hAnsi="Times New Roman" w:cs="Times New Roman"/>
          <w:b/>
          <w:sz w:val="24"/>
          <w:szCs w:val="24"/>
        </w:rPr>
        <w:t>428</w:t>
      </w:r>
      <w:r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b/>
          <w:sz w:val="24"/>
          <w:szCs w:val="24"/>
        </w:rPr>
        <w:t>(99.</w:t>
      </w:r>
      <w:r w:rsidR="005D64F0"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са живородени.</w:t>
      </w:r>
      <w:r w:rsidRPr="00AA5833">
        <w:rPr>
          <w:rFonts w:ascii="Times New Roman" w:eastAsia="Times New Roman" w:hAnsi="Times New Roman" w:cs="Times New Roman"/>
          <w:sz w:val="24"/>
          <w:szCs w:val="24"/>
        </w:rPr>
        <w:t xml:space="preserve"> В сравнение с предходната година броят на живородените </w:t>
      </w:r>
      <w:r w:rsidR="005D64F0" w:rsidRPr="00AA5833">
        <w:rPr>
          <w:rFonts w:ascii="Times New Roman" w:eastAsia="Times New Roman" w:hAnsi="Times New Roman" w:cs="Times New Roman"/>
          <w:sz w:val="24"/>
          <w:szCs w:val="24"/>
        </w:rPr>
        <w:t>намалява</w:t>
      </w:r>
      <w:r w:rsidRPr="00AA5833">
        <w:rPr>
          <w:rFonts w:ascii="Times New Roman" w:eastAsia="Times New Roman" w:hAnsi="Times New Roman" w:cs="Times New Roman"/>
          <w:sz w:val="24"/>
          <w:szCs w:val="24"/>
        </w:rPr>
        <w:t xml:space="preserve"> с </w:t>
      </w:r>
      <w:r w:rsidR="005D64F0" w:rsidRPr="00AA5833">
        <w:rPr>
          <w:rFonts w:ascii="Times New Roman" w:eastAsia="Times New Roman" w:hAnsi="Times New Roman" w:cs="Times New Roman"/>
          <w:sz w:val="24"/>
          <w:szCs w:val="24"/>
        </w:rPr>
        <w:t>3769</w:t>
      </w:r>
      <w:r w:rsidRPr="00AA5833">
        <w:rPr>
          <w:rFonts w:ascii="Times New Roman" w:eastAsia="Times New Roman" w:hAnsi="Times New Roman" w:cs="Times New Roman"/>
          <w:color w:val="FF0000"/>
          <w:sz w:val="24"/>
          <w:szCs w:val="24"/>
        </w:rPr>
        <w:t xml:space="preserve"> </w:t>
      </w:r>
      <w:r w:rsidRPr="00AA5833">
        <w:rPr>
          <w:rFonts w:ascii="Times New Roman" w:eastAsia="Times New Roman" w:hAnsi="Times New Roman" w:cs="Times New Roman"/>
          <w:sz w:val="24"/>
          <w:szCs w:val="24"/>
        </w:rPr>
        <w:t xml:space="preserve">деца, или с </w:t>
      </w:r>
      <w:r w:rsidR="005D64F0" w:rsidRPr="00AA5833">
        <w:rPr>
          <w:rFonts w:ascii="Times New Roman" w:eastAsia="Times New Roman" w:hAnsi="Times New Roman" w:cs="Times New Roman"/>
          <w:sz w:val="24"/>
          <w:szCs w:val="24"/>
        </w:rPr>
        <w:t>6</w:t>
      </w:r>
      <w:r w:rsidRPr="00AA5833">
        <w:rPr>
          <w:rFonts w:ascii="Times New Roman" w:eastAsia="Times New Roman" w:hAnsi="Times New Roman" w:cs="Times New Roman"/>
          <w:sz w:val="24"/>
          <w:szCs w:val="24"/>
        </w:rPr>
        <w:t>.</w:t>
      </w:r>
      <w:r w:rsidR="005D64F0" w:rsidRPr="00AA5833">
        <w:rPr>
          <w:rFonts w:ascii="Times New Roman" w:eastAsia="Times New Roman" w:hAnsi="Times New Roman" w:cs="Times New Roman"/>
          <w:sz w:val="24"/>
          <w:szCs w:val="24"/>
        </w:rPr>
        <w:t>6</w:t>
      </w:r>
      <w:r w:rsidRPr="00AA5833">
        <w:rPr>
          <w:rFonts w:ascii="Times New Roman" w:eastAsia="Times New Roman" w:hAnsi="Times New Roman" w:cs="Times New Roman"/>
          <w:sz w:val="24"/>
          <w:szCs w:val="24"/>
        </w:rPr>
        <w:t xml:space="preserve">%. </w:t>
      </w:r>
      <w:r w:rsidR="005D64F0" w:rsidRPr="00AA5833">
        <w:rPr>
          <w:rFonts w:ascii="Times New Roman" w:eastAsia="Times New Roman" w:hAnsi="Times New Roman" w:cs="Times New Roman"/>
          <w:b/>
          <w:sz w:val="24"/>
          <w:szCs w:val="24"/>
        </w:rPr>
        <w:t>Коефициентът на обща раждаемост</w:t>
      </w:r>
      <w:r w:rsidR="005D64F0" w:rsidRPr="00AA5833">
        <w:rPr>
          <w:rFonts w:ascii="Times New Roman" w:eastAsia="Times New Roman" w:hAnsi="Times New Roman" w:cs="Times New Roman"/>
          <w:b/>
          <w:sz w:val="24"/>
          <w:szCs w:val="24"/>
          <w:vertAlign w:val="superscript"/>
        </w:rPr>
        <w:footnoteReference w:id="3"/>
      </w:r>
      <w:r w:rsidR="005D64F0" w:rsidRPr="00AA5833">
        <w:rPr>
          <w:rFonts w:ascii="Times New Roman" w:eastAsia="Times New Roman" w:hAnsi="Times New Roman" w:cs="Times New Roman"/>
          <w:b/>
          <w:sz w:val="24"/>
          <w:szCs w:val="24"/>
        </w:rPr>
        <w:t xml:space="preserve"> през 2024 г. е 8.3‰</w:t>
      </w:r>
      <w:r w:rsidR="005D64F0" w:rsidRPr="00AA5833">
        <w:rPr>
          <w:rFonts w:ascii="Times New Roman" w:eastAsia="Times New Roman" w:hAnsi="Times New Roman" w:cs="Times New Roman"/>
          <w:sz w:val="24"/>
          <w:szCs w:val="24"/>
        </w:rPr>
        <w:t>.</w:t>
      </w:r>
    </w:p>
    <w:p w14:paraId="098EC924" w14:textId="77777777" w:rsidR="005D64F0" w:rsidRPr="00AA5833" w:rsidRDefault="006856A7" w:rsidP="005D64F0">
      <w:pPr>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През 202</w:t>
      </w:r>
      <w:r w:rsidR="005D64F0" w:rsidRPr="00AA5833">
        <w:rPr>
          <w:rFonts w:ascii="Times New Roman" w:eastAsia="Times New Roman" w:hAnsi="Times New Roman" w:cs="Times New Roman"/>
          <w:sz w:val="24"/>
          <w:szCs w:val="24"/>
        </w:rPr>
        <w:t>4</w:t>
      </w:r>
      <w:r w:rsidRPr="00AA5833">
        <w:rPr>
          <w:rFonts w:ascii="Times New Roman" w:eastAsia="Times New Roman" w:hAnsi="Times New Roman" w:cs="Times New Roman"/>
          <w:sz w:val="24"/>
          <w:szCs w:val="24"/>
        </w:rPr>
        <w:t xml:space="preserve"> г. средната възраст на жените при раждане на първо дете е 27.</w:t>
      </w:r>
      <w:r w:rsidR="005D64F0" w:rsidRPr="00AA5833">
        <w:rPr>
          <w:rFonts w:ascii="Times New Roman" w:eastAsia="Times New Roman" w:hAnsi="Times New Roman" w:cs="Times New Roman"/>
          <w:sz w:val="24"/>
          <w:szCs w:val="24"/>
        </w:rPr>
        <w:t>6</w:t>
      </w:r>
      <w:r w:rsidRPr="00AA5833">
        <w:rPr>
          <w:rFonts w:ascii="Times New Roman" w:eastAsia="Times New Roman" w:hAnsi="Times New Roman" w:cs="Times New Roman"/>
          <w:sz w:val="24"/>
          <w:szCs w:val="24"/>
        </w:rPr>
        <w:t xml:space="preserve"> години, в сравнение с 2022 г. </w:t>
      </w:r>
      <w:r w:rsidR="005D64F0" w:rsidRPr="00AA5833">
        <w:rPr>
          <w:rFonts w:ascii="Times New Roman" w:eastAsia="Times New Roman" w:hAnsi="Times New Roman" w:cs="Times New Roman"/>
          <w:sz w:val="24"/>
          <w:szCs w:val="24"/>
        </w:rPr>
        <w:t>намалява</w:t>
      </w:r>
      <w:r w:rsidRPr="00AA5833">
        <w:rPr>
          <w:rFonts w:ascii="Times New Roman" w:eastAsia="Times New Roman" w:hAnsi="Times New Roman" w:cs="Times New Roman"/>
          <w:sz w:val="24"/>
          <w:szCs w:val="24"/>
        </w:rPr>
        <w:t xml:space="preserve"> с 0.1 години. </w:t>
      </w:r>
      <w:r w:rsidR="005D64F0" w:rsidRPr="00AA5833">
        <w:rPr>
          <w:rFonts w:ascii="Times New Roman" w:eastAsia="Times New Roman" w:hAnsi="Times New Roman" w:cs="Times New Roman"/>
          <w:sz w:val="24"/>
          <w:szCs w:val="24"/>
        </w:rPr>
        <w:t>Живородените деца от жени на възраст 40 и повече навършени години намаляват от 2641 през 2023 г. на 2528 през 2024 година.</w:t>
      </w:r>
    </w:p>
    <w:p w14:paraId="45C7268C" w14:textId="77777777" w:rsidR="00364B81" w:rsidRPr="00AA5833" w:rsidRDefault="00364B81" w:rsidP="00364B81">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2024 г. са регистрирани 926 случая на многоплодни раждания. При 914 от случаите са родени по две деца, а при 12 </w:t>
      </w:r>
      <w:r w:rsidR="008634E0"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 xml:space="preserve">по три. </w:t>
      </w:r>
    </w:p>
    <w:p w14:paraId="041E92BE" w14:textId="77777777" w:rsidR="00364B81" w:rsidRPr="00AA5833" w:rsidRDefault="006856A7" w:rsidP="00364B81">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Тоталният коефициент на плодовитост</w:t>
      </w:r>
      <w:r w:rsidRPr="00AA5833">
        <w:rPr>
          <w:rFonts w:ascii="Times New Roman" w:eastAsia="Times New Roman" w:hAnsi="Times New Roman" w:cs="Times New Roman"/>
          <w:b/>
          <w:sz w:val="24"/>
          <w:szCs w:val="20"/>
          <w:vertAlign w:val="superscript"/>
          <w:lang w:eastAsia="bg-BG"/>
        </w:rPr>
        <w:footnoteReference w:id="4"/>
      </w:r>
      <w:r w:rsidRPr="00AA5833">
        <w:rPr>
          <w:rFonts w:ascii="Times New Roman" w:eastAsia="Times New Roman" w:hAnsi="Times New Roman" w:cs="Times New Roman"/>
          <w:sz w:val="24"/>
          <w:szCs w:val="24"/>
        </w:rPr>
        <w:t xml:space="preserve"> е един от основните показатели, характеризиращи плодовитостта на жените. </w:t>
      </w:r>
      <w:r w:rsidR="00364B81" w:rsidRPr="00AA5833">
        <w:rPr>
          <w:rFonts w:ascii="Times New Roman" w:eastAsia="Times New Roman" w:hAnsi="Times New Roman" w:cs="Times New Roman"/>
          <w:b/>
          <w:sz w:val="24"/>
          <w:szCs w:val="24"/>
        </w:rPr>
        <w:t>През 2024 г. средният брой живородени деца от една жена е 1.72.</w:t>
      </w:r>
    </w:p>
    <w:p w14:paraId="23F03A3F" w14:textId="77777777" w:rsidR="006856A7" w:rsidRPr="00AA5833" w:rsidRDefault="006856A7" w:rsidP="00364B81">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sz w:val="24"/>
          <w:szCs w:val="24"/>
        </w:rPr>
        <w:t>Към 31.12.202</w:t>
      </w:r>
      <w:r w:rsidR="00DA48E8" w:rsidRPr="00AA5833">
        <w:rPr>
          <w:rFonts w:ascii="Times New Roman" w:eastAsia="Times New Roman" w:hAnsi="Times New Roman" w:cs="Times New Roman"/>
          <w:sz w:val="24"/>
          <w:szCs w:val="24"/>
        </w:rPr>
        <w:t>4</w:t>
      </w:r>
      <w:r w:rsidRPr="00AA5833">
        <w:rPr>
          <w:rFonts w:ascii="Times New Roman" w:eastAsia="Times New Roman" w:hAnsi="Times New Roman" w:cs="Times New Roman"/>
          <w:sz w:val="24"/>
          <w:szCs w:val="24"/>
        </w:rPr>
        <w:t xml:space="preserve"> г. броят на жените във фертилна възраст е 12</w:t>
      </w:r>
      <w:r w:rsidR="00364B81" w:rsidRPr="00AA5833">
        <w:rPr>
          <w:rFonts w:ascii="Times New Roman" w:eastAsia="Times New Roman" w:hAnsi="Times New Roman" w:cs="Times New Roman"/>
          <w:sz w:val="24"/>
          <w:szCs w:val="24"/>
        </w:rPr>
        <w:t>57</w:t>
      </w:r>
      <w:r w:rsidRPr="00AA5833">
        <w:rPr>
          <w:rFonts w:ascii="Times New Roman" w:eastAsia="Times New Roman" w:hAnsi="Times New Roman" w:cs="Times New Roman"/>
          <w:sz w:val="24"/>
          <w:szCs w:val="24"/>
        </w:rPr>
        <w:t xml:space="preserve"> хил., като спрямо предходната година намалява с </w:t>
      </w:r>
      <w:r w:rsidR="00364B81" w:rsidRPr="00AA5833">
        <w:rPr>
          <w:rFonts w:ascii="Times New Roman" w:eastAsia="Times New Roman" w:hAnsi="Times New Roman" w:cs="Times New Roman"/>
          <w:sz w:val="24"/>
          <w:szCs w:val="24"/>
        </w:rPr>
        <w:t>12</w:t>
      </w:r>
      <w:r w:rsidRPr="00AA5833">
        <w:rPr>
          <w:rFonts w:ascii="Times New Roman" w:eastAsia="Times New Roman" w:hAnsi="Times New Roman" w:cs="Times New Roman"/>
          <w:sz w:val="24"/>
          <w:szCs w:val="24"/>
        </w:rPr>
        <w:t xml:space="preserve"> хил. </w:t>
      </w:r>
      <w:r w:rsidR="00364B81" w:rsidRPr="00AA5833">
        <w:rPr>
          <w:rFonts w:ascii="Times New Roman" w:eastAsia="Times New Roman" w:hAnsi="Times New Roman" w:cs="Times New Roman"/>
          <w:sz w:val="24"/>
          <w:szCs w:val="24"/>
        </w:rPr>
        <w:t xml:space="preserve">Броят на живородените децата, родени от майки под 18 години се увеличава от 2753 през 2023 г. на 2817 през 2024 година. </w:t>
      </w:r>
      <w:r w:rsidRPr="00AA5833">
        <w:rPr>
          <w:rFonts w:ascii="Times New Roman" w:eastAsia="Times New Roman" w:hAnsi="Times New Roman" w:cs="Times New Roman"/>
          <w:color w:val="000000" w:themeColor="text1"/>
          <w:sz w:val="24"/>
          <w:szCs w:val="24"/>
          <w:lang w:eastAsia="bg-BG"/>
        </w:rPr>
        <w:t>Факторите, които оказват въздействие върху вземането на решение за раждане и отглеждане на дете са комплексни и се отнасят до създаване на по-спокойна, предвидима и сигурна семейна, обществена и социално-икономическа среда.</w:t>
      </w:r>
    </w:p>
    <w:p w14:paraId="51F757B4" w14:textId="77777777" w:rsidR="00DA48E8" w:rsidRPr="00AA5833" w:rsidRDefault="00DA48E8" w:rsidP="006856A7">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регистрирани </w:t>
      </w:r>
      <w:r w:rsidRPr="00AA5833">
        <w:rPr>
          <w:rFonts w:ascii="Times New Roman" w:eastAsia="Times New Roman" w:hAnsi="Times New Roman" w:cs="Times New Roman"/>
          <w:b/>
          <w:sz w:val="24"/>
          <w:szCs w:val="24"/>
          <w:lang w:eastAsia="bg-BG"/>
        </w:rPr>
        <w:t>20 643 юридически брака</w:t>
      </w:r>
      <w:r w:rsidRPr="00AA5833">
        <w:rPr>
          <w:rFonts w:ascii="Times New Roman" w:eastAsia="Times New Roman" w:hAnsi="Times New Roman" w:cs="Times New Roman"/>
          <w:sz w:val="24"/>
          <w:szCs w:val="24"/>
          <w:lang w:eastAsia="bg-BG"/>
        </w:rPr>
        <w:t xml:space="preserve">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с 1157 по-малко спрямо предходната година, а коефициентът на брачност</w:t>
      </w:r>
      <w:r w:rsidRPr="00AA5833">
        <w:rPr>
          <w:rFonts w:ascii="Times New Roman" w:eastAsia="Times New Roman" w:hAnsi="Times New Roman" w:cs="Times New Roman"/>
          <w:sz w:val="24"/>
          <w:szCs w:val="24"/>
          <w:vertAlign w:val="superscript"/>
          <w:lang w:eastAsia="bg-BG"/>
        </w:rPr>
        <w:footnoteReference w:id="5"/>
      </w:r>
      <w:r w:rsidRPr="00AA5833">
        <w:rPr>
          <w:rFonts w:ascii="Times New Roman" w:eastAsia="Times New Roman" w:hAnsi="Times New Roman" w:cs="Times New Roman"/>
          <w:sz w:val="24"/>
          <w:szCs w:val="24"/>
          <w:lang w:eastAsia="bg-BG"/>
        </w:rPr>
        <w:t xml:space="preserve"> е 3.2‰. </w:t>
      </w:r>
    </w:p>
    <w:p w14:paraId="18EC85E9" w14:textId="77777777" w:rsidR="00DA48E8" w:rsidRPr="00AA5833" w:rsidRDefault="00DA48E8" w:rsidP="00DA48E8">
      <w:pPr>
        <w:spacing w:after="0" w:line="240" w:lineRule="auto"/>
        <w:ind w:firstLine="709"/>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b/>
          <w:sz w:val="24"/>
          <w:szCs w:val="24"/>
          <w:lang w:eastAsia="bg-BG"/>
        </w:rPr>
        <w:t xml:space="preserve">Броят на разводите през 2024 г. е 8650, или с 438 по-малко от регистрираните през 2023 година. </w:t>
      </w:r>
      <w:r w:rsidRPr="00AA5833">
        <w:rPr>
          <w:rFonts w:ascii="Times New Roman" w:eastAsia="Times New Roman" w:hAnsi="Times New Roman" w:cs="Times New Roman"/>
          <w:color w:val="000000" w:themeColor="text1"/>
          <w:sz w:val="24"/>
          <w:szCs w:val="24"/>
          <w:lang w:eastAsia="bg-BG"/>
        </w:rPr>
        <w:t>Средната продължителност на брака до неговото прекратяване е 15.2 години.</w:t>
      </w:r>
    </w:p>
    <w:p w14:paraId="44D9F63D" w14:textId="77777777" w:rsidR="006856A7" w:rsidRPr="00AA5833" w:rsidRDefault="00472C1E" w:rsidP="00DA48E8">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Броят на умрелите лица през 2024 г. е 100 736, а коефициентът на обща смъртност</w:t>
      </w:r>
      <w:r w:rsidRPr="00AA5833">
        <w:rPr>
          <w:rFonts w:ascii="Times New Roman" w:eastAsia="Times New Roman" w:hAnsi="Times New Roman" w:cs="Times New Roman"/>
          <w:b/>
          <w:sz w:val="24"/>
          <w:szCs w:val="24"/>
          <w:vertAlign w:val="superscript"/>
          <w:lang w:eastAsia="bg-BG"/>
        </w:rPr>
        <w:footnoteReference w:id="6"/>
      </w:r>
      <w:r w:rsidRPr="00AA5833">
        <w:rPr>
          <w:rFonts w:ascii="Times New Roman" w:eastAsia="Times New Roman" w:hAnsi="Times New Roman" w:cs="Times New Roman"/>
          <w:b/>
          <w:sz w:val="24"/>
          <w:szCs w:val="24"/>
          <w:lang w:eastAsia="bg-BG"/>
        </w:rPr>
        <w:t xml:space="preserve">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b/>
          <w:sz w:val="24"/>
          <w:szCs w:val="24"/>
          <w:lang w:eastAsia="bg-BG"/>
        </w:rPr>
        <w:t xml:space="preserve">15.6‰. Спрямо предходната година броят на умрелите намалява с 270, или с 0.3%. </w:t>
      </w:r>
      <w:r w:rsidR="006856A7" w:rsidRPr="00AA5833">
        <w:rPr>
          <w:rFonts w:ascii="Times New Roman" w:eastAsia="Times New Roman" w:hAnsi="Times New Roman" w:cs="Times New Roman"/>
          <w:sz w:val="24"/>
          <w:szCs w:val="24"/>
          <w:lang w:eastAsia="bg-BG"/>
        </w:rPr>
        <w:t>Нивото на общата смъртност продължава да е високо.</w:t>
      </w:r>
    </w:p>
    <w:p w14:paraId="78C85DA5" w14:textId="77777777" w:rsidR="006856A7" w:rsidRPr="00AA5833" w:rsidRDefault="007636B4"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През 2024 г. в страната са починали 238 деца на възраст до една година, а коефициентът на детска смъртност</w:t>
      </w:r>
      <w:r w:rsidRPr="00AA5833">
        <w:rPr>
          <w:rFonts w:ascii="Times New Roman" w:eastAsia="Times New Roman" w:hAnsi="Times New Roman" w:cs="Times New Roman"/>
          <w:b/>
          <w:sz w:val="24"/>
          <w:szCs w:val="24"/>
          <w:vertAlign w:val="superscript"/>
          <w:lang w:eastAsia="bg-BG"/>
        </w:rPr>
        <w:footnoteReference w:id="7"/>
      </w:r>
      <w:r w:rsidRPr="00AA5833">
        <w:rPr>
          <w:rFonts w:ascii="Times New Roman" w:eastAsia="Times New Roman" w:hAnsi="Times New Roman" w:cs="Times New Roman"/>
          <w:b/>
          <w:sz w:val="24"/>
          <w:szCs w:val="24"/>
          <w:lang w:eastAsia="bg-BG"/>
        </w:rPr>
        <w:t xml:space="preserve"> е 4.5‰. </w:t>
      </w:r>
      <w:r w:rsidRPr="00AA5833">
        <w:rPr>
          <w:rFonts w:ascii="Times New Roman" w:eastAsia="Times New Roman" w:hAnsi="Times New Roman" w:cs="Times New Roman"/>
          <w:sz w:val="24"/>
          <w:szCs w:val="24"/>
          <w:lang w:eastAsia="bg-BG"/>
        </w:rPr>
        <w:t xml:space="preserve">За сравнение, през 2014 г. коефициентът на детска смъртност е бил 7.6‰, а през 2023 г.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4.9‰.</w:t>
      </w:r>
      <w:r w:rsidRPr="00AA5833">
        <w:rPr>
          <w:rFonts w:ascii="Times New Roman" w:eastAsia="Times New Roman" w:hAnsi="Times New Roman" w:cs="Times New Roman"/>
          <w:b/>
          <w:sz w:val="24"/>
          <w:szCs w:val="24"/>
          <w:lang w:eastAsia="bg-BG"/>
        </w:rPr>
        <w:t xml:space="preserve"> </w:t>
      </w:r>
      <w:r w:rsidR="006856A7" w:rsidRPr="00AA5833">
        <w:rPr>
          <w:rFonts w:ascii="Times New Roman" w:eastAsia="Times New Roman" w:hAnsi="Times New Roman" w:cs="Times New Roman"/>
          <w:color w:val="FF0000"/>
          <w:sz w:val="24"/>
          <w:szCs w:val="24"/>
          <w:lang w:eastAsia="bg-BG"/>
        </w:rPr>
        <w:t xml:space="preserve"> </w:t>
      </w:r>
    </w:p>
    <w:p w14:paraId="39BD7AD4" w14:textId="77777777" w:rsidR="004C2E10" w:rsidRPr="00AA5833" w:rsidRDefault="007636B4" w:rsidP="006856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lastRenderedPageBreak/>
        <w:t>Очакваната средна продължителност на предстоящия живот</w:t>
      </w:r>
      <w:r w:rsidRPr="00AA5833">
        <w:rPr>
          <w:rFonts w:ascii="Times New Roman" w:eastAsia="Times New Roman" w:hAnsi="Times New Roman" w:cs="Times New Roman"/>
          <w:b/>
          <w:sz w:val="24"/>
          <w:szCs w:val="24"/>
          <w:vertAlign w:val="superscript"/>
          <w:lang w:eastAsia="bg-BG"/>
        </w:rPr>
        <w:footnoteReference w:id="8"/>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общо за населението на страната, изчислена за периода 2022</w:t>
      </w:r>
      <w:r w:rsidR="00EA576B" w:rsidRPr="00AA5833">
        <w:rPr>
          <w:rFonts w:ascii="Times New Roman" w:eastAsia="Times New Roman" w:hAnsi="Times New Roman" w:cs="Times New Roman"/>
          <w:sz w:val="24"/>
          <w:szCs w:val="24"/>
          <w:lang w:eastAsia="bg-BG"/>
        </w:rPr>
        <w:t xml:space="preserve"> </w:t>
      </w:r>
      <w:r w:rsidR="00EA576B"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2024 г., е 75.6 години, като спрямо предходния период (2021</w:t>
      </w:r>
      <w:r w:rsidR="00EA576B" w:rsidRPr="00AA5833">
        <w:rPr>
          <w:rFonts w:ascii="Times New Roman" w:eastAsia="Times New Roman" w:hAnsi="Times New Roman" w:cs="Times New Roman"/>
          <w:sz w:val="24"/>
          <w:szCs w:val="24"/>
          <w:lang w:eastAsia="bg-BG"/>
        </w:rPr>
        <w:t xml:space="preserve"> </w:t>
      </w:r>
      <w:r w:rsidR="00EA576B"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2023 г.) се увеличава с 2.1 години.</w:t>
      </w:r>
      <w:r w:rsidR="004C2E10" w:rsidRPr="00AA5833">
        <w:rPr>
          <w:rFonts w:ascii="Times New Roman" w:eastAsia="Times New Roman" w:hAnsi="Times New Roman" w:cs="Times New Roman"/>
          <w:sz w:val="24"/>
          <w:szCs w:val="24"/>
          <w:lang w:eastAsia="bg-BG"/>
        </w:rPr>
        <w:t xml:space="preserve"> </w:t>
      </w:r>
    </w:p>
    <w:p w14:paraId="351DE278" w14:textId="77777777" w:rsidR="006856A7" w:rsidRPr="00AA5833" w:rsidRDefault="006856A7" w:rsidP="006856A7">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Различната смъртност при мъжете и жените, както и сред населението в градовете и селата, определя и различната средна продължителност на живота при тези категории население.</w:t>
      </w:r>
    </w:p>
    <w:p w14:paraId="5685EC0F" w14:textId="77777777" w:rsidR="007636B4" w:rsidRPr="00AA5833" w:rsidRDefault="007636B4" w:rsidP="007636B4">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 xml:space="preserve">Средната продължителност на живота при мъжете е 71.9 години, докато при жените е със 7.4 години по-висока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b/>
          <w:sz w:val="24"/>
          <w:szCs w:val="24"/>
          <w:lang w:eastAsia="bg-BG"/>
        </w:rPr>
        <w:t xml:space="preserve">79.3 години. </w:t>
      </w:r>
      <w:r w:rsidRPr="00AA5833">
        <w:rPr>
          <w:rFonts w:ascii="Times New Roman" w:eastAsia="Times New Roman" w:hAnsi="Times New Roman" w:cs="Times New Roman"/>
          <w:sz w:val="24"/>
          <w:szCs w:val="24"/>
          <w:lang w:eastAsia="bg-BG"/>
        </w:rPr>
        <w:t xml:space="preserve">В сравнение с 2014 г. през 2024 г. наблюдаваме увеличение на средната продължителност при мъжете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с 0.7 години, а при жените </w:t>
      </w:r>
      <w:r w:rsidR="008634E0"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с 1.0 години.</w:t>
      </w:r>
    </w:p>
    <w:p w14:paraId="6ABDECD0"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p>
    <w:p w14:paraId="1332E0F3" w14:textId="77777777" w:rsidR="006856A7" w:rsidRPr="00AA5833" w:rsidRDefault="006856A7" w:rsidP="006856A7">
      <w:pPr>
        <w:numPr>
          <w:ilvl w:val="1"/>
          <w:numId w:val="6"/>
        </w:numPr>
        <w:autoSpaceDE w:val="0"/>
        <w:autoSpaceDN w:val="0"/>
        <w:adjustRightInd w:val="0"/>
        <w:spacing w:after="0" w:line="240" w:lineRule="auto"/>
        <w:contextualSpacing/>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 xml:space="preserve"> БРОЙ И СТРУКТУРИ НА НАСЕЛЕНИЕТО В БЪЛГАРИЯ</w:t>
      </w:r>
    </w:p>
    <w:p w14:paraId="21EC87A5"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23"/>
          <w:szCs w:val="23"/>
        </w:rPr>
      </w:pPr>
      <w:r w:rsidRPr="00AA5833">
        <w:rPr>
          <w:rFonts w:ascii="Times New Roman" w:eastAsia="Times New Roman" w:hAnsi="Times New Roman" w:cs="Times New Roman"/>
          <w:sz w:val="23"/>
          <w:szCs w:val="23"/>
        </w:rPr>
        <w:tab/>
      </w:r>
    </w:p>
    <w:p w14:paraId="0A1C95B8"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Основните фактори, които влияят върху измененията в броя и структурите на населението са демографските процеси – раждаемост, смъртност и миграция. </w:t>
      </w:r>
    </w:p>
    <w:p w14:paraId="05A85FFB" w14:textId="77777777" w:rsidR="006856A7" w:rsidRPr="00AA5833" w:rsidRDefault="006856A7" w:rsidP="006856A7">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Броят и структурите на населението се определят от размерите и интензивността на неговото естествено и механично (миграционно) движение.  </w:t>
      </w:r>
    </w:p>
    <w:p w14:paraId="2776D323"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През 202</w:t>
      </w:r>
      <w:r w:rsidR="000B79AE" w:rsidRPr="00AA5833">
        <w:rPr>
          <w:rFonts w:ascii="Times New Roman" w:eastAsia="Times New Roman" w:hAnsi="Times New Roman" w:cs="Times New Roman"/>
          <w:b/>
          <w:sz w:val="24"/>
          <w:szCs w:val="24"/>
          <w:lang w:eastAsia="bg-BG"/>
        </w:rPr>
        <w:t>4</w:t>
      </w:r>
      <w:r w:rsidRPr="00AA5833">
        <w:rPr>
          <w:rFonts w:ascii="Times New Roman" w:eastAsia="Times New Roman" w:hAnsi="Times New Roman" w:cs="Times New Roman"/>
          <w:b/>
          <w:sz w:val="24"/>
          <w:szCs w:val="24"/>
          <w:lang w:eastAsia="bg-BG"/>
        </w:rPr>
        <w:t xml:space="preserve"> г. населението в България продължава да намалява. </w:t>
      </w:r>
    </w:p>
    <w:p w14:paraId="148EACFA" w14:textId="77777777" w:rsidR="003B44B4"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AA5833">
        <w:rPr>
          <w:rFonts w:ascii="Times New Roman" w:eastAsia="Times New Roman" w:hAnsi="Times New Roman" w:cs="Times New Roman"/>
          <w:b/>
          <w:bCs/>
          <w:sz w:val="24"/>
          <w:szCs w:val="24"/>
        </w:rPr>
        <w:t>По данни от текущата демографска статистика към 31 декември 202</w:t>
      </w:r>
      <w:r w:rsidR="00503723" w:rsidRPr="00AA5833">
        <w:rPr>
          <w:rFonts w:ascii="Times New Roman" w:eastAsia="Times New Roman" w:hAnsi="Times New Roman" w:cs="Times New Roman"/>
          <w:b/>
          <w:bCs/>
          <w:sz w:val="24"/>
          <w:szCs w:val="24"/>
        </w:rPr>
        <w:t>4</w:t>
      </w:r>
      <w:r w:rsidRPr="00AA5833">
        <w:rPr>
          <w:rFonts w:ascii="Times New Roman" w:eastAsia="Times New Roman" w:hAnsi="Times New Roman" w:cs="Times New Roman"/>
          <w:b/>
          <w:bCs/>
          <w:sz w:val="24"/>
          <w:szCs w:val="24"/>
        </w:rPr>
        <w:t xml:space="preserve"> г. населението на България е 6 </w:t>
      </w:r>
      <w:r w:rsidR="000B79AE" w:rsidRPr="00AA5833">
        <w:rPr>
          <w:rFonts w:ascii="Times New Roman" w:eastAsia="Times New Roman" w:hAnsi="Times New Roman" w:cs="Times New Roman"/>
          <w:b/>
          <w:bCs/>
          <w:sz w:val="24"/>
          <w:szCs w:val="24"/>
        </w:rPr>
        <w:t xml:space="preserve">437 360 </w:t>
      </w:r>
      <w:r w:rsidRPr="00AA5833">
        <w:rPr>
          <w:rFonts w:ascii="Times New Roman" w:eastAsia="Times New Roman" w:hAnsi="Times New Roman" w:cs="Times New Roman"/>
          <w:b/>
          <w:bCs/>
          <w:sz w:val="24"/>
          <w:szCs w:val="24"/>
        </w:rPr>
        <w:t xml:space="preserve">души, </w:t>
      </w:r>
      <w:r w:rsidRPr="00AA5833">
        <w:rPr>
          <w:rFonts w:ascii="Times New Roman" w:eastAsia="Times New Roman" w:hAnsi="Times New Roman" w:cs="Times New Roman"/>
          <w:bCs/>
          <w:sz w:val="24"/>
          <w:szCs w:val="24"/>
        </w:rPr>
        <w:t>което представлява 1.4% от населението на Европейския съюз</w:t>
      </w:r>
      <w:r w:rsidRPr="00AA5833">
        <w:rPr>
          <w:rFonts w:ascii="Times New Roman" w:eastAsia="Times New Roman" w:hAnsi="Times New Roman" w:cs="Times New Roman"/>
          <w:bCs/>
          <w:sz w:val="24"/>
          <w:szCs w:val="24"/>
          <w:vertAlign w:val="superscript"/>
        </w:rPr>
        <w:footnoteReference w:id="9"/>
      </w:r>
      <w:r w:rsidRPr="00AA5833">
        <w:rPr>
          <w:rFonts w:ascii="Times New Roman" w:eastAsia="Times New Roman" w:hAnsi="Times New Roman" w:cs="Times New Roman"/>
          <w:bCs/>
          <w:sz w:val="24"/>
          <w:szCs w:val="24"/>
        </w:rPr>
        <w:t xml:space="preserve">. </w:t>
      </w:r>
      <w:r w:rsidR="003B44B4" w:rsidRPr="00AA5833">
        <w:rPr>
          <w:rFonts w:ascii="Times New Roman" w:eastAsia="Times New Roman" w:hAnsi="Times New Roman" w:cs="Times New Roman"/>
          <w:bCs/>
          <w:sz w:val="24"/>
          <w:szCs w:val="24"/>
        </w:rPr>
        <w:t xml:space="preserve">В сравнение с 2023 г. населението на страната намалява с 8 121 души, или с 0.13%. </w:t>
      </w:r>
    </w:p>
    <w:p w14:paraId="408E9C55"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Намалението на населението през 202</w:t>
      </w:r>
      <w:r w:rsidR="003B44B4" w:rsidRPr="00AA5833">
        <w:rPr>
          <w:rFonts w:ascii="Times New Roman" w:eastAsia="Times New Roman" w:hAnsi="Times New Roman" w:cs="Times New Roman"/>
          <w:sz w:val="24"/>
          <w:szCs w:val="24"/>
          <w:lang w:eastAsia="bg-BG"/>
        </w:rPr>
        <w:t>4</w:t>
      </w:r>
      <w:r w:rsidRPr="00AA5833">
        <w:rPr>
          <w:rFonts w:ascii="Times New Roman" w:eastAsia="Times New Roman" w:hAnsi="Times New Roman" w:cs="Times New Roman"/>
          <w:sz w:val="24"/>
          <w:szCs w:val="24"/>
          <w:lang w:eastAsia="bg-BG"/>
        </w:rPr>
        <w:t xml:space="preserve"> г. в България</w:t>
      </w:r>
      <w:r w:rsidRPr="00AA5833">
        <w:rPr>
          <w:rFonts w:ascii="Times New Roman" w:eastAsia="Times New Roman" w:hAnsi="Times New Roman" w:cs="Times New Roman"/>
          <w:b/>
          <w:sz w:val="24"/>
          <w:szCs w:val="24"/>
          <w:lang w:eastAsia="bg-BG"/>
        </w:rPr>
        <w:t xml:space="preserve"> се дължи на отрицателен естествен прираст, а не на външна миграция – в резултат на отрицателния естествен прираст населението на страната е намаляло с </w:t>
      </w:r>
      <w:r w:rsidR="003B44B4" w:rsidRPr="00AA5833">
        <w:rPr>
          <w:rFonts w:ascii="Times New Roman" w:eastAsia="Times New Roman" w:hAnsi="Times New Roman" w:cs="Times New Roman"/>
          <w:b/>
          <w:sz w:val="24"/>
          <w:szCs w:val="24"/>
          <w:lang w:eastAsia="bg-BG"/>
        </w:rPr>
        <w:t xml:space="preserve">47 308 </w:t>
      </w:r>
      <w:r w:rsidRPr="00AA5833">
        <w:rPr>
          <w:rFonts w:ascii="Times New Roman" w:eastAsia="Times New Roman" w:hAnsi="Times New Roman" w:cs="Times New Roman"/>
          <w:b/>
          <w:sz w:val="24"/>
          <w:szCs w:val="24"/>
          <w:lang w:eastAsia="bg-BG"/>
        </w:rPr>
        <w:t xml:space="preserve">души. </w:t>
      </w:r>
      <w:r w:rsidRPr="00AA5833">
        <w:rPr>
          <w:rFonts w:ascii="Times New Roman" w:eastAsia="Times New Roman" w:hAnsi="Times New Roman" w:cs="Times New Roman"/>
          <w:b/>
          <w:bCs/>
          <w:sz w:val="24"/>
          <w:szCs w:val="24"/>
          <w:lang w:eastAsia="bg-BG"/>
        </w:rPr>
        <w:t>М</w:t>
      </w:r>
      <w:r w:rsidRPr="00AA5833">
        <w:rPr>
          <w:rFonts w:ascii="Times New Roman" w:eastAsia="Times New Roman" w:hAnsi="Times New Roman" w:cs="Times New Roman"/>
          <w:b/>
          <w:sz w:val="24"/>
          <w:szCs w:val="24"/>
          <w:lang w:eastAsia="bg-BG"/>
        </w:rPr>
        <w:t xml:space="preserve">еханичният прираст </w:t>
      </w:r>
      <w:r w:rsidRPr="00AA5833">
        <w:rPr>
          <w:rFonts w:ascii="Times New Roman" w:eastAsia="Times New Roman" w:hAnsi="Times New Roman" w:cs="Times New Roman"/>
          <w:sz w:val="24"/>
          <w:szCs w:val="24"/>
          <w:lang w:eastAsia="bg-BG"/>
        </w:rPr>
        <w:t>(нетното салдо от външната миграция)</w:t>
      </w:r>
      <w:r w:rsidR="00654137" w:rsidRPr="00AA5833">
        <w:rPr>
          <w:rFonts w:ascii="Times New Roman" w:eastAsia="Times New Roman" w:hAnsi="Times New Roman" w:cs="Times New Roman"/>
          <w:b/>
          <w:sz w:val="24"/>
          <w:szCs w:val="24"/>
          <w:lang w:eastAsia="bg-BG"/>
        </w:rPr>
        <w:t xml:space="preserve"> за 2024</w:t>
      </w:r>
      <w:r w:rsidRPr="00AA5833">
        <w:rPr>
          <w:rFonts w:ascii="Times New Roman" w:eastAsia="Times New Roman" w:hAnsi="Times New Roman" w:cs="Times New Roman"/>
          <w:b/>
          <w:sz w:val="24"/>
          <w:szCs w:val="24"/>
          <w:lang w:eastAsia="bg-BG"/>
        </w:rPr>
        <w:t xml:space="preserve"> г. е положителен – плюс </w:t>
      </w:r>
      <w:r w:rsidR="003B44B4" w:rsidRPr="00AA5833">
        <w:rPr>
          <w:rFonts w:ascii="Times New Roman" w:eastAsia="Times New Roman" w:hAnsi="Times New Roman" w:cs="Times New Roman"/>
          <w:b/>
          <w:sz w:val="24"/>
          <w:szCs w:val="24"/>
          <w:lang w:eastAsia="bg-BG"/>
        </w:rPr>
        <w:t xml:space="preserve">39 187 </w:t>
      </w:r>
      <w:r w:rsidRPr="00AA5833">
        <w:rPr>
          <w:rFonts w:ascii="Times New Roman" w:eastAsia="Times New Roman" w:hAnsi="Times New Roman" w:cs="Times New Roman"/>
          <w:b/>
          <w:sz w:val="24"/>
          <w:szCs w:val="24"/>
          <w:lang w:eastAsia="bg-BG"/>
        </w:rPr>
        <w:t>души, а коефициентът на нетна миграция, е +6.</w:t>
      </w:r>
      <w:r w:rsidR="003B44B4" w:rsidRPr="00AA5833">
        <w:rPr>
          <w:rFonts w:ascii="Times New Roman" w:eastAsia="Times New Roman" w:hAnsi="Times New Roman" w:cs="Times New Roman"/>
          <w:b/>
          <w:sz w:val="24"/>
          <w:szCs w:val="24"/>
          <w:lang w:eastAsia="bg-BG"/>
        </w:rPr>
        <w:t>0</w:t>
      </w:r>
      <w:r w:rsidRPr="00AA5833">
        <w:rPr>
          <w:rFonts w:ascii="Times New Roman" w:eastAsia="Times New Roman" w:hAnsi="Times New Roman" w:cs="Times New Roman"/>
          <w:b/>
          <w:sz w:val="24"/>
          <w:szCs w:val="24"/>
          <w:lang w:eastAsia="bg-BG"/>
        </w:rPr>
        <w:t>‰</w:t>
      </w:r>
      <w:r w:rsidRPr="00AA5833">
        <w:rPr>
          <w:rFonts w:ascii="Times New Roman" w:eastAsia="Times New Roman" w:hAnsi="Times New Roman" w:cs="Times New Roman"/>
          <w:b/>
          <w:sz w:val="24"/>
          <w:szCs w:val="24"/>
          <w:vertAlign w:val="superscript"/>
          <w:lang w:eastAsia="bg-BG"/>
        </w:rPr>
        <w:footnoteReference w:id="10"/>
      </w:r>
      <w:r w:rsidRPr="00AA5833">
        <w:rPr>
          <w:rFonts w:ascii="Times New Roman" w:eastAsia="Times New Roman" w:hAnsi="Times New Roman" w:cs="Times New Roman"/>
          <w:b/>
          <w:sz w:val="24"/>
          <w:szCs w:val="24"/>
          <w:lang w:eastAsia="bg-BG"/>
        </w:rPr>
        <w:t>.</w:t>
      </w:r>
    </w:p>
    <w:p w14:paraId="3A10347B"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bg-BG"/>
        </w:rPr>
      </w:pPr>
    </w:p>
    <w:p w14:paraId="1ABA3717" w14:textId="77777777" w:rsidR="006856A7" w:rsidRPr="00AA5833" w:rsidRDefault="006856A7" w:rsidP="006856A7">
      <w:pPr>
        <w:numPr>
          <w:ilvl w:val="2"/>
          <w:numId w:val="5"/>
        </w:numPr>
        <w:autoSpaceDE w:val="0"/>
        <w:autoSpaceDN w:val="0"/>
        <w:adjustRightInd w:val="0"/>
        <w:spacing w:after="0" w:line="240" w:lineRule="auto"/>
        <w:jc w:val="both"/>
        <w:rPr>
          <w:rFonts w:ascii="Times New Roman Bold" w:eastAsia="Times New Roman" w:hAnsi="Times New Roman Bold" w:cs="Times New Roman"/>
          <w:b/>
          <w:color w:val="000000"/>
          <w:sz w:val="24"/>
          <w:szCs w:val="24"/>
        </w:rPr>
      </w:pPr>
      <w:r w:rsidRPr="00AA5833">
        <w:rPr>
          <w:rFonts w:ascii="Times New Roman Bold" w:eastAsia="Times New Roman" w:hAnsi="Times New Roman Bold" w:cs="Times New Roman"/>
          <w:b/>
          <w:color w:val="000000"/>
          <w:sz w:val="24"/>
          <w:szCs w:val="24"/>
        </w:rPr>
        <w:t>Абсолютен естествен прираст на населението</w:t>
      </w:r>
    </w:p>
    <w:p w14:paraId="74E0301D" w14:textId="77777777" w:rsidR="006856A7" w:rsidRPr="00AA5833" w:rsidRDefault="006856A7" w:rsidP="006856A7">
      <w:pPr>
        <w:autoSpaceDE w:val="0"/>
        <w:autoSpaceDN w:val="0"/>
        <w:adjustRightInd w:val="0"/>
        <w:spacing w:after="0" w:line="240" w:lineRule="auto"/>
        <w:ind w:firstLine="601"/>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Разликата между живородените и умрелите представлява естественият прираст на населението. </w:t>
      </w:r>
      <w:r w:rsidRPr="00AA5833">
        <w:rPr>
          <w:rFonts w:ascii="Times New Roman" w:eastAsia="Times New Roman" w:hAnsi="Times New Roman" w:cs="Times New Roman"/>
          <w:b/>
          <w:sz w:val="24"/>
          <w:szCs w:val="24"/>
          <w:lang w:eastAsia="bg-BG"/>
        </w:rPr>
        <w:t>След 1990 г. демографското развитие на страната се характеризира с отрицателен естествен прираст на населението.</w:t>
      </w:r>
      <w:r w:rsidRPr="00AA5833">
        <w:rPr>
          <w:rFonts w:ascii="Times New Roman" w:eastAsia="Times New Roman" w:hAnsi="Times New Roman" w:cs="Times New Roman"/>
          <w:sz w:val="24"/>
          <w:szCs w:val="24"/>
          <w:lang w:eastAsia="bg-BG"/>
        </w:rPr>
        <w:t xml:space="preserve"> </w:t>
      </w:r>
    </w:p>
    <w:p w14:paraId="57A2C2AB" w14:textId="77777777" w:rsidR="006856A7" w:rsidRPr="00AA5833" w:rsidRDefault="006856A7" w:rsidP="006856A7">
      <w:pPr>
        <w:autoSpaceDE w:val="0"/>
        <w:autoSpaceDN w:val="0"/>
        <w:adjustRightInd w:val="0"/>
        <w:spacing w:after="0" w:line="240" w:lineRule="auto"/>
        <w:ind w:firstLine="601"/>
        <w:jc w:val="both"/>
        <w:rPr>
          <w:rFonts w:ascii="Times New Roman" w:eastAsia="Times New Roman" w:hAnsi="Times New Roman" w:cs="Times New Roman"/>
          <w:sz w:val="24"/>
          <w:szCs w:val="24"/>
          <w:lang w:eastAsia="bg-BG"/>
        </w:rPr>
      </w:pPr>
    </w:p>
    <w:p w14:paraId="1A12F6F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Таблица 4: Живородени, умрели, естествен прираст в периода 200</w:t>
      </w:r>
      <w:r w:rsidR="00452188" w:rsidRPr="00AA5833">
        <w:rPr>
          <w:rFonts w:ascii="Times New Roman" w:eastAsia="Times New Roman" w:hAnsi="Times New Roman" w:cs="Times New Roman"/>
          <w:b/>
          <w:sz w:val="24"/>
          <w:szCs w:val="24"/>
        </w:rPr>
        <w:t>8</w:t>
      </w:r>
      <w:r w:rsidRPr="00AA5833">
        <w:rPr>
          <w:rFonts w:ascii="Times New Roman" w:eastAsia="Times New Roman" w:hAnsi="Times New Roman" w:cs="Times New Roman"/>
          <w:b/>
          <w:sz w:val="24"/>
          <w:szCs w:val="24"/>
        </w:rPr>
        <w:t xml:space="preserve"> - 202</w:t>
      </w:r>
      <w:r w:rsidR="00452188"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434"/>
        <w:gridCol w:w="1622"/>
        <w:gridCol w:w="3362"/>
      </w:tblGrid>
      <w:tr w:rsidR="006856A7" w:rsidRPr="00AA5833" w14:paraId="033EEC02" w14:textId="77777777" w:rsidTr="006856A7">
        <w:trPr>
          <w:trHeight w:val="284"/>
          <w:jc w:val="center"/>
        </w:trPr>
        <w:tc>
          <w:tcPr>
            <w:tcW w:w="803" w:type="pct"/>
            <w:tcBorders>
              <w:top w:val="single" w:sz="4" w:space="0" w:color="auto"/>
              <w:left w:val="single" w:sz="4" w:space="0" w:color="auto"/>
              <w:bottom w:val="single" w:sz="4" w:space="0" w:color="auto"/>
              <w:right w:val="single" w:sz="4" w:space="0" w:color="auto"/>
            </w:tcBorders>
            <w:shd w:val="clear" w:color="auto" w:fill="00CC99"/>
            <w:hideMark/>
          </w:tcPr>
          <w:p w14:paraId="6498F0D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Година</w:t>
            </w:r>
          </w:p>
        </w:tc>
        <w:tc>
          <w:tcPr>
            <w:tcW w:w="1377" w:type="pct"/>
            <w:tcBorders>
              <w:top w:val="single" w:sz="4" w:space="0" w:color="auto"/>
              <w:left w:val="single" w:sz="4" w:space="0" w:color="auto"/>
              <w:bottom w:val="single" w:sz="4" w:space="0" w:color="auto"/>
              <w:right w:val="single" w:sz="4" w:space="0" w:color="auto"/>
            </w:tcBorders>
            <w:shd w:val="clear" w:color="auto" w:fill="00CC99"/>
            <w:hideMark/>
          </w:tcPr>
          <w:p w14:paraId="5A5D42A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Живородени</w:t>
            </w:r>
          </w:p>
        </w:tc>
        <w:tc>
          <w:tcPr>
            <w:tcW w:w="918" w:type="pct"/>
            <w:tcBorders>
              <w:top w:val="single" w:sz="4" w:space="0" w:color="auto"/>
              <w:left w:val="single" w:sz="4" w:space="0" w:color="auto"/>
              <w:bottom w:val="single" w:sz="4" w:space="0" w:color="auto"/>
              <w:right w:val="single" w:sz="4" w:space="0" w:color="auto"/>
            </w:tcBorders>
            <w:shd w:val="clear" w:color="auto" w:fill="00CC99"/>
            <w:hideMark/>
          </w:tcPr>
          <w:p w14:paraId="46D2B784"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Умрели</w:t>
            </w:r>
          </w:p>
        </w:tc>
        <w:tc>
          <w:tcPr>
            <w:tcW w:w="1902" w:type="pct"/>
            <w:tcBorders>
              <w:top w:val="single" w:sz="4" w:space="0" w:color="auto"/>
              <w:left w:val="single" w:sz="4" w:space="0" w:color="auto"/>
              <w:bottom w:val="single" w:sz="4" w:space="0" w:color="auto"/>
              <w:right w:val="single" w:sz="4" w:space="0" w:color="auto"/>
            </w:tcBorders>
            <w:shd w:val="clear" w:color="auto" w:fill="00CC99"/>
            <w:hideMark/>
          </w:tcPr>
          <w:p w14:paraId="1CD71B4C" w14:textId="77777777" w:rsidR="006856A7" w:rsidRPr="00AA5833" w:rsidRDefault="006856A7" w:rsidP="006856A7">
            <w:pPr>
              <w:autoSpaceDE w:val="0"/>
              <w:autoSpaceDN w:val="0"/>
              <w:adjustRightInd w:val="0"/>
              <w:spacing w:after="0" w:line="240" w:lineRule="auto"/>
              <w:ind w:right="33"/>
              <w:jc w:val="center"/>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Естествен прираст</w:t>
            </w:r>
          </w:p>
        </w:tc>
      </w:tr>
      <w:tr w:rsidR="006856A7" w:rsidRPr="00AA5833" w14:paraId="1E888128" w14:textId="77777777" w:rsidTr="006856A7">
        <w:trPr>
          <w:trHeight w:val="284"/>
          <w:jc w:val="center"/>
        </w:trPr>
        <w:tc>
          <w:tcPr>
            <w:tcW w:w="803" w:type="pct"/>
            <w:tcBorders>
              <w:top w:val="single" w:sz="4" w:space="0" w:color="auto"/>
              <w:left w:val="single" w:sz="4" w:space="0" w:color="auto"/>
              <w:bottom w:val="single" w:sz="4" w:space="0" w:color="auto"/>
              <w:right w:val="single" w:sz="4" w:space="0" w:color="auto"/>
            </w:tcBorders>
          </w:tcPr>
          <w:p w14:paraId="1FF0C173"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2008</w:t>
            </w:r>
          </w:p>
        </w:tc>
        <w:tc>
          <w:tcPr>
            <w:tcW w:w="1377" w:type="pct"/>
            <w:tcBorders>
              <w:top w:val="single" w:sz="4" w:space="0" w:color="auto"/>
              <w:left w:val="single" w:sz="4" w:space="0" w:color="auto"/>
              <w:bottom w:val="single" w:sz="4" w:space="0" w:color="auto"/>
              <w:right w:val="single" w:sz="4" w:space="0" w:color="auto"/>
            </w:tcBorders>
          </w:tcPr>
          <w:p w14:paraId="723A1F82"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77 712</w:t>
            </w:r>
          </w:p>
        </w:tc>
        <w:tc>
          <w:tcPr>
            <w:tcW w:w="918" w:type="pct"/>
            <w:tcBorders>
              <w:top w:val="single" w:sz="4" w:space="0" w:color="auto"/>
              <w:left w:val="single" w:sz="4" w:space="0" w:color="auto"/>
              <w:bottom w:val="single" w:sz="4" w:space="0" w:color="auto"/>
              <w:right w:val="single" w:sz="4" w:space="0" w:color="auto"/>
            </w:tcBorders>
          </w:tcPr>
          <w:p w14:paraId="3AD7C10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110 523</w:t>
            </w:r>
          </w:p>
        </w:tc>
        <w:tc>
          <w:tcPr>
            <w:tcW w:w="1902" w:type="pct"/>
            <w:tcBorders>
              <w:top w:val="single" w:sz="4" w:space="0" w:color="auto"/>
              <w:left w:val="single" w:sz="4" w:space="0" w:color="auto"/>
              <w:bottom w:val="single" w:sz="4" w:space="0" w:color="auto"/>
              <w:right w:val="single" w:sz="4" w:space="0" w:color="auto"/>
            </w:tcBorders>
          </w:tcPr>
          <w:p w14:paraId="0215EF43"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- 32 811</w:t>
            </w:r>
          </w:p>
        </w:tc>
      </w:tr>
      <w:tr w:rsidR="006856A7" w:rsidRPr="00AA5833" w14:paraId="327F7B30" w14:textId="77777777" w:rsidTr="006856A7">
        <w:trPr>
          <w:trHeight w:val="284"/>
          <w:jc w:val="center"/>
        </w:trPr>
        <w:tc>
          <w:tcPr>
            <w:tcW w:w="803" w:type="pct"/>
            <w:tcBorders>
              <w:top w:val="single" w:sz="4" w:space="0" w:color="auto"/>
              <w:left w:val="single" w:sz="4" w:space="0" w:color="auto"/>
              <w:bottom w:val="single" w:sz="4" w:space="0" w:color="auto"/>
              <w:right w:val="single" w:sz="4" w:space="0" w:color="auto"/>
            </w:tcBorders>
          </w:tcPr>
          <w:p w14:paraId="75CFAEA0"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2009</w:t>
            </w:r>
          </w:p>
        </w:tc>
        <w:tc>
          <w:tcPr>
            <w:tcW w:w="1377" w:type="pct"/>
            <w:tcBorders>
              <w:top w:val="single" w:sz="4" w:space="0" w:color="auto"/>
              <w:left w:val="single" w:sz="4" w:space="0" w:color="auto"/>
              <w:bottom w:val="single" w:sz="4" w:space="0" w:color="auto"/>
              <w:right w:val="single" w:sz="4" w:space="0" w:color="auto"/>
            </w:tcBorders>
          </w:tcPr>
          <w:p w14:paraId="3B6B31D4"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80 956</w:t>
            </w:r>
          </w:p>
        </w:tc>
        <w:tc>
          <w:tcPr>
            <w:tcW w:w="918" w:type="pct"/>
            <w:tcBorders>
              <w:top w:val="single" w:sz="4" w:space="0" w:color="auto"/>
              <w:left w:val="single" w:sz="4" w:space="0" w:color="auto"/>
              <w:bottom w:val="single" w:sz="4" w:space="0" w:color="auto"/>
              <w:right w:val="single" w:sz="4" w:space="0" w:color="auto"/>
            </w:tcBorders>
          </w:tcPr>
          <w:p w14:paraId="1A6355AE"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108 068</w:t>
            </w:r>
          </w:p>
        </w:tc>
        <w:tc>
          <w:tcPr>
            <w:tcW w:w="1902" w:type="pct"/>
            <w:tcBorders>
              <w:top w:val="single" w:sz="4" w:space="0" w:color="auto"/>
              <w:left w:val="single" w:sz="4" w:space="0" w:color="auto"/>
              <w:bottom w:val="single" w:sz="4" w:space="0" w:color="auto"/>
              <w:right w:val="single" w:sz="4" w:space="0" w:color="auto"/>
            </w:tcBorders>
          </w:tcPr>
          <w:p w14:paraId="6FDAA882"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- 27 112</w:t>
            </w:r>
          </w:p>
        </w:tc>
      </w:tr>
      <w:tr w:rsidR="006856A7" w:rsidRPr="00AA5833" w14:paraId="6F646172" w14:textId="77777777" w:rsidTr="006856A7">
        <w:trPr>
          <w:trHeight w:val="284"/>
          <w:jc w:val="center"/>
        </w:trPr>
        <w:tc>
          <w:tcPr>
            <w:tcW w:w="803" w:type="pct"/>
            <w:tcBorders>
              <w:top w:val="single" w:sz="4" w:space="0" w:color="auto"/>
              <w:left w:val="single" w:sz="4" w:space="0" w:color="auto"/>
              <w:bottom w:val="single" w:sz="4" w:space="0" w:color="auto"/>
              <w:right w:val="single" w:sz="4" w:space="0" w:color="auto"/>
            </w:tcBorders>
          </w:tcPr>
          <w:p w14:paraId="5FA5B2EF"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2010</w:t>
            </w:r>
          </w:p>
        </w:tc>
        <w:tc>
          <w:tcPr>
            <w:tcW w:w="1377" w:type="pct"/>
            <w:tcBorders>
              <w:top w:val="single" w:sz="4" w:space="0" w:color="auto"/>
              <w:left w:val="single" w:sz="4" w:space="0" w:color="auto"/>
              <w:bottom w:val="single" w:sz="4" w:space="0" w:color="auto"/>
              <w:right w:val="single" w:sz="4" w:space="0" w:color="auto"/>
            </w:tcBorders>
          </w:tcPr>
          <w:p w14:paraId="72CE5423"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75 513</w:t>
            </w:r>
          </w:p>
        </w:tc>
        <w:tc>
          <w:tcPr>
            <w:tcW w:w="918" w:type="pct"/>
            <w:tcBorders>
              <w:top w:val="single" w:sz="4" w:space="0" w:color="auto"/>
              <w:left w:val="single" w:sz="4" w:space="0" w:color="auto"/>
              <w:bottom w:val="single" w:sz="4" w:space="0" w:color="auto"/>
              <w:right w:val="single" w:sz="4" w:space="0" w:color="auto"/>
            </w:tcBorders>
          </w:tcPr>
          <w:p w14:paraId="707EB055"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110 165</w:t>
            </w:r>
          </w:p>
        </w:tc>
        <w:tc>
          <w:tcPr>
            <w:tcW w:w="1902" w:type="pct"/>
            <w:tcBorders>
              <w:top w:val="single" w:sz="4" w:space="0" w:color="auto"/>
              <w:left w:val="single" w:sz="4" w:space="0" w:color="auto"/>
              <w:bottom w:val="single" w:sz="4" w:space="0" w:color="auto"/>
              <w:right w:val="single" w:sz="4" w:space="0" w:color="auto"/>
            </w:tcBorders>
          </w:tcPr>
          <w:p w14:paraId="473FA331"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- 34 652</w:t>
            </w:r>
          </w:p>
        </w:tc>
      </w:tr>
      <w:tr w:rsidR="006856A7" w:rsidRPr="00AA5833" w14:paraId="4C27381C" w14:textId="77777777" w:rsidTr="006856A7">
        <w:trPr>
          <w:trHeight w:val="284"/>
          <w:jc w:val="center"/>
        </w:trPr>
        <w:tc>
          <w:tcPr>
            <w:tcW w:w="803" w:type="pct"/>
            <w:tcBorders>
              <w:top w:val="single" w:sz="4" w:space="0" w:color="auto"/>
              <w:left w:val="single" w:sz="4" w:space="0" w:color="auto"/>
              <w:bottom w:val="single" w:sz="4" w:space="0" w:color="auto"/>
              <w:right w:val="single" w:sz="4" w:space="0" w:color="auto"/>
            </w:tcBorders>
          </w:tcPr>
          <w:p w14:paraId="78FB39AA"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2011</w:t>
            </w:r>
          </w:p>
        </w:tc>
        <w:tc>
          <w:tcPr>
            <w:tcW w:w="1377" w:type="pct"/>
            <w:tcBorders>
              <w:top w:val="single" w:sz="4" w:space="0" w:color="auto"/>
              <w:left w:val="single" w:sz="4" w:space="0" w:color="auto"/>
              <w:bottom w:val="single" w:sz="4" w:space="0" w:color="auto"/>
              <w:right w:val="single" w:sz="4" w:space="0" w:color="auto"/>
            </w:tcBorders>
          </w:tcPr>
          <w:p w14:paraId="58E01449"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70 846</w:t>
            </w:r>
          </w:p>
        </w:tc>
        <w:tc>
          <w:tcPr>
            <w:tcW w:w="918" w:type="pct"/>
            <w:tcBorders>
              <w:top w:val="single" w:sz="4" w:space="0" w:color="auto"/>
              <w:left w:val="single" w:sz="4" w:space="0" w:color="auto"/>
              <w:bottom w:val="single" w:sz="4" w:space="0" w:color="auto"/>
              <w:right w:val="single" w:sz="4" w:space="0" w:color="auto"/>
            </w:tcBorders>
          </w:tcPr>
          <w:p w14:paraId="27771328"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108 258</w:t>
            </w:r>
          </w:p>
        </w:tc>
        <w:tc>
          <w:tcPr>
            <w:tcW w:w="1902" w:type="pct"/>
            <w:tcBorders>
              <w:top w:val="single" w:sz="4" w:space="0" w:color="auto"/>
              <w:left w:val="single" w:sz="4" w:space="0" w:color="auto"/>
              <w:bottom w:val="single" w:sz="4" w:space="0" w:color="auto"/>
              <w:right w:val="single" w:sz="4" w:space="0" w:color="auto"/>
            </w:tcBorders>
          </w:tcPr>
          <w:p w14:paraId="1E26A8D2"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- 37 412</w:t>
            </w:r>
          </w:p>
        </w:tc>
      </w:tr>
      <w:tr w:rsidR="006856A7" w:rsidRPr="00AA5833" w14:paraId="020E0589" w14:textId="77777777" w:rsidTr="006856A7">
        <w:trPr>
          <w:trHeight w:val="284"/>
          <w:jc w:val="center"/>
        </w:trPr>
        <w:tc>
          <w:tcPr>
            <w:tcW w:w="803" w:type="pct"/>
            <w:tcBorders>
              <w:top w:val="nil"/>
              <w:left w:val="single" w:sz="4" w:space="0" w:color="auto"/>
              <w:bottom w:val="single" w:sz="4" w:space="0" w:color="auto"/>
              <w:right w:val="single" w:sz="4" w:space="0" w:color="auto"/>
            </w:tcBorders>
          </w:tcPr>
          <w:p w14:paraId="17A07060"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2012</w:t>
            </w:r>
          </w:p>
        </w:tc>
        <w:tc>
          <w:tcPr>
            <w:tcW w:w="1377" w:type="pct"/>
            <w:tcBorders>
              <w:top w:val="nil"/>
              <w:left w:val="single" w:sz="4" w:space="0" w:color="auto"/>
              <w:bottom w:val="single" w:sz="4" w:space="0" w:color="auto"/>
              <w:right w:val="single" w:sz="4" w:space="0" w:color="auto"/>
            </w:tcBorders>
          </w:tcPr>
          <w:p w14:paraId="0103E36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xml:space="preserve">69 121 </w:t>
            </w:r>
          </w:p>
        </w:tc>
        <w:tc>
          <w:tcPr>
            <w:tcW w:w="918" w:type="pct"/>
            <w:tcBorders>
              <w:top w:val="nil"/>
              <w:left w:val="single" w:sz="4" w:space="0" w:color="auto"/>
              <w:bottom w:val="single" w:sz="4" w:space="0" w:color="auto"/>
              <w:right w:val="single" w:sz="4" w:space="0" w:color="auto"/>
            </w:tcBorders>
          </w:tcPr>
          <w:p w14:paraId="0D388A31"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xml:space="preserve">109 281 </w:t>
            </w:r>
          </w:p>
        </w:tc>
        <w:tc>
          <w:tcPr>
            <w:tcW w:w="1902" w:type="pct"/>
            <w:tcBorders>
              <w:top w:val="nil"/>
              <w:left w:val="single" w:sz="4" w:space="0" w:color="auto"/>
              <w:bottom w:val="single" w:sz="4" w:space="0" w:color="auto"/>
              <w:right w:val="single" w:sz="4" w:space="0" w:color="auto"/>
            </w:tcBorders>
          </w:tcPr>
          <w:p w14:paraId="4D1A391E"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- 40 160</w:t>
            </w:r>
          </w:p>
        </w:tc>
      </w:tr>
      <w:tr w:rsidR="006856A7" w:rsidRPr="00AA5833" w14:paraId="2D4E6B79" w14:textId="77777777" w:rsidTr="006856A7">
        <w:trPr>
          <w:trHeight w:val="284"/>
          <w:jc w:val="center"/>
        </w:trPr>
        <w:tc>
          <w:tcPr>
            <w:tcW w:w="803" w:type="pct"/>
            <w:tcBorders>
              <w:top w:val="nil"/>
              <w:left w:val="single" w:sz="4" w:space="0" w:color="auto"/>
              <w:bottom w:val="single" w:sz="4" w:space="0" w:color="auto"/>
              <w:right w:val="single" w:sz="4" w:space="0" w:color="auto"/>
            </w:tcBorders>
          </w:tcPr>
          <w:p w14:paraId="6EF71B74"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2013</w:t>
            </w:r>
          </w:p>
        </w:tc>
        <w:tc>
          <w:tcPr>
            <w:tcW w:w="1377" w:type="pct"/>
            <w:tcBorders>
              <w:top w:val="nil"/>
              <w:left w:val="single" w:sz="4" w:space="0" w:color="auto"/>
              <w:bottom w:val="single" w:sz="4" w:space="0" w:color="auto"/>
              <w:right w:val="single" w:sz="4" w:space="0" w:color="auto"/>
            </w:tcBorders>
          </w:tcPr>
          <w:p w14:paraId="18E5244F"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66 578</w:t>
            </w:r>
          </w:p>
        </w:tc>
        <w:tc>
          <w:tcPr>
            <w:tcW w:w="918" w:type="pct"/>
            <w:tcBorders>
              <w:top w:val="nil"/>
              <w:left w:val="single" w:sz="4" w:space="0" w:color="auto"/>
              <w:bottom w:val="single" w:sz="4" w:space="0" w:color="auto"/>
              <w:right w:val="single" w:sz="4" w:space="0" w:color="auto"/>
            </w:tcBorders>
          </w:tcPr>
          <w:p w14:paraId="29AEBC2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104 345</w:t>
            </w:r>
          </w:p>
        </w:tc>
        <w:tc>
          <w:tcPr>
            <w:tcW w:w="1902" w:type="pct"/>
            <w:tcBorders>
              <w:top w:val="nil"/>
              <w:left w:val="single" w:sz="4" w:space="0" w:color="auto"/>
              <w:bottom w:val="single" w:sz="4" w:space="0" w:color="auto"/>
              <w:right w:val="single" w:sz="4" w:space="0" w:color="auto"/>
            </w:tcBorders>
          </w:tcPr>
          <w:p w14:paraId="2F74C24A"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bCs/>
                <w:color w:val="000000"/>
              </w:rPr>
              <w:t>- 37 767</w:t>
            </w:r>
          </w:p>
        </w:tc>
      </w:tr>
      <w:tr w:rsidR="006856A7" w:rsidRPr="00AA5833" w14:paraId="3C113B57" w14:textId="77777777" w:rsidTr="00D22EF5">
        <w:trPr>
          <w:trHeight w:val="284"/>
          <w:jc w:val="center"/>
        </w:trPr>
        <w:tc>
          <w:tcPr>
            <w:tcW w:w="803" w:type="pct"/>
            <w:tcBorders>
              <w:top w:val="nil"/>
              <w:left w:val="single" w:sz="4" w:space="0" w:color="auto"/>
              <w:bottom w:val="single" w:sz="4" w:space="0" w:color="auto"/>
              <w:right w:val="single" w:sz="4" w:space="0" w:color="auto"/>
            </w:tcBorders>
          </w:tcPr>
          <w:p w14:paraId="347DCB9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2014</w:t>
            </w:r>
          </w:p>
        </w:tc>
        <w:tc>
          <w:tcPr>
            <w:tcW w:w="1377" w:type="pct"/>
            <w:tcBorders>
              <w:top w:val="nil"/>
              <w:left w:val="single" w:sz="4" w:space="0" w:color="auto"/>
              <w:bottom w:val="single" w:sz="4" w:space="0" w:color="auto"/>
              <w:right w:val="single" w:sz="4" w:space="0" w:color="auto"/>
            </w:tcBorders>
          </w:tcPr>
          <w:p w14:paraId="58F81008"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67 585</w:t>
            </w:r>
          </w:p>
        </w:tc>
        <w:tc>
          <w:tcPr>
            <w:tcW w:w="918" w:type="pct"/>
            <w:tcBorders>
              <w:top w:val="nil"/>
              <w:left w:val="single" w:sz="4" w:space="0" w:color="auto"/>
              <w:bottom w:val="single" w:sz="4" w:space="0" w:color="auto"/>
              <w:right w:val="single" w:sz="4" w:space="0" w:color="auto"/>
            </w:tcBorders>
          </w:tcPr>
          <w:p w14:paraId="3F8BFB3E"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108 952</w:t>
            </w:r>
          </w:p>
        </w:tc>
        <w:tc>
          <w:tcPr>
            <w:tcW w:w="1902" w:type="pct"/>
            <w:tcBorders>
              <w:top w:val="nil"/>
              <w:left w:val="single" w:sz="4" w:space="0" w:color="auto"/>
              <w:bottom w:val="single" w:sz="4" w:space="0" w:color="auto"/>
              <w:right w:val="single" w:sz="4" w:space="0" w:color="auto"/>
            </w:tcBorders>
          </w:tcPr>
          <w:p w14:paraId="7832486B"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- 41 367</w:t>
            </w:r>
          </w:p>
        </w:tc>
      </w:tr>
      <w:tr w:rsidR="006856A7" w:rsidRPr="00AA5833" w14:paraId="6280F98E" w14:textId="77777777" w:rsidTr="00D22EF5">
        <w:trPr>
          <w:trHeight w:val="284"/>
          <w:jc w:val="center"/>
        </w:trPr>
        <w:tc>
          <w:tcPr>
            <w:tcW w:w="803" w:type="pct"/>
            <w:tcBorders>
              <w:top w:val="single" w:sz="4" w:space="0" w:color="auto"/>
              <w:left w:val="single" w:sz="4" w:space="0" w:color="auto"/>
              <w:bottom w:val="single" w:sz="4" w:space="0" w:color="auto"/>
              <w:right w:val="single" w:sz="4" w:space="0" w:color="auto"/>
            </w:tcBorders>
          </w:tcPr>
          <w:p w14:paraId="7C1E45DA"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lastRenderedPageBreak/>
              <w:t>2015</w:t>
            </w:r>
          </w:p>
        </w:tc>
        <w:tc>
          <w:tcPr>
            <w:tcW w:w="1377" w:type="pct"/>
            <w:tcBorders>
              <w:top w:val="single" w:sz="4" w:space="0" w:color="auto"/>
              <w:left w:val="single" w:sz="4" w:space="0" w:color="auto"/>
              <w:bottom w:val="single" w:sz="4" w:space="0" w:color="auto"/>
              <w:right w:val="single" w:sz="4" w:space="0" w:color="auto"/>
            </w:tcBorders>
          </w:tcPr>
          <w:p w14:paraId="306AC6D0"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65 950</w:t>
            </w:r>
          </w:p>
        </w:tc>
        <w:tc>
          <w:tcPr>
            <w:tcW w:w="918" w:type="pct"/>
            <w:tcBorders>
              <w:top w:val="single" w:sz="4" w:space="0" w:color="auto"/>
              <w:left w:val="single" w:sz="4" w:space="0" w:color="auto"/>
              <w:bottom w:val="single" w:sz="4" w:space="0" w:color="auto"/>
              <w:right w:val="single" w:sz="4" w:space="0" w:color="auto"/>
            </w:tcBorders>
          </w:tcPr>
          <w:p w14:paraId="0B59F4E7"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110 117</w:t>
            </w:r>
          </w:p>
        </w:tc>
        <w:tc>
          <w:tcPr>
            <w:tcW w:w="1902" w:type="pct"/>
            <w:tcBorders>
              <w:top w:val="single" w:sz="4" w:space="0" w:color="auto"/>
              <w:left w:val="single" w:sz="4" w:space="0" w:color="auto"/>
              <w:bottom w:val="single" w:sz="4" w:space="0" w:color="auto"/>
              <w:right w:val="single" w:sz="4" w:space="0" w:color="auto"/>
            </w:tcBorders>
          </w:tcPr>
          <w:p w14:paraId="15150582"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- 44 167</w:t>
            </w:r>
          </w:p>
        </w:tc>
      </w:tr>
      <w:tr w:rsidR="006856A7" w:rsidRPr="00AA5833" w14:paraId="1A277052" w14:textId="77777777" w:rsidTr="00D22EF5">
        <w:trPr>
          <w:trHeight w:val="284"/>
          <w:jc w:val="center"/>
        </w:trPr>
        <w:tc>
          <w:tcPr>
            <w:tcW w:w="803" w:type="pct"/>
            <w:tcBorders>
              <w:top w:val="nil"/>
              <w:left w:val="single" w:sz="4" w:space="0" w:color="auto"/>
              <w:bottom w:val="single" w:sz="4" w:space="0" w:color="auto"/>
              <w:right w:val="single" w:sz="4" w:space="0" w:color="auto"/>
            </w:tcBorders>
          </w:tcPr>
          <w:p w14:paraId="08F2B8AC"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2016</w:t>
            </w:r>
          </w:p>
        </w:tc>
        <w:tc>
          <w:tcPr>
            <w:tcW w:w="1377" w:type="pct"/>
            <w:tcBorders>
              <w:top w:val="nil"/>
              <w:left w:val="single" w:sz="4" w:space="0" w:color="auto"/>
              <w:bottom w:val="single" w:sz="4" w:space="0" w:color="auto"/>
              <w:right w:val="single" w:sz="4" w:space="0" w:color="auto"/>
            </w:tcBorders>
          </w:tcPr>
          <w:p w14:paraId="62A34A2A"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64 984</w:t>
            </w:r>
          </w:p>
        </w:tc>
        <w:tc>
          <w:tcPr>
            <w:tcW w:w="918" w:type="pct"/>
            <w:tcBorders>
              <w:top w:val="nil"/>
              <w:left w:val="single" w:sz="4" w:space="0" w:color="auto"/>
              <w:bottom w:val="single" w:sz="4" w:space="0" w:color="auto"/>
              <w:right w:val="single" w:sz="4" w:space="0" w:color="auto"/>
            </w:tcBorders>
          </w:tcPr>
          <w:p w14:paraId="2D61297E"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107 580</w:t>
            </w:r>
          </w:p>
        </w:tc>
        <w:tc>
          <w:tcPr>
            <w:tcW w:w="1902" w:type="pct"/>
            <w:tcBorders>
              <w:top w:val="single" w:sz="4" w:space="0" w:color="auto"/>
              <w:left w:val="single" w:sz="4" w:space="0" w:color="auto"/>
              <w:bottom w:val="single" w:sz="4" w:space="0" w:color="auto"/>
              <w:right w:val="single" w:sz="4" w:space="0" w:color="auto"/>
            </w:tcBorders>
          </w:tcPr>
          <w:p w14:paraId="03818066" w14:textId="77777777" w:rsidR="006856A7" w:rsidRPr="00AA5833" w:rsidRDefault="006856A7" w:rsidP="006856A7">
            <w:pPr>
              <w:autoSpaceDE w:val="0"/>
              <w:autoSpaceDN w:val="0"/>
              <w:adjustRightInd w:val="0"/>
              <w:spacing w:after="0" w:line="240" w:lineRule="auto"/>
              <w:jc w:val="center"/>
              <w:rPr>
                <w:rFonts w:ascii="Times New Roman" w:hAnsi="Times New Roman" w:cs="Times New Roman"/>
              </w:rPr>
            </w:pPr>
            <w:r w:rsidRPr="00AA5833">
              <w:rPr>
                <w:rFonts w:ascii="Times New Roman" w:eastAsia="Times New Roman" w:hAnsi="Times New Roman" w:cs="Times New Roman"/>
                <w:color w:val="000000"/>
              </w:rPr>
              <w:t xml:space="preserve">- </w:t>
            </w:r>
            <w:r w:rsidRPr="00AA5833">
              <w:rPr>
                <w:rFonts w:ascii="Times New Roman" w:hAnsi="Times New Roman" w:cs="Times New Roman"/>
              </w:rPr>
              <w:t>42 596</w:t>
            </w:r>
          </w:p>
        </w:tc>
      </w:tr>
      <w:tr w:rsidR="006856A7" w:rsidRPr="00AA5833" w14:paraId="033E58F2" w14:textId="77777777" w:rsidTr="006856A7">
        <w:trPr>
          <w:trHeight w:val="217"/>
          <w:jc w:val="center"/>
        </w:trPr>
        <w:tc>
          <w:tcPr>
            <w:tcW w:w="803" w:type="pct"/>
            <w:tcBorders>
              <w:top w:val="nil"/>
              <w:left w:val="single" w:sz="4" w:space="0" w:color="auto"/>
              <w:bottom w:val="single" w:sz="4" w:space="0" w:color="auto"/>
              <w:right w:val="single" w:sz="4" w:space="0" w:color="auto"/>
            </w:tcBorders>
          </w:tcPr>
          <w:p w14:paraId="760CB428"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2017</w:t>
            </w:r>
          </w:p>
        </w:tc>
        <w:tc>
          <w:tcPr>
            <w:tcW w:w="1377" w:type="pct"/>
            <w:tcBorders>
              <w:top w:val="nil"/>
              <w:left w:val="single" w:sz="4" w:space="0" w:color="auto"/>
              <w:bottom w:val="single" w:sz="4" w:space="0" w:color="auto"/>
              <w:right w:val="single" w:sz="4" w:space="0" w:color="auto"/>
            </w:tcBorders>
          </w:tcPr>
          <w:p w14:paraId="60684F7A"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63 955</w:t>
            </w:r>
          </w:p>
        </w:tc>
        <w:tc>
          <w:tcPr>
            <w:tcW w:w="918" w:type="pct"/>
            <w:tcBorders>
              <w:top w:val="nil"/>
              <w:left w:val="single" w:sz="4" w:space="0" w:color="auto"/>
              <w:bottom w:val="single" w:sz="4" w:space="0" w:color="auto"/>
              <w:right w:val="single" w:sz="4" w:space="0" w:color="auto"/>
            </w:tcBorders>
          </w:tcPr>
          <w:p w14:paraId="1CBDD95C"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109 791</w:t>
            </w:r>
          </w:p>
        </w:tc>
        <w:tc>
          <w:tcPr>
            <w:tcW w:w="1902" w:type="pct"/>
            <w:tcBorders>
              <w:top w:val="nil"/>
              <w:left w:val="single" w:sz="4" w:space="0" w:color="auto"/>
              <w:bottom w:val="single" w:sz="4" w:space="0" w:color="auto"/>
              <w:right w:val="single" w:sz="4" w:space="0" w:color="auto"/>
            </w:tcBorders>
          </w:tcPr>
          <w:p w14:paraId="3A485053" w14:textId="77777777" w:rsidR="006856A7" w:rsidRPr="00AA5833" w:rsidRDefault="006856A7" w:rsidP="008A30E3">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- 45 836</w:t>
            </w:r>
          </w:p>
        </w:tc>
      </w:tr>
      <w:tr w:rsidR="006856A7" w:rsidRPr="00AA5833" w14:paraId="0BE21F96" w14:textId="77777777" w:rsidTr="006856A7">
        <w:trPr>
          <w:trHeight w:hRule="exact" w:val="284"/>
          <w:jc w:val="center"/>
        </w:trPr>
        <w:tc>
          <w:tcPr>
            <w:tcW w:w="803" w:type="pct"/>
            <w:tcBorders>
              <w:top w:val="nil"/>
              <w:left w:val="single" w:sz="4" w:space="0" w:color="auto"/>
              <w:bottom w:val="single" w:sz="4" w:space="0" w:color="auto"/>
              <w:right w:val="single" w:sz="4" w:space="0" w:color="auto"/>
            </w:tcBorders>
          </w:tcPr>
          <w:p w14:paraId="09E6F8C2"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2018</w:t>
            </w:r>
          </w:p>
        </w:tc>
        <w:tc>
          <w:tcPr>
            <w:tcW w:w="1377" w:type="pct"/>
            <w:tcBorders>
              <w:top w:val="nil"/>
              <w:left w:val="single" w:sz="4" w:space="0" w:color="auto"/>
              <w:bottom w:val="single" w:sz="4" w:space="0" w:color="auto"/>
              <w:right w:val="single" w:sz="4" w:space="0" w:color="auto"/>
            </w:tcBorders>
          </w:tcPr>
          <w:p w14:paraId="7CE1F0D5"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62 197</w:t>
            </w:r>
          </w:p>
        </w:tc>
        <w:tc>
          <w:tcPr>
            <w:tcW w:w="918" w:type="pct"/>
            <w:tcBorders>
              <w:top w:val="nil"/>
              <w:left w:val="single" w:sz="4" w:space="0" w:color="auto"/>
              <w:bottom w:val="single" w:sz="4" w:space="0" w:color="auto"/>
              <w:right w:val="single" w:sz="4" w:space="0" w:color="auto"/>
            </w:tcBorders>
          </w:tcPr>
          <w:p w14:paraId="02E121B8"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108 526</w:t>
            </w:r>
          </w:p>
        </w:tc>
        <w:tc>
          <w:tcPr>
            <w:tcW w:w="1902" w:type="pct"/>
            <w:tcBorders>
              <w:top w:val="nil"/>
              <w:left w:val="single" w:sz="4" w:space="0" w:color="auto"/>
              <w:bottom w:val="single" w:sz="4" w:space="0" w:color="auto"/>
              <w:right w:val="single" w:sz="4" w:space="0" w:color="auto"/>
            </w:tcBorders>
          </w:tcPr>
          <w:p w14:paraId="11D74E43" w14:textId="77777777" w:rsidR="006856A7" w:rsidRPr="00AA5833" w:rsidRDefault="006856A7" w:rsidP="006856A7">
            <w:pPr>
              <w:autoSpaceDE w:val="0"/>
              <w:autoSpaceDN w:val="0"/>
              <w:adjustRightInd w:val="0"/>
              <w:spacing w:after="20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- 46 329</w:t>
            </w:r>
          </w:p>
        </w:tc>
      </w:tr>
      <w:tr w:rsidR="006856A7" w:rsidRPr="00AA5833" w14:paraId="352381FA" w14:textId="77777777" w:rsidTr="006856A7">
        <w:trPr>
          <w:trHeight w:hRule="exact" w:val="284"/>
          <w:jc w:val="center"/>
        </w:trPr>
        <w:tc>
          <w:tcPr>
            <w:tcW w:w="803" w:type="pct"/>
            <w:tcBorders>
              <w:top w:val="nil"/>
              <w:left w:val="single" w:sz="4" w:space="0" w:color="auto"/>
              <w:bottom w:val="single" w:sz="4" w:space="0" w:color="auto"/>
              <w:right w:val="single" w:sz="4" w:space="0" w:color="auto"/>
            </w:tcBorders>
          </w:tcPr>
          <w:p w14:paraId="7CE26D4B"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2019</w:t>
            </w:r>
          </w:p>
        </w:tc>
        <w:tc>
          <w:tcPr>
            <w:tcW w:w="1377" w:type="pct"/>
            <w:tcBorders>
              <w:top w:val="nil"/>
              <w:left w:val="single" w:sz="4" w:space="0" w:color="auto"/>
              <w:bottom w:val="single" w:sz="4" w:space="0" w:color="auto"/>
              <w:right w:val="single" w:sz="4" w:space="0" w:color="auto"/>
            </w:tcBorders>
          </w:tcPr>
          <w:p w14:paraId="1587D21B"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bCs/>
              </w:rPr>
              <w:t>61 538</w:t>
            </w:r>
          </w:p>
        </w:tc>
        <w:tc>
          <w:tcPr>
            <w:tcW w:w="918" w:type="pct"/>
            <w:tcBorders>
              <w:top w:val="nil"/>
              <w:left w:val="single" w:sz="4" w:space="0" w:color="auto"/>
              <w:bottom w:val="single" w:sz="4" w:space="0" w:color="auto"/>
              <w:right w:val="single" w:sz="4" w:space="0" w:color="auto"/>
            </w:tcBorders>
          </w:tcPr>
          <w:p w14:paraId="16941307"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bCs/>
              </w:rPr>
              <w:t>108 083</w:t>
            </w:r>
          </w:p>
        </w:tc>
        <w:tc>
          <w:tcPr>
            <w:tcW w:w="1902" w:type="pct"/>
            <w:tcBorders>
              <w:top w:val="nil"/>
              <w:left w:val="single" w:sz="4" w:space="0" w:color="auto"/>
              <w:bottom w:val="single" w:sz="4" w:space="0" w:color="auto"/>
              <w:right w:val="single" w:sz="4" w:space="0" w:color="auto"/>
            </w:tcBorders>
          </w:tcPr>
          <w:p w14:paraId="49AAB661"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color w:val="000000"/>
              </w:rPr>
            </w:pPr>
            <w:r w:rsidRPr="00AA5833">
              <w:rPr>
                <w:rFonts w:ascii="Times New Roman" w:eastAsia="Times New Roman" w:hAnsi="Times New Roman" w:cs="Times New Roman"/>
                <w:color w:val="000000"/>
              </w:rPr>
              <w:t>- 46 545</w:t>
            </w:r>
          </w:p>
        </w:tc>
      </w:tr>
      <w:tr w:rsidR="006856A7" w:rsidRPr="00AA5833" w14:paraId="56684766" w14:textId="77777777" w:rsidTr="008A30E3">
        <w:trPr>
          <w:trHeight w:val="271"/>
          <w:jc w:val="center"/>
        </w:trPr>
        <w:tc>
          <w:tcPr>
            <w:tcW w:w="803" w:type="pct"/>
            <w:tcBorders>
              <w:top w:val="single" w:sz="4" w:space="0" w:color="auto"/>
              <w:left w:val="single" w:sz="4" w:space="0" w:color="auto"/>
              <w:bottom w:val="single" w:sz="4" w:space="0" w:color="auto"/>
              <w:right w:val="single" w:sz="4" w:space="0" w:color="auto"/>
            </w:tcBorders>
            <w:vAlign w:val="center"/>
          </w:tcPr>
          <w:p w14:paraId="2E3E2C63"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2020</w:t>
            </w:r>
          </w:p>
        </w:tc>
        <w:tc>
          <w:tcPr>
            <w:tcW w:w="1377" w:type="pct"/>
            <w:tcBorders>
              <w:top w:val="single" w:sz="4" w:space="0" w:color="auto"/>
              <w:left w:val="single" w:sz="4" w:space="0" w:color="auto"/>
              <w:bottom w:val="single" w:sz="4" w:space="0" w:color="auto"/>
              <w:right w:val="single" w:sz="4" w:space="0" w:color="auto"/>
            </w:tcBorders>
            <w:vAlign w:val="center"/>
          </w:tcPr>
          <w:p w14:paraId="2239A044"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59 086</w:t>
            </w:r>
          </w:p>
        </w:tc>
        <w:tc>
          <w:tcPr>
            <w:tcW w:w="918" w:type="pct"/>
            <w:tcBorders>
              <w:top w:val="single" w:sz="4" w:space="0" w:color="auto"/>
              <w:left w:val="single" w:sz="4" w:space="0" w:color="auto"/>
              <w:bottom w:val="single" w:sz="4" w:space="0" w:color="auto"/>
              <w:right w:val="single" w:sz="4" w:space="0" w:color="auto"/>
            </w:tcBorders>
            <w:vAlign w:val="center"/>
          </w:tcPr>
          <w:p w14:paraId="17C6236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124 735</w:t>
            </w:r>
          </w:p>
        </w:tc>
        <w:tc>
          <w:tcPr>
            <w:tcW w:w="1902" w:type="pct"/>
            <w:tcBorders>
              <w:top w:val="single" w:sz="4" w:space="0" w:color="auto"/>
              <w:left w:val="single" w:sz="4" w:space="0" w:color="auto"/>
              <w:bottom w:val="single" w:sz="4" w:space="0" w:color="auto"/>
              <w:right w:val="single" w:sz="4" w:space="0" w:color="auto"/>
            </w:tcBorders>
            <w:vAlign w:val="center"/>
          </w:tcPr>
          <w:p w14:paraId="2749D475" w14:textId="77777777" w:rsidR="006856A7" w:rsidRPr="00AA5833" w:rsidRDefault="006856A7" w:rsidP="00452188">
            <w:pPr>
              <w:autoSpaceDE w:val="0"/>
              <w:autoSpaceDN w:val="0"/>
              <w:adjustRightInd w:val="0"/>
              <w:spacing w:after="0" w:line="240" w:lineRule="auto"/>
              <w:jc w:val="center"/>
              <w:rPr>
                <w:rFonts w:ascii="Times New Roman" w:hAnsi="Times New Roman" w:cs="Times New Roman"/>
              </w:rPr>
            </w:pPr>
            <w:r w:rsidRPr="00AA5833">
              <w:rPr>
                <w:rFonts w:ascii="Times New Roman" w:eastAsia="Times New Roman" w:hAnsi="Times New Roman" w:cs="Times New Roman"/>
                <w:color w:val="000000"/>
              </w:rPr>
              <w:t>- 65 649</w:t>
            </w:r>
          </w:p>
        </w:tc>
      </w:tr>
      <w:tr w:rsidR="006856A7" w:rsidRPr="00AA5833" w14:paraId="220443FC" w14:textId="77777777" w:rsidTr="006856A7">
        <w:trPr>
          <w:trHeight w:hRule="exact" w:val="284"/>
          <w:jc w:val="center"/>
        </w:trPr>
        <w:tc>
          <w:tcPr>
            <w:tcW w:w="803" w:type="pct"/>
            <w:tcBorders>
              <w:top w:val="single" w:sz="4" w:space="0" w:color="auto"/>
              <w:left w:val="single" w:sz="4" w:space="0" w:color="auto"/>
              <w:bottom w:val="single" w:sz="4" w:space="0" w:color="auto"/>
              <w:right w:val="single" w:sz="4" w:space="0" w:color="auto"/>
            </w:tcBorders>
          </w:tcPr>
          <w:p w14:paraId="7987E50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2021</w:t>
            </w:r>
          </w:p>
        </w:tc>
        <w:tc>
          <w:tcPr>
            <w:tcW w:w="1377" w:type="pct"/>
            <w:tcBorders>
              <w:top w:val="single" w:sz="4" w:space="0" w:color="auto"/>
              <w:left w:val="single" w:sz="4" w:space="0" w:color="auto"/>
              <w:bottom w:val="single" w:sz="4" w:space="0" w:color="auto"/>
              <w:right w:val="single" w:sz="4" w:space="0" w:color="auto"/>
            </w:tcBorders>
          </w:tcPr>
          <w:p w14:paraId="6D6B0B1F"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58 678</w:t>
            </w:r>
          </w:p>
        </w:tc>
        <w:tc>
          <w:tcPr>
            <w:tcW w:w="918" w:type="pct"/>
            <w:tcBorders>
              <w:top w:val="single" w:sz="4" w:space="0" w:color="auto"/>
              <w:left w:val="single" w:sz="4" w:space="0" w:color="auto"/>
              <w:bottom w:val="single" w:sz="4" w:space="0" w:color="auto"/>
              <w:right w:val="single" w:sz="4" w:space="0" w:color="auto"/>
            </w:tcBorders>
          </w:tcPr>
          <w:p w14:paraId="3E969794"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148 995</w:t>
            </w:r>
          </w:p>
        </w:tc>
        <w:tc>
          <w:tcPr>
            <w:tcW w:w="1902" w:type="pct"/>
            <w:tcBorders>
              <w:top w:val="single" w:sz="4" w:space="0" w:color="auto"/>
              <w:left w:val="single" w:sz="4" w:space="0" w:color="auto"/>
              <w:bottom w:val="single" w:sz="4" w:space="0" w:color="auto"/>
              <w:right w:val="single" w:sz="4" w:space="0" w:color="auto"/>
            </w:tcBorders>
          </w:tcPr>
          <w:p w14:paraId="3241D139" w14:textId="77777777" w:rsidR="006856A7" w:rsidRPr="00AA5833" w:rsidRDefault="006856A7" w:rsidP="006856A7">
            <w:pPr>
              <w:autoSpaceDE w:val="0"/>
              <w:autoSpaceDN w:val="0"/>
              <w:adjustRightInd w:val="0"/>
              <w:spacing w:after="200" w:line="240" w:lineRule="auto"/>
              <w:jc w:val="center"/>
              <w:rPr>
                <w:rFonts w:ascii="Times New Roman" w:hAnsi="Times New Roman" w:cs="Times New Roman"/>
              </w:rPr>
            </w:pPr>
            <w:r w:rsidRPr="00AA5833">
              <w:rPr>
                <w:rFonts w:ascii="Times New Roman" w:hAnsi="Times New Roman" w:cs="Times New Roman"/>
              </w:rPr>
              <w:t>- 90 317</w:t>
            </w:r>
          </w:p>
        </w:tc>
      </w:tr>
      <w:tr w:rsidR="006856A7" w:rsidRPr="00AA5833" w14:paraId="5018F58C" w14:textId="77777777" w:rsidTr="006856A7">
        <w:trPr>
          <w:trHeight w:hRule="exact" w:val="284"/>
          <w:jc w:val="center"/>
        </w:trPr>
        <w:tc>
          <w:tcPr>
            <w:tcW w:w="803" w:type="pct"/>
            <w:tcBorders>
              <w:top w:val="single" w:sz="4" w:space="0" w:color="auto"/>
              <w:left w:val="single" w:sz="4" w:space="0" w:color="auto"/>
              <w:bottom w:val="single" w:sz="4" w:space="0" w:color="auto"/>
              <w:right w:val="single" w:sz="4" w:space="0" w:color="auto"/>
            </w:tcBorders>
          </w:tcPr>
          <w:p w14:paraId="18B0F0F1"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2022</w:t>
            </w:r>
          </w:p>
        </w:tc>
        <w:tc>
          <w:tcPr>
            <w:tcW w:w="1377" w:type="pct"/>
            <w:tcBorders>
              <w:top w:val="single" w:sz="4" w:space="0" w:color="auto"/>
              <w:left w:val="single" w:sz="4" w:space="0" w:color="auto"/>
              <w:bottom w:val="single" w:sz="4" w:space="0" w:color="auto"/>
              <w:right w:val="single" w:sz="4" w:space="0" w:color="auto"/>
            </w:tcBorders>
          </w:tcPr>
          <w:p w14:paraId="5718119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56 596</w:t>
            </w:r>
          </w:p>
        </w:tc>
        <w:tc>
          <w:tcPr>
            <w:tcW w:w="918" w:type="pct"/>
            <w:tcBorders>
              <w:top w:val="single" w:sz="4" w:space="0" w:color="auto"/>
              <w:left w:val="single" w:sz="4" w:space="0" w:color="auto"/>
              <w:bottom w:val="single" w:sz="4" w:space="0" w:color="auto"/>
              <w:right w:val="single" w:sz="4" w:space="0" w:color="auto"/>
            </w:tcBorders>
          </w:tcPr>
          <w:p w14:paraId="51677EA2" w14:textId="77777777" w:rsidR="006856A7" w:rsidRPr="00AA5833" w:rsidRDefault="006856A7" w:rsidP="006856A7">
            <w:pPr>
              <w:numPr>
                <w:ilvl w:val="0"/>
                <w:numId w:val="16"/>
              </w:numPr>
              <w:autoSpaceDE w:val="0"/>
              <w:autoSpaceDN w:val="0"/>
              <w:adjustRightInd w:val="0"/>
              <w:spacing w:after="0" w:line="240" w:lineRule="auto"/>
              <w:ind w:left="357" w:hanging="357"/>
              <w:contextualSpacing/>
              <w:jc w:val="center"/>
              <w:rPr>
                <w:rFonts w:ascii="Times New Roman" w:eastAsia="Times New Roman" w:hAnsi="Times New Roman" w:cs="Times New Roman"/>
                <w:bCs/>
              </w:rPr>
            </w:pPr>
            <w:r w:rsidRPr="00AA5833">
              <w:rPr>
                <w:rFonts w:ascii="Times New Roman" w:eastAsia="Times New Roman" w:hAnsi="Times New Roman" w:cs="Times New Roman"/>
                <w:bCs/>
              </w:rPr>
              <w:t> 814</w:t>
            </w:r>
          </w:p>
        </w:tc>
        <w:tc>
          <w:tcPr>
            <w:tcW w:w="1902" w:type="pct"/>
            <w:tcBorders>
              <w:top w:val="single" w:sz="4" w:space="0" w:color="auto"/>
              <w:left w:val="single" w:sz="4" w:space="0" w:color="auto"/>
              <w:bottom w:val="single" w:sz="4" w:space="0" w:color="auto"/>
              <w:right w:val="single" w:sz="4" w:space="0" w:color="auto"/>
            </w:tcBorders>
          </w:tcPr>
          <w:p w14:paraId="0A71F036" w14:textId="77777777" w:rsidR="006856A7" w:rsidRPr="00AA5833" w:rsidRDefault="006856A7" w:rsidP="006856A7">
            <w:pPr>
              <w:autoSpaceDE w:val="0"/>
              <w:autoSpaceDN w:val="0"/>
              <w:adjustRightInd w:val="0"/>
              <w:spacing w:after="200"/>
              <w:jc w:val="center"/>
              <w:rPr>
                <w:rFonts w:ascii="Times New Roman" w:hAnsi="Times New Roman" w:cs="Times New Roman"/>
              </w:rPr>
            </w:pPr>
            <w:r w:rsidRPr="00AA5833">
              <w:rPr>
                <w:rFonts w:ascii="Times New Roman" w:hAnsi="Times New Roman" w:cs="Times New Roman"/>
              </w:rPr>
              <w:t>- 62 218</w:t>
            </w:r>
          </w:p>
        </w:tc>
      </w:tr>
      <w:tr w:rsidR="006856A7" w:rsidRPr="00AA5833" w14:paraId="31A2B326" w14:textId="77777777" w:rsidTr="006856A7">
        <w:trPr>
          <w:trHeight w:hRule="exact" w:val="284"/>
          <w:jc w:val="center"/>
        </w:trPr>
        <w:tc>
          <w:tcPr>
            <w:tcW w:w="803" w:type="pct"/>
            <w:tcBorders>
              <w:top w:val="single" w:sz="4" w:space="0" w:color="auto"/>
              <w:left w:val="single" w:sz="4" w:space="0" w:color="auto"/>
              <w:bottom w:val="single" w:sz="4" w:space="0" w:color="auto"/>
              <w:right w:val="single" w:sz="4" w:space="0" w:color="auto"/>
            </w:tcBorders>
          </w:tcPr>
          <w:p w14:paraId="6890E2F5"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rPr>
            </w:pPr>
            <w:r w:rsidRPr="00AA5833">
              <w:rPr>
                <w:rFonts w:ascii="Times New Roman" w:eastAsia="Times New Roman" w:hAnsi="Times New Roman" w:cs="Times New Roman"/>
              </w:rPr>
              <w:t>2023</w:t>
            </w:r>
          </w:p>
        </w:tc>
        <w:tc>
          <w:tcPr>
            <w:tcW w:w="1377" w:type="pct"/>
            <w:tcBorders>
              <w:top w:val="single" w:sz="4" w:space="0" w:color="auto"/>
              <w:left w:val="single" w:sz="4" w:space="0" w:color="auto"/>
              <w:bottom w:val="single" w:sz="4" w:space="0" w:color="auto"/>
              <w:right w:val="single" w:sz="4" w:space="0" w:color="auto"/>
            </w:tcBorders>
          </w:tcPr>
          <w:p w14:paraId="195FCED0"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Cs/>
              </w:rPr>
            </w:pPr>
            <w:r w:rsidRPr="00AA5833">
              <w:rPr>
                <w:rFonts w:ascii="Times New Roman" w:eastAsia="Times New Roman" w:hAnsi="Times New Roman" w:cs="Times New Roman"/>
                <w:bCs/>
              </w:rPr>
              <w:t>57 197</w:t>
            </w:r>
          </w:p>
        </w:tc>
        <w:tc>
          <w:tcPr>
            <w:tcW w:w="918" w:type="pct"/>
            <w:tcBorders>
              <w:top w:val="single" w:sz="4" w:space="0" w:color="auto"/>
              <w:left w:val="single" w:sz="4" w:space="0" w:color="auto"/>
              <w:bottom w:val="single" w:sz="4" w:space="0" w:color="auto"/>
              <w:right w:val="single" w:sz="4" w:space="0" w:color="auto"/>
            </w:tcBorders>
          </w:tcPr>
          <w:p w14:paraId="0B8DB411" w14:textId="77777777" w:rsidR="006856A7" w:rsidRPr="00AA5833" w:rsidRDefault="006856A7" w:rsidP="006856A7">
            <w:pPr>
              <w:autoSpaceDE w:val="0"/>
              <w:autoSpaceDN w:val="0"/>
              <w:adjustRightInd w:val="0"/>
              <w:spacing w:after="0" w:line="240" w:lineRule="auto"/>
              <w:ind w:left="357"/>
              <w:contextualSpacing/>
              <w:rPr>
                <w:rFonts w:ascii="Times New Roman" w:eastAsia="Times New Roman" w:hAnsi="Times New Roman" w:cs="Times New Roman"/>
                <w:bCs/>
              </w:rPr>
            </w:pPr>
            <w:r w:rsidRPr="00AA5833">
              <w:rPr>
                <w:rFonts w:ascii="Times New Roman" w:eastAsia="Times New Roman" w:hAnsi="Times New Roman" w:cs="Times New Roman"/>
                <w:bCs/>
              </w:rPr>
              <w:t>101 006</w:t>
            </w:r>
          </w:p>
        </w:tc>
        <w:tc>
          <w:tcPr>
            <w:tcW w:w="1902" w:type="pct"/>
            <w:tcBorders>
              <w:top w:val="single" w:sz="4" w:space="0" w:color="auto"/>
              <w:left w:val="single" w:sz="4" w:space="0" w:color="auto"/>
              <w:bottom w:val="single" w:sz="4" w:space="0" w:color="auto"/>
              <w:right w:val="single" w:sz="4" w:space="0" w:color="auto"/>
            </w:tcBorders>
          </w:tcPr>
          <w:p w14:paraId="5641B3FC" w14:textId="77777777" w:rsidR="006856A7" w:rsidRPr="00AA5833" w:rsidRDefault="006856A7" w:rsidP="006856A7">
            <w:pPr>
              <w:autoSpaceDE w:val="0"/>
              <w:autoSpaceDN w:val="0"/>
              <w:adjustRightInd w:val="0"/>
              <w:spacing w:after="200"/>
              <w:jc w:val="center"/>
              <w:rPr>
                <w:rFonts w:ascii="Times New Roman" w:hAnsi="Times New Roman" w:cs="Times New Roman"/>
              </w:rPr>
            </w:pPr>
            <w:r w:rsidRPr="00AA5833">
              <w:rPr>
                <w:rFonts w:ascii="Times New Roman" w:hAnsi="Times New Roman" w:cs="Times New Roman"/>
              </w:rPr>
              <w:t>- 43 809</w:t>
            </w:r>
          </w:p>
        </w:tc>
      </w:tr>
      <w:tr w:rsidR="00452188" w:rsidRPr="00AA5833" w14:paraId="56A2553A" w14:textId="77777777" w:rsidTr="006856A7">
        <w:trPr>
          <w:trHeight w:hRule="exact" w:val="284"/>
          <w:jc w:val="center"/>
        </w:trPr>
        <w:tc>
          <w:tcPr>
            <w:tcW w:w="803" w:type="pct"/>
            <w:tcBorders>
              <w:top w:val="single" w:sz="4" w:space="0" w:color="auto"/>
              <w:left w:val="single" w:sz="4" w:space="0" w:color="auto"/>
              <w:bottom w:val="single" w:sz="4" w:space="0" w:color="auto"/>
              <w:right w:val="single" w:sz="4" w:space="0" w:color="auto"/>
            </w:tcBorders>
          </w:tcPr>
          <w:p w14:paraId="49BF8229" w14:textId="77777777" w:rsidR="00452188" w:rsidRPr="00AA5833" w:rsidRDefault="00452188" w:rsidP="006856A7">
            <w:pPr>
              <w:autoSpaceDE w:val="0"/>
              <w:autoSpaceDN w:val="0"/>
              <w:adjustRightInd w:val="0"/>
              <w:spacing w:after="0" w:line="240" w:lineRule="auto"/>
              <w:jc w:val="center"/>
              <w:rPr>
                <w:rFonts w:ascii="Times New Roman" w:eastAsia="Times New Roman" w:hAnsi="Times New Roman" w:cs="Times New Roman"/>
                <w:b/>
              </w:rPr>
            </w:pPr>
            <w:r w:rsidRPr="00AA5833">
              <w:rPr>
                <w:rFonts w:ascii="Times New Roman" w:eastAsia="Times New Roman" w:hAnsi="Times New Roman" w:cs="Times New Roman"/>
                <w:b/>
              </w:rPr>
              <w:t>2024</w:t>
            </w:r>
          </w:p>
        </w:tc>
        <w:tc>
          <w:tcPr>
            <w:tcW w:w="1377" w:type="pct"/>
            <w:tcBorders>
              <w:top w:val="single" w:sz="4" w:space="0" w:color="auto"/>
              <w:left w:val="single" w:sz="4" w:space="0" w:color="auto"/>
              <w:bottom w:val="single" w:sz="4" w:space="0" w:color="auto"/>
              <w:right w:val="single" w:sz="4" w:space="0" w:color="auto"/>
            </w:tcBorders>
          </w:tcPr>
          <w:p w14:paraId="52F13210" w14:textId="77777777" w:rsidR="00452188" w:rsidRPr="00AA5833" w:rsidRDefault="00452188" w:rsidP="006856A7">
            <w:pPr>
              <w:autoSpaceDE w:val="0"/>
              <w:autoSpaceDN w:val="0"/>
              <w:adjustRightInd w:val="0"/>
              <w:spacing w:after="0" w:line="240" w:lineRule="auto"/>
              <w:jc w:val="center"/>
              <w:rPr>
                <w:rFonts w:ascii="Times New Roman" w:eastAsia="Times New Roman" w:hAnsi="Times New Roman" w:cs="Times New Roman"/>
                <w:b/>
                <w:bCs/>
              </w:rPr>
            </w:pPr>
            <w:r w:rsidRPr="00AA5833">
              <w:rPr>
                <w:rFonts w:ascii="Times New Roman" w:eastAsia="Times New Roman" w:hAnsi="Times New Roman" w:cs="Times New Roman"/>
                <w:b/>
                <w:bCs/>
              </w:rPr>
              <w:t>53 428</w:t>
            </w:r>
          </w:p>
        </w:tc>
        <w:tc>
          <w:tcPr>
            <w:tcW w:w="918" w:type="pct"/>
            <w:tcBorders>
              <w:top w:val="single" w:sz="4" w:space="0" w:color="auto"/>
              <w:left w:val="single" w:sz="4" w:space="0" w:color="auto"/>
              <w:bottom w:val="single" w:sz="4" w:space="0" w:color="auto"/>
              <w:right w:val="single" w:sz="4" w:space="0" w:color="auto"/>
            </w:tcBorders>
          </w:tcPr>
          <w:p w14:paraId="0A1A817B" w14:textId="77777777" w:rsidR="00452188" w:rsidRPr="00AA5833" w:rsidRDefault="00452188" w:rsidP="006856A7">
            <w:pPr>
              <w:autoSpaceDE w:val="0"/>
              <w:autoSpaceDN w:val="0"/>
              <w:adjustRightInd w:val="0"/>
              <w:spacing w:after="0" w:line="240" w:lineRule="auto"/>
              <w:ind w:left="357"/>
              <w:contextualSpacing/>
              <w:rPr>
                <w:rFonts w:ascii="Times New Roman" w:eastAsia="Times New Roman" w:hAnsi="Times New Roman" w:cs="Times New Roman"/>
                <w:b/>
                <w:bCs/>
              </w:rPr>
            </w:pPr>
            <w:r w:rsidRPr="00AA5833">
              <w:rPr>
                <w:rFonts w:ascii="Times New Roman" w:eastAsia="Times New Roman" w:hAnsi="Times New Roman" w:cs="Times New Roman"/>
                <w:b/>
                <w:bCs/>
              </w:rPr>
              <w:t>100 736</w:t>
            </w:r>
          </w:p>
        </w:tc>
        <w:tc>
          <w:tcPr>
            <w:tcW w:w="1902" w:type="pct"/>
            <w:tcBorders>
              <w:top w:val="single" w:sz="4" w:space="0" w:color="auto"/>
              <w:left w:val="single" w:sz="4" w:space="0" w:color="auto"/>
              <w:bottom w:val="single" w:sz="4" w:space="0" w:color="auto"/>
              <w:right w:val="single" w:sz="4" w:space="0" w:color="auto"/>
            </w:tcBorders>
          </w:tcPr>
          <w:p w14:paraId="35E61437" w14:textId="77777777" w:rsidR="00452188" w:rsidRPr="00AA5833" w:rsidRDefault="00452188" w:rsidP="006856A7">
            <w:pPr>
              <w:autoSpaceDE w:val="0"/>
              <w:autoSpaceDN w:val="0"/>
              <w:adjustRightInd w:val="0"/>
              <w:spacing w:after="200"/>
              <w:jc w:val="center"/>
              <w:rPr>
                <w:rFonts w:ascii="Times New Roman" w:hAnsi="Times New Roman" w:cs="Times New Roman"/>
                <w:b/>
              </w:rPr>
            </w:pPr>
            <w:r w:rsidRPr="00AA5833">
              <w:rPr>
                <w:rFonts w:ascii="Times New Roman" w:hAnsi="Times New Roman" w:cs="Times New Roman"/>
              </w:rPr>
              <w:t xml:space="preserve">- </w:t>
            </w:r>
            <w:r w:rsidRPr="00AA5833">
              <w:rPr>
                <w:rFonts w:ascii="Times New Roman" w:hAnsi="Times New Roman" w:cs="Times New Roman"/>
                <w:b/>
              </w:rPr>
              <w:t>47 308</w:t>
            </w:r>
          </w:p>
        </w:tc>
      </w:tr>
    </w:tbl>
    <w:p w14:paraId="2CAC6458"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AA5833">
        <w:rPr>
          <w:rFonts w:ascii="Times New Roman" w:eastAsia="Times New Roman" w:hAnsi="Times New Roman" w:cs="Times New Roman"/>
          <w:color w:val="000000"/>
          <w:sz w:val="18"/>
          <w:szCs w:val="18"/>
        </w:rPr>
        <w:t xml:space="preserve"> Източник: НСИ, таблица МТСП</w:t>
      </w:r>
    </w:p>
    <w:p w14:paraId="6C924860" w14:textId="77777777" w:rsidR="006856A7" w:rsidRPr="00AA5833" w:rsidRDefault="006856A7" w:rsidP="006856A7">
      <w:pPr>
        <w:autoSpaceDE w:val="0"/>
        <w:autoSpaceDN w:val="0"/>
        <w:adjustRightInd w:val="0"/>
        <w:spacing w:after="0" w:line="240" w:lineRule="auto"/>
        <w:ind w:right="141" w:firstLine="709"/>
        <w:jc w:val="both"/>
        <w:rPr>
          <w:rFonts w:ascii="Times New Roman" w:eastAsia="Times New Roman" w:hAnsi="Times New Roman" w:cs="Times New Roman"/>
          <w:b/>
          <w:sz w:val="24"/>
          <w:szCs w:val="24"/>
          <w:lang w:eastAsia="bg-BG"/>
        </w:rPr>
      </w:pPr>
    </w:p>
    <w:p w14:paraId="42EF84DC" w14:textId="77777777" w:rsidR="006856A7" w:rsidRPr="00AA5833" w:rsidRDefault="006856A7" w:rsidP="006856A7">
      <w:pPr>
        <w:autoSpaceDE w:val="0"/>
        <w:autoSpaceDN w:val="0"/>
        <w:adjustRightInd w:val="0"/>
        <w:spacing w:after="0" w:line="240" w:lineRule="auto"/>
        <w:ind w:right="141"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Намалението на населението в страната в резултат на отрицателния естествен прираст се дължи главно на високите нива на общата смъртност и на продължителния акумулиращ ефект на ниската раждаемост. Ниската раждаемост не може да компенсира значително по-високите нива на смъртност.</w:t>
      </w:r>
    </w:p>
    <w:p w14:paraId="79C8BAAB"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p>
    <w:p w14:paraId="24AE2EA7" w14:textId="77777777" w:rsidR="006856A7" w:rsidRPr="00AA5833" w:rsidRDefault="006856A7" w:rsidP="006856A7">
      <w:pPr>
        <w:numPr>
          <w:ilvl w:val="2"/>
          <w:numId w:val="5"/>
        </w:numPr>
        <w:spacing w:after="0" w:line="240" w:lineRule="auto"/>
        <w:contextualSpacing/>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Относителен естествен прираст на населението</w:t>
      </w:r>
    </w:p>
    <w:p w14:paraId="49409250"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ab/>
        <w:t xml:space="preserve">Намалението на населението, измерено чрез </w:t>
      </w:r>
      <w:r w:rsidRPr="00AA5833">
        <w:rPr>
          <w:rFonts w:ascii="Times New Roman" w:eastAsia="Times New Roman" w:hAnsi="Times New Roman" w:cs="Times New Roman"/>
          <w:b/>
          <w:sz w:val="24"/>
          <w:szCs w:val="24"/>
        </w:rPr>
        <w:t xml:space="preserve">коефициента на естествения прираст, е минус </w:t>
      </w:r>
      <w:r w:rsidR="008A30E3" w:rsidRPr="00AA5833">
        <w:rPr>
          <w:rFonts w:ascii="Times New Roman" w:eastAsia="Times New Roman" w:hAnsi="Times New Roman" w:cs="Times New Roman"/>
          <w:b/>
          <w:sz w:val="24"/>
          <w:szCs w:val="24"/>
        </w:rPr>
        <w:t>7</w:t>
      </w:r>
      <w:r w:rsidRPr="00AA5833">
        <w:rPr>
          <w:rFonts w:ascii="Times New Roman" w:eastAsia="Times New Roman" w:hAnsi="Times New Roman" w:cs="Times New Roman"/>
          <w:b/>
          <w:sz w:val="24"/>
          <w:szCs w:val="24"/>
        </w:rPr>
        <w:t>.</w:t>
      </w:r>
      <w:r w:rsidR="008A30E3" w:rsidRPr="00AA5833">
        <w:rPr>
          <w:rFonts w:ascii="Times New Roman" w:eastAsia="Times New Roman" w:hAnsi="Times New Roman" w:cs="Times New Roman"/>
          <w:b/>
          <w:sz w:val="24"/>
          <w:szCs w:val="24"/>
        </w:rPr>
        <w:t>3</w:t>
      </w:r>
      <w:r w:rsidRPr="00AA5833">
        <w:rPr>
          <w:rFonts w:ascii="Times New Roman" w:eastAsia="Times New Roman" w:hAnsi="Times New Roman" w:cs="Times New Roman"/>
          <w:b/>
          <w:sz w:val="24"/>
          <w:szCs w:val="24"/>
        </w:rPr>
        <w:t>‰</w:t>
      </w:r>
      <w:r w:rsidRPr="00AA5833">
        <w:rPr>
          <w:rFonts w:ascii="Times New Roman" w:eastAsia="Times New Roman" w:hAnsi="Times New Roman" w:cs="Times New Roman"/>
          <w:b/>
          <w:sz w:val="24"/>
          <w:szCs w:val="24"/>
          <w:vertAlign w:val="superscript"/>
        </w:rPr>
        <w:footnoteReference w:id="11"/>
      </w:r>
      <w:r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Коефициентът на естествения</w:t>
      </w:r>
      <w:r w:rsidR="00EE2A45">
        <w:rPr>
          <w:rFonts w:ascii="Times New Roman" w:eastAsia="Times New Roman" w:hAnsi="Times New Roman" w:cs="Times New Roman"/>
          <w:sz w:val="24"/>
          <w:szCs w:val="24"/>
        </w:rPr>
        <w:t xml:space="preserve"> прираст в градовете е минус 5.5‰, а в селата – минус 12.5</w:t>
      </w:r>
      <w:r w:rsidRPr="00AA5833">
        <w:rPr>
          <w:rFonts w:ascii="Times New Roman" w:eastAsia="Times New Roman" w:hAnsi="Times New Roman" w:cs="Times New Roman"/>
          <w:sz w:val="24"/>
          <w:szCs w:val="24"/>
        </w:rPr>
        <w:t xml:space="preserve">‰. </w:t>
      </w:r>
    </w:p>
    <w:p w14:paraId="4D39D224"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ab/>
        <w:t>През 202</w:t>
      </w:r>
      <w:r w:rsidR="008A30E3"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 всички области в страната имат отрицателен естествен прираст. </w:t>
      </w:r>
    </w:p>
    <w:p w14:paraId="3E3F8911"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ab/>
        <w:t>С най-малки по стойност коефициенти на отрицателен естествен прираст са областите София (столица) (-</w:t>
      </w:r>
      <w:r w:rsidR="008A30E3" w:rsidRPr="00AA5833">
        <w:rPr>
          <w:rFonts w:ascii="Times New Roman" w:eastAsia="Times New Roman" w:hAnsi="Times New Roman" w:cs="Times New Roman"/>
          <w:sz w:val="24"/>
          <w:szCs w:val="24"/>
        </w:rPr>
        <w:t>2</w:t>
      </w:r>
      <w:r w:rsidRPr="00AA5833">
        <w:rPr>
          <w:rFonts w:ascii="Times New Roman" w:eastAsia="Times New Roman" w:hAnsi="Times New Roman" w:cs="Times New Roman"/>
          <w:sz w:val="24"/>
          <w:szCs w:val="24"/>
        </w:rPr>
        <w:t>.</w:t>
      </w:r>
      <w:r w:rsidR="008A30E3" w:rsidRPr="00AA5833">
        <w:rPr>
          <w:rFonts w:ascii="Times New Roman" w:eastAsia="Times New Roman" w:hAnsi="Times New Roman" w:cs="Times New Roman"/>
          <w:sz w:val="24"/>
          <w:szCs w:val="24"/>
        </w:rPr>
        <w:t>0</w:t>
      </w:r>
      <w:r w:rsidRPr="00AA5833">
        <w:rPr>
          <w:rFonts w:ascii="Times New Roman" w:eastAsia="Times New Roman" w:hAnsi="Times New Roman" w:cs="Times New Roman"/>
          <w:sz w:val="24"/>
          <w:szCs w:val="24"/>
        </w:rPr>
        <w:t>‰), Сливен (-</w:t>
      </w:r>
      <w:r w:rsidR="008A30E3" w:rsidRPr="00AA5833">
        <w:rPr>
          <w:rFonts w:ascii="Times New Roman" w:eastAsia="Times New Roman" w:hAnsi="Times New Roman" w:cs="Times New Roman"/>
          <w:sz w:val="24"/>
          <w:szCs w:val="24"/>
        </w:rPr>
        <w:t>2</w:t>
      </w:r>
      <w:r w:rsidRPr="00AA5833">
        <w:rPr>
          <w:rFonts w:ascii="Times New Roman" w:eastAsia="Times New Roman" w:hAnsi="Times New Roman" w:cs="Times New Roman"/>
          <w:sz w:val="24"/>
          <w:szCs w:val="24"/>
        </w:rPr>
        <w:t>.</w:t>
      </w:r>
      <w:r w:rsidR="008A30E3" w:rsidRPr="00AA5833">
        <w:rPr>
          <w:rFonts w:ascii="Times New Roman" w:eastAsia="Times New Roman" w:hAnsi="Times New Roman" w:cs="Times New Roman"/>
          <w:sz w:val="24"/>
          <w:szCs w:val="24"/>
        </w:rPr>
        <w:t>8</w:t>
      </w:r>
      <w:r w:rsidRPr="00AA5833">
        <w:rPr>
          <w:rFonts w:ascii="Times New Roman" w:eastAsia="Times New Roman" w:hAnsi="Times New Roman" w:cs="Times New Roman"/>
          <w:sz w:val="24"/>
          <w:szCs w:val="24"/>
        </w:rPr>
        <w:t>‰) и Благоевград (-</w:t>
      </w:r>
      <w:r w:rsidR="008A30E3" w:rsidRPr="00AA5833">
        <w:rPr>
          <w:rFonts w:ascii="Times New Roman" w:eastAsia="Times New Roman" w:hAnsi="Times New Roman" w:cs="Times New Roman"/>
          <w:sz w:val="24"/>
          <w:szCs w:val="24"/>
        </w:rPr>
        <w:t>5</w:t>
      </w:r>
      <w:r w:rsidRPr="00AA5833">
        <w:rPr>
          <w:rFonts w:ascii="Times New Roman" w:eastAsia="Times New Roman" w:hAnsi="Times New Roman" w:cs="Times New Roman"/>
          <w:sz w:val="24"/>
          <w:szCs w:val="24"/>
        </w:rPr>
        <w:t>.</w:t>
      </w:r>
      <w:r w:rsidR="008A30E3" w:rsidRPr="00AA5833">
        <w:rPr>
          <w:rFonts w:ascii="Times New Roman" w:eastAsia="Times New Roman" w:hAnsi="Times New Roman" w:cs="Times New Roman"/>
          <w:sz w:val="24"/>
          <w:szCs w:val="24"/>
        </w:rPr>
        <w:t>1</w:t>
      </w:r>
      <w:r w:rsidRPr="00AA5833">
        <w:rPr>
          <w:rFonts w:ascii="Times New Roman" w:eastAsia="Times New Roman" w:hAnsi="Times New Roman" w:cs="Times New Roman"/>
          <w:sz w:val="24"/>
          <w:szCs w:val="24"/>
        </w:rPr>
        <w:t>‰).</w:t>
      </w:r>
    </w:p>
    <w:p w14:paraId="267A30C9" w14:textId="77777777" w:rsidR="00F404F8" w:rsidRPr="00AA5833" w:rsidRDefault="006856A7" w:rsidP="00F404F8">
      <w:pPr>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ab/>
      </w:r>
      <w:r w:rsidR="00F404F8" w:rsidRPr="00AA5833">
        <w:rPr>
          <w:rFonts w:ascii="Times New Roman" w:eastAsia="Times New Roman" w:hAnsi="Times New Roman" w:cs="Times New Roman"/>
          <w:sz w:val="24"/>
          <w:szCs w:val="24"/>
        </w:rPr>
        <w:t xml:space="preserve">С най-голямо намаление на населението вследствие на високия отрицателен естествен прираст е област Видин – минус 17.2‰, следвана от областите Перник – минус 14.8‰, и Габрово – минус 14.6‰. </w:t>
      </w:r>
    </w:p>
    <w:p w14:paraId="38AE602B"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24"/>
          <w:szCs w:val="24"/>
        </w:rPr>
      </w:pPr>
    </w:p>
    <w:p w14:paraId="14AC2099" w14:textId="77777777" w:rsidR="006856A7" w:rsidRPr="00AA5833" w:rsidRDefault="006856A7" w:rsidP="006856A7">
      <w:pPr>
        <w:spacing w:after="0" w:line="240" w:lineRule="auto"/>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bCs/>
          <w:caps/>
          <w:color w:val="000000"/>
          <w:sz w:val="24"/>
          <w:szCs w:val="24"/>
          <w:lang w:eastAsia="bg-BG"/>
        </w:rPr>
        <w:t xml:space="preserve">1.2. Раждаемост </w:t>
      </w:r>
    </w:p>
    <w:p w14:paraId="2A6B524B" w14:textId="77777777" w:rsidR="006856A7" w:rsidRPr="00AA5833" w:rsidRDefault="006856A7" w:rsidP="006856A7">
      <w:pPr>
        <w:spacing w:after="0" w:line="240" w:lineRule="auto"/>
        <w:ind w:firstLine="709"/>
        <w:jc w:val="both"/>
        <w:rPr>
          <w:rFonts w:ascii="Times New Roman" w:hAnsi="Times New Roman" w:cs="Times New Roman"/>
          <w:sz w:val="24"/>
          <w:szCs w:val="24"/>
        </w:rPr>
      </w:pPr>
    </w:p>
    <w:p w14:paraId="7240D060" w14:textId="77777777" w:rsidR="00F404F8" w:rsidRPr="00AA5833" w:rsidRDefault="006856A7" w:rsidP="00F404F8">
      <w:pPr>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ab/>
      </w:r>
      <w:r w:rsidR="00F404F8" w:rsidRPr="00AA5833">
        <w:rPr>
          <w:rFonts w:ascii="Times New Roman" w:eastAsia="Times New Roman" w:hAnsi="Times New Roman" w:cs="Times New Roman"/>
          <w:sz w:val="24"/>
          <w:szCs w:val="24"/>
        </w:rPr>
        <w:t>През 2024 г. в страната са регистрирани 53 727 родени деца,</w:t>
      </w:r>
      <w:r w:rsidR="00F404F8" w:rsidRPr="00AA5833">
        <w:rPr>
          <w:rFonts w:ascii="Times New Roman" w:eastAsia="Times New Roman" w:hAnsi="Times New Roman" w:cs="Times New Roman"/>
          <w:b/>
          <w:sz w:val="24"/>
          <w:szCs w:val="24"/>
        </w:rPr>
        <w:t xml:space="preserve"> </w:t>
      </w:r>
      <w:r w:rsidR="00F404F8" w:rsidRPr="00AA5833">
        <w:rPr>
          <w:rFonts w:ascii="Times New Roman" w:eastAsia="Times New Roman" w:hAnsi="Times New Roman" w:cs="Times New Roman"/>
          <w:sz w:val="24"/>
          <w:szCs w:val="24"/>
        </w:rPr>
        <w:t xml:space="preserve">като от тях </w:t>
      </w:r>
      <w:r w:rsidR="00F404F8" w:rsidRPr="00AA5833">
        <w:rPr>
          <w:rFonts w:ascii="Times New Roman" w:eastAsia="Times New Roman" w:hAnsi="Times New Roman" w:cs="Times New Roman"/>
          <w:b/>
          <w:sz w:val="24"/>
          <w:szCs w:val="24"/>
        </w:rPr>
        <w:t>53 428</w:t>
      </w:r>
      <w:r w:rsidR="00F404F8" w:rsidRPr="00AA5833">
        <w:rPr>
          <w:rFonts w:ascii="Times New Roman" w:eastAsia="Times New Roman" w:hAnsi="Times New Roman" w:cs="Times New Roman"/>
          <w:sz w:val="24"/>
          <w:szCs w:val="24"/>
        </w:rPr>
        <w:t xml:space="preserve"> </w:t>
      </w:r>
      <w:r w:rsidR="00F404F8" w:rsidRPr="00AA5833">
        <w:rPr>
          <w:rFonts w:ascii="Times New Roman" w:eastAsia="Times New Roman" w:hAnsi="Times New Roman" w:cs="Times New Roman"/>
          <w:b/>
          <w:sz w:val="24"/>
          <w:szCs w:val="24"/>
        </w:rPr>
        <w:t>(99.4%) са живородени.</w:t>
      </w:r>
      <w:r w:rsidR="00F404F8" w:rsidRPr="00AA5833">
        <w:rPr>
          <w:rFonts w:ascii="Times New Roman" w:eastAsia="Times New Roman" w:hAnsi="Times New Roman" w:cs="Times New Roman"/>
          <w:sz w:val="24"/>
          <w:szCs w:val="24"/>
        </w:rPr>
        <w:t xml:space="preserve"> В сравнение с предходната година броят на живородените намалява с 3769, или с 6.6%.</w:t>
      </w:r>
    </w:p>
    <w:p w14:paraId="3B86D781" w14:textId="77777777" w:rsidR="00DB6027" w:rsidRPr="00AA5833" w:rsidRDefault="00DB6027" w:rsidP="00F404F8">
      <w:pPr>
        <w:autoSpaceDE w:val="0"/>
        <w:autoSpaceDN w:val="0"/>
        <w:adjustRightInd w:val="0"/>
        <w:spacing w:after="0" w:line="240" w:lineRule="auto"/>
        <w:jc w:val="both"/>
        <w:rPr>
          <w:rFonts w:ascii="Times New Roman" w:eastAsia="Times New Roman" w:hAnsi="Times New Roman" w:cs="Times New Roman"/>
          <w:sz w:val="24"/>
          <w:szCs w:val="24"/>
        </w:rPr>
      </w:pPr>
    </w:p>
    <w:p w14:paraId="3F06479B" w14:textId="77777777" w:rsidR="006856A7" w:rsidRPr="00AA5833" w:rsidRDefault="006856A7" w:rsidP="00F404F8">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 4. Живородени деца през периода 1920 - 202</w:t>
      </w:r>
      <w:r w:rsidR="00F404F8"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година</w:t>
      </w:r>
    </w:p>
    <w:p w14:paraId="6EF5D3AE" w14:textId="77777777" w:rsidR="005279F6" w:rsidRPr="00AA5833" w:rsidRDefault="005279F6" w:rsidP="00F404F8">
      <w:pPr>
        <w:autoSpaceDE w:val="0"/>
        <w:autoSpaceDN w:val="0"/>
        <w:adjustRightInd w:val="0"/>
        <w:spacing w:after="0" w:line="240" w:lineRule="auto"/>
        <w:jc w:val="both"/>
        <w:rPr>
          <w:rFonts w:ascii="Times New Roman" w:eastAsia="Times New Roman" w:hAnsi="Times New Roman" w:cs="Times New Roman"/>
          <w:b/>
          <w:sz w:val="24"/>
          <w:szCs w:val="24"/>
        </w:rPr>
      </w:pPr>
    </w:p>
    <w:p w14:paraId="67C6BA43" w14:textId="77777777" w:rsidR="00F404F8" w:rsidRPr="00AA5833" w:rsidRDefault="005A284B" w:rsidP="00F404F8">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noProof/>
          <w:lang w:eastAsia="bg-BG"/>
        </w:rPr>
        <w:drawing>
          <wp:inline distT="0" distB="0" distL="0" distR="0" wp14:anchorId="644AB80F" wp14:editId="2183FBB5">
            <wp:extent cx="5282718" cy="204820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E48683" w14:textId="77777777" w:rsidR="006856A7" w:rsidRPr="00AA5833" w:rsidRDefault="006856A7" w:rsidP="006856A7">
      <w:pPr>
        <w:autoSpaceDE w:val="0"/>
        <w:autoSpaceDN w:val="0"/>
        <w:adjustRightInd w:val="0"/>
        <w:spacing w:after="0" w:line="240" w:lineRule="auto"/>
        <w:ind w:left="709"/>
        <w:rPr>
          <w:rFonts w:ascii="Times New Roman" w:eastAsia="Times New Roman" w:hAnsi="Times New Roman" w:cs="Times New Roman"/>
          <w:color w:val="000000"/>
          <w:sz w:val="18"/>
          <w:szCs w:val="18"/>
          <w:lang w:eastAsia="bg-BG"/>
        </w:rPr>
      </w:pPr>
      <w:r w:rsidRPr="00AA5833">
        <w:rPr>
          <w:rFonts w:ascii="Times New Roman" w:eastAsia="Times New Roman" w:hAnsi="Times New Roman" w:cs="Times New Roman"/>
          <w:color w:val="000000"/>
          <w:sz w:val="18"/>
          <w:szCs w:val="18"/>
          <w:lang w:eastAsia="bg-BG"/>
        </w:rPr>
        <w:t>Източник: НСИ</w:t>
      </w:r>
    </w:p>
    <w:p w14:paraId="53093830" w14:textId="77777777" w:rsidR="005A284B" w:rsidRPr="00AA5833" w:rsidRDefault="005A284B" w:rsidP="005A284B">
      <w:pPr>
        <w:keepLine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lastRenderedPageBreak/>
        <w:t>Коефициентът на обща раждаемост</w:t>
      </w:r>
      <w:r w:rsidRPr="00AA5833">
        <w:rPr>
          <w:rFonts w:ascii="Times New Roman" w:eastAsia="Times New Roman" w:hAnsi="Times New Roman" w:cs="Times New Roman"/>
          <w:b/>
          <w:sz w:val="24"/>
          <w:szCs w:val="24"/>
          <w:vertAlign w:val="superscript"/>
        </w:rPr>
        <w:footnoteReference w:id="12"/>
      </w:r>
      <w:r w:rsidRPr="00AA5833">
        <w:rPr>
          <w:rFonts w:ascii="Times New Roman" w:eastAsia="Times New Roman" w:hAnsi="Times New Roman" w:cs="Times New Roman"/>
          <w:b/>
          <w:sz w:val="24"/>
          <w:szCs w:val="24"/>
        </w:rPr>
        <w:t xml:space="preserve"> през 2024 г. е 8.3‰</w:t>
      </w:r>
      <w:r w:rsidRPr="00AA5833">
        <w:rPr>
          <w:rFonts w:ascii="Times New Roman" w:eastAsia="Times New Roman" w:hAnsi="Times New Roman" w:cs="Times New Roman"/>
          <w:sz w:val="24"/>
          <w:szCs w:val="24"/>
        </w:rPr>
        <w:t xml:space="preserve">. </w:t>
      </w:r>
    </w:p>
    <w:p w14:paraId="23BD7928" w14:textId="77777777" w:rsidR="005A284B" w:rsidRPr="00AA5833" w:rsidRDefault="005A284B" w:rsidP="005A284B">
      <w:pPr>
        <w:keepLine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Броят на живородените момчета (27 377) е с 1326 по-голям от този на живородените момичета (26 051), или на 1000 живородени момчета се падат 952 момичета. </w:t>
      </w:r>
    </w:p>
    <w:p w14:paraId="36DDC6B4" w14:textId="77777777" w:rsidR="005A284B" w:rsidRPr="00AA5833" w:rsidRDefault="005A284B" w:rsidP="005A284B">
      <w:pPr>
        <w:keepLine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A5833">
        <w:rPr>
          <w:rFonts w:ascii="Times New Roman" w:eastAsia="Times New Roman" w:hAnsi="Times New Roman" w:cs="Times New Roman"/>
          <w:sz w:val="24"/>
          <w:szCs w:val="24"/>
        </w:rPr>
        <w:t xml:space="preserve">В градовете и селата живородените са съответно 39 483 и 13 945, а коефициентът на раждаемост е 8.3‰ в градовете и 8.2‰ в селата. В регионален аспект най-висока е раждаемостта в областите Сливен </w:t>
      </w:r>
      <w:r w:rsidR="00C906D5"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12.5‰,</w:t>
      </w:r>
      <w:r w:rsidRPr="00AA5833">
        <w:rPr>
          <w:rFonts w:ascii="Times New Roman" w:eastAsia="Times New Roman" w:hAnsi="Times New Roman" w:cs="Times New Roman"/>
          <w:color w:val="FF0000"/>
          <w:sz w:val="24"/>
          <w:szCs w:val="24"/>
        </w:rPr>
        <w:t xml:space="preserve"> </w:t>
      </w:r>
      <w:r w:rsidRPr="00AA5833">
        <w:rPr>
          <w:rFonts w:ascii="Times New Roman" w:eastAsia="Times New Roman" w:hAnsi="Times New Roman" w:cs="Times New Roman"/>
          <w:sz w:val="24"/>
          <w:szCs w:val="24"/>
        </w:rPr>
        <w:t xml:space="preserve">и Ямбол </w:t>
      </w:r>
      <w:r w:rsidR="00C906D5"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10.0‰, най-ниска в областите Смолян </w:t>
      </w:r>
      <w:r w:rsidR="00C906D5"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5.2‰, и Перник </w:t>
      </w:r>
      <w:r w:rsidR="00C906D5"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6.1‰.</w:t>
      </w:r>
    </w:p>
    <w:p w14:paraId="751CB2B1" w14:textId="77777777" w:rsidR="006856A7" w:rsidRPr="00AA5833" w:rsidRDefault="006856A7" w:rsidP="005A284B">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69001F31"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 5. Коефициент на раждаемост по области през 202</w:t>
      </w:r>
      <w:r w:rsidR="005279F6"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година</w:t>
      </w:r>
    </w:p>
    <w:p w14:paraId="44B99469" w14:textId="77777777" w:rsidR="002C6558" w:rsidRPr="00AA5833" w:rsidRDefault="002C6558"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1E7F526B" w14:textId="77777777" w:rsidR="005279F6" w:rsidRPr="00AA5833" w:rsidRDefault="005279F6" w:rsidP="006856A7">
      <w:pPr>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15899749" w14:textId="77777777" w:rsidR="005A284B" w:rsidRPr="00AA5833" w:rsidRDefault="005A284B" w:rsidP="005279F6">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Verdana" w:eastAsia="Times New Roman" w:hAnsi="Verdana" w:cs="Times New Roman"/>
          <w:noProof/>
          <w:sz w:val="20"/>
          <w:szCs w:val="20"/>
          <w:lang w:eastAsia="bg-BG"/>
        </w:rPr>
        <w:drawing>
          <wp:inline distT="0" distB="0" distL="0" distR="0" wp14:anchorId="5F5C0394" wp14:editId="430DBA1A">
            <wp:extent cx="5760085" cy="4060776"/>
            <wp:effectExtent l="0" t="0" r="4445" b="0"/>
            <wp:docPr id="4" name="Picture 4" descr="D:\DocumentsChPT\Desctop\Pres_saobstenie_2025\Прессъобщение\Редактор\Карти след редактор\BG_Раждаемост на 1 000 души от населението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ChPT\Desctop\Pres_saobstenie_2025\Прессъобщение\Редактор\Карти след редактор\BG_Раждаемост на 1 000 души от населението -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4060776"/>
                    </a:xfrm>
                    <a:prstGeom prst="rect">
                      <a:avLst/>
                    </a:prstGeom>
                    <a:noFill/>
                    <a:ln>
                      <a:noFill/>
                    </a:ln>
                  </pic:spPr>
                </pic:pic>
              </a:graphicData>
            </a:graphic>
          </wp:inline>
        </w:drawing>
      </w:r>
    </w:p>
    <w:p w14:paraId="5A7D78C6" w14:textId="77777777" w:rsidR="002C6558" w:rsidRPr="00AA5833" w:rsidRDefault="002C6558"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bg-BG"/>
        </w:rPr>
      </w:pPr>
    </w:p>
    <w:p w14:paraId="1A8F390C"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color w:val="000000"/>
          <w:sz w:val="18"/>
          <w:szCs w:val="18"/>
          <w:lang w:eastAsia="bg-BG"/>
        </w:rPr>
        <w:t>Източник: НСИ</w:t>
      </w:r>
    </w:p>
    <w:p w14:paraId="038C312B"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446EDC1" w14:textId="77777777" w:rsidR="005279F6" w:rsidRPr="00AA5833" w:rsidRDefault="005279F6" w:rsidP="005279F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Броят на жените </w:t>
      </w:r>
      <w:r w:rsidR="00533926" w:rsidRPr="00AA5833">
        <w:rPr>
          <w:rFonts w:ascii="Times New Roman" w:eastAsia="Times New Roman" w:hAnsi="Times New Roman" w:cs="Times New Roman"/>
          <w:sz w:val="24"/>
          <w:szCs w:val="24"/>
        </w:rPr>
        <w:t xml:space="preserve">във фертилна възраст (15 – </w:t>
      </w:r>
      <w:r w:rsidRPr="00AA5833">
        <w:rPr>
          <w:rFonts w:ascii="Times New Roman" w:eastAsia="Times New Roman" w:hAnsi="Times New Roman" w:cs="Times New Roman"/>
          <w:sz w:val="24"/>
          <w:szCs w:val="24"/>
        </w:rPr>
        <w:t>49 навършени години) в страната, или размерът на родилните контингенти и тяхната плодовитост, оказва съществено влияние върху равнището на раждаемост и определя характера на възпроизводство на населението.</w:t>
      </w:r>
    </w:p>
    <w:p w14:paraId="201BC242" w14:textId="77777777" w:rsidR="005279F6" w:rsidRPr="00AA5833" w:rsidRDefault="005279F6" w:rsidP="005279F6">
      <w:pPr>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Към 31.12.2024 г. броят на жените във фертилна възраст е 1 257 хил., като спрямо предходната година намалява с близо 12 хиляди. Броят на живородените децата, родени от майки под 18 години се увеличава от 2 753 през 2023 г. на 2 817 през 2024 година. Живородените деца от жени на възраст 40 и повече навършени години намаляват от 2 641 през 2023 г. на 2 528 през 2024 година.</w:t>
      </w:r>
    </w:p>
    <w:p w14:paraId="63F819D8" w14:textId="77777777" w:rsidR="005279F6" w:rsidRPr="00AA5833" w:rsidRDefault="005279F6" w:rsidP="005279F6">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lastRenderedPageBreak/>
        <w:t>Тоталният коефициент на плодовитост</w:t>
      </w:r>
      <w:r w:rsidRPr="00AA5833">
        <w:rPr>
          <w:rFonts w:ascii="Times New Roman" w:eastAsia="Times New Roman" w:hAnsi="Times New Roman" w:cs="Times New Roman"/>
          <w:sz w:val="24"/>
          <w:szCs w:val="24"/>
          <w:vertAlign w:val="superscript"/>
          <w:lang w:eastAsia="bg-BG"/>
        </w:rPr>
        <w:footnoteReference w:id="13"/>
      </w:r>
      <w:r w:rsidRPr="00AA5833">
        <w:rPr>
          <w:rFonts w:ascii="Times New Roman" w:eastAsia="Times New Roman" w:hAnsi="Times New Roman" w:cs="Times New Roman"/>
          <w:sz w:val="24"/>
          <w:szCs w:val="24"/>
        </w:rPr>
        <w:t xml:space="preserve"> е един от основните </w:t>
      </w:r>
      <w:r w:rsidRPr="00AA5833">
        <w:rPr>
          <w:rFonts w:ascii="Times New Roman" w:eastAsia="Times New Roman" w:hAnsi="Times New Roman" w:cs="Times New Roman"/>
          <w:b/>
          <w:sz w:val="24"/>
          <w:szCs w:val="24"/>
        </w:rPr>
        <w:t>показатели, характеризиращи плодовитостта на жените.</w:t>
      </w:r>
      <w:r w:rsidRPr="00AA5833">
        <w:rPr>
          <w:rFonts w:ascii="Times New Roman" w:eastAsia="Times New Roman" w:hAnsi="Times New Roman" w:cs="Times New Roman"/>
          <w:sz w:val="24"/>
          <w:szCs w:val="24"/>
        </w:rPr>
        <w:t xml:space="preserve"> През 2024 г. средният брой живородени деца </w:t>
      </w:r>
      <w:r w:rsidRPr="00AA5833">
        <w:rPr>
          <w:rFonts w:ascii="Times New Roman" w:eastAsia="Times New Roman" w:hAnsi="Times New Roman" w:cs="Times New Roman"/>
          <w:b/>
          <w:sz w:val="24"/>
          <w:szCs w:val="24"/>
        </w:rPr>
        <w:t>от една жена е 1.72</w:t>
      </w:r>
      <w:r w:rsidRPr="00AA5833">
        <w:rPr>
          <w:rFonts w:ascii="Times New Roman" w:eastAsia="Times New Roman" w:hAnsi="Times New Roman" w:cs="Times New Roman"/>
          <w:sz w:val="24"/>
          <w:szCs w:val="24"/>
        </w:rPr>
        <w:t>.</w:t>
      </w:r>
    </w:p>
    <w:p w14:paraId="40045254" w14:textId="77777777" w:rsidR="005279F6" w:rsidRPr="00AA5833" w:rsidRDefault="005279F6" w:rsidP="005279F6">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A5833">
        <w:rPr>
          <w:rFonts w:ascii="Times New Roman" w:eastAsia="Times New Roman" w:hAnsi="Times New Roman" w:cs="Times New Roman"/>
          <w:sz w:val="24"/>
          <w:szCs w:val="24"/>
        </w:rPr>
        <w:t>Средната възраст на жените при раждане на първо дете през 2024 г.</w:t>
      </w:r>
      <w:r w:rsidRPr="00AA5833">
        <w:rPr>
          <w:rFonts w:ascii="Times New Roman" w:eastAsia="Times New Roman" w:hAnsi="Times New Roman" w:cs="Times New Roman"/>
          <w:b/>
          <w:sz w:val="24"/>
          <w:szCs w:val="24"/>
        </w:rPr>
        <w:t xml:space="preserve"> е 27.6 години.</w:t>
      </w:r>
      <w:r w:rsidRPr="00AA5833">
        <w:rPr>
          <w:rFonts w:ascii="Times New Roman" w:eastAsia="Times New Roman" w:hAnsi="Times New Roman" w:cs="Times New Roman"/>
          <w:sz w:val="24"/>
          <w:szCs w:val="24"/>
        </w:rPr>
        <w:t xml:space="preserve"> В регионален аспект средната възраст при раждане на първо дете варира от 22.1 години за област Сливен до 30.9 години за област София (столица). </w:t>
      </w:r>
    </w:p>
    <w:p w14:paraId="00D738B6"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5BA74993"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Фигура 6. Средна възраст на жената при раждане на първо дете и тотален коефициент  на плодовитост по области през 202</w:t>
      </w:r>
      <w:r w:rsidR="002C6558"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w:t>
      </w:r>
    </w:p>
    <w:p w14:paraId="3BBE73BB" w14:textId="77777777" w:rsidR="002C6558" w:rsidRPr="00AA5833" w:rsidRDefault="002C655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146A9E62" w14:textId="77777777" w:rsidR="006856A7" w:rsidRPr="00AA5833" w:rsidRDefault="002C6558" w:rsidP="002C6558">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noProof/>
          <w:lang w:eastAsia="bg-BG"/>
        </w:rPr>
        <w:drawing>
          <wp:inline distT="0" distB="0" distL="0" distR="0" wp14:anchorId="34B04E3B" wp14:editId="6AB60266">
            <wp:extent cx="5760720" cy="3081020"/>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4ADA16"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sz w:val="18"/>
          <w:szCs w:val="18"/>
          <w:lang w:eastAsia="bg-BG"/>
        </w:rPr>
        <w:t>Източник: НСИ</w:t>
      </w:r>
    </w:p>
    <w:p w14:paraId="279D5895" w14:textId="77777777" w:rsidR="006856A7" w:rsidRPr="00AA5833" w:rsidRDefault="006856A7" w:rsidP="006856A7">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14:paraId="5A5C16C2" w14:textId="77777777" w:rsidR="00FA2767" w:rsidRPr="00AA5833" w:rsidRDefault="00FA2767" w:rsidP="00FA276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2024 г. са регистрирани 926 случая на многоплодни раждания. При 914 от случаите са родени по две деца, а при 12 – по три. </w:t>
      </w:r>
    </w:p>
    <w:p w14:paraId="19E1E705"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0A687CCB" w14:textId="77777777" w:rsidR="00FB5817" w:rsidRPr="00AA5833" w:rsidRDefault="00FB5817" w:rsidP="00FB5817">
      <w:pPr>
        <w:spacing w:after="0" w:line="240" w:lineRule="auto"/>
        <w:jc w:val="both"/>
        <w:outlineLvl w:val="3"/>
        <w:rPr>
          <w:rFonts w:ascii="Times New Roman" w:eastAsia="Calibri" w:hAnsi="Times New Roman" w:cs="Times New Roman"/>
          <w:b/>
          <w:bCs/>
          <w:sz w:val="24"/>
          <w:szCs w:val="24"/>
        </w:rPr>
      </w:pPr>
      <w:r w:rsidRPr="00AA5833">
        <w:rPr>
          <w:rFonts w:ascii="Times New Roman" w:eastAsia="Calibri" w:hAnsi="Times New Roman" w:cs="Times New Roman"/>
          <w:b/>
          <w:bCs/>
          <w:caps/>
          <w:sz w:val="24"/>
          <w:szCs w:val="24"/>
        </w:rPr>
        <w:t xml:space="preserve">1.2.1. </w:t>
      </w:r>
      <w:r w:rsidRPr="00AA5833">
        <w:rPr>
          <w:rFonts w:ascii="Times New Roman" w:eastAsia="Calibri" w:hAnsi="Times New Roman" w:cs="Times New Roman"/>
          <w:b/>
          <w:bCs/>
          <w:sz w:val="24"/>
          <w:szCs w:val="24"/>
        </w:rPr>
        <w:t xml:space="preserve">Аборти </w:t>
      </w:r>
    </w:p>
    <w:p w14:paraId="65882048" w14:textId="77777777" w:rsidR="00FB5817" w:rsidRPr="00AA5833" w:rsidRDefault="00FB5817" w:rsidP="00FB5817">
      <w:pPr>
        <w:spacing w:after="0" w:line="240" w:lineRule="auto"/>
        <w:ind w:firstLine="601"/>
        <w:jc w:val="center"/>
        <w:outlineLvl w:val="3"/>
        <w:rPr>
          <w:rFonts w:ascii="Times New Roman" w:eastAsia="Calibri" w:hAnsi="Times New Roman" w:cs="Times New Roman"/>
          <w:bCs/>
          <w:sz w:val="24"/>
          <w:szCs w:val="24"/>
        </w:rPr>
      </w:pPr>
    </w:p>
    <w:p w14:paraId="324B4E43" w14:textId="77777777" w:rsidR="00FB5817" w:rsidRPr="00AA5833" w:rsidRDefault="00FB5817" w:rsidP="00FB5817">
      <w:pPr>
        <w:spacing w:after="0" w:line="240" w:lineRule="auto"/>
        <w:ind w:firstLine="601"/>
        <w:jc w:val="both"/>
        <w:outlineLvl w:val="3"/>
        <w:rPr>
          <w:rFonts w:ascii="Times New Roman" w:eastAsia="Calibri" w:hAnsi="Times New Roman" w:cs="Times New Roman"/>
          <w:sz w:val="24"/>
          <w:szCs w:val="24"/>
        </w:rPr>
      </w:pPr>
      <w:r w:rsidRPr="00AA5833">
        <w:rPr>
          <w:rFonts w:ascii="Times New Roman" w:eastAsia="Calibri" w:hAnsi="Times New Roman" w:cs="Times New Roman"/>
          <w:sz w:val="24"/>
          <w:szCs w:val="24"/>
        </w:rPr>
        <w:t>От 2024 г. абортите се отчитат, разпределени по вид като: Бременност, завършила с аборт – поради Извънматочна бременност (О00), Мола хидатидоза (О01) и Други анормални продукти на зачеването (О02), Спонтанни (О03), Терапевтични (О04) – от тях по желание и по медицински причини, Други видове и аборт, неуточнен (О05-О06). Общият брой на бременностите, завършващи с аборт е 18 577 при 53 727 раждания.</w:t>
      </w:r>
    </w:p>
    <w:p w14:paraId="0E062D98" w14:textId="77777777" w:rsidR="00FB5817" w:rsidRPr="00AA5833" w:rsidRDefault="00FB5817" w:rsidP="00FB5817">
      <w:pPr>
        <w:spacing w:after="0" w:line="240" w:lineRule="auto"/>
        <w:rPr>
          <w:rFonts w:ascii="Times New Roman" w:eastAsia="Calibri" w:hAnsi="Times New Roman" w:cs="Times New Roman"/>
          <w:sz w:val="24"/>
          <w:szCs w:val="24"/>
        </w:rPr>
      </w:pPr>
    </w:p>
    <w:p w14:paraId="1E0FDE1D" w14:textId="77777777" w:rsidR="00FB5817" w:rsidRPr="00AA5833" w:rsidRDefault="00FB5817" w:rsidP="00FB5817">
      <w:pPr>
        <w:spacing w:after="0" w:line="240" w:lineRule="auto"/>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Таблица 4: Раждания и аборти</w:t>
      </w:r>
    </w:p>
    <w:tbl>
      <w:tblPr>
        <w:tblW w:w="8949" w:type="dxa"/>
        <w:tblInd w:w="55" w:type="dxa"/>
        <w:tblCellMar>
          <w:left w:w="70" w:type="dxa"/>
          <w:right w:w="70" w:type="dxa"/>
        </w:tblCellMar>
        <w:tblLook w:val="04A0" w:firstRow="1" w:lastRow="0" w:firstColumn="1" w:lastColumn="0" w:noHBand="0" w:noVBand="1"/>
      </w:tblPr>
      <w:tblGrid>
        <w:gridCol w:w="2260"/>
        <w:gridCol w:w="1460"/>
        <w:gridCol w:w="1680"/>
        <w:gridCol w:w="1845"/>
        <w:gridCol w:w="1704"/>
      </w:tblGrid>
      <w:tr w:rsidR="00FB5817" w:rsidRPr="00AA5833" w14:paraId="0D6413FE" w14:textId="77777777" w:rsidTr="00FB5817">
        <w:trPr>
          <w:trHeight w:val="320"/>
        </w:trPr>
        <w:tc>
          <w:tcPr>
            <w:tcW w:w="2260" w:type="dxa"/>
            <w:vMerge w:val="restart"/>
            <w:tcBorders>
              <w:top w:val="single" w:sz="4" w:space="0" w:color="auto"/>
              <w:left w:val="single" w:sz="4" w:space="0" w:color="auto"/>
              <w:bottom w:val="single" w:sz="4" w:space="0" w:color="auto"/>
              <w:right w:val="single" w:sz="4" w:space="0" w:color="auto"/>
            </w:tcBorders>
            <w:shd w:val="clear" w:color="auto" w:fill="00CC99"/>
            <w:noWrap/>
            <w:vAlign w:val="center"/>
            <w:hideMark/>
          </w:tcPr>
          <w:p w14:paraId="61C8B35C"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Години</w:t>
            </w:r>
          </w:p>
        </w:tc>
        <w:tc>
          <w:tcPr>
            <w:tcW w:w="1460" w:type="dxa"/>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6B95AC6E"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Раждания</w:t>
            </w:r>
          </w:p>
        </w:tc>
        <w:tc>
          <w:tcPr>
            <w:tcW w:w="1680" w:type="dxa"/>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6804FA42"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Аборти</w:t>
            </w:r>
          </w:p>
        </w:tc>
        <w:tc>
          <w:tcPr>
            <w:tcW w:w="1845" w:type="dxa"/>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2201B163"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Раждания</w:t>
            </w:r>
          </w:p>
        </w:tc>
        <w:tc>
          <w:tcPr>
            <w:tcW w:w="1704" w:type="dxa"/>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35FEDCA9"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Аборти</w:t>
            </w:r>
          </w:p>
        </w:tc>
      </w:tr>
      <w:tr w:rsidR="00FB5817" w:rsidRPr="00AA5833" w14:paraId="6AB928DA" w14:textId="77777777" w:rsidTr="00FB5817">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FAD85" w14:textId="77777777" w:rsidR="00FB5817" w:rsidRPr="00AA5833" w:rsidRDefault="00FB5817" w:rsidP="00FB5817">
            <w:pPr>
              <w:spacing w:after="0"/>
              <w:rPr>
                <w:rFonts w:ascii="Times New Roman" w:eastAsia="Calibri" w:hAnsi="Times New Roman" w:cs="Times New Roman"/>
                <w:b/>
              </w:rPr>
            </w:pPr>
          </w:p>
        </w:tc>
        <w:tc>
          <w:tcPr>
            <w:tcW w:w="3140" w:type="dxa"/>
            <w:gridSpan w:val="2"/>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1890B4A4"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Брой</w:t>
            </w:r>
          </w:p>
        </w:tc>
        <w:tc>
          <w:tcPr>
            <w:tcW w:w="3549" w:type="dxa"/>
            <w:gridSpan w:val="2"/>
            <w:tcBorders>
              <w:top w:val="single" w:sz="4" w:space="0" w:color="auto"/>
              <w:left w:val="single" w:sz="4" w:space="0" w:color="auto"/>
              <w:bottom w:val="single" w:sz="4" w:space="0" w:color="auto"/>
              <w:right w:val="single" w:sz="4" w:space="0" w:color="auto"/>
            </w:tcBorders>
            <w:shd w:val="clear" w:color="auto" w:fill="00CC99"/>
            <w:noWrap/>
            <w:vAlign w:val="bottom"/>
            <w:hideMark/>
          </w:tcPr>
          <w:p w14:paraId="026EAB95"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на 1000 жени от 15-49 г.</w:t>
            </w:r>
          </w:p>
        </w:tc>
      </w:tr>
      <w:tr w:rsidR="00FB5817" w:rsidRPr="00AA5833" w14:paraId="791D885F" w14:textId="77777777" w:rsidTr="00FB5817">
        <w:trPr>
          <w:trHeight w:val="315"/>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5C61161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2012</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1399CB4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69 678</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E18F303"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29 992</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6E2F69BE"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42.5</w:t>
            </w:r>
          </w:p>
        </w:tc>
        <w:tc>
          <w:tcPr>
            <w:tcW w:w="1704" w:type="dxa"/>
            <w:tcBorders>
              <w:top w:val="single" w:sz="4" w:space="0" w:color="auto"/>
              <w:left w:val="single" w:sz="4" w:space="0" w:color="auto"/>
              <w:bottom w:val="single" w:sz="4" w:space="0" w:color="auto"/>
              <w:right w:val="single" w:sz="4" w:space="0" w:color="auto"/>
            </w:tcBorders>
            <w:noWrap/>
            <w:vAlign w:val="bottom"/>
            <w:hideMark/>
          </w:tcPr>
          <w:p w14:paraId="2BF88BF2"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18.3</w:t>
            </w:r>
          </w:p>
        </w:tc>
      </w:tr>
      <w:tr w:rsidR="00FB5817" w:rsidRPr="00AA5833" w14:paraId="15DAFC06" w14:textId="77777777" w:rsidTr="00FB5817">
        <w:trPr>
          <w:trHeight w:val="315"/>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7D058CF5"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2013</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58FD9B4C"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67 061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143B9C0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29 505</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4DDDCE8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41.6</w:t>
            </w:r>
          </w:p>
        </w:tc>
        <w:tc>
          <w:tcPr>
            <w:tcW w:w="1704" w:type="dxa"/>
            <w:tcBorders>
              <w:top w:val="single" w:sz="4" w:space="0" w:color="auto"/>
              <w:left w:val="single" w:sz="4" w:space="0" w:color="auto"/>
              <w:bottom w:val="single" w:sz="4" w:space="0" w:color="auto"/>
              <w:right w:val="single" w:sz="4" w:space="0" w:color="auto"/>
            </w:tcBorders>
            <w:noWrap/>
            <w:vAlign w:val="bottom"/>
            <w:hideMark/>
          </w:tcPr>
          <w:p w14:paraId="5149C36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18.3</w:t>
            </w:r>
          </w:p>
        </w:tc>
      </w:tr>
      <w:tr w:rsidR="00FB5817" w:rsidRPr="00AA5833" w14:paraId="075D53B8"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0D033A57"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lastRenderedPageBreak/>
              <w:t>2014</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4FE1CC02"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68 083</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45C4F9B"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28 145</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0466AFD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42.8</w:t>
            </w:r>
          </w:p>
        </w:tc>
        <w:tc>
          <w:tcPr>
            <w:tcW w:w="1704" w:type="dxa"/>
            <w:tcBorders>
              <w:top w:val="single" w:sz="4" w:space="0" w:color="auto"/>
              <w:left w:val="single" w:sz="4" w:space="0" w:color="auto"/>
              <w:bottom w:val="single" w:sz="4" w:space="0" w:color="auto"/>
              <w:right w:val="single" w:sz="4" w:space="0" w:color="auto"/>
            </w:tcBorders>
            <w:noWrap/>
            <w:vAlign w:val="bottom"/>
            <w:hideMark/>
          </w:tcPr>
          <w:p w14:paraId="7274D6B2"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17.7</w:t>
            </w:r>
          </w:p>
        </w:tc>
      </w:tr>
      <w:tr w:rsidR="00FB5817" w:rsidRPr="00AA5833" w14:paraId="38DD6E03" w14:textId="77777777" w:rsidTr="00FB5817">
        <w:trPr>
          <w:trHeight w:val="390"/>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2261606F"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2015</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0CBD4AB5"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66 370</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4E7C710"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27 782</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5ACC8B53"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42.3</w:t>
            </w:r>
          </w:p>
        </w:tc>
        <w:tc>
          <w:tcPr>
            <w:tcW w:w="1704" w:type="dxa"/>
            <w:tcBorders>
              <w:top w:val="single" w:sz="4" w:space="0" w:color="auto"/>
              <w:left w:val="single" w:sz="4" w:space="0" w:color="auto"/>
              <w:bottom w:val="single" w:sz="4" w:space="0" w:color="auto"/>
              <w:right w:val="single" w:sz="4" w:space="0" w:color="auto"/>
            </w:tcBorders>
            <w:noWrap/>
            <w:vAlign w:val="bottom"/>
            <w:hideMark/>
          </w:tcPr>
          <w:p w14:paraId="7409D92C"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17.7</w:t>
            </w:r>
          </w:p>
        </w:tc>
      </w:tr>
      <w:tr w:rsidR="00FB5817" w:rsidRPr="00AA5833" w14:paraId="76CA7971"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21D23AD7"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2016</w:t>
            </w:r>
          </w:p>
        </w:tc>
        <w:tc>
          <w:tcPr>
            <w:tcW w:w="1460" w:type="dxa"/>
            <w:tcBorders>
              <w:top w:val="single" w:sz="4" w:space="0" w:color="auto"/>
              <w:left w:val="single" w:sz="4" w:space="0" w:color="auto"/>
              <w:bottom w:val="single" w:sz="4" w:space="0" w:color="auto"/>
              <w:right w:val="single" w:sz="4" w:space="0" w:color="auto"/>
            </w:tcBorders>
            <w:noWrap/>
            <w:vAlign w:val="bottom"/>
            <w:hideMark/>
          </w:tcPr>
          <w:p w14:paraId="1928041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 xml:space="preserve"> 65 446</w:t>
            </w:r>
            <w:r w:rsidRPr="00AA5833">
              <w:rPr>
                <w:rFonts w:ascii="Times New Roman" w:eastAsia="Calibri" w:hAnsi="Times New Roman" w:cs="Times New Roman"/>
              </w:rPr>
              <w:tab/>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F32238D"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rPr>
              <w:t>26 412</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318AA45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42.2</w:t>
            </w:r>
          </w:p>
        </w:tc>
        <w:tc>
          <w:tcPr>
            <w:tcW w:w="1704" w:type="dxa"/>
            <w:tcBorders>
              <w:top w:val="single" w:sz="4" w:space="0" w:color="auto"/>
              <w:left w:val="single" w:sz="4" w:space="0" w:color="auto"/>
              <w:bottom w:val="single" w:sz="4" w:space="0" w:color="auto"/>
              <w:right w:val="single" w:sz="4" w:space="0" w:color="auto"/>
            </w:tcBorders>
            <w:noWrap/>
            <w:vAlign w:val="bottom"/>
            <w:hideMark/>
          </w:tcPr>
          <w:p w14:paraId="2ECFD927"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17.0</w:t>
            </w:r>
          </w:p>
        </w:tc>
      </w:tr>
      <w:tr w:rsidR="00FB5817" w:rsidRPr="00AA5833" w14:paraId="104DB2BA"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50A1E0CE"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2017</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6D3A294E"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64 359</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6B4F99CF"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24 287</w:t>
            </w:r>
          </w:p>
        </w:tc>
        <w:tc>
          <w:tcPr>
            <w:tcW w:w="1845" w:type="dxa"/>
            <w:tcBorders>
              <w:top w:val="single" w:sz="4" w:space="0" w:color="auto"/>
              <w:left w:val="single" w:sz="4" w:space="0" w:color="auto"/>
              <w:bottom w:val="single" w:sz="4" w:space="0" w:color="auto"/>
              <w:right w:val="single" w:sz="4" w:space="0" w:color="auto"/>
            </w:tcBorders>
            <w:noWrap/>
            <w:vAlign w:val="center"/>
            <w:hideMark/>
          </w:tcPr>
          <w:p w14:paraId="67CC796E"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42.1</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A5B6C12"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15.9</w:t>
            </w:r>
          </w:p>
        </w:tc>
      </w:tr>
      <w:tr w:rsidR="00FB5817" w:rsidRPr="00AA5833" w14:paraId="5878E6F8"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0FCE484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2018</w:t>
            </w:r>
          </w:p>
        </w:tc>
        <w:tc>
          <w:tcPr>
            <w:tcW w:w="1460" w:type="dxa"/>
            <w:tcBorders>
              <w:top w:val="single" w:sz="4" w:space="0" w:color="auto"/>
              <w:left w:val="single" w:sz="4" w:space="0" w:color="auto"/>
              <w:bottom w:val="single" w:sz="4" w:space="0" w:color="auto"/>
              <w:right w:val="single" w:sz="4" w:space="0" w:color="auto"/>
            </w:tcBorders>
            <w:noWrap/>
            <w:vAlign w:val="center"/>
          </w:tcPr>
          <w:p w14:paraId="77B7F3A1"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62 576</w:t>
            </w:r>
          </w:p>
        </w:tc>
        <w:tc>
          <w:tcPr>
            <w:tcW w:w="1680" w:type="dxa"/>
            <w:tcBorders>
              <w:top w:val="single" w:sz="4" w:space="0" w:color="auto"/>
              <w:left w:val="single" w:sz="4" w:space="0" w:color="auto"/>
              <w:bottom w:val="single" w:sz="4" w:space="0" w:color="auto"/>
              <w:right w:val="single" w:sz="4" w:space="0" w:color="auto"/>
            </w:tcBorders>
            <w:noWrap/>
            <w:vAlign w:val="center"/>
          </w:tcPr>
          <w:p w14:paraId="670A62E5"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23 437</w:t>
            </w:r>
          </w:p>
        </w:tc>
        <w:tc>
          <w:tcPr>
            <w:tcW w:w="1845" w:type="dxa"/>
            <w:tcBorders>
              <w:top w:val="single" w:sz="4" w:space="0" w:color="auto"/>
              <w:left w:val="single" w:sz="4" w:space="0" w:color="auto"/>
              <w:bottom w:val="single" w:sz="4" w:space="0" w:color="auto"/>
              <w:right w:val="single" w:sz="4" w:space="0" w:color="auto"/>
            </w:tcBorders>
            <w:noWrap/>
            <w:vAlign w:val="center"/>
          </w:tcPr>
          <w:p w14:paraId="1480CB54"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41.6</w:t>
            </w:r>
          </w:p>
        </w:tc>
        <w:tc>
          <w:tcPr>
            <w:tcW w:w="1704" w:type="dxa"/>
            <w:tcBorders>
              <w:top w:val="single" w:sz="4" w:space="0" w:color="auto"/>
              <w:left w:val="single" w:sz="4" w:space="0" w:color="auto"/>
              <w:bottom w:val="single" w:sz="4" w:space="0" w:color="auto"/>
              <w:right w:val="single" w:sz="4" w:space="0" w:color="auto"/>
            </w:tcBorders>
            <w:noWrap/>
            <w:vAlign w:val="center"/>
          </w:tcPr>
          <w:p w14:paraId="2C050AB7"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15.6</w:t>
            </w:r>
          </w:p>
        </w:tc>
      </w:tr>
      <w:tr w:rsidR="00FB5817" w:rsidRPr="00AA5833" w14:paraId="6F88D578"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3141A5C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2019</w:t>
            </w:r>
          </w:p>
        </w:tc>
        <w:tc>
          <w:tcPr>
            <w:tcW w:w="1460" w:type="dxa"/>
            <w:tcBorders>
              <w:top w:val="single" w:sz="4" w:space="0" w:color="auto"/>
              <w:left w:val="single" w:sz="4" w:space="0" w:color="auto"/>
              <w:bottom w:val="single" w:sz="4" w:space="0" w:color="auto"/>
              <w:right w:val="single" w:sz="4" w:space="0" w:color="auto"/>
            </w:tcBorders>
            <w:noWrap/>
            <w:vAlign w:val="center"/>
          </w:tcPr>
          <w:p w14:paraId="3E820D3A"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61 882</w:t>
            </w:r>
          </w:p>
        </w:tc>
        <w:tc>
          <w:tcPr>
            <w:tcW w:w="1680" w:type="dxa"/>
            <w:tcBorders>
              <w:top w:val="single" w:sz="4" w:space="0" w:color="auto"/>
              <w:left w:val="single" w:sz="4" w:space="0" w:color="auto"/>
              <w:bottom w:val="single" w:sz="4" w:space="0" w:color="auto"/>
              <w:right w:val="single" w:sz="4" w:space="0" w:color="auto"/>
            </w:tcBorders>
            <w:noWrap/>
            <w:vAlign w:val="center"/>
          </w:tcPr>
          <w:p w14:paraId="1E42318E"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21 864</w:t>
            </w:r>
          </w:p>
        </w:tc>
        <w:tc>
          <w:tcPr>
            <w:tcW w:w="1845" w:type="dxa"/>
            <w:tcBorders>
              <w:top w:val="single" w:sz="4" w:space="0" w:color="auto"/>
              <w:left w:val="single" w:sz="4" w:space="0" w:color="auto"/>
              <w:bottom w:val="single" w:sz="4" w:space="0" w:color="auto"/>
              <w:right w:val="single" w:sz="4" w:space="0" w:color="auto"/>
            </w:tcBorders>
            <w:noWrap/>
            <w:vAlign w:val="center"/>
          </w:tcPr>
          <w:p w14:paraId="6C73D300"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41.9</w:t>
            </w:r>
          </w:p>
        </w:tc>
        <w:tc>
          <w:tcPr>
            <w:tcW w:w="1704" w:type="dxa"/>
            <w:tcBorders>
              <w:top w:val="single" w:sz="4" w:space="0" w:color="auto"/>
              <w:left w:val="single" w:sz="4" w:space="0" w:color="auto"/>
              <w:bottom w:val="single" w:sz="4" w:space="0" w:color="auto"/>
              <w:right w:val="single" w:sz="4" w:space="0" w:color="auto"/>
            </w:tcBorders>
            <w:noWrap/>
            <w:vAlign w:val="center"/>
          </w:tcPr>
          <w:p w14:paraId="32728C9B"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14.8</w:t>
            </w:r>
          </w:p>
        </w:tc>
      </w:tr>
      <w:tr w:rsidR="00FB5817" w:rsidRPr="00AA5833" w14:paraId="46C223E9"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6F726184"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2020</w:t>
            </w:r>
          </w:p>
        </w:tc>
        <w:tc>
          <w:tcPr>
            <w:tcW w:w="1460" w:type="dxa"/>
            <w:tcBorders>
              <w:top w:val="single" w:sz="4" w:space="0" w:color="auto"/>
              <w:left w:val="single" w:sz="4" w:space="0" w:color="auto"/>
              <w:bottom w:val="single" w:sz="4" w:space="0" w:color="auto"/>
              <w:right w:val="single" w:sz="4" w:space="0" w:color="auto"/>
            </w:tcBorders>
            <w:noWrap/>
            <w:vAlign w:val="center"/>
          </w:tcPr>
          <w:p w14:paraId="1213E7C9"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59 440</w:t>
            </w:r>
          </w:p>
        </w:tc>
        <w:tc>
          <w:tcPr>
            <w:tcW w:w="1680" w:type="dxa"/>
            <w:tcBorders>
              <w:top w:val="single" w:sz="4" w:space="0" w:color="auto"/>
              <w:left w:val="single" w:sz="4" w:space="0" w:color="auto"/>
              <w:bottom w:val="single" w:sz="4" w:space="0" w:color="auto"/>
              <w:right w:val="single" w:sz="4" w:space="0" w:color="auto"/>
            </w:tcBorders>
            <w:noWrap/>
            <w:vAlign w:val="center"/>
          </w:tcPr>
          <w:p w14:paraId="20AFD3FA"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19 328</w:t>
            </w:r>
          </w:p>
        </w:tc>
        <w:tc>
          <w:tcPr>
            <w:tcW w:w="1845" w:type="dxa"/>
            <w:tcBorders>
              <w:top w:val="single" w:sz="4" w:space="0" w:color="auto"/>
              <w:left w:val="single" w:sz="4" w:space="0" w:color="auto"/>
              <w:bottom w:val="single" w:sz="4" w:space="0" w:color="auto"/>
              <w:right w:val="single" w:sz="4" w:space="0" w:color="auto"/>
            </w:tcBorders>
            <w:noWrap/>
            <w:vAlign w:val="center"/>
          </w:tcPr>
          <w:p w14:paraId="1463DC04"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40.8</w:t>
            </w:r>
          </w:p>
        </w:tc>
        <w:tc>
          <w:tcPr>
            <w:tcW w:w="1704" w:type="dxa"/>
            <w:tcBorders>
              <w:top w:val="single" w:sz="4" w:space="0" w:color="auto"/>
              <w:left w:val="single" w:sz="4" w:space="0" w:color="auto"/>
              <w:bottom w:val="single" w:sz="4" w:space="0" w:color="auto"/>
              <w:right w:val="single" w:sz="4" w:space="0" w:color="auto"/>
            </w:tcBorders>
            <w:noWrap/>
            <w:vAlign w:val="center"/>
          </w:tcPr>
          <w:p w14:paraId="55FC2FC9"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13.3</w:t>
            </w:r>
          </w:p>
        </w:tc>
      </w:tr>
      <w:tr w:rsidR="00FB5817" w:rsidRPr="00AA5833" w14:paraId="0CB9E250"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20E87F15"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2021</w:t>
            </w:r>
          </w:p>
        </w:tc>
        <w:tc>
          <w:tcPr>
            <w:tcW w:w="1460" w:type="dxa"/>
            <w:tcBorders>
              <w:top w:val="single" w:sz="4" w:space="0" w:color="auto"/>
              <w:left w:val="single" w:sz="4" w:space="0" w:color="auto"/>
              <w:bottom w:val="single" w:sz="4" w:space="0" w:color="auto"/>
              <w:right w:val="single" w:sz="4" w:space="0" w:color="auto"/>
            </w:tcBorders>
            <w:noWrap/>
            <w:vAlign w:val="center"/>
          </w:tcPr>
          <w:p w14:paraId="12600F84"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59 069</w:t>
            </w:r>
          </w:p>
        </w:tc>
        <w:tc>
          <w:tcPr>
            <w:tcW w:w="1680" w:type="dxa"/>
            <w:tcBorders>
              <w:top w:val="single" w:sz="4" w:space="0" w:color="auto"/>
              <w:left w:val="single" w:sz="4" w:space="0" w:color="auto"/>
              <w:bottom w:val="single" w:sz="4" w:space="0" w:color="auto"/>
              <w:right w:val="single" w:sz="4" w:space="0" w:color="auto"/>
            </w:tcBorders>
            <w:noWrap/>
            <w:vAlign w:val="center"/>
          </w:tcPr>
          <w:p w14:paraId="0A3FE7FD"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19 353</w:t>
            </w:r>
          </w:p>
        </w:tc>
        <w:tc>
          <w:tcPr>
            <w:tcW w:w="1845" w:type="dxa"/>
            <w:tcBorders>
              <w:top w:val="single" w:sz="4" w:space="0" w:color="auto"/>
              <w:left w:val="single" w:sz="4" w:space="0" w:color="auto"/>
              <w:bottom w:val="single" w:sz="4" w:space="0" w:color="auto"/>
              <w:right w:val="single" w:sz="4" w:space="0" w:color="auto"/>
            </w:tcBorders>
            <w:noWrap/>
            <w:vAlign w:val="center"/>
          </w:tcPr>
          <w:p w14:paraId="50B38EC1"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41.0</w:t>
            </w:r>
          </w:p>
        </w:tc>
        <w:tc>
          <w:tcPr>
            <w:tcW w:w="1704" w:type="dxa"/>
            <w:tcBorders>
              <w:top w:val="single" w:sz="4" w:space="0" w:color="auto"/>
              <w:left w:val="single" w:sz="4" w:space="0" w:color="auto"/>
              <w:bottom w:val="single" w:sz="4" w:space="0" w:color="auto"/>
              <w:right w:val="single" w:sz="4" w:space="0" w:color="auto"/>
            </w:tcBorders>
            <w:noWrap/>
            <w:vAlign w:val="center"/>
          </w:tcPr>
          <w:p w14:paraId="137864A6"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13.4</w:t>
            </w:r>
          </w:p>
        </w:tc>
      </w:tr>
      <w:tr w:rsidR="00FB5817" w:rsidRPr="00AA5833" w14:paraId="1690C965"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522BDEC5"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2022</w:t>
            </w:r>
          </w:p>
        </w:tc>
        <w:tc>
          <w:tcPr>
            <w:tcW w:w="1460" w:type="dxa"/>
            <w:tcBorders>
              <w:top w:val="single" w:sz="4" w:space="0" w:color="auto"/>
              <w:left w:val="single" w:sz="4" w:space="0" w:color="auto"/>
              <w:bottom w:val="single" w:sz="4" w:space="0" w:color="auto"/>
              <w:right w:val="single" w:sz="4" w:space="0" w:color="auto"/>
            </w:tcBorders>
            <w:noWrap/>
            <w:vAlign w:val="center"/>
          </w:tcPr>
          <w:p w14:paraId="780DFEE2"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56 917</w:t>
            </w:r>
          </w:p>
        </w:tc>
        <w:tc>
          <w:tcPr>
            <w:tcW w:w="1680" w:type="dxa"/>
            <w:tcBorders>
              <w:top w:val="single" w:sz="4" w:space="0" w:color="auto"/>
              <w:left w:val="single" w:sz="4" w:space="0" w:color="auto"/>
              <w:bottom w:val="single" w:sz="4" w:space="0" w:color="auto"/>
              <w:right w:val="single" w:sz="4" w:space="0" w:color="auto"/>
            </w:tcBorders>
            <w:noWrap/>
            <w:vAlign w:val="center"/>
          </w:tcPr>
          <w:p w14:paraId="4BF823B4"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18 972</w:t>
            </w:r>
          </w:p>
        </w:tc>
        <w:tc>
          <w:tcPr>
            <w:tcW w:w="1845" w:type="dxa"/>
            <w:tcBorders>
              <w:top w:val="single" w:sz="4" w:space="0" w:color="auto"/>
              <w:left w:val="single" w:sz="4" w:space="0" w:color="auto"/>
              <w:bottom w:val="single" w:sz="4" w:space="0" w:color="auto"/>
              <w:right w:val="single" w:sz="4" w:space="0" w:color="auto"/>
            </w:tcBorders>
            <w:noWrap/>
            <w:vAlign w:val="center"/>
          </w:tcPr>
          <w:p w14:paraId="097E971F"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44.4</w:t>
            </w:r>
          </w:p>
        </w:tc>
        <w:tc>
          <w:tcPr>
            <w:tcW w:w="1704" w:type="dxa"/>
            <w:tcBorders>
              <w:top w:val="single" w:sz="4" w:space="0" w:color="auto"/>
              <w:left w:val="single" w:sz="4" w:space="0" w:color="auto"/>
              <w:bottom w:val="single" w:sz="4" w:space="0" w:color="auto"/>
              <w:right w:val="single" w:sz="4" w:space="0" w:color="auto"/>
            </w:tcBorders>
            <w:noWrap/>
            <w:vAlign w:val="center"/>
          </w:tcPr>
          <w:p w14:paraId="587834DC"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14.8</w:t>
            </w:r>
          </w:p>
        </w:tc>
      </w:tr>
      <w:tr w:rsidR="00FB5817" w:rsidRPr="00AA5833" w14:paraId="3D2EE0C2"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4B8AE9A1"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2023</w:t>
            </w:r>
          </w:p>
        </w:tc>
        <w:tc>
          <w:tcPr>
            <w:tcW w:w="1460" w:type="dxa"/>
            <w:tcBorders>
              <w:top w:val="single" w:sz="4" w:space="0" w:color="auto"/>
              <w:left w:val="single" w:sz="4" w:space="0" w:color="auto"/>
              <w:bottom w:val="single" w:sz="4" w:space="0" w:color="auto"/>
              <w:right w:val="single" w:sz="4" w:space="0" w:color="auto"/>
            </w:tcBorders>
            <w:noWrap/>
            <w:vAlign w:val="center"/>
          </w:tcPr>
          <w:p w14:paraId="2B319956"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57 478</w:t>
            </w:r>
          </w:p>
        </w:tc>
        <w:tc>
          <w:tcPr>
            <w:tcW w:w="1680" w:type="dxa"/>
            <w:tcBorders>
              <w:top w:val="single" w:sz="4" w:space="0" w:color="auto"/>
              <w:left w:val="single" w:sz="4" w:space="0" w:color="auto"/>
              <w:bottom w:val="single" w:sz="4" w:space="0" w:color="auto"/>
              <w:right w:val="single" w:sz="4" w:space="0" w:color="auto"/>
            </w:tcBorders>
            <w:noWrap/>
            <w:vAlign w:val="center"/>
          </w:tcPr>
          <w:p w14:paraId="28D43589"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15 510</w:t>
            </w:r>
          </w:p>
        </w:tc>
        <w:tc>
          <w:tcPr>
            <w:tcW w:w="1845" w:type="dxa"/>
            <w:tcBorders>
              <w:top w:val="single" w:sz="4" w:space="0" w:color="auto"/>
              <w:left w:val="single" w:sz="4" w:space="0" w:color="auto"/>
              <w:bottom w:val="single" w:sz="4" w:space="0" w:color="auto"/>
              <w:right w:val="single" w:sz="4" w:space="0" w:color="auto"/>
            </w:tcBorders>
            <w:noWrap/>
            <w:vAlign w:val="center"/>
          </w:tcPr>
          <w:p w14:paraId="70169292"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45.1</w:t>
            </w:r>
          </w:p>
        </w:tc>
        <w:tc>
          <w:tcPr>
            <w:tcW w:w="1704" w:type="dxa"/>
            <w:tcBorders>
              <w:top w:val="single" w:sz="4" w:space="0" w:color="auto"/>
              <w:left w:val="single" w:sz="4" w:space="0" w:color="auto"/>
              <w:bottom w:val="single" w:sz="4" w:space="0" w:color="auto"/>
              <w:right w:val="single" w:sz="4" w:space="0" w:color="auto"/>
            </w:tcBorders>
            <w:noWrap/>
            <w:vAlign w:val="center"/>
          </w:tcPr>
          <w:p w14:paraId="2D01E805"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12.2</w:t>
            </w:r>
          </w:p>
        </w:tc>
      </w:tr>
      <w:tr w:rsidR="00FB5817" w:rsidRPr="00AA5833" w14:paraId="140E8FCD" w14:textId="77777777" w:rsidTr="00FB5817">
        <w:trPr>
          <w:trHeight w:val="330"/>
        </w:trPr>
        <w:tc>
          <w:tcPr>
            <w:tcW w:w="2260" w:type="dxa"/>
            <w:tcBorders>
              <w:top w:val="single" w:sz="4" w:space="0" w:color="auto"/>
              <w:left w:val="single" w:sz="4" w:space="0" w:color="auto"/>
              <w:bottom w:val="single" w:sz="4" w:space="0" w:color="auto"/>
              <w:right w:val="single" w:sz="4" w:space="0" w:color="auto"/>
            </w:tcBorders>
            <w:noWrap/>
            <w:vAlign w:val="bottom"/>
          </w:tcPr>
          <w:p w14:paraId="4A713D41"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2024</w:t>
            </w:r>
          </w:p>
        </w:tc>
        <w:tc>
          <w:tcPr>
            <w:tcW w:w="1460" w:type="dxa"/>
            <w:tcBorders>
              <w:top w:val="single" w:sz="4" w:space="0" w:color="auto"/>
              <w:left w:val="single" w:sz="4" w:space="0" w:color="auto"/>
              <w:bottom w:val="single" w:sz="4" w:space="0" w:color="auto"/>
              <w:right w:val="single" w:sz="4" w:space="0" w:color="auto"/>
            </w:tcBorders>
            <w:noWrap/>
            <w:vAlign w:val="center"/>
          </w:tcPr>
          <w:p w14:paraId="7547CB17"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53 727</w:t>
            </w:r>
          </w:p>
        </w:tc>
        <w:tc>
          <w:tcPr>
            <w:tcW w:w="1680" w:type="dxa"/>
            <w:tcBorders>
              <w:top w:val="single" w:sz="4" w:space="0" w:color="auto"/>
              <w:left w:val="single" w:sz="4" w:space="0" w:color="auto"/>
              <w:bottom w:val="single" w:sz="4" w:space="0" w:color="auto"/>
              <w:right w:val="single" w:sz="4" w:space="0" w:color="auto"/>
            </w:tcBorders>
            <w:noWrap/>
            <w:vAlign w:val="center"/>
          </w:tcPr>
          <w:p w14:paraId="5E472172"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18 577</w:t>
            </w:r>
          </w:p>
        </w:tc>
        <w:tc>
          <w:tcPr>
            <w:tcW w:w="1845" w:type="dxa"/>
            <w:tcBorders>
              <w:top w:val="single" w:sz="4" w:space="0" w:color="auto"/>
              <w:left w:val="single" w:sz="4" w:space="0" w:color="auto"/>
              <w:bottom w:val="single" w:sz="4" w:space="0" w:color="auto"/>
              <w:right w:val="single" w:sz="4" w:space="0" w:color="auto"/>
            </w:tcBorders>
            <w:noWrap/>
            <w:vAlign w:val="center"/>
          </w:tcPr>
          <w:p w14:paraId="69DB086D"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42.5</w:t>
            </w:r>
          </w:p>
        </w:tc>
        <w:tc>
          <w:tcPr>
            <w:tcW w:w="1704" w:type="dxa"/>
            <w:tcBorders>
              <w:top w:val="single" w:sz="4" w:space="0" w:color="auto"/>
              <w:left w:val="single" w:sz="4" w:space="0" w:color="auto"/>
              <w:bottom w:val="single" w:sz="4" w:space="0" w:color="auto"/>
              <w:right w:val="single" w:sz="4" w:space="0" w:color="auto"/>
            </w:tcBorders>
            <w:noWrap/>
            <w:vAlign w:val="center"/>
          </w:tcPr>
          <w:p w14:paraId="12DF1AA9"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14.7</w:t>
            </w:r>
          </w:p>
        </w:tc>
      </w:tr>
    </w:tbl>
    <w:p w14:paraId="0DAF6D1D" w14:textId="77777777" w:rsidR="00FB5817" w:rsidRPr="00AA5833" w:rsidRDefault="00FB5817" w:rsidP="00FB5817">
      <w:pPr>
        <w:spacing w:after="0"/>
        <w:jc w:val="both"/>
        <w:outlineLvl w:val="3"/>
        <w:rPr>
          <w:rFonts w:ascii="Times New Roman" w:eastAsia="Calibri" w:hAnsi="Times New Roman" w:cs="Times New Roman"/>
          <w:bCs/>
          <w:sz w:val="20"/>
          <w:szCs w:val="20"/>
        </w:rPr>
      </w:pPr>
      <w:r w:rsidRPr="00AA5833">
        <w:rPr>
          <w:rFonts w:ascii="Times New Roman" w:eastAsia="Calibri" w:hAnsi="Times New Roman" w:cs="Times New Roman"/>
          <w:sz w:val="20"/>
          <w:szCs w:val="20"/>
        </w:rPr>
        <w:t xml:space="preserve">  Източник: </w:t>
      </w:r>
      <w:r w:rsidRPr="00AA5833">
        <w:rPr>
          <w:rFonts w:ascii="Times New Roman" w:eastAsia="Calibri" w:hAnsi="Times New Roman" w:cs="Times New Roman"/>
          <w:bCs/>
          <w:sz w:val="20"/>
          <w:szCs w:val="20"/>
        </w:rPr>
        <w:t>Национален център по обществено здраве и анализи (НЦОЗА)</w:t>
      </w:r>
    </w:p>
    <w:p w14:paraId="1DF9A982" w14:textId="77777777" w:rsidR="00FB5817" w:rsidRPr="00AA5833" w:rsidRDefault="00FB5817" w:rsidP="00FB5817">
      <w:pPr>
        <w:spacing w:after="0"/>
        <w:ind w:firstLine="601"/>
        <w:jc w:val="both"/>
        <w:outlineLvl w:val="3"/>
        <w:rPr>
          <w:rFonts w:ascii="Times New Roman" w:eastAsia="Calibri" w:hAnsi="Times New Roman" w:cs="Times New Roman"/>
          <w:sz w:val="16"/>
          <w:szCs w:val="16"/>
        </w:rPr>
      </w:pPr>
    </w:p>
    <w:p w14:paraId="0DE8AE01" w14:textId="77777777" w:rsidR="00FB5817" w:rsidRPr="00AA5833" w:rsidRDefault="00FB5817" w:rsidP="00FB5817">
      <w:pPr>
        <w:spacing w:after="0" w:line="240" w:lineRule="auto"/>
        <w:rPr>
          <w:rFonts w:ascii="Times New Roman" w:eastAsia="Calibri" w:hAnsi="Times New Roman" w:cs="Times New Roman"/>
          <w:sz w:val="24"/>
          <w:szCs w:val="24"/>
        </w:rPr>
      </w:pPr>
      <w:r w:rsidRPr="00AA5833">
        <w:rPr>
          <w:rFonts w:ascii="Times New Roman" w:eastAsia="Calibri" w:hAnsi="Times New Roman" w:cs="Times New Roman"/>
          <w:b/>
          <w:sz w:val="24"/>
          <w:szCs w:val="24"/>
        </w:rPr>
        <w:t>Таблица 5: Раждания и аборти на 1000 жени във фертилна възраст (15 – 49 г.)</w:t>
      </w:r>
    </w:p>
    <w:tbl>
      <w:tblPr>
        <w:tblW w:w="8993"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40"/>
        <w:gridCol w:w="3771"/>
        <w:gridCol w:w="3482"/>
      </w:tblGrid>
      <w:tr w:rsidR="00FB5817" w:rsidRPr="00AA5833" w14:paraId="6D83420A" w14:textId="77777777" w:rsidTr="00FB5817">
        <w:trPr>
          <w:trHeight w:val="578"/>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326824AC"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Години</w:t>
            </w:r>
          </w:p>
        </w:tc>
        <w:tc>
          <w:tcPr>
            <w:tcW w:w="3771"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605398D3"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 xml:space="preserve">Раждания на 1000 жени </w:t>
            </w:r>
          </w:p>
          <w:p w14:paraId="021AB54A"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във фертилна възраст</w:t>
            </w:r>
          </w:p>
        </w:tc>
        <w:tc>
          <w:tcPr>
            <w:tcW w:w="3482"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5A99B2B"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 xml:space="preserve">Аборти на 1000 жени </w:t>
            </w:r>
          </w:p>
          <w:p w14:paraId="66B29ECE"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във фертилна възраст</w:t>
            </w:r>
          </w:p>
        </w:tc>
      </w:tr>
      <w:tr w:rsidR="00FB5817" w:rsidRPr="00AA5833" w14:paraId="42F1DEE2"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F89677A"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1980</w:t>
            </w:r>
          </w:p>
        </w:tc>
        <w:tc>
          <w:tcPr>
            <w:tcW w:w="3771" w:type="dxa"/>
            <w:tcBorders>
              <w:top w:val="single" w:sz="2" w:space="0" w:color="auto"/>
              <w:left w:val="single" w:sz="2" w:space="0" w:color="auto"/>
              <w:bottom w:val="single" w:sz="2" w:space="0" w:color="auto"/>
              <w:right w:val="single" w:sz="2" w:space="0" w:color="auto"/>
            </w:tcBorders>
            <w:vAlign w:val="center"/>
            <w:hideMark/>
          </w:tcPr>
          <w:p w14:paraId="35539840"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60.4</w:t>
            </w:r>
          </w:p>
        </w:tc>
        <w:tc>
          <w:tcPr>
            <w:tcW w:w="3482" w:type="dxa"/>
            <w:tcBorders>
              <w:top w:val="single" w:sz="2" w:space="0" w:color="auto"/>
              <w:left w:val="single" w:sz="2" w:space="0" w:color="auto"/>
              <w:bottom w:val="single" w:sz="2" w:space="0" w:color="auto"/>
              <w:right w:val="single" w:sz="2" w:space="0" w:color="auto"/>
            </w:tcBorders>
            <w:vAlign w:val="center"/>
            <w:hideMark/>
          </w:tcPr>
          <w:p w14:paraId="63049C6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72.9</w:t>
            </w:r>
          </w:p>
        </w:tc>
      </w:tr>
      <w:tr w:rsidR="00FB5817" w:rsidRPr="00AA5833" w14:paraId="6DF9381B"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4006369"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1990</w:t>
            </w:r>
          </w:p>
        </w:tc>
        <w:tc>
          <w:tcPr>
            <w:tcW w:w="3771" w:type="dxa"/>
            <w:tcBorders>
              <w:top w:val="single" w:sz="2" w:space="0" w:color="auto"/>
              <w:left w:val="single" w:sz="2" w:space="0" w:color="auto"/>
              <w:bottom w:val="single" w:sz="2" w:space="0" w:color="auto"/>
              <w:right w:val="single" w:sz="2" w:space="0" w:color="auto"/>
            </w:tcBorders>
            <w:vAlign w:val="center"/>
            <w:hideMark/>
          </w:tcPr>
          <w:p w14:paraId="2DF28EC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49.2</w:t>
            </w:r>
          </w:p>
        </w:tc>
        <w:tc>
          <w:tcPr>
            <w:tcW w:w="3482" w:type="dxa"/>
            <w:tcBorders>
              <w:top w:val="single" w:sz="2" w:space="0" w:color="auto"/>
              <w:left w:val="single" w:sz="2" w:space="0" w:color="auto"/>
              <w:bottom w:val="single" w:sz="2" w:space="0" w:color="auto"/>
              <w:right w:val="single" w:sz="2" w:space="0" w:color="auto"/>
            </w:tcBorders>
            <w:vAlign w:val="center"/>
            <w:hideMark/>
          </w:tcPr>
          <w:p w14:paraId="4D5C6E1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67.2</w:t>
            </w:r>
          </w:p>
        </w:tc>
      </w:tr>
      <w:tr w:rsidR="00FB5817" w:rsidRPr="00AA5833" w14:paraId="53ED9090"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0CEA6164"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1995</w:t>
            </w:r>
          </w:p>
        </w:tc>
        <w:tc>
          <w:tcPr>
            <w:tcW w:w="3771" w:type="dxa"/>
            <w:tcBorders>
              <w:top w:val="single" w:sz="2" w:space="0" w:color="auto"/>
              <w:left w:val="single" w:sz="2" w:space="0" w:color="auto"/>
              <w:bottom w:val="single" w:sz="2" w:space="0" w:color="auto"/>
              <w:right w:val="single" w:sz="2" w:space="0" w:color="auto"/>
            </w:tcBorders>
            <w:vAlign w:val="center"/>
            <w:hideMark/>
          </w:tcPr>
          <w:p w14:paraId="16A6FD4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35.2</w:t>
            </w:r>
          </w:p>
        </w:tc>
        <w:tc>
          <w:tcPr>
            <w:tcW w:w="3482" w:type="dxa"/>
            <w:tcBorders>
              <w:top w:val="single" w:sz="2" w:space="0" w:color="auto"/>
              <w:left w:val="single" w:sz="2" w:space="0" w:color="auto"/>
              <w:bottom w:val="single" w:sz="2" w:space="0" w:color="auto"/>
              <w:right w:val="single" w:sz="2" w:space="0" w:color="auto"/>
            </w:tcBorders>
            <w:vAlign w:val="center"/>
            <w:hideMark/>
          </w:tcPr>
          <w:p w14:paraId="1F4FD00F"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47.2</w:t>
            </w:r>
          </w:p>
        </w:tc>
      </w:tr>
      <w:tr w:rsidR="00FB5817" w:rsidRPr="00AA5833" w14:paraId="7762AA57"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BCFB83B"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2000</w:t>
            </w:r>
          </w:p>
        </w:tc>
        <w:tc>
          <w:tcPr>
            <w:tcW w:w="3771" w:type="dxa"/>
            <w:tcBorders>
              <w:top w:val="single" w:sz="2" w:space="0" w:color="auto"/>
              <w:left w:val="single" w:sz="2" w:space="0" w:color="auto"/>
              <w:bottom w:val="single" w:sz="2" w:space="0" w:color="auto"/>
              <w:right w:val="single" w:sz="2" w:space="0" w:color="auto"/>
            </w:tcBorders>
            <w:vAlign w:val="center"/>
            <w:hideMark/>
          </w:tcPr>
          <w:p w14:paraId="4ADB9A0E"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37.0</w:t>
            </w:r>
          </w:p>
        </w:tc>
        <w:tc>
          <w:tcPr>
            <w:tcW w:w="3482" w:type="dxa"/>
            <w:tcBorders>
              <w:top w:val="single" w:sz="2" w:space="0" w:color="auto"/>
              <w:left w:val="single" w:sz="2" w:space="0" w:color="auto"/>
              <w:bottom w:val="single" w:sz="2" w:space="0" w:color="auto"/>
              <w:right w:val="single" w:sz="2" w:space="0" w:color="auto"/>
            </w:tcBorders>
            <w:vAlign w:val="center"/>
            <w:hideMark/>
          </w:tcPr>
          <w:p w14:paraId="65B1F721"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30.6</w:t>
            </w:r>
          </w:p>
        </w:tc>
      </w:tr>
      <w:tr w:rsidR="00FB5817" w:rsidRPr="00AA5833" w14:paraId="265272AF"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1F2DC764"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2005</w:t>
            </w:r>
          </w:p>
        </w:tc>
        <w:tc>
          <w:tcPr>
            <w:tcW w:w="3771" w:type="dxa"/>
            <w:tcBorders>
              <w:top w:val="single" w:sz="2" w:space="0" w:color="auto"/>
              <w:left w:val="single" w:sz="2" w:space="0" w:color="auto"/>
              <w:bottom w:val="single" w:sz="2" w:space="0" w:color="auto"/>
              <w:right w:val="single" w:sz="2" w:space="0" w:color="auto"/>
            </w:tcBorders>
            <w:vAlign w:val="center"/>
            <w:hideMark/>
          </w:tcPr>
          <w:p w14:paraId="3A46FD81"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38.2</w:t>
            </w:r>
          </w:p>
        </w:tc>
        <w:tc>
          <w:tcPr>
            <w:tcW w:w="3482" w:type="dxa"/>
            <w:tcBorders>
              <w:top w:val="single" w:sz="2" w:space="0" w:color="auto"/>
              <w:left w:val="single" w:sz="2" w:space="0" w:color="auto"/>
              <w:bottom w:val="single" w:sz="2" w:space="0" w:color="auto"/>
              <w:right w:val="single" w:sz="2" w:space="0" w:color="auto"/>
            </w:tcBorders>
            <w:vAlign w:val="center"/>
            <w:hideMark/>
          </w:tcPr>
          <w:p w14:paraId="5077FDD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22.3</w:t>
            </w:r>
          </w:p>
        </w:tc>
      </w:tr>
      <w:tr w:rsidR="00FB5817" w:rsidRPr="00AA5833" w14:paraId="4C79EBEC"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440658EC"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 xml:space="preserve">  2013</w:t>
            </w:r>
            <w:r w:rsidRPr="00AA5833">
              <w:rPr>
                <w:rFonts w:ascii="Times New Roman" w:eastAsia="Calibri" w:hAnsi="Times New Roman" w:cs="Times New Roman"/>
                <w:b/>
              </w:rPr>
              <w:tab/>
              <w:t xml:space="preserve">  </w:t>
            </w:r>
          </w:p>
        </w:tc>
        <w:tc>
          <w:tcPr>
            <w:tcW w:w="3771" w:type="dxa"/>
            <w:tcBorders>
              <w:top w:val="single" w:sz="2" w:space="0" w:color="auto"/>
              <w:left w:val="single" w:sz="2" w:space="0" w:color="auto"/>
              <w:bottom w:val="single" w:sz="2" w:space="0" w:color="auto"/>
              <w:right w:val="single" w:sz="2" w:space="0" w:color="auto"/>
            </w:tcBorders>
            <w:vAlign w:val="center"/>
            <w:hideMark/>
          </w:tcPr>
          <w:p w14:paraId="428E3C2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41.6</w:t>
            </w:r>
          </w:p>
        </w:tc>
        <w:tc>
          <w:tcPr>
            <w:tcW w:w="3482" w:type="dxa"/>
            <w:tcBorders>
              <w:top w:val="single" w:sz="2" w:space="0" w:color="auto"/>
              <w:left w:val="single" w:sz="2" w:space="0" w:color="auto"/>
              <w:bottom w:val="single" w:sz="2" w:space="0" w:color="auto"/>
              <w:right w:val="single" w:sz="2" w:space="0" w:color="auto"/>
            </w:tcBorders>
            <w:vAlign w:val="center"/>
            <w:hideMark/>
          </w:tcPr>
          <w:p w14:paraId="65A6D658"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18.3</w:t>
            </w:r>
          </w:p>
        </w:tc>
      </w:tr>
      <w:tr w:rsidR="00FB5817" w:rsidRPr="00AA5833" w14:paraId="535D176B"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7C5CA388"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2014</w:t>
            </w:r>
          </w:p>
        </w:tc>
        <w:tc>
          <w:tcPr>
            <w:tcW w:w="3771" w:type="dxa"/>
            <w:tcBorders>
              <w:top w:val="single" w:sz="2" w:space="0" w:color="auto"/>
              <w:left w:val="single" w:sz="2" w:space="0" w:color="auto"/>
              <w:bottom w:val="single" w:sz="2" w:space="0" w:color="auto"/>
              <w:right w:val="single" w:sz="2" w:space="0" w:color="auto"/>
            </w:tcBorders>
            <w:vAlign w:val="center"/>
            <w:hideMark/>
          </w:tcPr>
          <w:p w14:paraId="08FAA0B4"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42.8</w:t>
            </w:r>
          </w:p>
        </w:tc>
        <w:tc>
          <w:tcPr>
            <w:tcW w:w="3482" w:type="dxa"/>
            <w:tcBorders>
              <w:top w:val="single" w:sz="2" w:space="0" w:color="auto"/>
              <w:left w:val="single" w:sz="2" w:space="0" w:color="auto"/>
              <w:bottom w:val="single" w:sz="2" w:space="0" w:color="auto"/>
              <w:right w:val="single" w:sz="2" w:space="0" w:color="auto"/>
            </w:tcBorders>
            <w:vAlign w:val="center"/>
            <w:hideMark/>
          </w:tcPr>
          <w:p w14:paraId="11F3DC74"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17.7</w:t>
            </w:r>
          </w:p>
        </w:tc>
      </w:tr>
      <w:tr w:rsidR="00FB5817" w:rsidRPr="00AA5833" w14:paraId="767E0311"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35585670"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2015</w:t>
            </w:r>
          </w:p>
        </w:tc>
        <w:tc>
          <w:tcPr>
            <w:tcW w:w="3771" w:type="dxa"/>
            <w:tcBorders>
              <w:top w:val="single" w:sz="2" w:space="0" w:color="auto"/>
              <w:left w:val="single" w:sz="2" w:space="0" w:color="auto"/>
              <w:bottom w:val="single" w:sz="2" w:space="0" w:color="auto"/>
              <w:right w:val="single" w:sz="2" w:space="0" w:color="auto"/>
            </w:tcBorders>
            <w:vAlign w:val="center"/>
            <w:hideMark/>
          </w:tcPr>
          <w:p w14:paraId="18F8D61D"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42.3</w:t>
            </w:r>
          </w:p>
        </w:tc>
        <w:tc>
          <w:tcPr>
            <w:tcW w:w="3482" w:type="dxa"/>
            <w:tcBorders>
              <w:top w:val="single" w:sz="2" w:space="0" w:color="auto"/>
              <w:left w:val="single" w:sz="2" w:space="0" w:color="auto"/>
              <w:bottom w:val="single" w:sz="2" w:space="0" w:color="auto"/>
              <w:right w:val="single" w:sz="2" w:space="0" w:color="auto"/>
            </w:tcBorders>
            <w:vAlign w:val="center"/>
            <w:hideMark/>
          </w:tcPr>
          <w:p w14:paraId="1D3ADEB2"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17.7</w:t>
            </w:r>
          </w:p>
        </w:tc>
      </w:tr>
      <w:tr w:rsidR="00FB5817" w:rsidRPr="00AA5833" w14:paraId="26B3B9DA"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B488A0D"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2016</w:t>
            </w:r>
          </w:p>
        </w:tc>
        <w:tc>
          <w:tcPr>
            <w:tcW w:w="3771" w:type="dxa"/>
            <w:tcBorders>
              <w:top w:val="single" w:sz="2" w:space="0" w:color="auto"/>
              <w:left w:val="single" w:sz="2" w:space="0" w:color="auto"/>
              <w:bottom w:val="single" w:sz="2" w:space="0" w:color="auto"/>
              <w:right w:val="single" w:sz="2" w:space="0" w:color="auto"/>
            </w:tcBorders>
            <w:vAlign w:val="center"/>
            <w:hideMark/>
          </w:tcPr>
          <w:p w14:paraId="08E4FDB3"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42.2</w:t>
            </w:r>
          </w:p>
        </w:tc>
        <w:tc>
          <w:tcPr>
            <w:tcW w:w="3482" w:type="dxa"/>
            <w:tcBorders>
              <w:top w:val="single" w:sz="2" w:space="0" w:color="auto"/>
              <w:left w:val="single" w:sz="2" w:space="0" w:color="auto"/>
              <w:bottom w:val="single" w:sz="2" w:space="0" w:color="auto"/>
              <w:right w:val="single" w:sz="2" w:space="0" w:color="auto"/>
            </w:tcBorders>
            <w:vAlign w:val="center"/>
            <w:hideMark/>
          </w:tcPr>
          <w:p w14:paraId="53E581DC"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17.0</w:t>
            </w:r>
          </w:p>
        </w:tc>
      </w:tr>
      <w:tr w:rsidR="00FB5817" w:rsidRPr="00AA5833" w14:paraId="5B32F382"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hideMark/>
          </w:tcPr>
          <w:p w14:paraId="57EDAD5F"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2017</w:t>
            </w:r>
          </w:p>
        </w:tc>
        <w:tc>
          <w:tcPr>
            <w:tcW w:w="3771" w:type="dxa"/>
            <w:tcBorders>
              <w:top w:val="single" w:sz="2" w:space="0" w:color="auto"/>
              <w:left w:val="single" w:sz="2" w:space="0" w:color="auto"/>
              <w:bottom w:val="single" w:sz="2" w:space="0" w:color="auto"/>
              <w:right w:val="single" w:sz="2" w:space="0" w:color="auto"/>
            </w:tcBorders>
            <w:vAlign w:val="center"/>
            <w:hideMark/>
          </w:tcPr>
          <w:p w14:paraId="5420F2CC"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42.1</w:t>
            </w:r>
          </w:p>
        </w:tc>
        <w:tc>
          <w:tcPr>
            <w:tcW w:w="3482" w:type="dxa"/>
            <w:tcBorders>
              <w:top w:val="single" w:sz="2" w:space="0" w:color="auto"/>
              <w:left w:val="single" w:sz="2" w:space="0" w:color="auto"/>
              <w:bottom w:val="single" w:sz="2" w:space="0" w:color="auto"/>
              <w:right w:val="single" w:sz="2" w:space="0" w:color="auto"/>
            </w:tcBorders>
            <w:vAlign w:val="center"/>
            <w:hideMark/>
          </w:tcPr>
          <w:p w14:paraId="0F0F5B6C"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15.9</w:t>
            </w:r>
          </w:p>
        </w:tc>
      </w:tr>
      <w:tr w:rsidR="00FB5817" w:rsidRPr="00AA5833" w14:paraId="55000F24"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4CB4A1AF"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2018</w:t>
            </w:r>
          </w:p>
        </w:tc>
        <w:tc>
          <w:tcPr>
            <w:tcW w:w="3771" w:type="dxa"/>
            <w:tcBorders>
              <w:top w:val="single" w:sz="2" w:space="0" w:color="auto"/>
              <w:left w:val="single" w:sz="2" w:space="0" w:color="auto"/>
              <w:bottom w:val="single" w:sz="2" w:space="0" w:color="auto"/>
              <w:right w:val="single" w:sz="2" w:space="0" w:color="auto"/>
            </w:tcBorders>
            <w:vAlign w:val="center"/>
          </w:tcPr>
          <w:p w14:paraId="48ABA026"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41.6</w:t>
            </w:r>
          </w:p>
        </w:tc>
        <w:tc>
          <w:tcPr>
            <w:tcW w:w="3482" w:type="dxa"/>
            <w:tcBorders>
              <w:top w:val="single" w:sz="2" w:space="0" w:color="auto"/>
              <w:left w:val="single" w:sz="2" w:space="0" w:color="auto"/>
              <w:bottom w:val="single" w:sz="2" w:space="0" w:color="auto"/>
              <w:right w:val="single" w:sz="2" w:space="0" w:color="auto"/>
            </w:tcBorders>
            <w:vAlign w:val="center"/>
          </w:tcPr>
          <w:p w14:paraId="7B2BA905"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15.6</w:t>
            </w:r>
          </w:p>
        </w:tc>
      </w:tr>
      <w:tr w:rsidR="00FB5817" w:rsidRPr="00AA5833" w14:paraId="2353F2FB"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7E51A853"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2019</w:t>
            </w:r>
          </w:p>
        </w:tc>
        <w:tc>
          <w:tcPr>
            <w:tcW w:w="3771" w:type="dxa"/>
            <w:tcBorders>
              <w:top w:val="single" w:sz="2" w:space="0" w:color="auto"/>
              <w:left w:val="single" w:sz="2" w:space="0" w:color="auto"/>
              <w:bottom w:val="single" w:sz="2" w:space="0" w:color="auto"/>
              <w:right w:val="single" w:sz="2" w:space="0" w:color="auto"/>
            </w:tcBorders>
            <w:vAlign w:val="center"/>
          </w:tcPr>
          <w:p w14:paraId="1DB3669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41.9</w:t>
            </w:r>
          </w:p>
        </w:tc>
        <w:tc>
          <w:tcPr>
            <w:tcW w:w="3482" w:type="dxa"/>
            <w:tcBorders>
              <w:top w:val="single" w:sz="2" w:space="0" w:color="auto"/>
              <w:left w:val="single" w:sz="2" w:space="0" w:color="auto"/>
              <w:bottom w:val="single" w:sz="2" w:space="0" w:color="auto"/>
              <w:right w:val="single" w:sz="2" w:space="0" w:color="auto"/>
            </w:tcBorders>
            <w:vAlign w:val="center"/>
          </w:tcPr>
          <w:p w14:paraId="0673CB89"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14.8</w:t>
            </w:r>
          </w:p>
        </w:tc>
      </w:tr>
      <w:tr w:rsidR="00FB5817" w:rsidRPr="00AA5833" w14:paraId="0E015A58"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669D411A"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2020</w:t>
            </w:r>
          </w:p>
        </w:tc>
        <w:tc>
          <w:tcPr>
            <w:tcW w:w="3771" w:type="dxa"/>
            <w:tcBorders>
              <w:top w:val="single" w:sz="2" w:space="0" w:color="auto"/>
              <w:left w:val="single" w:sz="2" w:space="0" w:color="auto"/>
              <w:bottom w:val="single" w:sz="2" w:space="0" w:color="auto"/>
              <w:right w:val="single" w:sz="2" w:space="0" w:color="auto"/>
            </w:tcBorders>
            <w:vAlign w:val="center"/>
          </w:tcPr>
          <w:p w14:paraId="39D76BF2"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40.8</w:t>
            </w:r>
          </w:p>
        </w:tc>
        <w:tc>
          <w:tcPr>
            <w:tcW w:w="3482" w:type="dxa"/>
            <w:tcBorders>
              <w:top w:val="single" w:sz="2" w:space="0" w:color="auto"/>
              <w:left w:val="single" w:sz="2" w:space="0" w:color="auto"/>
              <w:bottom w:val="single" w:sz="2" w:space="0" w:color="auto"/>
              <w:right w:val="single" w:sz="2" w:space="0" w:color="auto"/>
            </w:tcBorders>
            <w:vAlign w:val="center"/>
          </w:tcPr>
          <w:p w14:paraId="1854F32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13.3</w:t>
            </w:r>
          </w:p>
        </w:tc>
      </w:tr>
      <w:tr w:rsidR="00FB5817" w:rsidRPr="00AA5833" w14:paraId="66B43BBB"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64F38B67"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2021</w:t>
            </w:r>
          </w:p>
        </w:tc>
        <w:tc>
          <w:tcPr>
            <w:tcW w:w="3771" w:type="dxa"/>
            <w:tcBorders>
              <w:top w:val="single" w:sz="2" w:space="0" w:color="auto"/>
              <w:left w:val="single" w:sz="2" w:space="0" w:color="auto"/>
              <w:bottom w:val="single" w:sz="2" w:space="0" w:color="auto"/>
              <w:right w:val="single" w:sz="2" w:space="0" w:color="auto"/>
            </w:tcBorders>
            <w:vAlign w:val="center"/>
          </w:tcPr>
          <w:p w14:paraId="6E37D96A"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41.0</w:t>
            </w:r>
          </w:p>
        </w:tc>
        <w:tc>
          <w:tcPr>
            <w:tcW w:w="3482" w:type="dxa"/>
            <w:tcBorders>
              <w:top w:val="single" w:sz="2" w:space="0" w:color="auto"/>
              <w:left w:val="single" w:sz="2" w:space="0" w:color="auto"/>
              <w:bottom w:val="single" w:sz="2" w:space="0" w:color="auto"/>
              <w:right w:val="single" w:sz="2" w:space="0" w:color="auto"/>
            </w:tcBorders>
            <w:vAlign w:val="center"/>
          </w:tcPr>
          <w:p w14:paraId="6F9CA008"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13.4</w:t>
            </w:r>
          </w:p>
        </w:tc>
      </w:tr>
      <w:tr w:rsidR="00FB5817" w:rsidRPr="00AA5833" w14:paraId="07C241A3"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2B645345"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2022</w:t>
            </w:r>
          </w:p>
        </w:tc>
        <w:tc>
          <w:tcPr>
            <w:tcW w:w="3771" w:type="dxa"/>
            <w:tcBorders>
              <w:top w:val="single" w:sz="2" w:space="0" w:color="auto"/>
              <w:left w:val="single" w:sz="2" w:space="0" w:color="auto"/>
              <w:bottom w:val="single" w:sz="2" w:space="0" w:color="auto"/>
              <w:right w:val="single" w:sz="2" w:space="0" w:color="auto"/>
            </w:tcBorders>
            <w:vAlign w:val="center"/>
          </w:tcPr>
          <w:p w14:paraId="42DB4BD8"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44.4</w:t>
            </w:r>
          </w:p>
        </w:tc>
        <w:tc>
          <w:tcPr>
            <w:tcW w:w="3482" w:type="dxa"/>
            <w:tcBorders>
              <w:top w:val="single" w:sz="2" w:space="0" w:color="auto"/>
              <w:left w:val="single" w:sz="2" w:space="0" w:color="auto"/>
              <w:bottom w:val="single" w:sz="2" w:space="0" w:color="auto"/>
              <w:right w:val="single" w:sz="2" w:space="0" w:color="auto"/>
            </w:tcBorders>
            <w:vAlign w:val="center"/>
          </w:tcPr>
          <w:p w14:paraId="71F965C6" w14:textId="77777777" w:rsidR="00FB5817" w:rsidRPr="00AA5833" w:rsidRDefault="00FB5817" w:rsidP="00FB5817">
            <w:pPr>
              <w:spacing w:after="0"/>
              <w:jc w:val="center"/>
              <w:rPr>
                <w:rFonts w:ascii="Times New Roman" w:eastAsia="Calibri" w:hAnsi="Times New Roman" w:cs="Times New Roman"/>
              </w:rPr>
            </w:pPr>
            <w:r w:rsidRPr="00AA5833">
              <w:rPr>
                <w:rFonts w:ascii="Times New Roman" w:eastAsia="Calibri" w:hAnsi="Times New Roman" w:cs="Times New Roman"/>
              </w:rPr>
              <w:t>14.8</w:t>
            </w:r>
          </w:p>
        </w:tc>
      </w:tr>
      <w:tr w:rsidR="00FB5817" w:rsidRPr="00AA5833" w14:paraId="0E26451D"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425CC27C"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2023</w:t>
            </w:r>
          </w:p>
        </w:tc>
        <w:tc>
          <w:tcPr>
            <w:tcW w:w="3771" w:type="dxa"/>
            <w:tcBorders>
              <w:top w:val="single" w:sz="2" w:space="0" w:color="auto"/>
              <w:left w:val="single" w:sz="2" w:space="0" w:color="auto"/>
              <w:bottom w:val="single" w:sz="2" w:space="0" w:color="auto"/>
              <w:right w:val="single" w:sz="2" w:space="0" w:color="auto"/>
            </w:tcBorders>
            <w:vAlign w:val="center"/>
          </w:tcPr>
          <w:p w14:paraId="7B9DF8B1"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45.1</w:t>
            </w:r>
          </w:p>
        </w:tc>
        <w:tc>
          <w:tcPr>
            <w:tcW w:w="3482" w:type="dxa"/>
            <w:tcBorders>
              <w:top w:val="single" w:sz="2" w:space="0" w:color="auto"/>
              <w:left w:val="single" w:sz="2" w:space="0" w:color="auto"/>
              <w:bottom w:val="single" w:sz="2" w:space="0" w:color="auto"/>
              <w:right w:val="single" w:sz="2" w:space="0" w:color="auto"/>
            </w:tcBorders>
            <w:vAlign w:val="center"/>
          </w:tcPr>
          <w:p w14:paraId="765AA2D9"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12.2</w:t>
            </w:r>
          </w:p>
        </w:tc>
      </w:tr>
      <w:tr w:rsidR="00FB5817" w:rsidRPr="00AA5833" w14:paraId="696DBE93" w14:textId="77777777" w:rsidTr="00FB5817">
        <w:trPr>
          <w:trHeight w:val="281"/>
        </w:trPr>
        <w:tc>
          <w:tcPr>
            <w:tcW w:w="1740" w:type="dxa"/>
            <w:tcBorders>
              <w:top w:val="single" w:sz="2" w:space="0" w:color="auto"/>
              <w:left w:val="single" w:sz="2" w:space="0" w:color="auto"/>
              <w:bottom w:val="single" w:sz="2" w:space="0" w:color="auto"/>
              <w:right w:val="single" w:sz="2" w:space="0" w:color="auto"/>
            </w:tcBorders>
            <w:shd w:val="clear" w:color="auto" w:fill="00CC99"/>
            <w:vAlign w:val="center"/>
          </w:tcPr>
          <w:p w14:paraId="6D361AC3" w14:textId="77777777" w:rsidR="00FB5817" w:rsidRPr="00AA5833" w:rsidRDefault="00FB5817" w:rsidP="00FB5817">
            <w:pPr>
              <w:spacing w:after="0"/>
              <w:jc w:val="center"/>
              <w:rPr>
                <w:rFonts w:ascii="Times New Roman" w:eastAsia="Calibri" w:hAnsi="Times New Roman" w:cs="Times New Roman"/>
                <w:b/>
              </w:rPr>
            </w:pPr>
            <w:r w:rsidRPr="00AA5833">
              <w:rPr>
                <w:rFonts w:ascii="Times New Roman" w:eastAsia="Calibri" w:hAnsi="Times New Roman" w:cs="Times New Roman"/>
                <w:b/>
              </w:rPr>
              <w:t>2024</w:t>
            </w:r>
          </w:p>
        </w:tc>
        <w:tc>
          <w:tcPr>
            <w:tcW w:w="3771" w:type="dxa"/>
            <w:tcBorders>
              <w:top w:val="single" w:sz="2" w:space="0" w:color="auto"/>
              <w:left w:val="single" w:sz="2" w:space="0" w:color="auto"/>
              <w:bottom w:val="single" w:sz="2" w:space="0" w:color="auto"/>
              <w:right w:val="single" w:sz="2" w:space="0" w:color="auto"/>
            </w:tcBorders>
            <w:vAlign w:val="center"/>
          </w:tcPr>
          <w:p w14:paraId="4FAD91A4"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42.5</w:t>
            </w:r>
          </w:p>
        </w:tc>
        <w:tc>
          <w:tcPr>
            <w:tcW w:w="3482" w:type="dxa"/>
            <w:tcBorders>
              <w:top w:val="single" w:sz="2" w:space="0" w:color="auto"/>
              <w:left w:val="single" w:sz="2" w:space="0" w:color="auto"/>
              <w:bottom w:val="single" w:sz="2" w:space="0" w:color="auto"/>
              <w:right w:val="single" w:sz="2" w:space="0" w:color="auto"/>
            </w:tcBorders>
            <w:vAlign w:val="center"/>
          </w:tcPr>
          <w:p w14:paraId="50B92282" w14:textId="77777777" w:rsidR="00FB5817" w:rsidRPr="00AA5833" w:rsidRDefault="00FB5817" w:rsidP="00FB5817">
            <w:pPr>
              <w:spacing w:after="0"/>
              <w:jc w:val="center"/>
              <w:rPr>
                <w:rFonts w:ascii="Times New Roman" w:eastAsia="Times New Roman" w:hAnsi="Times New Roman" w:cs="Times New Roman"/>
                <w:color w:val="000000"/>
                <w:lang w:eastAsia="bg-BG"/>
              </w:rPr>
            </w:pPr>
            <w:r w:rsidRPr="00AA5833">
              <w:rPr>
                <w:rFonts w:ascii="Times New Roman" w:eastAsia="Times New Roman" w:hAnsi="Times New Roman" w:cs="Times New Roman"/>
                <w:color w:val="000000"/>
                <w:lang w:eastAsia="bg-BG"/>
              </w:rPr>
              <w:t>14.7</w:t>
            </w:r>
          </w:p>
        </w:tc>
      </w:tr>
    </w:tbl>
    <w:p w14:paraId="3234F614" w14:textId="77777777" w:rsidR="00FB5817" w:rsidRPr="00AA5833" w:rsidRDefault="00FB5817" w:rsidP="00FB5817">
      <w:pPr>
        <w:spacing w:after="0"/>
        <w:jc w:val="both"/>
        <w:outlineLvl w:val="3"/>
        <w:rPr>
          <w:rFonts w:ascii="Times New Roman" w:eastAsia="Calibri" w:hAnsi="Times New Roman" w:cs="Times New Roman"/>
          <w:bCs/>
          <w:sz w:val="20"/>
          <w:szCs w:val="20"/>
        </w:rPr>
      </w:pPr>
      <w:r w:rsidRPr="00AA5833">
        <w:rPr>
          <w:rFonts w:ascii="Times New Roman" w:eastAsia="Calibri" w:hAnsi="Times New Roman" w:cs="Times New Roman"/>
          <w:sz w:val="20"/>
          <w:szCs w:val="20"/>
        </w:rPr>
        <w:t xml:space="preserve">Източник: МЗ, </w:t>
      </w:r>
      <w:r w:rsidRPr="00AA5833">
        <w:rPr>
          <w:rFonts w:ascii="Times New Roman" w:eastAsia="Calibri" w:hAnsi="Times New Roman" w:cs="Times New Roman"/>
          <w:bCs/>
          <w:sz w:val="20"/>
          <w:szCs w:val="20"/>
        </w:rPr>
        <w:t>Национален център по обществено здраве и анализи (НЦОЗА)</w:t>
      </w:r>
    </w:p>
    <w:p w14:paraId="34D12D97" w14:textId="77777777" w:rsidR="00FB5817" w:rsidRPr="00AA5833" w:rsidRDefault="00FB5817" w:rsidP="00FB5817">
      <w:pPr>
        <w:spacing w:after="0"/>
        <w:jc w:val="both"/>
        <w:rPr>
          <w:rFonts w:ascii="Times New Roman" w:eastAsia="Calibri" w:hAnsi="Times New Roman" w:cs="Times New Roman"/>
          <w:sz w:val="20"/>
          <w:szCs w:val="20"/>
        </w:rPr>
      </w:pPr>
    </w:p>
    <w:p w14:paraId="57CEC8E7" w14:textId="77777777" w:rsidR="00FB5817" w:rsidRPr="00AA5833" w:rsidRDefault="00FB5817" w:rsidP="00FB5817">
      <w:pPr>
        <w:spacing w:after="0" w:line="240" w:lineRule="auto"/>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Таблица 6: Бременности, завършили с аборт в лечебните заведения през 2024 г. по възрастови групи и видове аборти (брой)</w:t>
      </w:r>
    </w:p>
    <w:p w14:paraId="32FE37F6" w14:textId="77777777" w:rsidR="00FB5817" w:rsidRPr="00AA5833" w:rsidRDefault="00FB5817" w:rsidP="00FB5817">
      <w:pPr>
        <w:spacing w:after="0" w:line="240" w:lineRule="auto"/>
        <w:jc w:val="center"/>
        <w:rPr>
          <w:rFonts w:ascii="Times New Roman" w:eastAsia="Calibri" w:hAnsi="Times New Roman" w:cs="Times New Roman"/>
          <w:b/>
          <w:bCs/>
          <w:sz w:val="24"/>
          <w:szCs w:val="24"/>
        </w:rPr>
      </w:pPr>
    </w:p>
    <w:p w14:paraId="5DB59D60" w14:textId="77777777" w:rsidR="00FB5817" w:rsidRPr="00AA5833" w:rsidRDefault="00FB5817" w:rsidP="00FB5817">
      <w:pPr>
        <w:spacing w:after="0"/>
        <w:ind w:firstLine="601"/>
        <w:jc w:val="both"/>
        <w:outlineLvl w:val="3"/>
        <w:rPr>
          <w:rFonts w:ascii="Times New Roman" w:eastAsia="Calibri" w:hAnsi="Times New Roman" w:cs="Times New Roman"/>
          <w:sz w:val="20"/>
          <w:szCs w:val="20"/>
        </w:rPr>
      </w:pPr>
    </w:p>
    <w:tbl>
      <w:tblPr>
        <w:tblStyle w:val="TableGrid"/>
        <w:tblW w:w="9209" w:type="dxa"/>
        <w:tblLayout w:type="fixed"/>
        <w:tblLook w:val="04A0" w:firstRow="1" w:lastRow="0" w:firstColumn="1" w:lastColumn="0" w:noHBand="0" w:noVBand="1"/>
      </w:tblPr>
      <w:tblGrid>
        <w:gridCol w:w="1238"/>
        <w:gridCol w:w="1025"/>
        <w:gridCol w:w="1531"/>
        <w:gridCol w:w="992"/>
        <w:gridCol w:w="1163"/>
        <w:gridCol w:w="1105"/>
        <w:gridCol w:w="1100"/>
        <w:gridCol w:w="1055"/>
      </w:tblGrid>
      <w:tr w:rsidR="00FB5817" w:rsidRPr="00AA5833" w14:paraId="036A3416" w14:textId="77777777" w:rsidTr="00FB5817">
        <w:trPr>
          <w:trHeight w:val="352"/>
        </w:trPr>
        <w:tc>
          <w:tcPr>
            <w:tcW w:w="1238" w:type="dxa"/>
            <w:vMerge w:val="restart"/>
            <w:vAlign w:val="center"/>
          </w:tcPr>
          <w:p w14:paraId="1B6350E2" w14:textId="77777777" w:rsidR="00FB5817" w:rsidRPr="00AA5833" w:rsidRDefault="00FB5817" w:rsidP="00FB5817">
            <w:pPr>
              <w:jc w:val="center"/>
              <w:outlineLvl w:val="3"/>
              <w:rPr>
                <w:rFonts w:eastAsia="Calibri"/>
                <w:b/>
                <w:sz w:val="22"/>
                <w:szCs w:val="22"/>
              </w:rPr>
            </w:pPr>
            <w:r w:rsidRPr="00AA5833">
              <w:rPr>
                <w:rFonts w:eastAsia="Calibri"/>
                <w:b/>
                <w:sz w:val="22"/>
                <w:szCs w:val="22"/>
              </w:rPr>
              <w:t>Възраст (в навършени години)</w:t>
            </w:r>
          </w:p>
        </w:tc>
        <w:tc>
          <w:tcPr>
            <w:tcW w:w="1025" w:type="dxa"/>
            <w:vMerge w:val="restart"/>
            <w:vAlign w:val="center"/>
          </w:tcPr>
          <w:p w14:paraId="4C229BE2" w14:textId="77777777" w:rsidR="00FB5817" w:rsidRPr="00AA5833" w:rsidRDefault="00FB5817" w:rsidP="00FB5817">
            <w:pPr>
              <w:jc w:val="center"/>
              <w:outlineLvl w:val="3"/>
              <w:rPr>
                <w:rFonts w:eastAsia="Calibri"/>
                <w:sz w:val="22"/>
                <w:szCs w:val="22"/>
              </w:rPr>
            </w:pPr>
            <w:r w:rsidRPr="00AA5833">
              <w:rPr>
                <w:rFonts w:eastAsia="Calibri"/>
                <w:b/>
                <w:sz w:val="22"/>
                <w:szCs w:val="22"/>
              </w:rPr>
              <w:t>Общо (О00-О06</w:t>
            </w:r>
            <w:r w:rsidRPr="00AA5833">
              <w:rPr>
                <w:rFonts w:eastAsia="Calibri"/>
                <w:sz w:val="22"/>
                <w:szCs w:val="22"/>
              </w:rPr>
              <w:t>)</w:t>
            </w:r>
          </w:p>
        </w:tc>
        <w:tc>
          <w:tcPr>
            <w:tcW w:w="6946" w:type="dxa"/>
            <w:gridSpan w:val="6"/>
            <w:vAlign w:val="center"/>
          </w:tcPr>
          <w:p w14:paraId="66C30644" w14:textId="77777777" w:rsidR="00FB5817" w:rsidRPr="00AA5833" w:rsidRDefault="00FB5817" w:rsidP="00FB5817">
            <w:pPr>
              <w:jc w:val="center"/>
              <w:outlineLvl w:val="3"/>
              <w:rPr>
                <w:rFonts w:eastAsia="Calibri"/>
                <w:b/>
                <w:sz w:val="22"/>
                <w:szCs w:val="22"/>
              </w:rPr>
            </w:pPr>
            <w:r w:rsidRPr="00AA5833">
              <w:rPr>
                <w:rFonts w:eastAsia="Calibri"/>
                <w:b/>
                <w:sz w:val="22"/>
                <w:szCs w:val="22"/>
              </w:rPr>
              <w:t>По вид</w:t>
            </w:r>
          </w:p>
          <w:p w14:paraId="62D43E62" w14:textId="77777777" w:rsidR="00FB5817" w:rsidRPr="00AA5833" w:rsidRDefault="00FB5817" w:rsidP="00FB5817">
            <w:pPr>
              <w:jc w:val="center"/>
              <w:outlineLvl w:val="3"/>
              <w:rPr>
                <w:rFonts w:eastAsia="Calibri"/>
                <w:sz w:val="22"/>
                <w:szCs w:val="22"/>
              </w:rPr>
            </w:pPr>
          </w:p>
        </w:tc>
      </w:tr>
      <w:tr w:rsidR="00FB5817" w:rsidRPr="00AA5833" w14:paraId="15C82F86" w14:textId="77777777" w:rsidTr="00FB5817">
        <w:tc>
          <w:tcPr>
            <w:tcW w:w="1238" w:type="dxa"/>
            <w:vMerge/>
          </w:tcPr>
          <w:p w14:paraId="1C5CD47C" w14:textId="77777777" w:rsidR="00FB5817" w:rsidRPr="00AA5833" w:rsidRDefault="00FB5817" w:rsidP="00FB5817">
            <w:pPr>
              <w:jc w:val="both"/>
              <w:outlineLvl w:val="3"/>
              <w:rPr>
                <w:rFonts w:eastAsia="Calibri"/>
                <w:b/>
                <w:sz w:val="22"/>
                <w:szCs w:val="22"/>
              </w:rPr>
            </w:pPr>
          </w:p>
        </w:tc>
        <w:tc>
          <w:tcPr>
            <w:tcW w:w="1025" w:type="dxa"/>
            <w:vMerge/>
          </w:tcPr>
          <w:p w14:paraId="30505E22" w14:textId="77777777" w:rsidR="00FB5817" w:rsidRPr="00AA5833" w:rsidRDefault="00FB5817" w:rsidP="00FB5817">
            <w:pPr>
              <w:jc w:val="both"/>
              <w:outlineLvl w:val="3"/>
              <w:rPr>
                <w:rFonts w:eastAsia="Calibri"/>
                <w:sz w:val="22"/>
                <w:szCs w:val="22"/>
              </w:rPr>
            </w:pPr>
          </w:p>
        </w:tc>
        <w:tc>
          <w:tcPr>
            <w:tcW w:w="1531" w:type="dxa"/>
            <w:vMerge w:val="restart"/>
          </w:tcPr>
          <w:p w14:paraId="163803F6" w14:textId="77777777" w:rsidR="00FB5817" w:rsidRPr="00AA5833" w:rsidRDefault="00FB5817" w:rsidP="00FB5817">
            <w:pPr>
              <w:jc w:val="center"/>
              <w:outlineLvl w:val="3"/>
              <w:rPr>
                <w:rFonts w:eastAsia="Calibri"/>
                <w:b/>
                <w:sz w:val="22"/>
                <w:szCs w:val="22"/>
              </w:rPr>
            </w:pPr>
            <w:r w:rsidRPr="00AA5833">
              <w:rPr>
                <w:rFonts w:eastAsia="Calibri"/>
                <w:b/>
                <w:sz w:val="22"/>
                <w:szCs w:val="22"/>
              </w:rPr>
              <w:t>Бременност, завършваща с аборт (О00-О02)</w:t>
            </w:r>
          </w:p>
        </w:tc>
        <w:tc>
          <w:tcPr>
            <w:tcW w:w="992" w:type="dxa"/>
            <w:vMerge w:val="restart"/>
          </w:tcPr>
          <w:p w14:paraId="7DFCC463" w14:textId="77777777" w:rsidR="00FB5817" w:rsidRPr="00AA5833" w:rsidRDefault="00FB5817" w:rsidP="00FB5817">
            <w:pPr>
              <w:jc w:val="center"/>
              <w:outlineLvl w:val="3"/>
              <w:rPr>
                <w:rFonts w:eastAsia="Calibri"/>
                <w:b/>
                <w:sz w:val="22"/>
                <w:szCs w:val="22"/>
              </w:rPr>
            </w:pPr>
            <w:r w:rsidRPr="00AA5833">
              <w:rPr>
                <w:rFonts w:eastAsia="Calibri"/>
                <w:b/>
                <w:sz w:val="22"/>
                <w:szCs w:val="22"/>
              </w:rPr>
              <w:t>Спон-танни аборти (О03)</w:t>
            </w:r>
          </w:p>
        </w:tc>
        <w:tc>
          <w:tcPr>
            <w:tcW w:w="1163" w:type="dxa"/>
            <w:vMerge w:val="restart"/>
          </w:tcPr>
          <w:p w14:paraId="650709DE" w14:textId="77777777" w:rsidR="00FB5817" w:rsidRPr="00AA5833" w:rsidRDefault="00FB5817" w:rsidP="00FB5817">
            <w:pPr>
              <w:jc w:val="center"/>
              <w:outlineLvl w:val="3"/>
              <w:rPr>
                <w:rFonts w:eastAsia="Calibri"/>
                <w:b/>
                <w:sz w:val="22"/>
                <w:szCs w:val="22"/>
              </w:rPr>
            </w:pPr>
            <w:r w:rsidRPr="00AA5833">
              <w:rPr>
                <w:rFonts w:eastAsia="Calibri"/>
                <w:b/>
                <w:sz w:val="22"/>
                <w:szCs w:val="22"/>
              </w:rPr>
              <w:t>Терапев-тични аборти (О04)</w:t>
            </w:r>
          </w:p>
        </w:tc>
        <w:tc>
          <w:tcPr>
            <w:tcW w:w="2205" w:type="dxa"/>
            <w:gridSpan w:val="2"/>
          </w:tcPr>
          <w:p w14:paraId="5A1265E2" w14:textId="77777777" w:rsidR="00FB5817" w:rsidRPr="00AA5833" w:rsidRDefault="00FB5817" w:rsidP="00FB5817">
            <w:pPr>
              <w:jc w:val="center"/>
              <w:outlineLvl w:val="3"/>
              <w:rPr>
                <w:rFonts w:eastAsia="Calibri"/>
                <w:b/>
                <w:sz w:val="22"/>
                <w:szCs w:val="22"/>
              </w:rPr>
            </w:pPr>
            <w:r w:rsidRPr="00AA5833">
              <w:rPr>
                <w:rFonts w:eastAsia="Calibri"/>
                <w:b/>
                <w:sz w:val="22"/>
                <w:szCs w:val="22"/>
              </w:rPr>
              <w:t>От тях:</w:t>
            </w:r>
          </w:p>
        </w:tc>
        <w:tc>
          <w:tcPr>
            <w:tcW w:w="1055" w:type="dxa"/>
            <w:vMerge w:val="restart"/>
          </w:tcPr>
          <w:p w14:paraId="0EDB7FF2" w14:textId="77777777" w:rsidR="00FB5817" w:rsidRPr="00AA5833" w:rsidRDefault="00FB5817" w:rsidP="00FB5817">
            <w:pPr>
              <w:jc w:val="center"/>
              <w:outlineLvl w:val="3"/>
              <w:rPr>
                <w:rFonts w:eastAsia="Calibri"/>
                <w:b/>
                <w:sz w:val="22"/>
                <w:szCs w:val="22"/>
              </w:rPr>
            </w:pPr>
            <w:r w:rsidRPr="00AA5833">
              <w:rPr>
                <w:rFonts w:eastAsia="Calibri"/>
                <w:b/>
                <w:sz w:val="22"/>
                <w:szCs w:val="22"/>
              </w:rPr>
              <w:t>Други видове и аборт, неуточ-нен (О05-О06)</w:t>
            </w:r>
          </w:p>
        </w:tc>
      </w:tr>
      <w:tr w:rsidR="00FB5817" w:rsidRPr="00AA5833" w14:paraId="51E9D592" w14:textId="77777777" w:rsidTr="00FB5817">
        <w:tc>
          <w:tcPr>
            <w:tcW w:w="1238" w:type="dxa"/>
            <w:vMerge/>
          </w:tcPr>
          <w:p w14:paraId="3BD3DB88" w14:textId="77777777" w:rsidR="00FB5817" w:rsidRPr="00AA5833" w:rsidRDefault="00FB5817" w:rsidP="00FB5817">
            <w:pPr>
              <w:jc w:val="both"/>
              <w:outlineLvl w:val="3"/>
              <w:rPr>
                <w:rFonts w:eastAsia="Calibri"/>
                <w:b/>
                <w:sz w:val="22"/>
                <w:szCs w:val="22"/>
              </w:rPr>
            </w:pPr>
          </w:p>
        </w:tc>
        <w:tc>
          <w:tcPr>
            <w:tcW w:w="1025" w:type="dxa"/>
            <w:vMerge/>
          </w:tcPr>
          <w:p w14:paraId="4999BE8E" w14:textId="77777777" w:rsidR="00FB5817" w:rsidRPr="00AA5833" w:rsidRDefault="00FB5817" w:rsidP="00FB5817">
            <w:pPr>
              <w:jc w:val="both"/>
              <w:outlineLvl w:val="3"/>
              <w:rPr>
                <w:rFonts w:eastAsia="Calibri"/>
                <w:sz w:val="22"/>
                <w:szCs w:val="22"/>
              </w:rPr>
            </w:pPr>
          </w:p>
        </w:tc>
        <w:tc>
          <w:tcPr>
            <w:tcW w:w="1531" w:type="dxa"/>
            <w:vMerge/>
          </w:tcPr>
          <w:p w14:paraId="2A3038BC" w14:textId="77777777" w:rsidR="00FB5817" w:rsidRPr="00AA5833" w:rsidRDefault="00FB5817" w:rsidP="00FB5817">
            <w:pPr>
              <w:jc w:val="both"/>
              <w:outlineLvl w:val="3"/>
              <w:rPr>
                <w:rFonts w:eastAsia="Calibri"/>
                <w:sz w:val="22"/>
                <w:szCs w:val="22"/>
              </w:rPr>
            </w:pPr>
          </w:p>
        </w:tc>
        <w:tc>
          <w:tcPr>
            <w:tcW w:w="992" w:type="dxa"/>
            <w:vMerge/>
          </w:tcPr>
          <w:p w14:paraId="16FD5466" w14:textId="77777777" w:rsidR="00FB5817" w:rsidRPr="00AA5833" w:rsidRDefault="00FB5817" w:rsidP="00FB5817">
            <w:pPr>
              <w:jc w:val="both"/>
              <w:outlineLvl w:val="3"/>
              <w:rPr>
                <w:rFonts w:eastAsia="Calibri"/>
                <w:sz w:val="22"/>
                <w:szCs w:val="22"/>
              </w:rPr>
            </w:pPr>
          </w:p>
        </w:tc>
        <w:tc>
          <w:tcPr>
            <w:tcW w:w="1163" w:type="dxa"/>
            <w:vMerge/>
          </w:tcPr>
          <w:p w14:paraId="0F9B8734" w14:textId="77777777" w:rsidR="00FB5817" w:rsidRPr="00AA5833" w:rsidRDefault="00FB5817" w:rsidP="00FB5817">
            <w:pPr>
              <w:jc w:val="both"/>
              <w:outlineLvl w:val="3"/>
              <w:rPr>
                <w:rFonts w:eastAsia="Calibri"/>
                <w:sz w:val="22"/>
                <w:szCs w:val="22"/>
              </w:rPr>
            </w:pPr>
          </w:p>
        </w:tc>
        <w:tc>
          <w:tcPr>
            <w:tcW w:w="1105" w:type="dxa"/>
          </w:tcPr>
          <w:p w14:paraId="5C9E8791" w14:textId="77777777" w:rsidR="00FB5817" w:rsidRPr="00AA5833" w:rsidRDefault="00FB5817" w:rsidP="00FB5817">
            <w:pPr>
              <w:jc w:val="center"/>
              <w:outlineLvl w:val="3"/>
              <w:rPr>
                <w:rFonts w:eastAsia="Calibri"/>
                <w:b/>
                <w:sz w:val="22"/>
                <w:szCs w:val="22"/>
              </w:rPr>
            </w:pPr>
            <w:r w:rsidRPr="00AA5833">
              <w:rPr>
                <w:rFonts w:eastAsia="Calibri"/>
                <w:b/>
                <w:sz w:val="22"/>
                <w:szCs w:val="22"/>
              </w:rPr>
              <w:t>по желание</w:t>
            </w:r>
          </w:p>
        </w:tc>
        <w:tc>
          <w:tcPr>
            <w:tcW w:w="1100" w:type="dxa"/>
          </w:tcPr>
          <w:p w14:paraId="48C3AFED" w14:textId="77777777" w:rsidR="00FB5817" w:rsidRPr="00AA5833" w:rsidRDefault="00FB5817" w:rsidP="00FB5817">
            <w:pPr>
              <w:jc w:val="center"/>
              <w:outlineLvl w:val="3"/>
              <w:rPr>
                <w:rFonts w:eastAsia="Calibri"/>
                <w:b/>
                <w:sz w:val="22"/>
                <w:szCs w:val="22"/>
              </w:rPr>
            </w:pPr>
            <w:r w:rsidRPr="00AA5833">
              <w:rPr>
                <w:rFonts w:eastAsia="Calibri"/>
                <w:b/>
                <w:sz w:val="22"/>
                <w:szCs w:val="22"/>
              </w:rPr>
              <w:t>по медицин-ски показа-ния</w:t>
            </w:r>
          </w:p>
        </w:tc>
        <w:tc>
          <w:tcPr>
            <w:tcW w:w="1055" w:type="dxa"/>
            <w:vMerge/>
          </w:tcPr>
          <w:p w14:paraId="1640E04E" w14:textId="77777777" w:rsidR="00FB5817" w:rsidRPr="00AA5833" w:rsidRDefault="00FB5817" w:rsidP="00FB5817">
            <w:pPr>
              <w:jc w:val="both"/>
              <w:outlineLvl w:val="3"/>
              <w:rPr>
                <w:rFonts w:eastAsia="Calibri"/>
                <w:sz w:val="22"/>
                <w:szCs w:val="22"/>
              </w:rPr>
            </w:pPr>
          </w:p>
        </w:tc>
      </w:tr>
      <w:tr w:rsidR="00FB5817" w:rsidRPr="00AA5833" w14:paraId="0A5EC0A3" w14:textId="77777777" w:rsidTr="00FB5817">
        <w:tc>
          <w:tcPr>
            <w:tcW w:w="1238" w:type="dxa"/>
          </w:tcPr>
          <w:p w14:paraId="12B31596" w14:textId="77777777" w:rsidR="00FB5817" w:rsidRPr="00AA5833" w:rsidRDefault="00FB5817" w:rsidP="00FB5817">
            <w:pPr>
              <w:jc w:val="both"/>
              <w:outlineLvl w:val="3"/>
              <w:rPr>
                <w:rFonts w:eastAsia="Calibri"/>
                <w:b/>
                <w:sz w:val="22"/>
                <w:szCs w:val="22"/>
              </w:rPr>
            </w:pPr>
            <w:r w:rsidRPr="00AA5833">
              <w:rPr>
                <w:rFonts w:eastAsia="Calibri"/>
                <w:b/>
                <w:sz w:val="22"/>
                <w:szCs w:val="22"/>
              </w:rPr>
              <w:lastRenderedPageBreak/>
              <w:t>Общо</w:t>
            </w:r>
          </w:p>
        </w:tc>
        <w:tc>
          <w:tcPr>
            <w:tcW w:w="1025" w:type="dxa"/>
            <w:vAlign w:val="bottom"/>
          </w:tcPr>
          <w:p w14:paraId="7B4FE345" w14:textId="77777777" w:rsidR="00FB5817" w:rsidRPr="00AA5833" w:rsidRDefault="00FB5817" w:rsidP="00FB5817">
            <w:pPr>
              <w:jc w:val="right"/>
              <w:rPr>
                <w:color w:val="000000"/>
                <w:sz w:val="22"/>
                <w:szCs w:val="22"/>
              </w:rPr>
            </w:pPr>
            <w:r w:rsidRPr="00AA5833">
              <w:rPr>
                <w:color w:val="000000"/>
                <w:sz w:val="22"/>
                <w:szCs w:val="22"/>
              </w:rPr>
              <w:t>18 577</w:t>
            </w:r>
          </w:p>
        </w:tc>
        <w:tc>
          <w:tcPr>
            <w:tcW w:w="1531" w:type="dxa"/>
            <w:vAlign w:val="bottom"/>
          </w:tcPr>
          <w:p w14:paraId="42CECEB8" w14:textId="77777777" w:rsidR="00FB5817" w:rsidRPr="00AA5833" w:rsidRDefault="00FB5817" w:rsidP="00FB5817">
            <w:pPr>
              <w:jc w:val="right"/>
              <w:rPr>
                <w:color w:val="000000"/>
                <w:sz w:val="22"/>
                <w:szCs w:val="22"/>
              </w:rPr>
            </w:pPr>
            <w:r w:rsidRPr="00AA5833">
              <w:rPr>
                <w:color w:val="000000"/>
                <w:sz w:val="22"/>
                <w:szCs w:val="22"/>
              </w:rPr>
              <w:t>3 230</w:t>
            </w:r>
          </w:p>
        </w:tc>
        <w:tc>
          <w:tcPr>
            <w:tcW w:w="992" w:type="dxa"/>
            <w:vAlign w:val="bottom"/>
          </w:tcPr>
          <w:p w14:paraId="12DD3E0A" w14:textId="77777777" w:rsidR="00FB5817" w:rsidRPr="00AA5833" w:rsidRDefault="00FB5817" w:rsidP="00FB5817">
            <w:pPr>
              <w:jc w:val="right"/>
              <w:rPr>
                <w:color w:val="000000"/>
                <w:sz w:val="22"/>
                <w:szCs w:val="22"/>
              </w:rPr>
            </w:pPr>
            <w:r w:rsidRPr="00AA5833">
              <w:rPr>
                <w:color w:val="000000"/>
                <w:sz w:val="22"/>
                <w:szCs w:val="22"/>
              </w:rPr>
              <w:t>3 972</w:t>
            </w:r>
          </w:p>
        </w:tc>
        <w:tc>
          <w:tcPr>
            <w:tcW w:w="1163" w:type="dxa"/>
            <w:vAlign w:val="bottom"/>
          </w:tcPr>
          <w:p w14:paraId="4CA1CD44" w14:textId="77777777" w:rsidR="00FB5817" w:rsidRPr="00AA5833" w:rsidRDefault="00FB5817" w:rsidP="00FB5817">
            <w:pPr>
              <w:jc w:val="right"/>
              <w:rPr>
                <w:color w:val="000000"/>
                <w:sz w:val="22"/>
                <w:szCs w:val="22"/>
              </w:rPr>
            </w:pPr>
            <w:r w:rsidRPr="00AA5833">
              <w:rPr>
                <w:color w:val="000000"/>
                <w:sz w:val="22"/>
                <w:szCs w:val="22"/>
              </w:rPr>
              <w:t>11 339</w:t>
            </w:r>
          </w:p>
        </w:tc>
        <w:tc>
          <w:tcPr>
            <w:tcW w:w="1105" w:type="dxa"/>
            <w:vAlign w:val="bottom"/>
          </w:tcPr>
          <w:p w14:paraId="764C760D" w14:textId="77777777" w:rsidR="00FB5817" w:rsidRPr="00AA5833" w:rsidRDefault="00FB5817" w:rsidP="00FB5817">
            <w:pPr>
              <w:jc w:val="right"/>
              <w:rPr>
                <w:color w:val="000000"/>
                <w:sz w:val="22"/>
                <w:szCs w:val="22"/>
              </w:rPr>
            </w:pPr>
            <w:r w:rsidRPr="00AA5833">
              <w:rPr>
                <w:color w:val="000000"/>
                <w:sz w:val="22"/>
                <w:szCs w:val="22"/>
              </w:rPr>
              <w:t>9 987</w:t>
            </w:r>
          </w:p>
        </w:tc>
        <w:tc>
          <w:tcPr>
            <w:tcW w:w="1100" w:type="dxa"/>
            <w:vAlign w:val="bottom"/>
          </w:tcPr>
          <w:p w14:paraId="6E59D472" w14:textId="77777777" w:rsidR="00FB5817" w:rsidRPr="00AA5833" w:rsidRDefault="00FB5817" w:rsidP="00FB5817">
            <w:pPr>
              <w:jc w:val="right"/>
              <w:rPr>
                <w:color w:val="000000"/>
                <w:sz w:val="22"/>
                <w:szCs w:val="22"/>
              </w:rPr>
            </w:pPr>
            <w:r w:rsidRPr="00AA5833">
              <w:rPr>
                <w:color w:val="000000"/>
                <w:sz w:val="22"/>
                <w:szCs w:val="22"/>
              </w:rPr>
              <w:t>1 352</w:t>
            </w:r>
          </w:p>
        </w:tc>
        <w:tc>
          <w:tcPr>
            <w:tcW w:w="1055" w:type="dxa"/>
            <w:vAlign w:val="bottom"/>
          </w:tcPr>
          <w:p w14:paraId="0737FFD8" w14:textId="77777777" w:rsidR="00FB5817" w:rsidRPr="00AA5833" w:rsidRDefault="00FB5817" w:rsidP="00FB5817">
            <w:pPr>
              <w:jc w:val="right"/>
              <w:rPr>
                <w:color w:val="000000"/>
                <w:sz w:val="22"/>
                <w:szCs w:val="22"/>
              </w:rPr>
            </w:pPr>
            <w:r w:rsidRPr="00AA5833">
              <w:rPr>
                <w:color w:val="000000"/>
                <w:sz w:val="22"/>
                <w:szCs w:val="22"/>
              </w:rPr>
              <w:t>36</w:t>
            </w:r>
          </w:p>
        </w:tc>
      </w:tr>
      <w:tr w:rsidR="00FB5817" w:rsidRPr="00AA5833" w14:paraId="09476CE4" w14:textId="77777777" w:rsidTr="00FB5817">
        <w:tc>
          <w:tcPr>
            <w:tcW w:w="1238" w:type="dxa"/>
          </w:tcPr>
          <w:p w14:paraId="7010E569" w14:textId="77777777" w:rsidR="00FB5817" w:rsidRPr="00AA5833" w:rsidRDefault="00FB5817" w:rsidP="00FB5817">
            <w:pPr>
              <w:jc w:val="both"/>
              <w:outlineLvl w:val="3"/>
              <w:rPr>
                <w:rFonts w:eastAsia="Calibri"/>
                <w:sz w:val="22"/>
                <w:szCs w:val="22"/>
              </w:rPr>
            </w:pPr>
            <w:r w:rsidRPr="00AA5833">
              <w:rPr>
                <w:rFonts w:eastAsia="Calibri"/>
                <w:sz w:val="22"/>
                <w:szCs w:val="22"/>
              </w:rPr>
              <w:t>Под 15</w:t>
            </w:r>
          </w:p>
        </w:tc>
        <w:tc>
          <w:tcPr>
            <w:tcW w:w="1025" w:type="dxa"/>
            <w:vAlign w:val="bottom"/>
          </w:tcPr>
          <w:p w14:paraId="533DCFD3" w14:textId="77777777" w:rsidR="00FB5817" w:rsidRPr="00AA5833" w:rsidRDefault="00FB5817" w:rsidP="00FB5817">
            <w:pPr>
              <w:jc w:val="right"/>
              <w:rPr>
                <w:color w:val="000000"/>
                <w:sz w:val="22"/>
                <w:szCs w:val="22"/>
              </w:rPr>
            </w:pPr>
            <w:r w:rsidRPr="00AA5833">
              <w:rPr>
                <w:color w:val="000000"/>
                <w:sz w:val="22"/>
                <w:szCs w:val="22"/>
              </w:rPr>
              <w:t>95</w:t>
            </w:r>
          </w:p>
        </w:tc>
        <w:tc>
          <w:tcPr>
            <w:tcW w:w="1531" w:type="dxa"/>
            <w:vAlign w:val="bottom"/>
          </w:tcPr>
          <w:p w14:paraId="055AB409" w14:textId="77777777" w:rsidR="00FB5817" w:rsidRPr="00AA5833" w:rsidRDefault="00FB5817" w:rsidP="00FB5817">
            <w:pPr>
              <w:jc w:val="right"/>
              <w:rPr>
                <w:color w:val="000000"/>
                <w:sz w:val="22"/>
                <w:szCs w:val="22"/>
              </w:rPr>
            </w:pPr>
            <w:r w:rsidRPr="00AA5833">
              <w:rPr>
                <w:color w:val="000000"/>
                <w:sz w:val="22"/>
                <w:szCs w:val="22"/>
              </w:rPr>
              <w:t>15</w:t>
            </w:r>
          </w:p>
        </w:tc>
        <w:tc>
          <w:tcPr>
            <w:tcW w:w="992" w:type="dxa"/>
            <w:vAlign w:val="bottom"/>
          </w:tcPr>
          <w:p w14:paraId="03B983B5" w14:textId="77777777" w:rsidR="00FB5817" w:rsidRPr="00AA5833" w:rsidRDefault="00FB5817" w:rsidP="00FB5817">
            <w:pPr>
              <w:jc w:val="right"/>
              <w:rPr>
                <w:color w:val="000000"/>
                <w:sz w:val="22"/>
                <w:szCs w:val="22"/>
              </w:rPr>
            </w:pPr>
            <w:r w:rsidRPr="00AA5833">
              <w:rPr>
                <w:color w:val="000000"/>
                <w:sz w:val="22"/>
                <w:szCs w:val="22"/>
              </w:rPr>
              <w:t>50</w:t>
            </w:r>
          </w:p>
        </w:tc>
        <w:tc>
          <w:tcPr>
            <w:tcW w:w="1163" w:type="dxa"/>
            <w:vAlign w:val="bottom"/>
          </w:tcPr>
          <w:p w14:paraId="7EFE6056" w14:textId="77777777" w:rsidR="00FB5817" w:rsidRPr="00AA5833" w:rsidRDefault="00FB5817" w:rsidP="00FB5817">
            <w:pPr>
              <w:jc w:val="right"/>
              <w:rPr>
                <w:color w:val="000000"/>
                <w:sz w:val="22"/>
                <w:szCs w:val="22"/>
              </w:rPr>
            </w:pPr>
            <w:r w:rsidRPr="00AA5833">
              <w:rPr>
                <w:color w:val="000000"/>
                <w:sz w:val="22"/>
                <w:szCs w:val="22"/>
              </w:rPr>
              <w:t>30</w:t>
            </w:r>
          </w:p>
        </w:tc>
        <w:tc>
          <w:tcPr>
            <w:tcW w:w="1105" w:type="dxa"/>
            <w:vAlign w:val="bottom"/>
          </w:tcPr>
          <w:p w14:paraId="7FC2BC2C" w14:textId="77777777" w:rsidR="00FB5817" w:rsidRPr="00AA5833" w:rsidRDefault="00FB5817" w:rsidP="00FB5817">
            <w:pPr>
              <w:jc w:val="right"/>
              <w:rPr>
                <w:color w:val="000000"/>
                <w:sz w:val="22"/>
                <w:szCs w:val="22"/>
              </w:rPr>
            </w:pPr>
            <w:r w:rsidRPr="00AA5833">
              <w:rPr>
                <w:color w:val="000000"/>
                <w:sz w:val="22"/>
                <w:szCs w:val="22"/>
              </w:rPr>
              <w:t>19</w:t>
            </w:r>
          </w:p>
        </w:tc>
        <w:tc>
          <w:tcPr>
            <w:tcW w:w="1100" w:type="dxa"/>
            <w:vAlign w:val="bottom"/>
          </w:tcPr>
          <w:p w14:paraId="6CB9EAC7" w14:textId="77777777" w:rsidR="00FB5817" w:rsidRPr="00AA5833" w:rsidRDefault="00FB5817" w:rsidP="00FB5817">
            <w:pPr>
              <w:jc w:val="right"/>
              <w:rPr>
                <w:color w:val="000000"/>
                <w:sz w:val="22"/>
                <w:szCs w:val="22"/>
              </w:rPr>
            </w:pPr>
            <w:r w:rsidRPr="00AA5833">
              <w:rPr>
                <w:color w:val="000000"/>
                <w:sz w:val="22"/>
                <w:szCs w:val="22"/>
              </w:rPr>
              <w:t>11</w:t>
            </w:r>
          </w:p>
        </w:tc>
        <w:tc>
          <w:tcPr>
            <w:tcW w:w="1055" w:type="dxa"/>
            <w:vAlign w:val="bottom"/>
          </w:tcPr>
          <w:p w14:paraId="3370CBCE" w14:textId="77777777" w:rsidR="00FB5817" w:rsidRPr="00AA5833" w:rsidRDefault="00FB5817" w:rsidP="00FB5817">
            <w:pPr>
              <w:jc w:val="right"/>
              <w:rPr>
                <w:color w:val="000000"/>
                <w:sz w:val="22"/>
                <w:szCs w:val="22"/>
              </w:rPr>
            </w:pPr>
            <w:r w:rsidRPr="00AA5833">
              <w:rPr>
                <w:color w:val="000000"/>
                <w:sz w:val="22"/>
                <w:szCs w:val="22"/>
              </w:rPr>
              <w:t>-</w:t>
            </w:r>
          </w:p>
        </w:tc>
      </w:tr>
      <w:tr w:rsidR="00FB5817" w:rsidRPr="00AA5833" w14:paraId="52E7C186" w14:textId="77777777" w:rsidTr="00FB5817">
        <w:tc>
          <w:tcPr>
            <w:tcW w:w="1238" w:type="dxa"/>
          </w:tcPr>
          <w:p w14:paraId="14290C25" w14:textId="77777777" w:rsidR="00FB5817" w:rsidRPr="00AA5833" w:rsidRDefault="00FB5817" w:rsidP="00FB5817">
            <w:pPr>
              <w:jc w:val="both"/>
              <w:outlineLvl w:val="3"/>
              <w:rPr>
                <w:rFonts w:eastAsia="Calibri"/>
                <w:sz w:val="22"/>
                <w:szCs w:val="22"/>
              </w:rPr>
            </w:pPr>
            <w:r w:rsidRPr="00AA5833">
              <w:rPr>
                <w:rFonts w:eastAsia="Calibri"/>
                <w:sz w:val="22"/>
                <w:szCs w:val="22"/>
              </w:rPr>
              <w:t>15 - 19</w:t>
            </w:r>
          </w:p>
        </w:tc>
        <w:tc>
          <w:tcPr>
            <w:tcW w:w="1025" w:type="dxa"/>
            <w:vAlign w:val="bottom"/>
          </w:tcPr>
          <w:p w14:paraId="05C3AC74" w14:textId="77777777" w:rsidR="00FB5817" w:rsidRPr="00AA5833" w:rsidRDefault="00FB5817" w:rsidP="00FB5817">
            <w:pPr>
              <w:jc w:val="right"/>
              <w:rPr>
                <w:color w:val="000000"/>
                <w:sz w:val="22"/>
                <w:szCs w:val="22"/>
              </w:rPr>
            </w:pPr>
            <w:r w:rsidRPr="00AA5833">
              <w:rPr>
                <w:color w:val="000000"/>
                <w:sz w:val="22"/>
                <w:szCs w:val="22"/>
              </w:rPr>
              <w:t>1 772</w:t>
            </w:r>
          </w:p>
        </w:tc>
        <w:tc>
          <w:tcPr>
            <w:tcW w:w="1531" w:type="dxa"/>
            <w:vAlign w:val="bottom"/>
          </w:tcPr>
          <w:p w14:paraId="3EBB9CC8" w14:textId="77777777" w:rsidR="00FB5817" w:rsidRPr="00AA5833" w:rsidRDefault="00FB5817" w:rsidP="00FB5817">
            <w:pPr>
              <w:jc w:val="right"/>
              <w:rPr>
                <w:color w:val="000000"/>
                <w:sz w:val="22"/>
                <w:szCs w:val="22"/>
              </w:rPr>
            </w:pPr>
            <w:r w:rsidRPr="00AA5833">
              <w:rPr>
                <w:color w:val="000000"/>
                <w:sz w:val="22"/>
                <w:szCs w:val="22"/>
              </w:rPr>
              <w:t>242</w:t>
            </w:r>
          </w:p>
        </w:tc>
        <w:tc>
          <w:tcPr>
            <w:tcW w:w="992" w:type="dxa"/>
            <w:vAlign w:val="bottom"/>
          </w:tcPr>
          <w:p w14:paraId="3E7A78CD" w14:textId="77777777" w:rsidR="00FB5817" w:rsidRPr="00AA5833" w:rsidRDefault="00FB5817" w:rsidP="00FB5817">
            <w:pPr>
              <w:jc w:val="right"/>
              <w:rPr>
                <w:color w:val="000000"/>
                <w:sz w:val="22"/>
                <w:szCs w:val="22"/>
              </w:rPr>
            </w:pPr>
            <w:r w:rsidRPr="00AA5833">
              <w:rPr>
                <w:color w:val="000000"/>
                <w:sz w:val="22"/>
                <w:szCs w:val="22"/>
              </w:rPr>
              <w:t>543</w:t>
            </w:r>
          </w:p>
        </w:tc>
        <w:tc>
          <w:tcPr>
            <w:tcW w:w="1163" w:type="dxa"/>
            <w:vAlign w:val="bottom"/>
          </w:tcPr>
          <w:p w14:paraId="7B7929A2" w14:textId="77777777" w:rsidR="00FB5817" w:rsidRPr="00AA5833" w:rsidRDefault="00FB5817" w:rsidP="00FB5817">
            <w:pPr>
              <w:jc w:val="right"/>
              <w:rPr>
                <w:color w:val="000000"/>
                <w:sz w:val="22"/>
                <w:szCs w:val="22"/>
              </w:rPr>
            </w:pPr>
            <w:r w:rsidRPr="00AA5833">
              <w:rPr>
                <w:color w:val="000000"/>
                <w:sz w:val="22"/>
                <w:szCs w:val="22"/>
              </w:rPr>
              <w:t>983</w:t>
            </w:r>
          </w:p>
        </w:tc>
        <w:tc>
          <w:tcPr>
            <w:tcW w:w="1105" w:type="dxa"/>
            <w:vAlign w:val="bottom"/>
          </w:tcPr>
          <w:p w14:paraId="723F31E5" w14:textId="77777777" w:rsidR="00FB5817" w:rsidRPr="00AA5833" w:rsidRDefault="00FB5817" w:rsidP="00FB5817">
            <w:pPr>
              <w:jc w:val="right"/>
              <w:rPr>
                <w:color w:val="000000"/>
                <w:sz w:val="22"/>
                <w:szCs w:val="22"/>
              </w:rPr>
            </w:pPr>
            <w:r w:rsidRPr="00AA5833">
              <w:rPr>
                <w:color w:val="000000"/>
                <w:sz w:val="22"/>
                <w:szCs w:val="22"/>
              </w:rPr>
              <w:t>883</w:t>
            </w:r>
          </w:p>
        </w:tc>
        <w:tc>
          <w:tcPr>
            <w:tcW w:w="1100" w:type="dxa"/>
            <w:vAlign w:val="bottom"/>
          </w:tcPr>
          <w:p w14:paraId="7D6A1CBE" w14:textId="77777777" w:rsidR="00FB5817" w:rsidRPr="00AA5833" w:rsidRDefault="00FB5817" w:rsidP="00FB5817">
            <w:pPr>
              <w:jc w:val="right"/>
              <w:rPr>
                <w:color w:val="000000"/>
                <w:sz w:val="22"/>
                <w:szCs w:val="22"/>
              </w:rPr>
            </w:pPr>
            <w:r w:rsidRPr="00AA5833">
              <w:rPr>
                <w:color w:val="000000"/>
                <w:sz w:val="22"/>
                <w:szCs w:val="22"/>
              </w:rPr>
              <w:t>100</w:t>
            </w:r>
          </w:p>
        </w:tc>
        <w:tc>
          <w:tcPr>
            <w:tcW w:w="1055" w:type="dxa"/>
            <w:vAlign w:val="bottom"/>
          </w:tcPr>
          <w:p w14:paraId="6ADD9D48" w14:textId="77777777" w:rsidR="00FB5817" w:rsidRPr="00AA5833" w:rsidRDefault="00FB5817" w:rsidP="00FB5817">
            <w:pPr>
              <w:jc w:val="right"/>
              <w:rPr>
                <w:color w:val="000000"/>
                <w:sz w:val="22"/>
                <w:szCs w:val="22"/>
              </w:rPr>
            </w:pPr>
            <w:r w:rsidRPr="00AA5833">
              <w:rPr>
                <w:color w:val="000000"/>
                <w:sz w:val="22"/>
                <w:szCs w:val="22"/>
              </w:rPr>
              <w:t>4</w:t>
            </w:r>
          </w:p>
        </w:tc>
      </w:tr>
      <w:tr w:rsidR="00FB5817" w:rsidRPr="00AA5833" w14:paraId="3409A3FD" w14:textId="77777777" w:rsidTr="00FB5817">
        <w:tc>
          <w:tcPr>
            <w:tcW w:w="1238" w:type="dxa"/>
          </w:tcPr>
          <w:p w14:paraId="1FF820F3" w14:textId="77777777" w:rsidR="00FB5817" w:rsidRPr="00AA5833" w:rsidRDefault="00FB5817" w:rsidP="00FB5817">
            <w:pPr>
              <w:jc w:val="both"/>
              <w:outlineLvl w:val="3"/>
              <w:rPr>
                <w:rFonts w:eastAsia="Calibri"/>
                <w:sz w:val="22"/>
                <w:szCs w:val="22"/>
              </w:rPr>
            </w:pPr>
            <w:r w:rsidRPr="00AA5833">
              <w:rPr>
                <w:rFonts w:eastAsia="Calibri"/>
                <w:sz w:val="22"/>
                <w:szCs w:val="22"/>
              </w:rPr>
              <w:t>20 -24</w:t>
            </w:r>
          </w:p>
        </w:tc>
        <w:tc>
          <w:tcPr>
            <w:tcW w:w="1025" w:type="dxa"/>
            <w:vAlign w:val="bottom"/>
          </w:tcPr>
          <w:p w14:paraId="0D14DA01" w14:textId="77777777" w:rsidR="00FB5817" w:rsidRPr="00AA5833" w:rsidRDefault="00FB5817" w:rsidP="00FB5817">
            <w:pPr>
              <w:jc w:val="right"/>
              <w:rPr>
                <w:color w:val="000000"/>
                <w:sz w:val="22"/>
                <w:szCs w:val="22"/>
              </w:rPr>
            </w:pPr>
            <w:r w:rsidRPr="00AA5833">
              <w:rPr>
                <w:color w:val="000000"/>
                <w:sz w:val="22"/>
                <w:szCs w:val="22"/>
              </w:rPr>
              <w:t>3 124</w:t>
            </w:r>
          </w:p>
        </w:tc>
        <w:tc>
          <w:tcPr>
            <w:tcW w:w="1531" w:type="dxa"/>
            <w:vAlign w:val="bottom"/>
          </w:tcPr>
          <w:p w14:paraId="73FC1607" w14:textId="77777777" w:rsidR="00FB5817" w:rsidRPr="00AA5833" w:rsidRDefault="00FB5817" w:rsidP="00FB5817">
            <w:pPr>
              <w:jc w:val="right"/>
              <w:rPr>
                <w:color w:val="000000"/>
                <w:sz w:val="22"/>
                <w:szCs w:val="22"/>
              </w:rPr>
            </w:pPr>
            <w:r w:rsidRPr="00AA5833">
              <w:rPr>
                <w:color w:val="000000"/>
                <w:sz w:val="22"/>
                <w:szCs w:val="22"/>
              </w:rPr>
              <w:t>374</w:t>
            </w:r>
          </w:p>
        </w:tc>
        <w:tc>
          <w:tcPr>
            <w:tcW w:w="992" w:type="dxa"/>
            <w:vAlign w:val="bottom"/>
          </w:tcPr>
          <w:p w14:paraId="28E5F731" w14:textId="77777777" w:rsidR="00FB5817" w:rsidRPr="00AA5833" w:rsidRDefault="00FB5817" w:rsidP="00FB5817">
            <w:pPr>
              <w:jc w:val="right"/>
              <w:rPr>
                <w:color w:val="000000"/>
                <w:sz w:val="22"/>
                <w:szCs w:val="22"/>
              </w:rPr>
            </w:pPr>
            <w:r w:rsidRPr="00AA5833">
              <w:rPr>
                <w:color w:val="000000"/>
                <w:sz w:val="22"/>
                <w:szCs w:val="22"/>
              </w:rPr>
              <w:t>640</w:t>
            </w:r>
          </w:p>
        </w:tc>
        <w:tc>
          <w:tcPr>
            <w:tcW w:w="1163" w:type="dxa"/>
            <w:vAlign w:val="bottom"/>
          </w:tcPr>
          <w:p w14:paraId="1948D4F7" w14:textId="77777777" w:rsidR="00FB5817" w:rsidRPr="00AA5833" w:rsidRDefault="00FB5817" w:rsidP="00FB5817">
            <w:pPr>
              <w:jc w:val="right"/>
              <w:rPr>
                <w:color w:val="000000"/>
                <w:sz w:val="22"/>
                <w:szCs w:val="22"/>
              </w:rPr>
            </w:pPr>
            <w:r w:rsidRPr="00AA5833">
              <w:rPr>
                <w:color w:val="000000"/>
                <w:sz w:val="22"/>
                <w:szCs w:val="22"/>
              </w:rPr>
              <w:t>2 104</w:t>
            </w:r>
          </w:p>
        </w:tc>
        <w:tc>
          <w:tcPr>
            <w:tcW w:w="1105" w:type="dxa"/>
            <w:vAlign w:val="bottom"/>
          </w:tcPr>
          <w:p w14:paraId="1A1ECA1F" w14:textId="77777777" w:rsidR="00FB5817" w:rsidRPr="00AA5833" w:rsidRDefault="00FB5817" w:rsidP="00FB5817">
            <w:pPr>
              <w:jc w:val="right"/>
              <w:rPr>
                <w:color w:val="000000"/>
                <w:sz w:val="22"/>
                <w:szCs w:val="22"/>
              </w:rPr>
            </w:pPr>
            <w:r w:rsidRPr="00AA5833">
              <w:rPr>
                <w:color w:val="000000"/>
                <w:sz w:val="22"/>
                <w:szCs w:val="22"/>
              </w:rPr>
              <w:t>1 952</w:t>
            </w:r>
          </w:p>
        </w:tc>
        <w:tc>
          <w:tcPr>
            <w:tcW w:w="1100" w:type="dxa"/>
            <w:vAlign w:val="bottom"/>
          </w:tcPr>
          <w:p w14:paraId="2A3CB831" w14:textId="77777777" w:rsidR="00FB5817" w:rsidRPr="00AA5833" w:rsidRDefault="00FB5817" w:rsidP="00FB5817">
            <w:pPr>
              <w:jc w:val="right"/>
              <w:rPr>
                <w:color w:val="000000"/>
                <w:sz w:val="22"/>
                <w:szCs w:val="22"/>
              </w:rPr>
            </w:pPr>
            <w:r w:rsidRPr="00AA5833">
              <w:rPr>
                <w:color w:val="000000"/>
                <w:sz w:val="22"/>
                <w:szCs w:val="22"/>
              </w:rPr>
              <w:t>152</w:t>
            </w:r>
          </w:p>
        </w:tc>
        <w:tc>
          <w:tcPr>
            <w:tcW w:w="1055" w:type="dxa"/>
            <w:vAlign w:val="bottom"/>
          </w:tcPr>
          <w:p w14:paraId="7672FABA" w14:textId="77777777" w:rsidR="00FB5817" w:rsidRPr="00AA5833" w:rsidRDefault="00FB5817" w:rsidP="00FB5817">
            <w:pPr>
              <w:jc w:val="right"/>
              <w:rPr>
                <w:color w:val="000000"/>
                <w:sz w:val="22"/>
                <w:szCs w:val="22"/>
              </w:rPr>
            </w:pPr>
            <w:r w:rsidRPr="00AA5833">
              <w:rPr>
                <w:color w:val="000000"/>
                <w:sz w:val="22"/>
                <w:szCs w:val="22"/>
              </w:rPr>
              <w:t>6</w:t>
            </w:r>
          </w:p>
        </w:tc>
      </w:tr>
      <w:tr w:rsidR="00FB5817" w:rsidRPr="00AA5833" w14:paraId="32417131" w14:textId="77777777" w:rsidTr="00FB5817">
        <w:tc>
          <w:tcPr>
            <w:tcW w:w="1238" w:type="dxa"/>
          </w:tcPr>
          <w:p w14:paraId="70E4E278" w14:textId="77777777" w:rsidR="00FB5817" w:rsidRPr="00AA5833" w:rsidRDefault="00FB5817" w:rsidP="00FB5817">
            <w:pPr>
              <w:jc w:val="both"/>
              <w:outlineLvl w:val="3"/>
              <w:rPr>
                <w:rFonts w:eastAsia="Calibri"/>
                <w:sz w:val="22"/>
                <w:szCs w:val="22"/>
              </w:rPr>
            </w:pPr>
            <w:r w:rsidRPr="00AA5833">
              <w:rPr>
                <w:rFonts w:eastAsia="Calibri"/>
                <w:sz w:val="22"/>
                <w:szCs w:val="22"/>
              </w:rPr>
              <w:t>25 - 29</w:t>
            </w:r>
          </w:p>
        </w:tc>
        <w:tc>
          <w:tcPr>
            <w:tcW w:w="1025" w:type="dxa"/>
            <w:vAlign w:val="bottom"/>
          </w:tcPr>
          <w:p w14:paraId="17D11354" w14:textId="77777777" w:rsidR="00FB5817" w:rsidRPr="00AA5833" w:rsidRDefault="00FB5817" w:rsidP="00FB5817">
            <w:pPr>
              <w:jc w:val="right"/>
              <w:rPr>
                <w:color w:val="000000"/>
                <w:sz w:val="22"/>
                <w:szCs w:val="22"/>
              </w:rPr>
            </w:pPr>
            <w:r w:rsidRPr="00AA5833">
              <w:rPr>
                <w:color w:val="000000"/>
                <w:sz w:val="22"/>
                <w:szCs w:val="22"/>
              </w:rPr>
              <w:t>3 834</w:t>
            </w:r>
          </w:p>
        </w:tc>
        <w:tc>
          <w:tcPr>
            <w:tcW w:w="1531" w:type="dxa"/>
            <w:vAlign w:val="bottom"/>
          </w:tcPr>
          <w:p w14:paraId="4ADF2933" w14:textId="77777777" w:rsidR="00FB5817" w:rsidRPr="00AA5833" w:rsidRDefault="00FB5817" w:rsidP="00FB5817">
            <w:pPr>
              <w:jc w:val="right"/>
              <w:rPr>
                <w:color w:val="000000"/>
                <w:sz w:val="22"/>
                <w:szCs w:val="22"/>
              </w:rPr>
            </w:pPr>
            <w:r w:rsidRPr="00AA5833">
              <w:rPr>
                <w:color w:val="000000"/>
                <w:sz w:val="22"/>
                <w:szCs w:val="22"/>
              </w:rPr>
              <w:t>611</w:t>
            </w:r>
          </w:p>
        </w:tc>
        <w:tc>
          <w:tcPr>
            <w:tcW w:w="992" w:type="dxa"/>
            <w:vAlign w:val="bottom"/>
          </w:tcPr>
          <w:p w14:paraId="6E3C5F65" w14:textId="77777777" w:rsidR="00FB5817" w:rsidRPr="00AA5833" w:rsidRDefault="00FB5817" w:rsidP="00FB5817">
            <w:pPr>
              <w:jc w:val="right"/>
              <w:rPr>
                <w:color w:val="000000"/>
                <w:sz w:val="22"/>
                <w:szCs w:val="22"/>
              </w:rPr>
            </w:pPr>
            <w:r w:rsidRPr="00AA5833">
              <w:rPr>
                <w:color w:val="000000"/>
                <w:sz w:val="22"/>
                <w:szCs w:val="22"/>
              </w:rPr>
              <w:t>722</w:t>
            </w:r>
          </w:p>
        </w:tc>
        <w:tc>
          <w:tcPr>
            <w:tcW w:w="1163" w:type="dxa"/>
            <w:vAlign w:val="bottom"/>
          </w:tcPr>
          <w:p w14:paraId="1D2485AD" w14:textId="77777777" w:rsidR="00FB5817" w:rsidRPr="00AA5833" w:rsidRDefault="00FB5817" w:rsidP="00FB5817">
            <w:pPr>
              <w:jc w:val="right"/>
              <w:rPr>
                <w:color w:val="000000"/>
                <w:sz w:val="22"/>
                <w:szCs w:val="22"/>
              </w:rPr>
            </w:pPr>
            <w:r w:rsidRPr="00AA5833">
              <w:rPr>
                <w:color w:val="000000"/>
                <w:sz w:val="22"/>
                <w:szCs w:val="22"/>
              </w:rPr>
              <w:t>2 492</w:t>
            </w:r>
          </w:p>
        </w:tc>
        <w:tc>
          <w:tcPr>
            <w:tcW w:w="1105" w:type="dxa"/>
            <w:vAlign w:val="bottom"/>
          </w:tcPr>
          <w:p w14:paraId="1D290B8D" w14:textId="77777777" w:rsidR="00FB5817" w:rsidRPr="00AA5833" w:rsidRDefault="00FB5817" w:rsidP="00FB5817">
            <w:pPr>
              <w:jc w:val="right"/>
              <w:rPr>
                <w:color w:val="000000"/>
                <w:sz w:val="22"/>
                <w:szCs w:val="22"/>
              </w:rPr>
            </w:pPr>
            <w:r w:rsidRPr="00AA5833">
              <w:rPr>
                <w:color w:val="000000"/>
                <w:sz w:val="22"/>
                <w:szCs w:val="22"/>
              </w:rPr>
              <w:t>2 217</w:t>
            </w:r>
          </w:p>
        </w:tc>
        <w:tc>
          <w:tcPr>
            <w:tcW w:w="1100" w:type="dxa"/>
            <w:vAlign w:val="bottom"/>
          </w:tcPr>
          <w:p w14:paraId="4AACE18F" w14:textId="77777777" w:rsidR="00FB5817" w:rsidRPr="00AA5833" w:rsidRDefault="00FB5817" w:rsidP="00FB5817">
            <w:pPr>
              <w:jc w:val="right"/>
              <w:rPr>
                <w:color w:val="000000"/>
                <w:sz w:val="22"/>
                <w:szCs w:val="22"/>
              </w:rPr>
            </w:pPr>
            <w:r w:rsidRPr="00AA5833">
              <w:rPr>
                <w:color w:val="000000"/>
                <w:sz w:val="22"/>
                <w:szCs w:val="22"/>
              </w:rPr>
              <w:t>275</w:t>
            </w:r>
          </w:p>
        </w:tc>
        <w:tc>
          <w:tcPr>
            <w:tcW w:w="1055" w:type="dxa"/>
            <w:vAlign w:val="bottom"/>
          </w:tcPr>
          <w:p w14:paraId="655613C6" w14:textId="77777777" w:rsidR="00FB5817" w:rsidRPr="00AA5833" w:rsidRDefault="00FB5817" w:rsidP="00FB5817">
            <w:pPr>
              <w:jc w:val="right"/>
              <w:rPr>
                <w:color w:val="000000"/>
                <w:sz w:val="22"/>
                <w:szCs w:val="22"/>
              </w:rPr>
            </w:pPr>
            <w:r w:rsidRPr="00AA5833">
              <w:rPr>
                <w:color w:val="000000"/>
                <w:sz w:val="22"/>
                <w:szCs w:val="22"/>
              </w:rPr>
              <w:t>9</w:t>
            </w:r>
          </w:p>
        </w:tc>
      </w:tr>
      <w:tr w:rsidR="00FB5817" w:rsidRPr="00AA5833" w14:paraId="6466CF32" w14:textId="77777777" w:rsidTr="00FB5817">
        <w:tc>
          <w:tcPr>
            <w:tcW w:w="1238" w:type="dxa"/>
          </w:tcPr>
          <w:p w14:paraId="13A02B9C" w14:textId="77777777" w:rsidR="00FB5817" w:rsidRPr="00AA5833" w:rsidRDefault="00FB5817" w:rsidP="00FB5817">
            <w:pPr>
              <w:jc w:val="both"/>
              <w:outlineLvl w:val="3"/>
              <w:rPr>
                <w:rFonts w:eastAsia="Calibri"/>
                <w:sz w:val="22"/>
                <w:szCs w:val="22"/>
              </w:rPr>
            </w:pPr>
            <w:r w:rsidRPr="00AA5833">
              <w:rPr>
                <w:rFonts w:eastAsia="Calibri"/>
                <w:sz w:val="22"/>
                <w:szCs w:val="22"/>
              </w:rPr>
              <w:t>30 - 34</w:t>
            </w:r>
          </w:p>
        </w:tc>
        <w:tc>
          <w:tcPr>
            <w:tcW w:w="1025" w:type="dxa"/>
            <w:vAlign w:val="bottom"/>
          </w:tcPr>
          <w:p w14:paraId="02B5CC1A" w14:textId="77777777" w:rsidR="00FB5817" w:rsidRPr="00AA5833" w:rsidRDefault="00FB5817" w:rsidP="00FB5817">
            <w:pPr>
              <w:jc w:val="right"/>
              <w:rPr>
                <w:color w:val="000000"/>
                <w:sz w:val="22"/>
                <w:szCs w:val="22"/>
              </w:rPr>
            </w:pPr>
            <w:r w:rsidRPr="00AA5833">
              <w:rPr>
                <w:color w:val="000000"/>
                <w:sz w:val="22"/>
                <w:szCs w:val="22"/>
              </w:rPr>
              <w:t>4 384</w:t>
            </w:r>
          </w:p>
        </w:tc>
        <w:tc>
          <w:tcPr>
            <w:tcW w:w="1531" w:type="dxa"/>
            <w:vAlign w:val="bottom"/>
          </w:tcPr>
          <w:p w14:paraId="1363BF6A" w14:textId="77777777" w:rsidR="00FB5817" w:rsidRPr="00AA5833" w:rsidRDefault="00FB5817" w:rsidP="00FB5817">
            <w:pPr>
              <w:jc w:val="right"/>
              <w:rPr>
                <w:color w:val="000000"/>
                <w:sz w:val="22"/>
                <w:szCs w:val="22"/>
              </w:rPr>
            </w:pPr>
            <w:r w:rsidRPr="00AA5833">
              <w:rPr>
                <w:color w:val="000000"/>
                <w:sz w:val="22"/>
                <w:szCs w:val="22"/>
              </w:rPr>
              <w:t>806</w:t>
            </w:r>
          </w:p>
        </w:tc>
        <w:tc>
          <w:tcPr>
            <w:tcW w:w="992" w:type="dxa"/>
            <w:vAlign w:val="bottom"/>
          </w:tcPr>
          <w:p w14:paraId="74B3014D" w14:textId="77777777" w:rsidR="00FB5817" w:rsidRPr="00AA5833" w:rsidRDefault="00FB5817" w:rsidP="00FB5817">
            <w:pPr>
              <w:jc w:val="right"/>
              <w:rPr>
                <w:color w:val="000000"/>
                <w:sz w:val="22"/>
                <w:szCs w:val="22"/>
              </w:rPr>
            </w:pPr>
            <w:r w:rsidRPr="00AA5833">
              <w:rPr>
                <w:color w:val="000000"/>
                <w:sz w:val="22"/>
                <w:szCs w:val="22"/>
              </w:rPr>
              <w:t>895</w:t>
            </w:r>
          </w:p>
        </w:tc>
        <w:tc>
          <w:tcPr>
            <w:tcW w:w="1163" w:type="dxa"/>
            <w:vAlign w:val="bottom"/>
          </w:tcPr>
          <w:p w14:paraId="1245D5DF" w14:textId="77777777" w:rsidR="00FB5817" w:rsidRPr="00AA5833" w:rsidRDefault="00FB5817" w:rsidP="00FB5817">
            <w:pPr>
              <w:jc w:val="right"/>
              <w:rPr>
                <w:color w:val="000000"/>
                <w:sz w:val="22"/>
                <w:szCs w:val="22"/>
              </w:rPr>
            </w:pPr>
            <w:r w:rsidRPr="00AA5833">
              <w:rPr>
                <w:color w:val="000000"/>
                <w:sz w:val="22"/>
                <w:szCs w:val="22"/>
              </w:rPr>
              <w:t>2 676</w:t>
            </w:r>
          </w:p>
        </w:tc>
        <w:tc>
          <w:tcPr>
            <w:tcW w:w="1105" w:type="dxa"/>
            <w:vAlign w:val="bottom"/>
          </w:tcPr>
          <w:p w14:paraId="1C2A78E5" w14:textId="77777777" w:rsidR="00FB5817" w:rsidRPr="00AA5833" w:rsidRDefault="00FB5817" w:rsidP="00FB5817">
            <w:pPr>
              <w:jc w:val="right"/>
              <w:rPr>
                <w:color w:val="000000"/>
                <w:sz w:val="22"/>
                <w:szCs w:val="22"/>
              </w:rPr>
            </w:pPr>
            <w:r w:rsidRPr="00AA5833">
              <w:rPr>
                <w:color w:val="000000"/>
                <w:sz w:val="22"/>
                <w:szCs w:val="22"/>
              </w:rPr>
              <w:t>2 328</w:t>
            </w:r>
          </w:p>
        </w:tc>
        <w:tc>
          <w:tcPr>
            <w:tcW w:w="1100" w:type="dxa"/>
            <w:vAlign w:val="bottom"/>
          </w:tcPr>
          <w:p w14:paraId="246CBB77" w14:textId="77777777" w:rsidR="00FB5817" w:rsidRPr="00AA5833" w:rsidRDefault="00FB5817" w:rsidP="00FB5817">
            <w:pPr>
              <w:jc w:val="right"/>
              <w:rPr>
                <w:color w:val="000000"/>
                <w:sz w:val="22"/>
                <w:szCs w:val="22"/>
              </w:rPr>
            </w:pPr>
            <w:r w:rsidRPr="00AA5833">
              <w:rPr>
                <w:color w:val="000000"/>
                <w:sz w:val="22"/>
                <w:szCs w:val="22"/>
              </w:rPr>
              <w:t>348</w:t>
            </w:r>
          </w:p>
        </w:tc>
        <w:tc>
          <w:tcPr>
            <w:tcW w:w="1055" w:type="dxa"/>
            <w:vAlign w:val="bottom"/>
          </w:tcPr>
          <w:p w14:paraId="7A6088A3" w14:textId="77777777" w:rsidR="00FB5817" w:rsidRPr="00AA5833" w:rsidRDefault="00FB5817" w:rsidP="00FB5817">
            <w:pPr>
              <w:jc w:val="right"/>
              <w:rPr>
                <w:color w:val="000000"/>
                <w:sz w:val="22"/>
                <w:szCs w:val="22"/>
              </w:rPr>
            </w:pPr>
            <w:r w:rsidRPr="00AA5833">
              <w:rPr>
                <w:color w:val="000000"/>
                <w:sz w:val="22"/>
                <w:szCs w:val="22"/>
              </w:rPr>
              <w:t>7</w:t>
            </w:r>
          </w:p>
        </w:tc>
      </w:tr>
      <w:tr w:rsidR="00FB5817" w:rsidRPr="00AA5833" w14:paraId="31A1C677" w14:textId="77777777" w:rsidTr="00FB5817">
        <w:tc>
          <w:tcPr>
            <w:tcW w:w="1238" w:type="dxa"/>
          </w:tcPr>
          <w:p w14:paraId="5727A647" w14:textId="77777777" w:rsidR="00FB5817" w:rsidRPr="00AA5833" w:rsidRDefault="00FB5817" w:rsidP="00FB5817">
            <w:pPr>
              <w:jc w:val="both"/>
              <w:outlineLvl w:val="3"/>
              <w:rPr>
                <w:rFonts w:eastAsia="Calibri"/>
                <w:sz w:val="22"/>
                <w:szCs w:val="22"/>
              </w:rPr>
            </w:pPr>
            <w:r w:rsidRPr="00AA5833">
              <w:rPr>
                <w:rFonts w:eastAsia="Calibri"/>
                <w:sz w:val="22"/>
                <w:szCs w:val="22"/>
              </w:rPr>
              <w:t>35 - 39</w:t>
            </w:r>
          </w:p>
        </w:tc>
        <w:tc>
          <w:tcPr>
            <w:tcW w:w="1025" w:type="dxa"/>
            <w:vAlign w:val="bottom"/>
          </w:tcPr>
          <w:p w14:paraId="2722C7F6" w14:textId="77777777" w:rsidR="00FB5817" w:rsidRPr="00AA5833" w:rsidRDefault="00FB5817" w:rsidP="00FB5817">
            <w:pPr>
              <w:jc w:val="right"/>
              <w:rPr>
                <w:color w:val="000000"/>
                <w:sz w:val="22"/>
                <w:szCs w:val="22"/>
              </w:rPr>
            </w:pPr>
            <w:r w:rsidRPr="00AA5833">
              <w:rPr>
                <w:color w:val="000000"/>
                <w:sz w:val="22"/>
                <w:szCs w:val="22"/>
              </w:rPr>
              <w:t>3 741</w:t>
            </w:r>
          </w:p>
        </w:tc>
        <w:tc>
          <w:tcPr>
            <w:tcW w:w="1531" w:type="dxa"/>
            <w:vAlign w:val="bottom"/>
          </w:tcPr>
          <w:p w14:paraId="7C5DFDDB" w14:textId="77777777" w:rsidR="00FB5817" w:rsidRPr="00AA5833" w:rsidRDefault="00FB5817" w:rsidP="00FB5817">
            <w:pPr>
              <w:jc w:val="right"/>
              <w:rPr>
                <w:color w:val="000000"/>
                <w:sz w:val="22"/>
                <w:szCs w:val="22"/>
              </w:rPr>
            </w:pPr>
            <w:r w:rsidRPr="00AA5833">
              <w:rPr>
                <w:color w:val="000000"/>
                <w:sz w:val="22"/>
                <w:szCs w:val="22"/>
              </w:rPr>
              <w:t>752</w:t>
            </w:r>
          </w:p>
        </w:tc>
        <w:tc>
          <w:tcPr>
            <w:tcW w:w="992" w:type="dxa"/>
            <w:vAlign w:val="bottom"/>
          </w:tcPr>
          <w:p w14:paraId="3CE0C46D" w14:textId="77777777" w:rsidR="00FB5817" w:rsidRPr="00AA5833" w:rsidRDefault="00FB5817" w:rsidP="00FB5817">
            <w:pPr>
              <w:jc w:val="right"/>
              <w:rPr>
                <w:color w:val="000000"/>
                <w:sz w:val="22"/>
                <w:szCs w:val="22"/>
              </w:rPr>
            </w:pPr>
            <w:r w:rsidRPr="00AA5833">
              <w:rPr>
                <w:color w:val="000000"/>
                <w:sz w:val="22"/>
                <w:szCs w:val="22"/>
              </w:rPr>
              <w:t>750</w:t>
            </w:r>
          </w:p>
        </w:tc>
        <w:tc>
          <w:tcPr>
            <w:tcW w:w="1163" w:type="dxa"/>
            <w:vAlign w:val="bottom"/>
          </w:tcPr>
          <w:p w14:paraId="15DC6BD5" w14:textId="77777777" w:rsidR="00FB5817" w:rsidRPr="00AA5833" w:rsidRDefault="00FB5817" w:rsidP="00FB5817">
            <w:pPr>
              <w:jc w:val="right"/>
              <w:rPr>
                <w:color w:val="000000"/>
                <w:sz w:val="22"/>
                <w:szCs w:val="22"/>
              </w:rPr>
            </w:pPr>
            <w:r w:rsidRPr="00AA5833">
              <w:rPr>
                <w:color w:val="000000"/>
                <w:sz w:val="22"/>
                <w:szCs w:val="22"/>
              </w:rPr>
              <w:t>2 232</w:t>
            </w:r>
          </w:p>
        </w:tc>
        <w:tc>
          <w:tcPr>
            <w:tcW w:w="1105" w:type="dxa"/>
            <w:vAlign w:val="bottom"/>
          </w:tcPr>
          <w:p w14:paraId="442182E0" w14:textId="77777777" w:rsidR="00FB5817" w:rsidRPr="00AA5833" w:rsidRDefault="00FB5817" w:rsidP="00FB5817">
            <w:pPr>
              <w:jc w:val="right"/>
              <w:rPr>
                <w:color w:val="000000"/>
                <w:sz w:val="22"/>
                <w:szCs w:val="22"/>
              </w:rPr>
            </w:pPr>
            <w:r w:rsidRPr="00AA5833">
              <w:rPr>
                <w:color w:val="000000"/>
                <w:sz w:val="22"/>
                <w:szCs w:val="22"/>
              </w:rPr>
              <w:t>1 916</w:t>
            </w:r>
          </w:p>
        </w:tc>
        <w:tc>
          <w:tcPr>
            <w:tcW w:w="1100" w:type="dxa"/>
            <w:vAlign w:val="bottom"/>
          </w:tcPr>
          <w:p w14:paraId="54A6A391" w14:textId="77777777" w:rsidR="00FB5817" w:rsidRPr="00AA5833" w:rsidRDefault="00FB5817" w:rsidP="00FB5817">
            <w:pPr>
              <w:jc w:val="right"/>
              <w:rPr>
                <w:color w:val="000000"/>
                <w:sz w:val="22"/>
                <w:szCs w:val="22"/>
              </w:rPr>
            </w:pPr>
            <w:r w:rsidRPr="00AA5833">
              <w:rPr>
                <w:color w:val="000000"/>
                <w:sz w:val="22"/>
                <w:szCs w:val="22"/>
              </w:rPr>
              <w:t>316</w:t>
            </w:r>
          </w:p>
        </w:tc>
        <w:tc>
          <w:tcPr>
            <w:tcW w:w="1055" w:type="dxa"/>
            <w:vAlign w:val="bottom"/>
          </w:tcPr>
          <w:p w14:paraId="17DDC380" w14:textId="77777777" w:rsidR="00FB5817" w:rsidRPr="00AA5833" w:rsidRDefault="00FB5817" w:rsidP="00FB5817">
            <w:pPr>
              <w:jc w:val="right"/>
              <w:rPr>
                <w:color w:val="000000"/>
                <w:sz w:val="22"/>
                <w:szCs w:val="22"/>
              </w:rPr>
            </w:pPr>
            <w:r w:rsidRPr="00AA5833">
              <w:rPr>
                <w:color w:val="000000"/>
                <w:sz w:val="22"/>
                <w:szCs w:val="22"/>
              </w:rPr>
              <w:t>7</w:t>
            </w:r>
          </w:p>
        </w:tc>
      </w:tr>
      <w:tr w:rsidR="00FB5817" w:rsidRPr="00AA5833" w14:paraId="054C7CBB" w14:textId="77777777" w:rsidTr="00FB5817">
        <w:tc>
          <w:tcPr>
            <w:tcW w:w="1238" w:type="dxa"/>
          </w:tcPr>
          <w:p w14:paraId="26478937" w14:textId="77777777" w:rsidR="00FB5817" w:rsidRPr="00AA5833" w:rsidRDefault="00FB5817" w:rsidP="00FB5817">
            <w:pPr>
              <w:jc w:val="both"/>
              <w:outlineLvl w:val="3"/>
              <w:rPr>
                <w:rFonts w:eastAsia="Calibri"/>
                <w:sz w:val="22"/>
                <w:szCs w:val="22"/>
              </w:rPr>
            </w:pPr>
            <w:r w:rsidRPr="00AA5833">
              <w:rPr>
                <w:rFonts w:eastAsia="Calibri"/>
                <w:sz w:val="22"/>
                <w:szCs w:val="22"/>
              </w:rPr>
              <w:t>40 - 44</w:t>
            </w:r>
          </w:p>
        </w:tc>
        <w:tc>
          <w:tcPr>
            <w:tcW w:w="1025" w:type="dxa"/>
            <w:vAlign w:val="bottom"/>
          </w:tcPr>
          <w:p w14:paraId="2167CF7C" w14:textId="77777777" w:rsidR="00FB5817" w:rsidRPr="00AA5833" w:rsidRDefault="00FB5817" w:rsidP="00FB5817">
            <w:pPr>
              <w:jc w:val="right"/>
              <w:rPr>
                <w:color w:val="000000"/>
                <w:sz w:val="22"/>
                <w:szCs w:val="22"/>
              </w:rPr>
            </w:pPr>
            <w:r w:rsidRPr="00AA5833">
              <w:rPr>
                <w:color w:val="000000"/>
                <w:sz w:val="22"/>
                <w:szCs w:val="22"/>
              </w:rPr>
              <w:t>1 446</w:t>
            </w:r>
          </w:p>
        </w:tc>
        <w:tc>
          <w:tcPr>
            <w:tcW w:w="1531" w:type="dxa"/>
            <w:vAlign w:val="bottom"/>
          </w:tcPr>
          <w:p w14:paraId="268F8CFC" w14:textId="77777777" w:rsidR="00FB5817" w:rsidRPr="00AA5833" w:rsidRDefault="00FB5817" w:rsidP="00FB5817">
            <w:pPr>
              <w:jc w:val="right"/>
              <w:rPr>
                <w:color w:val="000000"/>
                <w:sz w:val="22"/>
                <w:szCs w:val="22"/>
              </w:rPr>
            </w:pPr>
            <w:r w:rsidRPr="00AA5833">
              <w:rPr>
                <w:color w:val="000000"/>
                <w:sz w:val="22"/>
                <w:szCs w:val="22"/>
              </w:rPr>
              <w:t>369</w:t>
            </w:r>
          </w:p>
        </w:tc>
        <w:tc>
          <w:tcPr>
            <w:tcW w:w="992" w:type="dxa"/>
            <w:vAlign w:val="bottom"/>
          </w:tcPr>
          <w:p w14:paraId="6C205737" w14:textId="77777777" w:rsidR="00FB5817" w:rsidRPr="00AA5833" w:rsidRDefault="00FB5817" w:rsidP="00FB5817">
            <w:pPr>
              <w:jc w:val="right"/>
              <w:rPr>
                <w:color w:val="000000"/>
                <w:sz w:val="22"/>
                <w:szCs w:val="22"/>
              </w:rPr>
            </w:pPr>
            <w:r w:rsidRPr="00AA5833">
              <w:rPr>
                <w:color w:val="000000"/>
                <w:sz w:val="22"/>
                <w:szCs w:val="22"/>
              </w:rPr>
              <w:t>324</w:t>
            </w:r>
          </w:p>
        </w:tc>
        <w:tc>
          <w:tcPr>
            <w:tcW w:w="1163" w:type="dxa"/>
            <w:vAlign w:val="bottom"/>
          </w:tcPr>
          <w:p w14:paraId="2FBED79C" w14:textId="77777777" w:rsidR="00FB5817" w:rsidRPr="00AA5833" w:rsidRDefault="00FB5817" w:rsidP="00FB5817">
            <w:pPr>
              <w:jc w:val="right"/>
              <w:rPr>
                <w:color w:val="000000"/>
                <w:sz w:val="22"/>
                <w:szCs w:val="22"/>
              </w:rPr>
            </w:pPr>
            <w:r w:rsidRPr="00AA5833">
              <w:rPr>
                <w:color w:val="000000"/>
                <w:sz w:val="22"/>
                <w:szCs w:val="22"/>
              </w:rPr>
              <w:t>751</w:t>
            </w:r>
          </w:p>
        </w:tc>
        <w:tc>
          <w:tcPr>
            <w:tcW w:w="1105" w:type="dxa"/>
            <w:vAlign w:val="bottom"/>
          </w:tcPr>
          <w:p w14:paraId="4762549D" w14:textId="77777777" w:rsidR="00FB5817" w:rsidRPr="00AA5833" w:rsidRDefault="00FB5817" w:rsidP="00FB5817">
            <w:pPr>
              <w:jc w:val="right"/>
              <w:rPr>
                <w:color w:val="000000"/>
                <w:sz w:val="22"/>
                <w:szCs w:val="22"/>
              </w:rPr>
            </w:pPr>
            <w:r w:rsidRPr="00AA5833">
              <w:rPr>
                <w:color w:val="000000"/>
                <w:sz w:val="22"/>
                <w:szCs w:val="22"/>
              </w:rPr>
              <w:t>622</w:t>
            </w:r>
          </w:p>
        </w:tc>
        <w:tc>
          <w:tcPr>
            <w:tcW w:w="1100" w:type="dxa"/>
            <w:vAlign w:val="bottom"/>
          </w:tcPr>
          <w:p w14:paraId="2254D5D1" w14:textId="77777777" w:rsidR="00FB5817" w:rsidRPr="00AA5833" w:rsidRDefault="00FB5817" w:rsidP="00FB5817">
            <w:pPr>
              <w:jc w:val="right"/>
              <w:rPr>
                <w:color w:val="000000"/>
                <w:sz w:val="22"/>
                <w:szCs w:val="22"/>
              </w:rPr>
            </w:pPr>
            <w:r w:rsidRPr="00AA5833">
              <w:rPr>
                <w:color w:val="000000"/>
                <w:sz w:val="22"/>
                <w:szCs w:val="22"/>
              </w:rPr>
              <w:t>129</w:t>
            </w:r>
          </w:p>
        </w:tc>
        <w:tc>
          <w:tcPr>
            <w:tcW w:w="1055" w:type="dxa"/>
            <w:vAlign w:val="bottom"/>
          </w:tcPr>
          <w:p w14:paraId="2B9B710B" w14:textId="77777777" w:rsidR="00FB5817" w:rsidRPr="00AA5833" w:rsidRDefault="00FB5817" w:rsidP="00FB5817">
            <w:pPr>
              <w:jc w:val="right"/>
              <w:rPr>
                <w:color w:val="000000"/>
                <w:sz w:val="22"/>
                <w:szCs w:val="22"/>
              </w:rPr>
            </w:pPr>
            <w:r w:rsidRPr="00AA5833">
              <w:rPr>
                <w:color w:val="000000"/>
                <w:sz w:val="22"/>
                <w:szCs w:val="22"/>
              </w:rPr>
              <w:t>2</w:t>
            </w:r>
          </w:p>
        </w:tc>
      </w:tr>
      <w:tr w:rsidR="00FB5817" w:rsidRPr="00AA5833" w14:paraId="6E376EF4" w14:textId="77777777" w:rsidTr="00FB5817">
        <w:tc>
          <w:tcPr>
            <w:tcW w:w="1238" w:type="dxa"/>
          </w:tcPr>
          <w:p w14:paraId="6259BB38" w14:textId="77777777" w:rsidR="00FB5817" w:rsidRPr="00AA5833" w:rsidRDefault="00FB5817" w:rsidP="00FB5817">
            <w:pPr>
              <w:jc w:val="both"/>
              <w:outlineLvl w:val="3"/>
              <w:rPr>
                <w:rFonts w:eastAsia="Calibri"/>
                <w:sz w:val="22"/>
                <w:szCs w:val="22"/>
              </w:rPr>
            </w:pPr>
            <w:r w:rsidRPr="00AA5833">
              <w:rPr>
                <w:rFonts w:eastAsia="Calibri"/>
                <w:sz w:val="22"/>
                <w:szCs w:val="22"/>
              </w:rPr>
              <w:t>45 - 49</w:t>
            </w:r>
          </w:p>
        </w:tc>
        <w:tc>
          <w:tcPr>
            <w:tcW w:w="1025" w:type="dxa"/>
            <w:vAlign w:val="bottom"/>
          </w:tcPr>
          <w:p w14:paraId="27703068" w14:textId="77777777" w:rsidR="00FB5817" w:rsidRPr="00AA5833" w:rsidRDefault="00FB5817" w:rsidP="00FB5817">
            <w:pPr>
              <w:jc w:val="right"/>
              <w:rPr>
                <w:color w:val="000000"/>
                <w:sz w:val="22"/>
                <w:szCs w:val="22"/>
              </w:rPr>
            </w:pPr>
            <w:r w:rsidRPr="00AA5833">
              <w:rPr>
                <w:color w:val="000000"/>
                <w:sz w:val="22"/>
                <w:szCs w:val="22"/>
              </w:rPr>
              <w:t>166</w:t>
            </w:r>
          </w:p>
        </w:tc>
        <w:tc>
          <w:tcPr>
            <w:tcW w:w="1531" w:type="dxa"/>
            <w:vAlign w:val="bottom"/>
          </w:tcPr>
          <w:p w14:paraId="15FDD030" w14:textId="77777777" w:rsidR="00FB5817" w:rsidRPr="00AA5833" w:rsidRDefault="00FB5817" w:rsidP="00FB5817">
            <w:pPr>
              <w:jc w:val="right"/>
              <w:rPr>
                <w:color w:val="000000"/>
                <w:sz w:val="22"/>
                <w:szCs w:val="22"/>
              </w:rPr>
            </w:pPr>
            <w:r w:rsidRPr="00AA5833">
              <w:rPr>
                <w:color w:val="000000"/>
                <w:sz w:val="22"/>
                <w:szCs w:val="22"/>
              </w:rPr>
              <w:t>54</w:t>
            </w:r>
          </w:p>
        </w:tc>
        <w:tc>
          <w:tcPr>
            <w:tcW w:w="992" w:type="dxa"/>
            <w:vAlign w:val="bottom"/>
          </w:tcPr>
          <w:p w14:paraId="45288313" w14:textId="77777777" w:rsidR="00FB5817" w:rsidRPr="00AA5833" w:rsidRDefault="00FB5817" w:rsidP="00FB5817">
            <w:pPr>
              <w:jc w:val="right"/>
              <w:rPr>
                <w:color w:val="000000"/>
                <w:sz w:val="22"/>
                <w:szCs w:val="22"/>
              </w:rPr>
            </w:pPr>
            <w:r w:rsidRPr="00AA5833">
              <w:rPr>
                <w:color w:val="000000"/>
                <w:sz w:val="22"/>
                <w:szCs w:val="22"/>
              </w:rPr>
              <w:t>41</w:t>
            </w:r>
          </w:p>
        </w:tc>
        <w:tc>
          <w:tcPr>
            <w:tcW w:w="1163" w:type="dxa"/>
            <w:vAlign w:val="bottom"/>
          </w:tcPr>
          <w:p w14:paraId="3E394E3D" w14:textId="77777777" w:rsidR="00FB5817" w:rsidRPr="00AA5833" w:rsidRDefault="00FB5817" w:rsidP="00FB5817">
            <w:pPr>
              <w:jc w:val="right"/>
              <w:rPr>
                <w:color w:val="000000"/>
                <w:sz w:val="22"/>
                <w:szCs w:val="22"/>
              </w:rPr>
            </w:pPr>
            <w:r w:rsidRPr="00AA5833">
              <w:rPr>
                <w:color w:val="000000"/>
                <w:sz w:val="22"/>
                <w:szCs w:val="22"/>
              </w:rPr>
              <w:t>70</w:t>
            </w:r>
          </w:p>
        </w:tc>
        <w:tc>
          <w:tcPr>
            <w:tcW w:w="1105" w:type="dxa"/>
            <w:vAlign w:val="bottom"/>
          </w:tcPr>
          <w:p w14:paraId="377B47F0" w14:textId="77777777" w:rsidR="00FB5817" w:rsidRPr="00AA5833" w:rsidRDefault="00FB5817" w:rsidP="00FB5817">
            <w:pPr>
              <w:jc w:val="right"/>
              <w:rPr>
                <w:color w:val="000000"/>
                <w:sz w:val="22"/>
                <w:szCs w:val="22"/>
              </w:rPr>
            </w:pPr>
            <w:r w:rsidRPr="00AA5833">
              <w:rPr>
                <w:color w:val="000000"/>
                <w:sz w:val="22"/>
                <w:szCs w:val="22"/>
              </w:rPr>
              <w:t>49</w:t>
            </w:r>
          </w:p>
        </w:tc>
        <w:tc>
          <w:tcPr>
            <w:tcW w:w="1100" w:type="dxa"/>
            <w:vAlign w:val="bottom"/>
          </w:tcPr>
          <w:p w14:paraId="0F838A7F" w14:textId="77777777" w:rsidR="00FB5817" w:rsidRPr="00AA5833" w:rsidRDefault="00FB5817" w:rsidP="00FB5817">
            <w:pPr>
              <w:jc w:val="right"/>
              <w:rPr>
                <w:color w:val="000000"/>
                <w:sz w:val="22"/>
                <w:szCs w:val="22"/>
              </w:rPr>
            </w:pPr>
            <w:r w:rsidRPr="00AA5833">
              <w:rPr>
                <w:color w:val="000000"/>
                <w:sz w:val="22"/>
                <w:szCs w:val="22"/>
              </w:rPr>
              <w:t>21</w:t>
            </w:r>
          </w:p>
        </w:tc>
        <w:tc>
          <w:tcPr>
            <w:tcW w:w="1055" w:type="dxa"/>
            <w:vAlign w:val="bottom"/>
          </w:tcPr>
          <w:p w14:paraId="4464E87A" w14:textId="77777777" w:rsidR="00FB5817" w:rsidRPr="00AA5833" w:rsidRDefault="00FB5817" w:rsidP="00FB5817">
            <w:pPr>
              <w:jc w:val="right"/>
              <w:rPr>
                <w:color w:val="000000"/>
                <w:sz w:val="22"/>
                <w:szCs w:val="22"/>
              </w:rPr>
            </w:pPr>
            <w:r w:rsidRPr="00AA5833">
              <w:rPr>
                <w:color w:val="000000"/>
                <w:sz w:val="22"/>
                <w:szCs w:val="22"/>
              </w:rPr>
              <w:t>1</w:t>
            </w:r>
          </w:p>
        </w:tc>
      </w:tr>
      <w:tr w:rsidR="00FB5817" w:rsidRPr="00AA5833" w14:paraId="42CAFB0B" w14:textId="77777777" w:rsidTr="00FB5817">
        <w:tc>
          <w:tcPr>
            <w:tcW w:w="1238" w:type="dxa"/>
          </w:tcPr>
          <w:p w14:paraId="5FA8704A" w14:textId="77777777" w:rsidR="00FB5817" w:rsidRPr="00AA5833" w:rsidRDefault="00FB5817" w:rsidP="00FB5817">
            <w:pPr>
              <w:jc w:val="both"/>
              <w:outlineLvl w:val="3"/>
              <w:rPr>
                <w:rFonts w:eastAsia="Calibri"/>
                <w:sz w:val="22"/>
                <w:szCs w:val="22"/>
              </w:rPr>
            </w:pPr>
            <w:r w:rsidRPr="00AA5833">
              <w:rPr>
                <w:rFonts w:eastAsia="Calibri"/>
                <w:sz w:val="22"/>
                <w:szCs w:val="22"/>
              </w:rPr>
              <w:t>50 +</w:t>
            </w:r>
          </w:p>
        </w:tc>
        <w:tc>
          <w:tcPr>
            <w:tcW w:w="1025" w:type="dxa"/>
            <w:vAlign w:val="bottom"/>
          </w:tcPr>
          <w:p w14:paraId="5BE8A537" w14:textId="77777777" w:rsidR="00FB5817" w:rsidRPr="00AA5833" w:rsidRDefault="00FB5817" w:rsidP="00FB5817">
            <w:pPr>
              <w:jc w:val="right"/>
              <w:rPr>
                <w:color w:val="000000"/>
                <w:sz w:val="22"/>
                <w:szCs w:val="22"/>
              </w:rPr>
            </w:pPr>
            <w:r w:rsidRPr="00AA5833">
              <w:rPr>
                <w:color w:val="000000"/>
                <w:sz w:val="22"/>
                <w:szCs w:val="22"/>
              </w:rPr>
              <w:t>15</w:t>
            </w:r>
          </w:p>
        </w:tc>
        <w:tc>
          <w:tcPr>
            <w:tcW w:w="1531" w:type="dxa"/>
            <w:vAlign w:val="bottom"/>
          </w:tcPr>
          <w:p w14:paraId="07172320" w14:textId="77777777" w:rsidR="00FB5817" w:rsidRPr="00AA5833" w:rsidRDefault="00FB5817" w:rsidP="00FB5817">
            <w:pPr>
              <w:jc w:val="right"/>
              <w:rPr>
                <w:color w:val="000000"/>
                <w:sz w:val="22"/>
                <w:szCs w:val="22"/>
              </w:rPr>
            </w:pPr>
            <w:r w:rsidRPr="00AA5833">
              <w:rPr>
                <w:color w:val="000000"/>
                <w:sz w:val="22"/>
                <w:szCs w:val="22"/>
              </w:rPr>
              <w:t>7</w:t>
            </w:r>
          </w:p>
        </w:tc>
        <w:tc>
          <w:tcPr>
            <w:tcW w:w="992" w:type="dxa"/>
            <w:vAlign w:val="bottom"/>
          </w:tcPr>
          <w:p w14:paraId="1DAB2492" w14:textId="77777777" w:rsidR="00FB5817" w:rsidRPr="00AA5833" w:rsidRDefault="00FB5817" w:rsidP="00FB5817">
            <w:pPr>
              <w:jc w:val="right"/>
              <w:rPr>
                <w:color w:val="000000"/>
                <w:sz w:val="22"/>
                <w:szCs w:val="22"/>
              </w:rPr>
            </w:pPr>
            <w:r w:rsidRPr="00AA5833">
              <w:rPr>
                <w:color w:val="000000"/>
                <w:sz w:val="22"/>
                <w:szCs w:val="22"/>
              </w:rPr>
              <w:t>7</w:t>
            </w:r>
          </w:p>
        </w:tc>
        <w:tc>
          <w:tcPr>
            <w:tcW w:w="1163" w:type="dxa"/>
            <w:vAlign w:val="bottom"/>
          </w:tcPr>
          <w:p w14:paraId="49A6B361" w14:textId="77777777" w:rsidR="00FB5817" w:rsidRPr="00AA5833" w:rsidRDefault="00FB5817" w:rsidP="00FB5817">
            <w:pPr>
              <w:jc w:val="right"/>
              <w:rPr>
                <w:color w:val="000000"/>
                <w:sz w:val="22"/>
                <w:szCs w:val="22"/>
              </w:rPr>
            </w:pPr>
            <w:r w:rsidRPr="00AA5833">
              <w:rPr>
                <w:color w:val="000000"/>
                <w:sz w:val="22"/>
                <w:szCs w:val="22"/>
              </w:rPr>
              <w:t>1</w:t>
            </w:r>
          </w:p>
        </w:tc>
        <w:tc>
          <w:tcPr>
            <w:tcW w:w="1105" w:type="dxa"/>
            <w:vAlign w:val="bottom"/>
          </w:tcPr>
          <w:p w14:paraId="1B3C6EE0" w14:textId="77777777" w:rsidR="00FB5817" w:rsidRPr="00AA5833" w:rsidRDefault="00FB5817" w:rsidP="00FB5817">
            <w:pPr>
              <w:jc w:val="right"/>
              <w:rPr>
                <w:color w:val="000000"/>
                <w:sz w:val="22"/>
                <w:szCs w:val="22"/>
              </w:rPr>
            </w:pPr>
            <w:r w:rsidRPr="00AA5833">
              <w:rPr>
                <w:color w:val="000000"/>
                <w:sz w:val="22"/>
                <w:szCs w:val="22"/>
              </w:rPr>
              <w:t>1</w:t>
            </w:r>
          </w:p>
        </w:tc>
        <w:tc>
          <w:tcPr>
            <w:tcW w:w="1100" w:type="dxa"/>
            <w:vAlign w:val="bottom"/>
          </w:tcPr>
          <w:p w14:paraId="78764AA8" w14:textId="77777777" w:rsidR="00FB5817" w:rsidRPr="00AA5833" w:rsidRDefault="00FB5817" w:rsidP="00FB5817">
            <w:pPr>
              <w:jc w:val="right"/>
              <w:rPr>
                <w:color w:val="000000"/>
                <w:sz w:val="22"/>
                <w:szCs w:val="22"/>
              </w:rPr>
            </w:pPr>
            <w:r w:rsidRPr="00AA5833">
              <w:rPr>
                <w:color w:val="000000"/>
                <w:sz w:val="22"/>
                <w:szCs w:val="22"/>
              </w:rPr>
              <w:t>-</w:t>
            </w:r>
          </w:p>
        </w:tc>
        <w:tc>
          <w:tcPr>
            <w:tcW w:w="1055" w:type="dxa"/>
            <w:vAlign w:val="bottom"/>
          </w:tcPr>
          <w:p w14:paraId="6D1B1394" w14:textId="77777777" w:rsidR="00FB5817" w:rsidRPr="00AA5833" w:rsidRDefault="00FB5817" w:rsidP="00FB5817">
            <w:pPr>
              <w:jc w:val="right"/>
              <w:rPr>
                <w:color w:val="000000"/>
                <w:sz w:val="22"/>
                <w:szCs w:val="22"/>
              </w:rPr>
            </w:pPr>
            <w:r w:rsidRPr="00AA5833">
              <w:rPr>
                <w:color w:val="000000"/>
                <w:sz w:val="22"/>
                <w:szCs w:val="22"/>
              </w:rPr>
              <w:t>-</w:t>
            </w:r>
          </w:p>
        </w:tc>
      </w:tr>
    </w:tbl>
    <w:p w14:paraId="000DAC97" w14:textId="77777777" w:rsidR="00FB5817" w:rsidRPr="00AA5833" w:rsidRDefault="00FB5817" w:rsidP="00FB5817">
      <w:pPr>
        <w:spacing w:after="0"/>
        <w:jc w:val="both"/>
        <w:outlineLvl w:val="3"/>
        <w:rPr>
          <w:rFonts w:ascii="Times New Roman" w:eastAsia="Calibri" w:hAnsi="Times New Roman" w:cs="Times New Roman"/>
          <w:bCs/>
          <w:sz w:val="20"/>
          <w:szCs w:val="20"/>
        </w:rPr>
      </w:pPr>
      <w:r w:rsidRPr="00AA5833">
        <w:rPr>
          <w:rFonts w:ascii="Times New Roman" w:eastAsia="Calibri" w:hAnsi="Times New Roman" w:cs="Times New Roman"/>
          <w:sz w:val="20"/>
          <w:szCs w:val="20"/>
        </w:rPr>
        <w:t xml:space="preserve">Източник: </w:t>
      </w:r>
      <w:r w:rsidRPr="00AA5833">
        <w:rPr>
          <w:rFonts w:ascii="Times New Roman" w:eastAsia="Calibri" w:hAnsi="Times New Roman" w:cs="Times New Roman"/>
          <w:bCs/>
          <w:sz w:val="20"/>
          <w:szCs w:val="20"/>
        </w:rPr>
        <w:t>Национален център по обществено здраве и анализи (НЦОЗА)</w:t>
      </w:r>
    </w:p>
    <w:p w14:paraId="27A2DD4C" w14:textId="77777777" w:rsidR="00FB5817" w:rsidRPr="00AA5833" w:rsidRDefault="00FB5817" w:rsidP="00FB5817">
      <w:pPr>
        <w:autoSpaceDE w:val="0"/>
        <w:autoSpaceDN w:val="0"/>
        <w:adjustRightInd w:val="0"/>
        <w:spacing w:after="0" w:line="240" w:lineRule="auto"/>
        <w:ind w:firstLine="709"/>
        <w:jc w:val="both"/>
        <w:rPr>
          <w:rFonts w:ascii="Times New Roman" w:eastAsia="Calibri" w:hAnsi="Times New Roman" w:cs="Times New Roman"/>
          <w:sz w:val="24"/>
          <w:szCs w:val="24"/>
        </w:rPr>
      </w:pPr>
    </w:p>
    <w:p w14:paraId="2E10682E" w14:textId="77777777" w:rsidR="00FB5817" w:rsidRPr="00AA5833" w:rsidRDefault="00FB5817" w:rsidP="00FB581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Приема се, че абортът може да бъде рисков за бъдещите репродуктивни способности на жената, поради което следва да бъде оценяван като един от значимите фактори, оказващи въздействие върху демографския баланс на населението.</w:t>
      </w:r>
    </w:p>
    <w:p w14:paraId="46797D55" w14:textId="77777777" w:rsidR="00FB5817" w:rsidRPr="00AA5833" w:rsidRDefault="00FB5817" w:rsidP="00FB5817">
      <w:pPr>
        <w:autoSpaceDE w:val="0"/>
        <w:autoSpaceDN w:val="0"/>
        <w:adjustRightInd w:val="0"/>
        <w:spacing w:after="0" w:line="240" w:lineRule="auto"/>
        <w:ind w:firstLine="709"/>
        <w:jc w:val="both"/>
        <w:rPr>
          <w:rFonts w:ascii="Times New Roman" w:eastAsia="Calibri" w:hAnsi="Times New Roman" w:cs="Times New Roman"/>
          <w:b/>
          <w:sz w:val="24"/>
          <w:szCs w:val="24"/>
        </w:rPr>
      </w:pPr>
    </w:p>
    <w:p w14:paraId="3DCA10CD" w14:textId="77777777" w:rsidR="00FB5817" w:rsidRPr="00AA5833" w:rsidRDefault="00FB5817" w:rsidP="00FB581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b/>
          <w:sz w:val="24"/>
          <w:szCs w:val="24"/>
        </w:rPr>
        <w:t>Легалният аборт продължава да се приема и да се използва често като предпочитан и достъпен изход за освобождаване от нежелана бременност, макар да са известни опасностите и вредите за здравето и детеродната способност на жената от подобна интервенция.</w:t>
      </w:r>
      <w:r w:rsidRPr="00AA5833">
        <w:rPr>
          <w:rFonts w:ascii="Times New Roman" w:eastAsia="Calibri" w:hAnsi="Times New Roman" w:cs="Times New Roman"/>
          <w:sz w:val="24"/>
          <w:szCs w:val="24"/>
        </w:rPr>
        <w:t xml:space="preserve"> </w:t>
      </w:r>
    </w:p>
    <w:p w14:paraId="0BF36A08" w14:textId="77777777" w:rsidR="006856A7" w:rsidRPr="00AA5833" w:rsidRDefault="006856A7" w:rsidP="006856A7">
      <w:pPr>
        <w:autoSpaceDE w:val="0"/>
        <w:autoSpaceDN w:val="0"/>
        <w:adjustRightInd w:val="0"/>
        <w:spacing w:after="0" w:line="240" w:lineRule="auto"/>
        <w:ind w:firstLine="709"/>
        <w:jc w:val="both"/>
        <w:rPr>
          <w:rFonts w:ascii="Times New Roman" w:eastAsia="Calibri" w:hAnsi="Times New Roman" w:cs="Times New Roman"/>
          <w:sz w:val="24"/>
          <w:szCs w:val="24"/>
        </w:rPr>
      </w:pPr>
    </w:p>
    <w:p w14:paraId="14377B6B"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1.2.2. Семейства и семейни отношения. Бракове и бракоразводи</w:t>
      </w:r>
    </w:p>
    <w:p w14:paraId="2F86686D" w14:textId="77777777" w:rsidR="008C6518" w:rsidRPr="00AA5833" w:rsidRDefault="008C6518" w:rsidP="008C6518">
      <w:pPr>
        <w:spacing w:after="120" w:line="240" w:lineRule="auto"/>
        <w:ind w:right="-79"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w:t>
      </w:r>
      <w:r w:rsidRPr="00AA5833">
        <w:rPr>
          <w:rFonts w:ascii="Times New Roman" w:eastAsia="Times New Roman" w:hAnsi="Times New Roman" w:cs="Times New Roman"/>
          <w:b/>
          <w:sz w:val="24"/>
          <w:szCs w:val="24"/>
          <w:lang w:eastAsia="bg-BG"/>
        </w:rPr>
        <w:t>регистрирани 20 643 юридически брака</w:t>
      </w:r>
      <w:r w:rsidRPr="00AA5833">
        <w:rPr>
          <w:rFonts w:ascii="Times New Roman" w:eastAsia="Times New Roman" w:hAnsi="Times New Roman" w:cs="Times New Roman"/>
          <w:sz w:val="24"/>
          <w:szCs w:val="24"/>
          <w:lang w:eastAsia="bg-BG"/>
        </w:rPr>
        <w:t xml:space="preserve"> – с 1157 по-малко спрямо предходната година, а коефициентът на брачност</w:t>
      </w:r>
      <w:r w:rsidRPr="00AA5833">
        <w:rPr>
          <w:rFonts w:ascii="Times New Roman" w:eastAsia="Times New Roman" w:hAnsi="Times New Roman" w:cs="Times New Roman"/>
          <w:sz w:val="24"/>
          <w:szCs w:val="24"/>
          <w:vertAlign w:val="superscript"/>
          <w:lang w:eastAsia="bg-BG"/>
        </w:rPr>
        <w:footnoteReference w:id="14"/>
      </w:r>
      <w:r w:rsidRPr="00AA5833">
        <w:rPr>
          <w:rFonts w:ascii="Times New Roman" w:eastAsia="Times New Roman" w:hAnsi="Times New Roman" w:cs="Times New Roman"/>
          <w:sz w:val="24"/>
          <w:szCs w:val="24"/>
          <w:lang w:eastAsia="bg-BG"/>
        </w:rPr>
        <w:t xml:space="preserve"> е 3.2‰. Близо три четвърти от всички регистрирани бракове (15 210) са сред населението в градовете.</w:t>
      </w:r>
    </w:p>
    <w:p w14:paraId="5260EC0C" w14:textId="77777777" w:rsidR="006856A7" w:rsidRPr="00AA5833" w:rsidRDefault="006856A7" w:rsidP="006856A7">
      <w:pPr>
        <w:spacing w:after="120" w:line="240" w:lineRule="auto"/>
        <w:ind w:right="-79" w:firstLine="720"/>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Фигура 7. Коефициенти на брачност и бракоразводност (на 1 000 души)</w:t>
      </w:r>
    </w:p>
    <w:p w14:paraId="6B4C6904" w14:textId="77777777" w:rsidR="008C6518" w:rsidRPr="00AA5833" w:rsidRDefault="008C6518" w:rsidP="008C6518">
      <w:pPr>
        <w:spacing w:after="120" w:line="240" w:lineRule="auto"/>
        <w:ind w:right="-79"/>
        <w:jc w:val="both"/>
        <w:rPr>
          <w:rFonts w:ascii="Times New Roman" w:eastAsia="Times New Roman" w:hAnsi="Times New Roman" w:cs="Times New Roman"/>
          <w:b/>
          <w:sz w:val="24"/>
          <w:szCs w:val="24"/>
          <w:lang w:eastAsia="bg-BG"/>
        </w:rPr>
      </w:pPr>
      <w:r w:rsidRPr="00AA5833">
        <w:rPr>
          <w:rFonts w:ascii="Verdana" w:hAnsi="Verdana"/>
          <w:noProof/>
          <w:sz w:val="16"/>
          <w:szCs w:val="16"/>
          <w:lang w:eastAsia="bg-BG"/>
        </w:rPr>
        <w:drawing>
          <wp:inline distT="0" distB="0" distL="0" distR="0" wp14:anchorId="63870282" wp14:editId="4D780DF1">
            <wp:extent cx="5760085" cy="232491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65A46E"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18"/>
          <w:szCs w:val="18"/>
        </w:rPr>
      </w:pPr>
      <w:r w:rsidRPr="00AA5833">
        <w:rPr>
          <w:rFonts w:ascii="Times New Roman" w:eastAsia="Times New Roman" w:hAnsi="Times New Roman" w:cs="Times New Roman"/>
          <w:sz w:val="18"/>
          <w:szCs w:val="18"/>
        </w:rPr>
        <w:t xml:space="preserve"> Източник: НСИ</w:t>
      </w:r>
    </w:p>
    <w:p w14:paraId="6F61F20A"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color w:val="0000FF"/>
          <w:sz w:val="24"/>
          <w:szCs w:val="24"/>
        </w:rPr>
      </w:pPr>
    </w:p>
    <w:p w14:paraId="1B8F60FF" w14:textId="77777777" w:rsidR="008C6518" w:rsidRPr="00AA5833" w:rsidRDefault="008C6518" w:rsidP="008C6518">
      <w:pPr>
        <w:spacing w:after="0" w:line="240" w:lineRule="auto"/>
        <w:ind w:right="-81"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средната възраст при сключване на първи брак за мъжете и жените е съответно 33.8 и 30.9 години. Спрямо предходната година средната възраст се увеличава с 0.4 години за мъжете и 0.5 за жените. За 83.8% от жените и 83.6% от мъжете сключеният граждански брак през 2024 г. е бил първи. Областите с най-много бракове на 1000 души от населението са София (столица) и Разград </w:t>
      </w:r>
      <w:r w:rsidR="00E54EC6"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по 3.9‰, а най-нисък е коефициентът на брачност в област Видин - 2.4‰. </w:t>
      </w:r>
    </w:p>
    <w:p w14:paraId="6688D7BF" w14:textId="77777777" w:rsidR="008C6518" w:rsidRPr="00AA5833" w:rsidRDefault="008C6518" w:rsidP="008C6518">
      <w:pPr>
        <w:spacing w:after="0" w:line="240" w:lineRule="auto"/>
        <w:ind w:right="-81"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lastRenderedPageBreak/>
        <w:t>Броя</w:t>
      </w:r>
      <w:r w:rsidR="00E54EC6" w:rsidRPr="00AA5833">
        <w:rPr>
          <w:rFonts w:ascii="Times New Roman" w:eastAsia="Times New Roman" w:hAnsi="Times New Roman" w:cs="Times New Roman"/>
          <w:b/>
          <w:sz w:val="24"/>
          <w:szCs w:val="24"/>
          <w:lang w:eastAsia="bg-BG"/>
        </w:rPr>
        <w:t>т на разводите през 2024 г. е 8</w:t>
      </w:r>
      <w:r w:rsidRPr="00AA5833">
        <w:rPr>
          <w:rFonts w:ascii="Times New Roman" w:eastAsia="Times New Roman" w:hAnsi="Times New Roman" w:cs="Times New Roman"/>
          <w:b/>
          <w:sz w:val="24"/>
          <w:szCs w:val="24"/>
          <w:lang w:eastAsia="bg-BG"/>
        </w:rPr>
        <w:t>650,</w:t>
      </w:r>
      <w:r w:rsidRPr="00AA5833">
        <w:rPr>
          <w:rFonts w:ascii="Times New Roman" w:eastAsia="Times New Roman" w:hAnsi="Times New Roman" w:cs="Times New Roman"/>
          <w:sz w:val="24"/>
          <w:szCs w:val="24"/>
          <w:lang w:eastAsia="bg-BG"/>
        </w:rPr>
        <w:t xml:space="preserve"> или с 438 по-малко от регистрираните през 2023 година. Най-голям е делът на браковете, прекратени по „взаимно съгласие“ (67.0%), следват причините „несходство в характерите“ (20.2%) и „фактическа раздяла“ (11.8%).</w:t>
      </w:r>
    </w:p>
    <w:p w14:paraId="2AC9B4AC" w14:textId="77777777" w:rsidR="008C6518" w:rsidRPr="00AA5833" w:rsidRDefault="008C6518" w:rsidP="008C6518">
      <w:pPr>
        <w:spacing w:after="0" w:line="240" w:lineRule="auto"/>
        <w:ind w:right="-81"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Средната продължителност на брака до неговото прекратяване е 15.2 години.</w:t>
      </w:r>
    </w:p>
    <w:p w14:paraId="1724EEBF" w14:textId="77777777" w:rsidR="009F741E" w:rsidRPr="00AA5833" w:rsidRDefault="009F741E" w:rsidP="006856A7">
      <w:pPr>
        <w:spacing w:after="0" w:line="240" w:lineRule="auto"/>
        <w:jc w:val="both"/>
        <w:rPr>
          <w:rFonts w:ascii="Times New Roman" w:eastAsia="Times New Roman" w:hAnsi="Times New Roman" w:cs="Times New Roman"/>
          <w:b/>
          <w:bCs/>
          <w:caps/>
          <w:color w:val="000000"/>
          <w:sz w:val="24"/>
          <w:szCs w:val="24"/>
          <w:lang w:eastAsia="bg-BG"/>
        </w:rPr>
      </w:pPr>
    </w:p>
    <w:p w14:paraId="7EE7DB11" w14:textId="77777777" w:rsidR="006856A7" w:rsidRPr="00AA5833" w:rsidRDefault="006856A7" w:rsidP="006856A7">
      <w:pPr>
        <w:spacing w:after="0" w:line="240" w:lineRule="auto"/>
        <w:jc w:val="both"/>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bCs/>
          <w:caps/>
          <w:color w:val="000000"/>
          <w:sz w:val="24"/>
          <w:szCs w:val="24"/>
          <w:lang w:eastAsia="bg-BG"/>
        </w:rPr>
        <w:t xml:space="preserve">1.3. Смъртност </w:t>
      </w:r>
    </w:p>
    <w:p w14:paraId="1FCC1888"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p>
    <w:p w14:paraId="73D5EEE6"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1.3.1. Обща смъртност</w:t>
      </w:r>
    </w:p>
    <w:p w14:paraId="713AD10F" w14:textId="77777777" w:rsidR="006856A7" w:rsidRPr="00AA5833" w:rsidRDefault="008C6518" w:rsidP="006856A7">
      <w:pPr>
        <w:spacing w:after="0" w:line="240" w:lineRule="auto"/>
        <w:ind w:right="-81"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Броят на умрелите лица през 2024 г. е 100 736, а коефициентът на обща смъртност</w:t>
      </w:r>
      <w:r w:rsidRPr="00AA5833">
        <w:rPr>
          <w:rFonts w:ascii="Times New Roman" w:eastAsia="Times New Roman" w:hAnsi="Times New Roman" w:cs="Times New Roman"/>
          <w:b/>
          <w:sz w:val="24"/>
          <w:szCs w:val="24"/>
          <w:vertAlign w:val="superscript"/>
          <w:lang w:eastAsia="bg-BG"/>
        </w:rPr>
        <w:footnoteReference w:id="15"/>
      </w:r>
      <w:r w:rsidRPr="00AA5833">
        <w:rPr>
          <w:rFonts w:ascii="Times New Roman" w:eastAsia="Times New Roman" w:hAnsi="Times New Roman" w:cs="Times New Roman"/>
          <w:b/>
          <w:sz w:val="24"/>
          <w:szCs w:val="24"/>
          <w:lang w:eastAsia="bg-BG"/>
        </w:rPr>
        <w:t xml:space="preserve"> </w:t>
      </w:r>
      <w:r w:rsidR="00EA576B"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b/>
          <w:sz w:val="24"/>
          <w:szCs w:val="24"/>
          <w:lang w:eastAsia="bg-BG"/>
        </w:rPr>
        <w:t xml:space="preserve">15.6‰. </w:t>
      </w:r>
      <w:r w:rsidRPr="00AA5833">
        <w:rPr>
          <w:rFonts w:ascii="Times New Roman" w:eastAsia="Times New Roman" w:hAnsi="Times New Roman" w:cs="Times New Roman"/>
          <w:sz w:val="24"/>
          <w:szCs w:val="24"/>
          <w:lang w:eastAsia="bg-BG"/>
        </w:rPr>
        <w:t>Спрямо предходната година броят на умрелите намалява с 270, или с 0.3%.</w:t>
      </w:r>
      <w:r w:rsidRPr="00AA5833">
        <w:rPr>
          <w:rFonts w:ascii="Times New Roman" w:eastAsia="Times New Roman" w:hAnsi="Times New Roman" w:cs="Times New Roman"/>
          <w:b/>
          <w:sz w:val="24"/>
          <w:szCs w:val="24"/>
          <w:lang w:eastAsia="bg-BG"/>
        </w:rPr>
        <w:t xml:space="preserve"> </w:t>
      </w:r>
      <w:r w:rsidR="006856A7" w:rsidRPr="00AA5833">
        <w:rPr>
          <w:rFonts w:ascii="Times New Roman" w:eastAsia="Times New Roman" w:hAnsi="Times New Roman" w:cs="Times New Roman"/>
          <w:sz w:val="24"/>
          <w:szCs w:val="24"/>
          <w:lang w:eastAsia="bg-BG"/>
        </w:rPr>
        <w:t xml:space="preserve"> </w:t>
      </w:r>
      <w:r w:rsidR="006856A7" w:rsidRPr="00AA5833">
        <w:rPr>
          <w:rFonts w:ascii="Times New Roman" w:eastAsia="Times New Roman" w:hAnsi="Times New Roman" w:cs="Times New Roman"/>
          <w:b/>
          <w:sz w:val="24"/>
          <w:szCs w:val="24"/>
          <w:lang w:eastAsia="bg-BG"/>
        </w:rPr>
        <w:t>Нивото на общата смъртност продължава да е високо</w:t>
      </w:r>
      <w:r w:rsidR="006856A7" w:rsidRPr="00AA5833">
        <w:rPr>
          <w:rFonts w:ascii="Times New Roman" w:eastAsia="Times New Roman" w:hAnsi="Times New Roman" w:cs="Times New Roman"/>
          <w:sz w:val="24"/>
          <w:szCs w:val="24"/>
          <w:lang w:eastAsia="bg-BG"/>
        </w:rPr>
        <w:t>.</w:t>
      </w:r>
    </w:p>
    <w:p w14:paraId="78730EAD" w14:textId="77777777" w:rsidR="006856A7" w:rsidRPr="00AA5833" w:rsidRDefault="006856A7" w:rsidP="006856A7">
      <w:pPr>
        <w:spacing w:after="0" w:line="240" w:lineRule="auto"/>
        <w:ind w:right="-79"/>
        <w:rPr>
          <w:rFonts w:ascii="Times New Roman" w:eastAsia="Times New Roman" w:hAnsi="Times New Roman" w:cs="Times New Roman"/>
          <w:b/>
          <w:sz w:val="24"/>
          <w:szCs w:val="24"/>
          <w:lang w:eastAsia="bg-BG"/>
        </w:rPr>
      </w:pPr>
    </w:p>
    <w:p w14:paraId="71070824" w14:textId="77777777" w:rsidR="006856A7" w:rsidRPr="00AA5833" w:rsidRDefault="006856A7" w:rsidP="006856A7">
      <w:pPr>
        <w:spacing w:after="0" w:line="240" w:lineRule="auto"/>
        <w:ind w:right="-81"/>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Фигура 8. Умрели през периода 19</w:t>
      </w:r>
      <w:r w:rsidR="00741F91" w:rsidRPr="00AA5833">
        <w:rPr>
          <w:rFonts w:ascii="Times New Roman" w:eastAsia="Times New Roman" w:hAnsi="Times New Roman" w:cs="Times New Roman"/>
          <w:b/>
          <w:sz w:val="24"/>
          <w:szCs w:val="24"/>
          <w:lang w:eastAsia="bg-BG"/>
        </w:rPr>
        <w:t>60</w:t>
      </w:r>
      <w:r w:rsidRPr="00AA5833">
        <w:rPr>
          <w:rFonts w:ascii="Times New Roman" w:eastAsia="Times New Roman" w:hAnsi="Times New Roman" w:cs="Times New Roman"/>
          <w:b/>
          <w:sz w:val="24"/>
          <w:szCs w:val="24"/>
          <w:lang w:eastAsia="bg-BG"/>
        </w:rPr>
        <w:t xml:space="preserve"> </w:t>
      </w:r>
      <w:r w:rsidR="004C07C1"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b/>
          <w:sz w:val="24"/>
          <w:szCs w:val="24"/>
          <w:lang w:eastAsia="bg-BG"/>
        </w:rPr>
        <w:t>202</w:t>
      </w:r>
      <w:r w:rsidR="00741F91" w:rsidRPr="00AA5833">
        <w:rPr>
          <w:rFonts w:ascii="Times New Roman" w:eastAsia="Times New Roman" w:hAnsi="Times New Roman" w:cs="Times New Roman"/>
          <w:b/>
          <w:sz w:val="24"/>
          <w:szCs w:val="24"/>
          <w:lang w:eastAsia="bg-BG"/>
        </w:rPr>
        <w:t>4</w:t>
      </w:r>
      <w:r w:rsidRPr="00AA5833">
        <w:rPr>
          <w:rFonts w:ascii="Times New Roman" w:eastAsia="Times New Roman" w:hAnsi="Times New Roman" w:cs="Times New Roman"/>
          <w:b/>
          <w:sz w:val="24"/>
          <w:szCs w:val="24"/>
          <w:lang w:eastAsia="bg-BG"/>
        </w:rPr>
        <w:t xml:space="preserve"> година</w:t>
      </w:r>
    </w:p>
    <w:p w14:paraId="35D052AD" w14:textId="77777777" w:rsidR="00FD131A" w:rsidRPr="00AA5833" w:rsidRDefault="00FD131A" w:rsidP="006856A7">
      <w:pPr>
        <w:spacing w:after="0" w:line="240" w:lineRule="auto"/>
        <w:ind w:right="-81"/>
        <w:rPr>
          <w:rFonts w:ascii="Times New Roman" w:eastAsia="Times New Roman" w:hAnsi="Times New Roman" w:cs="Times New Roman"/>
          <w:b/>
          <w:sz w:val="24"/>
          <w:szCs w:val="24"/>
          <w:lang w:eastAsia="bg-BG"/>
        </w:rPr>
      </w:pPr>
    </w:p>
    <w:p w14:paraId="14008B98" w14:textId="77777777" w:rsidR="006856A7" w:rsidRPr="00AA5833" w:rsidRDefault="006856A7" w:rsidP="00741F91">
      <w:pPr>
        <w:spacing w:after="0" w:line="240" w:lineRule="auto"/>
        <w:jc w:val="center"/>
        <w:rPr>
          <w:noProof/>
          <w:sz w:val="18"/>
          <w:szCs w:val="18"/>
          <w:lang w:eastAsia="bg-BG"/>
        </w:rPr>
      </w:pPr>
      <w:r w:rsidRPr="00AA5833">
        <w:rPr>
          <w:noProof/>
          <w:sz w:val="18"/>
          <w:szCs w:val="18"/>
          <w:lang w:eastAsia="bg-BG"/>
        </w:rPr>
        <w:drawing>
          <wp:inline distT="0" distB="0" distL="0" distR="0" wp14:anchorId="11BBB2CA" wp14:editId="68C6B9DC">
            <wp:extent cx="5701030" cy="3196558"/>
            <wp:effectExtent l="0" t="0" r="0" b="44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F80A67" w14:textId="77777777" w:rsidR="006856A7" w:rsidRPr="00AA5833" w:rsidRDefault="00741F91" w:rsidP="006856A7">
      <w:pPr>
        <w:autoSpaceDE w:val="0"/>
        <w:autoSpaceDN w:val="0"/>
        <w:adjustRightInd w:val="0"/>
        <w:spacing w:after="0" w:line="240" w:lineRule="auto"/>
        <w:jc w:val="both"/>
        <w:rPr>
          <w:rFonts w:ascii="Times New Roman" w:eastAsia="Times New Roman" w:hAnsi="Times New Roman" w:cs="Times New Roman"/>
          <w:sz w:val="18"/>
          <w:szCs w:val="18"/>
        </w:rPr>
      </w:pPr>
      <w:r w:rsidRPr="00AA5833">
        <w:rPr>
          <w:rFonts w:ascii="Times New Roman" w:eastAsia="Times New Roman" w:hAnsi="Times New Roman" w:cs="Times New Roman"/>
          <w:sz w:val="18"/>
          <w:szCs w:val="18"/>
        </w:rPr>
        <w:t xml:space="preserve">    </w:t>
      </w:r>
      <w:r w:rsidR="006856A7" w:rsidRPr="00AA5833">
        <w:rPr>
          <w:rFonts w:ascii="Times New Roman" w:eastAsia="Times New Roman" w:hAnsi="Times New Roman" w:cs="Times New Roman"/>
          <w:sz w:val="18"/>
          <w:szCs w:val="18"/>
        </w:rPr>
        <w:t xml:space="preserve"> Източник: НСИ</w:t>
      </w:r>
    </w:p>
    <w:p w14:paraId="0DB3F680"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color w:val="0000FF"/>
          <w:sz w:val="24"/>
          <w:szCs w:val="24"/>
        </w:rPr>
      </w:pPr>
    </w:p>
    <w:p w14:paraId="4C044153" w14:textId="77777777" w:rsidR="00EA576B" w:rsidRPr="00AA5833" w:rsidRDefault="00EA576B" w:rsidP="006856A7">
      <w:pPr>
        <w:spacing w:after="0" w:line="240" w:lineRule="auto"/>
        <w:jc w:val="both"/>
        <w:rPr>
          <w:rFonts w:ascii="Times New Roman" w:eastAsia="Times New Roman" w:hAnsi="Times New Roman" w:cs="Times New Roman"/>
          <w:b/>
          <w:color w:val="000000"/>
          <w:sz w:val="24"/>
          <w:szCs w:val="24"/>
          <w:lang w:eastAsia="bg-BG"/>
        </w:rPr>
      </w:pPr>
    </w:p>
    <w:p w14:paraId="5A4AE92A" w14:textId="77777777" w:rsidR="00EA576B" w:rsidRPr="00AA5833" w:rsidRDefault="00EA576B" w:rsidP="006856A7">
      <w:pPr>
        <w:spacing w:after="0" w:line="240" w:lineRule="auto"/>
        <w:jc w:val="both"/>
        <w:rPr>
          <w:rFonts w:ascii="Times New Roman" w:eastAsia="Times New Roman" w:hAnsi="Times New Roman" w:cs="Times New Roman"/>
          <w:b/>
          <w:color w:val="000000"/>
          <w:sz w:val="24"/>
          <w:szCs w:val="24"/>
          <w:lang w:eastAsia="bg-BG"/>
        </w:rPr>
      </w:pPr>
    </w:p>
    <w:p w14:paraId="06DFCC33"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1.3.2. Преждевременна смъртност</w:t>
      </w:r>
    </w:p>
    <w:p w14:paraId="52A96F22" w14:textId="77777777" w:rsidR="00741F91" w:rsidRPr="00AA5833" w:rsidRDefault="00741F91" w:rsidP="00A81FE9">
      <w:pPr>
        <w:autoSpaceDE w:val="0"/>
        <w:autoSpaceDN w:val="0"/>
        <w:adjustRightInd w:val="0"/>
        <w:spacing w:after="0" w:line="240" w:lineRule="auto"/>
        <w:ind w:left="142" w:firstLine="567"/>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Показателят за преждевременна смъртност</w:t>
      </w:r>
      <w:r w:rsidRPr="00AA5833">
        <w:rPr>
          <w:rFonts w:ascii="Times New Roman" w:eastAsia="Times New Roman" w:hAnsi="Times New Roman" w:cs="Times New Roman"/>
          <w:b/>
          <w:sz w:val="24"/>
          <w:szCs w:val="24"/>
          <w:vertAlign w:val="superscript"/>
          <w:lang w:eastAsia="bg-BG"/>
        </w:rPr>
        <w:footnoteReference w:id="16"/>
      </w:r>
      <w:r w:rsidRPr="00AA5833">
        <w:rPr>
          <w:rFonts w:ascii="Times New Roman" w:eastAsia="Times New Roman" w:hAnsi="Times New Roman" w:cs="Times New Roman"/>
          <w:b/>
          <w:sz w:val="24"/>
          <w:szCs w:val="24"/>
          <w:lang w:eastAsia="bg-BG"/>
        </w:rPr>
        <w:t xml:space="preserve"> през 2024 г</w:t>
      </w:r>
      <w:r w:rsidRPr="00AA5833">
        <w:rPr>
          <w:rFonts w:ascii="Times New Roman" w:eastAsia="Times New Roman" w:hAnsi="Times New Roman" w:cs="Times New Roman"/>
          <w:sz w:val="24"/>
          <w:szCs w:val="24"/>
          <w:lang w:eastAsia="bg-BG"/>
        </w:rPr>
        <w:t>. е 20.2% и леко се увеличава спрямо предходната 2023 година (20.1%). В стойностите на показателя за преждевременна смъртност има разлики по пол. Умрелите жени на възраст под 65 години са 13.0% от всички умрели жени, докато при мъжете е 27.0%.</w:t>
      </w:r>
    </w:p>
    <w:p w14:paraId="49194471" w14:textId="77777777" w:rsidR="006856A7" w:rsidRPr="00AA5833" w:rsidRDefault="006856A7" w:rsidP="00741F91">
      <w:pPr>
        <w:spacing w:after="0" w:line="240" w:lineRule="auto"/>
        <w:jc w:val="both"/>
        <w:rPr>
          <w:rFonts w:ascii="Times New Roman" w:eastAsia="Times New Roman" w:hAnsi="Times New Roman" w:cs="Times New Roman"/>
          <w:b/>
          <w:color w:val="000000"/>
          <w:sz w:val="24"/>
          <w:szCs w:val="24"/>
          <w:lang w:eastAsia="bg-BG"/>
        </w:rPr>
      </w:pPr>
    </w:p>
    <w:p w14:paraId="69637BC4" w14:textId="77777777" w:rsidR="00EA576B" w:rsidRPr="00AA5833" w:rsidRDefault="00EA576B" w:rsidP="006856A7">
      <w:pPr>
        <w:spacing w:after="0" w:line="240" w:lineRule="auto"/>
        <w:jc w:val="both"/>
        <w:rPr>
          <w:rFonts w:ascii="Times New Roman" w:eastAsia="Times New Roman" w:hAnsi="Times New Roman" w:cs="Times New Roman"/>
          <w:b/>
          <w:color w:val="000000"/>
          <w:sz w:val="24"/>
          <w:szCs w:val="24"/>
          <w:lang w:eastAsia="bg-BG"/>
        </w:rPr>
      </w:pPr>
    </w:p>
    <w:p w14:paraId="288FEA71" w14:textId="77777777" w:rsidR="00402183" w:rsidRPr="00AA5833" w:rsidRDefault="00402183" w:rsidP="006856A7">
      <w:pPr>
        <w:spacing w:after="0" w:line="240" w:lineRule="auto"/>
        <w:jc w:val="both"/>
        <w:rPr>
          <w:rFonts w:ascii="Times New Roman" w:eastAsia="Times New Roman" w:hAnsi="Times New Roman" w:cs="Times New Roman"/>
          <w:b/>
          <w:color w:val="000000"/>
          <w:sz w:val="24"/>
          <w:szCs w:val="24"/>
          <w:lang w:eastAsia="bg-BG"/>
        </w:rPr>
      </w:pPr>
    </w:p>
    <w:p w14:paraId="3421BB88" w14:textId="77777777" w:rsidR="00402183" w:rsidRPr="00AA5833" w:rsidRDefault="00402183" w:rsidP="006856A7">
      <w:pPr>
        <w:spacing w:after="0" w:line="240" w:lineRule="auto"/>
        <w:jc w:val="both"/>
        <w:rPr>
          <w:rFonts w:ascii="Times New Roman" w:eastAsia="Times New Roman" w:hAnsi="Times New Roman" w:cs="Times New Roman"/>
          <w:b/>
          <w:color w:val="000000"/>
          <w:sz w:val="24"/>
          <w:szCs w:val="24"/>
          <w:lang w:eastAsia="bg-BG"/>
        </w:rPr>
      </w:pPr>
    </w:p>
    <w:p w14:paraId="0D241904" w14:textId="77777777" w:rsidR="00402183" w:rsidRPr="00AA5833" w:rsidRDefault="00402183" w:rsidP="006856A7">
      <w:pPr>
        <w:spacing w:after="0" w:line="240" w:lineRule="auto"/>
        <w:jc w:val="both"/>
        <w:rPr>
          <w:rFonts w:ascii="Times New Roman" w:eastAsia="Times New Roman" w:hAnsi="Times New Roman" w:cs="Times New Roman"/>
          <w:b/>
          <w:color w:val="000000"/>
          <w:sz w:val="24"/>
          <w:szCs w:val="24"/>
          <w:lang w:eastAsia="bg-BG"/>
        </w:rPr>
      </w:pPr>
    </w:p>
    <w:p w14:paraId="3CE0624E"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1.3.3. Детска смъртност</w:t>
      </w:r>
    </w:p>
    <w:p w14:paraId="0728187D" w14:textId="77777777" w:rsidR="00741F91" w:rsidRPr="00AA5833" w:rsidRDefault="00741F91" w:rsidP="006856A7">
      <w:pPr>
        <w:spacing w:after="0" w:line="240" w:lineRule="auto"/>
        <w:jc w:val="both"/>
        <w:rPr>
          <w:rFonts w:ascii="Times New Roman" w:eastAsia="Times New Roman" w:hAnsi="Times New Roman" w:cs="Times New Roman"/>
          <w:b/>
          <w:color w:val="000000"/>
          <w:sz w:val="24"/>
          <w:szCs w:val="24"/>
          <w:lang w:eastAsia="bg-BG"/>
        </w:rPr>
      </w:pPr>
    </w:p>
    <w:p w14:paraId="28403832" w14:textId="77777777" w:rsidR="006856A7" w:rsidRPr="00AA5833" w:rsidRDefault="00741F91" w:rsidP="00A81FE9">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През 2024 г. в страната са починали 238 деца</w:t>
      </w:r>
      <w:r w:rsidRPr="00AA5833">
        <w:rPr>
          <w:rFonts w:ascii="Times New Roman" w:eastAsia="Times New Roman" w:hAnsi="Times New Roman" w:cs="Times New Roman"/>
          <w:sz w:val="24"/>
          <w:szCs w:val="24"/>
          <w:lang w:eastAsia="bg-BG"/>
        </w:rPr>
        <w:t xml:space="preserve"> на възраст до една година, а коефициентът на детска смъртност</w:t>
      </w:r>
      <w:r w:rsidRPr="00AA5833">
        <w:rPr>
          <w:rFonts w:ascii="Times New Roman" w:eastAsia="Times New Roman" w:hAnsi="Times New Roman" w:cs="Times New Roman"/>
          <w:sz w:val="24"/>
          <w:szCs w:val="24"/>
          <w:vertAlign w:val="superscript"/>
          <w:lang w:eastAsia="bg-BG"/>
        </w:rPr>
        <w:footnoteReference w:id="17"/>
      </w:r>
      <w:r w:rsidRPr="00AA5833">
        <w:rPr>
          <w:rFonts w:ascii="Times New Roman" w:eastAsia="Times New Roman" w:hAnsi="Times New Roman" w:cs="Times New Roman"/>
          <w:sz w:val="24"/>
          <w:szCs w:val="24"/>
          <w:lang w:eastAsia="bg-BG"/>
        </w:rPr>
        <w:t xml:space="preserve"> е 4.5‰. За сравнение, през 2014 г. коефициентът на детска смъртност е бил 7.6‰, а през 2023 г. – 4.9‰.</w:t>
      </w:r>
    </w:p>
    <w:p w14:paraId="42B8A643" w14:textId="77777777" w:rsidR="009F741E" w:rsidRPr="00AA5833" w:rsidRDefault="009F741E" w:rsidP="006856A7">
      <w:pPr>
        <w:spacing w:after="0" w:line="240" w:lineRule="auto"/>
        <w:ind w:left="-141" w:right="-79" w:firstLine="141"/>
        <w:rPr>
          <w:rFonts w:ascii="Times New Roman" w:eastAsia="Times New Roman" w:hAnsi="Times New Roman" w:cs="Times New Roman"/>
          <w:b/>
          <w:sz w:val="24"/>
          <w:szCs w:val="24"/>
          <w:lang w:eastAsia="bg-BG"/>
        </w:rPr>
      </w:pPr>
    </w:p>
    <w:p w14:paraId="40CF38D9" w14:textId="77777777" w:rsidR="006856A7" w:rsidRPr="00AA5833" w:rsidRDefault="006856A7" w:rsidP="006856A7">
      <w:pPr>
        <w:spacing w:after="0" w:line="240" w:lineRule="auto"/>
        <w:ind w:left="-141" w:right="-79" w:firstLine="141"/>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Фигура 9. Коефициент на обща и детска смъртност</w:t>
      </w:r>
    </w:p>
    <w:p w14:paraId="68C4B4DF" w14:textId="77777777" w:rsidR="006856A7" w:rsidRPr="00AA5833" w:rsidRDefault="00A81FE9" w:rsidP="007C6CAE">
      <w:pPr>
        <w:spacing w:after="0" w:line="240" w:lineRule="auto"/>
        <w:ind w:left="-284" w:right="-79" w:hanging="1"/>
        <w:rPr>
          <w:rFonts w:ascii="Times New Roman" w:eastAsia="Times New Roman" w:hAnsi="Times New Roman" w:cs="Times New Roman"/>
          <w:b/>
          <w:sz w:val="24"/>
          <w:szCs w:val="24"/>
          <w:lang w:eastAsia="bg-BG"/>
        </w:rPr>
      </w:pPr>
      <w:r w:rsidRPr="00AA5833">
        <w:rPr>
          <w:noProof/>
          <w:lang w:eastAsia="bg-BG"/>
        </w:rPr>
        <w:drawing>
          <wp:inline distT="0" distB="0" distL="0" distR="0" wp14:anchorId="2AD51BE4" wp14:editId="4C9BD40B">
            <wp:extent cx="5767070" cy="3972645"/>
            <wp:effectExtent l="0" t="0" r="508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5BB942"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22DF088C" w14:textId="77777777" w:rsidR="006856A7" w:rsidRPr="00AA5833" w:rsidRDefault="006856A7" w:rsidP="00A81FE9">
      <w:pPr>
        <w:autoSpaceDE w:val="0"/>
        <w:autoSpaceDN w:val="0"/>
        <w:adjustRightInd w:val="0"/>
        <w:spacing w:after="0" w:line="240" w:lineRule="auto"/>
        <w:ind w:firstLine="709"/>
        <w:jc w:val="both"/>
        <w:rPr>
          <w:rFonts w:ascii="Times New Roman" w:eastAsia="Times New Roman" w:hAnsi="Times New Roman" w:cs="Times New Roman"/>
          <w:sz w:val="18"/>
          <w:szCs w:val="18"/>
          <w:lang w:eastAsia="bg-BG"/>
        </w:rPr>
      </w:pPr>
    </w:p>
    <w:p w14:paraId="6157A817" w14:textId="77777777" w:rsidR="004C07C1" w:rsidRPr="00AA5833" w:rsidRDefault="004C07C1" w:rsidP="006856A7">
      <w:pPr>
        <w:spacing w:after="0" w:line="240" w:lineRule="auto"/>
        <w:rPr>
          <w:rFonts w:ascii="Times New Roman" w:eastAsia="Times New Roman" w:hAnsi="Times New Roman" w:cs="Times New Roman"/>
          <w:b/>
          <w:color w:val="000000"/>
          <w:sz w:val="24"/>
          <w:szCs w:val="24"/>
          <w:lang w:eastAsia="bg-BG"/>
        </w:rPr>
      </w:pPr>
    </w:p>
    <w:p w14:paraId="7AD87443"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1.3.4. Средна продължителност на предстоящия живот</w:t>
      </w:r>
    </w:p>
    <w:p w14:paraId="5CF11C7C"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Различните равнища на смъртност сред мъжете и жените, както и сред населението в градовете и селата, определят и разликата в очакваната средна продължителност на предстоящия живот на различните групи население.</w:t>
      </w:r>
    </w:p>
    <w:p w14:paraId="28DE9B7D" w14:textId="77777777" w:rsidR="00BC7921" w:rsidRPr="00AA5833" w:rsidRDefault="00BC7921" w:rsidP="00BC79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Очакваната средна продължителност на предстоящия живот</w:t>
      </w:r>
      <w:r w:rsidRPr="00AA5833">
        <w:rPr>
          <w:rStyle w:val="FootnoteReference"/>
          <w:rFonts w:ascii="Times New Roman" w:eastAsia="Times New Roman" w:hAnsi="Times New Roman" w:cs="Times New Roman"/>
          <w:b/>
          <w:sz w:val="24"/>
          <w:szCs w:val="24"/>
          <w:lang w:eastAsia="bg-BG"/>
        </w:rPr>
        <w:footnoteReference w:id="18"/>
      </w:r>
      <w:r w:rsidRPr="00AA5833">
        <w:rPr>
          <w:rFonts w:ascii="Times New Roman" w:eastAsia="Times New Roman" w:hAnsi="Times New Roman" w:cs="Times New Roman"/>
          <w:sz w:val="24"/>
          <w:szCs w:val="24"/>
          <w:lang w:eastAsia="bg-BG"/>
        </w:rPr>
        <w:t xml:space="preserve"> общо за населението на страната, изчислена за периода 2022</w:t>
      </w:r>
      <w:r w:rsidR="004C07C1" w:rsidRPr="00AA5833">
        <w:rPr>
          <w:rFonts w:ascii="Times New Roman" w:eastAsia="Times New Roman" w:hAnsi="Times New Roman" w:cs="Times New Roman"/>
          <w:sz w:val="24"/>
          <w:szCs w:val="24"/>
          <w:lang w:eastAsia="bg-BG"/>
        </w:rPr>
        <w:t xml:space="preserve"> </w:t>
      </w:r>
      <w:r w:rsidR="004C07C1"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2024 г., е 75.6 години, като</w:t>
      </w:r>
      <w:r w:rsidR="007C6CAE" w:rsidRPr="00AA5833">
        <w:rPr>
          <w:rFonts w:ascii="Times New Roman" w:eastAsia="Times New Roman" w:hAnsi="Times New Roman" w:cs="Times New Roman"/>
          <w:sz w:val="24"/>
          <w:szCs w:val="24"/>
          <w:lang w:eastAsia="bg-BG"/>
        </w:rPr>
        <w:t xml:space="preserve"> спрямо предходния период (2021</w:t>
      </w:r>
      <w:r w:rsidR="004C07C1" w:rsidRPr="00AA5833">
        <w:rPr>
          <w:rFonts w:ascii="Times New Roman" w:eastAsia="Times New Roman" w:hAnsi="Times New Roman" w:cs="Times New Roman"/>
          <w:sz w:val="24"/>
          <w:szCs w:val="24"/>
          <w:lang w:eastAsia="bg-BG"/>
        </w:rPr>
        <w:t xml:space="preserve"> </w:t>
      </w:r>
      <w:r w:rsidR="004C07C1"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2023 г.) се увеличава с 2.1 години.</w:t>
      </w:r>
    </w:p>
    <w:p w14:paraId="7EFFC719" w14:textId="77777777" w:rsidR="00BC7921" w:rsidRPr="00AA5833" w:rsidRDefault="00BC7921" w:rsidP="00BC79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Средната продължителност на живота при мъжете е 71.9 години, докато при жените е със 7.4 години по-висока </w:t>
      </w:r>
      <w:r w:rsidR="007D2504"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 xml:space="preserve">79.3 години. </w:t>
      </w:r>
    </w:p>
    <w:p w14:paraId="35860F3B" w14:textId="77777777" w:rsidR="00BC7921" w:rsidRPr="00AA5833" w:rsidRDefault="00BC7921" w:rsidP="00BC792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 сравнение с 2014 г. през 2024 г. наблюдаваме увеличение на средната продължителност при мъжете </w:t>
      </w:r>
      <w:r w:rsidR="007D2504"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 xml:space="preserve">с 0.7 години, а при жените </w:t>
      </w:r>
      <w:r w:rsidR="007D2504"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с 1.0 години.</w:t>
      </w:r>
    </w:p>
    <w:p w14:paraId="73031BBA" w14:textId="77777777" w:rsidR="006856A7" w:rsidRPr="00AA5833" w:rsidRDefault="006856A7" w:rsidP="006856A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594BB1D8" w14:textId="77777777" w:rsidR="006856A7" w:rsidRPr="00AA5833" w:rsidRDefault="006856A7" w:rsidP="006856A7">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AA5833">
        <w:rPr>
          <w:rFonts w:ascii="Times New Roman" w:hAnsi="Times New Roman" w:cs="Times New Roman"/>
          <w:b/>
          <w:bCs/>
          <w:color w:val="000000" w:themeColor="text1"/>
          <w:sz w:val="24"/>
          <w:szCs w:val="24"/>
        </w:rPr>
        <w:lastRenderedPageBreak/>
        <w:t>Фиг.10. Очаквана средна продължителност на предстоящия живот по пол и периоди</w:t>
      </w:r>
    </w:p>
    <w:p w14:paraId="47F28E4D" w14:textId="77777777" w:rsidR="007D2504" w:rsidRPr="00AA5833" w:rsidRDefault="007D2504" w:rsidP="006856A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3F49E9DA" w14:textId="77777777" w:rsidR="007D2504" w:rsidRPr="00AA5833" w:rsidRDefault="007D2504" w:rsidP="006856A7">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AA5833">
        <w:rPr>
          <w:noProof/>
          <w:lang w:eastAsia="bg-BG"/>
        </w:rPr>
        <w:drawing>
          <wp:inline distT="0" distB="0" distL="0" distR="0" wp14:anchorId="11227826" wp14:editId="72680E96">
            <wp:extent cx="5770245" cy="3334871"/>
            <wp:effectExtent l="0" t="0" r="190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D2DC9" w14:textId="77777777" w:rsidR="006856A7" w:rsidRPr="00AA5833" w:rsidRDefault="006856A7" w:rsidP="006856A7">
      <w:pPr>
        <w:spacing w:after="0" w:line="240" w:lineRule="auto"/>
        <w:jc w:val="both"/>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55F22679" w14:textId="77777777" w:rsidR="006856A7" w:rsidRPr="00AA5833" w:rsidRDefault="006856A7" w:rsidP="006856A7">
      <w:pPr>
        <w:spacing w:after="0" w:line="240" w:lineRule="auto"/>
        <w:jc w:val="both"/>
        <w:rPr>
          <w:rFonts w:ascii="Times New Roman" w:eastAsia="Times New Roman" w:hAnsi="Times New Roman" w:cs="Times New Roman"/>
          <w:sz w:val="20"/>
          <w:szCs w:val="20"/>
          <w:lang w:eastAsia="bg-BG"/>
        </w:rPr>
      </w:pPr>
    </w:p>
    <w:p w14:paraId="45BAE179" w14:textId="77777777" w:rsidR="00975E72" w:rsidRPr="00AA5833" w:rsidRDefault="00975E72"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2D68BFEA" w14:textId="77777777" w:rsidR="00975E72" w:rsidRPr="00AA5833" w:rsidRDefault="00975E72"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26974F7F" w14:textId="77777777" w:rsidR="007D2504" w:rsidRPr="00AA5833" w:rsidRDefault="007D2504"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Средната продължителност на живота на населението в градовете е с 2.9 години по-висока (76.4 години) отколкото на населението в селата (73.5 години).</w:t>
      </w:r>
    </w:p>
    <w:p w14:paraId="15D18CA9" w14:textId="77777777" w:rsidR="007D2504" w:rsidRPr="00AA5833" w:rsidRDefault="007D2504"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Спрямо 2023 г. за населението в градовете тя се увеличава с 2.0 години, а за населението в селата </w:t>
      </w:r>
      <w:r w:rsidRPr="00AA5833">
        <w:rPr>
          <w:rFonts w:ascii="Times New Roman" w:eastAsia="Times New Roman" w:hAnsi="Times New Roman" w:cs="Times New Roman"/>
          <w:sz w:val="24"/>
          <w:szCs w:val="24"/>
          <w:lang w:eastAsia="bg-BG"/>
        </w:rPr>
        <w:t xml:space="preserve">– </w:t>
      </w:r>
      <w:r w:rsidRPr="00AA5833">
        <w:rPr>
          <w:rFonts w:ascii="Times New Roman" w:eastAsia="Calibri" w:hAnsi="Times New Roman" w:cs="Times New Roman"/>
          <w:sz w:val="24"/>
          <w:szCs w:val="24"/>
        </w:rPr>
        <w:t>с 2.2 години.</w:t>
      </w:r>
    </w:p>
    <w:p w14:paraId="230DFAD9" w14:textId="77777777" w:rsidR="004C07C1" w:rsidRPr="00AA5833" w:rsidRDefault="004C07C1" w:rsidP="007D2504">
      <w:pPr>
        <w:autoSpaceDE w:val="0"/>
        <w:autoSpaceDN w:val="0"/>
        <w:adjustRightInd w:val="0"/>
        <w:spacing w:after="0" w:line="240" w:lineRule="auto"/>
        <w:ind w:firstLine="567"/>
        <w:jc w:val="both"/>
        <w:rPr>
          <w:rFonts w:ascii="Times New Roman" w:eastAsia="Calibri" w:hAnsi="Times New Roman" w:cs="Times New Roman"/>
          <w:noProof/>
          <w:sz w:val="24"/>
          <w:szCs w:val="24"/>
        </w:rPr>
      </w:pPr>
    </w:p>
    <w:p w14:paraId="6A5D2D4C" w14:textId="77777777" w:rsidR="007D2504" w:rsidRPr="00AA5833" w:rsidRDefault="007D2504" w:rsidP="007D2504">
      <w:pPr>
        <w:autoSpaceDE w:val="0"/>
        <w:autoSpaceDN w:val="0"/>
        <w:adjustRightInd w:val="0"/>
        <w:spacing w:after="0" w:line="240" w:lineRule="auto"/>
        <w:ind w:firstLine="567"/>
        <w:jc w:val="both"/>
        <w:rPr>
          <w:rFonts w:ascii="Times New Roman" w:eastAsia="Calibri" w:hAnsi="Times New Roman" w:cs="Times New Roman"/>
          <w:noProof/>
          <w:sz w:val="24"/>
          <w:szCs w:val="24"/>
        </w:rPr>
      </w:pPr>
      <w:r w:rsidRPr="00AA5833">
        <w:rPr>
          <w:rFonts w:ascii="Times New Roman" w:eastAsia="Calibri" w:hAnsi="Times New Roman" w:cs="Times New Roman"/>
          <w:noProof/>
          <w:sz w:val="24"/>
          <w:szCs w:val="24"/>
        </w:rPr>
        <w:t>Очакваната продължителност на живота за навършилите 65 години е 16.7 години, като за мъжете и жените тя е съответно 14.5 и 18.6 години. В сравнение с 2023 г. през 2024 г. очакваната продължителност на живота на лицата, навършили 65 години, се увеличава с 1.5 години.</w:t>
      </w:r>
    </w:p>
    <w:p w14:paraId="139FADFB" w14:textId="77777777" w:rsidR="004C07C1" w:rsidRPr="00AA5833" w:rsidRDefault="004C07C1"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6FE222D7" w14:textId="77777777" w:rsidR="007D2504" w:rsidRPr="00AA5833" w:rsidRDefault="007D2504"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Очакваната продължителност на живота варира от 71.9 години в област Видин до 77.3 години в област София (столица). Жените живеят по-дълго от мъжете във всички области на страната, но най-голяма е разликата между двата пола в област Видин (9.2 години), а най-малка </w:t>
      </w:r>
      <w:r w:rsidR="007C6CAE" w:rsidRPr="00AA5833">
        <w:rPr>
          <w:rFonts w:ascii="Times New Roman" w:eastAsia="Calibri" w:hAnsi="Times New Roman" w:cs="Times New Roman"/>
          <w:sz w:val="24"/>
          <w:szCs w:val="24"/>
        </w:rPr>
        <w:t xml:space="preserve">– </w:t>
      </w:r>
      <w:r w:rsidRPr="00AA5833">
        <w:rPr>
          <w:rFonts w:ascii="Times New Roman" w:eastAsia="Calibri" w:hAnsi="Times New Roman" w:cs="Times New Roman"/>
          <w:sz w:val="24"/>
          <w:szCs w:val="24"/>
        </w:rPr>
        <w:t>в областите София (столица) и Шумен (6.6 години).</w:t>
      </w:r>
    </w:p>
    <w:p w14:paraId="515F75D6"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56386397"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4C517152"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6B752BFB"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09252A2F"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71CFF30F"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51AC8A2C"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633DA069"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4E3FC199"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7EF2E22B" w14:textId="77777777" w:rsidR="00975E72" w:rsidRPr="00AA5833" w:rsidRDefault="00975E72" w:rsidP="007D2504">
      <w:pPr>
        <w:autoSpaceDE w:val="0"/>
        <w:autoSpaceDN w:val="0"/>
        <w:adjustRightInd w:val="0"/>
        <w:spacing w:after="0" w:line="240" w:lineRule="auto"/>
        <w:jc w:val="both"/>
        <w:rPr>
          <w:rFonts w:ascii="Times New Roman" w:eastAsia="Calibri" w:hAnsi="Times New Roman" w:cs="Times New Roman"/>
          <w:b/>
          <w:sz w:val="24"/>
          <w:szCs w:val="24"/>
        </w:rPr>
      </w:pPr>
    </w:p>
    <w:p w14:paraId="46DB98C9" w14:textId="77777777" w:rsidR="007D2504" w:rsidRPr="00AA5833" w:rsidRDefault="007D2504" w:rsidP="007D2504">
      <w:pPr>
        <w:autoSpaceDE w:val="0"/>
        <w:autoSpaceDN w:val="0"/>
        <w:adjustRightInd w:val="0"/>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lastRenderedPageBreak/>
        <w:t xml:space="preserve">Фиг. 11. </w:t>
      </w:r>
      <w:r w:rsidRPr="00AA5833">
        <w:rPr>
          <w:rFonts w:ascii="Times New Roman" w:eastAsia="Calibri" w:hAnsi="Times New Roman" w:cs="Times New Roman"/>
          <w:b/>
          <w:noProof/>
          <w:sz w:val="24"/>
          <w:szCs w:val="24"/>
          <w:lang w:eastAsia="bg-BG"/>
        </w:rPr>
        <w:t>Очаквана</w:t>
      </w:r>
      <w:r w:rsidRPr="00AA5833">
        <w:rPr>
          <w:rFonts w:ascii="Times New Roman" w:eastAsia="Calibri" w:hAnsi="Times New Roman" w:cs="Times New Roman"/>
          <w:b/>
          <w:sz w:val="24"/>
          <w:szCs w:val="24"/>
        </w:rPr>
        <w:t xml:space="preserve"> средна продължителност на предстоящия живот по области</w:t>
      </w:r>
    </w:p>
    <w:p w14:paraId="718138F3" w14:textId="77777777" w:rsidR="007D2504" w:rsidRPr="00AA5833" w:rsidRDefault="007D2504" w:rsidP="007D2504">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0572ABA1" w14:textId="77777777" w:rsidR="006856A7" w:rsidRPr="00AA5833" w:rsidRDefault="007D2504" w:rsidP="006856A7">
      <w:pPr>
        <w:spacing w:after="0" w:line="240" w:lineRule="auto"/>
        <w:jc w:val="both"/>
        <w:rPr>
          <w:rFonts w:ascii="Times New Roman" w:eastAsia="Times New Roman" w:hAnsi="Times New Roman" w:cs="Times New Roman"/>
          <w:sz w:val="20"/>
          <w:szCs w:val="20"/>
          <w:lang w:eastAsia="bg-BG"/>
        </w:rPr>
      </w:pPr>
      <w:r w:rsidRPr="00AA5833">
        <w:rPr>
          <w:rFonts w:ascii="Times New Roman" w:eastAsia="Calibri" w:hAnsi="Times New Roman" w:cs="Times New Roman"/>
          <w:b/>
          <w:noProof/>
          <w:sz w:val="24"/>
          <w:szCs w:val="24"/>
          <w:lang w:eastAsia="bg-BG"/>
        </w:rPr>
        <w:drawing>
          <wp:inline distT="0" distB="0" distL="0" distR="0" wp14:anchorId="1D0486F5" wp14:editId="3B40E13D">
            <wp:extent cx="5756910" cy="4141694"/>
            <wp:effectExtent l="0" t="0" r="0" b="0"/>
            <wp:docPr id="19" name="Picture 19" descr="D:\Det-Tsm\PRESS\press2024\Karti\Средна продължителност на предстоящия живот_2024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t-Tsm\PRESS\press2024\Karti\Средна продължителност на предстоящия живот_2024_B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4141694"/>
                    </a:xfrm>
                    <a:prstGeom prst="rect">
                      <a:avLst/>
                    </a:prstGeom>
                    <a:noFill/>
                    <a:ln>
                      <a:noFill/>
                    </a:ln>
                  </pic:spPr>
                </pic:pic>
              </a:graphicData>
            </a:graphic>
          </wp:inline>
        </w:drawing>
      </w:r>
    </w:p>
    <w:p w14:paraId="1B2F01F4" w14:textId="77777777" w:rsidR="007D2504" w:rsidRPr="00AA5833" w:rsidRDefault="007D2504" w:rsidP="007D2504">
      <w:pPr>
        <w:spacing w:after="0" w:line="240" w:lineRule="auto"/>
        <w:jc w:val="both"/>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756AA589" w14:textId="77777777" w:rsidR="007D2504" w:rsidRPr="00AA5833" w:rsidRDefault="007D2504" w:rsidP="006856A7">
      <w:pPr>
        <w:spacing w:after="0" w:line="240" w:lineRule="auto"/>
        <w:jc w:val="both"/>
        <w:outlineLvl w:val="3"/>
        <w:rPr>
          <w:rFonts w:ascii="Times New Roman" w:eastAsia="Times New Roman" w:hAnsi="Times New Roman" w:cs="Times New Roman"/>
          <w:b/>
          <w:bCs/>
          <w:caps/>
          <w:color w:val="000000"/>
          <w:sz w:val="24"/>
          <w:szCs w:val="24"/>
          <w:lang w:eastAsia="bg-BG"/>
        </w:rPr>
      </w:pPr>
    </w:p>
    <w:p w14:paraId="175D65F1" w14:textId="77777777" w:rsidR="00305A07" w:rsidRDefault="00305A07" w:rsidP="006856A7">
      <w:pPr>
        <w:spacing w:after="0" w:line="240" w:lineRule="auto"/>
        <w:jc w:val="both"/>
        <w:outlineLvl w:val="3"/>
        <w:rPr>
          <w:rFonts w:ascii="Times New Roman" w:eastAsia="Times New Roman" w:hAnsi="Times New Roman" w:cs="Times New Roman"/>
          <w:b/>
          <w:bCs/>
          <w:caps/>
          <w:color w:val="000000"/>
          <w:sz w:val="24"/>
          <w:szCs w:val="24"/>
          <w:lang w:eastAsia="bg-BG"/>
        </w:rPr>
      </w:pPr>
    </w:p>
    <w:p w14:paraId="751C9B0D" w14:textId="77777777" w:rsidR="006856A7" w:rsidRPr="00AA5833" w:rsidRDefault="006856A7" w:rsidP="006856A7">
      <w:pPr>
        <w:spacing w:after="0" w:line="240" w:lineRule="auto"/>
        <w:jc w:val="both"/>
        <w:outlineLvl w:val="3"/>
        <w:rPr>
          <w:rFonts w:ascii="Times New Roman" w:eastAsia="Times New Roman" w:hAnsi="Times New Roman" w:cs="Times New Roman"/>
          <w:b/>
          <w:bCs/>
          <w:caps/>
          <w:color w:val="000000"/>
          <w:sz w:val="24"/>
          <w:szCs w:val="24"/>
          <w:lang w:eastAsia="bg-BG"/>
        </w:rPr>
      </w:pPr>
      <w:r w:rsidRPr="00AA5833">
        <w:rPr>
          <w:rFonts w:ascii="Times New Roman" w:eastAsia="Times New Roman" w:hAnsi="Times New Roman" w:cs="Times New Roman"/>
          <w:b/>
          <w:bCs/>
          <w:caps/>
          <w:color w:val="000000"/>
          <w:sz w:val="24"/>
          <w:szCs w:val="24"/>
          <w:lang w:eastAsia="bg-BG"/>
        </w:rPr>
        <w:t>1.4. Вътрешна и външна миграция на населението</w:t>
      </w:r>
    </w:p>
    <w:p w14:paraId="65752D05"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1.4.1. Преселвания между населените места в страната (вътрешна за страната миграция)</w:t>
      </w:r>
    </w:p>
    <w:p w14:paraId="5B4CF6DA"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sz w:val="24"/>
          <w:szCs w:val="24"/>
        </w:rPr>
      </w:pPr>
    </w:p>
    <w:p w14:paraId="32A6E176" w14:textId="77777777" w:rsidR="00913A4B" w:rsidRPr="00AA5833" w:rsidRDefault="00913A4B" w:rsidP="00913A4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t xml:space="preserve">През 2024 г. в преселванията между населените места в страната са участвали 96 833 лица. </w:t>
      </w:r>
      <w:r w:rsidRPr="00AA5833">
        <w:rPr>
          <w:rFonts w:ascii="Times New Roman" w:eastAsia="Times New Roman" w:hAnsi="Times New Roman" w:cs="Times New Roman"/>
          <w:sz w:val="24"/>
          <w:szCs w:val="24"/>
        </w:rPr>
        <w:t>От всички, които са променили своето обичайно местоживеене вътре в страната, 44.6% са мъже и 55.4% – жени.</w:t>
      </w:r>
    </w:p>
    <w:p w14:paraId="472444A8" w14:textId="77777777" w:rsidR="00913A4B" w:rsidRPr="00AA5833" w:rsidRDefault="00913A4B" w:rsidP="00913A4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Преселващите се лица във възрастовата група 0 </w:t>
      </w:r>
      <w:r w:rsidR="004C07C1"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14 години са 18.1%, лицата на възраст 15</w:t>
      </w:r>
      <w:r w:rsidR="004C07C1" w:rsidRPr="00AA5833">
        <w:rPr>
          <w:rFonts w:ascii="Times New Roman" w:eastAsia="Times New Roman" w:hAnsi="Times New Roman" w:cs="Times New Roman"/>
          <w:sz w:val="24"/>
          <w:szCs w:val="24"/>
        </w:rPr>
        <w:t xml:space="preserve"> </w:t>
      </w:r>
      <w:r w:rsidR="004C07C1"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64 години – 63.9%, а тези на 65 и повече години – 18.0% от мигриралите лица.</w:t>
      </w:r>
    </w:p>
    <w:p w14:paraId="556AC43C" w14:textId="77777777" w:rsidR="00913A4B" w:rsidRPr="00AA5833" w:rsidRDefault="00913A4B" w:rsidP="00913A4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Най-голямо териториално движение има по направлението „град-град“ (41.4%), последвано от  направлението и „село-град“ (26.1%), „град-село“ (22.8%). Значително по-малък, по брой и относителен дял, е миграционният поток по направлението „село-село“ – 9.7% от мигриралите лица. </w:t>
      </w:r>
    </w:p>
    <w:p w14:paraId="7BF71E84"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sz w:val="24"/>
          <w:szCs w:val="24"/>
        </w:rPr>
      </w:pPr>
    </w:p>
    <w:p w14:paraId="525A9D4C"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79514373"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3D95809F"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2B7438B1"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24AFAB7B"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0252449C" w14:textId="77777777" w:rsidR="007C6CAE" w:rsidRPr="00AA5833"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291ECD9E" w14:textId="77777777" w:rsidR="007C6CAE" w:rsidRDefault="007C6CAE" w:rsidP="006856A7">
      <w:pPr>
        <w:autoSpaceDE w:val="0"/>
        <w:autoSpaceDN w:val="0"/>
        <w:adjustRightInd w:val="0"/>
        <w:spacing w:after="0" w:line="240" w:lineRule="auto"/>
        <w:rPr>
          <w:rFonts w:ascii="Times New Roman" w:eastAsia="Times New Roman" w:hAnsi="Times New Roman" w:cs="Times New Roman"/>
          <w:b/>
          <w:sz w:val="24"/>
          <w:szCs w:val="24"/>
        </w:rPr>
      </w:pPr>
    </w:p>
    <w:p w14:paraId="1DC3020A" w14:textId="77777777" w:rsidR="00305A07" w:rsidRPr="00AA5833" w:rsidRDefault="00305A07" w:rsidP="006856A7">
      <w:pPr>
        <w:autoSpaceDE w:val="0"/>
        <w:autoSpaceDN w:val="0"/>
        <w:adjustRightInd w:val="0"/>
        <w:spacing w:after="0" w:line="240" w:lineRule="auto"/>
        <w:rPr>
          <w:rFonts w:ascii="Times New Roman" w:eastAsia="Times New Roman" w:hAnsi="Times New Roman" w:cs="Times New Roman"/>
          <w:b/>
          <w:sz w:val="24"/>
          <w:szCs w:val="24"/>
        </w:rPr>
      </w:pPr>
    </w:p>
    <w:p w14:paraId="5D3209BB" w14:textId="77777777" w:rsidR="006856A7" w:rsidRPr="00AA5833" w:rsidRDefault="006856A7" w:rsidP="006856A7">
      <w:pPr>
        <w:autoSpaceDE w:val="0"/>
        <w:autoSpaceDN w:val="0"/>
        <w:adjustRightInd w:val="0"/>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 11. Направления на вътрешната миграция през 202</w:t>
      </w:r>
      <w:r w:rsidR="00913A4B" w:rsidRPr="00AA5833">
        <w:rPr>
          <w:rFonts w:ascii="Times New Roman" w:eastAsia="Times New Roman" w:hAnsi="Times New Roman" w:cs="Times New Roman"/>
          <w:b/>
          <w:sz w:val="24"/>
          <w:szCs w:val="24"/>
        </w:rPr>
        <w:t>4</w:t>
      </w:r>
      <w:r w:rsidRPr="00AA5833">
        <w:rPr>
          <w:rFonts w:ascii="Times New Roman" w:eastAsia="Times New Roman" w:hAnsi="Times New Roman" w:cs="Times New Roman"/>
          <w:b/>
          <w:sz w:val="24"/>
          <w:szCs w:val="24"/>
        </w:rPr>
        <w:t xml:space="preserve"> г.</w:t>
      </w:r>
    </w:p>
    <w:p w14:paraId="63AC2B70" w14:textId="77777777" w:rsidR="006856A7" w:rsidRPr="00AA5833" w:rsidRDefault="00913A4B" w:rsidP="006856A7">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noProof/>
          <w:lang w:eastAsia="bg-BG"/>
        </w:rPr>
        <w:drawing>
          <wp:inline distT="0" distB="0" distL="0" distR="0" wp14:anchorId="6C4CACB7" wp14:editId="548ACE9B">
            <wp:extent cx="4104843" cy="259689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0B6617" w14:textId="77777777" w:rsidR="006856A7" w:rsidRPr="00AA5833" w:rsidRDefault="006856A7" w:rsidP="006856A7">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53586A9A" w14:textId="77777777" w:rsidR="00305A07" w:rsidRDefault="00305A07" w:rsidP="006856A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bg-BG"/>
        </w:rPr>
      </w:pPr>
    </w:p>
    <w:p w14:paraId="01FE8585"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1.4.2. Миграция от страната в чужбина (миграция извън страната/външна миграция/емиграция)</w:t>
      </w:r>
    </w:p>
    <w:p w14:paraId="1C54DE30" w14:textId="77777777" w:rsidR="00913A4B" w:rsidRPr="00AA5833" w:rsidRDefault="0079405A" w:rsidP="00913A4B">
      <w:pPr>
        <w:autoSpaceDE w:val="0"/>
        <w:autoSpaceDN w:val="0"/>
        <w:adjustRightInd w:val="0"/>
        <w:spacing w:after="0" w:line="240" w:lineRule="auto"/>
        <w:ind w:firstLine="567"/>
        <w:jc w:val="both"/>
        <w:rPr>
          <w:rFonts w:ascii="Times New Roman" w:eastAsia="Times New Roman" w:hAnsi="Times New Roman" w:cs="Times New Roman"/>
          <w:sz w:val="24"/>
          <w:szCs w:val="24"/>
        </w:rPr>
      </w:pPr>
      <w:hyperlink r:id="rId25" w:history="1"/>
      <w:r w:rsidR="00913A4B" w:rsidRPr="00AA5833">
        <w:rPr>
          <w:rFonts w:ascii="Times New Roman" w:eastAsia="Times New Roman" w:hAnsi="Times New Roman" w:cs="Times New Roman"/>
          <w:b/>
          <w:sz w:val="24"/>
          <w:szCs w:val="24"/>
        </w:rPr>
        <w:t xml:space="preserve">През 2024 г. 13 002 души са променили своя настоящ адрес от страната в чужбина, </w:t>
      </w:r>
      <w:r w:rsidR="00913A4B" w:rsidRPr="00AA5833">
        <w:rPr>
          <w:rFonts w:ascii="Times New Roman" w:eastAsia="Times New Roman" w:hAnsi="Times New Roman" w:cs="Times New Roman"/>
          <w:sz w:val="24"/>
          <w:szCs w:val="24"/>
        </w:rPr>
        <w:t>като 55.1% от тях са мъже. Емигрантите на възраст 0-14 г. са 7.7%, тези на възраст 15-64 години са 82.7%, а на 65 и повече навършени години – 9.6% от всички емигранти. Най-предпочитани от емигрантите дестинации са Германия (16.9%), Обединеното кралство (13.9%) и Франция (8.9%).</w:t>
      </w:r>
    </w:p>
    <w:p w14:paraId="7EDCAAFB" w14:textId="77777777" w:rsidR="006856A7" w:rsidRPr="00AA5833" w:rsidRDefault="006856A7" w:rsidP="006856A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72986454"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1.4.3. Миграция от чужбина в страната (имиграция)</w:t>
      </w:r>
    </w:p>
    <w:p w14:paraId="5B4DE22D" w14:textId="77777777" w:rsidR="00913A4B" w:rsidRPr="00AA5833" w:rsidRDefault="00913A4B" w:rsidP="00913A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Лицата, които са сменили местоживеенето си от чужбина в България, или </w:t>
      </w:r>
      <w:r w:rsidRPr="00AA5833">
        <w:rPr>
          <w:rFonts w:ascii="Times New Roman" w:eastAsia="Times New Roman" w:hAnsi="Times New Roman" w:cs="Times New Roman"/>
          <w:b/>
          <w:sz w:val="24"/>
          <w:szCs w:val="24"/>
        </w:rPr>
        <w:t>потокът на имигрантите, включва</w:t>
      </w:r>
      <w:r w:rsidRPr="00AA5833">
        <w:rPr>
          <w:rFonts w:ascii="Times New Roman" w:eastAsia="Times New Roman" w:hAnsi="Times New Roman" w:cs="Times New Roman"/>
          <w:sz w:val="24"/>
          <w:szCs w:val="24"/>
        </w:rPr>
        <w:t xml:space="preserve"> български граждани, завърнали се в страната, както и граждани на други държави, получили разрешение или статут за пребиваване в страната. </w:t>
      </w:r>
      <w:r w:rsidRPr="00AA5833">
        <w:rPr>
          <w:rFonts w:ascii="Times New Roman" w:eastAsia="Times New Roman" w:hAnsi="Times New Roman" w:cs="Times New Roman"/>
          <w:b/>
          <w:sz w:val="24"/>
          <w:szCs w:val="24"/>
        </w:rPr>
        <w:t xml:space="preserve">През 2024 г. 52 189 лица са променили своето обичайно местоживеене от чужбина в България, </w:t>
      </w:r>
      <w:r w:rsidRPr="00AA5833">
        <w:rPr>
          <w:rFonts w:ascii="Times New Roman" w:eastAsia="Times New Roman" w:hAnsi="Times New Roman" w:cs="Times New Roman"/>
          <w:sz w:val="24"/>
          <w:szCs w:val="24"/>
        </w:rPr>
        <w:t>от тях 51.5% са граждани на страни извън Европейския съюз, 34.9% имат българско гражданство, а 13.6% са граждани на държави от ЕС. Относителният дял на мъжете е 55.9%, а на жените – 44.1%. Сред дошлите да живеят в страната 16.0% са във възрастовата група 0-14 години, 72.9% са на възраст 15-64 години, а на 65 и повече навършени години са 11.1% от имигрантите. Най-висок е делът на имигрантите от Турция (21.8%), Украйна (16.6%) и Сирия (10.5%).</w:t>
      </w:r>
    </w:p>
    <w:p w14:paraId="55EAB555" w14:textId="77777777" w:rsidR="006856A7" w:rsidRPr="00AA5833" w:rsidRDefault="006856A7" w:rsidP="006856A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83B67AE"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1.4.4. Механичен прираст на населението</w:t>
      </w:r>
    </w:p>
    <w:p w14:paraId="0A0543F9" w14:textId="77777777" w:rsidR="00913A4B" w:rsidRPr="00AA5833" w:rsidRDefault="00913A4B" w:rsidP="00913A4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Съществено влияние върху броя и структурите на населението в страната оказва и </w:t>
      </w:r>
      <w:r w:rsidRPr="00AA5833">
        <w:rPr>
          <w:rFonts w:ascii="Times New Roman" w:eastAsia="Times New Roman" w:hAnsi="Times New Roman" w:cs="Times New Roman"/>
          <w:b/>
          <w:sz w:val="24"/>
          <w:szCs w:val="24"/>
        </w:rPr>
        <w:t>механичният прираст</w:t>
      </w:r>
      <w:r w:rsidRPr="00AA5833">
        <w:rPr>
          <w:rFonts w:ascii="Times New Roman" w:eastAsia="Times New Roman" w:hAnsi="Times New Roman" w:cs="Times New Roman"/>
          <w:sz w:val="24"/>
          <w:szCs w:val="24"/>
        </w:rPr>
        <w:t xml:space="preserve"> (нетното салдо от външната миграция), който </w:t>
      </w:r>
      <w:r w:rsidRPr="00AA5833">
        <w:rPr>
          <w:rFonts w:ascii="Times New Roman" w:eastAsia="Times New Roman" w:hAnsi="Times New Roman" w:cs="Times New Roman"/>
          <w:b/>
          <w:sz w:val="24"/>
          <w:szCs w:val="24"/>
        </w:rPr>
        <w:t>през 2024 г.</w:t>
      </w:r>
      <w:r w:rsidRPr="00AA5833">
        <w:rPr>
          <w:rFonts w:ascii="Times New Roman" w:eastAsia="Times New Roman" w:hAnsi="Times New Roman" w:cs="Times New Roman"/>
          <w:sz w:val="24"/>
          <w:szCs w:val="24"/>
        </w:rPr>
        <w:t xml:space="preserve"> е положителен – плюс 39 187 души. Той се формира като разлика между броя на заселилите се и изселилите се от страната. </w:t>
      </w:r>
    </w:p>
    <w:p w14:paraId="070D5F0F" w14:textId="77777777" w:rsidR="00913A4B" w:rsidRPr="00AA5833" w:rsidRDefault="00913A4B" w:rsidP="007C6CAE">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Изменението на населението в резултат на външната миграция, измерено чрез </w:t>
      </w:r>
      <w:r w:rsidRPr="00AA5833">
        <w:rPr>
          <w:rFonts w:ascii="Times New Roman" w:eastAsia="Times New Roman" w:hAnsi="Times New Roman" w:cs="Times New Roman"/>
          <w:b/>
          <w:sz w:val="24"/>
          <w:szCs w:val="24"/>
        </w:rPr>
        <w:t xml:space="preserve">коефициента на нетна миграция, </w:t>
      </w:r>
      <w:r w:rsidRPr="00AA5833">
        <w:rPr>
          <w:rFonts w:ascii="Times New Roman" w:eastAsia="Times New Roman" w:hAnsi="Times New Roman" w:cs="Times New Roman"/>
          <w:sz w:val="24"/>
          <w:szCs w:val="24"/>
        </w:rPr>
        <w:t>е +6.0‰</w:t>
      </w:r>
      <w:r w:rsidRPr="00AA5833">
        <w:rPr>
          <w:rFonts w:ascii="Times New Roman" w:eastAsia="Times New Roman" w:hAnsi="Times New Roman" w:cs="Times New Roman"/>
          <w:sz w:val="24"/>
          <w:szCs w:val="24"/>
          <w:vertAlign w:val="superscript"/>
          <w:lang w:eastAsia="bg-BG"/>
        </w:rPr>
        <w:footnoteReference w:id="19"/>
      </w:r>
      <w:r w:rsidRPr="00AA5833">
        <w:rPr>
          <w:rFonts w:ascii="Times New Roman" w:eastAsia="Times New Roman" w:hAnsi="Times New Roman" w:cs="Times New Roman"/>
          <w:sz w:val="24"/>
          <w:szCs w:val="24"/>
        </w:rPr>
        <w:t>. През 2024 г.</w:t>
      </w:r>
      <w:r w:rsidRPr="00AA5833">
        <w:rPr>
          <w:rFonts w:ascii="Times New Roman" w:eastAsia="Times New Roman" w:hAnsi="Times New Roman" w:cs="Times New Roman"/>
          <w:color w:val="FF0000"/>
          <w:sz w:val="24"/>
          <w:szCs w:val="24"/>
        </w:rPr>
        <w:t xml:space="preserve"> </w:t>
      </w:r>
      <w:r w:rsidRPr="00AA5833">
        <w:rPr>
          <w:rFonts w:ascii="Times New Roman" w:eastAsia="Times New Roman" w:hAnsi="Times New Roman" w:cs="Times New Roman"/>
          <w:sz w:val="24"/>
          <w:szCs w:val="24"/>
        </w:rPr>
        <w:t>н</w:t>
      </w:r>
      <w:r w:rsidRPr="00AA5833">
        <w:rPr>
          <w:rFonts w:ascii="Times New Roman" w:eastAsia="Μοντέρνα" w:hAnsi="Times New Roman" w:cs="Times New Roman"/>
          <w:sz w:val="24"/>
          <w:szCs w:val="24"/>
        </w:rPr>
        <w:t>ай-голям механичен прираст има в областите</w:t>
      </w:r>
      <w:r w:rsidRPr="00AA5833">
        <w:rPr>
          <w:rFonts w:ascii="Times New Roman" w:eastAsia="Μοντέρνα" w:hAnsi="Times New Roman" w:cs="Times New Roman"/>
          <w:color w:val="FF0000"/>
          <w:sz w:val="24"/>
          <w:szCs w:val="24"/>
        </w:rPr>
        <w:t xml:space="preserve"> </w:t>
      </w:r>
      <w:r w:rsidRPr="00AA5833">
        <w:rPr>
          <w:rFonts w:ascii="Times New Roman" w:eastAsia="Times New Roman" w:hAnsi="Times New Roman" w:cs="Times New Roman"/>
          <w:sz w:val="24"/>
          <w:szCs w:val="24"/>
        </w:rPr>
        <w:t>Кърджали (28.6‰), Бургас (17.0‰) и Варна (12.9‰). С най-голямо намаление на населението в резултат на отрицателния механичен прираст са областите Смолян (</w:t>
      </w:r>
      <w:r w:rsidRPr="00AA5833">
        <w:rPr>
          <w:rFonts w:ascii="Times New Roman" w:eastAsia="Times New Roman" w:hAnsi="Times New Roman" w:cs="Times New Roman"/>
          <w:sz w:val="24"/>
          <w:szCs w:val="24"/>
        </w:rPr>
        <w:noBreakHyphen/>
        <w:t>5.0‰) и Монтана (</w:t>
      </w:r>
      <w:r w:rsidRPr="00AA5833">
        <w:rPr>
          <w:rFonts w:ascii="Times New Roman" w:eastAsia="Times New Roman" w:hAnsi="Times New Roman" w:cs="Times New Roman"/>
          <w:sz w:val="24"/>
          <w:szCs w:val="24"/>
        </w:rPr>
        <w:noBreakHyphen/>
        <w:t>1.9‰).</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604282" w:rsidRPr="00AA5833" w14:paraId="6FE52583" w14:textId="77777777" w:rsidTr="002E676E">
        <w:tc>
          <w:tcPr>
            <w:tcW w:w="9067" w:type="dxa"/>
            <w:shd w:val="clear" w:color="auto" w:fill="00CC99"/>
            <w:vAlign w:val="center"/>
          </w:tcPr>
          <w:p w14:paraId="27046D63" w14:textId="77777777" w:rsidR="001051BC" w:rsidRPr="00AA5833" w:rsidRDefault="00604282" w:rsidP="001051BC">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ЧАСТ ІІ. СТРУКТУРА И КАЧЕСТВЕН</w:t>
            </w:r>
            <w:r w:rsidR="001051BC">
              <w:rPr>
                <w:rFonts w:ascii="Times New Roman" w:eastAsia="Times New Roman" w:hAnsi="Times New Roman" w:cs="Times New Roman"/>
                <w:b/>
                <w:color w:val="000000"/>
                <w:sz w:val="24"/>
                <w:szCs w:val="24"/>
                <w:lang w:eastAsia="bg-BG"/>
              </w:rPr>
              <w:t>И ХАРАКТЕРИСТИКИ НА НАСЕЛЕНИЕТО</w:t>
            </w:r>
          </w:p>
        </w:tc>
      </w:tr>
    </w:tbl>
    <w:p w14:paraId="44DCF56C" w14:textId="77777777" w:rsidR="00604282" w:rsidRPr="00AA5833" w:rsidRDefault="00604282" w:rsidP="006856A7">
      <w:pPr>
        <w:autoSpaceDE w:val="0"/>
        <w:autoSpaceDN w:val="0"/>
        <w:adjustRightInd w:val="0"/>
        <w:spacing w:after="0" w:line="240" w:lineRule="auto"/>
        <w:jc w:val="both"/>
        <w:rPr>
          <w:rFonts w:ascii="Times New Roman" w:eastAsia="Times New Roman" w:hAnsi="Times New Roman" w:cs="Times New Roman"/>
          <w:sz w:val="24"/>
          <w:szCs w:val="24"/>
        </w:rPr>
      </w:pPr>
    </w:p>
    <w:p w14:paraId="6BBFFA30" w14:textId="77777777" w:rsidR="006856A7" w:rsidRPr="00AA5833" w:rsidRDefault="006856A7" w:rsidP="006856A7">
      <w:pPr>
        <w:autoSpaceDE w:val="0"/>
        <w:autoSpaceDN w:val="0"/>
        <w:adjustRightInd w:val="0"/>
        <w:spacing w:after="0" w:line="240" w:lineRule="auto"/>
        <w:jc w:val="both"/>
        <w:rPr>
          <w:rFonts w:ascii="TimesNewRoman" w:eastAsia="Times New Roman" w:hAnsi="TimesNewRoman" w:cs="TimesNewRoman"/>
          <w:b/>
          <w:bCs/>
          <w:color w:val="0000FF"/>
          <w:sz w:val="24"/>
          <w:szCs w:val="24"/>
          <w:lang w:eastAsia="bg-BG"/>
        </w:rPr>
      </w:pPr>
    </w:p>
    <w:p w14:paraId="3EEDE7FE"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2.1. Структура на населението по пол</w:t>
      </w:r>
    </w:p>
    <w:p w14:paraId="47E9CC1F"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p>
    <w:p w14:paraId="6F489AB9" w14:textId="77777777" w:rsidR="006A5C2F" w:rsidRPr="00AA5833" w:rsidRDefault="006A5C2F" w:rsidP="006A5C2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t xml:space="preserve">Мъжете са 3 095 140 (48.1%), а жените </w:t>
      </w:r>
      <w:r w:rsidR="006B3A8D"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b/>
          <w:sz w:val="24"/>
          <w:szCs w:val="24"/>
        </w:rPr>
        <w:t xml:space="preserve">3 342 220 (51.9%), </w:t>
      </w:r>
      <w:r w:rsidRPr="00AA5833">
        <w:rPr>
          <w:rFonts w:ascii="Times New Roman" w:eastAsia="Times New Roman" w:hAnsi="Times New Roman" w:cs="Times New Roman"/>
          <w:sz w:val="24"/>
          <w:szCs w:val="24"/>
        </w:rPr>
        <w:t>или на 1 000 мъже се падат 1 080 жени. Броят на мъжете преобладава във възрастите до 55 години включително. С нарастването на възрастта се увеличават броят и относителният дял на жените от общото население на страната.</w:t>
      </w:r>
    </w:p>
    <w:p w14:paraId="4F64A6C3"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35E74E8" w14:textId="77777777" w:rsidR="006856A7" w:rsidRPr="00AA5833" w:rsidRDefault="006856A7" w:rsidP="006856A7">
      <w:pPr>
        <w:spacing w:after="0" w:line="240" w:lineRule="auto"/>
        <w:ind w:firstLine="708"/>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Таблица 9: Население към 31.12.202</w:t>
      </w:r>
      <w:r w:rsidR="006A5C2F" w:rsidRPr="00AA5833">
        <w:rPr>
          <w:rFonts w:ascii="Times New Roman" w:eastAsia="Times New Roman" w:hAnsi="Times New Roman" w:cs="Times New Roman"/>
          <w:b/>
          <w:sz w:val="24"/>
          <w:szCs w:val="24"/>
          <w:lang w:eastAsia="bg-BG"/>
        </w:rPr>
        <w:t>4</w:t>
      </w:r>
      <w:r w:rsidRPr="00AA5833">
        <w:rPr>
          <w:rFonts w:ascii="Times New Roman" w:eastAsia="Times New Roman" w:hAnsi="Times New Roman" w:cs="Times New Roman"/>
          <w:b/>
          <w:sz w:val="24"/>
          <w:szCs w:val="24"/>
          <w:lang w:eastAsia="bg-BG"/>
        </w:rPr>
        <w:t xml:space="preserve"> г. по възраст и пол </w:t>
      </w:r>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0"/>
        <w:gridCol w:w="1462"/>
        <w:gridCol w:w="1462"/>
        <w:gridCol w:w="1470"/>
      </w:tblGrid>
      <w:tr w:rsidR="006856A7" w:rsidRPr="00AA5833" w14:paraId="5473A5BF" w14:textId="77777777" w:rsidTr="00DA06AC">
        <w:trPr>
          <w:trHeight w:hRule="exact" w:val="254"/>
          <w:jc w:val="center"/>
        </w:trPr>
        <w:tc>
          <w:tcPr>
            <w:tcW w:w="4180" w:type="dxa"/>
            <w:vMerge w:val="restart"/>
            <w:shd w:val="clear" w:color="auto" w:fill="00CC99"/>
            <w:noWrap/>
            <w:vAlign w:val="center"/>
            <w:hideMark/>
          </w:tcPr>
          <w:p w14:paraId="39B7E1F7" w14:textId="77777777" w:rsidR="006856A7" w:rsidRPr="00AA5833" w:rsidRDefault="006856A7" w:rsidP="006856A7">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Възрастови групи</w:t>
            </w:r>
          </w:p>
        </w:tc>
        <w:tc>
          <w:tcPr>
            <w:tcW w:w="4394" w:type="dxa"/>
            <w:gridSpan w:val="3"/>
            <w:shd w:val="clear" w:color="auto" w:fill="00CC99"/>
            <w:noWrap/>
            <w:vAlign w:val="bottom"/>
            <w:hideMark/>
          </w:tcPr>
          <w:p w14:paraId="5E6499F8" w14:textId="77777777" w:rsidR="006856A7" w:rsidRPr="00AA5833" w:rsidRDefault="006856A7" w:rsidP="006856A7">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Пол</w:t>
            </w:r>
          </w:p>
        </w:tc>
      </w:tr>
      <w:tr w:rsidR="006856A7" w:rsidRPr="00AA5833" w14:paraId="6E739F23" w14:textId="77777777" w:rsidTr="00DA06AC">
        <w:trPr>
          <w:trHeight w:hRule="exact" w:val="364"/>
          <w:jc w:val="center"/>
        </w:trPr>
        <w:tc>
          <w:tcPr>
            <w:tcW w:w="4180" w:type="dxa"/>
            <w:vMerge/>
            <w:shd w:val="clear" w:color="auto" w:fill="00CC99"/>
            <w:vAlign w:val="center"/>
            <w:hideMark/>
          </w:tcPr>
          <w:p w14:paraId="73AA6461" w14:textId="77777777" w:rsidR="006856A7" w:rsidRPr="00AA5833" w:rsidRDefault="006856A7" w:rsidP="006856A7">
            <w:pPr>
              <w:spacing w:after="0" w:line="240" w:lineRule="auto"/>
              <w:rPr>
                <w:rFonts w:ascii="Times New Roman" w:eastAsia="Times New Roman" w:hAnsi="Times New Roman" w:cs="Times New Roman"/>
                <w:b/>
                <w:bCs/>
                <w:sz w:val="20"/>
                <w:szCs w:val="20"/>
                <w:lang w:eastAsia="bg-BG"/>
              </w:rPr>
            </w:pPr>
          </w:p>
        </w:tc>
        <w:tc>
          <w:tcPr>
            <w:tcW w:w="1462" w:type="dxa"/>
            <w:shd w:val="clear" w:color="auto" w:fill="00CC99"/>
            <w:noWrap/>
            <w:vAlign w:val="bottom"/>
            <w:hideMark/>
          </w:tcPr>
          <w:p w14:paraId="6AD9CED4" w14:textId="77777777" w:rsidR="006856A7" w:rsidRPr="00AA5833" w:rsidRDefault="006856A7" w:rsidP="006856A7">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Всичко</w:t>
            </w:r>
          </w:p>
        </w:tc>
        <w:tc>
          <w:tcPr>
            <w:tcW w:w="1462" w:type="dxa"/>
            <w:shd w:val="clear" w:color="auto" w:fill="00CC99"/>
            <w:noWrap/>
            <w:vAlign w:val="bottom"/>
            <w:hideMark/>
          </w:tcPr>
          <w:p w14:paraId="40E082F1" w14:textId="77777777" w:rsidR="006856A7" w:rsidRPr="00AA5833" w:rsidRDefault="006856A7" w:rsidP="006856A7">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Мъже</w:t>
            </w:r>
          </w:p>
        </w:tc>
        <w:tc>
          <w:tcPr>
            <w:tcW w:w="1468" w:type="dxa"/>
            <w:shd w:val="clear" w:color="auto" w:fill="00CC99"/>
            <w:noWrap/>
            <w:vAlign w:val="bottom"/>
            <w:hideMark/>
          </w:tcPr>
          <w:p w14:paraId="000C2EFF" w14:textId="77777777" w:rsidR="006856A7" w:rsidRPr="00AA5833" w:rsidRDefault="006856A7" w:rsidP="006856A7">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Жени</w:t>
            </w:r>
          </w:p>
        </w:tc>
      </w:tr>
      <w:tr w:rsidR="006A5C2F" w:rsidRPr="00AA5833" w14:paraId="670E6B3F" w14:textId="77777777" w:rsidTr="00DA06AC">
        <w:trPr>
          <w:trHeight w:hRule="exact" w:val="331"/>
          <w:jc w:val="center"/>
        </w:trPr>
        <w:tc>
          <w:tcPr>
            <w:tcW w:w="4180" w:type="dxa"/>
            <w:shd w:val="clear" w:color="auto" w:fill="00FF99"/>
            <w:noWrap/>
            <w:hideMark/>
          </w:tcPr>
          <w:p w14:paraId="64ACEBE3" w14:textId="77777777" w:rsidR="006A5C2F" w:rsidRPr="00AA5833" w:rsidRDefault="006A5C2F" w:rsidP="006A5C2F">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Общо</w:t>
            </w:r>
          </w:p>
        </w:tc>
        <w:tc>
          <w:tcPr>
            <w:tcW w:w="146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8E259C7" w14:textId="77777777" w:rsidR="006A5C2F" w:rsidRPr="00AA5833" w:rsidRDefault="006A5C2F" w:rsidP="006A5C2F">
            <w:pPr>
              <w:jc w:val="right"/>
              <w:rPr>
                <w:rFonts w:ascii="Times New Roman" w:hAnsi="Times New Roman" w:cs="Times New Roman"/>
                <w:b/>
                <w:bCs/>
                <w:sz w:val="20"/>
                <w:szCs w:val="20"/>
              </w:rPr>
            </w:pPr>
            <w:r w:rsidRPr="00AA5833">
              <w:rPr>
                <w:rFonts w:ascii="Times New Roman" w:hAnsi="Times New Roman" w:cs="Times New Roman"/>
                <w:b/>
                <w:bCs/>
                <w:sz w:val="20"/>
                <w:szCs w:val="20"/>
              </w:rPr>
              <w:t>6 437 360</w:t>
            </w:r>
          </w:p>
        </w:tc>
        <w:tc>
          <w:tcPr>
            <w:tcW w:w="146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E9AF9DC" w14:textId="77777777" w:rsidR="006A5C2F" w:rsidRPr="00AA5833" w:rsidRDefault="006A5C2F" w:rsidP="006A5C2F">
            <w:pPr>
              <w:jc w:val="right"/>
              <w:rPr>
                <w:rFonts w:ascii="Times New Roman" w:hAnsi="Times New Roman" w:cs="Times New Roman"/>
                <w:b/>
                <w:bCs/>
                <w:sz w:val="20"/>
                <w:szCs w:val="20"/>
              </w:rPr>
            </w:pPr>
            <w:r w:rsidRPr="00AA5833">
              <w:rPr>
                <w:rFonts w:ascii="Times New Roman" w:hAnsi="Times New Roman" w:cs="Times New Roman"/>
                <w:b/>
                <w:bCs/>
                <w:sz w:val="20"/>
                <w:szCs w:val="20"/>
              </w:rPr>
              <w:t>3 095 140</w:t>
            </w:r>
          </w:p>
        </w:tc>
        <w:tc>
          <w:tcPr>
            <w:tcW w:w="1468"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A707392" w14:textId="77777777" w:rsidR="006A5C2F" w:rsidRPr="00AA5833" w:rsidRDefault="006A5C2F" w:rsidP="006A5C2F">
            <w:pPr>
              <w:jc w:val="right"/>
              <w:rPr>
                <w:rFonts w:ascii="Times New Roman" w:hAnsi="Times New Roman" w:cs="Times New Roman"/>
                <w:b/>
                <w:bCs/>
                <w:sz w:val="20"/>
                <w:szCs w:val="20"/>
              </w:rPr>
            </w:pPr>
            <w:r w:rsidRPr="00AA5833">
              <w:rPr>
                <w:rFonts w:ascii="Times New Roman" w:hAnsi="Times New Roman" w:cs="Times New Roman"/>
                <w:b/>
                <w:bCs/>
                <w:sz w:val="20"/>
                <w:szCs w:val="20"/>
              </w:rPr>
              <w:t>3 342 220</w:t>
            </w:r>
          </w:p>
        </w:tc>
      </w:tr>
      <w:tr w:rsidR="006A5C2F" w:rsidRPr="00AA5833" w14:paraId="6C76808F" w14:textId="77777777" w:rsidTr="00DA06AC">
        <w:trPr>
          <w:trHeight w:hRule="exact" w:val="254"/>
          <w:jc w:val="center"/>
        </w:trPr>
        <w:tc>
          <w:tcPr>
            <w:tcW w:w="4180" w:type="dxa"/>
            <w:tcBorders>
              <w:top w:val="single" w:sz="8" w:space="0" w:color="auto"/>
              <w:left w:val="single" w:sz="8" w:space="0" w:color="auto"/>
              <w:bottom w:val="single" w:sz="8" w:space="0" w:color="auto"/>
              <w:right w:val="nil"/>
            </w:tcBorders>
            <w:shd w:val="clear" w:color="auto" w:fill="auto"/>
            <w:noWrap/>
            <w:vAlign w:val="center"/>
          </w:tcPr>
          <w:p w14:paraId="2F354D78"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0</w:t>
            </w:r>
          </w:p>
        </w:tc>
        <w:tc>
          <w:tcPr>
            <w:tcW w:w="1462" w:type="dxa"/>
            <w:tcBorders>
              <w:top w:val="nil"/>
              <w:left w:val="single" w:sz="8" w:space="0" w:color="auto"/>
              <w:bottom w:val="single" w:sz="8" w:space="0" w:color="auto"/>
              <w:right w:val="single" w:sz="8" w:space="0" w:color="auto"/>
            </w:tcBorders>
            <w:shd w:val="clear" w:color="auto" w:fill="auto"/>
            <w:vAlign w:val="bottom"/>
          </w:tcPr>
          <w:p w14:paraId="2AE9B88E"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53 427</w:t>
            </w:r>
          </w:p>
        </w:tc>
        <w:tc>
          <w:tcPr>
            <w:tcW w:w="1462" w:type="dxa"/>
            <w:tcBorders>
              <w:top w:val="nil"/>
              <w:left w:val="single" w:sz="8" w:space="0" w:color="auto"/>
              <w:bottom w:val="single" w:sz="8" w:space="0" w:color="auto"/>
              <w:right w:val="single" w:sz="8" w:space="0" w:color="auto"/>
            </w:tcBorders>
            <w:shd w:val="clear" w:color="auto" w:fill="auto"/>
            <w:vAlign w:val="bottom"/>
          </w:tcPr>
          <w:p w14:paraId="6359EFC2"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27 351</w:t>
            </w:r>
          </w:p>
        </w:tc>
        <w:tc>
          <w:tcPr>
            <w:tcW w:w="1468" w:type="dxa"/>
            <w:tcBorders>
              <w:top w:val="nil"/>
              <w:left w:val="single" w:sz="8" w:space="0" w:color="auto"/>
              <w:bottom w:val="single" w:sz="8" w:space="0" w:color="auto"/>
              <w:right w:val="single" w:sz="8" w:space="0" w:color="auto"/>
            </w:tcBorders>
            <w:shd w:val="clear" w:color="auto" w:fill="auto"/>
            <w:vAlign w:val="bottom"/>
          </w:tcPr>
          <w:p w14:paraId="0C4FCCF5"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26 076</w:t>
            </w:r>
          </w:p>
        </w:tc>
      </w:tr>
      <w:tr w:rsidR="006A5C2F" w:rsidRPr="00AA5833" w14:paraId="20307379"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192ED893"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1 -  4</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35374529"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231 339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246513DB"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118 564</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54B789DB"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112 775</w:t>
            </w:r>
          </w:p>
        </w:tc>
      </w:tr>
      <w:tr w:rsidR="006A5C2F" w:rsidRPr="00AA5833" w14:paraId="7D007660"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7DCAA56C"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5 -  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6239107A"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303 526</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239F60E"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155 892</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44A159D7"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147 634</w:t>
            </w:r>
          </w:p>
        </w:tc>
      </w:tr>
      <w:tr w:rsidR="006A5C2F" w:rsidRPr="00AA5833" w14:paraId="0F1AD1D9"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15CA48F3"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10 - 14</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0C5D405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313 551</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07AD818"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161 176</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33C10648"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152 375</w:t>
            </w:r>
          </w:p>
        </w:tc>
      </w:tr>
      <w:tr w:rsidR="006A5C2F" w:rsidRPr="00AA5833" w14:paraId="74ED1C43"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12F13592"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15 - 19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AA0DD4F"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325 439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1856ED2E"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168 099</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59D5AA24"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157 340</w:t>
            </w:r>
          </w:p>
        </w:tc>
      </w:tr>
      <w:tr w:rsidR="006A5C2F" w:rsidRPr="00AA5833" w14:paraId="3146179E"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476239D7"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20 - 24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1E51BE8E"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284 257</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1081212"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146 740</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6DAA1720"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137 517</w:t>
            </w:r>
          </w:p>
        </w:tc>
      </w:tr>
      <w:tr w:rsidR="006A5C2F" w:rsidRPr="00AA5833" w14:paraId="4ED56935"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6904DEF0"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25 - 29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AE99585"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270 718</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6E1A0494"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139 427</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772E85F1"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131 291</w:t>
            </w:r>
          </w:p>
        </w:tc>
      </w:tr>
      <w:tr w:rsidR="006A5C2F" w:rsidRPr="00AA5833" w14:paraId="7788BA1F"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6C31FD6E"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30 - 34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54D4435F"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342 893</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6E296841"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176 515</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45917029"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166 378</w:t>
            </w:r>
          </w:p>
        </w:tc>
      </w:tr>
      <w:tr w:rsidR="006A5C2F" w:rsidRPr="00AA5833" w14:paraId="6A50233C" w14:textId="77777777" w:rsidTr="00DA06AC">
        <w:trPr>
          <w:trHeight w:hRule="exact" w:val="254"/>
          <w:jc w:val="center"/>
        </w:trPr>
        <w:tc>
          <w:tcPr>
            <w:tcW w:w="4180" w:type="dxa"/>
            <w:tcBorders>
              <w:top w:val="nil"/>
              <w:left w:val="single" w:sz="8" w:space="0" w:color="auto"/>
              <w:bottom w:val="single" w:sz="4" w:space="0" w:color="auto"/>
              <w:right w:val="nil"/>
            </w:tcBorders>
            <w:shd w:val="clear" w:color="auto" w:fill="auto"/>
            <w:noWrap/>
            <w:vAlign w:val="center"/>
            <w:hideMark/>
          </w:tcPr>
          <w:p w14:paraId="5359204F"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35 - 39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1D396A04"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426 868</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3EA4E3D6"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219 642</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56C54E0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207 226</w:t>
            </w:r>
          </w:p>
        </w:tc>
      </w:tr>
      <w:tr w:rsidR="006A5C2F" w:rsidRPr="00AA5833" w14:paraId="3C68EE59" w14:textId="77777777" w:rsidTr="00DA06AC">
        <w:trPr>
          <w:trHeight w:hRule="exact" w:val="254"/>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9ED3"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40 - 44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22DB8F3"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445 188</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5F1D3A3C"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230 402</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7F5008A7"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214 786</w:t>
            </w:r>
          </w:p>
        </w:tc>
      </w:tr>
      <w:tr w:rsidR="006A5C2F" w:rsidRPr="00AA5833" w14:paraId="59B3091C" w14:textId="77777777" w:rsidTr="00DA06AC">
        <w:trPr>
          <w:trHeight w:hRule="exact" w:val="254"/>
          <w:jc w:val="center"/>
        </w:trPr>
        <w:tc>
          <w:tcPr>
            <w:tcW w:w="4180" w:type="dxa"/>
            <w:tcBorders>
              <w:top w:val="single" w:sz="4" w:space="0" w:color="auto"/>
              <w:left w:val="single" w:sz="8" w:space="0" w:color="auto"/>
              <w:bottom w:val="single" w:sz="4" w:space="0" w:color="auto"/>
              <w:right w:val="nil"/>
            </w:tcBorders>
            <w:shd w:val="clear" w:color="auto" w:fill="auto"/>
            <w:noWrap/>
            <w:vAlign w:val="center"/>
            <w:hideMark/>
          </w:tcPr>
          <w:p w14:paraId="208C9397"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45 - 49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C06D7BB"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497 491</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3D8EEC89"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254 748</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2F15282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242 743</w:t>
            </w:r>
          </w:p>
        </w:tc>
      </w:tr>
      <w:tr w:rsidR="006A5C2F" w:rsidRPr="00AA5833" w14:paraId="696B8242" w14:textId="77777777" w:rsidTr="00DA06AC">
        <w:trPr>
          <w:trHeight w:hRule="exact" w:val="254"/>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14AF1"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50 - 54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954DC3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491 886</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5791DE16"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249 119</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1201C83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242 767</w:t>
            </w:r>
          </w:p>
        </w:tc>
      </w:tr>
      <w:tr w:rsidR="006A5C2F" w:rsidRPr="00AA5833" w14:paraId="7164D880" w14:textId="77777777" w:rsidTr="00DA06AC">
        <w:trPr>
          <w:trHeight w:hRule="exact" w:val="254"/>
          <w:jc w:val="center"/>
        </w:trPr>
        <w:tc>
          <w:tcPr>
            <w:tcW w:w="4180" w:type="dxa"/>
            <w:tcBorders>
              <w:top w:val="single" w:sz="4" w:space="0" w:color="auto"/>
              <w:left w:val="single" w:sz="8" w:space="0" w:color="auto"/>
              <w:bottom w:val="single" w:sz="4" w:space="0" w:color="auto"/>
              <w:right w:val="nil"/>
            </w:tcBorders>
            <w:shd w:val="clear" w:color="auto" w:fill="auto"/>
            <w:noWrap/>
            <w:vAlign w:val="center"/>
            <w:hideMark/>
          </w:tcPr>
          <w:p w14:paraId="5C70FD5C"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55 - 59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5B49506"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454 879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2BC608E2"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224 948</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674F89C2"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229 931</w:t>
            </w:r>
          </w:p>
        </w:tc>
      </w:tr>
      <w:tr w:rsidR="006A5C2F" w:rsidRPr="00AA5833" w14:paraId="4C109944" w14:textId="77777777" w:rsidTr="00DA06AC">
        <w:trPr>
          <w:trHeight w:hRule="exact" w:val="254"/>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9E76"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60 - 64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5F15E75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451 653</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6659B419"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213 929</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1A5F10B4"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237 724</w:t>
            </w:r>
          </w:p>
        </w:tc>
      </w:tr>
      <w:tr w:rsidR="006A5C2F" w:rsidRPr="00AA5833" w14:paraId="509E83F0" w14:textId="77777777" w:rsidTr="00DA06AC">
        <w:trPr>
          <w:trHeight w:hRule="exact" w:val="254"/>
          <w:jc w:val="center"/>
        </w:trPr>
        <w:tc>
          <w:tcPr>
            <w:tcW w:w="4180" w:type="dxa"/>
            <w:tcBorders>
              <w:top w:val="single" w:sz="4" w:space="0" w:color="auto"/>
              <w:left w:val="single" w:sz="8" w:space="0" w:color="auto"/>
              <w:bottom w:val="single" w:sz="8" w:space="0" w:color="auto"/>
              <w:right w:val="nil"/>
            </w:tcBorders>
            <w:shd w:val="clear" w:color="auto" w:fill="auto"/>
            <w:noWrap/>
            <w:vAlign w:val="center"/>
            <w:hideMark/>
          </w:tcPr>
          <w:p w14:paraId="33D4914F"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65 - 69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CD741B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445 533</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6901D8C8"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197 839</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06E66ADE"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247 694</w:t>
            </w:r>
          </w:p>
        </w:tc>
      </w:tr>
      <w:tr w:rsidR="006A5C2F" w:rsidRPr="00AA5833" w14:paraId="0FD6C160"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6C387E5A"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70 - 74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4E543FAD"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414 329</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111BA8CA"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170 915</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6D271829"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243 414</w:t>
            </w:r>
          </w:p>
        </w:tc>
      </w:tr>
      <w:tr w:rsidR="006A5C2F" w:rsidRPr="00AA5833" w14:paraId="547A0501"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3CC549AE"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75 - 79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77A86ED3"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340 042</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13B093F5"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127 915</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7828E8DB"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212 127</w:t>
            </w:r>
          </w:p>
        </w:tc>
      </w:tr>
      <w:tr w:rsidR="006A5C2F" w:rsidRPr="00AA5833" w14:paraId="79764C2F" w14:textId="77777777" w:rsidTr="00DA06AC">
        <w:trPr>
          <w:trHeight w:hRule="exact" w:val="254"/>
          <w:jc w:val="center"/>
        </w:trPr>
        <w:tc>
          <w:tcPr>
            <w:tcW w:w="4180" w:type="dxa"/>
            <w:tcBorders>
              <w:top w:val="nil"/>
              <w:left w:val="single" w:sz="8" w:space="0" w:color="auto"/>
              <w:bottom w:val="single" w:sz="8" w:space="0" w:color="auto"/>
              <w:right w:val="nil"/>
            </w:tcBorders>
            <w:shd w:val="clear" w:color="auto" w:fill="auto"/>
            <w:noWrap/>
            <w:vAlign w:val="center"/>
            <w:hideMark/>
          </w:tcPr>
          <w:p w14:paraId="681EE37C" w14:textId="77777777" w:rsidR="006A5C2F" w:rsidRPr="00AA5833" w:rsidRDefault="006A5C2F" w:rsidP="006A5C2F">
            <w:pPr>
              <w:rPr>
                <w:rFonts w:ascii="Times New Roman" w:hAnsi="Times New Roman" w:cs="Times New Roman"/>
                <w:sz w:val="20"/>
                <w:szCs w:val="20"/>
              </w:rPr>
            </w:pPr>
            <w:r w:rsidRPr="00AA5833">
              <w:rPr>
                <w:rFonts w:ascii="Times New Roman" w:hAnsi="Times New Roman" w:cs="Times New Roman"/>
                <w:sz w:val="20"/>
                <w:szCs w:val="20"/>
              </w:rPr>
              <w:t xml:space="preserve">             80 +</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0409EA03"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344 341</w:t>
            </w:r>
          </w:p>
        </w:tc>
        <w:tc>
          <w:tcPr>
            <w:tcW w:w="1462" w:type="dxa"/>
            <w:tcBorders>
              <w:top w:val="nil"/>
              <w:left w:val="single" w:sz="8" w:space="0" w:color="auto"/>
              <w:bottom w:val="single" w:sz="8" w:space="0" w:color="auto"/>
              <w:right w:val="single" w:sz="8" w:space="0" w:color="auto"/>
            </w:tcBorders>
            <w:shd w:val="clear" w:color="auto" w:fill="auto"/>
            <w:vAlign w:val="bottom"/>
            <w:hideMark/>
          </w:tcPr>
          <w:p w14:paraId="0B632007"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111 919</w:t>
            </w:r>
          </w:p>
        </w:tc>
        <w:tc>
          <w:tcPr>
            <w:tcW w:w="1468" w:type="dxa"/>
            <w:tcBorders>
              <w:top w:val="nil"/>
              <w:left w:val="single" w:sz="8" w:space="0" w:color="auto"/>
              <w:bottom w:val="single" w:sz="8" w:space="0" w:color="auto"/>
              <w:right w:val="single" w:sz="8" w:space="0" w:color="auto"/>
            </w:tcBorders>
            <w:shd w:val="clear" w:color="auto" w:fill="auto"/>
            <w:vAlign w:val="bottom"/>
            <w:hideMark/>
          </w:tcPr>
          <w:p w14:paraId="74D06316" w14:textId="77777777" w:rsidR="006A5C2F" w:rsidRPr="00AA5833" w:rsidRDefault="006A5C2F" w:rsidP="006A5C2F">
            <w:pPr>
              <w:jc w:val="right"/>
              <w:rPr>
                <w:rFonts w:ascii="Times New Roman" w:hAnsi="Times New Roman" w:cs="Times New Roman"/>
                <w:sz w:val="20"/>
                <w:szCs w:val="20"/>
              </w:rPr>
            </w:pPr>
            <w:r w:rsidRPr="00AA5833">
              <w:rPr>
                <w:rFonts w:ascii="Times New Roman" w:hAnsi="Times New Roman" w:cs="Times New Roman"/>
                <w:sz w:val="20"/>
                <w:szCs w:val="20"/>
              </w:rPr>
              <w:t>232 422</w:t>
            </w:r>
          </w:p>
        </w:tc>
      </w:tr>
    </w:tbl>
    <w:p w14:paraId="4A559764" w14:textId="77777777" w:rsidR="006856A7" w:rsidRPr="00AA5833" w:rsidRDefault="006856A7" w:rsidP="006856A7">
      <w:pPr>
        <w:spacing w:after="0" w:line="240" w:lineRule="auto"/>
        <w:jc w:val="both"/>
        <w:rPr>
          <w:rFonts w:ascii="Times New Roman" w:eastAsia="Times New Roman" w:hAnsi="Times New Roman" w:cs="Times New Roman"/>
          <w:color w:val="000000"/>
          <w:sz w:val="18"/>
          <w:szCs w:val="18"/>
          <w:lang w:eastAsia="bg-BG"/>
        </w:rPr>
      </w:pPr>
      <w:r w:rsidRPr="00AA5833">
        <w:rPr>
          <w:rFonts w:ascii="Times New Roman" w:eastAsia="Times New Roman" w:hAnsi="Times New Roman" w:cs="Times New Roman"/>
          <w:color w:val="000000"/>
          <w:sz w:val="20"/>
          <w:szCs w:val="20"/>
          <w:lang w:eastAsia="bg-BG"/>
        </w:rPr>
        <w:t xml:space="preserve">               </w:t>
      </w:r>
      <w:r w:rsidRPr="00AA5833">
        <w:rPr>
          <w:rFonts w:ascii="Times New Roman" w:eastAsia="Times New Roman" w:hAnsi="Times New Roman" w:cs="Times New Roman"/>
          <w:color w:val="000000"/>
          <w:sz w:val="18"/>
          <w:szCs w:val="18"/>
          <w:lang w:eastAsia="bg-BG"/>
        </w:rPr>
        <w:t>Източник: НСИ</w:t>
      </w:r>
    </w:p>
    <w:p w14:paraId="509DBBF5"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p>
    <w:p w14:paraId="4E407DAB"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Неравномерно е разпределението на мъжете и жените по възраст</w:t>
      </w:r>
      <w:r w:rsidRPr="00AA5833">
        <w:rPr>
          <w:rFonts w:ascii="Times New Roman" w:eastAsia="Times New Roman" w:hAnsi="Times New Roman" w:cs="Times New Roman"/>
          <w:sz w:val="24"/>
          <w:szCs w:val="24"/>
          <w:lang w:eastAsia="bg-BG"/>
        </w:rPr>
        <w:t xml:space="preserve">. </w:t>
      </w:r>
    </w:p>
    <w:p w14:paraId="1B21F6E5"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Запазва се тенденцията с нарастване на възрастта да се увеличава броят и относителният дял на жените от общото население на страната. Това води до феминизация на социалните проблеми и предизвикателства в по-високите възрастови групи на населението. </w:t>
      </w:r>
    </w:p>
    <w:p w14:paraId="010966A4"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
          <w:color w:val="000000"/>
          <w:sz w:val="24"/>
          <w:szCs w:val="24"/>
          <w:lang w:eastAsia="bg-BG"/>
        </w:rPr>
        <w:t>Неравномерно е разпределението на мъжете и жените и по местоживеене.</w:t>
      </w:r>
      <w:r w:rsidRPr="00AA5833">
        <w:rPr>
          <w:rFonts w:ascii="Times New Roman" w:eastAsia="Times New Roman" w:hAnsi="Times New Roman" w:cs="Times New Roman"/>
          <w:color w:val="000000"/>
          <w:sz w:val="24"/>
          <w:szCs w:val="24"/>
          <w:lang w:eastAsia="bg-BG"/>
        </w:rPr>
        <w:t xml:space="preserve"> </w:t>
      </w:r>
    </w:p>
    <w:p w14:paraId="60B364F0" w14:textId="77777777" w:rsidR="006856A7" w:rsidRPr="00AA5833" w:rsidRDefault="007D6BD3" w:rsidP="006856A7">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rPr>
        <w:t xml:space="preserve">Към 31.12.2024 г. в градовете живеят 4 744 111 души, или 73.7%, а в селата </w:t>
      </w:r>
      <w:r w:rsidR="00102E61"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b/>
          <w:sz w:val="24"/>
          <w:szCs w:val="24"/>
        </w:rPr>
        <w:t xml:space="preserve">1 693 249 души, или 26.3% от населението на страната. </w:t>
      </w:r>
      <w:r w:rsidRPr="00AA5833">
        <w:rPr>
          <w:rFonts w:ascii="Times New Roman" w:eastAsia="Times New Roman" w:hAnsi="Times New Roman" w:cs="Times New Roman"/>
          <w:sz w:val="24"/>
          <w:szCs w:val="24"/>
        </w:rPr>
        <w:t>Към края на 2024 г. населените места в България са 5 256, от които 257 са градове и 4</w:t>
      </w:r>
      <w:r w:rsidR="002E7C80" w:rsidRPr="00AA5833">
        <w:rPr>
          <w:rFonts w:ascii="Times New Roman" w:eastAsia="Times New Roman" w:hAnsi="Times New Roman" w:cs="Times New Roman"/>
          <w:sz w:val="24"/>
          <w:szCs w:val="24"/>
        </w:rPr>
        <w:t> </w:t>
      </w:r>
      <w:r w:rsidRPr="00AA5833">
        <w:rPr>
          <w:rFonts w:ascii="Times New Roman" w:eastAsia="Times New Roman" w:hAnsi="Times New Roman" w:cs="Times New Roman"/>
          <w:sz w:val="24"/>
          <w:szCs w:val="24"/>
        </w:rPr>
        <w:t>999</w:t>
      </w:r>
      <w:r w:rsidR="002E7C80" w:rsidRPr="00AA5833">
        <w:rPr>
          <w:rFonts w:ascii="Times New Roman" w:eastAsia="Times New Roman" w:hAnsi="Times New Roman" w:cs="Times New Roman"/>
          <w:sz w:val="24"/>
          <w:szCs w:val="24"/>
        </w:rPr>
        <w:t xml:space="preserve"> – </w:t>
      </w:r>
      <w:r w:rsidRPr="00AA5833">
        <w:rPr>
          <w:rFonts w:ascii="Times New Roman" w:eastAsia="Times New Roman" w:hAnsi="Times New Roman" w:cs="Times New Roman"/>
          <w:sz w:val="24"/>
          <w:szCs w:val="24"/>
        </w:rPr>
        <w:t xml:space="preserve">села. Населените места без население са 199. С население над 100 хил. души са шест града в страната, в които живеят 35.5% от населението на страната. </w:t>
      </w:r>
      <w:r w:rsidR="006856A7" w:rsidRPr="00AA5833">
        <w:rPr>
          <w:rFonts w:ascii="Times New Roman" w:eastAsia="Times New Roman" w:hAnsi="Times New Roman" w:cs="Times New Roman"/>
          <w:sz w:val="24"/>
          <w:szCs w:val="24"/>
          <w:lang w:eastAsia="bg-BG"/>
        </w:rPr>
        <w:t xml:space="preserve">Това води до многоаспектни проблеми в социалните ролеви отношения – икономически, трудови, професионални, семейни и др. </w:t>
      </w:r>
    </w:p>
    <w:p w14:paraId="5D343057" w14:textId="77777777" w:rsidR="006856A7" w:rsidRDefault="006856A7" w:rsidP="006856A7">
      <w:pPr>
        <w:spacing w:after="0" w:line="240" w:lineRule="auto"/>
        <w:jc w:val="both"/>
        <w:rPr>
          <w:rFonts w:ascii="Times New Roman" w:eastAsia="Times New Roman" w:hAnsi="Times New Roman" w:cs="Times New Roman"/>
          <w:b/>
          <w:caps/>
          <w:color w:val="000000"/>
          <w:sz w:val="24"/>
          <w:szCs w:val="24"/>
          <w:lang w:eastAsia="bg-BG"/>
        </w:rPr>
      </w:pPr>
    </w:p>
    <w:p w14:paraId="362F6727" w14:textId="77777777" w:rsidR="00FB530D" w:rsidRDefault="00FB530D" w:rsidP="006856A7">
      <w:pPr>
        <w:spacing w:after="0" w:line="240" w:lineRule="auto"/>
        <w:jc w:val="both"/>
        <w:rPr>
          <w:rFonts w:ascii="Times New Roman" w:eastAsia="Times New Roman" w:hAnsi="Times New Roman" w:cs="Times New Roman"/>
          <w:b/>
          <w:caps/>
          <w:color w:val="000000"/>
          <w:sz w:val="24"/>
          <w:szCs w:val="24"/>
          <w:lang w:eastAsia="bg-BG"/>
        </w:rPr>
      </w:pPr>
    </w:p>
    <w:p w14:paraId="53950C13" w14:textId="77777777" w:rsidR="00DF1B94" w:rsidRDefault="00DF1B94" w:rsidP="006856A7">
      <w:pPr>
        <w:spacing w:after="0" w:line="240" w:lineRule="auto"/>
        <w:jc w:val="both"/>
        <w:rPr>
          <w:rFonts w:ascii="Times New Roman" w:eastAsia="Times New Roman" w:hAnsi="Times New Roman" w:cs="Times New Roman"/>
          <w:b/>
          <w:caps/>
          <w:color w:val="000000"/>
          <w:sz w:val="24"/>
          <w:szCs w:val="24"/>
          <w:lang w:eastAsia="bg-BG"/>
        </w:rPr>
      </w:pPr>
    </w:p>
    <w:p w14:paraId="17FD04A1" w14:textId="77777777" w:rsidR="00DF1B94" w:rsidRPr="00AA5833" w:rsidRDefault="00DF1B94" w:rsidP="006856A7">
      <w:pPr>
        <w:spacing w:after="0" w:line="240" w:lineRule="auto"/>
        <w:jc w:val="both"/>
        <w:rPr>
          <w:rFonts w:ascii="Times New Roman" w:eastAsia="Times New Roman" w:hAnsi="Times New Roman" w:cs="Times New Roman"/>
          <w:b/>
          <w:caps/>
          <w:color w:val="000000"/>
          <w:sz w:val="24"/>
          <w:szCs w:val="24"/>
          <w:lang w:eastAsia="bg-BG"/>
        </w:rPr>
      </w:pPr>
    </w:p>
    <w:p w14:paraId="60A75227"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lastRenderedPageBreak/>
        <w:t>2.2. Структура на населението по възраст</w:t>
      </w:r>
    </w:p>
    <w:p w14:paraId="0E078ED1" w14:textId="77777777" w:rsidR="006B3A8D" w:rsidRPr="00AA5833" w:rsidRDefault="006B3A8D" w:rsidP="002E7C80">
      <w:pPr>
        <w:autoSpaceDE w:val="0"/>
        <w:autoSpaceDN w:val="0"/>
        <w:adjustRightInd w:val="0"/>
        <w:spacing w:after="0" w:line="240" w:lineRule="auto"/>
        <w:rPr>
          <w:rFonts w:ascii="Times New Roman" w:eastAsia="Times New Roman" w:hAnsi="Times New Roman" w:cs="Times New Roman"/>
          <w:b/>
          <w:sz w:val="24"/>
          <w:szCs w:val="24"/>
        </w:rPr>
      </w:pPr>
    </w:p>
    <w:p w14:paraId="52FEA9F0" w14:textId="77777777" w:rsidR="00DA06AC" w:rsidRPr="00AA5833" w:rsidRDefault="00DA06AC" w:rsidP="002E7C80">
      <w:pPr>
        <w:autoSpaceDE w:val="0"/>
        <w:autoSpaceDN w:val="0"/>
        <w:adjustRightInd w:val="0"/>
        <w:spacing w:after="0" w:line="240" w:lineRule="auto"/>
        <w:rPr>
          <w:rFonts w:ascii="Times New Roman" w:eastAsia="Times New Roman" w:hAnsi="Times New Roman" w:cs="Times New Roman"/>
          <w:b/>
          <w:sz w:val="24"/>
          <w:szCs w:val="24"/>
        </w:rPr>
      </w:pPr>
    </w:p>
    <w:p w14:paraId="0ECA3701" w14:textId="77777777" w:rsidR="002E7C80" w:rsidRPr="00AA5833" w:rsidRDefault="002E7C80" w:rsidP="002E7C80">
      <w:pPr>
        <w:autoSpaceDE w:val="0"/>
        <w:autoSpaceDN w:val="0"/>
        <w:adjustRightInd w:val="0"/>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 12. Възрастова структура на населението към 31.12.2024 година</w:t>
      </w:r>
    </w:p>
    <w:p w14:paraId="7EACDA88" w14:textId="77777777" w:rsidR="002E7C80" w:rsidRPr="00AA5833" w:rsidRDefault="002E7C80" w:rsidP="002E7C80">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noProof/>
          <w:sz w:val="24"/>
          <w:szCs w:val="24"/>
          <w:lang w:eastAsia="bg-BG"/>
        </w:rPr>
        <w:drawing>
          <wp:inline distT="0" distB="0" distL="0" distR="0" wp14:anchorId="6C250053" wp14:editId="628A5F32">
            <wp:extent cx="2613315" cy="3860222"/>
            <wp:effectExtent l="0" t="0" r="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A5833">
        <w:rPr>
          <w:rFonts w:ascii="Times New Roman" w:eastAsia="Times New Roman" w:hAnsi="Times New Roman" w:cs="Times New Roman"/>
          <w:b/>
          <w:noProof/>
          <w:sz w:val="24"/>
          <w:szCs w:val="24"/>
          <w:lang w:eastAsia="bg-BG"/>
        </w:rPr>
        <w:drawing>
          <wp:inline distT="0" distB="0" distL="0" distR="0" wp14:anchorId="7172E27E" wp14:editId="5F67FA1A">
            <wp:extent cx="2123209" cy="392949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4883F3" w14:textId="77777777" w:rsidR="006856A7" w:rsidRPr="00AA5833" w:rsidRDefault="006856A7" w:rsidP="006856A7">
      <w:pPr>
        <w:spacing w:after="0" w:line="240" w:lineRule="auto"/>
        <w:jc w:val="both"/>
        <w:rPr>
          <w:rFonts w:ascii="Times New Roman" w:eastAsia="Times New Roman" w:hAnsi="Times New Roman" w:cs="Times New Roman"/>
          <w:color w:val="000000"/>
          <w:sz w:val="18"/>
          <w:szCs w:val="18"/>
          <w:lang w:eastAsia="bg-BG"/>
        </w:rPr>
      </w:pPr>
      <w:r w:rsidRPr="00AA5833">
        <w:rPr>
          <w:rFonts w:ascii="Times New Roman" w:eastAsia="Times New Roman" w:hAnsi="Times New Roman" w:cs="Times New Roman"/>
          <w:color w:val="000000"/>
          <w:sz w:val="18"/>
          <w:szCs w:val="18"/>
          <w:lang w:eastAsia="bg-BG"/>
        </w:rPr>
        <w:t>Източник: НСИ</w:t>
      </w:r>
    </w:p>
    <w:p w14:paraId="20FAD486" w14:textId="77777777" w:rsidR="006856A7" w:rsidRPr="00AA5833" w:rsidRDefault="006856A7" w:rsidP="006856A7">
      <w:pPr>
        <w:spacing w:after="0" w:line="240" w:lineRule="auto"/>
        <w:jc w:val="both"/>
        <w:rPr>
          <w:rFonts w:ascii="Times New Roman" w:eastAsia="Times New Roman" w:hAnsi="Times New Roman" w:cs="Times New Roman"/>
          <w:color w:val="000000"/>
          <w:sz w:val="20"/>
          <w:szCs w:val="20"/>
          <w:lang w:eastAsia="bg-BG"/>
        </w:rPr>
      </w:pPr>
    </w:p>
    <w:p w14:paraId="51B7EAF3" w14:textId="77777777" w:rsidR="00FB530D" w:rsidRDefault="00FB530D" w:rsidP="006856A7">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17BD570E" w14:textId="77777777" w:rsidR="006856A7" w:rsidRPr="00AA5833" w:rsidRDefault="006856A7" w:rsidP="006856A7">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AA5833">
        <w:rPr>
          <w:rFonts w:ascii="Times New Roman" w:hAnsi="Times New Roman" w:cs="Times New Roman"/>
          <w:b/>
          <w:bCs/>
          <w:color w:val="000000"/>
          <w:sz w:val="24"/>
          <w:szCs w:val="24"/>
        </w:rPr>
        <w:t xml:space="preserve">Продължава процесът на застаряване на населението. </w:t>
      </w:r>
    </w:p>
    <w:p w14:paraId="55C16157" w14:textId="77777777" w:rsidR="006856A7" w:rsidRPr="00AA5833" w:rsidRDefault="006856A7" w:rsidP="006856A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76C03BB7" w14:textId="77777777" w:rsidR="00D6313B" w:rsidRPr="00AA5833" w:rsidRDefault="002E7C80" w:rsidP="00D6313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lang w:eastAsia="bg-BG"/>
        </w:rPr>
        <w:t xml:space="preserve">В края на 2024 г. лицата на 65 и повече навършени години са 1 544 245, или 24.0% от населението на страната. </w:t>
      </w:r>
      <w:r w:rsidR="00D6313B" w:rsidRPr="00AA5833">
        <w:rPr>
          <w:rFonts w:ascii="Times New Roman" w:eastAsia="Times New Roman" w:hAnsi="Times New Roman" w:cs="Times New Roman"/>
          <w:sz w:val="24"/>
          <w:szCs w:val="24"/>
        </w:rPr>
        <w:t>В регионален аспект делът на лицата на 65 и повече навършени години е най-висок в областите Видин (31.4%), Габрово (30.5%) и Смолян (30.0%). Най-нисък е делът на възрастното население в областите София (столица) – 19.2%, Варна – 21.6%, и Сливен – 22.5%.</w:t>
      </w:r>
    </w:p>
    <w:p w14:paraId="47BFD803" w14:textId="77777777" w:rsidR="006856A7" w:rsidRPr="00AA5833" w:rsidRDefault="006856A7" w:rsidP="00FB3497">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25CEC0BC" w14:textId="77777777" w:rsidR="006B3A8D" w:rsidRPr="00AA5833" w:rsidRDefault="006B3A8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07C4B761" w14:textId="77777777" w:rsidR="006B3A8D" w:rsidRPr="00AA5833" w:rsidRDefault="006B3A8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20BBB7DE" w14:textId="77777777" w:rsidR="00D74E48" w:rsidRPr="00AA5833"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5C8978E4" w14:textId="77777777" w:rsidR="00D74E48" w:rsidRPr="00AA5833"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20EFBA57" w14:textId="77777777" w:rsidR="00D74E48" w:rsidRPr="00AA5833"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27CC6A95" w14:textId="77777777" w:rsidR="00D74E48" w:rsidRPr="00AA5833"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68219AD6" w14:textId="77777777" w:rsidR="00D74E48" w:rsidRPr="00AA5833"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6C3DF33C" w14:textId="77777777" w:rsidR="00D74E48" w:rsidRDefault="00D74E48"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1FA9296E" w14:textId="77777777" w:rsidR="00305A07" w:rsidRPr="00AA5833" w:rsidRDefault="00305A07"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37A71257" w14:textId="77777777" w:rsidR="006B3A8D" w:rsidRDefault="006B3A8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1F7761FC" w14:textId="77777777" w:rsidR="00FB530D" w:rsidRDefault="00FB530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41F6B3DF" w14:textId="77777777" w:rsidR="00FB530D" w:rsidRDefault="00FB530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305F5C1D" w14:textId="77777777" w:rsidR="00FB530D" w:rsidRDefault="00FB530D" w:rsidP="006856A7">
      <w:pPr>
        <w:autoSpaceDE w:val="0"/>
        <w:autoSpaceDN w:val="0"/>
        <w:adjustRightInd w:val="0"/>
        <w:spacing w:after="0" w:line="240" w:lineRule="auto"/>
        <w:jc w:val="center"/>
        <w:rPr>
          <w:rFonts w:ascii="Times New Roman" w:eastAsia="Times New Roman" w:hAnsi="Times New Roman" w:cs="Times New Roman"/>
          <w:b/>
          <w:sz w:val="24"/>
          <w:szCs w:val="24"/>
        </w:rPr>
      </w:pPr>
    </w:p>
    <w:p w14:paraId="555D7FCD"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lastRenderedPageBreak/>
        <w:t>Фиг. 13. Относителен дял на населението на 65 и повече навършени години към</w:t>
      </w:r>
    </w:p>
    <w:p w14:paraId="7EFCCF4F"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31.12.202</w:t>
      </w:r>
      <w:r w:rsidR="00E01DDF">
        <w:rPr>
          <w:rFonts w:ascii="Times New Roman" w:eastAsia="Times New Roman" w:hAnsi="Times New Roman" w:cs="Times New Roman"/>
          <w:b/>
          <w:sz w:val="24"/>
          <w:szCs w:val="24"/>
        </w:rPr>
        <w:t>3</w:t>
      </w:r>
      <w:r w:rsidRPr="00AA5833">
        <w:rPr>
          <w:rFonts w:ascii="Times New Roman" w:eastAsia="Times New Roman" w:hAnsi="Times New Roman" w:cs="Times New Roman"/>
          <w:b/>
          <w:sz w:val="24"/>
          <w:szCs w:val="24"/>
        </w:rPr>
        <w:t xml:space="preserve"> г. по области</w:t>
      </w:r>
    </w:p>
    <w:p w14:paraId="43AA02DC"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noProof/>
          <w:sz w:val="24"/>
          <w:szCs w:val="24"/>
          <w:lang w:eastAsia="bg-BG"/>
        </w:rPr>
        <w:drawing>
          <wp:inline distT="0" distB="0" distL="0" distR="0" wp14:anchorId="32F29AE0" wp14:editId="202C5EA4">
            <wp:extent cx="5760601" cy="4134010"/>
            <wp:effectExtent l="0" t="0" r="0" b="0"/>
            <wp:docPr id="16" name="Picture 16" descr="D:\My Documents\Desctop\Pres_saobshinie_2024\Karti\BG_Население на 65 и повече навършени години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esctop\Pres_saobshinie_2024\Karti\BG_Население на 65 и повече навършени години - %.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267" cy="4142382"/>
                    </a:xfrm>
                    <a:prstGeom prst="rect">
                      <a:avLst/>
                    </a:prstGeom>
                    <a:noFill/>
                    <a:ln>
                      <a:noFill/>
                    </a:ln>
                  </pic:spPr>
                </pic:pic>
              </a:graphicData>
            </a:graphic>
          </wp:inline>
        </w:drawing>
      </w:r>
    </w:p>
    <w:p w14:paraId="6C3C80D2" w14:textId="77777777" w:rsidR="006856A7" w:rsidRPr="00AA5833" w:rsidRDefault="006856A7" w:rsidP="006856A7">
      <w:pPr>
        <w:spacing w:after="0" w:line="240" w:lineRule="auto"/>
        <w:jc w:val="both"/>
        <w:rPr>
          <w:rFonts w:ascii="Times New Roman" w:eastAsia="Times New Roman" w:hAnsi="Times New Roman" w:cs="Times New Roman"/>
          <w:color w:val="000000"/>
          <w:sz w:val="18"/>
          <w:szCs w:val="18"/>
          <w:lang w:eastAsia="bg-BG"/>
        </w:rPr>
      </w:pPr>
      <w:r w:rsidRPr="00AA5833">
        <w:rPr>
          <w:rFonts w:ascii="Times New Roman" w:eastAsia="Times New Roman" w:hAnsi="Times New Roman" w:cs="Times New Roman"/>
          <w:color w:val="000000"/>
          <w:sz w:val="18"/>
          <w:szCs w:val="18"/>
          <w:lang w:eastAsia="bg-BG"/>
        </w:rPr>
        <w:t>Източник: НСИ</w:t>
      </w:r>
    </w:p>
    <w:p w14:paraId="6826DC64"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5E1DBF2" w14:textId="77777777" w:rsidR="00813F1D" w:rsidRPr="00AA5833" w:rsidRDefault="00813F1D" w:rsidP="00813F1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Към 31.12.2024 г. </w:t>
      </w:r>
      <w:r w:rsidRPr="00AA5833">
        <w:rPr>
          <w:rFonts w:ascii="Times New Roman" w:eastAsia="Times New Roman" w:hAnsi="Times New Roman" w:cs="Times New Roman"/>
          <w:b/>
          <w:sz w:val="24"/>
          <w:szCs w:val="24"/>
        </w:rPr>
        <w:t>децата до 15 години в страната са 901 843, или 14.0% от общия брой на населението</w:t>
      </w:r>
      <w:r w:rsidRPr="00AA5833">
        <w:rPr>
          <w:rFonts w:ascii="Times New Roman" w:eastAsia="Times New Roman" w:hAnsi="Times New Roman" w:cs="Times New Roman"/>
          <w:sz w:val="24"/>
          <w:szCs w:val="24"/>
        </w:rPr>
        <w:t xml:space="preserve">. Относителният дял на населението под 15 години е най-висок в областите Сливен – 18.8%, Ямбол – 15.2%, и Пловдив – 14.7% от населението на областта, а най-нисък е в областите Смолян – 10.3%, Видин – 11.4%, и Габрово – 11.6%. </w:t>
      </w:r>
    </w:p>
    <w:p w14:paraId="34BF90CE" w14:textId="77777777" w:rsidR="00813F1D" w:rsidRPr="00AA5833" w:rsidRDefault="00813F1D" w:rsidP="00813F1D">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Застаряването на населението </w:t>
      </w:r>
      <w:r w:rsidR="00FA0B73" w:rsidRPr="00AA5833">
        <w:rPr>
          <w:rFonts w:ascii="Times New Roman" w:eastAsia="Times New Roman" w:hAnsi="Times New Roman" w:cs="Times New Roman"/>
          <w:sz w:val="24"/>
          <w:szCs w:val="24"/>
        </w:rPr>
        <w:t xml:space="preserve">у нас </w:t>
      </w:r>
      <w:r w:rsidRPr="00AA5833">
        <w:rPr>
          <w:rFonts w:ascii="Times New Roman" w:eastAsia="Times New Roman" w:hAnsi="Times New Roman" w:cs="Times New Roman"/>
          <w:sz w:val="24"/>
          <w:szCs w:val="24"/>
        </w:rPr>
        <w:t>през годините води до повишаване на неговата средна възраст, която нараства до 45.3 години в края на 2024 година. Средната възраст на населението в градовете е 44.5 години, а в селата – 47.6 години.</w:t>
      </w:r>
    </w:p>
    <w:p w14:paraId="34230A06" w14:textId="77777777" w:rsidR="00626C34" w:rsidRPr="00AA5833" w:rsidRDefault="00626C34" w:rsidP="006856A7">
      <w:pPr>
        <w:spacing w:after="0" w:line="240" w:lineRule="auto"/>
        <w:rPr>
          <w:rFonts w:ascii="Times New Roman" w:eastAsia="Times New Roman" w:hAnsi="Times New Roman" w:cs="Times New Roman"/>
          <w:b/>
          <w:sz w:val="24"/>
          <w:szCs w:val="24"/>
        </w:rPr>
      </w:pPr>
    </w:p>
    <w:p w14:paraId="3F446431" w14:textId="77777777" w:rsidR="006856A7" w:rsidRPr="00AA5833" w:rsidRDefault="006856A7" w:rsidP="006856A7">
      <w:pPr>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Фиг. 14. Средна възраст на населението</w:t>
      </w:r>
    </w:p>
    <w:p w14:paraId="3DC487BD" w14:textId="77777777" w:rsidR="006856A7" w:rsidRPr="00AA5833" w:rsidRDefault="00813F1D" w:rsidP="006856A7">
      <w:pPr>
        <w:spacing w:after="0" w:line="240" w:lineRule="auto"/>
        <w:rPr>
          <w:rFonts w:ascii="Times New Roman" w:eastAsia="Times New Roman" w:hAnsi="Times New Roman" w:cs="Times New Roman"/>
          <w:b/>
          <w:sz w:val="24"/>
          <w:szCs w:val="24"/>
        </w:rPr>
      </w:pPr>
      <w:r w:rsidRPr="00AA5833">
        <w:rPr>
          <w:rFonts w:ascii="Verdana" w:hAnsi="Verdana"/>
          <w:noProof/>
          <w:lang w:eastAsia="bg-BG"/>
        </w:rPr>
        <w:drawing>
          <wp:inline distT="0" distB="0" distL="0" distR="0" wp14:anchorId="61377632" wp14:editId="27BE33FB">
            <wp:extent cx="5760085" cy="2320578"/>
            <wp:effectExtent l="0" t="0" r="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9832A1" w14:textId="77777777" w:rsidR="006856A7" w:rsidRPr="00AA5833" w:rsidRDefault="006856A7" w:rsidP="006856A7">
      <w:pPr>
        <w:spacing w:after="0" w:line="240" w:lineRule="auto"/>
        <w:jc w:val="both"/>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64DB2393" w14:textId="77777777" w:rsidR="00813F1D" w:rsidRPr="00AA5833" w:rsidRDefault="006856A7" w:rsidP="00813F1D">
      <w:pPr>
        <w:autoSpaceDE w:val="0"/>
        <w:autoSpaceDN w:val="0"/>
        <w:adjustRightInd w:val="0"/>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lastRenderedPageBreak/>
        <w:t xml:space="preserve">Тенденцията на застаряване на населението води до промени и в неговата основна възрастова структура – </w:t>
      </w:r>
      <w:r w:rsidRPr="00AA5833">
        <w:rPr>
          <w:rFonts w:ascii="Times New Roman" w:hAnsi="Times New Roman" w:cs="Times New Roman"/>
          <w:b/>
          <w:bCs/>
          <w:sz w:val="24"/>
          <w:szCs w:val="24"/>
        </w:rPr>
        <w:t xml:space="preserve">под, във и над трудоспособна възраст. </w:t>
      </w:r>
      <w:r w:rsidR="00813F1D" w:rsidRPr="00AA5833">
        <w:rPr>
          <w:rFonts w:ascii="Times New Roman" w:hAnsi="Times New Roman" w:cs="Times New Roman"/>
          <w:sz w:val="24"/>
          <w:szCs w:val="24"/>
        </w:rPr>
        <w:t>Влияние върху съвкупностите на населението във и над трудоспособна възраст оказват както застаряването на населението, така и законодателните промени</w:t>
      </w:r>
      <w:r w:rsidR="00813F1D" w:rsidRPr="00AA5833">
        <w:rPr>
          <w:rFonts w:ascii="Times New Roman" w:hAnsi="Times New Roman" w:cs="Times New Roman"/>
          <w:sz w:val="24"/>
          <w:szCs w:val="24"/>
          <w:vertAlign w:val="superscript"/>
        </w:rPr>
        <w:footnoteReference w:id="20"/>
      </w:r>
      <w:r w:rsidR="00813F1D" w:rsidRPr="00AA5833">
        <w:rPr>
          <w:rFonts w:ascii="Times New Roman" w:hAnsi="Times New Roman" w:cs="Times New Roman"/>
          <w:sz w:val="24"/>
          <w:szCs w:val="24"/>
        </w:rPr>
        <w:t xml:space="preserve"> при определянето на възрастовите граници за пенсиониране. </w:t>
      </w:r>
    </w:p>
    <w:p w14:paraId="45F0BD7B" w14:textId="77777777" w:rsidR="00813F1D" w:rsidRPr="00AA5833" w:rsidRDefault="00813F1D" w:rsidP="00813F1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За 2024 г. тези граници за населението в трудоспособна възраст са до навършването на 62 години и 2 месеца за жените и 64 години и 7 месеца за мъжете.</w:t>
      </w:r>
      <w:r w:rsidRPr="00AA5833">
        <w:rPr>
          <w:rFonts w:ascii="Times New Roman" w:eastAsia="Μοντέρνα" w:hAnsi="Times New Roman" w:cs="Times New Roman"/>
          <w:sz w:val="24"/>
          <w:szCs w:val="24"/>
          <w:lang w:eastAsia="bg-BG"/>
        </w:rPr>
        <w:t xml:space="preserve"> </w:t>
      </w:r>
    </w:p>
    <w:p w14:paraId="3FA1F3EC" w14:textId="77777777" w:rsidR="00813F1D" w:rsidRPr="00AA5833" w:rsidRDefault="00813F1D" w:rsidP="00813F1D">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t xml:space="preserve">Населението в трудоспособна възраст към 31.12.2024 г. е </w:t>
      </w:r>
      <w:r w:rsidRPr="00AA5833">
        <w:rPr>
          <w:rFonts w:ascii="Times New Roman" w:eastAsia="Times New Roman" w:hAnsi="Times New Roman" w:cs="Times New Roman"/>
          <w:b/>
          <w:bCs/>
          <w:sz w:val="24"/>
          <w:szCs w:val="24"/>
        </w:rPr>
        <w:t>3 765 хил. души</w:t>
      </w:r>
      <w:r w:rsidRPr="00AA5833">
        <w:rPr>
          <w:rFonts w:ascii="Times New Roman" w:eastAsia="Times New Roman" w:hAnsi="Times New Roman" w:cs="Times New Roman"/>
          <w:b/>
          <w:sz w:val="24"/>
          <w:szCs w:val="24"/>
        </w:rPr>
        <w:t xml:space="preserve">, или 58.5% </w:t>
      </w:r>
      <w:r w:rsidRPr="00AA5833">
        <w:rPr>
          <w:rFonts w:ascii="Times New Roman" w:eastAsia="Times New Roman" w:hAnsi="Times New Roman" w:cs="Times New Roman"/>
          <w:sz w:val="24"/>
          <w:szCs w:val="24"/>
        </w:rPr>
        <w:t xml:space="preserve">от населението на страната, като мъжете са 1 970 хил., а жените </w:t>
      </w:r>
      <w:r w:rsidR="00D6313B"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1 795 хиляди. Към края на 2024 г. над трудоспособна възраст са 1 701 хил. души, или 26.4%, а под трудоспособна възраст </w:t>
      </w:r>
      <w:r w:rsidR="00D6313B"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971 хил. души, или 15.1% от населението на страната.</w:t>
      </w:r>
    </w:p>
    <w:p w14:paraId="43176F37" w14:textId="77777777" w:rsidR="006856A7" w:rsidRPr="00AA5833" w:rsidRDefault="006856A7" w:rsidP="006856A7">
      <w:pPr>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p>
    <w:p w14:paraId="75125995" w14:textId="77777777" w:rsidR="006856A7" w:rsidRPr="00AA5833" w:rsidRDefault="006856A7" w:rsidP="006856A7">
      <w:pPr>
        <w:autoSpaceDE w:val="0"/>
        <w:autoSpaceDN w:val="0"/>
        <w:adjustRightInd w:val="0"/>
        <w:spacing w:after="0" w:line="240" w:lineRule="auto"/>
        <w:ind w:firstLine="142"/>
        <w:rPr>
          <w:rFonts w:ascii="Times New Roman" w:eastAsia="Times New Roman" w:hAnsi="Times New Roman" w:cs="Times New Roman"/>
          <w:b/>
          <w:color w:val="000000" w:themeColor="text1"/>
          <w:sz w:val="24"/>
          <w:szCs w:val="24"/>
        </w:rPr>
      </w:pPr>
      <w:r w:rsidRPr="00AA5833">
        <w:rPr>
          <w:rFonts w:ascii="Times New Roman" w:eastAsia="Times New Roman" w:hAnsi="Times New Roman" w:cs="Times New Roman"/>
          <w:b/>
          <w:color w:val="000000" w:themeColor="text1"/>
          <w:sz w:val="24"/>
          <w:szCs w:val="24"/>
        </w:rPr>
        <w:t>Фигура 15: Население под, във и над трудоспособна възраст към 31.12.</w:t>
      </w:r>
    </w:p>
    <w:p w14:paraId="5C03A9B4" w14:textId="77777777" w:rsidR="00CE3056" w:rsidRPr="00AA5833" w:rsidRDefault="00CE3056" w:rsidP="006856A7">
      <w:pPr>
        <w:autoSpaceDE w:val="0"/>
        <w:autoSpaceDN w:val="0"/>
        <w:adjustRightInd w:val="0"/>
        <w:spacing w:after="0" w:line="240" w:lineRule="auto"/>
        <w:ind w:firstLine="142"/>
        <w:rPr>
          <w:rFonts w:ascii="Times New Roman" w:eastAsia="Times New Roman" w:hAnsi="Times New Roman" w:cs="Times New Roman"/>
          <w:b/>
          <w:color w:val="000000" w:themeColor="text1"/>
          <w:sz w:val="24"/>
          <w:szCs w:val="24"/>
        </w:rPr>
      </w:pPr>
    </w:p>
    <w:p w14:paraId="139252E8" w14:textId="77777777" w:rsidR="00CE3056" w:rsidRPr="00AA5833" w:rsidRDefault="008543A6" w:rsidP="00626C34">
      <w:pPr>
        <w:autoSpaceDE w:val="0"/>
        <w:autoSpaceDN w:val="0"/>
        <w:adjustRightInd w:val="0"/>
        <w:spacing w:after="0" w:line="240" w:lineRule="auto"/>
        <w:ind w:left="-567" w:right="283"/>
        <w:rPr>
          <w:rFonts w:ascii="Times New Roman" w:eastAsia="Times New Roman" w:hAnsi="Times New Roman" w:cs="Times New Roman"/>
          <w:b/>
          <w:color w:val="000000" w:themeColor="text1"/>
          <w:sz w:val="24"/>
          <w:szCs w:val="24"/>
        </w:rPr>
      </w:pPr>
      <w:r w:rsidRPr="00AA5833">
        <w:rPr>
          <w:noProof/>
          <w:lang w:eastAsia="bg-BG"/>
        </w:rPr>
        <w:drawing>
          <wp:inline distT="0" distB="0" distL="0" distR="0" wp14:anchorId="46DCF987" wp14:editId="265D859D">
            <wp:extent cx="6607810" cy="3626864"/>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835310" w14:textId="77777777" w:rsidR="006856A7" w:rsidRPr="00AA5833" w:rsidRDefault="006856A7" w:rsidP="006856A7">
      <w:pPr>
        <w:autoSpaceDE w:val="0"/>
        <w:autoSpaceDN w:val="0"/>
        <w:adjustRightInd w:val="0"/>
        <w:spacing w:after="0" w:line="240" w:lineRule="auto"/>
        <w:ind w:left="284"/>
        <w:jc w:val="both"/>
        <w:rPr>
          <w:rFonts w:ascii="Times New Roman" w:eastAsia="Times New Roman" w:hAnsi="Times New Roman" w:cs="Times New Roman"/>
          <w:color w:val="000000" w:themeColor="text1"/>
          <w:sz w:val="18"/>
          <w:szCs w:val="18"/>
        </w:rPr>
      </w:pPr>
      <w:r w:rsidRPr="00AA5833">
        <w:rPr>
          <w:rFonts w:ascii="Times New Roman" w:eastAsia="Times New Roman" w:hAnsi="Times New Roman" w:cs="Times New Roman"/>
          <w:color w:val="000000" w:themeColor="text1"/>
          <w:sz w:val="18"/>
          <w:szCs w:val="18"/>
        </w:rPr>
        <w:t>Източник: НСИ</w:t>
      </w:r>
    </w:p>
    <w:p w14:paraId="1C168347" w14:textId="77777777" w:rsidR="00891A80" w:rsidRPr="00AA5833" w:rsidRDefault="00891A80" w:rsidP="00D6313B">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6B6F504" w14:textId="77777777" w:rsidR="004C07C1" w:rsidRPr="00AA5833" w:rsidRDefault="004C07C1" w:rsidP="00D6313B">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53E25319" w14:textId="77777777" w:rsidR="004C07C1" w:rsidRPr="00AA5833" w:rsidRDefault="004C07C1" w:rsidP="00D6313B">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C9ACC36" w14:textId="77777777" w:rsidR="00D6313B" w:rsidRPr="00AA5833" w:rsidRDefault="00D6313B" w:rsidP="00D6313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Към 31.12.2024 г.</w:t>
      </w:r>
      <w:r w:rsidRPr="00AA5833">
        <w:rPr>
          <w:rFonts w:ascii="Times New Roman" w:eastAsia="Times New Roman" w:hAnsi="Times New Roman" w:cs="Times New Roman"/>
          <w:b/>
          <w:sz w:val="24"/>
          <w:szCs w:val="24"/>
        </w:rPr>
        <w:t xml:space="preserve"> общият коефициент на възрастова зависимост</w:t>
      </w:r>
      <w:r w:rsidRPr="00AA5833">
        <w:rPr>
          <w:rFonts w:ascii="Times New Roman" w:eastAsia="Times New Roman" w:hAnsi="Times New Roman" w:cs="Times New Roman"/>
          <w:b/>
          <w:sz w:val="24"/>
          <w:szCs w:val="24"/>
          <w:vertAlign w:val="superscript"/>
        </w:rPr>
        <w:footnoteReference w:id="21"/>
      </w:r>
      <w:r w:rsidRPr="00AA5833">
        <w:rPr>
          <w:rFonts w:ascii="Times New Roman" w:eastAsia="Times New Roman" w:hAnsi="Times New Roman" w:cs="Times New Roman"/>
          <w:b/>
          <w:sz w:val="24"/>
          <w:szCs w:val="24"/>
        </w:rPr>
        <w:t xml:space="preserve"> в България е 61.3%.</w:t>
      </w:r>
      <w:r w:rsidRPr="00AA5833">
        <w:rPr>
          <w:rFonts w:ascii="Times New Roman" w:eastAsia="Times New Roman" w:hAnsi="Times New Roman" w:cs="Times New Roman"/>
          <w:sz w:val="24"/>
          <w:szCs w:val="24"/>
        </w:rPr>
        <w:t xml:space="preserve"> Най-ниска е стойността на коефициента в София (столица) – 51.2%, а най-неблагоприятно е съотношението в област Видин – 74.9%.  </w:t>
      </w:r>
    </w:p>
    <w:p w14:paraId="4998FD32" w14:textId="77777777" w:rsidR="006856A7" w:rsidRPr="00AA5833" w:rsidRDefault="006856A7" w:rsidP="006856A7">
      <w:pPr>
        <w:spacing w:after="0" w:line="240" w:lineRule="auto"/>
        <w:jc w:val="center"/>
        <w:rPr>
          <w:rFonts w:ascii="Times New Roman" w:eastAsia="Times New Roman" w:hAnsi="Times New Roman" w:cs="Times New Roman"/>
          <w:b/>
          <w:sz w:val="24"/>
          <w:szCs w:val="24"/>
          <w:lang w:eastAsia="bg-BG"/>
        </w:rPr>
      </w:pPr>
    </w:p>
    <w:p w14:paraId="0D364F3E" w14:textId="77777777" w:rsidR="00891A80" w:rsidRPr="00AA5833" w:rsidRDefault="00891A80" w:rsidP="006856A7">
      <w:pPr>
        <w:spacing w:after="0" w:line="240" w:lineRule="auto"/>
        <w:jc w:val="both"/>
        <w:rPr>
          <w:rFonts w:ascii="Times New Roman" w:eastAsia="Times New Roman" w:hAnsi="Times New Roman" w:cs="Times New Roman"/>
          <w:b/>
          <w:sz w:val="24"/>
          <w:szCs w:val="24"/>
          <w:lang w:eastAsia="bg-BG"/>
        </w:rPr>
      </w:pPr>
    </w:p>
    <w:p w14:paraId="778ABC76" w14:textId="77777777" w:rsidR="00891A80" w:rsidRPr="00AA5833" w:rsidRDefault="00891A80" w:rsidP="006856A7">
      <w:pPr>
        <w:spacing w:after="0" w:line="240" w:lineRule="auto"/>
        <w:jc w:val="both"/>
        <w:rPr>
          <w:rFonts w:ascii="Times New Roman" w:eastAsia="Times New Roman" w:hAnsi="Times New Roman" w:cs="Times New Roman"/>
          <w:b/>
          <w:sz w:val="24"/>
          <w:szCs w:val="24"/>
          <w:lang w:eastAsia="bg-BG"/>
        </w:rPr>
      </w:pPr>
    </w:p>
    <w:p w14:paraId="206CEAE3" w14:textId="77777777" w:rsidR="006856A7" w:rsidRPr="00AA5833" w:rsidRDefault="006856A7" w:rsidP="006856A7">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Таблица 10: Коефициенти на възрастова зависимост общо за страната и по статистически райони – 202</w:t>
      </w:r>
      <w:r w:rsidR="00565095" w:rsidRPr="00AA5833">
        <w:rPr>
          <w:rFonts w:ascii="Times New Roman" w:eastAsia="Times New Roman" w:hAnsi="Times New Roman" w:cs="Times New Roman"/>
          <w:b/>
          <w:sz w:val="24"/>
          <w:szCs w:val="24"/>
          <w:lang w:eastAsia="bg-BG"/>
        </w:rPr>
        <w:t>4</w:t>
      </w:r>
      <w:r w:rsidRPr="00AA5833">
        <w:rPr>
          <w:rFonts w:ascii="Times New Roman" w:eastAsia="Times New Roman" w:hAnsi="Times New Roman" w:cs="Times New Roman"/>
          <w:b/>
          <w:sz w:val="24"/>
          <w:szCs w:val="24"/>
          <w:lang w:eastAsia="bg-BG"/>
        </w:rPr>
        <w:t xml:space="preserve"> г.</w:t>
      </w:r>
    </w:p>
    <w:tbl>
      <w:tblPr>
        <w:tblStyle w:val="TableGrid"/>
        <w:tblW w:w="0" w:type="auto"/>
        <w:tblLook w:val="04A0" w:firstRow="1" w:lastRow="0" w:firstColumn="1" w:lastColumn="0" w:noHBand="0" w:noVBand="1"/>
      </w:tblPr>
      <w:tblGrid>
        <w:gridCol w:w="2357"/>
        <w:gridCol w:w="3491"/>
        <w:gridCol w:w="3214"/>
      </w:tblGrid>
      <w:tr w:rsidR="006856A7" w:rsidRPr="00AA5833" w14:paraId="13360040" w14:textId="77777777" w:rsidTr="00565095">
        <w:trPr>
          <w:trHeight w:hRule="exact" w:val="1050"/>
        </w:trPr>
        <w:tc>
          <w:tcPr>
            <w:tcW w:w="2357" w:type="dxa"/>
            <w:shd w:val="clear" w:color="auto" w:fill="00CC99"/>
          </w:tcPr>
          <w:p w14:paraId="0D7BCF39" w14:textId="77777777" w:rsidR="006856A7" w:rsidRPr="00AA5833" w:rsidRDefault="006856A7" w:rsidP="006856A7">
            <w:pPr>
              <w:spacing w:after="200"/>
              <w:jc w:val="center"/>
              <w:rPr>
                <w:b/>
              </w:rPr>
            </w:pPr>
          </w:p>
          <w:p w14:paraId="61C97F7E" w14:textId="77777777" w:rsidR="006856A7" w:rsidRPr="00AA5833" w:rsidRDefault="006856A7" w:rsidP="006856A7">
            <w:pPr>
              <w:spacing w:after="200"/>
              <w:jc w:val="center"/>
              <w:rPr>
                <w:b/>
              </w:rPr>
            </w:pPr>
            <w:r w:rsidRPr="00AA5833">
              <w:rPr>
                <w:b/>
              </w:rPr>
              <w:t>Статистически райони</w:t>
            </w:r>
          </w:p>
        </w:tc>
        <w:tc>
          <w:tcPr>
            <w:tcW w:w="3491" w:type="dxa"/>
            <w:shd w:val="clear" w:color="auto" w:fill="00CC99"/>
          </w:tcPr>
          <w:p w14:paraId="0A2CF10C" w14:textId="77777777" w:rsidR="006856A7" w:rsidRPr="00AA5833" w:rsidRDefault="006856A7" w:rsidP="006856A7">
            <w:pPr>
              <w:spacing w:after="200"/>
              <w:jc w:val="center"/>
              <w:rPr>
                <w:b/>
                <w:bCs/>
              </w:rPr>
            </w:pPr>
            <w:r w:rsidRPr="00AA5833">
              <w:rPr>
                <w:b/>
                <w:bCs/>
              </w:rPr>
              <w:t>Отношение на населението на възраст под 15 и над 65 и повече години към населението на възраст от 15 до 64 години - %</w:t>
            </w:r>
          </w:p>
        </w:tc>
        <w:tc>
          <w:tcPr>
            <w:tcW w:w="3214" w:type="dxa"/>
            <w:shd w:val="clear" w:color="auto" w:fill="00CC99"/>
          </w:tcPr>
          <w:p w14:paraId="79281EE4" w14:textId="77777777" w:rsidR="006856A7" w:rsidRPr="00AA5833" w:rsidRDefault="006856A7" w:rsidP="006856A7">
            <w:pPr>
              <w:spacing w:after="200"/>
              <w:jc w:val="center"/>
              <w:rPr>
                <w:b/>
                <w:bCs/>
              </w:rPr>
            </w:pPr>
            <w:r w:rsidRPr="00AA5833">
              <w:rPr>
                <w:b/>
                <w:bCs/>
              </w:rPr>
              <w:t>Отношение на населението на възраст 65 и повече години към населението на възраст от 15 до 64 години - %</w:t>
            </w:r>
          </w:p>
        </w:tc>
      </w:tr>
      <w:tr w:rsidR="006856A7" w:rsidRPr="00AA5833" w14:paraId="2BE24BC7" w14:textId="77777777" w:rsidTr="00565095">
        <w:trPr>
          <w:trHeight w:hRule="exact" w:val="284"/>
        </w:trPr>
        <w:tc>
          <w:tcPr>
            <w:tcW w:w="2357" w:type="dxa"/>
            <w:shd w:val="clear" w:color="auto" w:fill="00FF99"/>
          </w:tcPr>
          <w:p w14:paraId="19B44EA0" w14:textId="77777777" w:rsidR="006856A7" w:rsidRPr="00AA5833" w:rsidRDefault="006856A7" w:rsidP="006856A7">
            <w:pPr>
              <w:spacing w:after="200"/>
              <w:rPr>
                <w:b/>
                <w:bCs/>
              </w:rPr>
            </w:pPr>
            <w:r w:rsidRPr="00AA5833">
              <w:rPr>
                <w:b/>
                <w:bCs/>
              </w:rPr>
              <w:t>Общо за страната</w:t>
            </w:r>
          </w:p>
        </w:tc>
        <w:tc>
          <w:tcPr>
            <w:tcW w:w="3491" w:type="dxa"/>
            <w:shd w:val="clear" w:color="auto" w:fill="00FF99"/>
            <w:vAlign w:val="bottom"/>
          </w:tcPr>
          <w:p w14:paraId="35390C85" w14:textId="77777777" w:rsidR="006856A7" w:rsidRPr="00AA5833" w:rsidRDefault="00565095" w:rsidP="006856A7">
            <w:pPr>
              <w:spacing w:after="200"/>
              <w:jc w:val="right"/>
              <w:rPr>
                <w:b/>
                <w:bCs/>
              </w:rPr>
            </w:pPr>
            <w:r w:rsidRPr="00AA5833">
              <w:rPr>
                <w:b/>
                <w:bCs/>
                <w:color w:val="000000"/>
              </w:rPr>
              <w:t>61.3</w:t>
            </w:r>
          </w:p>
        </w:tc>
        <w:tc>
          <w:tcPr>
            <w:tcW w:w="3214" w:type="dxa"/>
            <w:shd w:val="clear" w:color="auto" w:fill="00FF99"/>
            <w:vAlign w:val="bottom"/>
          </w:tcPr>
          <w:p w14:paraId="68A20D3A" w14:textId="77777777" w:rsidR="006856A7" w:rsidRPr="00AA5833" w:rsidRDefault="00565095" w:rsidP="006856A7">
            <w:pPr>
              <w:spacing w:after="200"/>
              <w:jc w:val="right"/>
              <w:rPr>
                <w:b/>
                <w:bCs/>
              </w:rPr>
            </w:pPr>
            <w:r w:rsidRPr="00AA5833">
              <w:rPr>
                <w:b/>
                <w:bCs/>
                <w:color w:val="000000"/>
              </w:rPr>
              <w:t>38.7</w:t>
            </w:r>
          </w:p>
        </w:tc>
      </w:tr>
      <w:tr w:rsidR="00565095" w:rsidRPr="00AA5833" w14:paraId="7EF8D4A9" w14:textId="77777777" w:rsidTr="00FB530D">
        <w:trPr>
          <w:trHeight w:hRule="exact" w:val="265"/>
        </w:trPr>
        <w:tc>
          <w:tcPr>
            <w:tcW w:w="2357" w:type="dxa"/>
          </w:tcPr>
          <w:p w14:paraId="2381E5BD" w14:textId="77777777" w:rsidR="00565095" w:rsidRPr="00AA5833" w:rsidRDefault="00565095" w:rsidP="00565095">
            <w:pPr>
              <w:spacing w:after="200"/>
              <w:rPr>
                <w:bCs/>
              </w:rPr>
            </w:pPr>
            <w:r w:rsidRPr="00AA5833">
              <w:rPr>
                <w:bCs/>
              </w:rPr>
              <w:t>Северозападен</w:t>
            </w:r>
          </w:p>
        </w:tc>
        <w:tc>
          <w:tcPr>
            <w:tcW w:w="3491" w:type="dxa"/>
            <w:shd w:val="clear" w:color="auto" w:fill="auto"/>
            <w:vAlign w:val="center"/>
          </w:tcPr>
          <w:p w14:paraId="49575256" w14:textId="77777777" w:rsidR="00565095" w:rsidRPr="00AA5833" w:rsidRDefault="00565095" w:rsidP="00565095">
            <w:pPr>
              <w:jc w:val="right"/>
              <w:rPr>
                <w:color w:val="323232"/>
              </w:rPr>
            </w:pPr>
            <w:r w:rsidRPr="00AA5833">
              <w:rPr>
                <w:color w:val="323232"/>
              </w:rPr>
              <w:t>70.1</w:t>
            </w:r>
          </w:p>
        </w:tc>
        <w:tc>
          <w:tcPr>
            <w:tcW w:w="3214" w:type="dxa"/>
            <w:shd w:val="clear" w:color="auto" w:fill="auto"/>
            <w:vAlign w:val="center"/>
          </w:tcPr>
          <w:p w14:paraId="35FE7C71" w14:textId="77777777" w:rsidR="00565095" w:rsidRPr="00AA5833" w:rsidRDefault="00565095" w:rsidP="00565095">
            <w:pPr>
              <w:jc w:val="right"/>
              <w:rPr>
                <w:color w:val="323232"/>
              </w:rPr>
            </w:pPr>
            <w:r w:rsidRPr="00AA5833">
              <w:rPr>
                <w:color w:val="323232"/>
              </w:rPr>
              <w:t>47.8</w:t>
            </w:r>
          </w:p>
        </w:tc>
      </w:tr>
      <w:tr w:rsidR="00565095" w:rsidRPr="00AA5833" w14:paraId="3005BCA0" w14:textId="77777777" w:rsidTr="00FB530D">
        <w:trPr>
          <w:trHeight w:hRule="exact" w:val="284"/>
        </w:trPr>
        <w:tc>
          <w:tcPr>
            <w:tcW w:w="2357" w:type="dxa"/>
          </w:tcPr>
          <w:p w14:paraId="2B0360E4" w14:textId="77777777" w:rsidR="00565095" w:rsidRPr="00AA5833" w:rsidRDefault="00565095" w:rsidP="00565095">
            <w:pPr>
              <w:spacing w:after="200"/>
              <w:rPr>
                <w:bCs/>
              </w:rPr>
            </w:pPr>
            <w:r w:rsidRPr="00AA5833">
              <w:rPr>
                <w:bCs/>
              </w:rPr>
              <w:t>Северен централен</w:t>
            </w:r>
          </w:p>
        </w:tc>
        <w:tc>
          <w:tcPr>
            <w:tcW w:w="3491" w:type="dxa"/>
            <w:shd w:val="clear" w:color="auto" w:fill="auto"/>
            <w:vAlign w:val="center"/>
          </w:tcPr>
          <w:p w14:paraId="3BA8CA4B" w14:textId="77777777" w:rsidR="00565095" w:rsidRPr="00AA5833" w:rsidRDefault="00565095" w:rsidP="00565095">
            <w:pPr>
              <w:jc w:val="right"/>
              <w:rPr>
                <w:color w:val="323232"/>
              </w:rPr>
            </w:pPr>
            <w:r w:rsidRPr="00AA5833">
              <w:rPr>
                <w:color w:val="323232"/>
              </w:rPr>
              <w:t>67.0</w:t>
            </w:r>
          </w:p>
        </w:tc>
        <w:tc>
          <w:tcPr>
            <w:tcW w:w="3214" w:type="dxa"/>
            <w:shd w:val="clear" w:color="auto" w:fill="auto"/>
            <w:vAlign w:val="center"/>
          </w:tcPr>
          <w:p w14:paraId="55657351" w14:textId="77777777" w:rsidR="00565095" w:rsidRPr="00AA5833" w:rsidRDefault="00565095" w:rsidP="00565095">
            <w:pPr>
              <w:jc w:val="right"/>
              <w:rPr>
                <w:color w:val="323232"/>
              </w:rPr>
            </w:pPr>
            <w:r w:rsidRPr="00AA5833">
              <w:rPr>
                <w:color w:val="323232"/>
              </w:rPr>
              <w:t>46.2</w:t>
            </w:r>
          </w:p>
        </w:tc>
      </w:tr>
      <w:tr w:rsidR="00565095" w:rsidRPr="00AA5833" w14:paraId="0D6B1694" w14:textId="77777777" w:rsidTr="00FB530D">
        <w:trPr>
          <w:trHeight w:hRule="exact" w:val="284"/>
        </w:trPr>
        <w:tc>
          <w:tcPr>
            <w:tcW w:w="2357" w:type="dxa"/>
          </w:tcPr>
          <w:p w14:paraId="67220390" w14:textId="77777777" w:rsidR="00565095" w:rsidRPr="00AA5833" w:rsidRDefault="00565095" w:rsidP="00565095">
            <w:pPr>
              <w:spacing w:after="200"/>
              <w:rPr>
                <w:bCs/>
              </w:rPr>
            </w:pPr>
            <w:r w:rsidRPr="00AA5833">
              <w:rPr>
                <w:bCs/>
              </w:rPr>
              <w:t>Североизточен</w:t>
            </w:r>
          </w:p>
        </w:tc>
        <w:tc>
          <w:tcPr>
            <w:tcW w:w="3491" w:type="dxa"/>
            <w:shd w:val="clear" w:color="auto" w:fill="auto"/>
            <w:vAlign w:val="center"/>
          </w:tcPr>
          <w:p w14:paraId="1EEFA96B" w14:textId="77777777" w:rsidR="00565095" w:rsidRPr="00AA5833" w:rsidRDefault="00565095" w:rsidP="00565095">
            <w:pPr>
              <w:jc w:val="right"/>
              <w:rPr>
                <w:color w:val="323232"/>
              </w:rPr>
            </w:pPr>
            <w:r w:rsidRPr="00AA5833">
              <w:rPr>
                <w:color w:val="323232"/>
              </w:rPr>
              <w:t>60.4</w:t>
            </w:r>
          </w:p>
        </w:tc>
        <w:tc>
          <w:tcPr>
            <w:tcW w:w="3214" w:type="dxa"/>
            <w:shd w:val="clear" w:color="auto" w:fill="auto"/>
            <w:vAlign w:val="center"/>
          </w:tcPr>
          <w:p w14:paraId="6B433C3E" w14:textId="77777777" w:rsidR="00565095" w:rsidRPr="00AA5833" w:rsidRDefault="00565095" w:rsidP="00565095">
            <w:pPr>
              <w:jc w:val="right"/>
              <w:rPr>
                <w:color w:val="323232"/>
              </w:rPr>
            </w:pPr>
            <w:r w:rsidRPr="00AA5833">
              <w:rPr>
                <w:color w:val="323232"/>
              </w:rPr>
              <w:t>38.2</w:t>
            </w:r>
          </w:p>
        </w:tc>
      </w:tr>
      <w:tr w:rsidR="00565095" w:rsidRPr="00AA5833" w14:paraId="45315404" w14:textId="77777777" w:rsidTr="00FB530D">
        <w:trPr>
          <w:trHeight w:hRule="exact" w:val="284"/>
        </w:trPr>
        <w:tc>
          <w:tcPr>
            <w:tcW w:w="2357" w:type="dxa"/>
          </w:tcPr>
          <w:p w14:paraId="604DEF93" w14:textId="77777777" w:rsidR="00565095" w:rsidRPr="00AA5833" w:rsidRDefault="00565095" w:rsidP="00565095">
            <w:pPr>
              <w:spacing w:after="200"/>
              <w:rPr>
                <w:bCs/>
              </w:rPr>
            </w:pPr>
            <w:r w:rsidRPr="00AA5833">
              <w:rPr>
                <w:bCs/>
              </w:rPr>
              <w:t>Югоизточен</w:t>
            </w:r>
          </w:p>
        </w:tc>
        <w:tc>
          <w:tcPr>
            <w:tcW w:w="3491" w:type="dxa"/>
            <w:shd w:val="clear" w:color="auto" w:fill="auto"/>
            <w:vAlign w:val="center"/>
          </w:tcPr>
          <w:p w14:paraId="28ECC301" w14:textId="77777777" w:rsidR="00565095" w:rsidRPr="00AA5833" w:rsidRDefault="00565095" w:rsidP="00565095">
            <w:pPr>
              <w:jc w:val="right"/>
              <w:rPr>
                <w:color w:val="323232"/>
              </w:rPr>
            </w:pPr>
            <w:r w:rsidRPr="00AA5833">
              <w:rPr>
                <w:color w:val="323232"/>
              </w:rPr>
              <w:t>64.8</w:t>
            </w:r>
          </w:p>
        </w:tc>
        <w:tc>
          <w:tcPr>
            <w:tcW w:w="3214" w:type="dxa"/>
            <w:shd w:val="clear" w:color="auto" w:fill="auto"/>
            <w:vAlign w:val="center"/>
          </w:tcPr>
          <w:p w14:paraId="1E01C6B8" w14:textId="77777777" w:rsidR="00565095" w:rsidRPr="00AA5833" w:rsidRDefault="00565095" w:rsidP="00565095">
            <w:pPr>
              <w:jc w:val="right"/>
              <w:rPr>
                <w:color w:val="323232"/>
              </w:rPr>
            </w:pPr>
            <w:r w:rsidRPr="00AA5833">
              <w:rPr>
                <w:color w:val="323232"/>
              </w:rPr>
              <w:t>39.4</w:t>
            </w:r>
          </w:p>
        </w:tc>
      </w:tr>
      <w:tr w:rsidR="00565095" w:rsidRPr="00AA5833" w14:paraId="4090E0BB" w14:textId="77777777" w:rsidTr="00FB530D">
        <w:trPr>
          <w:trHeight w:hRule="exact" w:val="284"/>
        </w:trPr>
        <w:tc>
          <w:tcPr>
            <w:tcW w:w="2357" w:type="dxa"/>
          </w:tcPr>
          <w:p w14:paraId="1070E8C2" w14:textId="77777777" w:rsidR="00565095" w:rsidRPr="00AA5833" w:rsidRDefault="00565095" w:rsidP="00565095">
            <w:pPr>
              <w:spacing w:after="200"/>
              <w:rPr>
                <w:bCs/>
              </w:rPr>
            </w:pPr>
            <w:r w:rsidRPr="00AA5833">
              <w:rPr>
                <w:bCs/>
              </w:rPr>
              <w:t>Югозападен</w:t>
            </w:r>
          </w:p>
        </w:tc>
        <w:tc>
          <w:tcPr>
            <w:tcW w:w="3491" w:type="dxa"/>
            <w:shd w:val="clear" w:color="auto" w:fill="auto"/>
            <w:vAlign w:val="center"/>
          </w:tcPr>
          <w:p w14:paraId="569E2302" w14:textId="77777777" w:rsidR="00565095" w:rsidRPr="00AA5833" w:rsidRDefault="00565095" w:rsidP="00565095">
            <w:pPr>
              <w:jc w:val="right"/>
              <w:rPr>
                <w:color w:val="323232"/>
              </w:rPr>
            </w:pPr>
            <w:r w:rsidRPr="00AA5833">
              <w:rPr>
                <w:color w:val="323232"/>
              </w:rPr>
              <w:t>54.9</w:t>
            </w:r>
          </w:p>
        </w:tc>
        <w:tc>
          <w:tcPr>
            <w:tcW w:w="3214" w:type="dxa"/>
            <w:shd w:val="clear" w:color="auto" w:fill="auto"/>
            <w:vAlign w:val="center"/>
          </w:tcPr>
          <w:p w14:paraId="0BB1D6FA" w14:textId="77777777" w:rsidR="00565095" w:rsidRPr="00AA5833" w:rsidRDefault="00565095" w:rsidP="00565095">
            <w:pPr>
              <w:jc w:val="right"/>
              <w:rPr>
                <w:color w:val="323232"/>
              </w:rPr>
            </w:pPr>
            <w:r w:rsidRPr="00AA5833">
              <w:rPr>
                <w:color w:val="323232"/>
              </w:rPr>
              <w:t>32.8</w:t>
            </w:r>
          </w:p>
        </w:tc>
      </w:tr>
      <w:tr w:rsidR="00565095" w:rsidRPr="00AA5833" w14:paraId="5623907A" w14:textId="77777777" w:rsidTr="00FB530D">
        <w:trPr>
          <w:trHeight w:hRule="exact" w:val="284"/>
        </w:trPr>
        <w:tc>
          <w:tcPr>
            <w:tcW w:w="2357" w:type="dxa"/>
          </w:tcPr>
          <w:p w14:paraId="110A2A59" w14:textId="77777777" w:rsidR="00565095" w:rsidRPr="00AA5833" w:rsidRDefault="00565095" w:rsidP="00565095">
            <w:pPr>
              <w:spacing w:after="200"/>
              <w:rPr>
                <w:bCs/>
              </w:rPr>
            </w:pPr>
            <w:r w:rsidRPr="00AA5833">
              <w:rPr>
                <w:bCs/>
              </w:rPr>
              <w:t>Южен централен</w:t>
            </w:r>
          </w:p>
        </w:tc>
        <w:tc>
          <w:tcPr>
            <w:tcW w:w="3491" w:type="dxa"/>
            <w:shd w:val="clear" w:color="auto" w:fill="auto"/>
            <w:vAlign w:val="center"/>
          </w:tcPr>
          <w:p w14:paraId="4E074597" w14:textId="77777777" w:rsidR="00565095" w:rsidRPr="00AA5833" w:rsidRDefault="00565095" w:rsidP="00565095">
            <w:pPr>
              <w:jc w:val="right"/>
              <w:rPr>
                <w:color w:val="323232"/>
              </w:rPr>
            </w:pPr>
            <w:r w:rsidRPr="00AA5833">
              <w:rPr>
                <w:color w:val="323232"/>
              </w:rPr>
              <w:t>62.6</w:t>
            </w:r>
          </w:p>
        </w:tc>
        <w:tc>
          <w:tcPr>
            <w:tcW w:w="3214" w:type="dxa"/>
            <w:shd w:val="clear" w:color="auto" w:fill="auto"/>
            <w:vAlign w:val="center"/>
          </w:tcPr>
          <w:p w14:paraId="0805809C" w14:textId="77777777" w:rsidR="00565095" w:rsidRPr="00AA5833" w:rsidRDefault="00565095" w:rsidP="00565095">
            <w:pPr>
              <w:jc w:val="right"/>
              <w:rPr>
                <w:color w:val="323232"/>
              </w:rPr>
            </w:pPr>
            <w:r w:rsidRPr="00AA5833">
              <w:rPr>
                <w:color w:val="323232"/>
              </w:rPr>
              <w:t>40.0</w:t>
            </w:r>
          </w:p>
        </w:tc>
      </w:tr>
    </w:tbl>
    <w:p w14:paraId="2D6A6DD1" w14:textId="77777777" w:rsidR="006856A7" w:rsidRPr="00AA5833" w:rsidRDefault="006856A7" w:rsidP="006856A7">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6703A811" w14:textId="77777777" w:rsidR="0015488C" w:rsidRPr="00AA5833" w:rsidRDefault="0015488C" w:rsidP="00D6313B">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12537669"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2.3. Участие на населението в образователния процес</w:t>
      </w:r>
    </w:p>
    <w:p w14:paraId="26F252A4"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ab/>
      </w:r>
    </w:p>
    <w:p w14:paraId="395935C5" w14:textId="77777777" w:rsidR="006856A7" w:rsidRPr="00AA5833" w:rsidRDefault="006856A7" w:rsidP="006856A7">
      <w:pPr>
        <w:spacing w:after="0" w:line="240" w:lineRule="auto"/>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
          <w:caps/>
          <w:color w:val="000000"/>
          <w:sz w:val="24"/>
          <w:szCs w:val="24"/>
          <w:lang w:eastAsia="bg-BG"/>
        </w:rPr>
        <w:tab/>
      </w:r>
      <w:r w:rsidRPr="00AA5833">
        <w:rPr>
          <w:rFonts w:ascii="Times New Roman" w:eastAsia="Times New Roman" w:hAnsi="Times New Roman" w:cs="Times New Roman"/>
          <w:color w:val="000000"/>
          <w:sz w:val="24"/>
          <w:szCs w:val="24"/>
          <w:lang w:eastAsia="bg-BG"/>
        </w:rPr>
        <w:t>Степента на завършено образование е основен фактор и важно условие за повишаване на заетостта, получаването на по-високи доходи и ограничаване на бедността, както и за постигане на по-добро качество и стандарт на живота на населението. Това е фактор и условие за балансирано демографско развитие на населението, както и за подобряване на качеството на човешките ресурси.</w:t>
      </w:r>
    </w:p>
    <w:p w14:paraId="2E709864"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Колкото по-висока е степента на образование, толкова по-малко хората са застрашени от бедност и риск от бедност.</w:t>
      </w:r>
      <w:r w:rsidRPr="00AA5833">
        <w:rPr>
          <w:rFonts w:ascii="Times New Roman" w:eastAsia="Times New Roman" w:hAnsi="Times New Roman" w:cs="Times New Roman"/>
          <w:color w:val="000000"/>
          <w:sz w:val="24"/>
          <w:szCs w:val="24"/>
          <w:vertAlign w:val="superscript"/>
          <w:lang w:eastAsia="bg-BG"/>
        </w:rPr>
        <w:footnoteReference w:id="22"/>
      </w:r>
      <w:r w:rsidRPr="00AA5833">
        <w:rPr>
          <w:rFonts w:ascii="Times New Roman" w:eastAsia="Times New Roman" w:hAnsi="Times New Roman" w:cs="Times New Roman"/>
          <w:color w:val="000000"/>
          <w:sz w:val="24"/>
          <w:szCs w:val="24"/>
          <w:lang w:eastAsia="bg-BG"/>
        </w:rPr>
        <w:t xml:space="preserve"> </w:t>
      </w:r>
    </w:p>
    <w:p w14:paraId="3092F54B" w14:textId="77777777" w:rsidR="006856A7" w:rsidRPr="00AA5833" w:rsidRDefault="006856A7" w:rsidP="006856A7">
      <w:pPr>
        <w:spacing w:after="0" w:line="240" w:lineRule="auto"/>
        <w:contextualSpacing/>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ab/>
      </w:r>
    </w:p>
    <w:p w14:paraId="10D9043B"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2.3.1. Образование в Република България през учебната 202</w:t>
      </w:r>
      <w:r w:rsidR="00DA06AC" w:rsidRPr="00AA5833">
        <w:rPr>
          <w:rFonts w:ascii="Times New Roman" w:eastAsia="Times New Roman" w:hAnsi="Times New Roman" w:cs="Times New Roman"/>
          <w:b/>
          <w:color w:val="000000"/>
          <w:sz w:val="24"/>
          <w:szCs w:val="24"/>
          <w:lang w:eastAsia="bg-BG"/>
        </w:rPr>
        <w:t>4</w:t>
      </w:r>
      <w:r w:rsidRPr="00AA5833">
        <w:rPr>
          <w:rFonts w:ascii="Times New Roman" w:eastAsia="Times New Roman" w:hAnsi="Times New Roman" w:cs="Times New Roman"/>
          <w:b/>
          <w:color w:val="000000"/>
          <w:sz w:val="24"/>
          <w:szCs w:val="24"/>
          <w:lang w:eastAsia="bg-BG"/>
        </w:rPr>
        <w:t>/202</w:t>
      </w:r>
      <w:r w:rsidR="00DA06AC" w:rsidRPr="00AA5833">
        <w:rPr>
          <w:rFonts w:ascii="Times New Roman" w:eastAsia="Times New Roman" w:hAnsi="Times New Roman" w:cs="Times New Roman"/>
          <w:b/>
          <w:color w:val="000000"/>
          <w:sz w:val="24"/>
          <w:szCs w:val="24"/>
          <w:lang w:eastAsia="bg-BG"/>
        </w:rPr>
        <w:t>5</w:t>
      </w:r>
      <w:r w:rsidRPr="00AA5833">
        <w:rPr>
          <w:rFonts w:ascii="Times New Roman" w:eastAsia="Times New Roman" w:hAnsi="Times New Roman" w:cs="Times New Roman"/>
          <w:b/>
          <w:color w:val="000000"/>
          <w:sz w:val="24"/>
          <w:szCs w:val="24"/>
          <w:lang w:eastAsia="bg-BG"/>
        </w:rPr>
        <w:t xml:space="preserve"> г.</w:t>
      </w:r>
      <w:r w:rsidRPr="00AA5833">
        <w:rPr>
          <w:rFonts w:ascii="Times New Roman" w:eastAsia="Times New Roman" w:hAnsi="Times New Roman" w:cs="Times New Roman"/>
          <w:b/>
          <w:color w:val="000000"/>
          <w:sz w:val="24"/>
          <w:szCs w:val="24"/>
          <w:vertAlign w:val="superscript"/>
          <w:lang w:eastAsia="bg-BG"/>
        </w:rPr>
        <w:footnoteReference w:id="23"/>
      </w:r>
    </w:p>
    <w:p w14:paraId="708417EF" w14:textId="77777777" w:rsidR="007D77A2" w:rsidRPr="00AA5833" w:rsidRDefault="006856A7" w:rsidP="007D77A2">
      <w:pPr>
        <w:spacing w:after="0" w:line="240" w:lineRule="auto"/>
        <w:jc w:val="both"/>
        <w:rPr>
          <w:rFonts w:ascii="Times New Roman" w:hAnsi="Times New Roman" w:cs="Times New Roman"/>
          <w:sz w:val="24"/>
          <w:szCs w:val="24"/>
        </w:rPr>
      </w:pPr>
      <w:r w:rsidRPr="00AA5833">
        <w:rPr>
          <w:rFonts w:ascii="Times New Roman" w:eastAsia="Times New Roman" w:hAnsi="Times New Roman" w:cs="Times New Roman"/>
          <w:sz w:val="24"/>
          <w:szCs w:val="24"/>
          <w:lang w:eastAsia="bg-BG"/>
        </w:rPr>
        <w:tab/>
      </w:r>
      <w:r w:rsidR="007D77A2" w:rsidRPr="00AA5833">
        <w:rPr>
          <w:rFonts w:ascii="Times New Roman" w:hAnsi="Times New Roman" w:cs="Times New Roman"/>
          <w:sz w:val="24"/>
          <w:szCs w:val="24"/>
        </w:rPr>
        <w:t xml:space="preserve">Основните резултати от проведените от Националния статистически институт  годишни изчерпателни изследвания, характеризиращи дейността на образователните институции, показват, че: </w:t>
      </w:r>
    </w:p>
    <w:p w14:paraId="16971720" w14:textId="77777777" w:rsidR="007D77A2" w:rsidRPr="00AA5833" w:rsidRDefault="007D77A2" w:rsidP="002A598C">
      <w:pPr>
        <w:pStyle w:val="ListParagraph"/>
        <w:numPr>
          <w:ilvl w:val="0"/>
          <w:numId w:val="22"/>
        </w:numPr>
        <w:jc w:val="both"/>
      </w:pPr>
      <w:r w:rsidRPr="00AA5833">
        <w:t xml:space="preserve">през учебната 2024/2025 година в предучилищното образование (детските градини и подготвителните групи в училищата) са записани 217.2 хил. деца; </w:t>
      </w:r>
    </w:p>
    <w:p w14:paraId="3D5EDE4C" w14:textId="77777777" w:rsidR="007D77A2" w:rsidRPr="00AA5833" w:rsidRDefault="007D77A2" w:rsidP="002A598C">
      <w:pPr>
        <w:pStyle w:val="ListParagraph"/>
        <w:numPr>
          <w:ilvl w:val="0"/>
          <w:numId w:val="22"/>
        </w:numPr>
        <w:jc w:val="both"/>
      </w:pPr>
      <w:r w:rsidRPr="00AA5833">
        <w:t xml:space="preserve">към 31.12.2024 г. в страната функционират 2 329 училища, в които са записани 713.5 хил. ученици; </w:t>
      </w:r>
    </w:p>
    <w:p w14:paraId="7B82E1DF" w14:textId="77777777" w:rsidR="007D77A2" w:rsidRPr="00AA5833" w:rsidRDefault="007D77A2" w:rsidP="002A598C">
      <w:pPr>
        <w:pStyle w:val="ListParagraph"/>
        <w:numPr>
          <w:ilvl w:val="0"/>
          <w:numId w:val="22"/>
        </w:numPr>
        <w:jc w:val="both"/>
      </w:pPr>
      <w:r w:rsidRPr="00AA5833">
        <w:t xml:space="preserve">основно образование през 2024 г. са завършили 59.8 хил. ученици, а  средно - 43.4 хиляди; </w:t>
      </w:r>
    </w:p>
    <w:p w14:paraId="6720272A" w14:textId="77777777" w:rsidR="007D77A2" w:rsidRPr="00AA5833" w:rsidRDefault="007D77A2" w:rsidP="002A598C">
      <w:pPr>
        <w:pStyle w:val="ListParagraph"/>
        <w:numPr>
          <w:ilvl w:val="0"/>
          <w:numId w:val="22"/>
        </w:numPr>
        <w:jc w:val="both"/>
      </w:pPr>
      <w:r w:rsidRPr="00AA5833">
        <w:t>записаните в различните степени на висшето образование („професионален бакалавър“, „бакалавър“ и „магистър“) за академичната 2024/2025 година са 203.5 хиляди;</w:t>
      </w:r>
    </w:p>
    <w:p w14:paraId="578B5989" w14:textId="77777777" w:rsidR="006856A7" w:rsidRPr="00AA5833" w:rsidRDefault="007D77A2" w:rsidP="002A598C">
      <w:pPr>
        <w:pStyle w:val="ListParagraph"/>
        <w:numPr>
          <w:ilvl w:val="0"/>
          <w:numId w:val="22"/>
        </w:numPr>
        <w:jc w:val="both"/>
      </w:pPr>
      <w:r w:rsidRPr="00AA5833">
        <w:t>към 31.12.2024 г. за придобиване на образователна и научна степен „доктор“ у нас се обучават 5 029 лица, от които 574 са чужди граждани.</w:t>
      </w:r>
    </w:p>
    <w:p w14:paraId="17F6D076" w14:textId="77777777" w:rsidR="007D77A2" w:rsidRPr="00AA5833" w:rsidRDefault="007D77A2" w:rsidP="006856A7">
      <w:pPr>
        <w:spacing w:after="0" w:line="240" w:lineRule="auto"/>
        <w:jc w:val="both"/>
        <w:rPr>
          <w:rFonts w:ascii="Times New Roman" w:eastAsia="Times New Roman" w:hAnsi="Times New Roman" w:cs="Times New Roman"/>
          <w:b/>
          <w:color w:val="000000"/>
          <w:sz w:val="24"/>
          <w:szCs w:val="24"/>
          <w:lang w:eastAsia="bg-BG"/>
        </w:rPr>
      </w:pPr>
    </w:p>
    <w:p w14:paraId="72A803B9"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2.3.1.1. Предучилищно образование</w:t>
      </w:r>
    </w:p>
    <w:p w14:paraId="32A3CDA3" w14:textId="77777777" w:rsidR="007D77A2" w:rsidRPr="00AA5833" w:rsidRDefault="006856A7" w:rsidP="007D77A2">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 </w:t>
      </w:r>
      <w:r w:rsidR="007D77A2" w:rsidRPr="00AA5833">
        <w:rPr>
          <w:rFonts w:ascii="Times New Roman" w:hAnsi="Times New Roman" w:cs="Times New Roman"/>
          <w:sz w:val="24"/>
          <w:szCs w:val="24"/>
        </w:rPr>
        <w:t xml:space="preserve">Към 31.12.2024 г. в страната функционират 1 830 самостоятелни детски градини, от които 125 частни. В предучилищно образование, провеждано в детските градини и подготвителните групи в училищата, са записани 217.2 хил. деца, от които 51.4% са момчета. </w:t>
      </w:r>
    </w:p>
    <w:p w14:paraId="5114C2C0" w14:textId="77777777" w:rsidR="00E01DDF" w:rsidRPr="00E01DDF" w:rsidRDefault="00E01DDF" w:rsidP="00E01DDF">
      <w:pPr>
        <w:spacing w:after="0" w:line="240" w:lineRule="auto"/>
        <w:ind w:firstLine="709"/>
        <w:jc w:val="both"/>
        <w:rPr>
          <w:rFonts w:ascii="Times New Roman" w:hAnsi="Times New Roman" w:cs="Times New Roman"/>
          <w:sz w:val="24"/>
          <w:szCs w:val="24"/>
        </w:rPr>
      </w:pPr>
      <w:r w:rsidRPr="00E01DDF">
        <w:rPr>
          <w:rFonts w:ascii="Times New Roman" w:hAnsi="Times New Roman" w:cs="Times New Roman"/>
          <w:sz w:val="24"/>
          <w:szCs w:val="24"/>
        </w:rPr>
        <w:t>Обхватът на децата в това образователно ниво, изчислен чрез груповия нетен коефициент на записване</w:t>
      </w:r>
      <w:r w:rsidRPr="00E01DDF">
        <w:rPr>
          <w:rFonts w:ascii="Times New Roman" w:hAnsi="Times New Roman" w:cs="Times New Roman"/>
          <w:sz w:val="24"/>
          <w:szCs w:val="24"/>
          <w:vertAlign w:val="superscript"/>
        </w:rPr>
        <w:t>24</w:t>
      </w:r>
      <w:r w:rsidRPr="00E01DDF">
        <w:rPr>
          <w:rFonts w:ascii="Times New Roman" w:hAnsi="Times New Roman" w:cs="Times New Roman"/>
          <w:sz w:val="24"/>
          <w:szCs w:val="24"/>
        </w:rPr>
        <w:t xml:space="preserve"> за учебната 2024/2025 година, е 88.6%. Този показател е най-висок в област Смолян (98.7%), а най-нисък - в област Сливен (72.7%). </w:t>
      </w:r>
    </w:p>
    <w:p w14:paraId="2480261B" w14:textId="77777777" w:rsidR="007D77A2" w:rsidRPr="00AA5833" w:rsidRDefault="007D77A2" w:rsidP="007D77A2">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Средният брой деца в една самостоятелна детска градина за страната е 119, като в градовете е значително по-голям </w:t>
      </w:r>
      <w:r w:rsidR="004D5AD8" w:rsidRPr="00AA5833">
        <w:rPr>
          <w:rFonts w:ascii="Times New Roman" w:hAnsi="Times New Roman" w:cs="Times New Roman"/>
          <w:sz w:val="24"/>
          <w:szCs w:val="24"/>
        </w:rPr>
        <w:t xml:space="preserve">– </w:t>
      </w:r>
      <w:r w:rsidRPr="00AA5833">
        <w:rPr>
          <w:rFonts w:ascii="Times New Roman" w:hAnsi="Times New Roman" w:cs="Times New Roman"/>
          <w:sz w:val="24"/>
          <w:szCs w:val="24"/>
        </w:rPr>
        <w:t xml:space="preserve">152, отколкото е в селата </w:t>
      </w:r>
      <w:r w:rsidR="002863D5" w:rsidRPr="00AA5833">
        <w:rPr>
          <w:rFonts w:ascii="Times New Roman" w:hAnsi="Times New Roman" w:cs="Times New Roman"/>
          <w:sz w:val="24"/>
          <w:szCs w:val="24"/>
        </w:rPr>
        <w:t xml:space="preserve">– </w:t>
      </w:r>
      <w:r w:rsidRPr="00AA5833">
        <w:rPr>
          <w:rFonts w:ascii="Times New Roman" w:hAnsi="Times New Roman" w:cs="Times New Roman"/>
          <w:sz w:val="24"/>
          <w:szCs w:val="24"/>
        </w:rPr>
        <w:t xml:space="preserve">62. </w:t>
      </w:r>
    </w:p>
    <w:p w14:paraId="634291EE" w14:textId="77777777" w:rsidR="007D77A2" w:rsidRPr="00AA5833" w:rsidRDefault="007D77A2" w:rsidP="007D77A2">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През учебната 2024/2025 година в частни образователни институции са записани 6 596 деца, или 3.0% от всички записани в предучилищно образование. </w:t>
      </w:r>
    </w:p>
    <w:p w14:paraId="0BE5332D" w14:textId="77777777" w:rsidR="006856A7" w:rsidRPr="00AA5833" w:rsidRDefault="007D77A2" w:rsidP="007D77A2">
      <w:pPr>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hAnsi="Times New Roman" w:cs="Times New Roman"/>
          <w:sz w:val="24"/>
          <w:szCs w:val="24"/>
        </w:rPr>
        <w:t>Педагогическият персонал, зает в предучилищно образование, е 20.9 хиляди, като детските учители са 86.2% от общия брой.</w:t>
      </w:r>
    </w:p>
    <w:p w14:paraId="72E90569" w14:textId="77777777" w:rsidR="007D77A2" w:rsidRPr="00AA5833" w:rsidRDefault="007D77A2" w:rsidP="006856A7">
      <w:pPr>
        <w:spacing w:after="0" w:line="240" w:lineRule="auto"/>
        <w:jc w:val="both"/>
        <w:rPr>
          <w:rFonts w:ascii="Times New Roman" w:eastAsia="Times New Roman" w:hAnsi="Times New Roman" w:cs="Times New Roman"/>
          <w:b/>
          <w:color w:val="000000"/>
          <w:sz w:val="24"/>
          <w:szCs w:val="24"/>
          <w:lang w:eastAsia="bg-BG"/>
        </w:rPr>
      </w:pPr>
    </w:p>
    <w:p w14:paraId="70817298" w14:textId="77777777" w:rsidR="007D77A2" w:rsidRPr="00AA5833" w:rsidRDefault="006856A7" w:rsidP="007D77A2">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00"/>
          <w:sz w:val="24"/>
          <w:szCs w:val="24"/>
          <w:lang w:eastAsia="bg-BG"/>
        </w:rPr>
        <w:t xml:space="preserve">2.3.1.2. </w:t>
      </w:r>
      <w:r w:rsidR="007D77A2" w:rsidRPr="00AA5833">
        <w:rPr>
          <w:rFonts w:ascii="Times New Roman" w:eastAsia="Times New Roman" w:hAnsi="Times New Roman" w:cs="Times New Roman"/>
          <w:b/>
          <w:color w:val="000000"/>
          <w:sz w:val="24"/>
          <w:szCs w:val="24"/>
          <w:lang w:eastAsia="bg-BG"/>
        </w:rPr>
        <w:t>Училищно</w:t>
      </w:r>
      <w:r w:rsidRPr="00AA5833">
        <w:rPr>
          <w:rFonts w:ascii="Times New Roman" w:eastAsia="Times New Roman" w:hAnsi="Times New Roman" w:cs="Times New Roman"/>
          <w:b/>
          <w:color w:val="000000"/>
          <w:sz w:val="24"/>
          <w:szCs w:val="24"/>
          <w:lang w:eastAsia="bg-BG"/>
        </w:rPr>
        <w:t xml:space="preserve"> образование</w:t>
      </w:r>
      <w:r w:rsidRPr="00AA5833">
        <w:rPr>
          <w:rFonts w:ascii="Times New Roman" w:eastAsia="Times New Roman" w:hAnsi="Times New Roman" w:cs="Times New Roman"/>
          <w:b/>
          <w:color w:val="000000"/>
          <w:sz w:val="24"/>
          <w:szCs w:val="24"/>
          <w:lang w:eastAsia="bg-BG"/>
        </w:rPr>
        <w:tab/>
      </w:r>
      <w:r w:rsidRPr="00AA5833">
        <w:rPr>
          <w:rFonts w:ascii="Times New Roman" w:eastAsia="Times New Roman" w:hAnsi="Times New Roman" w:cs="Times New Roman"/>
          <w:b/>
          <w:color w:val="000000"/>
          <w:sz w:val="24"/>
          <w:szCs w:val="24"/>
          <w:lang w:eastAsia="bg-BG"/>
        </w:rPr>
        <w:br/>
      </w:r>
      <w:r w:rsidRPr="00AA5833">
        <w:rPr>
          <w:rFonts w:ascii="Times New Roman" w:eastAsia="Times New Roman" w:hAnsi="Times New Roman" w:cs="Times New Roman"/>
          <w:sz w:val="24"/>
          <w:szCs w:val="24"/>
          <w:lang w:eastAsia="bg-BG"/>
        </w:rPr>
        <w:tab/>
      </w:r>
      <w:r w:rsidR="007D77A2" w:rsidRPr="00AA5833">
        <w:rPr>
          <w:rFonts w:ascii="Times New Roman" w:eastAsia="Times New Roman" w:hAnsi="Times New Roman" w:cs="Times New Roman"/>
          <w:sz w:val="24"/>
          <w:szCs w:val="24"/>
          <w:lang w:eastAsia="bg-BG"/>
        </w:rPr>
        <w:t>Към 31.12.20</w:t>
      </w:r>
      <w:r w:rsidR="004C07C1" w:rsidRPr="00AA5833">
        <w:rPr>
          <w:rFonts w:ascii="Times New Roman" w:eastAsia="Times New Roman" w:hAnsi="Times New Roman" w:cs="Times New Roman"/>
          <w:sz w:val="24"/>
          <w:szCs w:val="24"/>
          <w:lang w:eastAsia="bg-BG"/>
        </w:rPr>
        <w:t>24 г. в страната функционират 2</w:t>
      </w:r>
      <w:r w:rsidR="007D77A2" w:rsidRPr="00AA5833">
        <w:rPr>
          <w:rFonts w:ascii="Times New Roman" w:eastAsia="Times New Roman" w:hAnsi="Times New Roman" w:cs="Times New Roman"/>
          <w:sz w:val="24"/>
          <w:szCs w:val="24"/>
          <w:lang w:eastAsia="bg-BG"/>
        </w:rPr>
        <w:t xml:space="preserve">329 училища, от които 129 начални, 1110 основни, 70 обединени, 114 гимназии, 505 средни, 21 училища по изкуствата, 25 спортни и 355 професионални гимназии. В сравнение с предходната година общият брой на училищата намалява с 12. </w:t>
      </w:r>
    </w:p>
    <w:p w14:paraId="31162F53" w14:textId="77777777" w:rsidR="007D77A2" w:rsidRPr="00AA5833" w:rsidRDefault="007D77A2" w:rsidP="007D77A2">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Броят на учениците, записани във всички видове училища, е 713.5 хил., от които 15.3 хил. са записани в частни училища. Средно на една паралелка в държавните училища се падат по 21 ученици, а в частните </w:t>
      </w:r>
      <w:r w:rsidR="004D5AD8"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 xml:space="preserve">по 14. </w:t>
      </w:r>
    </w:p>
    <w:p w14:paraId="3B22519A" w14:textId="77777777" w:rsidR="007D77A2" w:rsidRPr="00AA5833" w:rsidRDefault="007D77A2" w:rsidP="007D77A2">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 професионални програми са записани 169.4 хил. ученици, като сред тях преобладават момчетата </w:t>
      </w:r>
      <w:r w:rsidR="004D5AD8"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 xml:space="preserve">58.4% от общия брой. </w:t>
      </w:r>
    </w:p>
    <w:p w14:paraId="2EA1619B" w14:textId="77777777" w:rsidR="007D77A2" w:rsidRPr="00AA5833" w:rsidRDefault="007D77A2" w:rsidP="007D77A2">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Обхватът на училищното образование, изчислен чрез груповия нетен коефициент на записване</w:t>
      </w:r>
      <w:r w:rsidRPr="00AA5833">
        <w:rPr>
          <w:rStyle w:val="FootnoteReference"/>
          <w:rFonts w:ascii="Times New Roman" w:eastAsia="Times New Roman" w:hAnsi="Times New Roman" w:cs="Times New Roman"/>
          <w:sz w:val="24"/>
          <w:szCs w:val="24"/>
          <w:lang w:eastAsia="bg-BG"/>
        </w:rPr>
        <w:footnoteReference w:id="24"/>
      </w:r>
      <w:r w:rsidRPr="00AA5833">
        <w:rPr>
          <w:rFonts w:ascii="Times New Roman" w:eastAsia="Times New Roman" w:hAnsi="Times New Roman" w:cs="Times New Roman"/>
          <w:sz w:val="24"/>
          <w:szCs w:val="24"/>
          <w:lang w:eastAsia="bg-BG"/>
        </w:rPr>
        <w:t xml:space="preserve"> за учебната 2024/2025 година, е: </w:t>
      </w:r>
    </w:p>
    <w:p w14:paraId="002A36ED" w14:textId="77777777" w:rsidR="007D77A2" w:rsidRPr="00AA5833" w:rsidRDefault="007D77A2" w:rsidP="002A598C">
      <w:pPr>
        <w:pStyle w:val="ListParagraph"/>
        <w:numPr>
          <w:ilvl w:val="0"/>
          <w:numId w:val="23"/>
        </w:numPr>
        <w:jc w:val="both"/>
      </w:pPr>
      <w:r w:rsidRPr="00AA5833">
        <w:t xml:space="preserve">92.7% за началния етап на образование, </w:t>
      </w:r>
    </w:p>
    <w:p w14:paraId="6E89DDBD" w14:textId="77777777" w:rsidR="007D77A2" w:rsidRPr="00AA5833" w:rsidRDefault="007D77A2" w:rsidP="002A598C">
      <w:pPr>
        <w:pStyle w:val="ListParagraph"/>
        <w:numPr>
          <w:ilvl w:val="0"/>
          <w:numId w:val="23"/>
        </w:numPr>
        <w:jc w:val="both"/>
      </w:pPr>
      <w:r w:rsidRPr="00AA5833">
        <w:t xml:space="preserve">89.6% за прогимназиалния етап и </w:t>
      </w:r>
    </w:p>
    <w:p w14:paraId="3A0C8BFB" w14:textId="77777777" w:rsidR="007D77A2" w:rsidRPr="00AA5833" w:rsidRDefault="007D77A2" w:rsidP="002A598C">
      <w:pPr>
        <w:pStyle w:val="ListParagraph"/>
        <w:numPr>
          <w:ilvl w:val="0"/>
          <w:numId w:val="23"/>
        </w:numPr>
        <w:jc w:val="both"/>
      </w:pPr>
      <w:r w:rsidRPr="00AA5833">
        <w:t xml:space="preserve">84.7% за гимназиалния етап. </w:t>
      </w:r>
    </w:p>
    <w:p w14:paraId="0E62E8D7" w14:textId="77777777" w:rsidR="006856A7" w:rsidRPr="00AA5833" w:rsidRDefault="007D77A2" w:rsidP="007D77A2">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Коефициентът за гимназиалния етап възлиза на 85.8% за момчетата и 83.5% за момичетата, като по области варира от 93.1% в София (столица) до 57.2% в Сливен.</w:t>
      </w:r>
    </w:p>
    <w:p w14:paraId="038B2C9E" w14:textId="77777777" w:rsidR="007D77A2" w:rsidRPr="00AA5833" w:rsidRDefault="007D77A2" w:rsidP="007D77A2">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Основно образование през 2024 г. са завършили 59.8 хил. ученици, а средно </w:t>
      </w:r>
      <w:r w:rsidR="002863D5" w:rsidRPr="00AA5833">
        <w:rPr>
          <w:rFonts w:ascii="Times New Roman" w:eastAsia="Times New Roman" w:hAnsi="Times New Roman" w:cs="Times New Roman"/>
          <w:color w:val="000000"/>
          <w:sz w:val="24"/>
          <w:szCs w:val="24"/>
          <w:lang w:eastAsia="bg-BG"/>
        </w:rPr>
        <w:t xml:space="preserve">– </w:t>
      </w:r>
      <w:r w:rsidRPr="00AA5833">
        <w:rPr>
          <w:rFonts w:ascii="Times New Roman" w:eastAsia="Times New Roman" w:hAnsi="Times New Roman" w:cs="Times New Roman"/>
          <w:color w:val="000000"/>
          <w:sz w:val="24"/>
          <w:szCs w:val="24"/>
          <w:lang w:eastAsia="bg-BG"/>
        </w:rPr>
        <w:t xml:space="preserve">43.4 хиляди. </w:t>
      </w:r>
    </w:p>
    <w:p w14:paraId="0D3B58D5" w14:textId="77777777" w:rsidR="007D77A2" w:rsidRPr="00AA5833" w:rsidRDefault="007D77A2" w:rsidP="007D77A2">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Степен на професионална квалификация е придобита, както следва: </w:t>
      </w:r>
    </w:p>
    <w:p w14:paraId="38CB9608" w14:textId="77777777" w:rsidR="007D77A2" w:rsidRPr="00AA5833" w:rsidRDefault="007D77A2" w:rsidP="002A598C">
      <w:pPr>
        <w:pStyle w:val="ListParagraph"/>
        <w:numPr>
          <w:ilvl w:val="0"/>
          <w:numId w:val="22"/>
        </w:numPr>
        <w:jc w:val="both"/>
      </w:pPr>
      <w:r w:rsidRPr="00AA5833">
        <w:t xml:space="preserve">първа степен </w:t>
      </w:r>
      <w:r w:rsidR="004D5AD8" w:rsidRPr="00AA5833">
        <w:t xml:space="preserve">– </w:t>
      </w:r>
      <w:r w:rsidRPr="00AA5833">
        <w:t xml:space="preserve">481 ученици; </w:t>
      </w:r>
    </w:p>
    <w:p w14:paraId="754782A6" w14:textId="77777777" w:rsidR="007D77A2" w:rsidRPr="00AA5833" w:rsidRDefault="007D77A2" w:rsidP="002A598C">
      <w:pPr>
        <w:pStyle w:val="ListParagraph"/>
        <w:numPr>
          <w:ilvl w:val="0"/>
          <w:numId w:val="22"/>
        </w:numPr>
        <w:jc w:val="both"/>
      </w:pPr>
      <w:r w:rsidRPr="00AA5833">
        <w:t xml:space="preserve">втора и трета степен </w:t>
      </w:r>
      <w:r w:rsidR="004D5AD8" w:rsidRPr="00AA5833">
        <w:t xml:space="preserve">– </w:t>
      </w:r>
      <w:r w:rsidRPr="00AA5833">
        <w:t xml:space="preserve">съответно 2.5 хил. и 18.7 хил. ученици. </w:t>
      </w:r>
    </w:p>
    <w:p w14:paraId="536C2106" w14:textId="77777777" w:rsidR="007D77A2" w:rsidRPr="00AA5833" w:rsidRDefault="007D77A2" w:rsidP="007D77A2">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При завършилите програми за придобиване на трета степен професионална квалификация най-висок е относителният дял на учениците, изучавали специалности в област</w:t>
      </w:r>
      <w:r w:rsidR="004D5AD8" w:rsidRPr="00AA5833">
        <w:rPr>
          <w:rStyle w:val="FootnoteReference"/>
          <w:rFonts w:ascii="Times New Roman" w:eastAsia="Times New Roman" w:hAnsi="Times New Roman" w:cs="Times New Roman"/>
          <w:color w:val="000000"/>
          <w:sz w:val="24"/>
          <w:szCs w:val="24"/>
          <w:lang w:eastAsia="bg-BG"/>
        </w:rPr>
        <w:footnoteReference w:id="25"/>
      </w:r>
      <w:r w:rsidRPr="00AA5833">
        <w:rPr>
          <w:rFonts w:ascii="Times New Roman" w:eastAsia="Times New Roman" w:hAnsi="Times New Roman" w:cs="Times New Roman"/>
          <w:color w:val="000000"/>
          <w:sz w:val="24"/>
          <w:szCs w:val="24"/>
          <w:lang w:eastAsia="bg-BG"/>
        </w:rPr>
        <w:t xml:space="preserve">: </w:t>
      </w:r>
    </w:p>
    <w:p w14:paraId="763BD3CB" w14:textId="77777777" w:rsidR="007D77A2" w:rsidRPr="00AA5833" w:rsidRDefault="007D77A2" w:rsidP="002A598C">
      <w:pPr>
        <w:pStyle w:val="ListParagraph"/>
        <w:numPr>
          <w:ilvl w:val="0"/>
          <w:numId w:val="22"/>
        </w:numPr>
        <w:jc w:val="both"/>
      </w:pPr>
      <w:r w:rsidRPr="00AA5833">
        <w:t>„Техника“ (24.1%);</w:t>
      </w:r>
    </w:p>
    <w:p w14:paraId="7039132C" w14:textId="77777777" w:rsidR="007D77A2" w:rsidRPr="00AA5833" w:rsidRDefault="007D77A2" w:rsidP="002A598C">
      <w:pPr>
        <w:pStyle w:val="ListParagraph"/>
        <w:numPr>
          <w:ilvl w:val="0"/>
          <w:numId w:val="22"/>
        </w:numPr>
        <w:jc w:val="both"/>
      </w:pPr>
      <w:r w:rsidRPr="00AA5833">
        <w:t xml:space="preserve">„Информатика“ и „Услуги за личността“ (и двете с по 16.8%); </w:t>
      </w:r>
    </w:p>
    <w:p w14:paraId="58A165B6" w14:textId="77777777" w:rsidR="007D77A2" w:rsidRPr="00AA5833" w:rsidRDefault="007D77A2" w:rsidP="002A598C">
      <w:pPr>
        <w:pStyle w:val="ListParagraph"/>
        <w:numPr>
          <w:ilvl w:val="0"/>
          <w:numId w:val="22"/>
        </w:numPr>
        <w:jc w:val="both"/>
      </w:pPr>
      <w:r w:rsidRPr="00AA5833">
        <w:t xml:space="preserve">„Стопанско управление и администрация“ (13.2%); </w:t>
      </w:r>
    </w:p>
    <w:p w14:paraId="42C7D228" w14:textId="77777777" w:rsidR="007D77A2" w:rsidRPr="00AA5833" w:rsidRDefault="007D77A2" w:rsidP="002A598C">
      <w:pPr>
        <w:pStyle w:val="ListParagraph"/>
        <w:numPr>
          <w:ilvl w:val="0"/>
          <w:numId w:val="22"/>
        </w:numPr>
        <w:jc w:val="both"/>
        <w:rPr>
          <w:b/>
        </w:rPr>
      </w:pPr>
      <w:r w:rsidRPr="00AA5833">
        <w:t xml:space="preserve">„Изкуства“ (11.0%). </w:t>
      </w:r>
    </w:p>
    <w:p w14:paraId="06D6169C" w14:textId="77777777" w:rsidR="007D77A2" w:rsidRPr="00AA5833" w:rsidRDefault="007D77A2" w:rsidP="007D77A2">
      <w:pPr>
        <w:ind w:firstLine="709"/>
        <w:jc w:val="both"/>
        <w:rPr>
          <w:rFonts w:ascii="Times New Roman" w:hAnsi="Times New Roman" w:cs="Times New Roman"/>
          <w:sz w:val="24"/>
          <w:szCs w:val="24"/>
        </w:rPr>
      </w:pPr>
      <w:r w:rsidRPr="00AA5833">
        <w:rPr>
          <w:rFonts w:ascii="Times New Roman" w:hAnsi="Times New Roman" w:cs="Times New Roman"/>
          <w:sz w:val="24"/>
          <w:szCs w:val="24"/>
        </w:rPr>
        <w:lastRenderedPageBreak/>
        <w:t xml:space="preserve">През учебната 2024/2025 година учителите (вкл. директори и заместник-директори с преподавателска заетост) във всички видове училища са 69.2 хил., от които 69.6% са със завършена образователно-квалификационна степен „магистър“. В учителската професия преобладават жените </w:t>
      </w:r>
      <w:r w:rsidR="004D5AD8" w:rsidRPr="00AA5833">
        <w:rPr>
          <w:rFonts w:ascii="Times New Roman" w:hAnsi="Times New Roman" w:cs="Times New Roman"/>
          <w:sz w:val="24"/>
          <w:szCs w:val="24"/>
        </w:rPr>
        <w:t xml:space="preserve">– </w:t>
      </w:r>
      <w:r w:rsidRPr="00AA5833">
        <w:rPr>
          <w:rFonts w:ascii="Times New Roman" w:hAnsi="Times New Roman" w:cs="Times New Roman"/>
          <w:sz w:val="24"/>
          <w:szCs w:val="24"/>
        </w:rPr>
        <w:t>82.1% от общия брой, а една трета от всички учители са на възраст 55 или повече години.</w:t>
      </w:r>
    </w:p>
    <w:p w14:paraId="5E2E1C7C" w14:textId="77777777" w:rsidR="004D5AD8" w:rsidRPr="00AA5833" w:rsidRDefault="006856A7" w:rsidP="004D5AD8">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2.3.1.3. </w:t>
      </w:r>
      <w:r w:rsidR="004D5AD8" w:rsidRPr="00AA5833">
        <w:rPr>
          <w:rFonts w:ascii="Times New Roman" w:eastAsia="Times New Roman" w:hAnsi="Times New Roman" w:cs="Times New Roman"/>
          <w:b/>
          <w:color w:val="000000"/>
          <w:sz w:val="24"/>
          <w:szCs w:val="24"/>
          <w:lang w:eastAsia="bg-BG"/>
        </w:rPr>
        <w:t xml:space="preserve">Професионално обучение за възрастни </w:t>
      </w:r>
    </w:p>
    <w:p w14:paraId="2A07BBA2" w14:textId="77777777" w:rsidR="004D5AD8" w:rsidRPr="00AA5833" w:rsidRDefault="004D5AD8" w:rsidP="004D5AD8">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В програми за професионално обучение срещу заплащане за придобиване на степен на професионална квалификация в центрове за професионално обучение и професионални гимназии през 2024 г. са били записани 12.1 хил. лица на възраст 16 и повече години. По степени на професионална квалификация разпределението им е следното: първа степен – 3.7 хил., втора степен – 2.9 хил. и трета степен – 5.5 хил. души. </w:t>
      </w:r>
    </w:p>
    <w:p w14:paraId="05B5EFA0" w14:textId="77777777" w:rsidR="004D5AD8" w:rsidRPr="00AA5833" w:rsidRDefault="004D5AD8" w:rsidP="004D5AD8">
      <w:pPr>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color w:val="000000"/>
          <w:sz w:val="24"/>
          <w:szCs w:val="24"/>
          <w:lang w:eastAsia="bg-BG"/>
        </w:rPr>
        <w:t>За придобиване на IV-та степен професионална квалификация в професионалните колежи са се обучавали 787 курсисти, от които най-многобройни са били изучаващите специалности в областта „Обществена сигурност и безопасност“ (272 курсисти) и „Услуги за личността“ (251).</w:t>
      </w:r>
      <w:r w:rsidRPr="00AA5833">
        <w:rPr>
          <w:rFonts w:ascii="Times New Roman" w:eastAsia="Times New Roman" w:hAnsi="Times New Roman" w:cs="Times New Roman"/>
          <w:b/>
          <w:color w:val="000000"/>
          <w:sz w:val="24"/>
          <w:szCs w:val="24"/>
          <w:lang w:eastAsia="bg-BG"/>
        </w:rPr>
        <w:t xml:space="preserve"> </w:t>
      </w:r>
    </w:p>
    <w:p w14:paraId="2FB68253"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07B282A5" w14:textId="77777777" w:rsidR="006856A7" w:rsidRPr="00AA5833" w:rsidRDefault="006856A7" w:rsidP="006856A7">
      <w:pPr>
        <w:autoSpaceDE w:val="0"/>
        <w:autoSpaceDN w:val="0"/>
        <w:adjustRightInd w:val="0"/>
        <w:spacing w:after="0" w:line="240" w:lineRule="auto"/>
        <w:rPr>
          <w:rFonts w:ascii="Times New Roman" w:hAnsi="Times New Roman" w:cs="Times New Roman"/>
          <w:b/>
          <w:bCs/>
          <w:color w:val="000000"/>
          <w:sz w:val="23"/>
          <w:szCs w:val="23"/>
        </w:rPr>
      </w:pPr>
      <w:r w:rsidRPr="00AA5833">
        <w:rPr>
          <w:rFonts w:ascii="Times New Roman" w:eastAsia="Times New Roman" w:hAnsi="Times New Roman" w:cs="Times New Roman"/>
          <w:b/>
          <w:color w:val="000000"/>
          <w:sz w:val="24"/>
          <w:szCs w:val="24"/>
        </w:rPr>
        <w:t xml:space="preserve">2.3.1.4. </w:t>
      </w:r>
      <w:r w:rsidRPr="00AA5833">
        <w:rPr>
          <w:rFonts w:ascii="Times New Roman" w:hAnsi="Times New Roman" w:cs="Times New Roman"/>
          <w:b/>
          <w:bCs/>
          <w:color w:val="000000"/>
          <w:sz w:val="24"/>
          <w:szCs w:val="24"/>
        </w:rPr>
        <w:t>Висше образование</w:t>
      </w:r>
    </w:p>
    <w:p w14:paraId="664ABB45" w14:textId="77777777" w:rsidR="004D5AD8" w:rsidRPr="00AA5833" w:rsidRDefault="004D5AD8" w:rsidP="006856A7">
      <w:pPr>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учебната 2024/2025 година студентите в България, записани в четирите образователно-квалификационни степени „професионален бакалавър“, „бакалавър“, „магистър“ и „доктор“, са 208.5 хиляди. </w:t>
      </w:r>
    </w:p>
    <w:p w14:paraId="5BFF4345" w14:textId="77777777" w:rsidR="004D5AD8" w:rsidRPr="00AA5833" w:rsidRDefault="004D5AD8" w:rsidP="006856A7">
      <w:pPr>
        <w:spacing w:after="0" w:line="240" w:lineRule="auto"/>
        <w:ind w:firstLine="709"/>
        <w:jc w:val="both"/>
        <w:rPr>
          <w:rFonts w:ascii="Times New Roman" w:eastAsia="Times New Roman" w:hAnsi="Times New Roman" w:cs="Times New Roman"/>
          <w:b/>
          <w:sz w:val="24"/>
          <w:szCs w:val="24"/>
        </w:rPr>
      </w:pPr>
    </w:p>
    <w:p w14:paraId="6AC49BE9" w14:textId="77777777" w:rsidR="004D5AD8" w:rsidRPr="00AA5833" w:rsidRDefault="004D5AD8" w:rsidP="006856A7">
      <w:pPr>
        <w:spacing w:after="0" w:line="240" w:lineRule="auto"/>
        <w:ind w:firstLine="709"/>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 xml:space="preserve">Колежи (образователно-квалификационна степен „професионален бакалавър“) </w:t>
      </w:r>
    </w:p>
    <w:p w14:paraId="139E1E6D" w14:textId="77777777" w:rsidR="006856A7" w:rsidRPr="00AA5833" w:rsidRDefault="004D5AD8" w:rsidP="006856A7">
      <w:pPr>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През учебната 2024/2025 година за придобиване на образователно-квалификационна степен (ОКС) „професионален бакалавър“ в колежите се обучават 6 422 студенти, от които 89.2% са български граждани. От общия брой студенти в тази ОКС 1 130 души, или 17.6%, са записани в частни колежи.</w:t>
      </w:r>
    </w:p>
    <w:p w14:paraId="3401FAEA" w14:textId="77777777" w:rsidR="004D5AD8" w:rsidRPr="00AA5833" w:rsidRDefault="004D5AD8"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През 2024 г. ОКС „професионален бакалавър“ са придобили 1601 студенти, от които 66.2% са жени. Най-голям е броят на дипломираните по специалности в следните области на образование</w:t>
      </w:r>
      <w:r w:rsidRPr="00AA5833">
        <w:rPr>
          <w:rStyle w:val="FootnoteReference"/>
          <w:rFonts w:ascii="Times New Roman" w:eastAsia="Times New Roman" w:hAnsi="Times New Roman" w:cs="Times New Roman"/>
          <w:bCs/>
          <w:iCs/>
          <w:sz w:val="24"/>
          <w:szCs w:val="24"/>
        </w:rPr>
        <w:footnoteReference w:id="26"/>
      </w:r>
      <w:r w:rsidRPr="00AA5833">
        <w:rPr>
          <w:rFonts w:ascii="Times New Roman" w:eastAsia="Times New Roman" w:hAnsi="Times New Roman" w:cs="Times New Roman"/>
          <w:bCs/>
          <w:iCs/>
          <w:sz w:val="24"/>
          <w:szCs w:val="24"/>
        </w:rPr>
        <w:t>:</w:t>
      </w:r>
    </w:p>
    <w:p w14:paraId="4B03A924" w14:textId="77777777" w:rsidR="004D5AD8" w:rsidRPr="00AA5833" w:rsidRDefault="004D5AD8" w:rsidP="002A598C">
      <w:pPr>
        <w:pStyle w:val="ListParagraph"/>
        <w:numPr>
          <w:ilvl w:val="0"/>
          <w:numId w:val="24"/>
        </w:numPr>
        <w:jc w:val="both"/>
        <w:rPr>
          <w:bCs/>
          <w:iCs/>
        </w:rPr>
      </w:pPr>
      <w:r w:rsidRPr="00AA5833">
        <w:rPr>
          <w:bCs/>
          <w:iCs/>
        </w:rPr>
        <w:t xml:space="preserve">„Здравеопазване“ – 832 души (52.0%); </w:t>
      </w:r>
    </w:p>
    <w:p w14:paraId="667CA484" w14:textId="77777777" w:rsidR="004D5AD8" w:rsidRPr="00AA5833" w:rsidRDefault="004D5AD8" w:rsidP="002A598C">
      <w:pPr>
        <w:pStyle w:val="ListParagraph"/>
        <w:numPr>
          <w:ilvl w:val="0"/>
          <w:numId w:val="24"/>
        </w:numPr>
        <w:jc w:val="both"/>
        <w:rPr>
          <w:bCs/>
          <w:iCs/>
        </w:rPr>
      </w:pPr>
      <w:r w:rsidRPr="00AA5833">
        <w:rPr>
          <w:bCs/>
          <w:iCs/>
        </w:rPr>
        <w:t xml:space="preserve">„Технически науки и технически професии“ – 229 души (14.3%); </w:t>
      </w:r>
    </w:p>
    <w:p w14:paraId="56C03F02" w14:textId="77777777" w:rsidR="004D5AD8" w:rsidRPr="00AA5833" w:rsidRDefault="004D5AD8" w:rsidP="002A598C">
      <w:pPr>
        <w:pStyle w:val="ListParagraph"/>
        <w:numPr>
          <w:ilvl w:val="0"/>
          <w:numId w:val="24"/>
        </w:numPr>
        <w:jc w:val="both"/>
        <w:rPr>
          <w:bCs/>
          <w:iCs/>
        </w:rPr>
      </w:pPr>
      <w:r w:rsidRPr="00AA5833">
        <w:rPr>
          <w:bCs/>
          <w:iCs/>
        </w:rPr>
        <w:t xml:space="preserve">„Бизнес и администрация“ – 174 души (10.9%); </w:t>
      </w:r>
    </w:p>
    <w:p w14:paraId="283E0E83" w14:textId="77777777" w:rsidR="004D5AD8" w:rsidRPr="00AA5833" w:rsidRDefault="004D5AD8" w:rsidP="002A598C">
      <w:pPr>
        <w:pStyle w:val="ListParagraph"/>
        <w:numPr>
          <w:ilvl w:val="0"/>
          <w:numId w:val="24"/>
        </w:numPr>
        <w:jc w:val="both"/>
        <w:rPr>
          <w:bCs/>
          <w:iCs/>
        </w:rPr>
      </w:pPr>
      <w:r w:rsidRPr="00AA5833">
        <w:rPr>
          <w:bCs/>
          <w:iCs/>
        </w:rPr>
        <w:t xml:space="preserve">„Персонални услуги“ – 117 души (7.3%); </w:t>
      </w:r>
    </w:p>
    <w:p w14:paraId="6FBF88CF" w14:textId="77777777" w:rsidR="004D5AD8" w:rsidRPr="00AA5833" w:rsidRDefault="004D5AD8" w:rsidP="002A598C">
      <w:pPr>
        <w:pStyle w:val="ListParagraph"/>
        <w:numPr>
          <w:ilvl w:val="0"/>
          <w:numId w:val="24"/>
        </w:numPr>
        <w:jc w:val="both"/>
        <w:rPr>
          <w:bCs/>
          <w:iCs/>
        </w:rPr>
      </w:pPr>
      <w:r w:rsidRPr="00AA5833">
        <w:rPr>
          <w:bCs/>
          <w:iCs/>
        </w:rPr>
        <w:t>„Образование“ – 108 души (6.7%).</w:t>
      </w:r>
    </w:p>
    <w:p w14:paraId="21F06982" w14:textId="77777777" w:rsidR="004D5AD8" w:rsidRPr="00AA5833" w:rsidRDefault="004D5AD8" w:rsidP="006856A7">
      <w:pPr>
        <w:spacing w:after="0" w:line="240" w:lineRule="auto"/>
        <w:ind w:firstLine="709"/>
        <w:jc w:val="both"/>
        <w:rPr>
          <w:rFonts w:ascii="Times New Roman" w:eastAsia="Times New Roman" w:hAnsi="Times New Roman" w:cs="Times New Roman"/>
          <w:b/>
          <w:bCs/>
          <w:iCs/>
          <w:sz w:val="24"/>
          <w:szCs w:val="24"/>
        </w:rPr>
      </w:pPr>
    </w:p>
    <w:p w14:paraId="1F0C60E4" w14:textId="77777777" w:rsidR="006856A7" w:rsidRPr="00AA5833" w:rsidRDefault="006856A7" w:rsidP="006856A7">
      <w:pPr>
        <w:spacing w:after="0" w:line="240" w:lineRule="auto"/>
        <w:ind w:firstLine="709"/>
        <w:jc w:val="both"/>
        <w:rPr>
          <w:rFonts w:ascii="Times New Roman" w:eastAsia="Times New Roman" w:hAnsi="Times New Roman" w:cs="Times New Roman"/>
          <w:b/>
          <w:bCs/>
          <w:iCs/>
          <w:sz w:val="24"/>
          <w:szCs w:val="24"/>
        </w:rPr>
      </w:pPr>
      <w:r w:rsidRPr="00AA5833">
        <w:rPr>
          <w:rFonts w:ascii="Times New Roman" w:eastAsia="Times New Roman" w:hAnsi="Times New Roman" w:cs="Times New Roman"/>
          <w:b/>
          <w:bCs/>
          <w:iCs/>
          <w:sz w:val="24"/>
          <w:szCs w:val="24"/>
        </w:rPr>
        <w:t>Университети и специализирани висши училища (образователно-квалификационни степени „бакалавър“ и „магистър“)</w:t>
      </w:r>
    </w:p>
    <w:p w14:paraId="38EDDB4D" w14:textId="77777777" w:rsidR="004D5AD8" w:rsidRPr="00AA5833" w:rsidRDefault="004D5AD8"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 xml:space="preserve">През учебната 2024/2025 година за придобиване на ОКС „бакалавър“ и „магистър“ в университетите и специализираните висши училища се обучават 197.1 хил. студенти, от които в частни учебни институции са записани 21.9 хил., или 11.1%. </w:t>
      </w:r>
    </w:p>
    <w:p w14:paraId="1802F5F6" w14:textId="77777777" w:rsidR="004D5AD8" w:rsidRPr="00AA5833" w:rsidRDefault="004D5AD8"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Български граждани са 180.9 хил., или 91.8% от всички студенти в университети и специализирани висши училища, а чужди граждани – 16.2 хиляди.</w:t>
      </w:r>
    </w:p>
    <w:p w14:paraId="44A2A1CD" w14:textId="77777777" w:rsidR="003D70D4" w:rsidRPr="00AA5833" w:rsidRDefault="004D5AD8"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 xml:space="preserve">Най-голям е броят на чуждестранните студенти от Гърция </w:t>
      </w:r>
      <w:r w:rsidR="003D70D4" w:rsidRPr="00AA5833">
        <w:rPr>
          <w:rFonts w:ascii="Times New Roman" w:eastAsia="Times New Roman" w:hAnsi="Times New Roman" w:cs="Times New Roman"/>
          <w:bCs/>
          <w:iCs/>
          <w:sz w:val="24"/>
          <w:szCs w:val="24"/>
        </w:rPr>
        <w:t xml:space="preserve">– </w:t>
      </w:r>
      <w:r w:rsidRPr="00AA5833">
        <w:rPr>
          <w:rFonts w:ascii="Times New Roman" w:eastAsia="Times New Roman" w:hAnsi="Times New Roman" w:cs="Times New Roman"/>
          <w:bCs/>
          <w:iCs/>
          <w:sz w:val="24"/>
          <w:szCs w:val="24"/>
        </w:rPr>
        <w:t xml:space="preserve">20.0%, следват тези от Обединеното кралство </w:t>
      </w:r>
      <w:r w:rsidR="003D70D4" w:rsidRPr="00AA5833">
        <w:rPr>
          <w:rFonts w:ascii="Times New Roman" w:eastAsia="Times New Roman" w:hAnsi="Times New Roman" w:cs="Times New Roman"/>
          <w:bCs/>
          <w:iCs/>
          <w:sz w:val="24"/>
          <w:szCs w:val="24"/>
        </w:rPr>
        <w:t xml:space="preserve">– </w:t>
      </w:r>
      <w:r w:rsidRPr="00AA5833">
        <w:rPr>
          <w:rFonts w:ascii="Times New Roman" w:eastAsia="Times New Roman" w:hAnsi="Times New Roman" w:cs="Times New Roman"/>
          <w:bCs/>
          <w:iCs/>
          <w:sz w:val="24"/>
          <w:szCs w:val="24"/>
        </w:rPr>
        <w:t xml:space="preserve">13.7%, Украйна </w:t>
      </w:r>
      <w:r w:rsidR="003D70D4" w:rsidRPr="00AA5833">
        <w:rPr>
          <w:rFonts w:ascii="Times New Roman" w:eastAsia="Times New Roman" w:hAnsi="Times New Roman" w:cs="Times New Roman"/>
          <w:bCs/>
          <w:iCs/>
          <w:sz w:val="24"/>
          <w:szCs w:val="24"/>
        </w:rPr>
        <w:t xml:space="preserve">– </w:t>
      </w:r>
      <w:r w:rsidRPr="00AA5833">
        <w:rPr>
          <w:rFonts w:ascii="Times New Roman" w:eastAsia="Times New Roman" w:hAnsi="Times New Roman" w:cs="Times New Roman"/>
          <w:bCs/>
          <w:iCs/>
          <w:sz w:val="24"/>
          <w:szCs w:val="24"/>
        </w:rPr>
        <w:t xml:space="preserve">10.7%, Германия </w:t>
      </w:r>
      <w:r w:rsidR="003D70D4" w:rsidRPr="00AA5833">
        <w:rPr>
          <w:rFonts w:ascii="Times New Roman" w:eastAsia="Times New Roman" w:hAnsi="Times New Roman" w:cs="Times New Roman"/>
          <w:bCs/>
          <w:iCs/>
          <w:sz w:val="24"/>
          <w:szCs w:val="24"/>
        </w:rPr>
        <w:t xml:space="preserve">– </w:t>
      </w:r>
      <w:r w:rsidRPr="00AA5833">
        <w:rPr>
          <w:rFonts w:ascii="Times New Roman" w:eastAsia="Times New Roman" w:hAnsi="Times New Roman" w:cs="Times New Roman"/>
          <w:bCs/>
          <w:iCs/>
          <w:sz w:val="24"/>
          <w:szCs w:val="24"/>
        </w:rPr>
        <w:t xml:space="preserve">9.5% и Италия </w:t>
      </w:r>
      <w:r w:rsidR="003D70D4" w:rsidRPr="00AA5833">
        <w:rPr>
          <w:rFonts w:ascii="Times New Roman" w:eastAsia="Times New Roman" w:hAnsi="Times New Roman" w:cs="Times New Roman"/>
          <w:bCs/>
          <w:iCs/>
          <w:sz w:val="24"/>
          <w:szCs w:val="24"/>
        </w:rPr>
        <w:t xml:space="preserve">– </w:t>
      </w:r>
      <w:r w:rsidRPr="00AA5833">
        <w:rPr>
          <w:rFonts w:ascii="Times New Roman" w:eastAsia="Times New Roman" w:hAnsi="Times New Roman" w:cs="Times New Roman"/>
          <w:bCs/>
          <w:iCs/>
          <w:sz w:val="24"/>
          <w:szCs w:val="24"/>
        </w:rPr>
        <w:t>6.3%, от общия брой чуждестранни студенти. Студентите чужди граждани у нас избират да</w:t>
      </w:r>
      <w:r w:rsidR="003D70D4" w:rsidRPr="00AA5833">
        <w:rPr>
          <w:rFonts w:ascii="Times New Roman" w:eastAsia="Times New Roman" w:hAnsi="Times New Roman" w:cs="Times New Roman"/>
          <w:bCs/>
          <w:iCs/>
          <w:sz w:val="24"/>
          <w:szCs w:val="24"/>
        </w:rPr>
        <w:t xml:space="preserve"> учат специалности предимно в областта на здравеопазването, като 61.5% от тях се </w:t>
      </w:r>
      <w:r w:rsidR="003D70D4" w:rsidRPr="00AA5833">
        <w:rPr>
          <w:rFonts w:ascii="Times New Roman" w:eastAsia="Times New Roman" w:hAnsi="Times New Roman" w:cs="Times New Roman"/>
          <w:bCs/>
          <w:iCs/>
          <w:sz w:val="24"/>
          <w:szCs w:val="24"/>
        </w:rPr>
        <w:lastRenderedPageBreak/>
        <w:t xml:space="preserve">обучават в тази област, а 45.8% от всички чуждестранни студенти изучават специалност „Медицина“.  </w:t>
      </w:r>
    </w:p>
    <w:p w14:paraId="2E262198" w14:textId="77777777" w:rsidR="003D70D4" w:rsidRPr="00AA5833" w:rsidRDefault="003D70D4"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 xml:space="preserve">През 2024 г. в университетите и специализираните висши училища в страната са се дипломирали 46.2 хил. души, от които придобилите ОКС „бакалавър“ са 23.0 хил., а ОКС „магистър“ – 23.2 хиляди. </w:t>
      </w:r>
    </w:p>
    <w:p w14:paraId="07E3A22F" w14:textId="77777777" w:rsidR="004D5AD8" w:rsidRPr="00AA5833" w:rsidRDefault="003D70D4" w:rsidP="006856A7">
      <w:pPr>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Броят на дипломираните е най-висок в областите на образование „Бизнес и администрация“ (22.9%), „Образование“ (16.8%), „Здравеопазване“ (10.2%), „Технически науки и технически професии“ и „Науки за обществото и човешкото поведение“ (по 8.3%).</w:t>
      </w:r>
    </w:p>
    <w:p w14:paraId="42D19002" w14:textId="77777777" w:rsidR="004D5AD8" w:rsidRPr="00AA5833" w:rsidRDefault="004D5AD8" w:rsidP="006856A7">
      <w:pPr>
        <w:spacing w:after="0" w:line="240" w:lineRule="auto"/>
        <w:ind w:firstLine="709"/>
        <w:jc w:val="both"/>
        <w:rPr>
          <w:rFonts w:ascii="Times New Roman" w:eastAsia="Times New Roman" w:hAnsi="Times New Roman" w:cs="Times New Roman"/>
          <w:sz w:val="24"/>
          <w:szCs w:val="24"/>
        </w:rPr>
      </w:pPr>
    </w:p>
    <w:p w14:paraId="7C8E79A2" w14:textId="77777777" w:rsidR="006856A7" w:rsidRPr="00AA5833" w:rsidRDefault="006856A7" w:rsidP="006856A7">
      <w:pPr>
        <w:spacing w:after="0" w:line="240" w:lineRule="auto"/>
        <w:ind w:firstLine="709"/>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Образователна и научна степен „доктор“</w:t>
      </w:r>
    </w:p>
    <w:p w14:paraId="00DD450D" w14:textId="77777777" w:rsidR="003D70D4" w:rsidRPr="00AA5833" w:rsidRDefault="003D70D4" w:rsidP="006856A7">
      <w:pPr>
        <w:spacing w:after="0" w:line="240" w:lineRule="auto"/>
        <w:ind w:firstLine="709"/>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color w:val="000000"/>
          <w:sz w:val="24"/>
          <w:szCs w:val="24"/>
        </w:rPr>
        <w:t xml:space="preserve">Към 31.12.2024 г. у нас се обучават общо 5 029 докторанти (фиг. 5), като от тях 52.0% са жени. В редовна форма на обучение са зачислени 3 063 души, или 60.9% от докторантите. Най-голям дял от докторантите се обучават в област София (столица) </w:t>
      </w:r>
      <w:r w:rsidRPr="00AA5833">
        <w:rPr>
          <w:rFonts w:ascii="Times New Roman" w:eastAsia="Times New Roman" w:hAnsi="Times New Roman" w:cs="Times New Roman"/>
          <w:bCs/>
          <w:iCs/>
          <w:color w:val="000000"/>
          <w:sz w:val="24"/>
          <w:szCs w:val="24"/>
        </w:rPr>
        <w:t xml:space="preserve">– </w:t>
      </w:r>
      <w:r w:rsidRPr="00AA5833">
        <w:rPr>
          <w:rFonts w:ascii="Times New Roman" w:eastAsia="Times New Roman" w:hAnsi="Times New Roman" w:cs="Times New Roman"/>
          <w:color w:val="000000"/>
          <w:sz w:val="24"/>
          <w:szCs w:val="24"/>
        </w:rPr>
        <w:t>57.0%, следвана от областите Пловдив (11.3%), Варна (9.2%) и Велико Търново (7.1%).</w:t>
      </w:r>
    </w:p>
    <w:p w14:paraId="43AEA750" w14:textId="77777777" w:rsidR="003D70D4" w:rsidRPr="00AA5833" w:rsidRDefault="003D70D4" w:rsidP="006856A7">
      <w:pPr>
        <w:spacing w:after="0" w:line="240" w:lineRule="auto"/>
        <w:ind w:firstLine="709"/>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color w:val="000000"/>
          <w:sz w:val="24"/>
          <w:szCs w:val="24"/>
        </w:rPr>
        <w:t xml:space="preserve">Чуждестранните докторанти са 574, или 11.4% от общия брой. Най-висок е делът на тези от Китай </w:t>
      </w:r>
      <w:r w:rsidRPr="00AA5833">
        <w:rPr>
          <w:rFonts w:ascii="Times New Roman" w:eastAsia="Times New Roman" w:hAnsi="Times New Roman" w:cs="Times New Roman"/>
          <w:bCs/>
          <w:iCs/>
          <w:color w:val="000000"/>
          <w:sz w:val="24"/>
          <w:szCs w:val="24"/>
        </w:rPr>
        <w:t xml:space="preserve">– </w:t>
      </w:r>
      <w:r w:rsidRPr="00AA5833">
        <w:rPr>
          <w:rFonts w:ascii="Times New Roman" w:eastAsia="Times New Roman" w:hAnsi="Times New Roman" w:cs="Times New Roman"/>
          <w:color w:val="000000"/>
          <w:sz w:val="24"/>
          <w:szCs w:val="24"/>
        </w:rPr>
        <w:t>34.1%, следвани от докторантите от Гърция (14.3%), Израел (7.3%) и Република Северна Македония (6.1%). В частни институции се обучават 3.7% от докторантите, като 84 души от тях, или 14.6%, са чужди граждани.</w:t>
      </w:r>
    </w:p>
    <w:p w14:paraId="1E558C9F" w14:textId="77777777" w:rsidR="003D70D4" w:rsidRPr="00AA5833" w:rsidRDefault="003D70D4" w:rsidP="006856A7">
      <w:pPr>
        <w:spacing w:after="0" w:line="240" w:lineRule="auto"/>
        <w:ind w:firstLine="709"/>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color w:val="000000"/>
          <w:sz w:val="24"/>
          <w:szCs w:val="24"/>
        </w:rPr>
        <w:t xml:space="preserve">През 2024 г. образователна и научна степен „доктор“ са придобили 1 159 души, от които 640, или 55.2%, са жени. Най-голям е делът на дипломираните в следните области на образование: </w:t>
      </w:r>
    </w:p>
    <w:p w14:paraId="5300658F" w14:textId="77777777" w:rsidR="003D70D4" w:rsidRPr="00AA5833" w:rsidRDefault="003D70D4" w:rsidP="002A598C">
      <w:pPr>
        <w:pStyle w:val="ListParagraph"/>
        <w:numPr>
          <w:ilvl w:val="0"/>
          <w:numId w:val="24"/>
        </w:numPr>
        <w:jc w:val="both"/>
      </w:pPr>
      <w:r w:rsidRPr="00AA5833">
        <w:t xml:space="preserve">„Здравеопазване“ </w:t>
      </w:r>
      <w:r w:rsidRPr="00AA5833">
        <w:rPr>
          <w:bCs/>
          <w:iCs/>
        </w:rPr>
        <w:t xml:space="preserve">– </w:t>
      </w:r>
      <w:r w:rsidRPr="00AA5833">
        <w:t xml:space="preserve">166 души (14.3%); </w:t>
      </w:r>
    </w:p>
    <w:p w14:paraId="514508D2" w14:textId="77777777" w:rsidR="003D70D4" w:rsidRPr="00AA5833" w:rsidRDefault="003D70D4" w:rsidP="002A598C">
      <w:pPr>
        <w:pStyle w:val="ListParagraph"/>
        <w:numPr>
          <w:ilvl w:val="0"/>
          <w:numId w:val="24"/>
        </w:numPr>
        <w:jc w:val="both"/>
      </w:pPr>
      <w:r w:rsidRPr="00AA5833">
        <w:t xml:space="preserve">„Науки за обществото и човешкото поведение“ </w:t>
      </w:r>
      <w:r w:rsidRPr="00AA5833">
        <w:rPr>
          <w:bCs/>
          <w:iCs/>
        </w:rPr>
        <w:t xml:space="preserve">– </w:t>
      </w:r>
      <w:r w:rsidRPr="00AA5833">
        <w:t xml:space="preserve">162 души (14.0%); </w:t>
      </w:r>
    </w:p>
    <w:p w14:paraId="60705361" w14:textId="77777777" w:rsidR="003D70D4" w:rsidRPr="00AA5833" w:rsidRDefault="003D70D4" w:rsidP="002A598C">
      <w:pPr>
        <w:pStyle w:val="ListParagraph"/>
        <w:numPr>
          <w:ilvl w:val="0"/>
          <w:numId w:val="24"/>
        </w:numPr>
        <w:jc w:val="both"/>
      </w:pPr>
      <w:r w:rsidRPr="00AA5833">
        <w:t xml:space="preserve">„Бизнес и администрация“ </w:t>
      </w:r>
      <w:r w:rsidRPr="00AA5833">
        <w:rPr>
          <w:bCs/>
          <w:iCs/>
        </w:rPr>
        <w:t xml:space="preserve">– </w:t>
      </w:r>
      <w:r w:rsidRPr="00AA5833">
        <w:t>103 души (8.9%);</w:t>
      </w:r>
    </w:p>
    <w:p w14:paraId="503B8A14" w14:textId="77777777" w:rsidR="003D70D4" w:rsidRPr="00AA5833" w:rsidRDefault="003D70D4" w:rsidP="002A598C">
      <w:pPr>
        <w:pStyle w:val="ListParagraph"/>
        <w:numPr>
          <w:ilvl w:val="0"/>
          <w:numId w:val="24"/>
        </w:numPr>
        <w:jc w:val="both"/>
      </w:pPr>
      <w:r w:rsidRPr="00AA5833">
        <w:t xml:space="preserve">„Образование“ </w:t>
      </w:r>
      <w:r w:rsidRPr="00AA5833">
        <w:rPr>
          <w:bCs/>
          <w:iCs/>
        </w:rPr>
        <w:t xml:space="preserve">– </w:t>
      </w:r>
      <w:r w:rsidRPr="00AA5833">
        <w:t xml:space="preserve">101 души (8.7%); </w:t>
      </w:r>
    </w:p>
    <w:p w14:paraId="172CF2F1" w14:textId="77777777" w:rsidR="003D70D4" w:rsidRPr="00AA5833" w:rsidRDefault="003D70D4" w:rsidP="002A598C">
      <w:pPr>
        <w:pStyle w:val="ListParagraph"/>
        <w:numPr>
          <w:ilvl w:val="0"/>
          <w:numId w:val="24"/>
        </w:numPr>
        <w:jc w:val="both"/>
      </w:pPr>
      <w:r w:rsidRPr="00AA5833">
        <w:t xml:space="preserve">„Технически науки и технически професии“ </w:t>
      </w:r>
      <w:r w:rsidRPr="00AA5833">
        <w:rPr>
          <w:bCs/>
          <w:iCs/>
        </w:rPr>
        <w:t xml:space="preserve">– </w:t>
      </w:r>
      <w:r w:rsidRPr="00AA5833">
        <w:t xml:space="preserve">88 души (7.6%) </w:t>
      </w:r>
    </w:p>
    <w:p w14:paraId="3270BA94" w14:textId="77777777" w:rsidR="003D70D4" w:rsidRPr="00AA5833" w:rsidRDefault="003D70D4" w:rsidP="002A598C">
      <w:pPr>
        <w:pStyle w:val="ListParagraph"/>
        <w:numPr>
          <w:ilvl w:val="0"/>
          <w:numId w:val="24"/>
        </w:numPr>
        <w:jc w:val="both"/>
      </w:pPr>
      <w:r w:rsidRPr="00AA5833">
        <w:t xml:space="preserve">„Изкуства“ </w:t>
      </w:r>
      <w:r w:rsidRPr="00AA5833">
        <w:rPr>
          <w:bCs/>
          <w:iCs/>
        </w:rPr>
        <w:t xml:space="preserve">– </w:t>
      </w:r>
      <w:r w:rsidRPr="00AA5833">
        <w:t>81 души (7.0%).</w:t>
      </w:r>
    </w:p>
    <w:p w14:paraId="29B28DFE" w14:textId="77777777" w:rsidR="003D70D4" w:rsidRPr="00AA5833" w:rsidRDefault="003D70D4" w:rsidP="006856A7">
      <w:pPr>
        <w:spacing w:after="0" w:line="240" w:lineRule="auto"/>
        <w:jc w:val="both"/>
        <w:rPr>
          <w:rFonts w:eastAsia="Times New Roman" w:cs="Times New Roman"/>
          <w:b/>
          <w:caps/>
          <w:color w:val="000000"/>
          <w:sz w:val="24"/>
          <w:szCs w:val="24"/>
          <w:lang w:eastAsia="bg-BG"/>
        </w:rPr>
      </w:pPr>
    </w:p>
    <w:p w14:paraId="41FE1507" w14:textId="77777777" w:rsidR="00FB5817" w:rsidRPr="00AA5833" w:rsidRDefault="00FB5817" w:rsidP="00FB5817">
      <w:pPr>
        <w:spacing w:after="0" w:line="240" w:lineRule="auto"/>
        <w:jc w:val="both"/>
        <w:rPr>
          <w:rFonts w:ascii="Times New Roman Bold" w:eastAsia="Times New Roman" w:hAnsi="Times New Roman Bold" w:cs="Times New Roman"/>
          <w:b/>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2.4. здрав</w:t>
      </w:r>
      <w:r w:rsidRPr="00AA5833">
        <w:rPr>
          <w:rFonts w:ascii="Times New Roman" w:eastAsia="Times New Roman" w:hAnsi="Times New Roman" w:cs="Times New Roman"/>
          <w:b/>
          <w:caps/>
          <w:color w:val="000000"/>
          <w:sz w:val="24"/>
          <w:szCs w:val="24"/>
          <w:lang w:eastAsia="bg-BG"/>
        </w:rPr>
        <w:t>Е</w:t>
      </w:r>
      <w:r w:rsidRPr="00AA5833">
        <w:rPr>
          <w:rFonts w:ascii="Times New Roman Bold" w:eastAsia="Times New Roman" w:hAnsi="Times New Roman Bold" w:cs="Times New Roman"/>
          <w:b/>
          <w:caps/>
          <w:color w:val="000000"/>
          <w:sz w:val="24"/>
          <w:szCs w:val="24"/>
          <w:lang w:eastAsia="bg-BG"/>
        </w:rPr>
        <w:t>н статус</w:t>
      </w:r>
      <w:r w:rsidRPr="00AA5833">
        <w:rPr>
          <w:rFonts w:ascii="Times New Roman" w:eastAsia="Times New Roman" w:hAnsi="Times New Roman" w:cs="Times New Roman"/>
          <w:b/>
          <w:caps/>
          <w:color w:val="000000"/>
          <w:sz w:val="24"/>
          <w:szCs w:val="24"/>
          <w:lang w:eastAsia="bg-BG"/>
        </w:rPr>
        <w:t xml:space="preserve"> НА НАСЕЛЕНИЕТО</w:t>
      </w:r>
      <w:r w:rsidRPr="00AA5833">
        <w:rPr>
          <w:rFonts w:ascii="Times New Roman" w:eastAsia="Times New Roman" w:hAnsi="Times New Roman" w:cs="Times New Roman"/>
          <w:b/>
          <w:caps/>
          <w:color w:val="000000"/>
          <w:sz w:val="24"/>
          <w:szCs w:val="24"/>
          <w:vertAlign w:val="superscript"/>
          <w:lang w:eastAsia="bg-BG"/>
        </w:rPr>
        <w:footnoteReference w:id="27"/>
      </w:r>
      <w:r w:rsidRPr="00AA5833">
        <w:rPr>
          <w:rFonts w:ascii="Times New Roman" w:eastAsia="Times New Roman" w:hAnsi="Times New Roman" w:cs="Times New Roman"/>
          <w:b/>
          <w:caps/>
          <w:color w:val="000000"/>
          <w:sz w:val="24"/>
          <w:szCs w:val="24"/>
          <w:lang w:eastAsia="bg-BG"/>
        </w:rPr>
        <w:t xml:space="preserve"> </w:t>
      </w:r>
    </w:p>
    <w:p w14:paraId="4B797985" w14:textId="77777777" w:rsidR="00FB5817" w:rsidRPr="00AA5833" w:rsidRDefault="00FB5817" w:rsidP="00FB581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bg-BG"/>
        </w:rPr>
      </w:pPr>
    </w:p>
    <w:p w14:paraId="0E37C434" w14:textId="77777777" w:rsidR="00FB5817" w:rsidRPr="00AA5833" w:rsidRDefault="00FB5817" w:rsidP="00FB581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2.4.1. Здравен статус на населението и устойчиво развитие. Състояние и развитие на заболяемостта на населението в страната</w:t>
      </w:r>
    </w:p>
    <w:p w14:paraId="0C6EAD0D" w14:textId="77777777" w:rsidR="00FB5817" w:rsidRPr="00AA5833" w:rsidRDefault="00FB5817" w:rsidP="00FB5817">
      <w:pPr>
        <w:shd w:val="clear" w:color="auto" w:fill="FFFFFF"/>
        <w:spacing w:after="0" w:line="240" w:lineRule="auto"/>
        <w:rPr>
          <w:rFonts w:ascii="Times New Roman" w:eastAsia="Times New Roman" w:hAnsi="Times New Roman" w:cs="Times New Roman"/>
          <w:color w:val="000000"/>
          <w:sz w:val="24"/>
          <w:szCs w:val="24"/>
          <w:lang w:eastAsia="bg-BG"/>
        </w:rPr>
      </w:pPr>
    </w:p>
    <w:p w14:paraId="0CF17B01"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 xml:space="preserve">2.4.1.1. Обща заболяемост по обръщаемост на населението към лечебните заведения </w:t>
      </w:r>
    </w:p>
    <w:p w14:paraId="2708A071"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sz w:val="24"/>
          <w:szCs w:val="24"/>
        </w:rPr>
      </w:pPr>
    </w:p>
    <w:p w14:paraId="10FFE90B" w14:textId="77777777" w:rsidR="00FB5817" w:rsidRPr="00AA5833" w:rsidRDefault="00FB5817" w:rsidP="00FB5817">
      <w:pPr>
        <w:autoSpaceDE w:val="0"/>
        <w:autoSpaceDN w:val="0"/>
        <w:adjustRightInd w:val="0"/>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От 2001 до 2024 г. включително липсва пълен обхват на информацията от лечебните заведения за извънболнична помош за общата заболяемост на населението, за нейната структура и за интензитета й по възрастови групи.</w:t>
      </w:r>
    </w:p>
    <w:p w14:paraId="449C043E" w14:textId="77777777" w:rsidR="00FB5817" w:rsidRPr="00AA5833" w:rsidRDefault="00FB5817" w:rsidP="00FB5817">
      <w:pPr>
        <w:shd w:val="clear" w:color="auto" w:fill="FFFFFF"/>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Изключение от горното представлява статистиката за заболеваемостта по обръщаемостта на населението към лечебните заведения по повод на заболявания, подлежащи на задължително съобщаване: инфекциозни болести, туберкулоза, злокачествени новообразувания и др.</w:t>
      </w:r>
    </w:p>
    <w:p w14:paraId="305B8FAC" w14:textId="77777777" w:rsidR="00FB5817" w:rsidRPr="00AA5833" w:rsidRDefault="00FB5817" w:rsidP="00FB5817">
      <w:pPr>
        <w:autoSpaceDE w:val="0"/>
        <w:autoSpaceDN w:val="0"/>
        <w:adjustRightInd w:val="0"/>
        <w:spacing w:after="0" w:line="240" w:lineRule="auto"/>
        <w:rPr>
          <w:rFonts w:ascii="Times New Roman" w:eastAsia="Calibri" w:hAnsi="Times New Roman" w:cs="Times New Roman"/>
          <w:sz w:val="24"/>
          <w:szCs w:val="24"/>
        </w:rPr>
      </w:pPr>
    </w:p>
    <w:p w14:paraId="43A38875"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 xml:space="preserve">2.4.1.2. Заболяемост от някои болести, подлежащи на задължително съобщаване </w:t>
      </w:r>
    </w:p>
    <w:p w14:paraId="73B6DB93"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color w:val="FF0000"/>
          <w:sz w:val="24"/>
          <w:szCs w:val="24"/>
        </w:rPr>
      </w:pPr>
    </w:p>
    <w:p w14:paraId="491285E5" w14:textId="77777777" w:rsidR="00FB5817" w:rsidRPr="00AA5833" w:rsidRDefault="00FB5817" w:rsidP="00FB5817">
      <w:pPr>
        <w:spacing w:after="0" w:line="240" w:lineRule="auto"/>
        <w:ind w:firstLine="709"/>
        <w:jc w:val="both"/>
        <w:rPr>
          <w:rFonts w:ascii="Times New Roman" w:eastAsia="Calibri" w:hAnsi="Times New Roman" w:cs="Times New Roman"/>
          <w:sz w:val="24"/>
        </w:rPr>
      </w:pPr>
      <w:r w:rsidRPr="00AA5833">
        <w:rPr>
          <w:rFonts w:ascii="Times New Roman" w:eastAsia="Calibri" w:hAnsi="Times New Roman" w:cs="Times New Roman"/>
          <w:sz w:val="24"/>
        </w:rPr>
        <w:t xml:space="preserve">По данни на НЦОЗА, през 2024 г. заболяемостта от </w:t>
      </w:r>
      <w:r w:rsidRPr="00AA5833">
        <w:rPr>
          <w:rFonts w:ascii="Times New Roman" w:eastAsia="Calibri" w:hAnsi="Times New Roman" w:cs="Times New Roman"/>
          <w:b/>
          <w:i/>
          <w:sz w:val="24"/>
        </w:rPr>
        <w:t>злокачествени новообразувания</w:t>
      </w:r>
      <w:r w:rsidRPr="00AA5833">
        <w:rPr>
          <w:rFonts w:ascii="Times New Roman" w:eastAsia="Calibri" w:hAnsi="Times New Roman" w:cs="Times New Roman"/>
          <w:sz w:val="24"/>
        </w:rPr>
        <w:t xml:space="preserve"> намалява спрямо предходната година (406.5%ооо) и показателят </w:t>
      </w:r>
      <w:r w:rsidRPr="00AA5833">
        <w:rPr>
          <w:rFonts w:ascii="Times New Roman" w:eastAsia="Calibri" w:hAnsi="Times New Roman" w:cs="Times New Roman"/>
          <w:sz w:val="24"/>
        </w:rPr>
        <w:lastRenderedPageBreak/>
        <w:t>възлиза на  391.6%ооо за 2024 г. Най-висока е заболяемостта от рак на мъжките полови органи (92.0%ооо) и рак на млечната жлеза при жените (89.4%ооо), следвани от рак на храносмилателните органи (85.8%ооо).</w:t>
      </w:r>
    </w:p>
    <w:p w14:paraId="66A786D1" w14:textId="77777777" w:rsidR="00FB5817" w:rsidRPr="00AA5833" w:rsidRDefault="00FB5817" w:rsidP="00FB5817">
      <w:pPr>
        <w:shd w:val="clear" w:color="auto" w:fill="FFFFFF"/>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Наблюдават се териториални различия в броя на новооткритите заболявания от злокачествени новообразувания на 100 000 население. Най-висока е заболяемостта в областите Русе (640.2%</w:t>
      </w:r>
      <w:r w:rsidRPr="00AA5833">
        <w:rPr>
          <w:rFonts w:ascii="Times New Roman" w:eastAsia="Calibri" w:hAnsi="Times New Roman" w:cs="Times New Roman"/>
          <w:sz w:val="20"/>
          <w:szCs w:val="20"/>
        </w:rPr>
        <w:t>ооо</w:t>
      </w:r>
      <w:r w:rsidRPr="00AA5833">
        <w:rPr>
          <w:rFonts w:ascii="Times New Roman" w:eastAsia="Calibri" w:hAnsi="Times New Roman" w:cs="Times New Roman"/>
          <w:sz w:val="24"/>
          <w:szCs w:val="24"/>
        </w:rPr>
        <w:t>), Хасково (519.2%</w:t>
      </w:r>
      <w:r w:rsidRPr="00AA5833">
        <w:rPr>
          <w:rFonts w:ascii="Times New Roman" w:eastAsia="Calibri" w:hAnsi="Times New Roman" w:cs="Times New Roman"/>
          <w:sz w:val="20"/>
          <w:szCs w:val="20"/>
        </w:rPr>
        <w:t>ооо</w:t>
      </w:r>
      <w:r w:rsidRPr="00AA5833">
        <w:rPr>
          <w:rFonts w:ascii="Times New Roman" w:eastAsia="Calibri" w:hAnsi="Times New Roman" w:cs="Times New Roman"/>
          <w:sz w:val="24"/>
          <w:szCs w:val="24"/>
        </w:rPr>
        <w:t>), Шумен (516.4%</w:t>
      </w:r>
      <w:r w:rsidRPr="00AA5833">
        <w:rPr>
          <w:rFonts w:ascii="Times New Roman" w:eastAsia="Calibri" w:hAnsi="Times New Roman" w:cs="Times New Roman"/>
          <w:sz w:val="20"/>
          <w:szCs w:val="20"/>
        </w:rPr>
        <w:t>ооо</w:t>
      </w:r>
      <w:r w:rsidRPr="00AA5833">
        <w:rPr>
          <w:rFonts w:ascii="Times New Roman" w:eastAsia="Calibri" w:hAnsi="Times New Roman" w:cs="Times New Roman"/>
          <w:sz w:val="24"/>
          <w:szCs w:val="24"/>
        </w:rPr>
        <w:t>), Плевен  (511.1%</w:t>
      </w:r>
      <w:r w:rsidRPr="00AA5833">
        <w:rPr>
          <w:rFonts w:ascii="Times New Roman" w:eastAsia="Calibri" w:hAnsi="Times New Roman" w:cs="Times New Roman"/>
          <w:sz w:val="20"/>
          <w:szCs w:val="20"/>
        </w:rPr>
        <w:t>ооо</w:t>
      </w:r>
      <w:r w:rsidRPr="00AA5833">
        <w:rPr>
          <w:rFonts w:ascii="Times New Roman" w:eastAsia="Calibri" w:hAnsi="Times New Roman" w:cs="Times New Roman"/>
          <w:sz w:val="24"/>
          <w:szCs w:val="24"/>
        </w:rPr>
        <w:t>), Варна (494.2%</w:t>
      </w:r>
      <w:r w:rsidRPr="00AA5833">
        <w:rPr>
          <w:rFonts w:ascii="Times New Roman" w:eastAsia="Calibri" w:hAnsi="Times New Roman" w:cs="Times New Roman"/>
          <w:sz w:val="20"/>
          <w:szCs w:val="20"/>
        </w:rPr>
        <w:t>ооо</w:t>
      </w:r>
      <w:r w:rsidRPr="00AA5833">
        <w:rPr>
          <w:rFonts w:ascii="Times New Roman" w:eastAsia="Calibri" w:hAnsi="Times New Roman" w:cs="Times New Roman"/>
          <w:sz w:val="24"/>
          <w:szCs w:val="24"/>
        </w:rPr>
        <w:t xml:space="preserve">), а най-ниска </w:t>
      </w:r>
      <w:r w:rsidR="00102E61"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в София (107.3%</w:t>
      </w:r>
      <w:r w:rsidRPr="00AA5833">
        <w:rPr>
          <w:rFonts w:ascii="Times New Roman" w:eastAsia="Calibri" w:hAnsi="Times New Roman" w:cs="Times New Roman"/>
          <w:sz w:val="18"/>
          <w:szCs w:val="18"/>
        </w:rPr>
        <w:t>ооо</w:t>
      </w:r>
      <w:r w:rsidRPr="00AA5833">
        <w:rPr>
          <w:rFonts w:ascii="Times New Roman" w:eastAsia="Calibri" w:hAnsi="Times New Roman" w:cs="Times New Roman"/>
          <w:sz w:val="24"/>
          <w:szCs w:val="24"/>
        </w:rPr>
        <w:t xml:space="preserve">). </w:t>
      </w:r>
    </w:p>
    <w:p w14:paraId="43EBFDF5" w14:textId="77777777" w:rsidR="00FB5817" w:rsidRPr="00AA5833" w:rsidRDefault="00FB5817" w:rsidP="00FB5817">
      <w:pPr>
        <w:shd w:val="clear" w:color="auto" w:fill="FFFFFF"/>
        <w:spacing w:after="0" w:line="240" w:lineRule="auto"/>
        <w:jc w:val="both"/>
        <w:rPr>
          <w:rFonts w:ascii="Times New Roman" w:eastAsia="Calibri" w:hAnsi="Times New Roman" w:cs="Times New Roman"/>
          <w:sz w:val="24"/>
          <w:szCs w:val="24"/>
        </w:rPr>
      </w:pPr>
    </w:p>
    <w:p w14:paraId="4F7A6769"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2.4.1.3. Заболяемост  по хоспитализации</w:t>
      </w:r>
    </w:p>
    <w:p w14:paraId="25DE04F5" w14:textId="77777777" w:rsidR="00FB5817" w:rsidRPr="00AA5833" w:rsidRDefault="00FB5817" w:rsidP="00FB5817">
      <w:pPr>
        <w:autoSpaceDE w:val="0"/>
        <w:autoSpaceDN w:val="0"/>
        <w:adjustRightInd w:val="0"/>
        <w:spacing w:after="0" w:line="240" w:lineRule="auto"/>
        <w:jc w:val="both"/>
        <w:rPr>
          <w:rFonts w:ascii="Times New Roman" w:eastAsia="Calibri" w:hAnsi="Times New Roman" w:cs="Times New Roman"/>
          <w:sz w:val="24"/>
          <w:szCs w:val="24"/>
        </w:rPr>
      </w:pPr>
    </w:p>
    <w:p w14:paraId="5170EE5D" w14:textId="77777777" w:rsidR="00FB5817" w:rsidRPr="00AA5833" w:rsidRDefault="00FB5817" w:rsidP="00FB5817">
      <w:pPr>
        <w:spacing w:after="0" w:line="240" w:lineRule="auto"/>
        <w:ind w:firstLine="709"/>
        <w:jc w:val="both"/>
        <w:rPr>
          <w:rFonts w:ascii="Times New Roman" w:eastAsia="Calibri" w:hAnsi="Times New Roman" w:cs="Times New Roman"/>
          <w:sz w:val="24"/>
        </w:rPr>
      </w:pPr>
      <w:r w:rsidRPr="00AA5833">
        <w:rPr>
          <w:rFonts w:ascii="Times New Roman" w:eastAsia="Calibri" w:hAnsi="Times New Roman" w:cs="Times New Roman"/>
          <w:sz w:val="24"/>
          <w:szCs w:val="24"/>
        </w:rPr>
        <w:t xml:space="preserve">Статистическите данни за </w:t>
      </w:r>
      <w:r w:rsidRPr="00AA5833">
        <w:rPr>
          <w:rFonts w:ascii="Times New Roman" w:eastAsia="Calibri" w:hAnsi="Times New Roman" w:cs="Times New Roman"/>
          <w:b/>
          <w:bCs/>
          <w:i/>
          <w:iCs/>
          <w:sz w:val="24"/>
          <w:szCs w:val="24"/>
        </w:rPr>
        <w:t xml:space="preserve">заболяемостта по хоспитализации </w:t>
      </w:r>
      <w:r w:rsidRPr="00AA5833">
        <w:rPr>
          <w:rFonts w:ascii="Times New Roman" w:eastAsia="Calibri" w:hAnsi="Times New Roman" w:cs="Times New Roman"/>
          <w:sz w:val="24"/>
          <w:szCs w:val="24"/>
        </w:rPr>
        <w:t>за периода 2005-2019 г. показват, че броят на хоспитализираните случаи в стационарите на лечебните заведения непрекъснато нараства</w:t>
      </w:r>
      <w:r w:rsidRPr="00AA5833">
        <w:rPr>
          <w:rFonts w:ascii="Times New Roman" w:eastAsia="Times New Roman" w:hAnsi="Times New Roman" w:cs="Times New Roman"/>
          <w:color w:val="000000"/>
          <w:sz w:val="24"/>
          <w:szCs w:val="24"/>
          <w:lang w:eastAsia="bg-BG"/>
        </w:rPr>
        <w:t xml:space="preserve"> </w:t>
      </w:r>
      <w:r w:rsidRPr="00AA5833">
        <w:rPr>
          <w:rFonts w:ascii="Times New Roman" w:eastAsia="Calibri" w:hAnsi="Times New Roman" w:cs="Times New Roman"/>
          <w:sz w:val="24"/>
          <w:szCs w:val="24"/>
        </w:rPr>
        <w:t xml:space="preserve"> общо  и основно във възрастовите групи над 18 г. След известни колебания в годините с COVID – 19  през 2022 г. достига 2 197 743. </w:t>
      </w:r>
      <w:r w:rsidRPr="00AA5833">
        <w:rPr>
          <w:rFonts w:ascii="Times New Roman" w:eastAsia="Calibri" w:hAnsi="Times New Roman" w:cs="Times New Roman"/>
          <w:sz w:val="24"/>
        </w:rPr>
        <w:t>Във  връзка с Регламент ((ЕС) 2022/2294 на Комисията  за изпълнение на Регламент (ЕО) №1338/2008 на Европейския парламент и на Съвета по отношение на статистиката за заведенията за здравно обслужване, човешките ресурси в областта на здравното обслужване и използването на здравното обслужване, от 2023 г. се отчитат, както хоспитализираните случаи с престой над 24 часа, така и хоспитализираните дневни случаи с престой до 24 часа,   в лечебните заведения със стационар. За 2024 г. техният общ брой е 3 245 686. Най-голям е броят на хоспитализираните случаи общо на 100 000 население сред лицата над 65-годишна възраст (88 542.2), следва групата на лицата 18</w:t>
      </w:r>
      <w:r w:rsidR="004C07C1" w:rsidRPr="00AA5833">
        <w:rPr>
          <w:rFonts w:ascii="Times New Roman" w:eastAsia="Calibri" w:hAnsi="Times New Roman" w:cs="Times New Roman"/>
          <w:sz w:val="24"/>
        </w:rPr>
        <w:t xml:space="preserve"> </w:t>
      </w:r>
      <w:r w:rsidR="004C07C1" w:rsidRPr="00AA5833">
        <w:rPr>
          <w:rFonts w:ascii="Times New Roman" w:eastAsia="Calibri" w:hAnsi="Times New Roman" w:cs="Times New Roman"/>
          <w:b/>
          <w:sz w:val="24"/>
        </w:rPr>
        <w:t xml:space="preserve">– </w:t>
      </w:r>
      <w:r w:rsidRPr="00AA5833">
        <w:rPr>
          <w:rFonts w:ascii="Times New Roman" w:eastAsia="Calibri" w:hAnsi="Times New Roman" w:cs="Times New Roman"/>
          <w:sz w:val="24"/>
        </w:rPr>
        <w:t>64 г. (41 440.6) и най-нисък е при децата от 0 до 17 години – 3.2 пъти по-нисък от този над 65 години.</w:t>
      </w:r>
    </w:p>
    <w:p w14:paraId="74754AEF" w14:textId="77777777" w:rsidR="00FB5817" w:rsidRPr="00AA5833" w:rsidRDefault="00FB5817" w:rsidP="00FB5817">
      <w:pPr>
        <w:spacing w:after="0" w:line="240" w:lineRule="auto"/>
        <w:ind w:firstLine="709"/>
        <w:jc w:val="both"/>
        <w:rPr>
          <w:rFonts w:ascii="Times New Roman" w:eastAsia="Calibri" w:hAnsi="Times New Roman" w:cs="Times New Roman"/>
          <w:sz w:val="24"/>
        </w:rPr>
      </w:pPr>
      <w:r w:rsidRPr="00AA5833">
        <w:rPr>
          <w:rFonts w:ascii="Times New Roman" w:eastAsia="Calibri" w:hAnsi="Times New Roman" w:cs="Times New Roman"/>
          <w:sz w:val="24"/>
        </w:rPr>
        <w:t>Сред причините за хоспитализация по класове водещи са фактори, влияещи върху здравното състояние на населението и контакта със здравните служби (34.2%), болестите на органите на кръвообращението (9.6%), болестите на храносмилателната система (7.6%), травми, отравяния и някои други последици от въздействието на външни причини (6.9%), които обуславят общо 58,3% от хоспитализациите.</w:t>
      </w:r>
    </w:p>
    <w:p w14:paraId="52C8BB45" w14:textId="77777777" w:rsidR="00FB5817" w:rsidRPr="00AA5833" w:rsidRDefault="00FB5817" w:rsidP="00FB5817">
      <w:pPr>
        <w:autoSpaceDE w:val="0"/>
        <w:autoSpaceDN w:val="0"/>
        <w:adjustRightInd w:val="0"/>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rPr>
        <w:t>Структурата на хоспитализациите по класове се различава съществено по възрастови групи. При лицата 0</w:t>
      </w:r>
      <w:r w:rsidR="004C07C1" w:rsidRPr="00AA5833">
        <w:rPr>
          <w:rFonts w:ascii="Times New Roman" w:eastAsia="Calibri" w:hAnsi="Times New Roman" w:cs="Times New Roman"/>
          <w:sz w:val="24"/>
        </w:rPr>
        <w:t xml:space="preserve"> </w:t>
      </w:r>
      <w:r w:rsidR="004C07C1" w:rsidRPr="00AA5833">
        <w:rPr>
          <w:rFonts w:ascii="Times New Roman" w:eastAsia="Calibri" w:hAnsi="Times New Roman" w:cs="Times New Roman"/>
          <w:b/>
          <w:sz w:val="24"/>
        </w:rPr>
        <w:t xml:space="preserve">– </w:t>
      </w:r>
      <w:r w:rsidRPr="00AA5833">
        <w:rPr>
          <w:rFonts w:ascii="Times New Roman" w:eastAsia="Calibri" w:hAnsi="Times New Roman" w:cs="Times New Roman"/>
          <w:sz w:val="24"/>
        </w:rPr>
        <w:t>17 години водещи са болестите на дихателната система (28.9%). При лицата от 18 до 64 г. водещи са 5 класа: фактори, влияещи върху здравното състояние на населението и контакта със здравните служби (33.4%), болести на храносмилателната система (8.6%), болести на органите на  кръвообращението (7.3%), травми, отравяния и някои други последици от въздействието на външни причини и бременност, раждане и послеродов период (6.3%). При лицата на възраст 65 и повече години на първо място в структурата са фактори, влияещи върху здравното състояние на населението и контакта със здравните служби (40.4%), следват болестите на органите на кръвообращението (14.5%), болести на храносмилателната система (7.3%) и новообразувания (5.6%), които общо обуславят повече от половината от хоспитализираната заболеваемост в тази възрастова група.</w:t>
      </w:r>
    </w:p>
    <w:p w14:paraId="79C51710" w14:textId="77777777" w:rsidR="00FB5817" w:rsidRPr="00AA5833" w:rsidRDefault="00FB5817" w:rsidP="00FB5817">
      <w:pPr>
        <w:spacing w:after="0" w:line="240" w:lineRule="auto"/>
      </w:pPr>
    </w:p>
    <w:p w14:paraId="1912A837" w14:textId="77777777" w:rsidR="00FB5817" w:rsidRPr="00AA5833" w:rsidRDefault="00FB5817" w:rsidP="00FB5817">
      <w:pPr>
        <w:autoSpaceDE w:val="0"/>
        <w:autoSpaceDN w:val="0"/>
        <w:adjustRightInd w:val="0"/>
        <w:spacing w:after="0" w:line="240" w:lineRule="auto"/>
        <w:rPr>
          <w:rFonts w:ascii="Times New Roman" w:eastAsia="Calibri" w:hAnsi="Times New Roman" w:cs="Times New Roman"/>
          <w:b/>
          <w:bCs/>
          <w:sz w:val="24"/>
          <w:szCs w:val="24"/>
        </w:rPr>
      </w:pPr>
      <w:r w:rsidRPr="00AA5833">
        <w:rPr>
          <w:rFonts w:ascii="Times New Roman" w:eastAsia="Calibri" w:hAnsi="Times New Roman" w:cs="Times New Roman"/>
          <w:b/>
          <w:sz w:val="24"/>
          <w:szCs w:val="24"/>
        </w:rPr>
        <w:t xml:space="preserve">2.4.1.4. </w:t>
      </w:r>
      <w:r w:rsidRPr="00AA5833">
        <w:rPr>
          <w:rFonts w:ascii="Times New Roman" w:eastAsia="Calibri" w:hAnsi="Times New Roman" w:cs="Times New Roman"/>
          <w:b/>
          <w:bCs/>
          <w:sz w:val="24"/>
          <w:szCs w:val="24"/>
        </w:rPr>
        <w:t xml:space="preserve">Психично здраве </w:t>
      </w:r>
    </w:p>
    <w:p w14:paraId="7BCC12EE" w14:textId="77777777" w:rsidR="00FB5817" w:rsidRPr="00AA5833" w:rsidRDefault="00FB5817" w:rsidP="00FB5817">
      <w:pPr>
        <w:autoSpaceDE w:val="0"/>
        <w:autoSpaceDN w:val="0"/>
        <w:adjustRightInd w:val="0"/>
        <w:spacing w:after="0" w:line="240" w:lineRule="auto"/>
        <w:rPr>
          <w:rFonts w:ascii="Times New Roman" w:eastAsia="Calibri" w:hAnsi="Times New Roman" w:cs="Times New Roman"/>
          <w:b/>
          <w:sz w:val="24"/>
          <w:szCs w:val="24"/>
        </w:rPr>
      </w:pPr>
    </w:p>
    <w:p w14:paraId="5EFF2334" w14:textId="77777777" w:rsidR="00FB5817" w:rsidRPr="00AA5833" w:rsidRDefault="00FB5817" w:rsidP="00FB5817">
      <w:pPr>
        <w:shd w:val="clear" w:color="auto" w:fill="FFFFFF"/>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След промените в системата на здравеопазване през 2000 г. голяма част от институционализираните амбулаторни услуги преминаха в частния сектор, което имаше положителен ефект върху обслужването на пациентите като цяло, особено при тези с така наречените чести психични разстройства – леки депресии, тревожни разстройства, посттравматичен стрес, нарушения в съня и др. Въпреки тези промени, психичното здраве на българите не се подобрява. Причините за това са комплексният характер на факторите, които го обуславят, немалка част от които са извън системата на </w:t>
      </w:r>
      <w:r w:rsidRPr="00AA5833">
        <w:rPr>
          <w:rFonts w:ascii="Times New Roman" w:eastAsia="Times New Roman" w:hAnsi="Times New Roman" w:cs="Times New Roman"/>
          <w:sz w:val="24"/>
          <w:szCs w:val="24"/>
        </w:rPr>
        <w:lastRenderedPageBreak/>
        <w:t>психиатрично обслужване – жизнената среда, нивото на стрес в ежедневието, условията на труд, взаимоотношенията в семейството, качеството на живот, социалното благополучие. България изостава много сериозно от европейските страни по отношение отделяните средства за обществено здраве и в частност за психично здраве. Броят на психиатрите намалява от 720 през 2019 г. на 681 през 2024 г. България е на предпоследно място по брой психиатри на 100 000 души население в Европейския съюз за 2023 г.</w:t>
      </w:r>
    </w:p>
    <w:p w14:paraId="7CF66DB6" w14:textId="77777777" w:rsidR="00FB5817" w:rsidRPr="00AA5833" w:rsidRDefault="00FB5817" w:rsidP="00FB5817">
      <w:pPr>
        <w:spacing w:after="0" w:line="240" w:lineRule="auto"/>
      </w:pPr>
    </w:p>
    <w:p w14:paraId="14DBC792" w14:textId="77777777" w:rsidR="00FB5817" w:rsidRPr="00AA5833" w:rsidRDefault="00FB5817" w:rsidP="00FB5817">
      <w:pPr>
        <w:shd w:val="clear" w:color="auto" w:fill="FFFFFF"/>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2.4.1.5. Трайно намалена работоспособност. Вид и степен на увреждане</w:t>
      </w:r>
    </w:p>
    <w:p w14:paraId="4E83E79B" w14:textId="77777777" w:rsidR="00FB5817" w:rsidRPr="00AA5833" w:rsidRDefault="00FB5817" w:rsidP="00FB5817">
      <w:pPr>
        <w:spacing w:after="0" w:line="240" w:lineRule="auto"/>
      </w:pPr>
    </w:p>
    <w:p w14:paraId="35590EA9" w14:textId="77777777" w:rsidR="00FB5817" w:rsidRPr="00AA5833" w:rsidRDefault="00FB5817"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Броят на лицата с първично определена трайно намалена работоспособност/вид и степен на увреждане над 16-годишна възраст, след наблюдаваното намаление през 202</w:t>
      </w:r>
      <w:r w:rsidR="00537DAE" w:rsidRPr="00AA5833">
        <w:rPr>
          <w:rFonts w:ascii="Times New Roman" w:hAnsi="Times New Roman" w:cs="Times New Roman"/>
          <w:sz w:val="24"/>
          <w:szCs w:val="24"/>
        </w:rPr>
        <w:t>0 и 2022 г. нараства през 2024 г.</w:t>
      </w:r>
      <w:r w:rsidRPr="00AA5833">
        <w:rPr>
          <w:rFonts w:ascii="Times New Roman" w:hAnsi="Times New Roman" w:cs="Times New Roman"/>
          <w:sz w:val="24"/>
          <w:szCs w:val="24"/>
        </w:rPr>
        <w:t xml:space="preserve"> и достига 79 238 души. Данните за 2024 г. са от Информационна система за контрол на медицинската експертиза и Единната информационна система на медицинската експертиза. </w:t>
      </w:r>
    </w:p>
    <w:p w14:paraId="34942BB5" w14:textId="77777777" w:rsidR="00FB5817" w:rsidRPr="00AA5833" w:rsidRDefault="00FB5817"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Броят на освидетелстваните и прео</w:t>
      </w:r>
      <w:r w:rsidRPr="00AA5833">
        <w:rPr>
          <w:rFonts w:ascii="Times New Roman" w:hAnsi="Times New Roman" w:cs="Times New Roman"/>
          <w:sz w:val="24"/>
          <w:szCs w:val="24"/>
        </w:rPr>
        <w:softHyphen/>
        <w:t>с</w:t>
      </w:r>
      <w:r w:rsidRPr="00AA5833">
        <w:rPr>
          <w:rFonts w:ascii="Times New Roman" w:hAnsi="Times New Roman" w:cs="Times New Roman"/>
          <w:sz w:val="24"/>
          <w:szCs w:val="24"/>
        </w:rPr>
        <w:softHyphen/>
        <w:t>ви</w:t>
      </w:r>
      <w:r w:rsidRPr="00AA5833">
        <w:rPr>
          <w:rFonts w:ascii="Times New Roman" w:hAnsi="Times New Roman" w:cs="Times New Roman"/>
          <w:sz w:val="24"/>
          <w:szCs w:val="24"/>
        </w:rPr>
        <w:softHyphen/>
        <w:t>детелствани лица с трайно намалена работоспособност/вид и степен на увреждане е значителен, като  през 2024 г. възлиза на 193 793 души. Най-висок е относителният дял на тези лица от възрастовата група над 60 години (51.4%), следвани от възрастовата група 50</w:t>
      </w:r>
      <w:r w:rsidR="00537DAE" w:rsidRPr="00AA5833">
        <w:rPr>
          <w:rFonts w:ascii="Times New Roman" w:hAnsi="Times New Roman" w:cs="Times New Roman"/>
          <w:sz w:val="24"/>
          <w:szCs w:val="24"/>
        </w:rPr>
        <w:t>-</w:t>
      </w:r>
      <w:r w:rsidRPr="00AA5833">
        <w:rPr>
          <w:rFonts w:ascii="Times New Roman" w:hAnsi="Times New Roman" w:cs="Times New Roman"/>
          <w:sz w:val="24"/>
          <w:szCs w:val="24"/>
        </w:rPr>
        <w:t>59 години (27.3%).</w:t>
      </w:r>
    </w:p>
    <w:p w14:paraId="335D8F14" w14:textId="77777777" w:rsidR="00FB5817" w:rsidRPr="00AA5833" w:rsidRDefault="00FB5817"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Относителният дял на освидетелстваните лица над 16 г. с трайно намалена работоспособност/вид и степен на увреждане 50</w:t>
      </w:r>
      <w:r w:rsidR="00102E61" w:rsidRPr="00AA5833">
        <w:rPr>
          <w:rFonts w:ascii="Times New Roman" w:hAnsi="Times New Roman" w:cs="Times New Roman"/>
          <w:sz w:val="24"/>
          <w:szCs w:val="24"/>
        </w:rPr>
        <w:t>-</w:t>
      </w:r>
      <w:r w:rsidRPr="00AA5833">
        <w:rPr>
          <w:rFonts w:ascii="Times New Roman" w:hAnsi="Times New Roman" w:cs="Times New Roman"/>
          <w:sz w:val="24"/>
          <w:szCs w:val="24"/>
        </w:rPr>
        <w:t>70% нараства в сравнение с 2023 година и е 38.9. Следват лицата с 71</w:t>
      </w:r>
      <w:r w:rsidR="00102E61" w:rsidRPr="00AA5833">
        <w:rPr>
          <w:rFonts w:ascii="Times New Roman" w:hAnsi="Times New Roman" w:cs="Times New Roman"/>
          <w:b/>
          <w:sz w:val="24"/>
          <w:szCs w:val="24"/>
        </w:rPr>
        <w:t>-</w:t>
      </w:r>
      <w:r w:rsidRPr="00AA5833">
        <w:rPr>
          <w:rFonts w:ascii="Times New Roman" w:hAnsi="Times New Roman" w:cs="Times New Roman"/>
          <w:sz w:val="24"/>
          <w:szCs w:val="24"/>
        </w:rPr>
        <w:t>90% трайно намалена работоспособност/вид и степен на увреждане – 24.1% (25.1% за 2023 г.), със над 90% – 24.0% (27.2% за 2023 г.) и до 50% са 13.0% (9.7% за 2023 г.).</w:t>
      </w:r>
    </w:p>
    <w:p w14:paraId="2746C151" w14:textId="77777777" w:rsidR="00FB5817" w:rsidRPr="00AA5833" w:rsidRDefault="00FB5817"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Запазва се структурата на причините за трайно намалена работоспособност на лицата над 16 години като най-честата причина са Болестите на органите на кръво</w:t>
      </w:r>
      <w:r w:rsidRPr="00AA5833">
        <w:rPr>
          <w:rFonts w:ascii="Times New Roman" w:hAnsi="Times New Roman" w:cs="Times New Roman"/>
          <w:sz w:val="24"/>
          <w:szCs w:val="24"/>
        </w:rPr>
        <w:softHyphen/>
        <w:t>об</w:t>
      </w:r>
      <w:r w:rsidRPr="00AA5833">
        <w:rPr>
          <w:rFonts w:ascii="Times New Roman" w:hAnsi="Times New Roman" w:cs="Times New Roman"/>
          <w:sz w:val="24"/>
          <w:szCs w:val="24"/>
        </w:rPr>
        <w:softHyphen/>
        <w:t>ращението, които обхващат 27.4% от общия брой на случаите на освидетелстваните лица с призната трайно намалена работоспособност/вид и степен на увреждане. Следват Новооб</w:t>
      </w:r>
      <w:r w:rsidRPr="00AA5833">
        <w:rPr>
          <w:rFonts w:ascii="Times New Roman" w:hAnsi="Times New Roman" w:cs="Times New Roman"/>
          <w:sz w:val="24"/>
          <w:szCs w:val="24"/>
        </w:rPr>
        <w:softHyphen/>
        <w:t>разуванията (19.1%), Болестите на костно-мускулната система и съединителната тъкан (12.9%), Болестите на ендокринната система, разстройствата на храненето и обмяната на веществата (8.6%), Психични и поведенчески разстройства (7.4%) и др.</w:t>
      </w:r>
    </w:p>
    <w:p w14:paraId="60730C1A" w14:textId="77777777" w:rsidR="00FB5817" w:rsidRPr="00AA5833" w:rsidRDefault="00C10E0E"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След</w:t>
      </w:r>
      <w:r w:rsidR="00FB5817" w:rsidRPr="00AA5833">
        <w:rPr>
          <w:rFonts w:ascii="Times New Roman" w:hAnsi="Times New Roman" w:cs="Times New Roman"/>
          <w:sz w:val="24"/>
          <w:szCs w:val="24"/>
        </w:rPr>
        <w:t xml:space="preserve"> намаление  през 2020 г. и 2022 г. се  регистрира увеличаване на броя на освидетелстваните деца до 16-годишна възраст, признати за лица с вид и степен на увреждане, като през 2024 г.  достига  3721 деца (при 3446 за 2023 г.) или 3.8 на 1000 население до 16 години (3.5%о за 2023 г.). Най-голям е броят и делът на децата със степен на увреждане 50-70% – 1584 (42.6%). Всяко четвърто дете с увреждане е със степен 71-90% увреждане (29.2%), с най-тежката степен над 90% са 17.2%.</w:t>
      </w:r>
    </w:p>
    <w:p w14:paraId="38A42CD1" w14:textId="77777777" w:rsidR="006856A7" w:rsidRPr="00AA5833" w:rsidRDefault="00FB5817" w:rsidP="00C10E0E">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Структурата на причините за вида и степента на увреждане при децата е различна от тази при лицата над 16-годишна възраст. Най-честата причина са Психичните и поведен</w:t>
      </w:r>
      <w:r w:rsidRPr="00AA5833">
        <w:rPr>
          <w:rFonts w:ascii="Times New Roman" w:hAnsi="Times New Roman" w:cs="Times New Roman"/>
          <w:sz w:val="24"/>
          <w:szCs w:val="24"/>
        </w:rPr>
        <w:softHyphen/>
        <w:t>ческите разстройства (34.4%), Вродените аномалии (14.5%), Болестите на диха</w:t>
      </w:r>
      <w:r w:rsidRPr="00AA5833">
        <w:rPr>
          <w:rFonts w:ascii="Times New Roman" w:hAnsi="Times New Roman" w:cs="Times New Roman"/>
          <w:sz w:val="24"/>
          <w:szCs w:val="24"/>
        </w:rPr>
        <w:softHyphen/>
        <w:t>телната система (12.5%) и Болести нервната система (11.5%)</w:t>
      </w:r>
      <w:r w:rsidR="003D2EE5" w:rsidRPr="00AA5833">
        <w:rPr>
          <w:rFonts w:ascii="Times New Roman" w:hAnsi="Times New Roman" w:cs="Times New Roman"/>
          <w:sz w:val="24"/>
          <w:szCs w:val="24"/>
        </w:rPr>
        <w:t>.</w:t>
      </w:r>
      <w:r w:rsidRPr="00AA5833">
        <w:rPr>
          <w:rFonts w:ascii="Times New Roman" w:hAnsi="Times New Roman" w:cs="Times New Roman"/>
          <w:sz w:val="24"/>
          <w:szCs w:val="24"/>
        </w:rPr>
        <w:t xml:space="preserve"> Тази структура с някои изключения се запазва през годините.</w:t>
      </w:r>
    </w:p>
    <w:p w14:paraId="0D5832EF"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p>
    <w:p w14:paraId="0BA6A89C"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2.5. Етническа структура на населението</w:t>
      </w:r>
    </w:p>
    <w:p w14:paraId="139F1B7A"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p>
    <w:p w14:paraId="59EDD0A4" w14:textId="77777777" w:rsidR="006856A7" w:rsidRPr="00AA5833" w:rsidRDefault="006856A7" w:rsidP="006856A7">
      <w:pPr>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
          <w:color w:val="000000"/>
          <w:sz w:val="24"/>
          <w:szCs w:val="24"/>
          <w:lang w:eastAsia="bg-BG"/>
        </w:rPr>
        <w:tab/>
      </w:r>
      <w:r w:rsidRPr="00AA5833">
        <w:rPr>
          <w:rFonts w:ascii="Times New Roman" w:eastAsia="Times New Roman" w:hAnsi="Times New Roman" w:cs="Times New Roman"/>
          <w:color w:val="000000"/>
          <w:sz w:val="24"/>
          <w:szCs w:val="24"/>
          <w:lang w:eastAsia="bg-BG"/>
        </w:rPr>
        <w:t xml:space="preserve">Според окончателните данни на НСИ от преброяването на населението през 2021 година и по признак етническа принадлежност, броят на лицата, самоопределили се като  българи е </w:t>
      </w:r>
      <w:r w:rsidRPr="00AA5833">
        <w:rPr>
          <w:rFonts w:ascii="Times New Roman" w:hAnsi="Times New Roman"/>
          <w:sz w:val="24"/>
          <w:szCs w:val="24"/>
        </w:rPr>
        <w:t xml:space="preserve">5 118 494, или 84.6% от лицата, </w:t>
      </w:r>
      <w:bookmarkStart w:id="0" w:name="OLE_LINK1"/>
      <w:bookmarkStart w:id="1" w:name="OLE_LINK2"/>
      <w:r w:rsidRPr="00AA5833">
        <w:rPr>
          <w:rFonts w:ascii="Times New Roman" w:hAnsi="Times New Roman"/>
          <w:sz w:val="24"/>
          <w:szCs w:val="24"/>
        </w:rPr>
        <w:t xml:space="preserve">отговорили </w:t>
      </w:r>
      <w:bookmarkEnd w:id="0"/>
      <w:bookmarkEnd w:id="1"/>
      <w:r w:rsidRPr="00AA5833">
        <w:rPr>
          <w:rFonts w:ascii="Times New Roman" w:hAnsi="Times New Roman"/>
          <w:sz w:val="24"/>
          <w:szCs w:val="24"/>
        </w:rPr>
        <w:t>на въпроса за етническа принадлежност</w:t>
      </w:r>
      <w:r w:rsidRPr="00AA5833">
        <w:rPr>
          <w:rFonts w:ascii="Times New Roman" w:eastAsia="Times New Roman" w:hAnsi="Times New Roman" w:cs="Times New Roman"/>
          <w:bCs/>
          <w:color w:val="000000"/>
          <w:sz w:val="24"/>
          <w:szCs w:val="24"/>
          <w:lang w:eastAsia="bg-BG"/>
        </w:rPr>
        <w:t xml:space="preserve">, турци – </w:t>
      </w:r>
      <w:r w:rsidRPr="00AA5833">
        <w:rPr>
          <w:rFonts w:ascii="Times New Roman" w:hAnsi="Times New Roman"/>
          <w:sz w:val="24"/>
          <w:szCs w:val="24"/>
        </w:rPr>
        <w:t>508 378, или 8.4% от отговорилите лица</w:t>
      </w:r>
      <w:r w:rsidRPr="00AA5833">
        <w:rPr>
          <w:rFonts w:ascii="Times New Roman" w:eastAsia="Times New Roman" w:hAnsi="Times New Roman" w:cs="Times New Roman"/>
          <w:bCs/>
          <w:color w:val="000000"/>
          <w:sz w:val="24"/>
          <w:szCs w:val="24"/>
          <w:lang w:eastAsia="bg-BG"/>
        </w:rPr>
        <w:t xml:space="preserve">, роми – </w:t>
      </w:r>
      <w:r w:rsidRPr="00AA5833">
        <w:rPr>
          <w:rFonts w:ascii="Times New Roman" w:hAnsi="Times New Roman"/>
          <w:sz w:val="24"/>
          <w:szCs w:val="24"/>
        </w:rPr>
        <w:t>266 720, или 4.4% от отговорилите лица</w:t>
      </w:r>
      <w:r w:rsidRPr="00AA5833">
        <w:rPr>
          <w:rFonts w:ascii="Times New Roman" w:eastAsia="Times New Roman" w:hAnsi="Times New Roman" w:cs="Times New Roman"/>
          <w:bCs/>
          <w:color w:val="000000"/>
          <w:sz w:val="24"/>
          <w:szCs w:val="24"/>
          <w:lang w:eastAsia="bg-BG"/>
        </w:rPr>
        <w:t xml:space="preserve">, друг етнос са посочили </w:t>
      </w:r>
      <w:r w:rsidRPr="00AA5833">
        <w:rPr>
          <w:rFonts w:ascii="Times New Roman" w:hAnsi="Times New Roman"/>
          <w:sz w:val="24"/>
          <w:szCs w:val="24"/>
        </w:rPr>
        <w:t>79 006 души, или 1.3%</w:t>
      </w:r>
      <w:r w:rsidRPr="00AA5833">
        <w:rPr>
          <w:rFonts w:ascii="Times New Roman" w:eastAsia="Times New Roman" w:hAnsi="Times New Roman" w:cs="Times New Roman"/>
          <w:bCs/>
          <w:color w:val="000000"/>
          <w:sz w:val="24"/>
          <w:szCs w:val="24"/>
          <w:lang w:eastAsia="bg-BG"/>
        </w:rPr>
        <w:t xml:space="preserve">, а броят на тези, които не се самоопределят по етнически признак е </w:t>
      </w:r>
      <w:r w:rsidRPr="00AA5833">
        <w:rPr>
          <w:rFonts w:ascii="Times New Roman" w:hAnsi="Times New Roman"/>
          <w:sz w:val="24"/>
          <w:szCs w:val="24"/>
        </w:rPr>
        <w:t>15 746 (0.3%).</w:t>
      </w:r>
    </w:p>
    <w:p w14:paraId="1369FBB2"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lastRenderedPageBreak/>
        <w:t>2.6. Религиозна структура на населението</w:t>
      </w:r>
    </w:p>
    <w:p w14:paraId="63E9A684"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p>
    <w:p w14:paraId="15A60167" w14:textId="77777777" w:rsidR="006856A7" w:rsidRPr="00AA5833" w:rsidRDefault="006856A7" w:rsidP="003D2EE5">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Според окончателните данни на НСИ от преброяването на населението през 2021 година и на принципа на самоопределянето по признак вероизповедание, населението има следния профил:</w:t>
      </w:r>
    </w:p>
    <w:p w14:paraId="1C909207" w14:textId="77777777" w:rsidR="006856A7" w:rsidRPr="00AA5833" w:rsidRDefault="006856A7" w:rsidP="006856A7">
      <w:pPr>
        <w:spacing w:after="0" w:line="240" w:lineRule="auto"/>
        <w:jc w:val="both"/>
        <w:rPr>
          <w:rFonts w:ascii="Times New Roman" w:eastAsia="Times New Roman" w:hAnsi="Times New Roman" w:cs="Times New Roman"/>
          <w:color w:val="000000"/>
          <w:sz w:val="24"/>
          <w:szCs w:val="24"/>
          <w:lang w:eastAsia="bg-BG"/>
        </w:rPr>
      </w:pPr>
    </w:p>
    <w:p w14:paraId="713EE690" w14:textId="77777777" w:rsidR="006856A7" w:rsidRPr="00AA5833" w:rsidRDefault="006856A7" w:rsidP="006856A7">
      <w:pPr>
        <w:spacing w:after="0" w:line="240" w:lineRule="auto"/>
        <w:jc w:val="both"/>
        <w:rPr>
          <w:rFonts w:ascii="Times New Roman" w:eastAsia="Times New Roman" w:hAnsi="Times New Roman" w:cs="Times New Roman"/>
          <w:b/>
          <w:color w:val="000000"/>
          <w:lang w:eastAsia="bg-BG"/>
        </w:rPr>
      </w:pPr>
      <w:r w:rsidRPr="00AA5833">
        <w:rPr>
          <w:rFonts w:ascii="Times New Roman" w:eastAsia="Times New Roman" w:hAnsi="Times New Roman" w:cs="Times New Roman"/>
          <w:b/>
          <w:color w:val="000000"/>
          <w:lang w:eastAsia="bg-BG"/>
        </w:rPr>
        <w:t>Таблица 11: Структура на населението по признак вероизповедание към 07.09.2021 г.</w:t>
      </w:r>
    </w:p>
    <w:p w14:paraId="15202238" w14:textId="77777777" w:rsidR="006856A7" w:rsidRPr="00AA5833" w:rsidRDefault="006856A7" w:rsidP="006856A7">
      <w:pPr>
        <w:spacing w:after="0" w:line="240" w:lineRule="auto"/>
        <w:rPr>
          <w:rFonts w:ascii="Times New Roman" w:eastAsia="Times New Roman" w:hAnsi="Times New Roman" w:cs="Times New Roman"/>
          <w:b/>
          <w:color w:val="000000"/>
          <w:lang w:eastAsia="bg-BG"/>
        </w:rPr>
      </w:pP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3" w:type="dxa"/>
          <w:right w:w="0" w:type="dxa"/>
        </w:tblCellMar>
        <w:tblLook w:val="04A0" w:firstRow="1" w:lastRow="0" w:firstColumn="1" w:lastColumn="0" w:noHBand="0" w:noVBand="1"/>
      </w:tblPr>
      <w:tblGrid>
        <w:gridCol w:w="4233"/>
        <w:gridCol w:w="3313"/>
      </w:tblGrid>
      <w:tr w:rsidR="006856A7" w:rsidRPr="00AA5833" w14:paraId="5EA63142" w14:textId="77777777" w:rsidTr="006856A7">
        <w:trPr>
          <w:trHeight w:val="304"/>
        </w:trPr>
        <w:tc>
          <w:tcPr>
            <w:tcW w:w="4233" w:type="dxa"/>
            <w:tcBorders>
              <w:top w:val="single" w:sz="4" w:space="0" w:color="auto"/>
              <w:left w:val="single" w:sz="4" w:space="0" w:color="auto"/>
              <w:bottom w:val="single" w:sz="4" w:space="0" w:color="auto"/>
              <w:right w:val="single" w:sz="4" w:space="0" w:color="auto"/>
            </w:tcBorders>
            <w:shd w:val="clear" w:color="auto" w:fill="00CC99"/>
            <w:tcMar>
              <w:top w:w="0" w:type="dxa"/>
              <w:left w:w="38" w:type="dxa"/>
              <w:bottom w:w="0" w:type="dxa"/>
              <w:right w:w="0" w:type="dxa"/>
            </w:tcMar>
            <w:vAlign w:val="center"/>
            <w:hideMark/>
          </w:tcPr>
          <w:p w14:paraId="0CCD7438" w14:textId="77777777" w:rsidR="006856A7" w:rsidRPr="00AA5833" w:rsidRDefault="006856A7" w:rsidP="006856A7">
            <w:pPr>
              <w:spacing w:after="0" w:line="240" w:lineRule="auto"/>
              <w:jc w:val="center"/>
              <w:rPr>
                <w:rFonts w:ascii="Times New Roman" w:eastAsia="Times New Roman" w:hAnsi="Times New Roman" w:cs="Times New Roman"/>
                <w:b/>
                <w:color w:val="000000"/>
              </w:rPr>
            </w:pPr>
            <w:r w:rsidRPr="00AA5833">
              <w:rPr>
                <w:rFonts w:ascii="Times New Roman" w:eastAsia="Times New Roman" w:hAnsi="Times New Roman" w:cs="Times New Roman"/>
                <w:b/>
                <w:color w:val="000000"/>
              </w:rPr>
              <w:t>Вероизповедание</w:t>
            </w:r>
          </w:p>
        </w:tc>
        <w:tc>
          <w:tcPr>
            <w:tcW w:w="3313" w:type="dxa"/>
            <w:tcBorders>
              <w:top w:val="single" w:sz="4" w:space="0" w:color="auto"/>
              <w:left w:val="single" w:sz="4" w:space="0" w:color="auto"/>
              <w:bottom w:val="single" w:sz="4" w:space="0" w:color="auto"/>
              <w:right w:val="single" w:sz="4" w:space="0" w:color="auto"/>
            </w:tcBorders>
            <w:shd w:val="clear" w:color="auto" w:fill="00CC99"/>
            <w:vAlign w:val="center"/>
            <w:hideMark/>
          </w:tcPr>
          <w:p w14:paraId="40F052D3" w14:textId="77777777" w:rsidR="006856A7" w:rsidRPr="00AA5833" w:rsidRDefault="006856A7" w:rsidP="006856A7">
            <w:pPr>
              <w:spacing w:after="0" w:line="240" w:lineRule="auto"/>
              <w:jc w:val="center"/>
              <w:rPr>
                <w:rFonts w:ascii="Times New Roman" w:eastAsia="Times New Roman" w:hAnsi="Times New Roman" w:cs="Times New Roman"/>
                <w:b/>
                <w:color w:val="000000"/>
              </w:rPr>
            </w:pPr>
            <w:r w:rsidRPr="00AA5833">
              <w:rPr>
                <w:rFonts w:ascii="Times New Roman" w:eastAsia="Times New Roman" w:hAnsi="Times New Roman" w:cs="Times New Roman"/>
                <w:b/>
                <w:color w:val="000000"/>
              </w:rPr>
              <w:t>Брой</w:t>
            </w:r>
          </w:p>
        </w:tc>
      </w:tr>
      <w:tr w:rsidR="006856A7" w:rsidRPr="00AA5833" w14:paraId="52A8E96D" w14:textId="77777777" w:rsidTr="006856A7">
        <w:trPr>
          <w:trHeight w:val="304"/>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28BC8B31"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Християнско</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4A4F3"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4 219 270</w:t>
            </w:r>
          </w:p>
        </w:tc>
      </w:tr>
      <w:tr w:rsidR="006856A7" w:rsidRPr="00AA5833" w14:paraId="5EE74306" w14:textId="77777777" w:rsidTr="006856A7">
        <w:trPr>
          <w:trHeight w:val="289"/>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350FCAB2"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 xml:space="preserve">Мюсюлманско </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DFEF2C"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638 708</w:t>
            </w:r>
          </w:p>
        </w:tc>
      </w:tr>
      <w:tr w:rsidR="006856A7" w:rsidRPr="00AA5833" w14:paraId="2D37E6DB" w14:textId="77777777" w:rsidTr="006856A7">
        <w:trPr>
          <w:trHeight w:val="289"/>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6903276D"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Юдейско</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C702B"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1 736</w:t>
            </w:r>
          </w:p>
        </w:tc>
      </w:tr>
      <w:tr w:rsidR="006856A7" w:rsidRPr="00AA5833" w14:paraId="34012D25" w14:textId="77777777" w:rsidTr="006856A7">
        <w:trPr>
          <w:trHeight w:val="289"/>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54A0331A"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 xml:space="preserve">Друго </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55A98"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6 451</w:t>
            </w:r>
          </w:p>
        </w:tc>
      </w:tr>
      <w:tr w:rsidR="006856A7" w:rsidRPr="00AA5833" w14:paraId="079E0C4C" w14:textId="77777777" w:rsidTr="006856A7">
        <w:trPr>
          <w:trHeight w:val="289"/>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2C2DB990"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 xml:space="preserve">Нямам </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3489F9"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305 102</w:t>
            </w:r>
          </w:p>
        </w:tc>
      </w:tr>
      <w:tr w:rsidR="006856A7" w:rsidRPr="00AA5833" w14:paraId="03C45A57" w14:textId="77777777" w:rsidTr="006856A7">
        <w:trPr>
          <w:trHeight w:val="304"/>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hideMark/>
          </w:tcPr>
          <w:p w14:paraId="554A7662"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Не мога да определя</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AC5EFA"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259 235</w:t>
            </w:r>
          </w:p>
        </w:tc>
      </w:tr>
      <w:tr w:rsidR="006856A7" w:rsidRPr="00AA5833" w14:paraId="40542841" w14:textId="77777777" w:rsidTr="006856A7">
        <w:trPr>
          <w:trHeight w:val="304"/>
        </w:trPr>
        <w:tc>
          <w:tcPr>
            <w:tcW w:w="4233" w:type="dxa"/>
            <w:tcBorders>
              <w:top w:val="single" w:sz="4" w:space="0" w:color="auto"/>
              <w:left w:val="single" w:sz="4" w:space="0" w:color="auto"/>
              <w:bottom w:val="single" w:sz="4" w:space="0" w:color="auto"/>
              <w:right w:val="single" w:sz="4" w:space="0" w:color="auto"/>
            </w:tcBorders>
            <w:tcMar>
              <w:top w:w="0" w:type="dxa"/>
              <w:left w:w="38" w:type="dxa"/>
              <w:bottom w:w="0" w:type="dxa"/>
              <w:right w:w="0" w:type="dxa"/>
            </w:tcMar>
            <w:vAlign w:val="center"/>
          </w:tcPr>
          <w:p w14:paraId="1ECA73F4" w14:textId="77777777" w:rsidR="006856A7" w:rsidRPr="00AA5833" w:rsidRDefault="006856A7" w:rsidP="006856A7">
            <w:pPr>
              <w:spacing w:after="0" w:line="240" w:lineRule="auto"/>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Непоказано</w:t>
            </w:r>
            <w:r w:rsidRPr="00AA5833">
              <w:rPr>
                <w:rFonts w:ascii="Times New Roman" w:eastAsia="Times New Roman" w:hAnsi="Times New Roman" w:cs="Times New Roman"/>
                <w:color w:val="000000"/>
                <w:sz w:val="20"/>
                <w:szCs w:val="20"/>
                <w:vertAlign w:val="superscript"/>
              </w:rPr>
              <w:footnoteReference w:id="28"/>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tcPr>
          <w:p w14:paraId="57CF21E5" w14:textId="77777777" w:rsidR="006856A7" w:rsidRPr="00AA5833" w:rsidRDefault="006856A7" w:rsidP="006856A7">
            <w:pPr>
              <w:spacing w:after="0" w:line="240" w:lineRule="auto"/>
              <w:ind w:right="82"/>
              <w:jc w:val="right"/>
              <w:rPr>
                <w:rFonts w:ascii="Times New Roman" w:eastAsia="Times New Roman" w:hAnsi="Times New Roman" w:cs="Times New Roman"/>
                <w:color w:val="000000"/>
                <w:sz w:val="20"/>
                <w:szCs w:val="20"/>
              </w:rPr>
            </w:pPr>
            <w:r w:rsidRPr="00AA5833">
              <w:rPr>
                <w:rFonts w:ascii="Times New Roman" w:eastAsia="Times New Roman" w:hAnsi="Times New Roman" w:cs="Times New Roman"/>
                <w:color w:val="000000"/>
                <w:sz w:val="20"/>
                <w:szCs w:val="20"/>
              </w:rPr>
              <w:t>616 681</w:t>
            </w:r>
          </w:p>
        </w:tc>
      </w:tr>
    </w:tbl>
    <w:p w14:paraId="77992C30" w14:textId="77777777" w:rsidR="006856A7" w:rsidRPr="00AA5833" w:rsidRDefault="006856A7" w:rsidP="006856A7">
      <w:pPr>
        <w:spacing w:after="0" w:line="240" w:lineRule="auto"/>
        <w:jc w:val="both"/>
        <w:rPr>
          <w:rFonts w:ascii="Times New Roman" w:eastAsia="Times New Roman" w:hAnsi="Times New Roman" w:cs="Times New Roman"/>
          <w:color w:val="000000"/>
          <w:sz w:val="18"/>
          <w:szCs w:val="18"/>
          <w:lang w:eastAsia="bg-BG"/>
        </w:rPr>
      </w:pPr>
      <w:r w:rsidRPr="00AA5833">
        <w:rPr>
          <w:rFonts w:ascii="Times New Roman" w:eastAsia="Times New Roman" w:hAnsi="Times New Roman" w:cs="Times New Roman"/>
          <w:color w:val="000000"/>
          <w:sz w:val="18"/>
          <w:szCs w:val="18"/>
          <w:lang w:eastAsia="bg-BG"/>
        </w:rPr>
        <w:t xml:space="preserve">                     Източник: НСИ</w:t>
      </w:r>
    </w:p>
    <w:p w14:paraId="4A4120D4" w14:textId="77777777" w:rsidR="006856A7" w:rsidRPr="00AA5833" w:rsidRDefault="006856A7" w:rsidP="006856A7">
      <w:pPr>
        <w:spacing w:after="0" w:line="240" w:lineRule="auto"/>
        <w:jc w:val="both"/>
        <w:rPr>
          <w:rFonts w:ascii="Times New Roman" w:eastAsia="Times New Roman" w:hAnsi="Times New Roman" w:cs="Times New Roman"/>
          <w:color w:val="000000"/>
          <w:sz w:val="24"/>
          <w:szCs w:val="24"/>
          <w:lang w:eastAsia="bg-BG"/>
        </w:rPr>
      </w:pPr>
    </w:p>
    <w:p w14:paraId="3F95345D" w14:textId="77777777" w:rsidR="006856A7" w:rsidRPr="00AA5833" w:rsidRDefault="006856A7" w:rsidP="006856A7">
      <w:pPr>
        <w:spacing w:after="20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2.7. Териториална структура и ТЕРИТОРИАЛНО разпределение на населението</w:t>
      </w:r>
    </w:p>
    <w:p w14:paraId="5A06BB56"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Разпределението на населението в страната е неравномерно.</w:t>
      </w:r>
    </w:p>
    <w:p w14:paraId="4F4DAD21"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14:paraId="71F7B17D"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t xml:space="preserve">Към 31.12.2024 г. в градовете живеят 4 744 111 души, или 73.7%, а в селата - 1 693 249 души, или 26.3% от населението на страната. </w:t>
      </w:r>
      <w:r w:rsidRPr="00AA5833">
        <w:rPr>
          <w:rFonts w:ascii="Times New Roman" w:eastAsia="Times New Roman" w:hAnsi="Times New Roman" w:cs="Times New Roman"/>
          <w:sz w:val="24"/>
          <w:szCs w:val="24"/>
        </w:rPr>
        <w:t xml:space="preserve">Към края на 2024 г. населените места в България са 5 256, от които 257 са градове и 4 999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села. Населените места без население са 199. С население над 100 хил. души са шест града в страната, в които живеят 35.5% от населението на страната.</w:t>
      </w:r>
    </w:p>
    <w:p w14:paraId="4660F4D5" w14:textId="77777777" w:rsidR="00400D2D" w:rsidRPr="00AA5833" w:rsidRDefault="00400D2D" w:rsidP="00400D2D">
      <w:pPr>
        <w:spacing w:before="160" w:line="36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Фиг. 3. Градове с население над 100 000 жители към 31.12.2024 година</w:t>
      </w:r>
    </w:p>
    <w:p w14:paraId="109D62ED" w14:textId="77777777" w:rsidR="00400D2D" w:rsidRPr="00AA5833" w:rsidRDefault="00400D2D" w:rsidP="00400D2D">
      <w:pPr>
        <w:spacing w:after="0" w:line="240" w:lineRule="auto"/>
        <w:ind w:right="-81"/>
        <w:jc w:val="center"/>
        <w:rPr>
          <w:rFonts w:ascii="Times New Roman" w:eastAsia="Times New Roman" w:hAnsi="Times New Roman" w:cs="Times New Roman"/>
          <w:b/>
          <w:sz w:val="24"/>
          <w:szCs w:val="24"/>
          <w:lang w:eastAsia="bg-BG"/>
        </w:rPr>
      </w:pPr>
      <w:r w:rsidRPr="00AA5833">
        <w:rPr>
          <w:rFonts w:ascii="Times New Roman" w:hAnsi="Times New Roman" w:cs="Times New Roman"/>
          <w:noProof/>
          <w:sz w:val="24"/>
          <w:szCs w:val="24"/>
          <w:lang w:eastAsia="bg-BG"/>
        </w:rPr>
        <w:drawing>
          <wp:inline distT="0" distB="0" distL="0" distR="0" wp14:anchorId="6CDB9C24" wp14:editId="4002158D">
            <wp:extent cx="5791835" cy="211264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E8E5E2" w14:textId="77777777" w:rsidR="00377372" w:rsidRPr="00AA5833" w:rsidRDefault="00377372" w:rsidP="00377372">
      <w:pPr>
        <w:spacing w:after="0" w:line="240" w:lineRule="auto"/>
        <w:ind w:right="-81"/>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01C7C308" w14:textId="77777777" w:rsidR="00377372" w:rsidRPr="00AA5833" w:rsidRDefault="00377372" w:rsidP="002863D5">
      <w:pPr>
        <w:spacing w:after="0" w:line="240" w:lineRule="auto"/>
        <w:ind w:right="-81"/>
        <w:jc w:val="center"/>
        <w:rPr>
          <w:rFonts w:ascii="Times New Roman" w:eastAsia="Times New Roman" w:hAnsi="Times New Roman" w:cs="Times New Roman"/>
          <w:b/>
          <w:sz w:val="24"/>
          <w:szCs w:val="24"/>
          <w:lang w:eastAsia="bg-BG"/>
        </w:rPr>
      </w:pPr>
    </w:p>
    <w:p w14:paraId="6791B8A9" w14:textId="77777777" w:rsidR="00400D2D" w:rsidRPr="00AA5833" w:rsidRDefault="00400D2D" w:rsidP="002863D5">
      <w:pPr>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Към края на 2024 г. страната е разделена на 6 статистически района, 28 области и 265 общини. </w:t>
      </w:r>
    </w:p>
    <w:p w14:paraId="5C661DEB"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Статистически райони</w:t>
      </w:r>
    </w:p>
    <w:p w14:paraId="5496AEE4"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lastRenderedPageBreak/>
        <w:t xml:space="preserve">Половината от населението на страната (51.7%) живее в Югозападния и Южния централен район, а най-малък по брой на населението е Северозападният район </w:t>
      </w:r>
      <w:r w:rsidR="002863D5"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655 хил. души, или 10.2% от населението на страната. През 2024 г. в два статистически района населението намалява спрямо 2023 г.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в Северозападния с 1.3%, а в Северния централен район с 1.0%. В останалите статистически райони населението нараства.</w:t>
      </w:r>
    </w:p>
    <w:p w14:paraId="33C03799" w14:textId="77777777" w:rsidR="00400D2D" w:rsidRPr="00AA5833" w:rsidRDefault="00400D2D" w:rsidP="00400D2D">
      <w:pPr>
        <w:autoSpaceDE w:val="0"/>
        <w:autoSpaceDN w:val="0"/>
        <w:adjustRightInd w:val="0"/>
        <w:spacing w:before="160" w:line="36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1. Население по статистически райони към 31.12.2024 година</w:t>
      </w:r>
    </w:p>
    <w:tbl>
      <w:tblPr>
        <w:tblW w:w="8931" w:type="dxa"/>
        <w:tblInd w:w="-10" w:type="dxa"/>
        <w:tblCellMar>
          <w:left w:w="70" w:type="dxa"/>
          <w:right w:w="70" w:type="dxa"/>
        </w:tblCellMar>
        <w:tblLook w:val="04A0" w:firstRow="1" w:lastRow="0" w:firstColumn="1" w:lastColumn="0" w:noHBand="0" w:noVBand="1"/>
      </w:tblPr>
      <w:tblGrid>
        <w:gridCol w:w="2390"/>
        <w:gridCol w:w="1423"/>
        <w:gridCol w:w="1574"/>
        <w:gridCol w:w="1701"/>
        <w:gridCol w:w="1843"/>
      </w:tblGrid>
      <w:tr w:rsidR="00400D2D" w:rsidRPr="00AA5833" w14:paraId="71C7EC9C" w14:textId="77777777" w:rsidTr="00377372">
        <w:trPr>
          <w:trHeight w:val="1065"/>
        </w:trPr>
        <w:tc>
          <w:tcPr>
            <w:tcW w:w="2390" w:type="dxa"/>
            <w:tcBorders>
              <w:top w:val="single" w:sz="8" w:space="0" w:color="A6A6A6"/>
              <w:left w:val="single" w:sz="8" w:space="0" w:color="A6A6A6"/>
              <w:bottom w:val="single" w:sz="8" w:space="0" w:color="A6A6A6"/>
              <w:right w:val="single" w:sz="8" w:space="0" w:color="A6A6A6"/>
            </w:tcBorders>
            <w:shd w:val="clear" w:color="000000" w:fill="DCE6F1"/>
            <w:vAlign w:val="center"/>
            <w:hideMark/>
          </w:tcPr>
          <w:p w14:paraId="7021A918" w14:textId="77777777" w:rsidR="00400D2D" w:rsidRPr="00AA5833" w:rsidRDefault="00400D2D" w:rsidP="00400D2D">
            <w:pPr>
              <w:spacing w:after="0" w:line="240" w:lineRule="auto"/>
              <w:rPr>
                <w:rFonts w:ascii="Times New Roman" w:eastAsia="Times New Roman" w:hAnsi="Times New Roman" w:cs="Times New Roman"/>
                <w:b/>
                <w:bCs/>
                <w:color w:val="000000"/>
                <w:sz w:val="20"/>
                <w:szCs w:val="20"/>
                <w:lang w:eastAsia="bg-BG"/>
              </w:rPr>
            </w:pPr>
            <w:r w:rsidRPr="00AA5833">
              <w:rPr>
                <w:rFonts w:ascii="Times New Roman" w:eastAsia="Times New Roman" w:hAnsi="Times New Roman" w:cs="Times New Roman"/>
                <w:b/>
                <w:bCs/>
                <w:color w:val="000000"/>
                <w:sz w:val="20"/>
                <w:szCs w:val="20"/>
                <w:lang w:eastAsia="bg-BG"/>
              </w:rPr>
              <w:t>Статистически район</w:t>
            </w:r>
          </w:p>
        </w:tc>
        <w:tc>
          <w:tcPr>
            <w:tcW w:w="1423" w:type="dxa"/>
            <w:tcBorders>
              <w:top w:val="single" w:sz="8" w:space="0" w:color="A6A6A6"/>
              <w:left w:val="nil"/>
              <w:bottom w:val="single" w:sz="8" w:space="0" w:color="A6A6A6"/>
              <w:right w:val="single" w:sz="8" w:space="0" w:color="A6A6A6"/>
            </w:tcBorders>
            <w:shd w:val="clear" w:color="000000" w:fill="DCE6F1"/>
            <w:vAlign w:val="center"/>
            <w:hideMark/>
          </w:tcPr>
          <w:p w14:paraId="5660E69E" w14:textId="77777777" w:rsidR="00400D2D" w:rsidRPr="00AA5833" w:rsidRDefault="00400D2D" w:rsidP="00400D2D">
            <w:pPr>
              <w:spacing w:after="0" w:line="240" w:lineRule="auto"/>
              <w:jc w:val="center"/>
              <w:rPr>
                <w:rFonts w:ascii="Times New Roman" w:eastAsia="Times New Roman" w:hAnsi="Times New Roman" w:cs="Times New Roman"/>
                <w:b/>
                <w:bCs/>
                <w:color w:val="000000"/>
                <w:sz w:val="20"/>
                <w:szCs w:val="20"/>
                <w:lang w:eastAsia="bg-BG"/>
              </w:rPr>
            </w:pPr>
            <w:r w:rsidRPr="00AA5833">
              <w:rPr>
                <w:rFonts w:ascii="Times New Roman" w:eastAsia="Times New Roman" w:hAnsi="Times New Roman" w:cs="Times New Roman"/>
                <w:b/>
                <w:bCs/>
                <w:color w:val="000000"/>
                <w:sz w:val="20"/>
                <w:szCs w:val="20"/>
                <w:lang w:eastAsia="bg-BG"/>
              </w:rPr>
              <w:t>Население към 31.12.2024 - брой</w:t>
            </w:r>
          </w:p>
        </w:tc>
        <w:tc>
          <w:tcPr>
            <w:tcW w:w="1574" w:type="dxa"/>
            <w:tcBorders>
              <w:top w:val="single" w:sz="8" w:space="0" w:color="A6A6A6"/>
              <w:left w:val="nil"/>
              <w:bottom w:val="single" w:sz="8" w:space="0" w:color="A6A6A6"/>
              <w:right w:val="single" w:sz="8" w:space="0" w:color="A6A6A6"/>
            </w:tcBorders>
            <w:shd w:val="clear" w:color="000000" w:fill="DCE6F1"/>
            <w:vAlign w:val="center"/>
            <w:hideMark/>
          </w:tcPr>
          <w:p w14:paraId="5E7C20A0" w14:textId="77777777" w:rsidR="00400D2D" w:rsidRPr="00AA5833" w:rsidRDefault="00400D2D" w:rsidP="00400D2D">
            <w:pPr>
              <w:spacing w:after="0" w:line="240" w:lineRule="auto"/>
              <w:jc w:val="center"/>
              <w:rPr>
                <w:rFonts w:ascii="Times New Roman" w:eastAsia="Times New Roman" w:hAnsi="Times New Roman" w:cs="Times New Roman"/>
                <w:b/>
                <w:bCs/>
                <w:color w:val="000000"/>
                <w:sz w:val="20"/>
                <w:szCs w:val="20"/>
                <w:lang w:eastAsia="bg-BG"/>
              </w:rPr>
            </w:pPr>
            <w:r w:rsidRPr="00AA5833">
              <w:rPr>
                <w:rFonts w:ascii="Times New Roman" w:eastAsia="Times New Roman" w:hAnsi="Times New Roman" w:cs="Times New Roman"/>
                <w:b/>
                <w:bCs/>
                <w:color w:val="000000"/>
                <w:sz w:val="20"/>
                <w:szCs w:val="20"/>
                <w:lang w:eastAsia="bg-BG"/>
              </w:rPr>
              <w:t>Население към 31.12.2024 - %</w:t>
            </w:r>
          </w:p>
        </w:tc>
        <w:tc>
          <w:tcPr>
            <w:tcW w:w="1701" w:type="dxa"/>
            <w:tcBorders>
              <w:top w:val="single" w:sz="8" w:space="0" w:color="A6A6A6"/>
              <w:left w:val="nil"/>
              <w:bottom w:val="single" w:sz="8" w:space="0" w:color="A6A6A6"/>
              <w:right w:val="single" w:sz="8" w:space="0" w:color="A6A6A6"/>
            </w:tcBorders>
            <w:shd w:val="clear" w:color="000000" w:fill="DCE6F1"/>
            <w:vAlign w:val="center"/>
            <w:hideMark/>
          </w:tcPr>
          <w:p w14:paraId="5AFC832C" w14:textId="77777777" w:rsidR="00400D2D" w:rsidRPr="00AA5833" w:rsidRDefault="00400D2D" w:rsidP="00400D2D">
            <w:pPr>
              <w:spacing w:after="0" w:line="240" w:lineRule="auto"/>
              <w:jc w:val="center"/>
              <w:rPr>
                <w:rFonts w:ascii="Times New Roman" w:eastAsia="Times New Roman" w:hAnsi="Times New Roman" w:cs="Times New Roman"/>
                <w:b/>
                <w:bCs/>
                <w:color w:val="000000"/>
                <w:sz w:val="20"/>
                <w:szCs w:val="20"/>
                <w:lang w:eastAsia="bg-BG"/>
              </w:rPr>
            </w:pPr>
            <w:r w:rsidRPr="00AA5833">
              <w:rPr>
                <w:rFonts w:ascii="Times New Roman" w:eastAsia="Times New Roman" w:hAnsi="Times New Roman" w:cs="Times New Roman"/>
                <w:b/>
                <w:bCs/>
                <w:color w:val="000000"/>
                <w:sz w:val="20"/>
                <w:szCs w:val="20"/>
                <w:lang w:eastAsia="bg-BG"/>
              </w:rPr>
              <w:t>Прираст на населението - брой</w:t>
            </w:r>
          </w:p>
        </w:tc>
        <w:tc>
          <w:tcPr>
            <w:tcW w:w="1843" w:type="dxa"/>
            <w:tcBorders>
              <w:top w:val="single" w:sz="8" w:space="0" w:color="A6A6A6"/>
              <w:left w:val="nil"/>
              <w:bottom w:val="single" w:sz="8" w:space="0" w:color="A6A6A6"/>
              <w:right w:val="single" w:sz="8" w:space="0" w:color="A6A6A6"/>
            </w:tcBorders>
            <w:shd w:val="clear" w:color="000000" w:fill="DCE6F1"/>
            <w:vAlign w:val="center"/>
            <w:hideMark/>
          </w:tcPr>
          <w:p w14:paraId="24412227" w14:textId="77777777" w:rsidR="00400D2D" w:rsidRPr="00AA5833" w:rsidRDefault="00400D2D" w:rsidP="00400D2D">
            <w:pPr>
              <w:spacing w:after="0" w:line="240" w:lineRule="auto"/>
              <w:jc w:val="center"/>
              <w:rPr>
                <w:rFonts w:ascii="Times New Roman" w:eastAsia="Times New Roman" w:hAnsi="Times New Roman" w:cs="Times New Roman"/>
                <w:b/>
                <w:bCs/>
                <w:color w:val="000000"/>
                <w:sz w:val="20"/>
                <w:szCs w:val="20"/>
                <w:lang w:eastAsia="bg-BG"/>
              </w:rPr>
            </w:pPr>
            <w:r w:rsidRPr="00AA5833">
              <w:rPr>
                <w:rFonts w:ascii="Times New Roman" w:eastAsia="Times New Roman" w:hAnsi="Times New Roman" w:cs="Times New Roman"/>
                <w:b/>
                <w:bCs/>
                <w:color w:val="000000"/>
                <w:sz w:val="20"/>
                <w:szCs w:val="20"/>
                <w:lang w:eastAsia="bg-BG"/>
              </w:rPr>
              <w:t>Прираст на населението - %</w:t>
            </w:r>
          </w:p>
        </w:tc>
      </w:tr>
      <w:tr w:rsidR="00400D2D" w:rsidRPr="00AA5833" w14:paraId="3AD50AF7"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1DCD1097"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Северозападен</w:t>
            </w:r>
          </w:p>
        </w:tc>
        <w:tc>
          <w:tcPr>
            <w:tcW w:w="1423" w:type="dxa"/>
            <w:tcBorders>
              <w:top w:val="nil"/>
              <w:left w:val="nil"/>
              <w:bottom w:val="single" w:sz="8" w:space="0" w:color="A6A6A6"/>
              <w:right w:val="single" w:sz="8" w:space="0" w:color="A6A6A6"/>
            </w:tcBorders>
            <w:shd w:val="clear" w:color="auto" w:fill="auto"/>
            <w:noWrap/>
            <w:vAlign w:val="center"/>
            <w:hideMark/>
          </w:tcPr>
          <w:p w14:paraId="5F022454"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655430</w:t>
            </w:r>
          </w:p>
        </w:tc>
        <w:tc>
          <w:tcPr>
            <w:tcW w:w="1574" w:type="dxa"/>
            <w:tcBorders>
              <w:top w:val="nil"/>
              <w:left w:val="nil"/>
              <w:bottom w:val="single" w:sz="8" w:space="0" w:color="A6A6A6"/>
              <w:right w:val="single" w:sz="8" w:space="0" w:color="A6A6A6"/>
            </w:tcBorders>
            <w:shd w:val="clear" w:color="auto" w:fill="auto"/>
            <w:noWrap/>
            <w:vAlign w:val="center"/>
            <w:hideMark/>
          </w:tcPr>
          <w:p w14:paraId="7038A28C"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10.2</w:t>
            </w:r>
          </w:p>
        </w:tc>
        <w:tc>
          <w:tcPr>
            <w:tcW w:w="1701" w:type="dxa"/>
            <w:tcBorders>
              <w:top w:val="nil"/>
              <w:left w:val="nil"/>
              <w:bottom w:val="single" w:sz="8" w:space="0" w:color="A6A6A6"/>
              <w:right w:val="single" w:sz="8" w:space="0" w:color="A6A6A6"/>
            </w:tcBorders>
            <w:shd w:val="clear" w:color="auto" w:fill="auto"/>
            <w:noWrap/>
            <w:vAlign w:val="center"/>
            <w:hideMark/>
          </w:tcPr>
          <w:p w14:paraId="47C0D49D"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-8594</w:t>
            </w:r>
          </w:p>
        </w:tc>
        <w:tc>
          <w:tcPr>
            <w:tcW w:w="1843" w:type="dxa"/>
            <w:tcBorders>
              <w:top w:val="nil"/>
              <w:left w:val="nil"/>
              <w:bottom w:val="single" w:sz="8" w:space="0" w:color="A6A6A6"/>
              <w:right w:val="single" w:sz="8" w:space="0" w:color="A6A6A6"/>
            </w:tcBorders>
            <w:shd w:val="clear" w:color="auto" w:fill="auto"/>
            <w:noWrap/>
            <w:vAlign w:val="center"/>
            <w:hideMark/>
          </w:tcPr>
          <w:p w14:paraId="4BA95956"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-1.3</w:t>
            </w:r>
          </w:p>
        </w:tc>
      </w:tr>
      <w:tr w:rsidR="00400D2D" w:rsidRPr="00AA5833" w14:paraId="7D888D9F"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1A126D97"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Северен централен</w:t>
            </w:r>
          </w:p>
        </w:tc>
        <w:tc>
          <w:tcPr>
            <w:tcW w:w="1423" w:type="dxa"/>
            <w:tcBorders>
              <w:top w:val="nil"/>
              <w:left w:val="nil"/>
              <w:bottom w:val="single" w:sz="8" w:space="0" w:color="A6A6A6"/>
              <w:right w:val="single" w:sz="8" w:space="0" w:color="A6A6A6"/>
            </w:tcBorders>
            <w:shd w:val="clear" w:color="auto" w:fill="auto"/>
            <w:noWrap/>
            <w:vAlign w:val="center"/>
            <w:hideMark/>
          </w:tcPr>
          <w:p w14:paraId="5002F4C0"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673331</w:t>
            </w:r>
          </w:p>
        </w:tc>
        <w:tc>
          <w:tcPr>
            <w:tcW w:w="1574" w:type="dxa"/>
            <w:tcBorders>
              <w:top w:val="nil"/>
              <w:left w:val="nil"/>
              <w:bottom w:val="single" w:sz="8" w:space="0" w:color="A6A6A6"/>
              <w:right w:val="single" w:sz="8" w:space="0" w:color="A6A6A6"/>
            </w:tcBorders>
            <w:shd w:val="clear" w:color="auto" w:fill="auto"/>
            <w:noWrap/>
            <w:vAlign w:val="center"/>
            <w:hideMark/>
          </w:tcPr>
          <w:p w14:paraId="1C743AC0"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10.5</w:t>
            </w:r>
          </w:p>
        </w:tc>
        <w:tc>
          <w:tcPr>
            <w:tcW w:w="1701" w:type="dxa"/>
            <w:tcBorders>
              <w:top w:val="nil"/>
              <w:left w:val="nil"/>
              <w:bottom w:val="single" w:sz="8" w:space="0" w:color="A6A6A6"/>
              <w:right w:val="single" w:sz="8" w:space="0" w:color="A6A6A6"/>
            </w:tcBorders>
            <w:shd w:val="clear" w:color="auto" w:fill="auto"/>
            <w:noWrap/>
            <w:vAlign w:val="center"/>
            <w:hideMark/>
          </w:tcPr>
          <w:p w14:paraId="31FE98CA"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-7028</w:t>
            </w:r>
          </w:p>
        </w:tc>
        <w:tc>
          <w:tcPr>
            <w:tcW w:w="1843" w:type="dxa"/>
            <w:tcBorders>
              <w:top w:val="nil"/>
              <w:left w:val="nil"/>
              <w:bottom w:val="single" w:sz="8" w:space="0" w:color="A6A6A6"/>
              <w:right w:val="single" w:sz="8" w:space="0" w:color="A6A6A6"/>
            </w:tcBorders>
            <w:shd w:val="clear" w:color="auto" w:fill="auto"/>
            <w:noWrap/>
            <w:vAlign w:val="center"/>
            <w:hideMark/>
          </w:tcPr>
          <w:p w14:paraId="0F384A56"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-1.0</w:t>
            </w:r>
          </w:p>
        </w:tc>
      </w:tr>
      <w:tr w:rsidR="00400D2D" w:rsidRPr="00AA5833" w14:paraId="43A54EC5"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7AADF86E"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Североизточен</w:t>
            </w:r>
          </w:p>
        </w:tc>
        <w:tc>
          <w:tcPr>
            <w:tcW w:w="1423" w:type="dxa"/>
            <w:tcBorders>
              <w:top w:val="nil"/>
              <w:left w:val="nil"/>
              <w:bottom w:val="single" w:sz="8" w:space="0" w:color="A6A6A6"/>
              <w:right w:val="single" w:sz="8" w:space="0" w:color="A6A6A6"/>
            </w:tcBorders>
            <w:shd w:val="clear" w:color="auto" w:fill="auto"/>
            <w:noWrap/>
            <w:vAlign w:val="center"/>
            <w:hideMark/>
          </w:tcPr>
          <w:p w14:paraId="7F2094E9"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826742</w:t>
            </w:r>
          </w:p>
        </w:tc>
        <w:tc>
          <w:tcPr>
            <w:tcW w:w="1574" w:type="dxa"/>
            <w:tcBorders>
              <w:top w:val="nil"/>
              <w:left w:val="nil"/>
              <w:bottom w:val="single" w:sz="8" w:space="0" w:color="A6A6A6"/>
              <w:right w:val="single" w:sz="8" w:space="0" w:color="A6A6A6"/>
            </w:tcBorders>
            <w:shd w:val="clear" w:color="auto" w:fill="auto"/>
            <w:noWrap/>
            <w:vAlign w:val="center"/>
            <w:hideMark/>
          </w:tcPr>
          <w:p w14:paraId="1FFD9FB7"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12.8</w:t>
            </w:r>
          </w:p>
        </w:tc>
        <w:tc>
          <w:tcPr>
            <w:tcW w:w="1701" w:type="dxa"/>
            <w:tcBorders>
              <w:top w:val="nil"/>
              <w:left w:val="nil"/>
              <w:bottom w:val="single" w:sz="8" w:space="0" w:color="A6A6A6"/>
              <w:right w:val="single" w:sz="8" w:space="0" w:color="A6A6A6"/>
            </w:tcBorders>
            <w:shd w:val="clear" w:color="auto" w:fill="auto"/>
            <w:noWrap/>
            <w:vAlign w:val="center"/>
            <w:hideMark/>
          </w:tcPr>
          <w:p w14:paraId="5FE4E6B3"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608</w:t>
            </w:r>
          </w:p>
        </w:tc>
        <w:tc>
          <w:tcPr>
            <w:tcW w:w="1843" w:type="dxa"/>
            <w:tcBorders>
              <w:top w:val="nil"/>
              <w:left w:val="nil"/>
              <w:bottom w:val="single" w:sz="8" w:space="0" w:color="A6A6A6"/>
              <w:right w:val="single" w:sz="8" w:space="0" w:color="A6A6A6"/>
            </w:tcBorders>
            <w:shd w:val="clear" w:color="auto" w:fill="auto"/>
            <w:noWrap/>
            <w:vAlign w:val="center"/>
            <w:hideMark/>
          </w:tcPr>
          <w:p w14:paraId="6B735C35"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0.1</w:t>
            </w:r>
          </w:p>
        </w:tc>
      </w:tr>
      <w:tr w:rsidR="00400D2D" w:rsidRPr="00AA5833" w14:paraId="79345D4D"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37CBBC99"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Югоизточен</w:t>
            </w:r>
          </w:p>
        </w:tc>
        <w:tc>
          <w:tcPr>
            <w:tcW w:w="1423" w:type="dxa"/>
            <w:tcBorders>
              <w:top w:val="nil"/>
              <w:left w:val="nil"/>
              <w:bottom w:val="single" w:sz="8" w:space="0" w:color="A6A6A6"/>
              <w:right w:val="single" w:sz="8" w:space="0" w:color="A6A6A6"/>
            </w:tcBorders>
            <w:shd w:val="clear" w:color="auto" w:fill="auto"/>
            <w:noWrap/>
            <w:vAlign w:val="center"/>
            <w:hideMark/>
          </w:tcPr>
          <w:p w14:paraId="1E0F1C0A"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952383</w:t>
            </w:r>
          </w:p>
        </w:tc>
        <w:tc>
          <w:tcPr>
            <w:tcW w:w="1574" w:type="dxa"/>
            <w:tcBorders>
              <w:top w:val="nil"/>
              <w:left w:val="nil"/>
              <w:bottom w:val="single" w:sz="8" w:space="0" w:color="A6A6A6"/>
              <w:right w:val="single" w:sz="8" w:space="0" w:color="A6A6A6"/>
            </w:tcBorders>
            <w:shd w:val="clear" w:color="auto" w:fill="auto"/>
            <w:noWrap/>
            <w:vAlign w:val="center"/>
            <w:hideMark/>
          </w:tcPr>
          <w:p w14:paraId="44B37909"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14.8</w:t>
            </w:r>
          </w:p>
        </w:tc>
        <w:tc>
          <w:tcPr>
            <w:tcW w:w="1701" w:type="dxa"/>
            <w:tcBorders>
              <w:top w:val="nil"/>
              <w:left w:val="nil"/>
              <w:bottom w:val="single" w:sz="8" w:space="0" w:color="A6A6A6"/>
              <w:right w:val="single" w:sz="8" w:space="0" w:color="A6A6A6"/>
            </w:tcBorders>
            <w:shd w:val="clear" w:color="auto" w:fill="auto"/>
            <w:noWrap/>
            <w:vAlign w:val="center"/>
            <w:hideMark/>
          </w:tcPr>
          <w:p w14:paraId="34371A19"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1216</w:t>
            </w:r>
          </w:p>
        </w:tc>
        <w:tc>
          <w:tcPr>
            <w:tcW w:w="1843" w:type="dxa"/>
            <w:tcBorders>
              <w:top w:val="nil"/>
              <w:left w:val="nil"/>
              <w:bottom w:val="single" w:sz="8" w:space="0" w:color="A6A6A6"/>
              <w:right w:val="single" w:sz="8" w:space="0" w:color="A6A6A6"/>
            </w:tcBorders>
            <w:shd w:val="clear" w:color="auto" w:fill="auto"/>
            <w:noWrap/>
            <w:vAlign w:val="center"/>
            <w:hideMark/>
          </w:tcPr>
          <w:p w14:paraId="40F10407"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0.1</w:t>
            </w:r>
          </w:p>
        </w:tc>
      </w:tr>
      <w:tr w:rsidR="00400D2D" w:rsidRPr="00AA5833" w14:paraId="5F139935"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68EC4E3A"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Югозападен</w:t>
            </w:r>
          </w:p>
        </w:tc>
        <w:tc>
          <w:tcPr>
            <w:tcW w:w="1423" w:type="dxa"/>
            <w:tcBorders>
              <w:top w:val="nil"/>
              <w:left w:val="nil"/>
              <w:bottom w:val="single" w:sz="8" w:space="0" w:color="A6A6A6"/>
              <w:right w:val="single" w:sz="8" w:space="0" w:color="A6A6A6"/>
            </w:tcBorders>
            <w:shd w:val="clear" w:color="auto" w:fill="auto"/>
            <w:noWrap/>
            <w:vAlign w:val="center"/>
            <w:hideMark/>
          </w:tcPr>
          <w:p w14:paraId="4C81FFA1"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2022982</w:t>
            </w:r>
          </w:p>
        </w:tc>
        <w:tc>
          <w:tcPr>
            <w:tcW w:w="1574" w:type="dxa"/>
            <w:tcBorders>
              <w:top w:val="nil"/>
              <w:left w:val="nil"/>
              <w:bottom w:val="single" w:sz="8" w:space="0" w:color="A6A6A6"/>
              <w:right w:val="single" w:sz="8" w:space="0" w:color="A6A6A6"/>
            </w:tcBorders>
            <w:shd w:val="clear" w:color="auto" w:fill="auto"/>
            <w:noWrap/>
            <w:vAlign w:val="center"/>
            <w:hideMark/>
          </w:tcPr>
          <w:p w14:paraId="3238A74B"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31.4</w:t>
            </w:r>
          </w:p>
        </w:tc>
        <w:tc>
          <w:tcPr>
            <w:tcW w:w="1701" w:type="dxa"/>
            <w:tcBorders>
              <w:top w:val="nil"/>
              <w:left w:val="nil"/>
              <w:bottom w:val="single" w:sz="8" w:space="0" w:color="A6A6A6"/>
              <w:right w:val="single" w:sz="8" w:space="0" w:color="A6A6A6"/>
            </w:tcBorders>
            <w:shd w:val="clear" w:color="auto" w:fill="auto"/>
            <w:noWrap/>
            <w:vAlign w:val="center"/>
            <w:hideMark/>
          </w:tcPr>
          <w:p w14:paraId="4276BFFD"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3815</w:t>
            </w:r>
          </w:p>
        </w:tc>
        <w:tc>
          <w:tcPr>
            <w:tcW w:w="1843" w:type="dxa"/>
            <w:tcBorders>
              <w:top w:val="nil"/>
              <w:left w:val="nil"/>
              <w:bottom w:val="single" w:sz="8" w:space="0" w:color="A6A6A6"/>
              <w:right w:val="single" w:sz="8" w:space="0" w:color="A6A6A6"/>
            </w:tcBorders>
            <w:shd w:val="clear" w:color="auto" w:fill="auto"/>
            <w:noWrap/>
            <w:vAlign w:val="center"/>
            <w:hideMark/>
          </w:tcPr>
          <w:p w14:paraId="60B01B49"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0.2</w:t>
            </w:r>
          </w:p>
        </w:tc>
      </w:tr>
      <w:tr w:rsidR="00400D2D" w:rsidRPr="00AA5833" w14:paraId="67FA41EB" w14:textId="77777777" w:rsidTr="00377372">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0DE9705B" w14:textId="77777777" w:rsidR="00400D2D" w:rsidRPr="00AA5833" w:rsidRDefault="00400D2D" w:rsidP="00400D2D">
            <w:pPr>
              <w:spacing w:after="0" w:line="240" w:lineRule="auto"/>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Южен централен</w:t>
            </w:r>
          </w:p>
        </w:tc>
        <w:tc>
          <w:tcPr>
            <w:tcW w:w="1423" w:type="dxa"/>
            <w:tcBorders>
              <w:top w:val="nil"/>
              <w:left w:val="nil"/>
              <w:bottom w:val="single" w:sz="8" w:space="0" w:color="A6A6A6"/>
              <w:right w:val="single" w:sz="8" w:space="0" w:color="A6A6A6"/>
            </w:tcBorders>
            <w:shd w:val="clear" w:color="auto" w:fill="auto"/>
            <w:noWrap/>
            <w:vAlign w:val="center"/>
            <w:hideMark/>
          </w:tcPr>
          <w:p w14:paraId="4F880E54"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1306492</w:t>
            </w:r>
          </w:p>
        </w:tc>
        <w:tc>
          <w:tcPr>
            <w:tcW w:w="1574" w:type="dxa"/>
            <w:tcBorders>
              <w:top w:val="nil"/>
              <w:left w:val="nil"/>
              <w:bottom w:val="single" w:sz="8" w:space="0" w:color="A6A6A6"/>
              <w:right w:val="single" w:sz="8" w:space="0" w:color="A6A6A6"/>
            </w:tcBorders>
            <w:shd w:val="clear" w:color="auto" w:fill="auto"/>
            <w:noWrap/>
            <w:vAlign w:val="center"/>
            <w:hideMark/>
          </w:tcPr>
          <w:p w14:paraId="319A79FE"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20.3</w:t>
            </w:r>
          </w:p>
        </w:tc>
        <w:tc>
          <w:tcPr>
            <w:tcW w:w="1701" w:type="dxa"/>
            <w:tcBorders>
              <w:top w:val="nil"/>
              <w:left w:val="nil"/>
              <w:bottom w:val="single" w:sz="8" w:space="0" w:color="A6A6A6"/>
              <w:right w:val="single" w:sz="8" w:space="0" w:color="A6A6A6"/>
            </w:tcBorders>
            <w:shd w:val="clear" w:color="auto" w:fill="auto"/>
            <w:noWrap/>
            <w:vAlign w:val="center"/>
            <w:hideMark/>
          </w:tcPr>
          <w:p w14:paraId="0E46D813"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1862</w:t>
            </w:r>
          </w:p>
        </w:tc>
        <w:tc>
          <w:tcPr>
            <w:tcW w:w="1843" w:type="dxa"/>
            <w:tcBorders>
              <w:top w:val="nil"/>
              <w:left w:val="nil"/>
              <w:bottom w:val="single" w:sz="8" w:space="0" w:color="A6A6A6"/>
              <w:right w:val="single" w:sz="8" w:space="0" w:color="A6A6A6"/>
            </w:tcBorders>
            <w:shd w:val="clear" w:color="auto" w:fill="auto"/>
            <w:noWrap/>
            <w:vAlign w:val="center"/>
            <w:hideMark/>
          </w:tcPr>
          <w:p w14:paraId="4EDBF95D" w14:textId="77777777" w:rsidR="00400D2D" w:rsidRPr="00AA5833" w:rsidRDefault="00400D2D" w:rsidP="00400D2D">
            <w:pPr>
              <w:spacing w:after="0" w:line="240" w:lineRule="auto"/>
              <w:jc w:val="right"/>
              <w:rPr>
                <w:rFonts w:ascii="Times New Roman" w:eastAsia="Times New Roman" w:hAnsi="Times New Roman" w:cs="Times New Roman"/>
                <w:color w:val="000000"/>
                <w:sz w:val="20"/>
                <w:szCs w:val="20"/>
                <w:lang w:eastAsia="bg-BG"/>
              </w:rPr>
            </w:pPr>
            <w:r w:rsidRPr="00AA5833">
              <w:rPr>
                <w:rFonts w:ascii="Times New Roman" w:eastAsia="Times New Roman" w:hAnsi="Times New Roman" w:cs="Times New Roman"/>
                <w:color w:val="000000"/>
                <w:sz w:val="20"/>
                <w:szCs w:val="20"/>
                <w:lang w:eastAsia="bg-BG"/>
              </w:rPr>
              <w:t>0.1</w:t>
            </w:r>
          </w:p>
        </w:tc>
      </w:tr>
    </w:tbl>
    <w:p w14:paraId="06BFCC1C" w14:textId="77777777" w:rsidR="00794265" w:rsidRPr="00AA5833" w:rsidRDefault="00794265" w:rsidP="00794265">
      <w:pPr>
        <w:spacing w:after="0" w:line="240" w:lineRule="auto"/>
        <w:ind w:right="-81"/>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07060BB1" w14:textId="77777777" w:rsidR="00AE33FF" w:rsidRPr="00AA5833" w:rsidRDefault="00AE33FF" w:rsidP="00AE33F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0DFB3DA6" w14:textId="77777777" w:rsidR="00400D2D" w:rsidRPr="00AA5833" w:rsidRDefault="00400D2D" w:rsidP="00AE33F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Области</w:t>
      </w:r>
    </w:p>
    <w:p w14:paraId="7A78D38E" w14:textId="77777777" w:rsidR="00400D2D" w:rsidRPr="00AA5833" w:rsidRDefault="00400D2D" w:rsidP="00AE33F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Най-малка по население е област Видин, в която живеят 70 542 души, или 1.1% от населението на страната, а най-голяма е област София (столица)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 xml:space="preserve">с </w:t>
      </w:r>
      <w:r w:rsidRPr="00AA5833">
        <w:rPr>
          <w:rFonts w:ascii="Times New Roman" w:eastAsia="Times New Roman" w:hAnsi="Times New Roman" w:cs="Times New Roman"/>
          <w:sz w:val="24"/>
          <w:szCs w:val="24"/>
          <w:lang w:eastAsia="bg-BG"/>
        </w:rPr>
        <w:t>1 295 931</w:t>
      </w:r>
      <w:r w:rsidRPr="00AA5833">
        <w:rPr>
          <w:rFonts w:ascii="Times New Roman" w:eastAsia="Times New Roman" w:hAnsi="Times New Roman" w:cs="Times New Roman"/>
          <w:sz w:val="24"/>
          <w:szCs w:val="24"/>
        </w:rPr>
        <w:t xml:space="preserve"> души (20.1%). Четири са областите с население над 300 хил. души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 xml:space="preserve">София (столица), Пловдив, Варна и Бургас. </w:t>
      </w:r>
    </w:p>
    <w:p w14:paraId="0858EF04" w14:textId="77777777" w:rsidR="00400D2D" w:rsidRPr="00AA5833" w:rsidRDefault="00400D2D" w:rsidP="00400D2D">
      <w:pPr>
        <w:autoSpaceDE w:val="0"/>
        <w:autoSpaceDN w:val="0"/>
        <w:adjustRightInd w:val="0"/>
        <w:spacing w:before="160" w:line="360" w:lineRule="auto"/>
        <w:jc w:val="center"/>
        <w:rPr>
          <w:rFonts w:ascii="Times New Roman" w:eastAsia="Times New Roman" w:hAnsi="Times New Roman" w:cs="Times New Roman"/>
          <w:sz w:val="24"/>
          <w:szCs w:val="24"/>
        </w:rPr>
      </w:pPr>
      <w:r w:rsidRPr="00AA5833">
        <w:rPr>
          <w:rFonts w:ascii="Times New Roman" w:eastAsia="Times New Roman" w:hAnsi="Times New Roman" w:cs="Times New Roman"/>
          <w:b/>
          <w:sz w:val="24"/>
          <w:szCs w:val="24"/>
        </w:rPr>
        <w:t xml:space="preserve">2. </w:t>
      </w:r>
      <w:r w:rsidRPr="00AA5833">
        <w:rPr>
          <w:rFonts w:ascii="Times New Roman" w:eastAsia="Times New Roman" w:hAnsi="Times New Roman" w:cs="Times New Roman"/>
          <w:b/>
          <w:sz w:val="24"/>
          <w:szCs w:val="24"/>
          <w:lang w:eastAsia="bg-BG"/>
        </w:rPr>
        <w:t>Население по области към 31.12.2024 година</w:t>
      </w:r>
    </w:p>
    <w:tbl>
      <w:tblPr>
        <w:tblW w:w="9061" w:type="dxa"/>
        <w:tblInd w:w="-10" w:type="dxa"/>
        <w:tblCellMar>
          <w:left w:w="70" w:type="dxa"/>
          <w:right w:w="70" w:type="dxa"/>
        </w:tblCellMar>
        <w:tblLook w:val="04A0" w:firstRow="1" w:lastRow="0" w:firstColumn="1" w:lastColumn="0" w:noHBand="0" w:noVBand="1"/>
      </w:tblPr>
      <w:tblGrid>
        <w:gridCol w:w="2266"/>
        <w:gridCol w:w="1420"/>
        <w:gridCol w:w="1683"/>
        <w:gridCol w:w="1863"/>
        <w:gridCol w:w="1829"/>
      </w:tblGrid>
      <w:tr w:rsidR="00400D2D" w:rsidRPr="00AA5833" w14:paraId="6625FF64" w14:textId="77777777" w:rsidTr="00377372">
        <w:trPr>
          <w:trHeight w:val="550"/>
        </w:trPr>
        <w:tc>
          <w:tcPr>
            <w:tcW w:w="2266" w:type="dxa"/>
            <w:tcBorders>
              <w:top w:val="single" w:sz="8" w:space="0" w:color="A6A6A6"/>
              <w:left w:val="single" w:sz="8" w:space="0" w:color="A6A6A6"/>
              <w:bottom w:val="single" w:sz="8" w:space="0" w:color="A6A6A6"/>
              <w:right w:val="single" w:sz="8" w:space="0" w:color="A6A6A6"/>
            </w:tcBorders>
            <w:shd w:val="clear" w:color="000000" w:fill="DCE6F1"/>
            <w:noWrap/>
            <w:hideMark/>
          </w:tcPr>
          <w:p w14:paraId="56D62CD1"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p>
          <w:p w14:paraId="718228E3"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p>
          <w:p w14:paraId="296779F0"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Области</w:t>
            </w:r>
          </w:p>
        </w:tc>
        <w:tc>
          <w:tcPr>
            <w:tcW w:w="1420" w:type="dxa"/>
            <w:tcBorders>
              <w:top w:val="single" w:sz="8" w:space="0" w:color="A6A6A6"/>
              <w:left w:val="nil"/>
              <w:bottom w:val="single" w:sz="8" w:space="0" w:color="A6A6A6"/>
              <w:right w:val="single" w:sz="8" w:space="0" w:color="A6A6A6"/>
            </w:tcBorders>
            <w:shd w:val="clear" w:color="000000" w:fill="DCE6F1"/>
            <w:hideMark/>
          </w:tcPr>
          <w:p w14:paraId="01BDAE34"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p>
          <w:p w14:paraId="64D0B557"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color w:val="000000"/>
                <w:sz w:val="20"/>
                <w:szCs w:val="20"/>
                <w:lang w:eastAsia="bg-BG"/>
              </w:rPr>
              <w:t>Население към 31.12.2024 - брой</w:t>
            </w:r>
          </w:p>
        </w:tc>
        <w:tc>
          <w:tcPr>
            <w:tcW w:w="1683" w:type="dxa"/>
            <w:tcBorders>
              <w:top w:val="single" w:sz="8" w:space="0" w:color="A6A6A6"/>
              <w:left w:val="nil"/>
              <w:bottom w:val="single" w:sz="8" w:space="0" w:color="A6A6A6"/>
              <w:right w:val="single" w:sz="8" w:space="0" w:color="A6A6A6"/>
            </w:tcBorders>
            <w:shd w:val="clear" w:color="000000" w:fill="DCE6F1"/>
            <w:hideMark/>
          </w:tcPr>
          <w:p w14:paraId="35C9AA24"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p>
          <w:p w14:paraId="14910843"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Население към 31.12.2024 - %</w:t>
            </w:r>
          </w:p>
        </w:tc>
        <w:tc>
          <w:tcPr>
            <w:tcW w:w="1863" w:type="dxa"/>
            <w:tcBorders>
              <w:top w:val="single" w:sz="8" w:space="0" w:color="A6A6A6"/>
              <w:left w:val="nil"/>
              <w:bottom w:val="single" w:sz="8" w:space="0" w:color="A6A6A6"/>
              <w:right w:val="single" w:sz="8" w:space="0" w:color="A6A6A6"/>
            </w:tcBorders>
            <w:shd w:val="clear" w:color="000000" w:fill="DCE6F1"/>
            <w:hideMark/>
          </w:tcPr>
          <w:p w14:paraId="1AF6BC5F"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p>
          <w:p w14:paraId="06A54DAD"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Прираст на населението - брой</w:t>
            </w:r>
          </w:p>
        </w:tc>
        <w:tc>
          <w:tcPr>
            <w:tcW w:w="1829" w:type="dxa"/>
            <w:tcBorders>
              <w:top w:val="single" w:sz="8" w:space="0" w:color="A6A6A6"/>
              <w:left w:val="nil"/>
              <w:bottom w:val="single" w:sz="8" w:space="0" w:color="A6A6A6"/>
              <w:right w:val="single" w:sz="8" w:space="0" w:color="A6A6A6"/>
            </w:tcBorders>
            <w:shd w:val="clear" w:color="000000" w:fill="DCE6F1"/>
            <w:hideMark/>
          </w:tcPr>
          <w:p w14:paraId="0EA18C10"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p>
          <w:p w14:paraId="66870DB6" w14:textId="77777777" w:rsidR="00400D2D" w:rsidRPr="00AA5833" w:rsidRDefault="00400D2D" w:rsidP="00400D2D">
            <w:pPr>
              <w:spacing w:after="0" w:line="24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Прираст на населението - %</w:t>
            </w:r>
          </w:p>
        </w:tc>
      </w:tr>
      <w:tr w:rsidR="00400D2D" w:rsidRPr="00AA5833" w14:paraId="7DAA5768"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AC39E55" w14:textId="77777777" w:rsidR="00400D2D" w:rsidRPr="00AA5833" w:rsidRDefault="00400D2D" w:rsidP="00400D2D">
            <w:pPr>
              <w:spacing w:after="0" w:line="240" w:lineRule="auto"/>
              <w:jc w:val="both"/>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Общо за страната</w:t>
            </w:r>
          </w:p>
        </w:tc>
        <w:tc>
          <w:tcPr>
            <w:tcW w:w="1420" w:type="dxa"/>
            <w:tcBorders>
              <w:top w:val="nil"/>
              <w:left w:val="nil"/>
              <w:bottom w:val="single" w:sz="8" w:space="0" w:color="A6A6A6"/>
              <w:right w:val="single" w:sz="8" w:space="0" w:color="A6A6A6"/>
            </w:tcBorders>
            <w:shd w:val="clear" w:color="auto" w:fill="auto"/>
            <w:noWrap/>
            <w:vAlign w:val="center"/>
            <w:hideMark/>
          </w:tcPr>
          <w:p w14:paraId="1D9DF826"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6437360</w:t>
            </w:r>
          </w:p>
        </w:tc>
        <w:tc>
          <w:tcPr>
            <w:tcW w:w="1683" w:type="dxa"/>
            <w:tcBorders>
              <w:top w:val="nil"/>
              <w:left w:val="nil"/>
              <w:bottom w:val="single" w:sz="8" w:space="0" w:color="A6A6A6"/>
              <w:right w:val="single" w:sz="8" w:space="0" w:color="A6A6A6"/>
            </w:tcBorders>
            <w:shd w:val="clear" w:color="auto" w:fill="auto"/>
            <w:noWrap/>
            <w:vAlign w:val="center"/>
            <w:hideMark/>
          </w:tcPr>
          <w:p w14:paraId="50459867"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100.0</w:t>
            </w:r>
          </w:p>
        </w:tc>
        <w:tc>
          <w:tcPr>
            <w:tcW w:w="1863" w:type="dxa"/>
            <w:tcBorders>
              <w:top w:val="nil"/>
              <w:left w:val="nil"/>
              <w:bottom w:val="single" w:sz="8" w:space="0" w:color="A6A6A6"/>
              <w:right w:val="single" w:sz="8" w:space="0" w:color="A6A6A6"/>
            </w:tcBorders>
            <w:shd w:val="clear" w:color="auto" w:fill="auto"/>
            <w:noWrap/>
            <w:vAlign w:val="center"/>
            <w:hideMark/>
          </w:tcPr>
          <w:p w14:paraId="18F49604"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-8121</w:t>
            </w:r>
          </w:p>
        </w:tc>
        <w:tc>
          <w:tcPr>
            <w:tcW w:w="1829" w:type="dxa"/>
            <w:tcBorders>
              <w:top w:val="nil"/>
              <w:left w:val="nil"/>
              <w:bottom w:val="single" w:sz="8" w:space="0" w:color="A6A6A6"/>
              <w:right w:val="single" w:sz="8" w:space="0" w:color="A6A6A6"/>
            </w:tcBorders>
            <w:shd w:val="clear" w:color="auto" w:fill="auto"/>
            <w:noWrap/>
            <w:vAlign w:val="center"/>
            <w:hideMark/>
          </w:tcPr>
          <w:p w14:paraId="7A2BCED2"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-0.1</w:t>
            </w:r>
          </w:p>
        </w:tc>
      </w:tr>
      <w:tr w:rsidR="00400D2D" w:rsidRPr="00AA5833" w14:paraId="4EC3C21D"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0AE81A35"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Благоевград</w:t>
            </w:r>
          </w:p>
        </w:tc>
        <w:tc>
          <w:tcPr>
            <w:tcW w:w="1420" w:type="dxa"/>
            <w:tcBorders>
              <w:top w:val="nil"/>
              <w:left w:val="nil"/>
              <w:bottom w:val="single" w:sz="8" w:space="0" w:color="A6A6A6"/>
              <w:right w:val="single" w:sz="8" w:space="0" w:color="A6A6A6"/>
            </w:tcBorders>
            <w:shd w:val="clear" w:color="auto" w:fill="auto"/>
            <w:noWrap/>
            <w:vAlign w:val="center"/>
            <w:hideMark/>
          </w:tcPr>
          <w:p w14:paraId="05422C9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286333</w:t>
            </w:r>
          </w:p>
        </w:tc>
        <w:tc>
          <w:tcPr>
            <w:tcW w:w="1683" w:type="dxa"/>
            <w:tcBorders>
              <w:top w:val="nil"/>
              <w:left w:val="nil"/>
              <w:bottom w:val="single" w:sz="8" w:space="0" w:color="A6A6A6"/>
              <w:right w:val="single" w:sz="8" w:space="0" w:color="A6A6A6"/>
            </w:tcBorders>
            <w:shd w:val="clear" w:color="auto" w:fill="auto"/>
            <w:noWrap/>
            <w:vAlign w:val="center"/>
            <w:hideMark/>
          </w:tcPr>
          <w:p w14:paraId="56B62FD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w:t>
            </w:r>
          </w:p>
        </w:tc>
        <w:tc>
          <w:tcPr>
            <w:tcW w:w="1863" w:type="dxa"/>
            <w:tcBorders>
              <w:top w:val="nil"/>
              <w:left w:val="nil"/>
              <w:bottom w:val="single" w:sz="8" w:space="0" w:color="A6A6A6"/>
              <w:right w:val="single" w:sz="8" w:space="0" w:color="A6A6A6"/>
            </w:tcBorders>
            <w:shd w:val="clear" w:color="auto" w:fill="auto"/>
            <w:noWrap/>
            <w:vAlign w:val="center"/>
            <w:hideMark/>
          </w:tcPr>
          <w:p w14:paraId="26563CC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-744</w:t>
            </w:r>
          </w:p>
        </w:tc>
        <w:tc>
          <w:tcPr>
            <w:tcW w:w="1829" w:type="dxa"/>
            <w:tcBorders>
              <w:top w:val="nil"/>
              <w:left w:val="nil"/>
              <w:bottom w:val="single" w:sz="8" w:space="0" w:color="A6A6A6"/>
              <w:right w:val="single" w:sz="8" w:space="0" w:color="A6A6A6"/>
            </w:tcBorders>
            <w:shd w:val="clear" w:color="auto" w:fill="auto"/>
            <w:noWrap/>
            <w:vAlign w:val="center"/>
            <w:hideMark/>
          </w:tcPr>
          <w:p w14:paraId="5566407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-0.3</w:t>
            </w:r>
          </w:p>
        </w:tc>
      </w:tr>
      <w:tr w:rsidR="00400D2D" w:rsidRPr="00AA5833" w14:paraId="22EBA455"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6FAA4CE"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Бургас</w:t>
            </w:r>
          </w:p>
        </w:tc>
        <w:tc>
          <w:tcPr>
            <w:tcW w:w="1420" w:type="dxa"/>
            <w:tcBorders>
              <w:top w:val="nil"/>
              <w:left w:val="nil"/>
              <w:bottom w:val="single" w:sz="8" w:space="0" w:color="A6A6A6"/>
              <w:right w:val="single" w:sz="8" w:space="0" w:color="A6A6A6"/>
            </w:tcBorders>
            <w:shd w:val="clear" w:color="auto" w:fill="auto"/>
            <w:noWrap/>
            <w:vAlign w:val="center"/>
            <w:hideMark/>
          </w:tcPr>
          <w:p w14:paraId="18915D9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388919</w:t>
            </w:r>
          </w:p>
        </w:tc>
        <w:tc>
          <w:tcPr>
            <w:tcW w:w="1683" w:type="dxa"/>
            <w:tcBorders>
              <w:top w:val="nil"/>
              <w:left w:val="nil"/>
              <w:bottom w:val="single" w:sz="8" w:space="0" w:color="A6A6A6"/>
              <w:right w:val="single" w:sz="8" w:space="0" w:color="A6A6A6"/>
            </w:tcBorders>
            <w:shd w:val="clear" w:color="auto" w:fill="auto"/>
            <w:noWrap/>
            <w:vAlign w:val="center"/>
            <w:hideMark/>
          </w:tcPr>
          <w:p w14:paraId="1BC0FD4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6.0</w:t>
            </w:r>
          </w:p>
        </w:tc>
        <w:tc>
          <w:tcPr>
            <w:tcW w:w="1863" w:type="dxa"/>
            <w:tcBorders>
              <w:top w:val="nil"/>
              <w:left w:val="nil"/>
              <w:bottom w:val="single" w:sz="8" w:space="0" w:color="A6A6A6"/>
              <w:right w:val="single" w:sz="8" w:space="0" w:color="A6A6A6"/>
            </w:tcBorders>
            <w:shd w:val="clear" w:color="auto" w:fill="auto"/>
            <w:noWrap/>
            <w:vAlign w:val="center"/>
            <w:hideMark/>
          </w:tcPr>
          <w:p w14:paraId="55C1F4F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4473</w:t>
            </w:r>
          </w:p>
        </w:tc>
        <w:tc>
          <w:tcPr>
            <w:tcW w:w="1829" w:type="dxa"/>
            <w:tcBorders>
              <w:top w:val="nil"/>
              <w:left w:val="nil"/>
              <w:bottom w:val="single" w:sz="8" w:space="0" w:color="A6A6A6"/>
              <w:right w:val="single" w:sz="8" w:space="0" w:color="A6A6A6"/>
            </w:tcBorders>
            <w:shd w:val="clear" w:color="auto" w:fill="auto"/>
            <w:noWrap/>
            <w:vAlign w:val="center"/>
            <w:hideMark/>
          </w:tcPr>
          <w:p w14:paraId="0CE0B0C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r>
      <w:tr w:rsidR="00400D2D" w:rsidRPr="00AA5833" w14:paraId="059D5BF8"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50C0E05"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Варна</w:t>
            </w:r>
          </w:p>
        </w:tc>
        <w:tc>
          <w:tcPr>
            <w:tcW w:w="1420" w:type="dxa"/>
            <w:tcBorders>
              <w:top w:val="nil"/>
              <w:left w:val="nil"/>
              <w:bottom w:val="single" w:sz="8" w:space="0" w:color="A6A6A6"/>
              <w:right w:val="single" w:sz="8" w:space="0" w:color="A6A6A6"/>
            </w:tcBorders>
            <w:shd w:val="clear" w:color="auto" w:fill="auto"/>
            <w:noWrap/>
            <w:vAlign w:val="center"/>
            <w:hideMark/>
          </w:tcPr>
          <w:p w14:paraId="7A82B80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437521</w:t>
            </w:r>
          </w:p>
        </w:tc>
        <w:tc>
          <w:tcPr>
            <w:tcW w:w="1683" w:type="dxa"/>
            <w:tcBorders>
              <w:top w:val="nil"/>
              <w:left w:val="nil"/>
              <w:bottom w:val="single" w:sz="8" w:space="0" w:color="A6A6A6"/>
              <w:right w:val="single" w:sz="8" w:space="0" w:color="A6A6A6"/>
            </w:tcBorders>
            <w:shd w:val="clear" w:color="auto" w:fill="auto"/>
            <w:noWrap/>
            <w:vAlign w:val="center"/>
            <w:hideMark/>
          </w:tcPr>
          <w:p w14:paraId="03DB833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6.8</w:t>
            </w:r>
          </w:p>
        </w:tc>
        <w:tc>
          <w:tcPr>
            <w:tcW w:w="1863" w:type="dxa"/>
            <w:tcBorders>
              <w:top w:val="nil"/>
              <w:left w:val="nil"/>
              <w:bottom w:val="single" w:sz="8" w:space="0" w:color="A6A6A6"/>
              <w:right w:val="single" w:sz="8" w:space="0" w:color="A6A6A6"/>
            </w:tcBorders>
            <w:shd w:val="clear" w:color="auto" w:fill="auto"/>
            <w:noWrap/>
            <w:vAlign w:val="center"/>
            <w:hideMark/>
          </w:tcPr>
          <w:p w14:paraId="1745D3B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3330</w:t>
            </w:r>
          </w:p>
        </w:tc>
        <w:tc>
          <w:tcPr>
            <w:tcW w:w="1829" w:type="dxa"/>
            <w:tcBorders>
              <w:top w:val="nil"/>
              <w:left w:val="nil"/>
              <w:bottom w:val="single" w:sz="8" w:space="0" w:color="A6A6A6"/>
              <w:right w:val="single" w:sz="8" w:space="0" w:color="A6A6A6"/>
            </w:tcBorders>
            <w:shd w:val="clear" w:color="auto" w:fill="auto"/>
            <w:noWrap/>
            <w:vAlign w:val="center"/>
            <w:hideMark/>
          </w:tcPr>
          <w:p w14:paraId="6CD6C05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0.8</w:t>
            </w:r>
          </w:p>
        </w:tc>
      </w:tr>
      <w:tr w:rsidR="00400D2D" w:rsidRPr="00AA5833" w14:paraId="14661735"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00DDD98B"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Велико Търново</w:t>
            </w:r>
          </w:p>
        </w:tc>
        <w:tc>
          <w:tcPr>
            <w:tcW w:w="1420" w:type="dxa"/>
            <w:tcBorders>
              <w:top w:val="nil"/>
              <w:left w:val="nil"/>
              <w:bottom w:val="single" w:sz="8" w:space="0" w:color="A6A6A6"/>
              <w:right w:val="single" w:sz="8" w:space="0" w:color="A6A6A6"/>
            </w:tcBorders>
            <w:shd w:val="clear" w:color="auto" w:fill="auto"/>
            <w:noWrap/>
            <w:vAlign w:val="center"/>
            <w:hideMark/>
          </w:tcPr>
          <w:p w14:paraId="59EF4F8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200413</w:t>
            </w:r>
          </w:p>
        </w:tc>
        <w:tc>
          <w:tcPr>
            <w:tcW w:w="1683" w:type="dxa"/>
            <w:tcBorders>
              <w:top w:val="nil"/>
              <w:left w:val="nil"/>
              <w:bottom w:val="single" w:sz="8" w:space="0" w:color="A6A6A6"/>
              <w:right w:val="single" w:sz="8" w:space="0" w:color="A6A6A6"/>
            </w:tcBorders>
            <w:shd w:val="clear" w:color="auto" w:fill="auto"/>
            <w:noWrap/>
            <w:vAlign w:val="center"/>
            <w:hideMark/>
          </w:tcPr>
          <w:p w14:paraId="4CCC054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3.1</w:t>
            </w:r>
          </w:p>
        </w:tc>
        <w:tc>
          <w:tcPr>
            <w:tcW w:w="1863" w:type="dxa"/>
            <w:tcBorders>
              <w:top w:val="nil"/>
              <w:left w:val="nil"/>
              <w:bottom w:val="single" w:sz="8" w:space="0" w:color="A6A6A6"/>
              <w:right w:val="single" w:sz="8" w:space="0" w:color="A6A6A6"/>
            </w:tcBorders>
            <w:shd w:val="clear" w:color="auto" w:fill="auto"/>
            <w:noWrap/>
            <w:vAlign w:val="center"/>
            <w:hideMark/>
          </w:tcPr>
          <w:p w14:paraId="49F3626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-1819</w:t>
            </w:r>
          </w:p>
        </w:tc>
        <w:tc>
          <w:tcPr>
            <w:tcW w:w="1829" w:type="dxa"/>
            <w:tcBorders>
              <w:top w:val="nil"/>
              <w:left w:val="nil"/>
              <w:bottom w:val="single" w:sz="8" w:space="0" w:color="A6A6A6"/>
              <w:right w:val="single" w:sz="8" w:space="0" w:color="A6A6A6"/>
            </w:tcBorders>
            <w:shd w:val="clear" w:color="auto" w:fill="auto"/>
            <w:noWrap/>
            <w:vAlign w:val="center"/>
            <w:hideMark/>
          </w:tcPr>
          <w:p w14:paraId="19134C6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-0.9</w:t>
            </w:r>
          </w:p>
        </w:tc>
      </w:tr>
      <w:tr w:rsidR="00400D2D" w:rsidRPr="00AA5833" w14:paraId="4E86E2EF"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B950A4C"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Видин</w:t>
            </w:r>
          </w:p>
        </w:tc>
        <w:tc>
          <w:tcPr>
            <w:tcW w:w="1420" w:type="dxa"/>
            <w:tcBorders>
              <w:top w:val="nil"/>
              <w:left w:val="nil"/>
              <w:bottom w:val="single" w:sz="8" w:space="0" w:color="A6A6A6"/>
              <w:right w:val="single" w:sz="8" w:space="0" w:color="A6A6A6"/>
            </w:tcBorders>
            <w:shd w:val="clear" w:color="auto" w:fill="auto"/>
            <w:noWrap/>
            <w:vAlign w:val="center"/>
            <w:hideMark/>
          </w:tcPr>
          <w:p w14:paraId="0FB8C86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70542</w:t>
            </w:r>
          </w:p>
        </w:tc>
        <w:tc>
          <w:tcPr>
            <w:tcW w:w="1683" w:type="dxa"/>
            <w:tcBorders>
              <w:top w:val="nil"/>
              <w:left w:val="nil"/>
              <w:bottom w:val="single" w:sz="8" w:space="0" w:color="A6A6A6"/>
              <w:right w:val="single" w:sz="8" w:space="0" w:color="A6A6A6"/>
            </w:tcBorders>
            <w:shd w:val="clear" w:color="auto" w:fill="auto"/>
            <w:noWrap/>
            <w:vAlign w:val="center"/>
            <w:hideMark/>
          </w:tcPr>
          <w:p w14:paraId="3EEBB84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w:t>
            </w:r>
          </w:p>
        </w:tc>
        <w:tc>
          <w:tcPr>
            <w:tcW w:w="1863" w:type="dxa"/>
            <w:tcBorders>
              <w:top w:val="nil"/>
              <w:left w:val="nil"/>
              <w:bottom w:val="single" w:sz="8" w:space="0" w:color="A6A6A6"/>
              <w:right w:val="single" w:sz="8" w:space="0" w:color="A6A6A6"/>
            </w:tcBorders>
            <w:shd w:val="clear" w:color="auto" w:fill="auto"/>
            <w:noWrap/>
            <w:vAlign w:val="center"/>
            <w:hideMark/>
          </w:tcPr>
          <w:p w14:paraId="74097ED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-1231</w:t>
            </w:r>
          </w:p>
        </w:tc>
        <w:tc>
          <w:tcPr>
            <w:tcW w:w="1829" w:type="dxa"/>
            <w:tcBorders>
              <w:top w:val="nil"/>
              <w:left w:val="nil"/>
              <w:bottom w:val="single" w:sz="8" w:space="0" w:color="A6A6A6"/>
              <w:right w:val="single" w:sz="8" w:space="0" w:color="A6A6A6"/>
            </w:tcBorders>
            <w:shd w:val="clear" w:color="auto" w:fill="auto"/>
            <w:noWrap/>
            <w:vAlign w:val="center"/>
            <w:hideMark/>
          </w:tcPr>
          <w:p w14:paraId="2B53F26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r>
      <w:tr w:rsidR="00400D2D" w:rsidRPr="00AA5833" w14:paraId="0312041E"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7BCC74A"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Враца</w:t>
            </w:r>
          </w:p>
        </w:tc>
        <w:tc>
          <w:tcPr>
            <w:tcW w:w="1420" w:type="dxa"/>
            <w:tcBorders>
              <w:top w:val="nil"/>
              <w:left w:val="nil"/>
              <w:bottom w:val="single" w:sz="8" w:space="0" w:color="A6A6A6"/>
              <w:right w:val="single" w:sz="8" w:space="0" w:color="A6A6A6"/>
            </w:tcBorders>
            <w:shd w:val="clear" w:color="auto" w:fill="auto"/>
            <w:noWrap/>
            <w:vAlign w:val="center"/>
            <w:hideMark/>
          </w:tcPr>
          <w:p w14:paraId="10361AE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146002</w:t>
            </w:r>
          </w:p>
        </w:tc>
        <w:tc>
          <w:tcPr>
            <w:tcW w:w="1683" w:type="dxa"/>
            <w:tcBorders>
              <w:top w:val="nil"/>
              <w:left w:val="nil"/>
              <w:bottom w:val="single" w:sz="8" w:space="0" w:color="A6A6A6"/>
              <w:right w:val="single" w:sz="8" w:space="0" w:color="A6A6A6"/>
            </w:tcBorders>
            <w:shd w:val="clear" w:color="auto" w:fill="auto"/>
            <w:noWrap/>
            <w:vAlign w:val="center"/>
            <w:hideMark/>
          </w:tcPr>
          <w:p w14:paraId="06B2F28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863" w:type="dxa"/>
            <w:tcBorders>
              <w:top w:val="nil"/>
              <w:left w:val="nil"/>
              <w:bottom w:val="single" w:sz="8" w:space="0" w:color="A6A6A6"/>
              <w:right w:val="single" w:sz="8" w:space="0" w:color="A6A6A6"/>
            </w:tcBorders>
            <w:shd w:val="clear" w:color="auto" w:fill="auto"/>
            <w:noWrap/>
            <w:vAlign w:val="center"/>
            <w:hideMark/>
          </w:tcPr>
          <w:p w14:paraId="1A0EDA0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-1617</w:t>
            </w:r>
          </w:p>
        </w:tc>
        <w:tc>
          <w:tcPr>
            <w:tcW w:w="1829" w:type="dxa"/>
            <w:tcBorders>
              <w:top w:val="nil"/>
              <w:left w:val="nil"/>
              <w:bottom w:val="single" w:sz="8" w:space="0" w:color="A6A6A6"/>
              <w:right w:val="single" w:sz="8" w:space="0" w:color="A6A6A6"/>
            </w:tcBorders>
            <w:shd w:val="clear" w:color="auto" w:fill="auto"/>
            <w:noWrap/>
            <w:vAlign w:val="center"/>
            <w:hideMark/>
          </w:tcPr>
          <w:p w14:paraId="46CEB56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w:t>
            </w:r>
          </w:p>
        </w:tc>
      </w:tr>
      <w:tr w:rsidR="00400D2D" w:rsidRPr="00AA5833" w14:paraId="15144A47"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534A240"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Габрово</w:t>
            </w:r>
          </w:p>
        </w:tc>
        <w:tc>
          <w:tcPr>
            <w:tcW w:w="1420" w:type="dxa"/>
            <w:tcBorders>
              <w:top w:val="nil"/>
              <w:left w:val="nil"/>
              <w:bottom w:val="single" w:sz="8" w:space="0" w:color="A6A6A6"/>
              <w:right w:val="single" w:sz="8" w:space="0" w:color="A6A6A6"/>
            </w:tcBorders>
            <w:shd w:val="clear" w:color="auto" w:fill="auto"/>
            <w:noWrap/>
            <w:vAlign w:val="center"/>
            <w:hideMark/>
          </w:tcPr>
          <w:p w14:paraId="2F4169A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93817</w:t>
            </w:r>
          </w:p>
        </w:tc>
        <w:tc>
          <w:tcPr>
            <w:tcW w:w="1683" w:type="dxa"/>
            <w:tcBorders>
              <w:top w:val="nil"/>
              <w:left w:val="nil"/>
              <w:bottom w:val="single" w:sz="8" w:space="0" w:color="A6A6A6"/>
              <w:right w:val="single" w:sz="8" w:space="0" w:color="A6A6A6"/>
            </w:tcBorders>
            <w:shd w:val="clear" w:color="auto" w:fill="auto"/>
            <w:noWrap/>
            <w:vAlign w:val="center"/>
            <w:hideMark/>
          </w:tcPr>
          <w:p w14:paraId="7B7F654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863" w:type="dxa"/>
            <w:tcBorders>
              <w:top w:val="nil"/>
              <w:left w:val="nil"/>
              <w:bottom w:val="single" w:sz="8" w:space="0" w:color="A6A6A6"/>
              <w:right w:val="single" w:sz="8" w:space="0" w:color="A6A6A6"/>
            </w:tcBorders>
            <w:shd w:val="clear" w:color="auto" w:fill="auto"/>
            <w:noWrap/>
            <w:vAlign w:val="center"/>
            <w:hideMark/>
          </w:tcPr>
          <w:p w14:paraId="615CB89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-1045</w:t>
            </w:r>
          </w:p>
        </w:tc>
        <w:tc>
          <w:tcPr>
            <w:tcW w:w="1829" w:type="dxa"/>
            <w:tcBorders>
              <w:top w:val="nil"/>
              <w:left w:val="nil"/>
              <w:bottom w:val="single" w:sz="8" w:space="0" w:color="A6A6A6"/>
              <w:right w:val="single" w:sz="8" w:space="0" w:color="A6A6A6"/>
            </w:tcBorders>
            <w:shd w:val="clear" w:color="auto" w:fill="auto"/>
            <w:noWrap/>
            <w:vAlign w:val="center"/>
            <w:hideMark/>
          </w:tcPr>
          <w:p w14:paraId="3D237A3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w:t>
            </w:r>
          </w:p>
        </w:tc>
      </w:tr>
      <w:tr w:rsidR="00400D2D" w:rsidRPr="00AA5833" w14:paraId="39C5FCCD"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6724568"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Добрич</w:t>
            </w:r>
          </w:p>
        </w:tc>
        <w:tc>
          <w:tcPr>
            <w:tcW w:w="1420" w:type="dxa"/>
            <w:tcBorders>
              <w:top w:val="nil"/>
              <w:left w:val="nil"/>
              <w:bottom w:val="single" w:sz="8" w:space="0" w:color="A6A6A6"/>
              <w:right w:val="single" w:sz="8" w:space="0" w:color="A6A6A6"/>
            </w:tcBorders>
            <w:shd w:val="clear" w:color="auto" w:fill="auto"/>
            <w:noWrap/>
            <w:vAlign w:val="center"/>
            <w:hideMark/>
          </w:tcPr>
          <w:p w14:paraId="28DD88C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145207</w:t>
            </w:r>
          </w:p>
        </w:tc>
        <w:tc>
          <w:tcPr>
            <w:tcW w:w="1683" w:type="dxa"/>
            <w:tcBorders>
              <w:top w:val="nil"/>
              <w:left w:val="nil"/>
              <w:bottom w:val="single" w:sz="8" w:space="0" w:color="A6A6A6"/>
              <w:right w:val="single" w:sz="8" w:space="0" w:color="A6A6A6"/>
            </w:tcBorders>
            <w:shd w:val="clear" w:color="auto" w:fill="auto"/>
            <w:noWrap/>
            <w:vAlign w:val="center"/>
            <w:hideMark/>
          </w:tcPr>
          <w:p w14:paraId="55D5775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863" w:type="dxa"/>
            <w:tcBorders>
              <w:top w:val="nil"/>
              <w:left w:val="nil"/>
              <w:bottom w:val="single" w:sz="8" w:space="0" w:color="A6A6A6"/>
              <w:right w:val="single" w:sz="8" w:space="0" w:color="A6A6A6"/>
            </w:tcBorders>
            <w:shd w:val="clear" w:color="auto" w:fill="auto"/>
            <w:noWrap/>
            <w:vAlign w:val="center"/>
            <w:hideMark/>
          </w:tcPr>
          <w:p w14:paraId="795002C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-1428</w:t>
            </w:r>
          </w:p>
        </w:tc>
        <w:tc>
          <w:tcPr>
            <w:tcW w:w="1829" w:type="dxa"/>
            <w:tcBorders>
              <w:top w:val="nil"/>
              <w:left w:val="nil"/>
              <w:bottom w:val="single" w:sz="8" w:space="0" w:color="A6A6A6"/>
              <w:right w:val="single" w:sz="8" w:space="0" w:color="A6A6A6"/>
            </w:tcBorders>
            <w:shd w:val="clear" w:color="auto" w:fill="auto"/>
            <w:noWrap/>
            <w:vAlign w:val="center"/>
            <w:hideMark/>
          </w:tcPr>
          <w:p w14:paraId="0D881CD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r>
      <w:tr w:rsidR="00400D2D" w:rsidRPr="00AA5833" w14:paraId="058058F9"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B8028E0"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Кърджали</w:t>
            </w:r>
          </w:p>
        </w:tc>
        <w:tc>
          <w:tcPr>
            <w:tcW w:w="1420" w:type="dxa"/>
            <w:tcBorders>
              <w:top w:val="nil"/>
              <w:left w:val="nil"/>
              <w:bottom w:val="single" w:sz="8" w:space="0" w:color="A6A6A6"/>
              <w:right w:val="single" w:sz="8" w:space="0" w:color="A6A6A6"/>
            </w:tcBorders>
            <w:shd w:val="clear" w:color="auto" w:fill="auto"/>
            <w:noWrap/>
            <w:vAlign w:val="center"/>
            <w:hideMark/>
          </w:tcPr>
          <w:p w14:paraId="7EAD027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149478</w:t>
            </w:r>
          </w:p>
        </w:tc>
        <w:tc>
          <w:tcPr>
            <w:tcW w:w="1683" w:type="dxa"/>
            <w:tcBorders>
              <w:top w:val="nil"/>
              <w:left w:val="nil"/>
              <w:bottom w:val="single" w:sz="8" w:space="0" w:color="A6A6A6"/>
              <w:right w:val="single" w:sz="8" w:space="0" w:color="A6A6A6"/>
            </w:tcBorders>
            <w:shd w:val="clear" w:color="auto" w:fill="auto"/>
            <w:noWrap/>
            <w:vAlign w:val="center"/>
            <w:hideMark/>
          </w:tcPr>
          <w:p w14:paraId="4E45BC5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863" w:type="dxa"/>
            <w:tcBorders>
              <w:top w:val="nil"/>
              <w:left w:val="nil"/>
              <w:bottom w:val="single" w:sz="8" w:space="0" w:color="A6A6A6"/>
              <w:right w:val="single" w:sz="8" w:space="0" w:color="A6A6A6"/>
            </w:tcBorders>
            <w:shd w:val="clear" w:color="auto" w:fill="auto"/>
            <w:noWrap/>
            <w:vAlign w:val="center"/>
            <w:hideMark/>
          </w:tcPr>
          <w:p w14:paraId="64575FB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2916</w:t>
            </w:r>
          </w:p>
        </w:tc>
        <w:tc>
          <w:tcPr>
            <w:tcW w:w="1829" w:type="dxa"/>
            <w:tcBorders>
              <w:top w:val="nil"/>
              <w:left w:val="nil"/>
              <w:bottom w:val="single" w:sz="8" w:space="0" w:color="A6A6A6"/>
              <w:right w:val="single" w:sz="8" w:space="0" w:color="A6A6A6"/>
            </w:tcBorders>
            <w:shd w:val="clear" w:color="auto" w:fill="auto"/>
            <w:noWrap/>
            <w:vAlign w:val="center"/>
            <w:hideMark/>
          </w:tcPr>
          <w:p w14:paraId="06FF26C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w:t>
            </w:r>
          </w:p>
        </w:tc>
      </w:tr>
      <w:tr w:rsidR="00400D2D" w:rsidRPr="00AA5833" w14:paraId="2F3BE0EC"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7E1FB69"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Кюстендил</w:t>
            </w:r>
          </w:p>
        </w:tc>
        <w:tc>
          <w:tcPr>
            <w:tcW w:w="1420" w:type="dxa"/>
            <w:tcBorders>
              <w:top w:val="nil"/>
              <w:left w:val="nil"/>
              <w:bottom w:val="single" w:sz="8" w:space="0" w:color="A6A6A6"/>
              <w:right w:val="single" w:sz="8" w:space="0" w:color="A6A6A6"/>
            </w:tcBorders>
            <w:shd w:val="clear" w:color="auto" w:fill="auto"/>
            <w:noWrap/>
            <w:vAlign w:val="center"/>
            <w:hideMark/>
          </w:tcPr>
          <w:p w14:paraId="2376B26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106131</w:t>
            </w:r>
          </w:p>
        </w:tc>
        <w:tc>
          <w:tcPr>
            <w:tcW w:w="1683" w:type="dxa"/>
            <w:tcBorders>
              <w:top w:val="nil"/>
              <w:left w:val="nil"/>
              <w:bottom w:val="single" w:sz="8" w:space="0" w:color="A6A6A6"/>
              <w:right w:val="single" w:sz="8" w:space="0" w:color="A6A6A6"/>
            </w:tcBorders>
            <w:shd w:val="clear" w:color="auto" w:fill="auto"/>
            <w:noWrap/>
            <w:vAlign w:val="center"/>
            <w:hideMark/>
          </w:tcPr>
          <w:p w14:paraId="1BA6E94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w:t>
            </w:r>
          </w:p>
        </w:tc>
        <w:tc>
          <w:tcPr>
            <w:tcW w:w="1863" w:type="dxa"/>
            <w:tcBorders>
              <w:top w:val="nil"/>
              <w:left w:val="nil"/>
              <w:bottom w:val="single" w:sz="8" w:space="0" w:color="A6A6A6"/>
              <w:right w:val="single" w:sz="8" w:space="0" w:color="A6A6A6"/>
            </w:tcBorders>
            <w:shd w:val="clear" w:color="auto" w:fill="auto"/>
            <w:noWrap/>
            <w:vAlign w:val="center"/>
            <w:hideMark/>
          </w:tcPr>
          <w:p w14:paraId="6D50ADD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-1542</w:t>
            </w:r>
          </w:p>
        </w:tc>
        <w:tc>
          <w:tcPr>
            <w:tcW w:w="1829" w:type="dxa"/>
            <w:tcBorders>
              <w:top w:val="nil"/>
              <w:left w:val="nil"/>
              <w:bottom w:val="single" w:sz="8" w:space="0" w:color="A6A6A6"/>
              <w:right w:val="single" w:sz="8" w:space="0" w:color="A6A6A6"/>
            </w:tcBorders>
            <w:shd w:val="clear" w:color="auto" w:fill="auto"/>
            <w:noWrap/>
            <w:vAlign w:val="center"/>
            <w:hideMark/>
          </w:tcPr>
          <w:p w14:paraId="4B2A423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w:t>
            </w:r>
          </w:p>
        </w:tc>
      </w:tr>
      <w:tr w:rsidR="00400D2D" w:rsidRPr="00AA5833" w14:paraId="453710AC"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7309182"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Ловеч</w:t>
            </w:r>
          </w:p>
        </w:tc>
        <w:tc>
          <w:tcPr>
            <w:tcW w:w="1420" w:type="dxa"/>
            <w:tcBorders>
              <w:top w:val="nil"/>
              <w:left w:val="nil"/>
              <w:bottom w:val="single" w:sz="8" w:space="0" w:color="A6A6A6"/>
              <w:right w:val="single" w:sz="8" w:space="0" w:color="A6A6A6"/>
            </w:tcBorders>
            <w:shd w:val="clear" w:color="auto" w:fill="auto"/>
            <w:noWrap/>
            <w:vAlign w:val="center"/>
            <w:hideMark/>
          </w:tcPr>
          <w:p w14:paraId="0D4ADE8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110823</w:t>
            </w:r>
          </w:p>
        </w:tc>
        <w:tc>
          <w:tcPr>
            <w:tcW w:w="1683" w:type="dxa"/>
            <w:tcBorders>
              <w:top w:val="nil"/>
              <w:left w:val="nil"/>
              <w:bottom w:val="single" w:sz="8" w:space="0" w:color="A6A6A6"/>
              <w:right w:val="single" w:sz="8" w:space="0" w:color="A6A6A6"/>
            </w:tcBorders>
            <w:shd w:val="clear" w:color="auto" w:fill="auto"/>
            <w:noWrap/>
            <w:vAlign w:val="center"/>
            <w:hideMark/>
          </w:tcPr>
          <w:p w14:paraId="0C48952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c>
          <w:tcPr>
            <w:tcW w:w="1863" w:type="dxa"/>
            <w:tcBorders>
              <w:top w:val="nil"/>
              <w:left w:val="nil"/>
              <w:bottom w:val="single" w:sz="8" w:space="0" w:color="A6A6A6"/>
              <w:right w:val="single" w:sz="8" w:space="0" w:color="A6A6A6"/>
            </w:tcBorders>
            <w:shd w:val="clear" w:color="auto" w:fill="auto"/>
            <w:noWrap/>
            <w:vAlign w:val="center"/>
            <w:hideMark/>
          </w:tcPr>
          <w:p w14:paraId="578EA90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-1402</w:t>
            </w:r>
          </w:p>
        </w:tc>
        <w:tc>
          <w:tcPr>
            <w:tcW w:w="1829" w:type="dxa"/>
            <w:tcBorders>
              <w:top w:val="nil"/>
              <w:left w:val="nil"/>
              <w:bottom w:val="single" w:sz="8" w:space="0" w:color="A6A6A6"/>
              <w:right w:val="single" w:sz="8" w:space="0" w:color="A6A6A6"/>
            </w:tcBorders>
            <w:shd w:val="clear" w:color="auto" w:fill="auto"/>
            <w:noWrap/>
            <w:vAlign w:val="center"/>
            <w:hideMark/>
          </w:tcPr>
          <w:p w14:paraId="16F80DD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r>
      <w:tr w:rsidR="00400D2D" w:rsidRPr="00AA5833" w14:paraId="52AECA1A"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C877916"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Монтана</w:t>
            </w:r>
          </w:p>
        </w:tc>
        <w:tc>
          <w:tcPr>
            <w:tcW w:w="1420" w:type="dxa"/>
            <w:tcBorders>
              <w:top w:val="nil"/>
              <w:left w:val="nil"/>
              <w:bottom w:val="single" w:sz="8" w:space="0" w:color="A6A6A6"/>
              <w:right w:val="single" w:sz="8" w:space="0" w:color="A6A6A6"/>
            </w:tcBorders>
            <w:shd w:val="clear" w:color="auto" w:fill="auto"/>
            <w:noWrap/>
            <w:vAlign w:val="center"/>
            <w:hideMark/>
          </w:tcPr>
          <w:p w14:paraId="243D42B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112737</w:t>
            </w:r>
          </w:p>
        </w:tc>
        <w:tc>
          <w:tcPr>
            <w:tcW w:w="1683" w:type="dxa"/>
            <w:tcBorders>
              <w:top w:val="nil"/>
              <w:left w:val="nil"/>
              <w:bottom w:val="single" w:sz="8" w:space="0" w:color="A6A6A6"/>
              <w:right w:val="single" w:sz="8" w:space="0" w:color="A6A6A6"/>
            </w:tcBorders>
            <w:shd w:val="clear" w:color="auto" w:fill="auto"/>
            <w:noWrap/>
            <w:vAlign w:val="center"/>
            <w:hideMark/>
          </w:tcPr>
          <w:p w14:paraId="5D346A5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w:t>
            </w:r>
          </w:p>
        </w:tc>
        <w:tc>
          <w:tcPr>
            <w:tcW w:w="1863" w:type="dxa"/>
            <w:tcBorders>
              <w:top w:val="nil"/>
              <w:left w:val="nil"/>
              <w:bottom w:val="single" w:sz="8" w:space="0" w:color="A6A6A6"/>
              <w:right w:val="single" w:sz="8" w:space="0" w:color="A6A6A6"/>
            </w:tcBorders>
            <w:shd w:val="clear" w:color="auto" w:fill="auto"/>
            <w:noWrap/>
            <w:vAlign w:val="center"/>
            <w:hideMark/>
          </w:tcPr>
          <w:p w14:paraId="3EDFCCD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-1789</w:t>
            </w:r>
          </w:p>
        </w:tc>
        <w:tc>
          <w:tcPr>
            <w:tcW w:w="1829" w:type="dxa"/>
            <w:tcBorders>
              <w:top w:val="nil"/>
              <w:left w:val="nil"/>
              <w:bottom w:val="single" w:sz="8" w:space="0" w:color="A6A6A6"/>
              <w:right w:val="single" w:sz="8" w:space="0" w:color="A6A6A6"/>
            </w:tcBorders>
            <w:shd w:val="clear" w:color="auto" w:fill="auto"/>
            <w:noWrap/>
            <w:vAlign w:val="center"/>
            <w:hideMark/>
          </w:tcPr>
          <w:p w14:paraId="2AC13F8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w:t>
            </w:r>
          </w:p>
        </w:tc>
      </w:tr>
      <w:tr w:rsidR="00400D2D" w:rsidRPr="00AA5833" w14:paraId="06343EF2"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68C19CB"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Пазарджик</w:t>
            </w:r>
          </w:p>
        </w:tc>
        <w:tc>
          <w:tcPr>
            <w:tcW w:w="1420" w:type="dxa"/>
            <w:tcBorders>
              <w:top w:val="nil"/>
              <w:left w:val="nil"/>
              <w:bottom w:val="single" w:sz="8" w:space="0" w:color="A6A6A6"/>
              <w:right w:val="single" w:sz="8" w:space="0" w:color="A6A6A6"/>
            </w:tcBorders>
            <w:shd w:val="clear" w:color="auto" w:fill="auto"/>
            <w:noWrap/>
            <w:vAlign w:val="center"/>
            <w:hideMark/>
          </w:tcPr>
          <w:p w14:paraId="17C64C2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223494</w:t>
            </w:r>
          </w:p>
        </w:tc>
        <w:tc>
          <w:tcPr>
            <w:tcW w:w="1683" w:type="dxa"/>
            <w:tcBorders>
              <w:top w:val="nil"/>
              <w:left w:val="nil"/>
              <w:bottom w:val="single" w:sz="8" w:space="0" w:color="A6A6A6"/>
              <w:right w:val="single" w:sz="8" w:space="0" w:color="A6A6A6"/>
            </w:tcBorders>
            <w:shd w:val="clear" w:color="auto" w:fill="auto"/>
            <w:noWrap/>
            <w:vAlign w:val="center"/>
            <w:hideMark/>
          </w:tcPr>
          <w:p w14:paraId="2D63372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3.5</w:t>
            </w:r>
          </w:p>
        </w:tc>
        <w:tc>
          <w:tcPr>
            <w:tcW w:w="1863" w:type="dxa"/>
            <w:tcBorders>
              <w:top w:val="nil"/>
              <w:left w:val="nil"/>
              <w:bottom w:val="single" w:sz="8" w:space="0" w:color="A6A6A6"/>
              <w:right w:val="single" w:sz="8" w:space="0" w:color="A6A6A6"/>
            </w:tcBorders>
            <w:shd w:val="clear" w:color="auto" w:fill="auto"/>
            <w:noWrap/>
            <w:vAlign w:val="center"/>
            <w:hideMark/>
          </w:tcPr>
          <w:p w14:paraId="524695C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-1767</w:t>
            </w:r>
          </w:p>
        </w:tc>
        <w:tc>
          <w:tcPr>
            <w:tcW w:w="1829" w:type="dxa"/>
            <w:tcBorders>
              <w:top w:val="nil"/>
              <w:left w:val="nil"/>
              <w:bottom w:val="single" w:sz="8" w:space="0" w:color="A6A6A6"/>
              <w:right w:val="single" w:sz="8" w:space="0" w:color="A6A6A6"/>
            </w:tcBorders>
            <w:shd w:val="clear" w:color="auto" w:fill="auto"/>
            <w:noWrap/>
            <w:vAlign w:val="center"/>
            <w:hideMark/>
          </w:tcPr>
          <w:p w14:paraId="78EBB96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-0.8</w:t>
            </w:r>
          </w:p>
        </w:tc>
      </w:tr>
      <w:tr w:rsidR="00400D2D" w:rsidRPr="00AA5833" w14:paraId="5967A9E0"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D5F8915"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Перник</w:t>
            </w:r>
          </w:p>
        </w:tc>
        <w:tc>
          <w:tcPr>
            <w:tcW w:w="1420" w:type="dxa"/>
            <w:tcBorders>
              <w:top w:val="nil"/>
              <w:left w:val="nil"/>
              <w:bottom w:val="single" w:sz="8" w:space="0" w:color="A6A6A6"/>
              <w:right w:val="single" w:sz="8" w:space="0" w:color="A6A6A6"/>
            </w:tcBorders>
            <w:shd w:val="clear" w:color="auto" w:fill="auto"/>
            <w:noWrap/>
            <w:vAlign w:val="center"/>
            <w:hideMark/>
          </w:tcPr>
          <w:p w14:paraId="751AA2D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109886</w:t>
            </w:r>
          </w:p>
        </w:tc>
        <w:tc>
          <w:tcPr>
            <w:tcW w:w="1683" w:type="dxa"/>
            <w:tcBorders>
              <w:top w:val="nil"/>
              <w:left w:val="nil"/>
              <w:bottom w:val="single" w:sz="8" w:space="0" w:color="A6A6A6"/>
              <w:right w:val="single" w:sz="8" w:space="0" w:color="A6A6A6"/>
            </w:tcBorders>
            <w:shd w:val="clear" w:color="auto" w:fill="auto"/>
            <w:noWrap/>
            <w:vAlign w:val="center"/>
            <w:hideMark/>
          </w:tcPr>
          <w:p w14:paraId="19E55B5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c>
          <w:tcPr>
            <w:tcW w:w="1863" w:type="dxa"/>
            <w:tcBorders>
              <w:top w:val="nil"/>
              <w:left w:val="nil"/>
              <w:bottom w:val="single" w:sz="8" w:space="0" w:color="A6A6A6"/>
              <w:right w:val="single" w:sz="8" w:space="0" w:color="A6A6A6"/>
            </w:tcBorders>
            <w:shd w:val="clear" w:color="auto" w:fill="auto"/>
            <w:noWrap/>
            <w:vAlign w:val="center"/>
            <w:hideMark/>
          </w:tcPr>
          <w:p w14:paraId="0EEDAE4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-1146</w:t>
            </w:r>
          </w:p>
        </w:tc>
        <w:tc>
          <w:tcPr>
            <w:tcW w:w="1829" w:type="dxa"/>
            <w:tcBorders>
              <w:top w:val="nil"/>
              <w:left w:val="nil"/>
              <w:bottom w:val="single" w:sz="8" w:space="0" w:color="A6A6A6"/>
              <w:right w:val="single" w:sz="8" w:space="0" w:color="A6A6A6"/>
            </w:tcBorders>
            <w:shd w:val="clear" w:color="auto" w:fill="auto"/>
            <w:noWrap/>
            <w:vAlign w:val="center"/>
            <w:hideMark/>
          </w:tcPr>
          <w:p w14:paraId="4F4306C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r>
      <w:tr w:rsidR="00400D2D" w:rsidRPr="00AA5833" w14:paraId="16F5E24D"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8ECEF4E"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Плевен</w:t>
            </w:r>
          </w:p>
        </w:tc>
        <w:tc>
          <w:tcPr>
            <w:tcW w:w="1420" w:type="dxa"/>
            <w:tcBorders>
              <w:top w:val="nil"/>
              <w:left w:val="nil"/>
              <w:bottom w:val="single" w:sz="8" w:space="0" w:color="A6A6A6"/>
              <w:right w:val="single" w:sz="8" w:space="0" w:color="A6A6A6"/>
            </w:tcBorders>
            <w:shd w:val="clear" w:color="auto" w:fill="auto"/>
            <w:noWrap/>
            <w:vAlign w:val="center"/>
            <w:hideMark/>
          </w:tcPr>
          <w:p w14:paraId="34A589F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215326</w:t>
            </w:r>
          </w:p>
        </w:tc>
        <w:tc>
          <w:tcPr>
            <w:tcW w:w="1683" w:type="dxa"/>
            <w:tcBorders>
              <w:top w:val="nil"/>
              <w:left w:val="nil"/>
              <w:bottom w:val="single" w:sz="8" w:space="0" w:color="A6A6A6"/>
              <w:right w:val="single" w:sz="8" w:space="0" w:color="A6A6A6"/>
            </w:tcBorders>
            <w:shd w:val="clear" w:color="auto" w:fill="auto"/>
            <w:noWrap/>
            <w:vAlign w:val="center"/>
            <w:hideMark/>
          </w:tcPr>
          <w:p w14:paraId="4DAB4BC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3.3</w:t>
            </w:r>
          </w:p>
        </w:tc>
        <w:tc>
          <w:tcPr>
            <w:tcW w:w="1863" w:type="dxa"/>
            <w:tcBorders>
              <w:top w:val="nil"/>
              <w:left w:val="nil"/>
              <w:bottom w:val="single" w:sz="8" w:space="0" w:color="A6A6A6"/>
              <w:right w:val="single" w:sz="8" w:space="0" w:color="A6A6A6"/>
            </w:tcBorders>
            <w:shd w:val="clear" w:color="auto" w:fill="auto"/>
            <w:noWrap/>
            <w:vAlign w:val="center"/>
            <w:hideMark/>
          </w:tcPr>
          <w:p w14:paraId="3F8628B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-2555</w:t>
            </w:r>
          </w:p>
        </w:tc>
        <w:tc>
          <w:tcPr>
            <w:tcW w:w="1829" w:type="dxa"/>
            <w:tcBorders>
              <w:top w:val="nil"/>
              <w:left w:val="nil"/>
              <w:bottom w:val="single" w:sz="8" w:space="0" w:color="A6A6A6"/>
              <w:right w:val="single" w:sz="8" w:space="0" w:color="A6A6A6"/>
            </w:tcBorders>
            <w:shd w:val="clear" w:color="auto" w:fill="auto"/>
            <w:noWrap/>
            <w:vAlign w:val="center"/>
            <w:hideMark/>
          </w:tcPr>
          <w:p w14:paraId="18D3F8A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r>
      <w:tr w:rsidR="00400D2D" w:rsidRPr="00AA5833" w14:paraId="1F6DEF72"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1F76515"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lastRenderedPageBreak/>
              <w:t>Пловдив</w:t>
            </w:r>
          </w:p>
        </w:tc>
        <w:tc>
          <w:tcPr>
            <w:tcW w:w="1420" w:type="dxa"/>
            <w:tcBorders>
              <w:top w:val="nil"/>
              <w:left w:val="nil"/>
              <w:bottom w:val="single" w:sz="8" w:space="0" w:color="A6A6A6"/>
              <w:right w:val="single" w:sz="8" w:space="0" w:color="A6A6A6"/>
            </w:tcBorders>
            <w:shd w:val="clear" w:color="auto" w:fill="auto"/>
            <w:noWrap/>
            <w:vAlign w:val="center"/>
            <w:hideMark/>
          </w:tcPr>
          <w:p w14:paraId="3AEDD0E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635630</w:t>
            </w:r>
          </w:p>
        </w:tc>
        <w:tc>
          <w:tcPr>
            <w:tcW w:w="1683" w:type="dxa"/>
            <w:tcBorders>
              <w:top w:val="nil"/>
              <w:left w:val="nil"/>
              <w:bottom w:val="single" w:sz="8" w:space="0" w:color="A6A6A6"/>
              <w:right w:val="single" w:sz="8" w:space="0" w:color="A6A6A6"/>
            </w:tcBorders>
            <w:shd w:val="clear" w:color="auto" w:fill="auto"/>
            <w:noWrap/>
            <w:vAlign w:val="center"/>
            <w:hideMark/>
          </w:tcPr>
          <w:p w14:paraId="5074654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9.9</w:t>
            </w:r>
          </w:p>
        </w:tc>
        <w:tc>
          <w:tcPr>
            <w:tcW w:w="1863" w:type="dxa"/>
            <w:tcBorders>
              <w:top w:val="nil"/>
              <w:left w:val="nil"/>
              <w:bottom w:val="single" w:sz="8" w:space="0" w:color="A6A6A6"/>
              <w:right w:val="single" w:sz="8" w:space="0" w:color="A6A6A6"/>
            </w:tcBorders>
            <w:shd w:val="clear" w:color="auto" w:fill="auto"/>
            <w:noWrap/>
            <w:vAlign w:val="center"/>
            <w:hideMark/>
          </w:tcPr>
          <w:p w14:paraId="1C5DCDC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2044</w:t>
            </w:r>
          </w:p>
        </w:tc>
        <w:tc>
          <w:tcPr>
            <w:tcW w:w="1829" w:type="dxa"/>
            <w:tcBorders>
              <w:top w:val="nil"/>
              <w:left w:val="nil"/>
              <w:bottom w:val="single" w:sz="8" w:space="0" w:color="A6A6A6"/>
              <w:right w:val="single" w:sz="8" w:space="0" w:color="A6A6A6"/>
            </w:tcBorders>
            <w:shd w:val="clear" w:color="auto" w:fill="auto"/>
            <w:noWrap/>
            <w:vAlign w:val="center"/>
            <w:hideMark/>
          </w:tcPr>
          <w:p w14:paraId="55AB15B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0.3</w:t>
            </w:r>
          </w:p>
        </w:tc>
      </w:tr>
      <w:tr w:rsidR="00400D2D" w:rsidRPr="00AA5833" w14:paraId="03BC1FB8"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7879E96"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Разград</w:t>
            </w:r>
          </w:p>
        </w:tc>
        <w:tc>
          <w:tcPr>
            <w:tcW w:w="1420" w:type="dxa"/>
            <w:tcBorders>
              <w:top w:val="nil"/>
              <w:left w:val="nil"/>
              <w:bottom w:val="single" w:sz="8" w:space="0" w:color="A6A6A6"/>
              <w:right w:val="single" w:sz="8" w:space="0" w:color="A6A6A6"/>
            </w:tcBorders>
            <w:shd w:val="clear" w:color="auto" w:fill="auto"/>
            <w:noWrap/>
            <w:vAlign w:val="center"/>
            <w:hideMark/>
          </w:tcPr>
          <w:p w14:paraId="08DBC6D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99459</w:t>
            </w:r>
          </w:p>
        </w:tc>
        <w:tc>
          <w:tcPr>
            <w:tcW w:w="1683" w:type="dxa"/>
            <w:tcBorders>
              <w:top w:val="nil"/>
              <w:left w:val="nil"/>
              <w:bottom w:val="single" w:sz="8" w:space="0" w:color="A6A6A6"/>
              <w:right w:val="single" w:sz="8" w:space="0" w:color="A6A6A6"/>
            </w:tcBorders>
            <w:shd w:val="clear" w:color="auto" w:fill="auto"/>
            <w:noWrap/>
            <w:vAlign w:val="center"/>
            <w:hideMark/>
          </w:tcPr>
          <w:p w14:paraId="72682AF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863" w:type="dxa"/>
            <w:tcBorders>
              <w:top w:val="nil"/>
              <w:left w:val="nil"/>
              <w:bottom w:val="single" w:sz="8" w:space="0" w:color="A6A6A6"/>
              <w:right w:val="single" w:sz="8" w:space="0" w:color="A6A6A6"/>
            </w:tcBorders>
            <w:shd w:val="clear" w:color="auto" w:fill="auto"/>
            <w:noWrap/>
            <w:vAlign w:val="center"/>
            <w:hideMark/>
          </w:tcPr>
          <w:p w14:paraId="2144AE5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-1237</w:t>
            </w:r>
          </w:p>
        </w:tc>
        <w:tc>
          <w:tcPr>
            <w:tcW w:w="1829" w:type="dxa"/>
            <w:tcBorders>
              <w:top w:val="nil"/>
              <w:left w:val="nil"/>
              <w:bottom w:val="single" w:sz="8" w:space="0" w:color="A6A6A6"/>
              <w:right w:val="single" w:sz="8" w:space="0" w:color="A6A6A6"/>
            </w:tcBorders>
            <w:shd w:val="clear" w:color="auto" w:fill="auto"/>
            <w:noWrap/>
            <w:vAlign w:val="center"/>
            <w:hideMark/>
          </w:tcPr>
          <w:p w14:paraId="62E1991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r>
      <w:tr w:rsidR="00400D2D" w:rsidRPr="00AA5833" w14:paraId="089876BB"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3198712"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Русе</w:t>
            </w:r>
          </w:p>
        </w:tc>
        <w:tc>
          <w:tcPr>
            <w:tcW w:w="1420" w:type="dxa"/>
            <w:tcBorders>
              <w:top w:val="nil"/>
              <w:left w:val="nil"/>
              <w:bottom w:val="single" w:sz="8" w:space="0" w:color="A6A6A6"/>
              <w:right w:val="single" w:sz="8" w:space="0" w:color="A6A6A6"/>
            </w:tcBorders>
            <w:shd w:val="clear" w:color="auto" w:fill="auto"/>
            <w:noWrap/>
            <w:vAlign w:val="center"/>
            <w:hideMark/>
          </w:tcPr>
          <w:p w14:paraId="655FA45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186093</w:t>
            </w:r>
          </w:p>
        </w:tc>
        <w:tc>
          <w:tcPr>
            <w:tcW w:w="1683" w:type="dxa"/>
            <w:tcBorders>
              <w:top w:val="nil"/>
              <w:left w:val="nil"/>
              <w:bottom w:val="single" w:sz="8" w:space="0" w:color="A6A6A6"/>
              <w:right w:val="single" w:sz="8" w:space="0" w:color="A6A6A6"/>
            </w:tcBorders>
            <w:shd w:val="clear" w:color="auto" w:fill="auto"/>
            <w:noWrap/>
            <w:vAlign w:val="center"/>
            <w:hideMark/>
          </w:tcPr>
          <w:p w14:paraId="21307F8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2.9</w:t>
            </w:r>
          </w:p>
        </w:tc>
        <w:tc>
          <w:tcPr>
            <w:tcW w:w="1863" w:type="dxa"/>
            <w:tcBorders>
              <w:top w:val="nil"/>
              <w:left w:val="nil"/>
              <w:bottom w:val="single" w:sz="8" w:space="0" w:color="A6A6A6"/>
              <w:right w:val="single" w:sz="8" w:space="0" w:color="A6A6A6"/>
            </w:tcBorders>
            <w:shd w:val="clear" w:color="auto" w:fill="auto"/>
            <w:noWrap/>
            <w:vAlign w:val="center"/>
            <w:hideMark/>
          </w:tcPr>
          <w:p w14:paraId="5C99941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-1737</w:t>
            </w:r>
          </w:p>
        </w:tc>
        <w:tc>
          <w:tcPr>
            <w:tcW w:w="1829" w:type="dxa"/>
            <w:tcBorders>
              <w:top w:val="nil"/>
              <w:left w:val="nil"/>
              <w:bottom w:val="single" w:sz="8" w:space="0" w:color="A6A6A6"/>
              <w:right w:val="single" w:sz="8" w:space="0" w:color="A6A6A6"/>
            </w:tcBorders>
            <w:shd w:val="clear" w:color="auto" w:fill="auto"/>
            <w:noWrap/>
            <w:vAlign w:val="center"/>
            <w:hideMark/>
          </w:tcPr>
          <w:p w14:paraId="0AD42B9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-0.9</w:t>
            </w:r>
          </w:p>
        </w:tc>
      </w:tr>
      <w:tr w:rsidR="00400D2D" w:rsidRPr="00AA5833" w14:paraId="63D49AAF"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C0F8C9E"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Силистра</w:t>
            </w:r>
          </w:p>
        </w:tc>
        <w:tc>
          <w:tcPr>
            <w:tcW w:w="1420" w:type="dxa"/>
            <w:tcBorders>
              <w:top w:val="nil"/>
              <w:left w:val="nil"/>
              <w:bottom w:val="single" w:sz="8" w:space="0" w:color="A6A6A6"/>
              <w:right w:val="single" w:sz="8" w:space="0" w:color="A6A6A6"/>
            </w:tcBorders>
            <w:shd w:val="clear" w:color="auto" w:fill="auto"/>
            <w:noWrap/>
            <w:vAlign w:val="center"/>
            <w:hideMark/>
          </w:tcPr>
          <w:p w14:paraId="5B927B7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93549</w:t>
            </w:r>
          </w:p>
        </w:tc>
        <w:tc>
          <w:tcPr>
            <w:tcW w:w="1683" w:type="dxa"/>
            <w:tcBorders>
              <w:top w:val="nil"/>
              <w:left w:val="nil"/>
              <w:bottom w:val="single" w:sz="8" w:space="0" w:color="A6A6A6"/>
              <w:right w:val="single" w:sz="8" w:space="0" w:color="A6A6A6"/>
            </w:tcBorders>
            <w:shd w:val="clear" w:color="auto" w:fill="auto"/>
            <w:noWrap/>
            <w:vAlign w:val="center"/>
            <w:hideMark/>
          </w:tcPr>
          <w:p w14:paraId="1D96631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863" w:type="dxa"/>
            <w:tcBorders>
              <w:top w:val="nil"/>
              <w:left w:val="nil"/>
              <w:bottom w:val="single" w:sz="8" w:space="0" w:color="A6A6A6"/>
              <w:right w:val="single" w:sz="8" w:space="0" w:color="A6A6A6"/>
            </w:tcBorders>
            <w:shd w:val="clear" w:color="auto" w:fill="auto"/>
            <w:noWrap/>
            <w:vAlign w:val="center"/>
            <w:hideMark/>
          </w:tcPr>
          <w:p w14:paraId="2D631B7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-1190</w:t>
            </w:r>
          </w:p>
        </w:tc>
        <w:tc>
          <w:tcPr>
            <w:tcW w:w="1829" w:type="dxa"/>
            <w:tcBorders>
              <w:top w:val="nil"/>
              <w:left w:val="nil"/>
              <w:bottom w:val="single" w:sz="8" w:space="0" w:color="A6A6A6"/>
              <w:right w:val="single" w:sz="8" w:space="0" w:color="A6A6A6"/>
            </w:tcBorders>
            <w:shd w:val="clear" w:color="auto" w:fill="auto"/>
            <w:noWrap/>
            <w:vAlign w:val="center"/>
            <w:hideMark/>
          </w:tcPr>
          <w:p w14:paraId="4E21054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-1.3</w:t>
            </w:r>
          </w:p>
        </w:tc>
      </w:tr>
      <w:tr w:rsidR="00400D2D" w:rsidRPr="00AA5833" w14:paraId="5CE232D7"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E3F0B41"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Сливен</w:t>
            </w:r>
          </w:p>
        </w:tc>
        <w:tc>
          <w:tcPr>
            <w:tcW w:w="1420" w:type="dxa"/>
            <w:tcBorders>
              <w:top w:val="nil"/>
              <w:left w:val="nil"/>
              <w:bottom w:val="single" w:sz="8" w:space="0" w:color="A6A6A6"/>
              <w:right w:val="single" w:sz="8" w:space="0" w:color="A6A6A6"/>
            </w:tcBorders>
            <w:shd w:val="clear" w:color="auto" w:fill="auto"/>
            <w:noWrap/>
            <w:vAlign w:val="center"/>
            <w:hideMark/>
          </w:tcPr>
          <w:p w14:paraId="039FBB1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169299</w:t>
            </w:r>
          </w:p>
        </w:tc>
        <w:tc>
          <w:tcPr>
            <w:tcW w:w="1683" w:type="dxa"/>
            <w:tcBorders>
              <w:top w:val="nil"/>
              <w:left w:val="nil"/>
              <w:bottom w:val="single" w:sz="8" w:space="0" w:color="A6A6A6"/>
              <w:right w:val="single" w:sz="8" w:space="0" w:color="A6A6A6"/>
            </w:tcBorders>
            <w:shd w:val="clear" w:color="auto" w:fill="auto"/>
            <w:noWrap/>
            <w:vAlign w:val="center"/>
            <w:hideMark/>
          </w:tcPr>
          <w:p w14:paraId="21D9529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2.6</w:t>
            </w:r>
          </w:p>
        </w:tc>
        <w:tc>
          <w:tcPr>
            <w:tcW w:w="1863" w:type="dxa"/>
            <w:tcBorders>
              <w:top w:val="nil"/>
              <w:left w:val="nil"/>
              <w:bottom w:val="single" w:sz="8" w:space="0" w:color="A6A6A6"/>
              <w:right w:val="single" w:sz="8" w:space="0" w:color="A6A6A6"/>
            </w:tcBorders>
            <w:shd w:val="clear" w:color="auto" w:fill="auto"/>
            <w:noWrap/>
            <w:vAlign w:val="center"/>
            <w:hideMark/>
          </w:tcPr>
          <w:p w14:paraId="2941967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-752</w:t>
            </w:r>
          </w:p>
        </w:tc>
        <w:tc>
          <w:tcPr>
            <w:tcW w:w="1829" w:type="dxa"/>
            <w:tcBorders>
              <w:top w:val="nil"/>
              <w:left w:val="nil"/>
              <w:bottom w:val="single" w:sz="8" w:space="0" w:color="A6A6A6"/>
              <w:right w:val="single" w:sz="8" w:space="0" w:color="A6A6A6"/>
            </w:tcBorders>
            <w:shd w:val="clear" w:color="auto" w:fill="auto"/>
            <w:noWrap/>
            <w:vAlign w:val="center"/>
            <w:hideMark/>
          </w:tcPr>
          <w:p w14:paraId="5436FF0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-0.4</w:t>
            </w:r>
          </w:p>
        </w:tc>
      </w:tr>
      <w:tr w:rsidR="00400D2D" w:rsidRPr="00AA5833" w14:paraId="7D75C0D2"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CC53BA4"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Смолян</w:t>
            </w:r>
          </w:p>
        </w:tc>
        <w:tc>
          <w:tcPr>
            <w:tcW w:w="1420" w:type="dxa"/>
            <w:tcBorders>
              <w:top w:val="nil"/>
              <w:left w:val="nil"/>
              <w:bottom w:val="single" w:sz="8" w:space="0" w:color="A6A6A6"/>
              <w:right w:val="single" w:sz="8" w:space="0" w:color="A6A6A6"/>
            </w:tcBorders>
            <w:shd w:val="clear" w:color="auto" w:fill="auto"/>
            <w:noWrap/>
            <w:vAlign w:val="center"/>
            <w:hideMark/>
          </w:tcPr>
          <w:p w14:paraId="658E051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90534</w:t>
            </w:r>
          </w:p>
        </w:tc>
        <w:tc>
          <w:tcPr>
            <w:tcW w:w="1683" w:type="dxa"/>
            <w:tcBorders>
              <w:top w:val="nil"/>
              <w:left w:val="nil"/>
              <w:bottom w:val="single" w:sz="8" w:space="0" w:color="A6A6A6"/>
              <w:right w:val="single" w:sz="8" w:space="0" w:color="A6A6A6"/>
            </w:tcBorders>
            <w:shd w:val="clear" w:color="auto" w:fill="auto"/>
            <w:noWrap/>
            <w:vAlign w:val="center"/>
            <w:hideMark/>
          </w:tcPr>
          <w:p w14:paraId="1466A07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w:t>
            </w:r>
          </w:p>
        </w:tc>
        <w:tc>
          <w:tcPr>
            <w:tcW w:w="1863" w:type="dxa"/>
            <w:tcBorders>
              <w:top w:val="nil"/>
              <w:left w:val="nil"/>
              <w:bottom w:val="single" w:sz="8" w:space="0" w:color="A6A6A6"/>
              <w:right w:val="single" w:sz="8" w:space="0" w:color="A6A6A6"/>
            </w:tcBorders>
            <w:shd w:val="clear" w:color="auto" w:fill="auto"/>
            <w:noWrap/>
            <w:vAlign w:val="center"/>
            <w:hideMark/>
          </w:tcPr>
          <w:p w14:paraId="4026F642"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-1573</w:t>
            </w:r>
          </w:p>
        </w:tc>
        <w:tc>
          <w:tcPr>
            <w:tcW w:w="1829" w:type="dxa"/>
            <w:tcBorders>
              <w:top w:val="nil"/>
              <w:left w:val="nil"/>
              <w:bottom w:val="single" w:sz="8" w:space="0" w:color="A6A6A6"/>
              <w:right w:val="single" w:sz="8" w:space="0" w:color="A6A6A6"/>
            </w:tcBorders>
            <w:shd w:val="clear" w:color="auto" w:fill="auto"/>
            <w:noWrap/>
            <w:vAlign w:val="center"/>
            <w:hideMark/>
          </w:tcPr>
          <w:p w14:paraId="31C21393"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r>
      <w:tr w:rsidR="00400D2D" w:rsidRPr="00AA5833" w14:paraId="7CD95E3F"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9733100"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София</w:t>
            </w:r>
          </w:p>
        </w:tc>
        <w:tc>
          <w:tcPr>
            <w:tcW w:w="1420" w:type="dxa"/>
            <w:tcBorders>
              <w:top w:val="nil"/>
              <w:left w:val="nil"/>
              <w:bottom w:val="single" w:sz="8" w:space="0" w:color="A6A6A6"/>
              <w:right w:val="single" w:sz="8" w:space="0" w:color="A6A6A6"/>
            </w:tcBorders>
            <w:shd w:val="clear" w:color="auto" w:fill="auto"/>
            <w:noWrap/>
            <w:vAlign w:val="center"/>
            <w:hideMark/>
          </w:tcPr>
          <w:p w14:paraId="432B987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224701</w:t>
            </w:r>
          </w:p>
        </w:tc>
        <w:tc>
          <w:tcPr>
            <w:tcW w:w="1683" w:type="dxa"/>
            <w:tcBorders>
              <w:top w:val="nil"/>
              <w:left w:val="nil"/>
              <w:bottom w:val="single" w:sz="8" w:space="0" w:color="A6A6A6"/>
              <w:right w:val="single" w:sz="8" w:space="0" w:color="A6A6A6"/>
            </w:tcBorders>
            <w:shd w:val="clear" w:color="auto" w:fill="auto"/>
            <w:noWrap/>
            <w:vAlign w:val="center"/>
            <w:hideMark/>
          </w:tcPr>
          <w:p w14:paraId="7A84709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3.5</w:t>
            </w:r>
          </w:p>
        </w:tc>
        <w:tc>
          <w:tcPr>
            <w:tcW w:w="1863" w:type="dxa"/>
            <w:tcBorders>
              <w:top w:val="nil"/>
              <w:left w:val="nil"/>
              <w:bottom w:val="single" w:sz="8" w:space="0" w:color="A6A6A6"/>
              <w:right w:val="single" w:sz="8" w:space="0" w:color="A6A6A6"/>
            </w:tcBorders>
            <w:shd w:val="clear" w:color="auto" w:fill="auto"/>
            <w:noWrap/>
            <w:vAlign w:val="center"/>
            <w:hideMark/>
          </w:tcPr>
          <w:p w14:paraId="45E0DBA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-1719</w:t>
            </w:r>
          </w:p>
        </w:tc>
        <w:tc>
          <w:tcPr>
            <w:tcW w:w="1829" w:type="dxa"/>
            <w:tcBorders>
              <w:top w:val="nil"/>
              <w:left w:val="nil"/>
              <w:bottom w:val="single" w:sz="8" w:space="0" w:color="A6A6A6"/>
              <w:right w:val="single" w:sz="8" w:space="0" w:color="A6A6A6"/>
            </w:tcBorders>
            <w:shd w:val="clear" w:color="auto" w:fill="auto"/>
            <w:noWrap/>
            <w:vAlign w:val="center"/>
            <w:hideMark/>
          </w:tcPr>
          <w:p w14:paraId="5E584EF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-0.8</w:t>
            </w:r>
          </w:p>
        </w:tc>
      </w:tr>
      <w:tr w:rsidR="00400D2D" w:rsidRPr="00AA5833" w14:paraId="04BE9123"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3A0189E7"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София (столица)</w:t>
            </w:r>
          </w:p>
        </w:tc>
        <w:tc>
          <w:tcPr>
            <w:tcW w:w="1420" w:type="dxa"/>
            <w:tcBorders>
              <w:top w:val="nil"/>
              <w:left w:val="nil"/>
              <w:bottom w:val="single" w:sz="8" w:space="0" w:color="A6A6A6"/>
              <w:right w:val="single" w:sz="8" w:space="0" w:color="A6A6A6"/>
            </w:tcBorders>
            <w:shd w:val="clear" w:color="auto" w:fill="auto"/>
            <w:noWrap/>
            <w:vAlign w:val="center"/>
            <w:hideMark/>
          </w:tcPr>
          <w:p w14:paraId="681435D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1295931</w:t>
            </w:r>
          </w:p>
        </w:tc>
        <w:tc>
          <w:tcPr>
            <w:tcW w:w="1683" w:type="dxa"/>
            <w:tcBorders>
              <w:top w:val="nil"/>
              <w:left w:val="nil"/>
              <w:bottom w:val="single" w:sz="8" w:space="0" w:color="A6A6A6"/>
              <w:right w:val="single" w:sz="8" w:space="0" w:color="A6A6A6"/>
            </w:tcBorders>
            <w:shd w:val="clear" w:color="auto" w:fill="auto"/>
            <w:noWrap/>
            <w:vAlign w:val="center"/>
            <w:hideMark/>
          </w:tcPr>
          <w:p w14:paraId="6A633C0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20.1</w:t>
            </w:r>
          </w:p>
        </w:tc>
        <w:tc>
          <w:tcPr>
            <w:tcW w:w="1863" w:type="dxa"/>
            <w:tcBorders>
              <w:top w:val="nil"/>
              <w:left w:val="nil"/>
              <w:bottom w:val="single" w:sz="8" w:space="0" w:color="A6A6A6"/>
              <w:right w:val="single" w:sz="8" w:space="0" w:color="A6A6A6"/>
            </w:tcBorders>
            <w:shd w:val="clear" w:color="auto" w:fill="auto"/>
            <w:noWrap/>
            <w:vAlign w:val="center"/>
            <w:hideMark/>
          </w:tcPr>
          <w:p w14:paraId="7C036D4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8966</w:t>
            </w:r>
          </w:p>
        </w:tc>
        <w:tc>
          <w:tcPr>
            <w:tcW w:w="1829" w:type="dxa"/>
            <w:tcBorders>
              <w:top w:val="nil"/>
              <w:left w:val="nil"/>
              <w:bottom w:val="single" w:sz="8" w:space="0" w:color="A6A6A6"/>
              <w:right w:val="single" w:sz="8" w:space="0" w:color="A6A6A6"/>
            </w:tcBorders>
            <w:shd w:val="clear" w:color="auto" w:fill="auto"/>
            <w:noWrap/>
            <w:vAlign w:val="center"/>
            <w:hideMark/>
          </w:tcPr>
          <w:p w14:paraId="2A8328B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0.7</w:t>
            </w:r>
          </w:p>
        </w:tc>
      </w:tr>
      <w:tr w:rsidR="00400D2D" w:rsidRPr="00AA5833" w14:paraId="6D585FD7"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DD2A137"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Стара Загора</w:t>
            </w:r>
          </w:p>
        </w:tc>
        <w:tc>
          <w:tcPr>
            <w:tcW w:w="1420" w:type="dxa"/>
            <w:tcBorders>
              <w:top w:val="nil"/>
              <w:left w:val="nil"/>
              <w:bottom w:val="single" w:sz="8" w:space="0" w:color="A6A6A6"/>
              <w:right w:val="single" w:sz="8" w:space="0" w:color="A6A6A6"/>
            </w:tcBorders>
            <w:shd w:val="clear" w:color="auto" w:fill="auto"/>
            <w:noWrap/>
            <w:vAlign w:val="center"/>
            <w:hideMark/>
          </w:tcPr>
          <w:p w14:paraId="347F88F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288736</w:t>
            </w:r>
          </w:p>
        </w:tc>
        <w:tc>
          <w:tcPr>
            <w:tcW w:w="1683" w:type="dxa"/>
            <w:tcBorders>
              <w:top w:val="nil"/>
              <w:left w:val="nil"/>
              <w:bottom w:val="single" w:sz="8" w:space="0" w:color="A6A6A6"/>
              <w:right w:val="single" w:sz="8" w:space="0" w:color="A6A6A6"/>
            </w:tcBorders>
            <w:shd w:val="clear" w:color="auto" w:fill="auto"/>
            <w:noWrap/>
            <w:vAlign w:val="center"/>
            <w:hideMark/>
          </w:tcPr>
          <w:p w14:paraId="1BB6E26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4.5</w:t>
            </w:r>
          </w:p>
        </w:tc>
        <w:tc>
          <w:tcPr>
            <w:tcW w:w="1863" w:type="dxa"/>
            <w:tcBorders>
              <w:top w:val="nil"/>
              <w:left w:val="nil"/>
              <w:bottom w:val="single" w:sz="8" w:space="0" w:color="A6A6A6"/>
              <w:right w:val="single" w:sz="8" w:space="0" w:color="A6A6A6"/>
            </w:tcBorders>
            <w:shd w:val="clear" w:color="auto" w:fill="auto"/>
            <w:noWrap/>
            <w:vAlign w:val="center"/>
            <w:hideMark/>
          </w:tcPr>
          <w:p w14:paraId="5218150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-1614</w:t>
            </w:r>
          </w:p>
        </w:tc>
        <w:tc>
          <w:tcPr>
            <w:tcW w:w="1829" w:type="dxa"/>
            <w:tcBorders>
              <w:top w:val="nil"/>
              <w:left w:val="nil"/>
              <w:bottom w:val="single" w:sz="8" w:space="0" w:color="A6A6A6"/>
              <w:right w:val="single" w:sz="8" w:space="0" w:color="A6A6A6"/>
            </w:tcBorders>
            <w:shd w:val="clear" w:color="auto" w:fill="auto"/>
            <w:noWrap/>
            <w:vAlign w:val="center"/>
            <w:hideMark/>
          </w:tcPr>
          <w:p w14:paraId="00EBB3AB"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-0.6</w:t>
            </w:r>
          </w:p>
        </w:tc>
      </w:tr>
      <w:tr w:rsidR="00400D2D" w:rsidRPr="00AA5833" w14:paraId="48479B07"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261A833"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Търговище</w:t>
            </w:r>
          </w:p>
        </w:tc>
        <w:tc>
          <w:tcPr>
            <w:tcW w:w="1420" w:type="dxa"/>
            <w:tcBorders>
              <w:top w:val="nil"/>
              <w:left w:val="nil"/>
              <w:bottom w:val="single" w:sz="8" w:space="0" w:color="A6A6A6"/>
              <w:right w:val="single" w:sz="8" w:space="0" w:color="A6A6A6"/>
            </w:tcBorders>
            <w:shd w:val="clear" w:color="auto" w:fill="auto"/>
            <w:noWrap/>
            <w:vAlign w:val="center"/>
            <w:hideMark/>
          </w:tcPr>
          <w:p w14:paraId="277EA3E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94735</w:t>
            </w:r>
          </w:p>
        </w:tc>
        <w:tc>
          <w:tcPr>
            <w:tcW w:w="1683" w:type="dxa"/>
            <w:tcBorders>
              <w:top w:val="nil"/>
              <w:left w:val="nil"/>
              <w:bottom w:val="single" w:sz="8" w:space="0" w:color="A6A6A6"/>
              <w:right w:val="single" w:sz="8" w:space="0" w:color="A6A6A6"/>
            </w:tcBorders>
            <w:shd w:val="clear" w:color="auto" w:fill="auto"/>
            <w:noWrap/>
            <w:vAlign w:val="center"/>
            <w:hideMark/>
          </w:tcPr>
          <w:p w14:paraId="406222F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863" w:type="dxa"/>
            <w:tcBorders>
              <w:top w:val="nil"/>
              <w:left w:val="nil"/>
              <w:bottom w:val="single" w:sz="8" w:space="0" w:color="A6A6A6"/>
              <w:right w:val="single" w:sz="8" w:space="0" w:color="A6A6A6"/>
            </w:tcBorders>
            <w:shd w:val="clear" w:color="auto" w:fill="auto"/>
            <w:noWrap/>
            <w:vAlign w:val="center"/>
            <w:hideMark/>
          </w:tcPr>
          <w:p w14:paraId="0FE34B7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-874</w:t>
            </w:r>
          </w:p>
        </w:tc>
        <w:tc>
          <w:tcPr>
            <w:tcW w:w="1829" w:type="dxa"/>
            <w:tcBorders>
              <w:top w:val="nil"/>
              <w:left w:val="nil"/>
              <w:bottom w:val="single" w:sz="8" w:space="0" w:color="A6A6A6"/>
              <w:right w:val="single" w:sz="8" w:space="0" w:color="A6A6A6"/>
            </w:tcBorders>
            <w:shd w:val="clear" w:color="auto" w:fill="auto"/>
            <w:noWrap/>
            <w:vAlign w:val="center"/>
            <w:hideMark/>
          </w:tcPr>
          <w:p w14:paraId="1DD3253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-0.9</w:t>
            </w:r>
          </w:p>
        </w:tc>
      </w:tr>
      <w:tr w:rsidR="00400D2D" w:rsidRPr="00AA5833" w14:paraId="1BC66A4A"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E133288"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Хасково</w:t>
            </w:r>
          </w:p>
        </w:tc>
        <w:tc>
          <w:tcPr>
            <w:tcW w:w="1420" w:type="dxa"/>
            <w:tcBorders>
              <w:top w:val="nil"/>
              <w:left w:val="nil"/>
              <w:bottom w:val="single" w:sz="8" w:space="0" w:color="A6A6A6"/>
              <w:right w:val="single" w:sz="8" w:space="0" w:color="A6A6A6"/>
            </w:tcBorders>
            <w:shd w:val="clear" w:color="auto" w:fill="auto"/>
            <w:noWrap/>
            <w:vAlign w:val="center"/>
            <w:hideMark/>
          </w:tcPr>
          <w:p w14:paraId="4186873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207356</w:t>
            </w:r>
          </w:p>
        </w:tc>
        <w:tc>
          <w:tcPr>
            <w:tcW w:w="1683" w:type="dxa"/>
            <w:tcBorders>
              <w:top w:val="nil"/>
              <w:left w:val="nil"/>
              <w:bottom w:val="single" w:sz="8" w:space="0" w:color="A6A6A6"/>
              <w:right w:val="single" w:sz="8" w:space="0" w:color="A6A6A6"/>
            </w:tcBorders>
            <w:shd w:val="clear" w:color="auto" w:fill="auto"/>
            <w:noWrap/>
            <w:vAlign w:val="center"/>
            <w:hideMark/>
          </w:tcPr>
          <w:p w14:paraId="60FD18F9"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3.2</w:t>
            </w:r>
          </w:p>
        </w:tc>
        <w:tc>
          <w:tcPr>
            <w:tcW w:w="1863" w:type="dxa"/>
            <w:tcBorders>
              <w:top w:val="nil"/>
              <w:left w:val="nil"/>
              <w:bottom w:val="single" w:sz="8" w:space="0" w:color="A6A6A6"/>
              <w:right w:val="single" w:sz="8" w:space="0" w:color="A6A6A6"/>
            </w:tcBorders>
            <w:shd w:val="clear" w:color="auto" w:fill="auto"/>
            <w:noWrap/>
            <w:vAlign w:val="center"/>
            <w:hideMark/>
          </w:tcPr>
          <w:p w14:paraId="68B3EEC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242</w:t>
            </w:r>
          </w:p>
        </w:tc>
        <w:tc>
          <w:tcPr>
            <w:tcW w:w="1829" w:type="dxa"/>
            <w:tcBorders>
              <w:top w:val="nil"/>
              <w:left w:val="nil"/>
              <w:bottom w:val="single" w:sz="8" w:space="0" w:color="A6A6A6"/>
              <w:right w:val="single" w:sz="8" w:space="0" w:color="A6A6A6"/>
            </w:tcBorders>
            <w:shd w:val="clear" w:color="auto" w:fill="auto"/>
            <w:noWrap/>
            <w:vAlign w:val="center"/>
            <w:hideMark/>
          </w:tcPr>
          <w:p w14:paraId="59DD59A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0.1</w:t>
            </w:r>
          </w:p>
        </w:tc>
      </w:tr>
      <w:tr w:rsidR="00400D2D" w:rsidRPr="00AA5833" w14:paraId="53221E88"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5E858F3"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Шумен</w:t>
            </w:r>
          </w:p>
        </w:tc>
        <w:tc>
          <w:tcPr>
            <w:tcW w:w="1420" w:type="dxa"/>
            <w:tcBorders>
              <w:top w:val="nil"/>
              <w:left w:val="nil"/>
              <w:bottom w:val="single" w:sz="8" w:space="0" w:color="A6A6A6"/>
              <w:right w:val="single" w:sz="8" w:space="0" w:color="A6A6A6"/>
            </w:tcBorders>
            <w:shd w:val="clear" w:color="auto" w:fill="auto"/>
            <w:noWrap/>
            <w:vAlign w:val="center"/>
            <w:hideMark/>
          </w:tcPr>
          <w:p w14:paraId="5DA9215E"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149279</w:t>
            </w:r>
          </w:p>
        </w:tc>
        <w:tc>
          <w:tcPr>
            <w:tcW w:w="1683" w:type="dxa"/>
            <w:tcBorders>
              <w:top w:val="nil"/>
              <w:left w:val="nil"/>
              <w:bottom w:val="single" w:sz="8" w:space="0" w:color="A6A6A6"/>
              <w:right w:val="single" w:sz="8" w:space="0" w:color="A6A6A6"/>
            </w:tcBorders>
            <w:shd w:val="clear" w:color="auto" w:fill="auto"/>
            <w:noWrap/>
            <w:vAlign w:val="center"/>
            <w:hideMark/>
          </w:tcPr>
          <w:p w14:paraId="3C71EAB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863" w:type="dxa"/>
            <w:tcBorders>
              <w:top w:val="nil"/>
              <w:left w:val="nil"/>
              <w:bottom w:val="single" w:sz="8" w:space="0" w:color="A6A6A6"/>
              <w:right w:val="single" w:sz="8" w:space="0" w:color="A6A6A6"/>
            </w:tcBorders>
            <w:shd w:val="clear" w:color="auto" w:fill="auto"/>
            <w:noWrap/>
            <w:vAlign w:val="center"/>
            <w:hideMark/>
          </w:tcPr>
          <w:p w14:paraId="79473B7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-420</w:t>
            </w:r>
          </w:p>
        </w:tc>
        <w:tc>
          <w:tcPr>
            <w:tcW w:w="1829" w:type="dxa"/>
            <w:tcBorders>
              <w:top w:val="nil"/>
              <w:left w:val="nil"/>
              <w:bottom w:val="single" w:sz="8" w:space="0" w:color="A6A6A6"/>
              <w:right w:val="single" w:sz="8" w:space="0" w:color="A6A6A6"/>
            </w:tcBorders>
            <w:shd w:val="clear" w:color="auto" w:fill="auto"/>
            <w:noWrap/>
            <w:vAlign w:val="center"/>
            <w:hideMark/>
          </w:tcPr>
          <w:p w14:paraId="3CC0FFC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-0.3</w:t>
            </w:r>
          </w:p>
        </w:tc>
      </w:tr>
      <w:tr w:rsidR="00400D2D" w:rsidRPr="00AA5833" w14:paraId="5F69EDF9" w14:textId="77777777" w:rsidTr="00377372">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EFA370C" w14:textId="77777777" w:rsidR="00400D2D" w:rsidRPr="00AA5833" w:rsidRDefault="00400D2D" w:rsidP="00400D2D">
            <w:pPr>
              <w:spacing w:after="0" w:line="240" w:lineRule="auto"/>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Ямбол</w:t>
            </w:r>
          </w:p>
        </w:tc>
        <w:tc>
          <w:tcPr>
            <w:tcW w:w="1420" w:type="dxa"/>
            <w:tcBorders>
              <w:top w:val="nil"/>
              <w:left w:val="nil"/>
              <w:bottom w:val="single" w:sz="8" w:space="0" w:color="A6A6A6"/>
              <w:right w:val="single" w:sz="8" w:space="0" w:color="A6A6A6"/>
            </w:tcBorders>
            <w:shd w:val="clear" w:color="auto" w:fill="auto"/>
            <w:noWrap/>
            <w:vAlign w:val="center"/>
            <w:hideMark/>
          </w:tcPr>
          <w:p w14:paraId="401EB9ED"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105429</w:t>
            </w:r>
          </w:p>
        </w:tc>
        <w:tc>
          <w:tcPr>
            <w:tcW w:w="1683" w:type="dxa"/>
            <w:tcBorders>
              <w:top w:val="nil"/>
              <w:left w:val="nil"/>
              <w:bottom w:val="single" w:sz="8" w:space="0" w:color="A6A6A6"/>
              <w:right w:val="single" w:sz="8" w:space="0" w:color="A6A6A6"/>
            </w:tcBorders>
            <w:shd w:val="clear" w:color="auto" w:fill="auto"/>
            <w:noWrap/>
            <w:vAlign w:val="center"/>
            <w:hideMark/>
          </w:tcPr>
          <w:p w14:paraId="75CF888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w:t>
            </w:r>
          </w:p>
        </w:tc>
        <w:tc>
          <w:tcPr>
            <w:tcW w:w="1863" w:type="dxa"/>
            <w:tcBorders>
              <w:top w:val="nil"/>
              <w:left w:val="nil"/>
              <w:bottom w:val="single" w:sz="8" w:space="0" w:color="A6A6A6"/>
              <w:right w:val="single" w:sz="8" w:space="0" w:color="A6A6A6"/>
            </w:tcBorders>
            <w:shd w:val="clear" w:color="auto" w:fill="auto"/>
            <w:noWrap/>
            <w:vAlign w:val="center"/>
            <w:hideMark/>
          </w:tcPr>
          <w:p w14:paraId="35B544D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-891</w:t>
            </w:r>
          </w:p>
        </w:tc>
        <w:tc>
          <w:tcPr>
            <w:tcW w:w="1829" w:type="dxa"/>
            <w:tcBorders>
              <w:top w:val="nil"/>
              <w:left w:val="nil"/>
              <w:bottom w:val="single" w:sz="8" w:space="0" w:color="A6A6A6"/>
              <w:right w:val="single" w:sz="8" w:space="0" w:color="A6A6A6"/>
            </w:tcBorders>
            <w:shd w:val="clear" w:color="auto" w:fill="auto"/>
            <w:noWrap/>
            <w:vAlign w:val="center"/>
            <w:hideMark/>
          </w:tcPr>
          <w:p w14:paraId="061E9C97"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-0.8</w:t>
            </w:r>
          </w:p>
        </w:tc>
      </w:tr>
    </w:tbl>
    <w:p w14:paraId="7DDB4E3B" w14:textId="77777777" w:rsidR="00794265" w:rsidRPr="00AA5833" w:rsidRDefault="00794265" w:rsidP="00794265">
      <w:pPr>
        <w:spacing w:after="0" w:line="240" w:lineRule="auto"/>
        <w:ind w:right="-81"/>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61553966"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В сравнение с 2023 г. шест области увеличават населението си, като най-голямо е това увеличение за областите Кърджали и Бургас, съответно с 2.0 и 1.2%. При областите Видин и Смолян е отчетено най-голямо намаление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с по 1.7%.</w:t>
      </w:r>
    </w:p>
    <w:p w14:paraId="1D87E396" w14:textId="77777777" w:rsidR="008D6AFB" w:rsidRPr="00AA5833" w:rsidRDefault="008D6AFB" w:rsidP="002863D5">
      <w:pPr>
        <w:keepNext/>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0132A9B1" w14:textId="77777777" w:rsidR="00400D2D" w:rsidRPr="00AA5833" w:rsidRDefault="00400D2D" w:rsidP="002863D5">
      <w:pPr>
        <w:keepNext/>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Общини</w:t>
      </w:r>
    </w:p>
    <w:p w14:paraId="0FA4A79F"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Неравномерно е разпределението на населението и по общини. В 81 общини с население под 6000 души живеят едва 4.4% от населението на страната. В същото време в осемте общини с население над 100 хил. души живеят 41.1% от населението на страната, като най-голяма е Столична община (1 295 931 души), следвана от Пловдив (329 489 души) и Варна (327 424 души). Най-малката община е Трекляно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522 души.</w:t>
      </w:r>
    </w:p>
    <w:p w14:paraId="3ABF3AB5" w14:textId="77777777" w:rsidR="00400D2D" w:rsidRPr="00AA5833" w:rsidRDefault="00400D2D" w:rsidP="00400D2D">
      <w:pPr>
        <w:keepLines/>
        <w:autoSpaceDE w:val="0"/>
        <w:autoSpaceDN w:val="0"/>
        <w:adjustRightInd w:val="0"/>
        <w:spacing w:before="160" w:line="360" w:lineRule="auto"/>
        <w:jc w:val="center"/>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3. Размер на общините според броя на населението им към 31.12.2024 година</w:t>
      </w:r>
    </w:p>
    <w:tbl>
      <w:tblPr>
        <w:tblW w:w="9072" w:type="dxa"/>
        <w:tblInd w:w="-5" w:type="dxa"/>
        <w:tblCellMar>
          <w:left w:w="70" w:type="dxa"/>
          <w:right w:w="70" w:type="dxa"/>
        </w:tblCellMar>
        <w:tblLook w:val="04A0" w:firstRow="1" w:lastRow="0" w:firstColumn="1" w:lastColumn="0" w:noHBand="0" w:noVBand="1"/>
      </w:tblPr>
      <w:tblGrid>
        <w:gridCol w:w="2552"/>
        <w:gridCol w:w="1417"/>
        <w:gridCol w:w="1560"/>
        <w:gridCol w:w="1842"/>
        <w:gridCol w:w="1701"/>
      </w:tblGrid>
      <w:tr w:rsidR="00400D2D" w:rsidRPr="00AA5833" w14:paraId="7BF5F704" w14:textId="77777777" w:rsidTr="00377372">
        <w:trPr>
          <w:trHeight w:val="623"/>
        </w:trPr>
        <w:tc>
          <w:tcPr>
            <w:tcW w:w="2552" w:type="dxa"/>
            <w:vMerge w:val="restart"/>
            <w:tcBorders>
              <w:top w:val="single" w:sz="4" w:space="0" w:color="auto"/>
              <w:left w:val="single" w:sz="4" w:space="0" w:color="auto"/>
              <w:bottom w:val="single" w:sz="4" w:space="0" w:color="auto"/>
              <w:right w:val="single" w:sz="4" w:space="0" w:color="auto"/>
            </w:tcBorders>
            <w:shd w:val="clear" w:color="000000" w:fill="DDEBF7"/>
            <w:hideMark/>
          </w:tcPr>
          <w:p w14:paraId="553BFCB8"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p>
          <w:p w14:paraId="795B0199"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Размер на общината</w:t>
            </w:r>
          </w:p>
        </w:tc>
        <w:tc>
          <w:tcPr>
            <w:tcW w:w="2977"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335933DB" w14:textId="77777777" w:rsidR="00400D2D" w:rsidRPr="00AA5833" w:rsidRDefault="00400D2D" w:rsidP="00400D2D">
            <w:pPr>
              <w:spacing w:after="0" w:line="48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Общини</w:t>
            </w:r>
          </w:p>
        </w:tc>
        <w:tc>
          <w:tcPr>
            <w:tcW w:w="3543"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00273A58" w14:textId="77777777" w:rsidR="00400D2D" w:rsidRPr="00AA5833" w:rsidRDefault="00400D2D" w:rsidP="00400D2D">
            <w:pPr>
              <w:spacing w:after="0" w:line="480" w:lineRule="auto"/>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Население</w:t>
            </w:r>
          </w:p>
        </w:tc>
      </w:tr>
      <w:tr w:rsidR="00400D2D" w:rsidRPr="00AA5833" w14:paraId="1274C1D7" w14:textId="77777777" w:rsidTr="00377372">
        <w:trPr>
          <w:trHeight w:val="30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6124560"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p>
        </w:tc>
        <w:tc>
          <w:tcPr>
            <w:tcW w:w="1417" w:type="dxa"/>
            <w:tcBorders>
              <w:top w:val="nil"/>
              <w:left w:val="nil"/>
              <w:bottom w:val="single" w:sz="4" w:space="0" w:color="auto"/>
              <w:right w:val="single" w:sz="4" w:space="0" w:color="auto"/>
            </w:tcBorders>
            <w:shd w:val="clear" w:color="000000" w:fill="DDEBF7"/>
            <w:noWrap/>
            <w:vAlign w:val="bottom"/>
            <w:hideMark/>
          </w:tcPr>
          <w:p w14:paraId="25FC2B8C"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560" w:type="dxa"/>
            <w:tcBorders>
              <w:top w:val="nil"/>
              <w:left w:val="nil"/>
              <w:bottom w:val="single" w:sz="4" w:space="0" w:color="auto"/>
              <w:right w:val="single" w:sz="4" w:space="0" w:color="auto"/>
            </w:tcBorders>
            <w:shd w:val="clear" w:color="000000" w:fill="DDEBF7"/>
            <w:noWrap/>
            <w:vAlign w:val="bottom"/>
            <w:hideMark/>
          </w:tcPr>
          <w:p w14:paraId="561F7220"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w:t>
            </w:r>
          </w:p>
        </w:tc>
        <w:tc>
          <w:tcPr>
            <w:tcW w:w="1842" w:type="dxa"/>
            <w:tcBorders>
              <w:top w:val="nil"/>
              <w:left w:val="nil"/>
              <w:bottom w:val="single" w:sz="4" w:space="0" w:color="auto"/>
              <w:right w:val="single" w:sz="4" w:space="0" w:color="auto"/>
            </w:tcBorders>
            <w:shd w:val="clear" w:color="000000" w:fill="DDEBF7"/>
            <w:noWrap/>
            <w:vAlign w:val="bottom"/>
            <w:hideMark/>
          </w:tcPr>
          <w:p w14:paraId="0F6A0E6B"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701" w:type="dxa"/>
            <w:tcBorders>
              <w:top w:val="nil"/>
              <w:left w:val="nil"/>
              <w:bottom w:val="single" w:sz="4" w:space="0" w:color="auto"/>
              <w:right w:val="single" w:sz="4" w:space="0" w:color="auto"/>
            </w:tcBorders>
            <w:shd w:val="clear" w:color="000000" w:fill="DDEBF7"/>
            <w:noWrap/>
            <w:vAlign w:val="bottom"/>
            <w:hideMark/>
          </w:tcPr>
          <w:p w14:paraId="72B7DBB6"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w:t>
            </w:r>
          </w:p>
        </w:tc>
      </w:tr>
      <w:tr w:rsidR="00400D2D" w:rsidRPr="00AA5833" w14:paraId="597B9813"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43D1E2A" w14:textId="77777777" w:rsidR="00400D2D" w:rsidRPr="00AA5833" w:rsidRDefault="00400D2D" w:rsidP="00400D2D">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Общо</w:t>
            </w:r>
          </w:p>
        </w:tc>
        <w:tc>
          <w:tcPr>
            <w:tcW w:w="1417" w:type="dxa"/>
            <w:tcBorders>
              <w:top w:val="nil"/>
              <w:left w:val="nil"/>
              <w:bottom w:val="single" w:sz="4" w:space="0" w:color="auto"/>
              <w:right w:val="single" w:sz="4" w:space="0" w:color="auto"/>
            </w:tcBorders>
            <w:shd w:val="clear" w:color="auto" w:fill="auto"/>
            <w:noWrap/>
            <w:vAlign w:val="bottom"/>
            <w:hideMark/>
          </w:tcPr>
          <w:p w14:paraId="57BAE88E"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265</w:t>
            </w:r>
          </w:p>
        </w:tc>
        <w:tc>
          <w:tcPr>
            <w:tcW w:w="1560" w:type="dxa"/>
            <w:tcBorders>
              <w:top w:val="nil"/>
              <w:left w:val="nil"/>
              <w:bottom w:val="single" w:sz="4" w:space="0" w:color="auto"/>
              <w:right w:val="single" w:sz="4" w:space="0" w:color="auto"/>
            </w:tcBorders>
            <w:shd w:val="clear" w:color="auto" w:fill="auto"/>
            <w:noWrap/>
            <w:vAlign w:val="bottom"/>
            <w:hideMark/>
          </w:tcPr>
          <w:p w14:paraId="38786B60"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100.0</w:t>
            </w:r>
          </w:p>
        </w:tc>
        <w:tc>
          <w:tcPr>
            <w:tcW w:w="1842" w:type="dxa"/>
            <w:tcBorders>
              <w:top w:val="nil"/>
              <w:left w:val="nil"/>
              <w:bottom w:val="single" w:sz="4" w:space="0" w:color="auto"/>
              <w:right w:val="single" w:sz="4" w:space="0" w:color="auto"/>
            </w:tcBorders>
            <w:shd w:val="clear" w:color="auto" w:fill="auto"/>
            <w:noWrap/>
            <w:vAlign w:val="bottom"/>
            <w:hideMark/>
          </w:tcPr>
          <w:p w14:paraId="7EBC08E7"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6</w:t>
            </w:r>
            <w:r w:rsidR="0011267D" w:rsidRPr="00AA5833">
              <w:rPr>
                <w:rFonts w:ascii="Times New Roman" w:eastAsia="Times New Roman" w:hAnsi="Times New Roman" w:cs="Times New Roman"/>
                <w:b/>
                <w:bCs/>
                <w:sz w:val="20"/>
                <w:szCs w:val="20"/>
                <w:lang w:eastAsia="bg-BG"/>
              </w:rPr>
              <w:t xml:space="preserve"> </w:t>
            </w:r>
            <w:r w:rsidRPr="00AA5833">
              <w:rPr>
                <w:rFonts w:ascii="Times New Roman" w:eastAsia="Times New Roman" w:hAnsi="Times New Roman" w:cs="Times New Roman"/>
                <w:b/>
                <w:bCs/>
                <w:sz w:val="20"/>
                <w:szCs w:val="20"/>
                <w:lang w:eastAsia="bg-BG"/>
              </w:rPr>
              <w:t>437</w:t>
            </w:r>
            <w:r w:rsidR="0011267D" w:rsidRPr="00AA5833">
              <w:rPr>
                <w:rFonts w:ascii="Times New Roman" w:eastAsia="Times New Roman" w:hAnsi="Times New Roman" w:cs="Times New Roman"/>
                <w:b/>
                <w:bCs/>
                <w:sz w:val="20"/>
                <w:szCs w:val="20"/>
                <w:lang w:eastAsia="bg-BG"/>
              </w:rPr>
              <w:t xml:space="preserve"> </w:t>
            </w:r>
            <w:r w:rsidRPr="00AA5833">
              <w:rPr>
                <w:rFonts w:ascii="Times New Roman" w:eastAsia="Times New Roman" w:hAnsi="Times New Roman" w:cs="Times New Roman"/>
                <w:b/>
                <w:bCs/>
                <w:sz w:val="20"/>
                <w:szCs w:val="20"/>
                <w:lang w:eastAsia="bg-BG"/>
              </w:rPr>
              <w:t>360</w:t>
            </w:r>
          </w:p>
        </w:tc>
        <w:tc>
          <w:tcPr>
            <w:tcW w:w="1701" w:type="dxa"/>
            <w:tcBorders>
              <w:top w:val="nil"/>
              <w:left w:val="nil"/>
              <w:bottom w:val="single" w:sz="4" w:space="0" w:color="auto"/>
              <w:right w:val="single" w:sz="4" w:space="0" w:color="auto"/>
            </w:tcBorders>
            <w:shd w:val="clear" w:color="auto" w:fill="auto"/>
            <w:noWrap/>
            <w:vAlign w:val="bottom"/>
            <w:hideMark/>
          </w:tcPr>
          <w:p w14:paraId="0EAE8D9E" w14:textId="77777777" w:rsidR="00400D2D" w:rsidRPr="00AA5833" w:rsidRDefault="00400D2D" w:rsidP="00400D2D">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100.0</w:t>
            </w:r>
          </w:p>
        </w:tc>
      </w:tr>
      <w:tr w:rsidR="00400D2D" w:rsidRPr="00AA5833" w14:paraId="40A55BB1"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585FB26" w14:textId="77777777" w:rsidR="00400D2D" w:rsidRPr="00AA5833" w:rsidRDefault="00400D2D" w:rsidP="00400D2D">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до 5999</w:t>
            </w:r>
          </w:p>
        </w:tc>
        <w:tc>
          <w:tcPr>
            <w:tcW w:w="1417" w:type="dxa"/>
            <w:tcBorders>
              <w:top w:val="nil"/>
              <w:left w:val="nil"/>
              <w:bottom w:val="single" w:sz="4" w:space="0" w:color="auto"/>
              <w:right w:val="single" w:sz="4" w:space="0" w:color="auto"/>
            </w:tcBorders>
            <w:shd w:val="clear" w:color="auto" w:fill="auto"/>
            <w:noWrap/>
            <w:vAlign w:val="bottom"/>
            <w:hideMark/>
          </w:tcPr>
          <w:p w14:paraId="3000D06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81</w:t>
            </w:r>
          </w:p>
        </w:tc>
        <w:tc>
          <w:tcPr>
            <w:tcW w:w="1560" w:type="dxa"/>
            <w:tcBorders>
              <w:top w:val="nil"/>
              <w:left w:val="nil"/>
              <w:bottom w:val="single" w:sz="4" w:space="0" w:color="auto"/>
              <w:right w:val="single" w:sz="4" w:space="0" w:color="auto"/>
            </w:tcBorders>
            <w:shd w:val="clear" w:color="auto" w:fill="auto"/>
            <w:noWrap/>
            <w:vAlign w:val="bottom"/>
            <w:hideMark/>
          </w:tcPr>
          <w:p w14:paraId="2A46B82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30.6</w:t>
            </w:r>
          </w:p>
        </w:tc>
        <w:tc>
          <w:tcPr>
            <w:tcW w:w="1842" w:type="dxa"/>
            <w:tcBorders>
              <w:top w:val="nil"/>
              <w:left w:val="nil"/>
              <w:bottom w:val="single" w:sz="4" w:space="0" w:color="auto"/>
              <w:right w:val="single" w:sz="4" w:space="0" w:color="auto"/>
            </w:tcBorders>
            <w:shd w:val="clear" w:color="auto" w:fill="auto"/>
            <w:noWrap/>
            <w:vAlign w:val="bottom"/>
            <w:hideMark/>
          </w:tcPr>
          <w:p w14:paraId="7614BD96"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286</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311</w:t>
            </w:r>
          </w:p>
        </w:tc>
        <w:tc>
          <w:tcPr>
            <w:tcW w:w="1701" w:type="dxa"/>
            <w:tcBorders>
              <w:top w:val="nil"/>
              <w:left w:val="nil"/>
              <w:bottom w:val="single" w:sz="4" w:space="0" w:color="auto"/>
              <w:right w:val="single" w:sz="4" w:space="0" w:color="auto"/>
            </w:tcBorders>
            <w:shd w:val="clear" w:color="auto" w:fill="auto"/>
            <w:noWrap/>
            <w:vAlign w:val="bottom"/>
            <w:hideMark/>
          </w:tcPr>
          <w:p w14:paraId="14BA0D85"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w:t>
            </w:r>
          </w:p>
        </w:tc>
      </w:tr>
      <w:tr w:rsidR="00400D2D" w:rsidRPr="00AA5833" w14:paraId="0A2DD7ED"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2BB6DDE" w14:textId="77777777" w:rsidR="00400D2D" w:rsidRPr="00AA5833" w:rsidRDefault="00400D2D" w:rsidP="00400D2D">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 xml:space="preserve">6000 </w:t>
            </w:r>
            <w:r w:rsidR="0011267D" w:rsidRPr="00AA5833">
              <w:rPr>
                <w:rFonts w:ascii="Times New Roman" w:eastAsia="Times New Roman" w:hAnsi="Times New Roman" w:cs="Times New Roman"/>
                <w:sz w:val="20"/>
                <w:szCs w:val="20"/>
                <w:lang w:eastAsia="bg-BG"/>
              </w:rPr>
              <w:t>–</w:t>
            </w:r>
            <w:r w:rsidRPr="00AA5833">
              <w:rPr>
                <w:rFonts w:ascii="Times New Roman" w:eastAsia="Times New Roman" w:hAnsi="Times New Roman" w:cs="Times New Roman"/>
                <w:sz w:val="20"/>
                <w:szCs w:val="20"/>
                <w:lang w:eastAsia="bg-BG"/>
              </w:rPr>
              <w:t xml:space="preserve"> 19</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999</w:t>
            </w:r>
          </w:p>
        </w:tc>
        <w:tc>
          <w:tcPr>
            <w:tcW w:w="1417" w:type="dxa"/>
            <w:tcBorders>
              <w:top w:val="nil"/>
              <w:left w:val="nil"/>
              <w:bottom w:val="single" w:sz="4" w:space="0" w:color="auto"/>
              <w:right w:val="single" w:sz="4" w:space="0" w:color="auto"/>
            </w:tcBorders>
            <w:shd w:val="clear" w:color="auto" w:fill="auto"/>
            <w:noWrap/>
            <w:vAlign w:val="bottom"/>
            <w:hideMark/>
          </w:tcPr>
          <w:p w14:paraId="0B72ABF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123</w:t>
            </w:r>
          </w:p>
        </w:tc>
        <w:tc>
          <w:tcPr>
            <w:tcW w:w="1560" w:type="dxa"/>
            <w:tcBorders>
              <w:top w:val="nil"/>
              <w:left w:val="nil"/>
              <w:bottom w:val="single" w:sz="4" w:space="0" w:color="auto"/>
              <w:right w:val="single" w:sz="4" w:space="0" w:color="auto"/>
            </w:tcBorders>
            <w:shd w:val="clear" w:color="auto" w:fill="auto"/>
            <w:noWrap/>
            <w:vAlign w:val="bottom"/>
            <w:hideMark/>
          </w:tcPr>
          <w:p w14:paraId="493B5BF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46.4</w:t>
            </w:r>
          </w:p>
        </w:tc>
        <w:tc>
          <w:tcPr>
            <w:tcW w:w="1842" w:type="dxa"/>
            <w:tcBorders>
              <w:top w:val="nil"/>
              <w:left w:val="nil"/>
              <w:bottom w:val="single" w:sz="4" w:space="0" w:color="auto"/>
              <w:right w:val="single" w:sz="4" w:space="0" w:color="auto"/>
            </w:tcBorders>
            <w:shd w:val="clear" w:color="auto" w:fill="auto"/>
            <w:noWrap/>
            <w:vAlign w:val="bottom"/>
            <w:hideMark/>
          </w:tcPr>
          <w:p w14:paraId="054533D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362</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606</w:t>
            </w:r>
          </w:p>
        </w:tc>
        <w:tc>
          <w:tcPr>
            <w:tcW w:w="1701" w:type="dxa"/>
            <w:tcBorders>
              <w:top w:val="nil"/>
              <w:left w:val="nil"/>
              <w:bottom w:val="single" w:sz="4" w:space="0" w:color="auto"/>
              <w:right w:val="single" w:sz="4" w:space="0" w:color="auto"/>
            </w:tcBorders>
            <w:shd w:val="clear" w:color="auto" w:fill="auto"/>
            <w:noWrap/>
            <w:vAlign w:val="bottom"/>
            <w:hideMark/>
          </w:tcPr>
          <w:p w14:paraId="4AE339D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21.2</w:t>
            </w:r>
          </w:p>
        </w:tc>
      </w:tr>
      <w:tr w:rsidR="00400D2D" w:rsidRPr="00AA5833" w14:paraId="2B30A929"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BC16023" w14:textId="77777777" w:rsidR="00400D2D" w:rsidRPr="00AA5833" w:rsidRDefault="00400D2D" w:rsidP="00400D2D">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 xml:space="preserve">000 </w:t>
            </w:r>
            <w:r w:rsidR="0011267D" w:rsidRPr="00AA5833">
              <w:rPr>
                <w:rFonts w:ascii="Times New Roman" w:eastAsia="Times New Roman" w:hAnsi="Times New Roman" w:cs="Times New Roman"/>
                <w:sz w:val="20"/>
                <w:szCs w:val="20"/>
                <w:lang w:eastAsia="bg-BG"/>
              </w:rPr>
              <w:t>–</w:t>
            </w:r>
            <w:r w:rsidRPr="00AA5833">
              <w:rPr>
                <w:rFonts w:ascii="Times New Roman" w:eastAsia="Times New Roman" w:hAnsi="Times New Roman" w:cs="Times New Roman"/>
                <w:sz w:val="20"/>
                <w:szCs w:val="20"/>
                <w:lang w:eastAsia="bg-BG"/>
              </w:rPr>
              <w:t xml:space="preserve"> 49</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999</w:t>
            </w:r>
          </w:p>
        </w:tc>
        <w:tc>
          <w:tcPr>
            <w:tcW w:w="1417" w:type="dxa"/>
            <w:tcBorders>
              <w:top w:val="nil"/>
              <w:left w:val="nil"/>
              <w:bottom w:val="single" w:sz="4" w:space="0" w:color="auto"/>
              <w:right w:val="single" w:sz="4" w:space="0" w:color="auto"/>
            </w:tcBorders>
            <w:shd w:val="clear" w:color="auto" w:fill="auto"/>
            <w:noWrap/>
            <w:vAlign w:val="bottom"/>
            <w:hideMark/>
          </w:tcPr>
          <w:p w14:paraId="6491EBAA"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w:t>
            </w:r>
          </w:p>
        </w:tc>
        <w:tc>
          <w:tcPr>
            <w:tcW w:w="1560" w:type="dxa"/>
            <w:tcBorders>
              <w:top w:val="nil"/>
              <w:left w:val="nil"/>
              <w:bottom w:val="single" w:sz="4" w:space="0" w:color="auto"/>
              <w:right w:val="single" w:sz="4" w:space="0" w:color="auto"/>
            </w:tcBorders>
            <w:shd w:val="clear" w:color="auto" w:fill="auto"/>
            <w:noWrap/>
            <w:vAlign w:val="bottom"/>
            <w:hideMark/>
          </w:tcPr>
          <w:p w14:paraId="4D0AC78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15.5</w:t>
            </w:r>
          </w:p>
        </w:tc>
        <w:tc>
          <w:tcPr>
            <w:tcW w:w="1842" w:type="dxa"/>
            <w:tcBorders>
              <w:top w:val="nil"/>
              <w:left w:val="nil"/>
              <w:bottom w:val="single" w:sz="4" w:space="0" w:color="auto"/>
              <w:right w:val="single" w:sz="4" w:space="0" w:color="auto"/>
            </w:tcBorders>
            <w:shd w:val="clear" w:color="auto" w:fill="auto"/>
            <w:noWrap/>
            <w:vAlign w:val="bottom"/>
            <w:hideMark/>
          </w:tcPr>
          <w:p w14:paraId="3194652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r w:rsidR="0011267D" w:rsidRPr="00AA5833">
              <w:rPr>
                <w:rFonts w:ascii="Times New Roman" w:eastAsia="Times New Roman" w:hAnsi="Times New Roman" w:cs="Times New Roman"/>
                <w:sz w:val="20"/>
                <w:szCs w:val="20"/>
                <w:lang w:eastAsia="bg-BG"/>
              </w:rPr>
              <w:t> </w:t>
            </w:r>
            <w:r w:rsidRPr="00AA5833">
              <w:rPr>
                <w:rFonts w:ascii="Times New Roman" w:eastAsia="Times New Roman" w:hAnsi="Times New Roman" w:cs="Times New Roman"/>
                <w:sz w:val="20"/>
                <w:szCs w:val="20"/>
                <w:lang w:eastAsia="bg-BG"/>
              </w:rPr>
              <w:t>294</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238</w:t>
            </w:r>
          </w:p>
        </w:tc>
        <w:tc>
          <w:tcPr>
            <w:tcW w:w="1701" w:type="dxa"/>
            <w:tcBorders>
              <w:top w:val="nil"/>
              <w:left w:val="nil"/>
              <w:bottom w:val="single" w:sz="4" w:space="0" w:color="auto"/>
              <w:right w:val="single" w:sz="4" w:space="0" w:color="auto"/>
            </w:tcBorders>
            <w:shd w:val="clear" w:color="auto" w:fill="auto"/>
            <w:noWrap/>
            <w:vAlign w:val="bottom"/>
            <w:hideMark/>
          </w:tcPr>
          <w:p w14:paraId="24FA2380"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20.1</w:t>
            </w:r>
          </w:p>
        </w:tc>
      </w:tr>
      <w:tr w:rsidR="00400D2D" w:rsidRPr="00AA5833" w14:paraId="6B413A05"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4D66490" w14:textId="77777777" w:rsidR="00400D2D" w:rsidRPr="00AA5833" w:rsidRDefault="00400D2D" w:rsidP="00400D2D">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50</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 xml:space="preserve">000 </w:t>
            </w:r>
            <w:r w:rsidR="0011267D" w:rsidRPr="00AA5833">
              <w:rPr>
                <w:rFonts w:ascii="Times New Roman" w:eastAsia="Times New Roman" w:hAnsi="Times New Roman" w:cs="Times New Roman"/>
                <w:sz w:val="20"/>
                <w:szCs w:val="20"/>
                <w:lang w:eastAsia="bg-BG"/>
              </w:rPr>
              <w:t>–</w:t>
            </w:r>
            <w:r w:rsidRPr="00AA5833">
              <w:rPr>
                <w:rFonts w:ascii="Times New Roman" w:eastAsia="Times New Roman" w:hAnsi="Times New Roman" w:cs="Times New Roman"/>
                <w:sz w:val="20"/>
                <w:szCs w:val="20"/>
                <w:lang w:eastAsia="bg-BG"/>
              </w:rPr>
              <w:t xml:space="preserve"> 99</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999</w:t>
            </w:r>
          </w:p>
        </w:tc>
        <w:tc>
          <w:tcPr>
            <w:tcW w:w="1417" w:type="dxa"/>
            <w:tcBorders>
              <w:top w:val="nil"/>
              <w:left w:val="nil"/>
              <w:bottom w:val="single" w:sz="4" w:space="0" w:color="auto"/>
              <w:right w:val="single" w:sz="4" w:space="0" w:color="auto"/>
            </w:tcBorders>
            <w:shd w:val="clear" w:color="auto" w:fill="auto"/>
            <w:noWrap/>
            <w:vAlign w:val="bottom"/>
            <w:hideMark/>
          </w:tcPr>
          <w:p w14:paraId="2FDC938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c>
          <w:tcPr>
            <w:tcW w:w="1560" w:type="dxa"/>
            <w:tcBorders>
              <w:top w:val="nil"/>
              <w:left w:val="nil"/>
              <w:bottom w:val="single" w:sz="4" w:space="0" w:color="auto"/>
              <w:right w:val="single" w:sz="4" w:space="0" w:color="auto"/>
            </w:tcBorders>
            <w:shd w:val="clear" w:color="auto" w:fill="auto"/>
            <w:noWrap/>
            <w:vAlign w:val="bottom"/>
            <w:hideMark/>
          </w:tcPr>
          <w:p w14:paraId="3C153448"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4.5</w:t>
            </w:r>
          </w:p>
        </w:tc>
        <w:tc>
          <w:tcPr>
            <w:tcW w:w="1842" w:type="dxa"/>
            <w:tcBorders>
              <w:top w:val="nil"/>
              <w:left w:val="nil"/>
              <w:bottom w:val="single" w:sz="4" w:space="0" w:color="auto"/>
              <w:right w:val="single" w:sz="4" w:space="0" w:color="auto"/>
            </w:tcBorders>
            <w:shd w:val="clear" w:color="auto" w:fill="auto"/>
            <w:noWrap/>
            <w:vAlign w:val="bottom"/>
            <w:hideMark/>
          </w:tcPr>
          <w:p w14:paraId="14838081"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846</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637</w:t>
            </w:r>
          </w:p>
        </w:tc>
        <w:tc>
          <w:tcPr>
            <w:tcW w:w="1701" w:type="dxa"/>
            <w:tcBorders>
              <w:top w:val="nil"/>
              <w:left w:val="nil"/>
              <w:bottom w:val="single" w:sz="4" w:space="0" w:color="auto"/>
              <w:right w:val="single" w:sz="4" w:space="0" w:color="auto"/>
            </w:tcBorders>
            <w:shd w:val="clear" w:color="auto" w:fill="auto"/>
            <w:noWrap/>
            <w:vAlign w:val="bottom"/>
            <w:hideMark/>
          </w:tcPr>
          <w:p w14:paraId="13E5A03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13.2</w:t>
            </w:r>
          </w:p>
        </w:tc>
      </w:tr>
      <w:tr w:rsidR="00400D2D" w:rsidRPr="00AA5833" w14:paraId="73DFB002" w14:textId="77777777" w:rsidTr="0037737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05BC74E" w14:textId="77777777" w:rsidR="00400D2D" w:rsidRPr="00AA5833" w:rsidRDefault="00400D2D" w:rsidP="00400D2D">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100</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000 и повече</w:t>
            </w:r>
          </w:p>
        </w:tc>
        <w:tc>
          <w:tcPr>
            <w:tcW w:w="1417" w:type="dxa"/>
            <w:tcBorders>
              <w:top w:val="nil"/>
              <w:left w:val="nil"/>
              <w:bottom w:val="single" w:sz="4" w:space="0" w:color="auto"/>
              <w:right w:val="single" w:sz="4" w:space="0" w:color="auto"/>
            </w:tcBorders>
            <w:shd w:val="clear" w:color="auto" w:fill="auto"/>
            <w:noWrap/>
            <w:vAlign w:val="bottom"/>
            <w:hideMark/>
          </w:tcPr>
          <w:p w14:paraId="1BF9CDFC"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w:t>
            </w:r>
          </w:p>
        </w:tc>
        <w:tc>
          <w:tcPr>
            <w:tcW w:w="1560" w:type="dxa"/>
            <w:tcBorders>
              <w:top w:val="nil"/>
              <w:left w:val="nil"/>
              <w:bottom w:val="single" w:sz="4" w:space="0" w:color="auto"/>
              <w:right w:val="single" w:sz="4" w:space="0" w:color="auto"/>
            </w:tcBorders>
            <w:shd w:val="clear" w:color="auto" w:fill="auto"/>
            <w:noWrap/>
            <w:vAlign w:val="bottom"/>
            <w:hideMark/>
          </w:tcPr>
          <w:p w14:paraId="595FFD6F"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w:t>
            </w:r>
          </w:p>
        </w:tc>
        <w:tc>
          <w:tcPr>
            <w:tcW w:w="1842" w:type="dxa"/>
            <w:tcBorders>
              <w:top w:val="nil"/>
              <w:left w:val="nil"/>
              <w:bottom w:val="single" w:sz="4" w:space="0" w:color="auto"/>
              <w:right w:val="single" w:sz="4" w:space="0" w:color="auto"/>
            </w:tcBorders>
            <w:shd w:val="clear" w:color="auto" w:fill="auto"/>
            <w:noWrap/>
            <w:vAlign w:val="bottom"/>
            <w:hideMark/>
          </w:tcPr>
          <w:p w14:paraId="528A70B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r w:rsidR="0011267D" w:rsidRPr="00AA5833">
              <w:rPr>
                <w:rFonts w:ascii="Times New Roman" w:eastAsia="Times New Roman" w:hAnsi="Times New Roman" w:cs="Times New Roman"/>
                <w:sz w:val="20"/>
                <w:szCs w:val="20"/>
                <w:lang w:eastAsia="bg-BG"/>
              </w:rPr>
              <w:t> </w:t>
            </w:r>
            <w:r w:rsidRPr="00AA5833">
              <w:rPr>
                <w:rFonts w:ascii="Times New Roman" w:eastAsia="Times New Roman" w:hAnsi="Times New Roman" w:cs="Times New Roman"/>
                <w:sz w:val="20"/>
                <w:szCs w:val="20"/>
                <w:lang w:eastAsia="bg-BG"/>
              </w:rPr>
              <w:t>647</w:t>
            </w:r>
            <w:r w:rsidR="0011267D" w:rsidRPr="00AA5833">
              <w:rPr>
                <w:rFonts w:ascii="Times New Roman" w:eastAsia="Times New Roman" w:hAnsi="Times New Roman" w:cs="Times New Roman"/>
                <w:sz w:val="20"/>
                <w:szCs w:val="20"/>
                <w:lang w:eastAsia="bg-BG"/>
              </w:rPr>
              <w:t xml:space="preserve"> </w:t>
            </w:r>
            <w:r w:rsidRPr="00AA5833">
              <w:rPr>
                <w:rFonts w:ascii="Times New Roman" w:eastAsia="Times New Roman" w:hAnsi="Times New Roman" w:cs="Times New Roman"/>
                <w:sz w:val="20"/>
                <w:szCs w:val="20"/>
                <w:lang w:eastAsia="bg-BG"/>
              </w:rPr>
              <w:t>568</w:t>
            </w:r>
          </w:p>
        </w:tc>
        <w:tc>
          <w:tcPr>
            <w:tcW w:w="1701" w:type="dxa"/>
            <w:tcBorders>
              <w:top w:val="nil"/>
              <w:left w:val="nil"/>
              <w:bottom w:val="single" w:sz="4" w:space="0" w:color="auto"/>
              <w:right w:val="single" w:sz="4" w:space="0" w:color="auto"/>
            </w:tcBorders>
            <w:shd w:val="clear" w:color="auto" w:fill="auto"/>
            <w:noWrap/>
            <w:vAlign w:val="bottom"/>
            <w:hideMark/>
          </w:tcPr>
          <w:p w14:paraId="24127A04" w14:textId="77777777" w:rsidR="00400D2D" w:rsidRPr="00AA5833" w:rsidRDefault="00400D2D" w:rsidP="00400D2D">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41.1</w:t>
            </w:r>
          </w:p>
        </w:tc>
      </w:tr>
    </w:tbl>
    <w:p w14:paraId="677044A5" w14:textId="77777777" w:rsidR="00794265" w:rsidRPr="00AA5833" w:rsidRDefault="00794265" w:rsidP="00794265">
      <w:pPr>
        <w:spacing w:after="0" w:line="240" w:lineRule="auto"/>
        <w:ind w:right="-81"/>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Източник: НСИ</w:t>
      </w:r>
    </w:p>
    <w:p w14:paraId="59065AF6" w14:textId="77777777" w:rsidR="00794265" w:rsidRPr="00AA5833" w:rsidRDefault="00794265"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14:paraId="63DC7438" w14:textId="77777777" w:rsidR="00400D2D" w:rsidRPr="00AA5833" w:rsidRDefault="00400D2D" w:rsidP="002863D5">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Основните фактори, които влияят върху измененията в броя и структурите на населението, са демографските процеси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раждаемост, смъртност и миграция.</w:t>
      </w:r>
    </w:p>
    <w:p w14:paraId="1B6374EB" w14:textId="77777777" w:rsidR="006856A7" w:rsidRPr="00AA5833" w:rsidRDefault="006856A7" w:rsidP="002863D5">
      <w:pPr>
        <w:autoSpaceDE w:val="0"/>
        <w:autoSpaceDN w:val="0"/>
        <w:adjustRightInd w:val="0"/>
        <w:spacing w:after="0" w:line="240" w:lineRule="auto"/>
        <w:jc w:val="both"/>
        <w:rPr>
          <w:rFonts w:eastAsia="Times New Roman" w:cs="Times New Roman"/>
          <w:b/>
          <w:caps/>
          <w:color w:val="000000"/>
          <w:sz w:val="24"/>
          <w:szCs w:val="24"/>
          <w:lang w:eastAsia="bg-BG"/>
        </w:rPr>
      </w:pPr>
    </w:p>
    <w:p w14:paraId="5189166A" w14:textId="77777777" w:rsidR="00AF0334" w:rsidRPr="00AA5833" w:rsidRDefault="00AF0334" w:rsidP="00AF0334">
      <w:pPr>
        <w:autoSpaceDE w:val="0"/>
        <w:autoSpaceDN w:val="0"/>
        <w:adjustRightInd w:val="0"/>
        <w:spacing w:after="0" w:line="240" w:lineRule="auto"/>
        <w:jc w:val="both"/>
        <w:rPr>
          <w:rFonts w:ascii="Times New Roman Bold" w:eastAsia="Times New Roman" w:hAnsi="Times New Roman Bold" w:cs="Times New Roman"/>
          <w:b/>
          <w:caps/>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2.8. Качество И СТАНДАРТ на живота</w:t>
      </w:r>
    </w:p>
    <w:p w14:paraId="132DBF72" w14:textId="77777777" w:rsidR="00AF0334" w:rsidRPr="00AA5833" w:rsidRDefault="00AF0334" w:rsidP="00AF0334">
      <w:pPr>
        <w:spacing w:after="0" w:line="240" w:lineRule="auto"/>
        <w:jc w:val="both"/>
        <w:rPr>
          <w:rFonts w:ascii="Times New Roman" w:eastAsia="Times New Roman" w:hAnsi="Times New Roman" w:cs="Times New Roman"/>
          <w:b/>
          <w:color w:val="000000"/>
          <w:sz w:val="16"/>
          <w:szCs w:val="16"/>
          <w:lang w:eastAsia="bg-BG"/>
        </w:rPr>
      </w:pPr>
    </w:p>
    <w:p w14:paraId="5D163135" w14:textId="77777777" w:rsidR="00AF0334" w:rsidRPr="00AA5833" w:rsidRDefault="00AF0334" w:rsidP="00AF0334">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2.8.1. Брутен вътрешен продукт (предварителни данни)</w:t>
      </w:r>
    </w:p>
    <w:p w14:paraId="376AB252" w14:textId="77777777" w:rsidR="00AF0334" w:rsidRPr="00AA5833" w:rsidRDefault="00AF0334" w:rsidP="00AF0334">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През четвърто тримесечие на 2024 г. сезонно изгладените данни за брутния вътрешен продукт (БВП) показват ръст от 3</w:t>
      </w:r>
      <w:r w:rsidR="00102E61" w:rsidRPr="00AA5833">
        <w:rPr>
          <w:rFonts w:ascii="Times New Roman" w:hAnsi="Times New Roman" w:cs="Times New Roman"/>
          <w:sz w:val="24"/>
          <w:szCs w:val="24"/>
        </w:rPr>
        <w:t>.</w:t>
      </w:r>
      <w:r w:rsidRPr="00AA5833">
        <w:rPr>
          <w:rFonts w:ascii="Times New Roman" w:hAnsi="Times New Roman" w:cs="Times New Roman"/>
          <w:sz w:val="24"/>
          <w:szCs w:val="24"/>
        </w:rPr>
        <w:t xml:space="preserve">1% в сравнение със същото тримесечие на предходната година и повишение от 0.8% спрямо третото тримесечие на 2024 година. Брутната добавена стойност нараства с 2.8% на годишна база и с 0.7% на тримесечна база. </w:t>
      </w:r>
    </w:p>
    <w:p w14:paraId="1347B521" w14:textId="77777777" w:rsidR="00AF0334" w:rsidRPr="00AA5833" w:rsidRDefault="00AF0334" w:rsidP="00AF0334">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lastRenderedPageBreak/>
        <w:t xml:space="preserve">По експресни данни на Националния статистически институт (НСИ) брутният вътрешен продукт през четвърто тримесечие на 2024 г. възлиза на </w:t>
      </w:r>
      <w:r w:rsidRPr="00AA5833">
        <w:rPr>
          <w:rFonts w:ascii="Times New Roman" w:hAnsi="Times New Roman" w:cs="Times New Roman"/>
          <w:b/>
          <w:sz w:val="24"/>
          <w:szCs w:val="24"/>
        </w:rPr>
        <w:t>57 192.6 млн. лв.</w:t>
      </w:r>
      <w:r w:rsidRPr="00AA5833">
        <w:rPr>
          <w:rFonts w:ascii="Times New Roman" w:hAnsi="Times New Roman" w:cs="Times New Roman"/>
          <w:sz w:val="24"/>
          <w:szCs w:val="24"/>
        </w:rPr>
        <w:t xml:space="preserve"> по текущи цени. Създадената от отраслите на националната икономика брутна добавена стойност през четвърто тримесечие на 2024 г. възлиза на 49 869.6 млн. лв. </w:t>
      </w:r>
    </w:p>
    <w:p w14:paraId="40FC7573" w14:textId="77777777" w:rsidR="00AF0334" w:rsidRPr="00AA5833" w:rsidRDefault="00AF0334" w:rsidP="00AF0334">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През четвърто тримесечие на тази година бруто капиталообразуването е 13 162.9 млн. лв. и заема 23.0% относителен дял в БВП и регистрира ръст от 0.7%. </w:t>
      </w:r>
    </w:p>
    <w:p w14:paraId="30329B0A" w14:textId="77777777" w:rsidR="00AF0334" w:rsidRPr="00AA5833" w:rsidRDefault="00AF0334" w:rsidP="00AF0334">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Крайното потребление e 45 715.3 млн. лв., заема 79.9% относителен дял от БВП и регистрира ръст от 5.8% спрямо четвъртото тримесечие на предходната година по сезонно изгладени данни. </w:t>
      </w:r>
    </w:p>
    <w:p w14:paraId="20729571" w14:textId="77777777" w:rsidR="00AF0334" w:rsidRPr="00AA5833" w:rsidRDefault="00AF0334" w:rsidP="00AF0334">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Износът на стоки и услуги намалява с 3.2%, а вносът на стоки и услуги нараства с 1,2%. Външнотърговското салдо е отрицателно.</w:t>
      </w:r>
    </w:p>
    <w:p w14:paraId="66DBDC7A" w14:textId="77777777" w:rsidR="00AF0334" w:rsidRPr="00AA5833" w:rsidRDefault="00AF0334" w:rsidP="00AF0334">
      <w:pPr>
        <w:spacing w:after="0" w:line="240" w:lineRule="auto"/>
        <w:jc w:val="both"/>
        <w:rPr>
          <w:rFonts w:ascii="Times New Roman" w:hAnsi="Times New Roman" w:cs="Times New Roman"/>
          <w:sz w:val="24"/>
          <w:szCs w:val="24"/>
        </w:rPr>
      </w:pPr>
    </w:p>
    <w:p w14:paraId="1BA618A7" w14:textId="77777777" w:rsidR="00AF0334" w:rsidRPr="00AA5833" w:rsidRDefault="00AF0334" w:rsidP="00AF0334">
      <w:pPr>
        <w:keepNext/>
        <w:keepLines/>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 xml:space="preserve">2.8.2. </w:t>
      </w:r>
      <w:r w:rsidRPr="00AA5833">
        <w:rPr>
          <w:rFonts w:ascii="Times New Roman" w:eastAsia="Times New Roman" w:hAnsi="Times New Roman" w:cs="Times New Roman"/>
          <w:b/>
          <w:color w:val="000000"/>
          <w:sz w:val="24"/>
          <w:szCs w:val="24"/>
          <w:lang w:eastAsia="bg-BG"/>
        </w:rPr>
        <w:t>Домакинства – доходи, разходи, потребление</w:t>
      </w:r>
      <w:r w:rsidRPr="00AA5833">
        <w:rPr>
          <w:rFonts w:ascii="Times New Roman" w:eastAsia="Times New Roman" w:hAnsi="Times New Roman" w:cs="Times New Roman"/>
          <w:b/>
          <w:caps/>
          <w:color w:val="000000"/>
          <w:sz w:val="24"/>
          <w:szCs w:val="24"/>
          <w:vertAlign w:val="superscript"/>
          <w:lang w:eastAsia="bg-BG"/>
        </w:rPr>
        <w:footnoteReference w:id="29"/>
      </w:r>
    </w:p>
    <w:p w14:paraId="4E0C7A76" w14:textId="77777777" w:rsidR="00AF0334" w:rsidRPr="00AA5833" w:rsidRDefault="00AF0334" w:rsidP="00AF0334">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2.8.2.1. Доходи на домакинствата</w:t>
      </w:r>
    </w:p>
    <w:p w14:paraId="4FC2D8C2"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годишният </w:t>
      </w:r>
      <w:r w:rsidRPr="00AA5833">
        <w:rPr>
          <w:rFonts w:ascii="Times New Roman" w:eastAsia="Times New Roman" w:hAnsi="Times New Roman" w:cs="Times New Roman"/>
          <w:b/>
          <w:sz w:val="24"/>
          <w:szCs w:val="24"/>
          <w:lang w:eastAsia="bg-BG"/>
        </w:rPr>
        <w:t>общ доход средно на лице от домакинство</w:t>
      </w:r>
      <w:r w:rsidRPr="00AA5833">
        <w:rPr>
          <w:rFonts w:ascii="Times New Roman" w:eastAsia="Times New Roman" w:hAnsi="Times New Roman" w:cs="Times New Roman"/>
          <w:sz w:val="24"/>
          <w:szCs w:val="24"/>
          <w:lang w:eastAsia="bg-BG"/>
        </w:rPr>
        <w:t xml:space="preserve"> е 12 857 лв. и нараства с 18.5% спрямо 2023 година. За последните десет години (2015</w:t>
      </w:r>
      <w:r w:rsidR="0011267D" w:rsidRPr="00AA5833">
        <w:rPr>
          <w:rFonts w:ascii="Times New Roman" w:eastAsia="Times New Roman" w:hAnsi="Times New Roman" w:cs="Times New Roman"/>
          <w:sz w:val="24"/>
          <w:szCs w:val="24"/>
          <w:lang w:eastAsia="bg-BG"/>
        </w:rPr>
        <w:t xml:space="preserve"> – </w:t>
      </w:r>
      <w:r w:rsidRPr="00AA5833">
        <w:rPr>
          <w:rFonts w:ascii="Times New Roman" w:eastAsia="Times New Roman" w:hAnsi="Times New Roman" w:cs="Times New Roman"/>
          <w:sz w:val="24"/>
          <w:szCs w:val="24"/>
          <w:lang w:eastAsia="bg-BG"/>
        </w:rPr>
        <w:t xml:space="preserve">2024 г.) общият доход средно на лице от домакинство се увеличава 2.6 пъти.  </w:t>
      </w:r>
    </w:p>
    <w:p w14:paraId="010266CB"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Реалните доходи на домакинствата</w:t>
      </w:r>
      <w:r w:rsidRPr="00AA5833">
        <w:rPr>
          <w:rFonts w:ascii="Times New Roman" w:eastAsia="Times New Roman" w:hAnsi="Times New Roman" w:cs="Times New Roman"/>
          <w:sz w:val="24"/>
          <w:szCs w:val="24"/>
          <w:lang w:eastAsia="bg-BG"/>
        </w:rPr>
        <w:t xml:space="preserve"> нарастват с 15.7% през 2024 г. в сравнение с 2023 г., а индексът на реалните доходи през 2024 г. спрямо 2015 г. е 178.1%.  </w:t>
      </w:r>
    </w:p>
    <w:p w14:paraId="542E24D4"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периода 2015</w:t>
      </w:r>
      <w:r w:rsidR="00102E61" w:rsidRPr="00AA5833">
        <w:rPr>
          <w:rFonts w:ascii="Times New Roman" w:eastAsia="Times New Roman" w:hAnsi="Times New Roman" w:cs="Times New Roman"/>
          <w:sz w:val="24"/>
          <w:szCs w:val="24"/>
          <w:lang w:eastAsia="bg-BG"/>
        </w:rPr>
        <w:t xml:space="preserve"> </w:t>
      </w:r>
      <w:r w:rsidR="00102E61"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2024 г. са регистрирани следните по-важни изменения по отношение на източниците на общия доход средно на лице от домакинство:</w:t>
      </w:r>
    </w:p>
    <w:p w14:paraId="0947C3DE" w14:textId="77777777" w:rsidR="00AF0334" w:rsidRPr="00AA5833" w:rsidRDefault="00AF0334" w:rsidP="002A598C">
      <w:pPr>
        <w:numPr>
          <w:ilvl w:val="0"/>
          <w:numId w:val="20"/>
        </w:numPr>
        <w:autoSpaceDE w:val="0"/>
        <w:autoSpaceDN w:val="0"/>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Times New Roman" w:hAnsi="Times New Roman" w:cs="Times New Roman"/>
          <w:sz w:val="24"/>
          <w:szCs w:val="24"/>
          <w:lang w:eastAsia="bg-BG"/>
        </w:rPr>
        <w:t xml:space="preserve"> </w:t>
      </w:r>
      <w:r w:rsidRPr="00AA5833">
        <w:rPr>
          <w:rFonts w:ascii="Times New Roman" w:eastAsia="Calibri" w:hAnsi="Times New Roman" w:cs="Times New Roman"/>
          <w:color w:val="000000"/>
          <w:sz w:val="24"/>
          <w:szCs w:val="24"/>
          <w:lang w:eastAsia="bg-BG"/>
        </w:rPr>
        <w:t xml:space="preserve">Доходът от работна заплата през 2024 г. е 7071 лв. и се увеличава с 19.0% спрямо 2023 г., а нарастването му в сравнение с 2015 г. е 2.6 пъти; </w:t>
      </w:r>
    </w:p>
    <w:p w14:paraId="2131DB57" w14:textId="77777777" w:rsidR="00AF0334" w:rsidRPr="00AA5833" w:rsidRDefault="00AF0334" w:rsidP="002A598C">
      <w:pPr>
        <w:numPr>
          <w:ilvl w:val="0"/>
          <w:numId w:val="20"/>
        </w:numPr>
        <w:autoSpaceDE w:val="0"/>
        <w:autoSpaceDN w:val="0"/>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 Доходите от пенсии за последната година са 3863 лева. Те нарастват с 11.9% спрямо 2023 г. и 3 пъти в сравнение с 2015 година; </w:t>
      </w:r>
    </w:p>
    <w:p w14:paraId="10B85B38" w14:textId="77777777" w:rsidR="00AF0334" w:rsidRPr="00AA5833" w:rsidRDefault="00AF0334" w:rsidP="002A598C">
      <w:pPr>
        <w:numPr>
          <w:ilvl w:val="0"/>
          <w:numId w:val="20"/>
        </w:numPr>
        <w:autoSpaceDE w:val="0"/>
        <w:autoSpaceDN w:val="0"/>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 Доходите от самостоятелна заетост през 2024 г. са 923 лева. Спрямо 2023 г</w:t>
      </w:r>
      <w:r w:rsidR="00616D46" w:rsidRPr="00AA5833">
        <w:rPr>
          <w:rFonts w:ascii="Times New Roman" w:eastAsia="Calibri" w:hAnsi="Times New Roman" w:cs="Times New Roman"/>
          <w:color w:val="000000"/>
          <w:sz w:val="24"/>
          <w:szCs w:val="24"/>
          <w:lang w:eastAsia="bg-BG"/>
        </w:rPr>
        <w:t>одина</w:t>
      </w:r>
      <w:r w:rsidRPr="00AA5833">
        <w:rPr>
          <w:rFonts w:ascii="Times New Roman" w:eastAsia="Calibri" w:hAnsi="Times New Roman" w:cs="Times New Roman"/>
          <w:color w:val="000000"/>
          <w:sz w:val="24"/>
          <w:szCs w:val="24"/>
          <w:lang w:eastAsia="bg-BG"/>
        </w:rPr>
        <w:t xml:space="preserve"> нарастват с 48.6% и 2.6 пъти в сравнение с 2015 година;</w:t>
      </w:r>
    </w:p>
    <w:p w14:paraId="0B90392E" w14:textId="77777777" w:rsidR="00AF0334" w:rsidRPr="00AA5833" w:rsidRDefault="00AF0334" w:rsidP="002A598C">
      <w:pPr>
        <w:numPr>
          <w:ilvl w:val="0"/>
          <w:numId w:val="20"/>
        </w:numPr>
        <w:autoSpaceDE w:val="0"/>
        <w:autoSpaceDN w:val="0"/>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 Доходът от трудова дейност извън работната заплата за последната година е 171 лв. и се увеличава спрямо 2023 г. с 69.3%, а в сравнение с 2015 г. нараства с 8.2%; </w:t>
      </w:r>
    </w:p>
    <w:p w14:paraId="36EE5847" w14:textId="77777777" w:rsidR="00AF0334" w:rsidRPr="00AA5833" w:rsidRDefault="00AF0334" w:rsidP="002A598C">
      <w:pPr>
        <w:numPr>
          <w:ilvl w:val="0"/>
          <w:numId w:val="20"/>
        </w:numPr>
        <w:autoSpaceDE w:val="0"/>
        <w:autoSpaceDN w:val="0"/>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Calibri" w:hAnsi="Times New Roman" w:cs="Times New Roman"/>
          <w:color w:val="000000"/>
          <w:sz w:val="24"/>
          <w:szCs w:val="24"/>
          <w:lang w:eastAsia="bg-BG"/>
        </w:rPr>
        <w:t xml:space="preserve"> Доходите от другите социални трансфери (обезщетения за безработни, семейни </w:t>
      </w:r>
      <w:r w:rsidR="003D09AB">
        <w:rPr>
          <w:rFonts w:ascii="Times New Roman" w:eastAsia="Calibri" w:hAnsi="Times New Roman" w:cs="Times New Roman"/>
          <w:color w:val="000000"/>
          <w:sz w:val="24"/>
          <w:szCs w:val="24"/>
          <w:lang w:eastAsia="bg-BG"/>
        </w:rPr>
        <w:t>помощи</w:t>
      </w:r>
      <w:r w:rsidRPr="00AA5833">
        <w:rPr>
          <w:rFonts w:ascii="Times New Roman" w:eastAsia="Calibri" w:hAnsi="Times New Roman" w:cs="Times New Roman"/>
          <w:color w:val="000000"/>
          <w:sz w:val="24"/>
          <w:szCs w:val="24"/>
          <w:lang w:eastAsia="bg-BG"/>
        </w:rPr>
        <w:t xml:space="preserve"> за деца и други социални помощи и обезщетения) през 2024 г. са 281 лева.</w:t>
      </w:r>
      <w:r w:rsidRPr="00AA5833">
        <w:rPr>
          <w:rFonts w:ascii="Times New Roman" w:eastAsia="Times New Roman" w:hAnsi="Times New Roman" w:cs="Times New Roman"/>
          <w:sz w:val="24"/>
          <w:szCs w:val="24"/>
          <w:lang w:eastAsia="bg-BG"/>
        </w:rPr>
        <w:t xml:space="preserve"> Те се увеличават с 26.6% спрямо 2023 г. и с 64.3% спрямо 2015 година. </w:t>
      </w:r>
    </w:p>
    <w:p w14:paraId="70BD68F7"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структурата на общия доход с най-висок относителен дял е работната заплата. През 2024 г. той е 55.0%, което е с 0.2 процентни пункта повече в сравнение с 2023 г. и без изменение спрямо 2015 година.</w:t>
      </w:r>
    </w:p>
    <w:p w14:paraId="2D70CF62"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Доходите от всички социални трансфери (пенсии, обезщетения за безработни, семейни </w:t>
      </w:r>
      <w:r w:rsidR="003D09AB">
        <w:rPr>
          <w:rFonts w:ascii="Times New Roman" w:eastAsia="Times New Roman" w:hAnsi="Times New Roman" w:cs="Times New Roman"/>
          <w:sz w:val="24"/>
          <w:szCs w:val="24"/>
          <w:lang w:eastAsia="bg-BG"/>
        </w:rPr>
        <w:t>помощи</w:t>
      </w:r>
      <w:r w:rsidRPr="00AA5833">
        <w:rPr>
          <w:rFonts w:ascii="Times New Roman" w:eastAsia="Times New Roman" w:hAnsi="Times New Roman" w:cs="Times New Roman"/>
          <w:sz w:val="24"/>
          <w:szCs w:val="24"/>
          <w:lang w:eastAsia="bg-BG"/>
        </w:rPr>
        <w:t xml:space="preserve"> за деца и други социални помощи и обезщетения) формират 32.2% от общия доход на домакинствата през 2024 година. От получените социални трансфери с най-висок относителен дял в общия доход на домакинствата са доходите от пенсии - 30.0%, което е с 1.8 процентни пункта по</w:t>
      </w:r>
      <w:r w:rsidR="007C20BC">
        <w:rPr>
          <w:rFonts w:ascii="Times New Roman" w:eastAsia="Times New Roman" w:hAnsi="Times New Roman" w:cs="Times New Roman"/>
          <w:sz w:val="24"/>
          <w:szCs w:val="24"/>
          <w:lang w:eastAsia="bg-BG"/>
        </w:rPr>
        <w:t>-</w:t>
      </w:r>
      <w:r w:rsidRPr="00AA5833">
        <w:rPr>
          <w:rFonts w:ascii="Times New Roman" w:eastAsia="Times New Roman" w:hAnsi="Times New Roman" w:cs="Times New Roman"/>
          <w:sz w:val="24"/>
          <w:szCs w:val="24"/>
          <w:lang w:eastAsia="bg-BG"/>
        </w:rPr>
        <w:t>малко в сравнение с 2023 г. и с 4.0 процентни пункта повече в сравнение с 2015 година.</w:t>
      </w:r>
    </w:p>
    <w:p w14:paraId="5BD09B9F"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2024 г. относителният дял на доходите на домакинствата от самостоятелна заетост в общия доход на домакинствата e 7.2%, увеличава се с 1.5 процентни пункта в сравнение с 2023 г. и достига нивото си от 2015 година</w:t>
      </w:r>
      <w:r w:rsidR="007C20BC">
        <w:rPr>
          <w:rFonts w:ascii="Times New Roman" w:eastAsia="Times New Roman" w:hAnsi="Times New Roman" w:cs="Times New Roman"/>
          <w:sz w:val="24"/>
          <w:szCs w:val="24"/>
          <w:lang w:eastAsia="bg-BG"/>
        </w:rPr>
        <w:t>.</w:t>
      </w:r>
    </w:p>
    <w:p w14:paraId="6CEF055D"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Относителният дял на дохода от трудова дейност извън работната заплата е 1.3% и се увеличава спрямо 2023 г. с 0.4 процентни пункта, а спрямо 2015 г. намалява с 1.9 процентни пункта.</w:t>
      </w:r>
    </w:p>
    <w:p w14:paraId="28ADC27D"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p>
    <w:p w14:paraId="2D0AF912" w14:textId="77777777" w:rsidR="00AF0334" w:rsidRPr="00AA5833" w:rsidRDefault="00AF0334" w:rsidP="00AF0334">
      <w:pPr>
        <w:keepNext/>
        <w:keepLines/>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2.8.2.2. Разходи на домакинствата</w:t>
      </w:r>
    </w:p>
    <w:p w14:paraId="19020234"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През 2024 г. българските домакинства са изразходвали 11 712 лв. средно на лице, което е с 16.6% повече в сравнение с 2023 година. За периода 2015</w:t>
      </w:r>
      <w:r w:rsidR="007B1244" w:rsidRPr="00AA5833">
        <w:rPr>
          <w:rFonts w:ascii="Times New Roman" w:eastAsia="Calibri" w:hAnsi="Times New Roman" w:cs="Times New Roman"/>
          <w:color w:val="000000" w:themeColor="text1"/>
          <w:sz w:val="24"/>
          <w:szCs w:val="24"/>
        </w:rPr>
        <w:t xml:space="preserve"> </w:t>
      </w:r>
      <w:r w:rsidR="007B1244" w:rsidRPr="00AA5833">
        <w:rPr>
          <w:rFonts w:ascii="Times New Roman" w:eastAsia="Calibri" w:hAnsi="Times New Roman" w:cs="Times New Roman"/>
          <w:b/>
          <w:color w:val="000000" w:themeColor="text1"/>
          <w:sz w:val="24"/>
          <w:szCs w:val="24"/>
        </w:rPr>
        <w:t xml:space="preserve">– </w:t>
      </w:r>
      <w:r w:rsidRPr="00AA5833">
        <w:rPr>
          <w:rFonts w:ascii="Times New Roman" w:eastAsia="Calibri" w:hAnsi="Times New Roman" w:cs="Times New Roman"/>
          <w:color w:val="000000" w:themeColor="text1"/>
          <w:sz w:val="24"/>
          <w:szCs w:val="24"/>
        </w:rPr>
        <w:t xml:space="preserve">2024 г. разходите на домакинствата се увеличават 2.5 пъти.  </w:t>
      </w:r>
    </w:p>
    <w:p w14:paraId="7D1B567C"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Относителният дял на потребителския разход от общите разходи на домакинствата намалява от 83.3% през 2015 г. на 80.8% през 2024 година. П</w:t>
      </w:r>
      <w:r w:rsidR="0024421E" w:rsidRPr="00AA5833">
        <w:rPr>
          <w:rFonts w:ascii="Times New Roman" w:eastAsia="Calibri" w:hAnsi="Times New Roman" w:cs="Times New Roman"/>
          <w:color w:val="000000" w:themeColor="text1"/>
          <w:sz w:val="24"/>
          <w:szCs w:val="24"/>
        </w:rPr>
        <w:t>рез периода 2015</w:t>
      </w:r>
      <w:r w:rsidR="007B1244" w:rsidRPr="00AA5833">
        <w:rPr>
          <w:rFonts w:ascii="Times New Roman" w:eastAsia="Calibri" w:hAnsi="Times New Roman" w:cs="Times New Roman"/>
          <w:color w:val="000000" w:themeColor="text1"/>
          <w:sz w:val="24"/>
          <w:szCs w:val="24"/>
        </w:rPr>
        <w:t xml:space="preserve"> </w:t>
      </w:r>
      <w:r w:rsidR="007B1244" w:rsidRPr="00AA5833">
        <w:rPr>
          <w:rFonts w:ascii="Times New Roman" w:eastAsia="Calibri" w:hAnsi="Times New Roman" w:cs="Times New Roman"/>
          <w:b/>
          <w:color w:val="000000" w:themeColor="text1"/>
          <w:sz w:val="24"/>
          <w:szCs w:val="24"/>
        </w:rPr>
        <w:t xml:space="preserve">– </w:t>
      </w:r>
      <w:r w:rsidRPr="00AA5833">
        <w:rPr>
          <w:rFonts w:ascii="Times New Roman" w:eastAsia="Calibri" w:hAnsi="Times New Roman" w:cs="Times New Roman"/>
          <w:color w:val="000000" w:themeColor="text1"/>
          <w:sz w:val="24"/>
          <w:szCs w:val="24"/>
        </w:rPr>
        <w:t xml:space="preserve">2024 г. се наблюдават следните промени по отношение на някои видове разходи средно на лице от домакинство: </w:t>
      </w:r>
    </w:p>
    <w:p w14:paraId="1CD1CBD5"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 Изразходваните средства за храна и безалкохолни напитки са 3 357 лв. през 2024 г., или с 12.4% повече спрямо 2023 г. и 2.3 пъти повече в сравнение с 2015 година;</w:t>
      </w:r>
    </w:p>
    <w:p w14:paraId="37857CBA"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 Разходите за облекло и обувки през 2024 г. са 435 лева. В сравнение с предходната година те нарастват с 25.0%, а спрямо 2015 г. </w:t>
      </w:r>
      <w:r w:rsidRPr="00AA5833">
        <w:rPr>
          <w:rFonts w:ascii="Times New Roman" w:eastAsia="Times New Roman" w:hAnsi="Times New Roman" w:cs="Times New Roman"/>
          <w:bCs/>
          <w:color w:val="000000"/>
          <w:sz w:val="24"/>
          <w:szCs w:val="24"/>
          <w:lang w:eastAsia="bg-BG"/>
        </w:rPr>
        <w:t xml:space="preserve">– </w:t>
      </w:r>
      <w:r w:rsidRPr="00AA5833">
        <w:rPr>
          <w:rFonts w:ascii="Times New Roman" w:eastAsia="Times New Roman" w:hAnsi="Times New Roman" w:cs="Times New Roman"/>
          <w:color w:val="000000"/>
          <w:sz w:val="24"/>
          <w:szCs w:val="24"/>
          <w:lang w:eastAsia="bg-BG"/>
        </w:rPr>
        <w:t xml:space="preserve">2.6 пъти; </w:t>
      </w:r>
    </w:p>
    <w:p w14:paraId="170EB6F3"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Разходите, свързани с жилището (вода, електроенергия, горива, жилищно обзавеждане и поддържане на дома), за последната година са 1830 лева. В сравнение с 2023 г. нарастват с 8.6%, а спрямо 2015 г. се увеличават 2.2 пъти;</w:t>
      </w:r>
    </w:p>
    <w:p w14:paraId="2A8D57C7"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 За здравеопазване през 2024 г. са изразходвани 716 лв. </w:t>
      </w:r>
      <w:r w:rsidRPr="00AA5833">
        <w:rPr>
          <w:rFonts w:ascii="Times New Roman" w:eastAsia="Times New Roman" w:hAnsi="Times New Roman" w:cs="Times New Roman"/>
          <w:bCs/>
          <w:color w:val="000000"/>
          <w:sz w:val="24"/>
          <w:szCs w:val="24"/>
          <w:lang w:eastAsia="bg-BG"/>
        </w:rPr>
        <w:t xml:space="preserve">– </w:t>
      </w:r>
      <w:r w:rsidRPr="00AA5833">
        <w:rPr>
          <w:rFonts w:ascii="Times New Roman" w:eastAsia="Times New Roman" w:hAnsi="Times New Roman" w:cs="Times New Roman"/>
          <w:color w:val="000000"/>
          <w:sz w:val="24"/>
          <w:szCs w:val="24"/>
          <w:lang w:eastAsia="bg-BG"/>
        </w:rPr>
        <w:t>със 17.4% повече от 2023 г. и 2.9 пъти повече спрямо 2015 година;</w:t>
      </w:r>
    </w:p>
    <w:p w14:paraId="0B6D3C6C"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За транспорт и съобщения през 2024 г. са похарчени 1319 лв., което е с 13.8% повече от 2023 г. и 2.5 пъти повече спрямо 2015 година; </w:t>
      </w:r>
    </w:p>
    <w:p w14:paraId="78B3A784"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Разходите за свободно време, културен отдих и образование през 2024 г. са 780 лева. В сравнение с 2023 г. те се увеличават с 39.8%, а спрямо 2015 г. </w:t>
      </w:r>
      <w:r w:rsidRPr="00AA5833">
        <w:rPr>
          <w:rFonts w:ascii="Times New Roman" w:eastAsia="Times New Roman" w:hAnsi="Times New Roman" w:cs="Times New Roman"/>
          <w:bCs/>
          <w:color w:val="000000"/>
          <w:sz w:val="24"/>
          <w:szCs w:val="24"/>
          <w:lang w:eastAsia="bg-BG"/>
        </w:rPr>
        <w:t xml:space="preserve">– </w:t>
      </w:r>
      <w:r w:rsidRPr="00AA5833">
        <w:rPr>
          <w:rFonts w:ascii="Times New Roman" w:eastAsia="Times New Roman" w:hAnsi="Times New Roman" w:cs="Times New Roman"/>
          <w:color w:val="000000"/>
          <w:sz w:val="24"/>
          <w:szCs w:val="24"/>
          <w:lang w:eastAsia="bg-BG"/>
        </w:rPr>
        <w:t xml:space="preserve">3.4 пъти; </w:t>
      </w:r>
    </w:p>
    <w:p w14:paraId="1F2E5A35" w14:textId="77777777" w:rsidR="00AF0334" w:rsidRPr="00AA5833" w:rsidRDefault="00AF0334" w:rsidP="002A598C">
      <w:pPr>
        <w:numPr>
          <w:ilvl w:val="0"/>
          <w:numId w:val="21"/>
        </w:numPr>
        <w:autoSpaceDE w:val="0"/>
        <w:autoSpaceDN w:val="0"/>
        <w:adjustRightInd w:val="0"/>
        <w:spacing w:after="0" w:line="240" w:lineRule="auto"/>
        <w:ind w:left="1134"/>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През последната година разходите за данъци и социални осигуровки са в размер на 1640 лв. и се увеличават с 21.0% в сравнение с 2023 г., а спрямо 2015 г. нарастват 3.1 пъти.</w:t>
      </w:r>
    </w:p>
    <w:p w14:paraId="5047626B"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14:paraId="5D97816E"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През 2024 г. относителният дял на разходите за храна и безалкохолни напитки от общия разход е 28.7%, което е с 1.0 процентни пункта по-малко в сравнение с 2023 г. и с 2.7 процентни пункта по-малко спрямо 2015 година.</w:t>
      </w:r>
    </w:p>
    <w:p w14:paraId="184D3BA5"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14:paraId="65F5E4E2"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Делът на разходите за данъци и социални осигуровки е 14.0% от общия разход през 2024 г., което е с 0.5 процентни пункта повече в сравнение с 2023 г. и с 2.6 процентни пункта повече спрямо 2015 година. Относителният дял на разходите за здравеопазване е 6.1%, без промяна в сравнение с 2023 г. и с 0.8 процентни пункта повече в сравнение с 2015 година. През периода 2015</w:t>
      </w:r>
      <w:r w:rsidR="007B1244" w:rsidRPr="00AA5833">
        <w:rPr>
          <w:rFonts w:ascii="Times New Roman" w:eastAsia="Calibri" w:hAnsi="Times New Roman" w:cs="Times New Roman"/>
          <w:color w:val="000000" w:themeColor="text1"/>
          <w:sz w:val="24"/>
          <w:szCs w:val="24"/>
        </w:rPr>
        <w:t xml:space="preserve"> </w:t>
      </w:r>
      <w:r w:rsidR="007B1244" w:rsidRPr="00AA5833">
        <w:rPr>
          <w:rFonts w:ascii="Times New Roman" w:eastAsia="Calibri" w:hAnsi="Times New Roman" w:cs="Times New Roman"/>
          <w:b/>
          <w:color w:val="000000" w:themeColor="text1"/>
          <w:sz w:val="24"/>
          <w:szCs w:val="24"/>
        </w:rPr>
        <w:t xml:space="preserve">– </w:t>
      </w:r>
      <w:r w:rsidRPr="00AA5833">
        <w:rPr>
          <w:rFonts w:ascii="Times New Roman" w:eastAsia="Calibri" w:hAnsi="Times New Roman" w:cs="Times New Roman"/>
          <w:color w:val="000000" w:themeColor="text1"/>
          <w:sz w:val="24"/>
          <w:szCs w:val="24"/>
        </w:rPr>
        <w:t>2024 г. делът на разходите за транспорт и съобщения в общия разход е в рамките на 11</w:t>
      </w:r>
      <w:r w:rsidR="007B1244" w:rsidRPr="00AA5833">
        <w:rPr>
          <w:rFonts w:ascii="Times New Roman" w:eastAsia="Calibri" w:hAnsi="Times New Roman" w:cs="Times New Roman"/>
          <w:color w:val="000000" w:themeColor="text1"/>
          <w:sz w:val="24"/>
          <w:szCs w:val="24"/>
        </w:rPr>
        <w:t xml:space="preserve"> </w:t>
      </w:r>
      <w:r w:rsidR="007B1244" w:rsidRPr="00AA5833">
        <w:rPr>
          <w:rFonts w:ascii="Times New Roman" w:eastAsia="Calibri" w:hAnsi="Times New Roman" w:cs="Times New Roman"/>
          <w:b/>
          <w:color w:val="000000" w:themeColor="text1"/>
          <w:sz w:val="24"/>
          <w:szCs w:val="24"/>
        </w:rPr>
        <w:t xml:space="preserve">– </w:t>
      </w:r>
      <w:r w:rsidRPr="00AA5833">
        <w:rPr>
          <w:rFonts w:ascii="Times New Roman" w:eastAsia="Calibri" w:hAnsi="Times New Roman" w:cs="Times New Roman"/>
          <w:color w:val="000000" w:themeColor="text1"/>
          <w:sz w:val="24"/>
          <w:szCs w:val="24"/>
        </w:rPr>
        <w:t>12%.</w:t>
      </w:r>
    </w:p>
    <w:p w14:paraId="255A97EE" w14:textId="77777777" w:rsidR="00AF0334" w:rsidRPr="00AA5833" w:rsidRDefault="00AF0334" w:rsidP="00AF0334">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Относителният дял на разходите, свързани с жилището, през 2024 г. е 15.7% от общия разход и намалява спрямо 2023 г. с 1.1 процентни пункта, а спрямо 2015 г. намалява с 2.3 процентни пункта.</w:t>
      </w:r>
    </w:p>
    <w:p w14:paraId="1F835988" w14:textId="77777777" w:rsidR="00AF0334" w:rsidRPr="00AA5833" w:rsidRDefault="00AF0334" w:rsidP="00AF0334">
      <w:pPr>
        <w:spacing w:after="0" w:line="240" w:lineRule="auto"/>
        <w:jc w:val="both"/>
        <w:rPr>
          <w:rFonts w:ascii="Times New Roman" w:eastAsia="Times New Roman" w:hAnsi="Times New Roman" w:cs="Times New Roman"/>
          <w:b/>
          <w:color w:val="000000"/>
          <w:sz w:val="24"/>
          <w:szCs w:val="24"/>
          <w:lang w:eastAsia="bg-BG"/>
        </w:rPr>
      </w:pPr>
    </w:p>
    <w:p w14:paraId="0D0E889B" w14:textId="77777777" w:rsidR="00AF0334" w:rsidRPr="00AA5833" w:rsidRDefault="00AF0334" w:rsidP="00AF0334">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2.8.2.3. Потребление на домакинствата</w:t>
      </w:r>
    </w:p>
    <w:p w14:paraId="019B5FC1" w14:textId="77777777" w:rsidR="00AF0334" w:rsidRPr="00AA5833" w:rsidRDefault="00AF0334" w:rsidP="00AF0334">
      <w:pPr>
        <w:autoSpaceDE w:val="0"/>
        <w:autoSpaceDN w:val="0"/>
        <w:adjustRightInd w:val="0"/>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2024 г. настъпват промени при потреблението на основни хранителни продукти средно на лице от домакинство в сравнение с 2023 година. Намалява потреблението на хляб и тестени изделия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 xml:space="preserve">с 3.4 кг, и това на картофи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 xml:space="preserve">с 0.3 килограма. </w:t>
      </w:r>
      <w:r w:rsidRPr="00AA5833">
        <w:rPr>
          <w:rFonts w:ascii="Times New Roman" w:hAnsi="Times New Roman" w:cs="Times New Roman"/>
          <w:sz w:val="24"/>
          <w:szCs w:val="24"/>
        </w:rPr>
        <w:lastRenderedPageBreak/>
        <w:t xml:space="preserve">Най-голямо увеличение има в консумацията на безалкохолни напитки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 xml:space="preserve">с 11.1 литра, на плодове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 xml:space="preserve">с 5.8 кг, и на месо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 xml:space="preserve">с 2.3 килограма.  </w:t>
      </w:r>
    </w:p>
    <w:p w14:paraId="40B5207E" w14:textId="77777777" w:rsidR="00AF0334" w:rsidRPr="00AA5833" w:rsidRDefault="00AF0334" w:rsidP="00AF0334">
      <w:pPr>
        <w:autoSpaceDE w:val="0"/>
        <w:autoSpaceDN w:val="0"/>
        <w:adjustRightInd w:val="0"/>
        <w:spacing w:after="0" w:line="240" w:lineRule="auto"/>
        <w:ind w:firstLine="709"/>
        <w:jc w:val="both"/>
        <w:rPr>
          <w:rFonts w:ascii="Times New Roman" w:hAnsi="Times New Roman" w:cs="Times New Roman"/>
          <w:sz w:val="24"/>
          <w:szCs w:val="24"/>
        </w:rPr>
      </w:pPr>
    </w:p>
    <w:p w14:paraId="7FAC5025" w14:textId="77777777" w:rsidR="00AF0334" w:rsidRPr="00AA5833" w:rsidRDefault="00AF0334" w:rsidP="00AF0334">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2.8.2.4. Покупателна способност</w:t>
      </w:r>
      <w:r w:rsidRPr="00AA5833">
        <w:rPr>
          <w:rFonts w:ascii="Times New Roman" w:eastAsia="Times New Roman" w:hAnsi="Times New Roman" w:cs="Times New Roman"/>
          <w:b/>
          <w:color w:val="000000"/>
          <w:sz w:val="24"/>
          <w:szCs w:val="24"/>
          <w:vertAlign w:val="superscript"/>
          <w:lang w:eastAsia="bg-BG"/>
        </w:rPr>
        <w:footnoteReference w:id="30"/>
      </w:r>
      <w:r w:rsidRPr="00AA5833">
        <w:rPr>
          <w:rFonts w:ascii="Times New Roman" w:eastAsia="Times New Roman" w:hAnsi="Times New Roman" w:cs="Times New Roman"/>
          <w:b/>
          <w:color w:val="000000"/>
          <w:sz w:val="24"/>
          <w:szCs w:val="24"/>
          <w:lang w:eastAsia="bg-BG"/>
        </w:rPr>
        <w:t xml:space="preserve"> на домакинствата</w:t>
      </w:r>
    </w:p>
    <w:p w14:paraId="108BA6F6" w14:textId="77777777" w:rsidR="00AF0334" w:rsidRPr="00AA5833" w:rsidRDefault="00AF0334" w:rsidP="00AF0334">
      <w:pPr>
        <w:autoSpaceDE w:val="0"/>
        <w:autoSpaceDN w:val="0"/>
        <w:adjustRightInd w:val="0"/>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Съгласно изследването на НСИ прогнозните оценки за 2024 г., представени в изследването „България и ЕС: паритети на покупателната способност и брутен вътрешен продукт на човек от населението през 2024 г. (налични към 19.03.2025 г.) през 2024 г. се наблюдават значителни различия в БВП на човек от населението, изразен в стандарта на покупателна способност (СПС), между страните от ЕС. Десет държави, представляващи около 34% от населението на ЕС, надвишават средното за ЕС равнище на БВП на човек от населението. Люксембург и Ирландия отбелязват най-високи нива, съответно 141% и 111% над средното за ЕС, значително преди Нидерландия (35% над средното за ЕС равнище), Дания (28%) и Белгия (17%). България е държавата членка с най-нисък БВП на човек от населението </w:t>
      </w:r>
      <w:r w:rsidRPr="00AA5833">
        <w:rPr>
          <w:rFonts w:ascii="Times New Roman" w:hAnsi="Times New Roman" w:cs="Times New Roman"/>
          <w:bCs/>
          <w:sz w:val="24"/>
          <w:szCs w:val="24"/>
        </w:rPr>
        <w:t xml:space="preserve">– </w:t>
      </w:r>
      <w:r w:rsidRPr="00AA5833">
        <w:rPr>
          <w:rFonts w:ascii="Times New Roman" w:hAnsi="Times New Roman" w:cs="Times New Roman"/>
          <w:sz w:val="24"/>
          <w:szCs w:val="24"/>
        </w:rPr>
        <w:t>с 34% под средното за ЕС. Гърция и Латвия също отбелязват нива под средното за ЕС,  съответно с 30% и 29%.</w:t>
      </w:r>
    </w:p>
    <w:p w14:paraId="5890E73C" w14:textId="77777777" w:rsidR="00AF0334" w:rsidRPr="00AA5833" w:rsidRDefault="00AF0334" w:rsidP="00AF0334">
      <w:pPr>
        <w:autoSpaceDE w:val="0"/>
        <w:autoSpaceDN w:val="0"/>
        <w:adjustRightInd w:val="0"/>
        <w:spacing w:after="0" w:line="240" w:lineRule="auto"/>
        <w:ind w:firstLine="709"/>
        <w:jc w:val="both"/>
        <w:rPr>
          <w:rFonts w:ascii="Times New Roman" w:hAnsi="Times New Roman" w:cs="Times New Roman"/>
          <w:sz w:val="24"/>
          <w:szCs w:val="24"/>
        </w:rPr>
      </w:pPr>
    </w:p>
    <w:p w14:paraId="4A03C7A8" w14:textId="77777777" w:rsidR="00AF0334" w:rsidRPr="00AA5833" w:rsidRDefault="00AF0334" w:rsidP="00AF0334">
      <w:pPr>
        <w:spacing w:after="0" w:line="240" w:lineRule="auto"/>
        <w:ind w:left="720"/>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Общ доход средно на домакинство</w:t>
      </w:r>
    </w:p>
    <w:p w14:paraId="0E0F503A"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Общият доход </w:t>
      </w:r>
      <w:r w:rsidR="00A0637A">
        <w:rPr>
          <w:rFonts w:ascii="Times New Roman" w:eastAsia="Times New Roman" w:hAnsi="Times New Roman" w:cs="Times New Roman"/>
          <w:sz w:val="24"/>
          <w:szCs w:val="24"/>
          <w:lang w:eastAsia="bg-BG"/>
        </w:rPr>
        <w:t>средно на домакинство</w:t>
      </w:r>
      <w:r w:rsidRPr="00AA5833">
        <w:rPr>
          <w:rFonts w:ascii="Times New Roman" w:eastAsia="Times New Roman" w:hAnsi="Times New Roman" w:cs="Times New Roman"/>
          <w:sz w:val="24"/>
          <w:szCs w:val="24"/>
          <w:lang w:eastAsia="bg-BG"/>
        </w:rPr>
        <w:t xml:space="preserve"> през четвърто тримесечие на 2024 г. е </w:t>
      </w:r>
      <w:r w:rsidRPr="00AA5833">
        <w:rPr>
          <w:rFonts w:ascii="Times New Roman" w:eastAsia="Times New Roman" w:hAnsi="Times New Roman" w:cs="Times New Roman"/>
          <w:b/>
          <w:sz w:val="24"/>
          <w:szCs w:val="24"/>
        </w:rPr>
        <w:t xml:space="preserve">6705 </w:t>
      </w:r>
      <w:r w:rsidRPr="00AA5833">
        <w:rPr>
          <w:rFonts w:ascii="Times New Roman" w:eastAsia="Times New Roman" w:hAnsi="Times New Roman" w:cs="Times New Roman"/>
          <w:b/>
          <w:sz w:val="24"/>
          <w:szCs w:val="24"/>
          <w:lang w:eastAsia="bg-BG"/>
        </w:rPr>
        <w:t>лв</w:t>
      </w:r>
      <w:r w:rsidRPr="00AA5833">
        <w:rPr>
          <w:rFonts w:ascii="Times New Roman" w:eastAsia="Times New Roman" w:hAnsi="Times New Roman" w:cs="Times New Roman"/>
          <w:sz w:val="24"/>
          <w:szCs w:val="24"/>
          <w:lang w:eastAsia="bg-BG"/>
        </w:rPr>
        <w:t xml:space="preserve">., спрямо четвърто тримесечие на 2023 г. нараства с </w:t>
      </w:r>
      <w:r w:rsidRPr="00AA5833">
        <w:rPr>
          <w:rFonts w:ascii="Times New Roman" w:eastAsia="Times New Roman" w:hAnsi="Times New Roman" w:cs="Times New Roman"/>
          <w:b/>
          <w:sz w:val="24"/>
          <w:szCs w:val="24"/>
          <w:lang w:eastAsia="bg-BG"/>
        </w:rPr>
        <w:t>18.0%</w:t>
      </w:r>
      <w:r w:rsidRPr="00AA5833">
        <w:rPr>
          <w:rFonts w:ascii="Times New Roman" w:eastAsia="Times New Roman" w:hAnsi="Times New Roman" w:cs="Times New Roman"/>
          <w:sz w:val="24"/>
          <w:szCs w:val="24"/>
          <w:lang w:eastAsia="bg-BG"/>
        </w:rPr>
        <w:t xml:space="preserve">. Основен компонент на общия доход е брутният доход. </w:t>
      </w:r>
    </w:p>
    <w:p w14:paraId="7C856C86" w14:textId="77777777" w:rsidR="00AF0334" w:rsidRPr="00AA5833" w:rsidRDefault="00AF0334" w:rsidP="00AF0334">
      <w:pPr>
        <w:tabs>
          <w:tab w:val="left" w:pos="851"/>
        </w:tab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lang w:eastAsia="bg-BG"/>
        </w:rPr>
        <w:t xml:space="preserve">Брутният доход на домакинството е сумарна величина на всички регулярни доходи на домакинството и на неговите членове, получени от: труд, собственост, пенсии, обезщетения за безработни, социални добавки за деца, други обезщетения и помощи и регулярни трансфери от други домакинства. </w:t>
      </w:r>
      <w:r w:rsidRPr="00AA5833">
        <w:rPr>
          <w:rFonts w:ascii="Times New Roman" w:eastAsia="Times New Roman" w:hAnsi="Times New Roman" w:cs="Times New Roman"/>
          <w:sz w:val="24"/>
          <w:szCs w:val="24"/>
        </w:rPr>
        <w:t>Тримесечният общ доход средно на лице от домакинство през четвъртото тримесечие на 2024 г. е 3 371 лв. и нараства със 17.6% спрямо същия период на 2023 година.</w:t>
      </w:r>
    </w:p>
    <w:p w14:paraId="25A15E5F" w14:textId="77777777" w:rsidR="00AF0334" w:rsidRPr="00AA5833" w:rsidRDefault="00AF0334" w:rsidP="00AF0334">
      <w:pPr>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ab/>
        <w:t xml:space="preserve">В структурата на общия доход с най-висок относителен дял е доходът от работна заплата (54.4%), следван от доходите от пенсии (30.2%) и от самостоятелна заетост (7.7%). Спрямо четвъртото тримесечие на 2023 г. относителният дял на дохода от самостоятелна заетост се увеличава с 1.8 процентни пункта. Делът на дохода от работна заплата намалява с 0.5 процентни пункта, а от пенсии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с 1.1 процентни пункта.</w:t>
      </w:r>
    </w:p>
    <w:p w14:paraId="3AAE2892" w14:textId="77777777" w:rsidR="008D6AFB" w:rsidRPr="00AA5833" w:rsidRDefault="008D6AFB" w:rsidP="00AF0334">
      <w:pPr>
        <w:spacing w:after="0" w:line="240" w:lineRule="auto"/>
        <w:ind w:firstLine="708"/>
        <w:jc w:val="both"/>
        <w:rPr>
          <w:rFonts w:ascii="Times New Roman" w:eastAsia="Times New Roman" w:hAnsi="Times New Roman" w:cs="Times New Roman"/>
          <w:b/>
          <w:sz w:val="24"/>
          <w:szCs w:val="24"/>
        </w:rPr>
      </w:pPr>
    </w:p>
    <w:p w14:paraId="46573C82" w14:textId="77777777" w:rsidR="00AF0334" w:rsidRPr="00AA5833" w:rsidRDefault="00AF0334" w:rsidP="00AF0334">
      <w:pPr>
        <w:spacing w:after="0" w:line="240" w:lineRule="auto"/>
        <w:ind w:firstLine="708"/>
        <w:jc w:val="both"/>
        <w:rPr>
          <w:rFonts w:ascii="Times New Roman" w:eastAsia="Times New Roman" w:hAnsi="Times New Roman" w:cs="Times New Roman"/>
          <w:b/>
          <w:i/>
          <w:sz w:val="24"/>
          <w:szCs w:val="24"/>
        </w:rPr>
      </w:pPr>
      <w:r w:rsidRPr="00AA5833">
        <w:rPr>
          <w:rFonts w:ascii="Times New Roman" w:eastAsia="Times New Roman" w:hAnsi="Times New Roman" w:cs="Times New Roman"/>
          <w:b/>
          <w:sz w:val="24"/>
          <w:szCs w:val="24"/>
        </w:rPr>
        <w:t>Общ разход средно на домакинство</w:t>
      </w:r>
    </w:p>
    <w:p w14:paraId="1BB92E68" w14:textId="77777777" w:rsidR="00AF0334" w:rsidRPr="00AA5833" w:rsidRDefault="00AF0334" w:rsidP="0024421E">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Общият разход средно на домакинство през четвърто тримесечие на 2024 г. е </w:t>
      </w:r>
      <w:r w:rsidRPr="00AA5833">
        <w:rPr>
          <w:rFonts w:ascii="Times New Roman" w:eastAsia="Times New Roman" w:hAnsi="Times New Roman" w:cs="Times New Roman"/>
          <w:b/>
          <w:sz w:val="24"/>
          <w:szCs w:val="24"/>
          <w:lang w:eastAsia="bg-BG"/>
        </w:rPr>
        <w:t>6032.39 лв</w:t>
      </w:r>
      <w:r w:rsidRPr="00AA5833">
        <w:rPr>
          <w:rFonts w:ascii="Times New Roman" w:eastAsia="Times New Roman" w:hAnsi="Times New Roman" w:cs="Times New Roman"/>
          <w:sz w:val="24"/>
          <w:szCs w:val="24"/>
          <w:lang w:eastAsia="bg-BG"/>
        </w:rPr>
        <w:t xml:space="preserve">., спрямо четвърто тримесечие на 2023 г. се увеличава с </w:t>
      </w:r>
      <w:r w:rsidRPr="00AA5833">
        <w:rPr>
          <w:rFonts w:ascii="Times New Roman" w:eastAsia="Times New Roman" w:hAnsi="Times New Roman" w:cs="Times New Roman"/>
          <w:b/>
          <w:sz w:val="24"/>
          <w:szCs w:val="24"/>
          <w:lang w:eastAsia="bg-BG"/>
        </w:rPr>
        <w:t>14.0%</w:t>
      </w:r>
      <w:r w:rsidRPr="00AA5833">
        <w:rPr>
          <w:rFonts w:ascii="Times New Roman" w:eastAsia="Times New Roman" w:hAnsi="Times New Roman" w:cs="Times New Roman"/>
          <w:sz w:val="24"/>
          <w:szCs w:val="24"/>
          <w:lang w:eastAsia="bg-BG"/>
        </w:rPr>
        <w:t>. Основна част от разходите на домакинствата представлява потребителският общ разход, който формира 80.3% от общия разход за четвърто тримесечие на 2024 г. Елементи на потребителския общ разход са разходите за храна, разходите за жилище, разходите за обзавеждане, разходи за транспорт, за здравеопазване, разходите за образование, за съобщения и други.</w:t>
      </w:r>
    </w:p>
    <w:p w14:paraId="2A3603D4" w14:textId="77777777" w:rsidR="00AF0334" w:rsidRPr="00AA5833" w:rsidRDefault="00AF0334" w:rsidP="00AF0334">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четвърто тримесечие на 2024 г. общият разход средно на лице е </w:t>
      </w:r>
      <w:r w:rsidRPr="00AA5833">
        <w:rPr>
          <w:rFonts w:ascii="Times New Roman" w:eastAsia="Times New Roman" w:hAnsi="Times New Roman" w:cs="Times New Roman"/>
          <w:b/>
          <w:sz w:val="24"/>
          <w:szCs w:val="24"/>
        </w:rPr>
        <w:t>3033 лв</w:t>
      </w:r>
      <w:r w:rsidRPr="00AA5833">
        <w:rPr>
          <w:rFonts w:ascii="Times New Roman" w:eastAsia="Times New Roman" w:hAnsi="Times New Roman" w:cs="Times New Roman"/>
          <w:sz w:val="24"/>
          <w:szCs w:val="24"/>
        </w:rPr>
        <w:t xml:space="preserve">., увеличава се с 13.7% спрямо същото тримесечие на 2023 г. В структурата на общия разход с най-голям относителен дял са разходите за храна и безалкохолни напитки (29.3%), следвани от разходите за жилище (15.5%), за данъци и социални осигуровки (14.0%) и за транспорт и съобщения (11.4%). </w:t>
      </w:r>
    </w:p>
    <w:p w14:paraId="753DB0C2" w14:textId="77777777" w:rsidR="00AF0334" w:rsidRPr="00AA5833" w:rsidRDefault="00AF0334" w:rsidP="00AF0334">
      <w:pPr>
        <w:autoSpaceDE w:val="0"/>
        <w:autoSpaceDN w:val="0"/>
        <w:adjustRightInd w:val="0"/>
        <w:spacing w:after="0" w:line="240" w:lineRule="auto"/>
        <w:ind w:firstLine="709"/>
        <w:jc w:val="both"/>
        <w:rPr>
          <w:rFonts w:ascii="Times New Roman" w:hAnsi="Times New Roman" w:cs="Times New Roman"/>
          <w:sz w:val="24"/>
          <w:szCs w:val="24"/>
        </w:rPr>
      </w:pPr>
    </w:p>
    <w:p w14:paraId="5AB2ED06" w14:textId="77777777" w:rsidR="00AF0334" w:rsidRPr="00AA5833" w:rsidRDefault="00AF0334" w:rsidP="0024421E">
      <w:pPr>
        <w:autoSpaceDE w:val="0"/>
        <w:autoSpaceDN w:val="0"/>
        <w:spacing w:after="0" w:line="240" w:lineRule="auto"/>
        <w:ind w:firstLine="709"/>
        <w:jc w:val="both"/>
        <w:rPr>
          <w:rFonts w:ascii="Times New Roman" w:eastAsia="Times New Roman" w:hAnsi="Times New Roman" w:cs="Times New Roman"/>
          <w:b/>
          <w:color w:val="000000" w:themeColor="text1"/>
          <w:sz w:val="24"/>
          <w:szCs w:val="24"/>
          <w:lang w:eastAsia="bg-BG"/>
        </w:rPr>
      </w:pPr>
      <w:r w:rsidRPr="00AA5833">
        <w:rPr>
          <w:rFonts w:ascii="Times New Roman" w:eastAsia="Times New Roman" w:hAnsi="Times New Roman" w:cs="Times New Roman"/>
          <w:b/>
          <w:color w:val="000000" w:themeColor="text1"/>
          <w:sz w:val="24"/>
          <w:szCs w:val="24"/>
          <w:lang w:eastAsia="bg-BG"/>
        </w:rPr>
        <w:lastRenderedPageBreak/>
        <w:t>Потребление на основни хранителни стоки средно на лице от домакинствата през четвърто тримесечие на 2023 г. и 2024 г. :</w:t>
      </w:r>
    </w:p>
    <w:p w14:paraId="1D3BE469" w14:textId="77777777" w:rsidR="00AF0334" w:rsidRPr="00AA5833" w:rsidRDefault="00AF0334" w:rsidP="002A598C">
      <w:pPr>
        <w:numPr>
          <w:ilvl w:val="0"/>
          <w:numId w:val="25"/>
        </w:numPr>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хляб и тестени изделия намалява с </w:t>
      </w:r>
      <w:r w:rsidRPr="00AA5833">
        <w:rPr>
          <w:rFonts w:ascii="Times New Roman" w:eastAsia="Times New Roman" w:hAnsi="Times New Roman" w:cs="Times New Roman"/>
          <w:b/>
          <w:sz w:val="24"/>
          <w:szCs w:val="24"/>
        </w:rPr>
        <w:t>4.4%</w:t>
      </w:r>
      <w:r w:rsidRPr="00AA5833">
        <w:rPr>
          <w:rFonts w:ascii="Times New Roman" w:eastAsia="Times New Roman" w:hAnsi="Times New Roman" w:cs="Times New Roman"/>
          <w:sz w:val="24"/>
          <w:szCs w:val="24"/>
        </w:rPr>
        <w:t>.</w:t>
      </w:r>
    </w:p>
    <w:p w14:paraId="1DB652D5"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месо нараства с </w:t>
      </w:r>
      <w:r w:rsidRPr="00AA5833">
        <w:rPr>
          <w:rFonts w:ascii="Times New Roman" w:eastAsia="Times New Roman" w:hAnsi="Times New Roman" w:cs="Times New Roman"/>
          <w:b/>
          <w:sz w:val="24"/>
          <w:szCs w:val="24"/>
        </w:rPr>
        <w:t>5.0%.</w:t>
      </w:r>
    </w:p>
    <w:p w14:paraId="7694822D"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месни произведения нараства с </w:t>
      </w:r>
      <w:r w:rsidRPr="00AA5833">
        <w:rPr>
          <w:rFonts w:ascii="Times New Roman" w:eastAsia="Times New Roman" w:hAnsi="Times New Roman" w:cs="Times New Roman"/>
          <w:b/>
          <w:sz w:val="24"/>
          <w:szCs w:val="24"/>
        </w:rPr>
        <w:t>2.3%</w:t>
      </w:r>
      <w:r w:rsidRPr="00AA5833">
        <w:rPr>
          <w:rFonts w:ascii="Times New Roman" w:eastAsia="Times New Roman" w:hAnsi="Times New Roman" w:cs="Times New Roman"/>
          <w:sz w:val="24"/>
          <w:szCs w:val="24"/>
        </w:rPr>
        <w:t>.</w:t>
      </w:r>
    </w:p>
    <w:p w14:paraId="3A52FF85"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Потреблението на прясно мляко запазва нивото си.</w:t>
      </w:r>
    </w:p>
    <w:p w14:paraId="1D215EDF"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кисело мляко нараства с </w:t>
      </w:r>
      <w:r w:rsidRPr="00AA5833">
        <w:rPr>
          <w:rFonts w:ascii="Times New Roman" w:eastAsia="Times New Roman" w:hAnsi="Times New Roman" w:cs="Times New Roman"/>
          <w:b/>
          <w:sz w:val="24"/>
          <w:szCs w:val="24"/>
        </w:rPr>
        <w:t>1.5%</w:t>
      </w:r>
      <w:r w:rsidRPr="00AA5833">
        <w:rPr>
          <w:rFonts w:ascii="Times New Roman" w:eastAsia="Times New Roman" w:hAnsi="Times New Roman" w:cs="Times New Roman"/>
          <w:sz w:val="24"/>
          <w:szCs w:val="24"/>
        </w:rPr>
        <w:t>.</w:t>
      </w:r>
    </w:p>
    <w:p w14:paraId="2441446A"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сирене намалява с </w:t>
      </w:r>
      <w:r w:rsidRPr="00AA5833">
        <w:rPr>
          <w:rFonts w:ascii="Times New Roman" w:eastAsia="Times New Roman" w:hAnsi="Times New Roman" w:cs="Times New Roman"/>
          <w:b/>
          <w:sz w:val="24"/>
          <w:szCs w:val="24"/>
        </w:rPr>
        <w:t>3.4%</w:t>
      </w:r>
      <w:r w:rsidRPr="00AA5833">
        <w:rPr>
          <w:rFonts w:ascii="Times New Roman" w:eastAsia="Times New Roman" w:hAnsi="Times New Roman" w:cs="Times New Roman"/>
          <w:sz w:val="24"/>
          <w:szCs w:val="24"/>
        </w:rPr>
        <w:t>.</w:t>
      </w:r>
    </w:p>
    <w:p w14:paraId="76EA6135"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Потреблението на яйца запазва нивото си.</w:t>
      </w:r>
    </w:p>
    <w:p w14:paraId="18A03221"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олио намалява с </w:t>
      </w:r>
      <w:r w:rsidRPr="00AA5833">
        <w:rPr>
          <w:rFonts w:ascii="Times New Roman" w:eastAsia="Times New Roman" w:hAnsi="Times New Roman" w:cs="Times New Roman"/>
          <w:b/>
          <w:sz w:val="24"/>
          <w:szCs w:val="24"/>
        </w:rPr>
        <w:t>3.8%</w:t>
      </w:r>
      <w:r w:rsidRPr="00AA5833">
        <w:rPr>
          <w:rFonts w:ascii="Times New Roman" w:eastAsia="Times New Roman" w:hAnsi="Times New Roman" w:cs="Times New Roman"/>
          <w:sz w:val="24"/>
          <w:szCs w:val="24"/>
        </w:rPr>
        <w:t xml:space="preserve">. </w:t>
      </w:r>
    </w:p>
    <w:p w14:paraId="54AFE9D6"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плодове нараства с </w:t>
      </w:r>
      <w:r w:rsidRPr="00AA5833">
        <w:rPr>
          <w:rFonts w:ascii="Times New Roman" w:eastAsia="Times New Roman" w:hAnsi="Times New Roman" w:cs="Times New Roman"/>
          <w:b/>
          <w:sz w:val="24"/>
          <w:szCs w:val="24"/>
        </w:rPr>
        <w:t>5.9%</w:t>
      </w:r>
      <w:r w:rsidRPr="00AA5833">
        <w:rPr>
          <w:rFonts w:ascii="Times New Roman" w:eastAsia="Times New Roman" w:hAnsi="Times New Roman" w:cs="Times New Roman"/>
          <w:sz w:val="24"/>
          <w:szCs w:val="24"/>
        </w:rPr>
        <w:t>.</w:t>
      </w:r>
    </w:p>
    <w:p w14:paraId="7BAAAC60"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зеленчуци намалява с </w:t>
      </w:r>
      <w:r w:rsidRPr="00AA5833">
        <w:rPr>
          <w:rFonts w:ascii="Times New Roman" w:eastAsia="Times New Roman" w:hAnsi="Times New Roman" w:cs="Times New Roman"/>
          <w:b/>
          <w:sz w:val="24"/>
          <w:szCs w:val="24"/>
        </w:rPr>
        <w:t>2.3%</w:t>
      </w:r>
      <w:r w:rsidRPr="00AA5833">
        <w:rPr>
          <w:rFonts w:ascii="Times New Roman" w:eastAsia="Times New Roman" w:hAnsi="Times New Roman" w:cs="Times New Roman"/>
          <w:sz w:val="24"/>
          <w:szCs w:val="24"/>
        </w:rPr>
        <w:t xml:space="preserve">. </w:t>
      </w:r>
    </w:p>
    <w:p w14:paraId="5DA3E5D2"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картофи намалява с </w:t>
      </w:r>
      <w:r w:rsidRPr="00AA5833">
        <w:rPr>
          <w:rFonts w:ascii="Times New Roman" w:eastAsia="Times New Roman" w:hAnsi="Times New Roman" w:cs="Times New Roman"/>
          <w:b/>
          <w:sz w:val="24"/>
          <w:szCs w:val="24"/>
        </w:rPr>
        <w:t>2.9%.</w:t>
      </w:r>
    </w:p>
    <w:p w14:paraId="73B4885F" w14:textId="77777777" w:rsidR="00A0637A" w:rsidRPr="00A0637A" w:rsidRDefault="00A0637A"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0637A">
        <w:rPr>
          <w:rFonts w:ascii="Times New Roman" w:eastAsia="Times New Roman" w:hAnsi="Times New Roman" w:cs="Times New Roman"/>
          <w:sz w:val="24"/>
          <w:szCs w:val="24"/>
        </w:rPr>
        <w:t>Потреблението на фасул, зрял</w:t>
      </w:r>
      <w:r>
        <w:rPr>
          <w:rFonts w:ascii="Times New Roman" w:eastAsia="Times New Roman" w:hAnsi="Times New Roman" w:cs="Times New Roman"/>
          <w:sz w:val="24"/>
          <w:szCs w:val="24"/>
        </w:rPr>
        <w:t>,</w:t>
      </w:r>
      <w:r w:rsidRPr="00A0637A">
        <w:rPr>
          <w:rFonts w:ascii="Times New Roman" w:eastAsia="Times New Roman" w:hAnsi="Times New Roman" w:cs="Times New Roman"/>
          <w:sz w:val="24"/>
          <w:szCs w:val="24"/>
        </w:rPr>
        <w:t xml:space="preserve"> запазва нивото си</w:t>
      </w:r>
      <w:r w:rsidRPr="00A0637A">
        <w:rPr>
          <w:rFonts w:ascii="Times New Roman" w:eastAsia="Times New Roman" w:hAnsi="Times New Roman" w:cs="Times New Roman"/>
          <w:b/>
          <w:sz w:val="24"/>
          <w:szCs w:val="24"/>
        </w:rPr>
        <w:t>.</w:t>
      </w:r>
    </w:p>
    <w:p w14:paraId="6FE0919B" w14:textId="77777777" w:rsidR="00AF0334" w:rsidRPr="00AA5833" w:rsidRDefault="00AF0334" w:rsidP="002A598C">
      <w:pPr>
        <w:numPr>
          <w:ilvl w:val="0"/>
          <w:numId w:val="25"/>
        </w:numPr>
        <w:tabs>
          <w:tab w:val="left" w:pos="709"/>
          <w:tab w:val="left" w:pos="851"/>
        </w:tabs>
        <w:spacing w:after="0" w:line="240" w:lineRule="auto"/>
        <w:ind w:left="1134"/>
        <w:contextualSpacing/>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Потреблението на захар намалява с </w:t>
      </w:r>
      <w:r w:rsidRPr="00AA5833">
        <w:rPr>
          <w:rFonts w:ascii="Times New Roman" w:eastAsia="Times New Roman" w:hAnsi="Times New Roman" w:cs="Times New Roman"/>
          <w:b/>
          <w:sz w:val="24"/>
          <w:szCs w:val="24"/>
        </w:rPr>
        <w:t>7.1%</w:t>
      </w:r>
      <w:r w:rsidRPr="00AA5833">
        <w:rPr>
          <w:rFonts w:ascii="Times New Roman" w:eastAsia="Times New Roman" w:hAnsi="Times New Roman" w:cs="Times New Roman"/>
          <w:sz w:val="24"/>
          <w:szCs w:val="24"/>
        </w:rPr>
        <w:t>.</w:t>
      </w:r>
    </w:p>
    <w:p w14:paraId="153ED322" w14:textId="77777777" w:rsidR="00AF0334" w:rsidRPr="00AA5833" w:rsidRDefault="00AF0334" w:rsidP="00AF0334">
      <w:pPr>
        <w:autoSpaceDE w:val="0"/>
        <w:autoSpaceDN w:val="0"/>
        <w:spacing w:after="0" w:line="240" w:lineRule="auto"/>
        <w:jc w:val="both"/>
        <w:rPr>
          <w:rFonts w:ascii="Times New Roman" w:eastAsia="Times New Roman" w:hAnsi="Times New Roman" w:cs="Times New Roman"/>
          <w:b/>
          <w:color w:val="000000" w:themeColor="text1"/>
          <w:sz w:val="24"/>
          <w:szCs w:val="24"/>
          <w:lang w:eastAsia="bg-BG"/>
        </w:rPr>
      </w:pPr>
    </w:p>
    <w:p w14:paraId="26368184" w14:textId="77777777" w:rsidR="00AF0334" w:rsidRPr="00AA5833" w:rsidRDefault="00AF0334" w:rsidP="00AF0334">
      <w:pPr>
        <w:autoSpaceDE w:val="0"/>
        <w:autoSpaceDN w:val="0"/>
        <w:spacing w:after="0" w:line="240" w:lineRule="auto"/>
        <w:jc w:val="both"/>
        <w:rPr>
          <w:rFonts w:ascii="Times New Roman" w:eastAsia="Times New Roman" w:hAnsi="Times New Roman" w:cs="Times New Roman"/>
          <w:b/>
          <w:color w:val="000000" w:themeColor="text1"/>
          <w:sz w:val="24"/>
          <w:szCs w:val="24"/>
        </w:rPr>
      </w:pPr>
      <w:r w:rsidRPr="00AA5833">
        <w:rPr>
          <w:rFonts w:ascii="Times New Roman" w:eastAsia="Times New Roman" w:hAnsi="Times New Roman" w:cs="Times New Roman"/>
          <w:b/>
          <w:color w:val="000000" w:themeColor="text1"/>
          <w:sz w:val="24"/>
          <w:szCs w:val="24"/>
          <w:lang w:eastAsia="bg-BG"/>
        </w:rPr>
        <w:t xml:space="preserve">2.8.2.5. </w:t>
      </w:r>
      <w:r w:rsidRPr="00AA5833">
        <w:rPr>
          <w:rFonts w:ascii="Times New Roman" w:eastAsia="Times New Roman" w:hAnsi="Times New Roman" w:cs="Times New Roman"/>
          <w:b/>
          <w:color w:val="000000" w:themeColor="text1"/>
          <w:sz w:val="24"/>
          <w:szCs w:val="24"/>
        </w:rPr>
        <w:t>Жилища, жилищни условия и снабденост със стоки за дълготрайна употреба</w:t>
      </w:r>
    </w:p>
    <w:p w14:paraId="14136758"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2024 г. в собствено жилище живеят 87.0% от домакинствата, а 8.0% ползват жилище, без да плащат наем. В жилища под наем живеят 5.0% от наблюдаваните домакинства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4.0% на свободен и 1.0% на общински наем. Второ жилище притежават 11.9% от домакинствата.</w:t>
      </w:r>
    </w:p>
    <w:p w14:paraId="47704BE6"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В жилища, построени преди 1990 г., живеят 88.4% от домакинствата, като 69.3% са изградени в периода 1961</w:t>
      </w:r>
      <w:r w:rsidR="007B1244" w:rsidRPr="00AA5833">
        <w:rPr>
          <w:rFonts w:ascii="Times New Roman" w:eastAsia="Times New Roman" w:hAnsi="Times New Roman" w:cs="Times New Roman"/>
          <w:sz w:val="24"/>
          <w:szCs w:val="24"/>
        </w:rPr>
        <w:t xml:space="preserve"> </w:t>
      </w:r>
      <w:r w:rsidR="00EA576B"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1990 година. Преди 1961 г. са построени 19.1%, а след 1990 година </w:t>
      </w:r>
      <w:r w:rsidRPr="00AA5833">
        <w:rPr>
          <w:rFonts w:ascii="Times New Roman" w:eastAsia="Times New Roman" w:hAnsi="Times New Roman" w:cs="Times New Roman"/>
          <w:bCs/>
          <w:sz w:val="24"/>
          <w:szCs w:val="24"/>
        </w:rPr>
        <w:t xml:space="preserve">– </w:t>
      </w:r>
      <w:r w:rsidRPr="00AA5833">
        <w:rPr>
          <w:rFonts w:ascii="Times New Roman" w:eastAsia="Times New Roman" w:hAnsi="Times New Roman" w:cs="Times New Roman"/>
          <w:sz w:val="24"/>
          <w:szCs w:val="24"/>
        </w:rPr>
        <w:t xml:space="preserve">11.6% от жилищата. </w:t>
      </w:r>
    </w:p>
    <w:p w14:paraId="3A1C817C"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67.5% от домакинствата в страната живеят в дву- и тристайни жилища (72.6% в градовете и 51.2% в селата). В по-големи жилища (с четири и повече стаи) живеят 21.4% от домакинствата в градовете и 46.5% в селата. </w:t>
      </w:r>
    </w:p>
    <w:p w14:paraId="72A03E19"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Гаражи имат 24.4% от домакинствата в страната (19.9% в градовете и 38.7% в селата). </w:t>
      </w:r>
    </w:p>
    <w:p w14:paraId="087B2CF0"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Има съществени различия в благоустроеността на жилищата в градовете и селата. Централна канализация имат 43.3% от жилищата в селата, докато в градовете този процент е 97.5%. Тоалетна вътре в жилището имат 90.0% от домакинствата в селата и 99.2% в градовете. С централно отопление (парно или газ) са 22.8% от жилищата в страната, съответно 29.7% в градовете и 0.7% в селата. </w:t>
      </w:r>
    </w:p>
    <w:p w14:paraId="78779D5E"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Автомобили имат 58.0% от наблюдаваните домакинства, като 8.8% притежават два и повече автомобила. Не могат да си позволят да закупят и поддържат автомобил по финансови причини 6.2% от домакинствата, а 35.8% са заявили, че нямат необходимост от лека кола. </w:t>
      </w:r>
    </w:p>
    <w:p w14:paraId="1FDD2978"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От предметите за дълготрайна употреба най-разп</w:t>
      </w:r>
      <w:r w:rsidR="00891A80" w:rsidRPr="00AA5833">
        <w:rPr>
          <w:rFonts w:ascii="Times New Roman" w:eastAsia="Times New Roman" w:hAnsi="Times New Roman" w:cs="Times New Roman"/>
          <w:sz w:val="24"/>
          <w:szCs w:val="24"/>
        </w:rPr>
        <w:t xml:space="preserve">ространена е хладилната техника – </w:t>
      </w:r>
      <w:r w:rsidRPr="00AA5833">
        <w:rPr>
          <w:rFonts w:ascii="Times New Roman" w:eastAsia="Times New Roman" w:hAnsi="Times New Roman" w:cs="Times New Roman"/>
          <w:sz w:val="24"/>
          <w:szCs w:val="24"/>
        </w:rPr>
        <w:t>99.7% от домакинствата в страната (99.8% в градовете и 99.4% в селата) имат хладилник и/или фризер.</w:t>
      </w:r>
    </w:p>
    <w:p w14:paraId="028CA010"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На второ място е телевизорът </w:t>
      </w:r>
      <w:r w:rsidR="00EA576B" w:rsidRPr="00AA5833">
        <w:rPr>
          <w:rFonts w:ascii="Times New Roman" w:eastAsia="Times New Roman" w:hAnsi="Times New Roman" w:cs="Times New Roman"/>
          <w:sz w:val="24"/>
          <w:szCs w:val="24"/>
        </w:rPr>
        <w:t xml:space="preserve">– </w:t>
      </w:r>
      <w:r w:rsidRPr="00AA5833">
        <w:rPr>
          <w:rFonts w:ascii="Times New Roman" w:eastAsia="Times New Roman" w:hAnsi="Times New Roman" w:cs="Times New Roman"/>
          <w:sz w:val="24"/>
          <w:szCs w:val="24"/>
        </w:rPr>
        <w:t xml:space="preserve">притежават го 99.2% от домакинствата, а 39.7% имат по два и повече телевизора. </w:t>
      </w:r>
    </w:p>
    <w:p w14:paraId="67E53384"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Автоматична перална машина притежават 98.0% от домакинствата, 1.3% не могат да си позволят този уред по финансови причини, а 0.7% смятат, че нямат необходимост. </w:t>
      </w:r>
    </w:p>
    <w:p w14:paraId="5EF64783"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Мобилен телефон имат 98.5% от домакинствата като преобладават тези с два и повече мобилни телефона. </w:t>
      </w:r>
    </w:p>
    <w:p w14:paraId="29226766" w14:textId="77777777" w:rsidR="00032AF9" w:rsidRPr="00AA5833" w:rsidRDefault="00032AF9" w:rsidP="00032AF9">
      <w:pPr>
        <w:autoSpaceDE w:val="0"/>
        <w:autoSpaceDN w:val="0"/>
        <w:spacing w:after="0" w:line="240" w:lineRule="auto"/>
        <w:ind w:firstLine="748"/>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С компютри разполагат 56.7% от домакинствата (62.6% в градовете и 37.9% в селата), а 39.7% преценяват, че нямат необходимост от компютър в дома.</w:t>
      </w:r>
    </w:p>
    <w:p w14:paraId="27E582BB" w14:textId="77777777" w:rsidR="00032AF9" w:rsidRPr="00AA5833" w:rsidRDefault="00032AF9" w:rsidP="00032AF9">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lastRenderedPageBreak/>
        <w:t xml:space="preserve">Наличие на интернет връзка в жилището имат 78.0% от домакинствата в страната. В градовете домашен интернет има в 82.8% от жилищата, а в селата </w:t>
      </w:r>
      <w:r w:rsidR="007B1244"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rPr>
        <w:t xml:space="preserve">в 62.6%. Посочили, че нямат необходимост от интернет връзка в дома си, са 20.8% от домакинствата. </w:t>
      </w:r>
    </w:p>
    <w:p w14:paraId="2AD50F22" w14:textId="77777777" w:rsidR="00032AF9" w:rsidRDefault="00032AF9" w:rsidP="00EB789F">
      <w:pPr>
        <w:autoSpaceDE w:val="0"/>
        <w:autoSpaceDN w:val="0"/>
        <w:spacing w:after="0" w:line="240" w:lineRule="auto"/>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Климатици притежават 67.9% от домакинствата, а 9.3% не могат да си закупят такава техника поради липса на финансови средства. 22.8% от домакинствата в страната са заявили, че нямат необходимост от климатик.</w:t>
      </w:r>
    </w:p>
    <w:p w14:paraId="4AB264F7"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38D83AD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5A56EFAC"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54358CF3"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256D1C99"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65EED6A6"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6AD7992"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81D92A9"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1900ED9"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E96702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7C5A43E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2DEC527B"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5E2516DE"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FEB28D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B8B03BF"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6F1B73F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B3D2380"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387ABB5"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6D32029"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2C85A3D5"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DEADB2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55E71B0C"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E058310"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5481BF46"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093BEB1"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F07531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270C259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80B42E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312C6CE"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2617E5E"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71399219"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48A6B187"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3DF56255"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9CA2C00"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2C06BCAA"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1980963C"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7510326B"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96B1CAC"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6D37B83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0DA4007D" w14:textId="77777777" w:rsidR="00EB789F"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67B3667E" w14:textId="77777777" w:rsidR="00EB789F" w:rsidRPr="00AA5833" w:rsidRDefault="00EB789F" w:rsidP="00EB789F">
      <w:pPr>
        <w:autoSpaceDE w:val="0"/>
        <w:autoSpaceDN w:val="0"/>
        <w:spacing w:after="0" w:line="240" w:lineRule="auto"/>
        <w:ind w:firstLine="709"/>
        <w:jc w:val="both"/>
        <w:rPr>
          <w:rFonts w:ascii="Times New Roman" w:eastAsia="Times New Roman" w:hAnsi="Times New Roman" w:cs="Times New Roman"/>
          <w:sz w:val="24"/>
          <w:szCs w:val="24"/>
        </w:rPr>
      </w:pPr>
    </w:p>
    <w:p w14:paraId="686FDA9E" w14:textId="77777777" w:rsidR="006856A7" w:rsidRPr="00AA5833" w:rsidRDefault="00764299" w:rsidP="00EB789F">
      <w:pPr>
        <w:spacing w:after="0" w:line="240" w:lineRule="auto"/>
        <w:ind w:firstLine="709"/>
        <w:jc w:val="both"/>
        <w:rPr>
          <w:rFonts w:cs="Times New Roman"/>
          <w:sz w:val="24"/>
          <w:szCs w:val="24"/>
        </w:rPr>
      </w:pPr>
      <w:r w:rsidRPr="00AA5833">
        <w:rPr>
          <w:rFonts w:eastAsia="Times New Roman" w:cs="Times New Roman"/>
          <w:b/>
          <w:caps/>
          <w:color w:val="000000"/>
          <w:sz w:val="24"/>
          <w:szCs w:val="24"/>
          <w:lang w:eastAsia="bg-BG"/>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B105B3" w:rsidRPr="00AA5833" w14:paraId="2305A753" w14:textId="77777777" w:rsidTr="00EB789F">
        <w:trPr>
          <w:trHeight w:val="877"/>
        </w:trPr>
        <w:tc>
          <w:tcPr>
            <w:tcW w:w="0" w:type="auto"/>
            <w:tcBorders>
              <w:top w:val="single" w:sz="4" w:space="0" w:color="auto"/>
              <w:left w:val="single" w:sz="4" w:space="0" w:color="auto"/>
              <w:bottom w:val="single" w:sz="4" w:space="0" w:color="auto"/>
              <w:right w:val="single" w:sz="4" w:space="0" w:color="auto"/>
            </w:tcBorders>
            <w:shd w:val="clear" w:color="auto" w:fill="00CC99"/>
            <w:vAlign w:val="center"/>
          </w:tcPr>
          <w:p w14:paraId="2622E05A" w14:textId="77777777" w:rsidR="00B105B3" w:rsidRPr="00AA5833" w:rsidRDefault="00B105B3" w:rsidP="00B105B3">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ЧАСТ ІII. УПРАВЛЕНИЕ НА ДЕМОГРАФСКИТЕ ПРОМЕНИ. СЕКТОРНИ МЕРКИ ЗА АДАПРИРАНЕ КЪМ ДЕМОГРАФСКИТЕ ПРОМЕНИ</w:t>
            </w:r>
          </w:p>
        </w:tc>
      </w:tr>
    </w:tbl>
    <w:p w14:paraId="2AF0F1B2" w14:textId="77777777" w:rsidR="00B105B3" w:rsidRPr="00AA5833" w:rsidRDefault="00B105B3" w:rsidP="006856A7">
      <w:pPr>
        <w:spacing w:after="0" w:line="240" w:lineRule="auto"/>
        <w:jc w:val="both"/>
        <w:rPr>
          <w:rFonts w:ascii="Times New Roman" w:eastAsia="Times New Roman" w:hAnsi="Times New Roman" w:cs="Times New Roman"/>
          <w:b/>
          <w:color w:val="000000"/>
          <w:sz w:val="24"/>
          <w:szCs w:val="24"/>
          <w:lang w:eastAsia="bg-BG"/>
        </w:rPr>
      </w:pPr>
    </w:p>
    <w:p w14:paraId="78750BA2" w14:textId="77777777" w:rsidR="00B105B3" w:rsidRPr="00AA5833" w:rsidRDefault="00B105B3" w:rsidP="006856A7">
      <w:pPr>
        <w:spacing w:after="0" w:line="240" w:lineRule="auto"/>
        <w:jc w:val="both"/>
        <w:rPr>
          <w:rFonts w:ascii="Times New Roman" w:eastAsia="Times New Roman" w:hAnsi="Times New Roman" w:cs="Times New Roman"/>
          <w:b/>
          <w:color w:val="000000"/>
          <w:sz w:val="24"/>
          <w:szCs w:val="24"/>
          <w:lang w:eastAsia="bg-BG"/>
        </w:rPr>
      </w:pPr>
    </w:p>
    <w:p w14:paraId="3D4C3B1D" w14:textId="77777777" w:rsidR="006856A7" w:rsidRPr="00AA5833"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3.1. УСЪВЪРШЕНСТВАНЕ НА </w:t>
      </w:r>
      <w:r w:rsidR="00B105B3" w:rsidRPr="00AA5833">
        <w:rPr>
          <w:rFonts w:ascii="Times New Roman" w:eastAsia="Times New Roman" w:hAnsi="Times New Roman" w:cs="Times New Roman"/>
          <w:b/>
          <w:color w:val="000000"/>
          <w:sz w:val="24"/>
          <w:szCs w:val="24"/>
          <w:lang w:eastAsia="bg-BG"/>
        </w:rPr>
        <w:t>ДЕМОГРАФСКАТА ПОЛИТИКА</w:t>
      </w:r>
    </w:p>
    <w:p w14:paraId="3084ABB7" w14:textId="77777777" w:rsidR="006856A7" w:rsidRPr="00AA5833" w:rsidRDefault="006856A7" w:rsidP="006856A7">
      <w:pPr>
        <w:spacing w:after="0" w:line="240" w:lineRule="auto"/>
        <w:jc w:val="both"/>
        <w:rPr>
          <w:rFonts w:ascii="Times New Roman" w:eastAsia="Times New Roman" w:hAnsi="Times New Roman" w:cs="Times New Roman"/>
          <w:color w:val="000000"/>
          <w:sz w:val="28"/>
          <w:szCs w:val="28"/>
          <w:lang w:eastAsia="bg-BG"/>
        </w:rPr>
      </w:pPr>
    </w:p>
    <w:p w14:paraId="6CBC5FB3" w14:textId="77777777" w:rsidR="005B3B5A" w:rsidRPr="00AA5833" w:rsidRDefault="005B3B5A" w:rsidP="005B3B5A">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Демографските дисбаланси се превръщат в проблем на макро-фискалната стабилност и устойчивостта на всички социални системи.  Изключително важно е да се отчитат реалистичните възможности за ограничаване на демографския натиск върху социалните системи и публичните финанси. Решаването на демографските проблеми в дългосрочен план изисква устойчиво мобилизиране на целия наличен ресурс и използване на всички налични инструменти на държавата.</w:t>
      </w:r>
    </w:p>
    <w:p w14:paraId="11B0362A" w14:textId="77777777" w:rsidR="005B3B5A" w:rsidRPr="00AA5833" w:rsidRDefault="005B3B5A" w:rsidP="005B3B5A">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Основната цел на политиката за демографско развитие е заложена в Актуализираната Национална стратегия за демографско развитие на населението в Република България (2012-2030 г.) и е насочена към забавяне темповете на намаляване на броя на населението, с тенденция за стабилизирането му в дългосрочен план и осигуряване на високо качество на човешкия капитал, включващ хората с тяхното здравословно състояние, образованост, квалификация, способности и умения. Специален акцент върху посрещането на демографските предизвикателства, свързани със застаряване на населението</w:t>
      </w:r>
      <w:r w:rsidR="007C4191">
        <w:rPr>
          <w:rFonts w:ascii="Times New Roman" w:eastAsia="Times New Roman" w:hAnsi="Times New Roman" w:cs="Times New Roman"/>
          <w:color w:val="000000"/>
          <w:sz w:val="24"/>
          <w:szCs w:val="24"/>
          <w:lang w:eastAsia="bg-BG"/>
        </w:rPr>
        <w:t>,</w:t>
      </w:r>
      <w:r w:rsidRPr="00AA5833">
        <w:rPr>
          <w:rFonts w:ascii="Times New Roman" w:eastAsia="Times New Roman" w:hAnsi="Times New Roman" w:cs="Times New Roman"/>
          <w:color w:val="000000"/>
          <w:sz w:val="24"/>
          <w:szCs w:val="24"/>
          <w:lang w:eastAsia="bg-BG"/>
        </w:rPr>
        <w:t xml:space="preserve"> е поставен и чрез приетата от Министерския съвет с РМС №142 на 15 март 2019 г. Национална стратегия за активен живот на възрастните хора в България (2019 – 2030 г.).</w:t>
      </w:r>
    </w:p>
    <w:p w14:paraId="301A9E88" w14:textId="77777777" w:rsidR="005B3B5A" w:rsidRPr="00AA5833" w:rsidRDefault="005B3B5A" w:rsidP="005B3B5A">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w:t>
      </w:r>
      <w:r w:rsidR="00B105B3" w:rsidRPr="00AA5833">
        <w:rPr>
          <w:rFonts w:ascii="Times New Roman" w:eastAsia="Times New Roman" w:hAnsi="Times New Roman" w:cs="Times New Roman"/>
          <w:color w:val="000000"/>
          <w:sz w:val="24"/>
          <w:szCs w:val="24"/>
          <w:lang w:eastAsia="bg-BG"/>
        </w:rPr>
        <w:t>то</w:t>
      </w:r>
      <w:r w:rsidRPr="00AA5833">
        <w:rPr>
          <w:rFonts w:ascii="Times New Roman" w:eastAsia="Times New Roman" w:hAnsi="Times New Roman" w:cs="Times New Roman"/>
          <w:color w:val="000000"/>
          <w:sz w:val="24"/>
          <w:szCs w:val="24"/>
          <w:lang w:eastAsia="bg-BG"/>
        </w:rPr>
        <w:t xml:space="preserve"> профила на населението и на работната сила </w:t>
      </w:r>
      <w:r w:rsidR="00B105B3" w:rsidRPr="00AA5833">
        <w:rPr>
          <w:rFonts w:ascii="Times New Roman" w:eastAsia="Times New Roman" w:hAnsi="Times New Roman" w:cs="Times New Roman"/>
          <w:color w:val="000000"/>
          <w:sz w:val="24"/>
          <w:szCs w:val="24"/>
          <w:lang w:eastAsia="bg-BG"/>
        </w:rPr>
        <w:t>е възможно</w:t>
      </w:r>
      <w:r w:rsidRPr="00AA5833">
        <w:rPr>
          <w:rFonts w:ascii="Times New Roman" w:eastAsia="Times New Roman" w:hAnsi="Times New Roman" w:cs="Times New Roman"/>
          <w:color w:val="000000"/>
          <w:sz w:val="24"/>
          <w:szCs w:val="24"/>
          <w:lang w:eastAsia="bg-BG"/>
        </w:rPr>
        <w:t xml:space="preserve"> чрез: повишаване на общото образователно равнище и пригодност за заетост; обвързване на образованието с реалните нужди на бизнеса и икономиката на страната; намаляване броя на отпадащите деца от всички степени на образователната система; повишаване на заетостта на младите; подобряване на здравния статус и насочване на усилията към превенция на социално-значими заболявания; подпомагане на съвместяването на семеен с професионален живот чрез предоставяне на широк спектър от услуги за зависими членове в семейството, вкл. деца, хора с увреждания, възрастни хора; създаване на условия за по-бързото кариерно развитие на младите; развитие на дългосрочните грижи за възрастните и на солидарност между поколенията; предприемане на мерки за финансово стабилизиране на социалните системи; регионализиране на демографската политика, поради различните форми и профили на демографски дисбаланси в отделните региони на страната; изграждане и укрепване на национален административен механизъм за посрещане на демографските предизвикателства в следващите десетилетия и други.</w:t>
      </w:r>
    </w:p>
    <w:p w14:paraId="0840A6DE"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Изпълнението на демографската стратегия следва прилагането на интегриран подход чрез залагане, изпълнение и мониторинг на мерки в условията на междусекторна координация. Демографската политика е съставна политика и включва мерки за подкрепа на семействата и децата, възрастните хора, хората в неравностойно положение и др. в сектори като заетост, социално подпомагане, социално включване, равни възможности, образование, здравеопазване и регионално развитие. В тази връзка в  Министерството на труда и социалната политика е изграден национален механизъм за координация и мониторинг на изпълнението на държавната демографска политика. Функционира Междуведомствена работна група по демографските въпроси към министъра на труда и социалната политика, в която участват представители от ключови държавни ведомства, НСИ, НОИ, БЧК, НСОРБ, БАН, социалните партньори и други </w:t>
      </w:r>
      <w:r w:rsidRPr="00AA5833">
        <w:rPr>
          <w:rFonts w:ascii="Times New Roman" w:eastAsia="Times New Roman" w:hAnsi="Times New Roman" w:cs="Times New Roman"/>
          <w:color w:val="000000"/>
          <w:sz w:val="24"/>
          <w:szCs w:val="24"/>
          <w:lang w:eastAsia="bg-BG"/>
        </w:rPr>
        <w:lastRenderedPageBreak/>
        <w:t xml:space="preserve">организации. В работната група са въвлечени представители на 42 институции. Всяка година се осъществява актуализиране на състава на групата с цел осигуряване на непрекъснат процес на мониторинг по изпълнение на демографската стратегия. В рамките на междуведомствената работна група се изготвят ежегодни планове и национални мониторингови доклади, в които се интегрира информация от националната статистика, административна информация и данни от социологически проучвания. </w:t>
      </w:r>
      <w:r w:rsidR="00464E2D" w:rsidRPr="00AA5833">
        <w:rPr>
          <w:rFonts w:ascii="Times New Roman" w:eastAsia="Times New Roman" w:hAnsi="Times New Roman" w:cs="Times New Roman"/>
          <w:color w:val="000000"/>
          <w:sz w:val="24"/>
          <w:szCs w:val="24"/>
          <w:lang w:eastAsia="bg-BG"/>
        </w:rPr>
        <w:t>През 2014 г. с ПМС №138 е създадена административна организация за функциониране на Национален съвет по демографска политика като консултативен орган към Министерския съвет, чиято дейност се администрира в МТСП.</w:t>
      </w:r>
    </w:p>
    <w:p w14:paraId="334E55DC" w14:textId="77777777" w:rsidR="006167FE" w:rsidRPr="00AA5833" w:rsidRDefault="006167FE" w:rsidP="006167FE">
      <w:pPr>
        <w:pStyle w:val="ListParagraph"/>
        <w:numPr>
          <w:ilvl w:val="0"/>
          <w:numId w:val="107"/>
        </w:numPr>
        <w:jc w:val="both"/>
      </w:pPr>
      <w:r w:rsidRPr="00AA5833">
        <w:t>Проектна дейност по Инструмента за техническа подкрепа на Европейската комисия на тема „Идентифициране на иновативни подходи за адресиране на негативните демографски тенденции в България“</w:t>
      </w:r>
    </w:p>
    <w:p w14:paraId="5F40B023" w14:textId="77777777" w:rsidR="006167FE" w:rsidRPr="00AA5833" w:rsidRDefault="006167FE" w:rsidP="006167FE">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За подобряване на стратегическата рамка за посрещане на демографските предизвикателства Министерството на труда и социалната политика (МТСП) координира проектна дейност по Инструмента за техническа подкрепа на Европейската комисия на тема „Идентифициране на иновативни подходи за адресиране на негативните демографски тенденции в България“. Предложението на МТСП по инструмента за техническа подкрепа на ЕК е развито в контекста на потребността от осъществяване на дейност за междинна оценка на действащата демографска стратегия в България и за започване на подготвителни действия за нейното актуализиране. Предприемането на действия в отговор на демографската трансформация е от изключително важно значение за страната ни, тъй като настоящите демографските процеси показват трайна тенденция за влошаване на структурата и състава на населението и ще имат все по-значимо въздействие в социалното и икономическо развитие на страната ни. Дейностите по предложението на МТСП са насочени към преглед на действащата демографска стратегия с цел прецизиране на мерките и адаптиране към съвременните предизвикателства. Междинната оценка на действащата демографска стратегия ще съдържа изводи и препоръки за осъвременяване и модернизиране на мерките с чист демографски ефект. По този начин ще се постави основа за последващи действия за актуализиране на демографската политика в България. Изводите и препоръките от междинната оценка на прилагането на действащата демографска стратегия ще бъдат валидирани с максимално участие на всички институции и организации с отношение към темата. Финалният доклад по техническата помощ от Европейската комисия с междинната оценка на изпълнението на демографската стратегия и препоръките ще бъде изготвен през 2026 г. </w:t>
      </w:r>
    </w:p>
    <w:p w14:paraId="4FB2190A" w14:textId="77777777" w:rsidR="006167FE" w:rsidRPr="00AA5833" w:rsidRDefault="006167FE" w:rsidP="006167FE">
      <w:pPr>
        <w:pStyle w:val="ListParagraph"/>
        <w:numPr>
          <w:ilvl w:val="0"/>
          <w:numId w:val="107"/>
        </w:numPr>
        <w:jc w:val="both"/>
      </w:pPr>
      <w:r w:rsidRPr="00AA5833">
        <w:t>Дейност по процедура по програма „Развитие на човешките ресурси“ за усъвършенстване на демографската политика</w:t>
      </w:r>
    </w:p>
    <w:p w14:paraId="7E7764CD" w14:textId="77777777" w:rsidR="00AD283D" w:rsidRPr="00AA5833" w:rsidRDefault="00AD283D" w:rsidP="00AD283D">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Министерството на труда и социалната политика </w:t>
      </w:r>
      <w:r w:rsidR="003D0E60">
        <w:rPr>
          <w:rFonts w:ascii="Times New Roman" w:eastAsia="Times New Roman" w:hAnsi="Times New Roman" w:cs="Times New Roman"/>
          <w:color w:val="000000"/>
          <w:sz w:val="24"/>
          <w:szCs w:val="24"/>
          <w:lang w:eastAsia="bg-BG"/>
        </w:rPr>
        <w:t>изпълнява</w:t>
      </w:r>
      <w:r w:rsidRPr="00AA5833">
        <w:rPr>
          <w:rFonts w:ascii="Times New Roman" w:eastAsia="Times New Roman" w:hAnsi="Times New Roman" w:cs="Times New Roman"/>
          <w:color w:val="000000"/>
          <w:sz w:val="24"/>
          <w:szCs w:val="24"/>
          <w:lang w:eastAsia="bg-BG"/>
        </w:rPr>
        <w:t xml:space="preserve"> проект по Програма „Развитие на човешките ресурси“ на тема "Усъвършенстване на политиката в отговор на демографските промени". Той стартира през месец юни 2025 г. в партньорство с Българската академия на науките. </w:t>
      </w:r>
    </w:p>
    <w:p w14:paraId="45631A50" w14:textId="77777777" w:rsidR="00AD283D" w:rsidRPr="00AA5833" w:rsidRDefault="00AD283D" w:rsidP="00AD283D">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Основната цел на дейността е повишаването на административния капацитет на  представители на местните администрации за развитие и изпълнение на политики за адресиране на демографските предизвикателства. Проектът включва дейности за картографиране на регионалните демографски предизвикателства в отделните региони в България и оформяне на регионални визии за подобряване на демографско развитие. Следва изработване на анализ на потребностите от мерки в регионите за посрещане на демографските предизвикателства с формулирани препоръки за подобряване и адаптиране на секторните политики на регионално ниво към демографските промени. В допълнение ще се изработят модели за многосекторно изпълнение на програми по </w:t>
      </w:r>
      <w:r w:rsidRPr="00AA5833">
        <w:rPr>
          <w:rFonts w:ascii="Times New Roman" w:eastAsia="Times New Roman" w:hAnsi="Times New Roman" w:cs="Times New Roman"/>
          <w:color w:val="000000"/>
          <w:sz w:val="24"/>
          <w:szCs w:val="24"/>
          <w:lang w:eastAsia="bg-BG"/>
        </w:rPr>
        <w:lastRenderedPageBreak/>
        <w:t xml:space="preserve">региони, съобразени с възможностите на националното и европейско финансиране. Предвиждат се обучения на областната администрация и запознаване с продуктите на проекта и на членовете на Междуведомствената работна група по демографските въпроси. </w:t>
      </w:r>
    </w:p>
    <w:p w14:paraId="05F54310" w14:textId="77777777" w:rsidR="00AD283D" w:rsidRPr="00AA5833" w:rsidRDefault="00AD283D" w:rsidP="00AD283D">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Проектът е разработен с разбирането, че демографската политика трябва да изгражда среда, която да улеснява хората да осъществяват своя житейски избор. Неговата задача е да картографира потребностите за подкрепа на благосъстоянието на четири категории население - родители, млади хора, възрастни и мигранти.  </w:t>
      </w:r>
    </w:p>
    <w:p w14:paraId="2D1A61AE" w14:textId="77777777" w:rsidR="00AD283D" w:rsidRPr="00AA5833" w:rsidRDefault="00AD283D" w:rsidP="00AD283D">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Целевата група на родителите се въвежда с цел идентифициране на необходимостта от адаптиране на политиките за по-доброто съвместяване на семейните планове и платения труд чрез осигуряване на достъп до качествени грижи за децата и осигуряване на равновесие между професионалния и личния живот. Това се отнася и до засилване на цялостната подкрепа за родителите за създаване на по-благоприятна за семейството среда, която трябва да адресира социално-икономическите въздействия на застаряването и намаляващата раждаемост. Избран е подход, основан на потребностите, което означава изследване на различните лични и професионални нужди на работещите родители, насърчаване на равното споделяне на отговорностите за полагане на грижи между жените и мъжете и др. Категорията на младежите ще се изследва за идентифициране на необходимата подкрепа за предоставяне на възможности на по-младите поколения да живеят качествено, да развиват уменията си, да имат по-лесен достъп до пазара на труда и до жилища. Категорията на възрастните е обект на изследване с цел идентифициране на социални и икономически възможности пред по-възрастните поколения и поддържането на тяхното благосъстояние чрез подходящи политики на пазара на труда и работното място, както и чрез осигуряване на качествен и активен живот в добро здраве. Категорията на мигрантите е обект на изследване в контекста на идентифициране на факторите и преодоляване на обезлюдяването и регионалните диспропорции в развитието на баланса и структурата на населението.</w:t>
      </w:r>
    </w:p>
    <w:p w14:paraId="682211C5" w14:textId="77777777" w:rsidR="00AD283D" w:rsidRPr="00AA5833" w:rsidRDefault="00AD283D" w:rsidP="00AD283D">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Проектът ще осигури представителна информация за отразяване на регионалните специфики в демографската сфера като намерението е тя да бъде приложима и към областното ниво. По този начин проектът ще приложи новаторски подход за идентифициране на потребностите на населението чрез максимално директен и достоверен подход. </w:t>
      </w:r>
    </w:p>
    <w:p w14:paraId="7E10B04B" w14:textId="77777777" w:rsidR="006167FE" w:rsidRPr="00AA5833" w:rsidRDefault="006167FE" w:rsidP="006167FE">
      <w:pPr>
        <w:spacing w:after="0" w:line="240" w:lineRule="auto"/>
        <w:ind w:left="1069"/>
        <w:contextualSpacing/>
        <w:jc w:val="both"/>
        <w:rPr>
          <w:rFonts w:ascii="Times New Roman" w:eastAsia="Times New Roman" w:hAnsi="Times New Roman" w:cs="Times New Roman"/>
          <w:color w:val="000000"/>
          <w:sz w:val="24"/>
          <w:szCs w:val="24"/>
          <w:lang w:eastAsia="bg-BG"/>
        </w:rPr>
      </w:pPr>
    </w:p>
    <w:p w14:paraId="61482581" w14:textId="77777777" w:rsidR="006856A7" w:rsidRPr="007D0A2B" w:rsidRDefault="006856A7" w:rsidP="006856A7">
      <w:pPr>
        <w:spacing w:after="0" w:line="240" w:lineRule="auto"/>
        <w:jc w:val="both"/>
        <w:rPr>
          <w:rFonts w:ascii="Times New Roman" w:eastAsia="Times New Roman" w:hAnsi="Times New Roman" w:cs="Times New Roman"/>
          <w:b/>
          <w:color w:val="000000"/>
          <w:sz w:val="24"/>
          <w:szCs w:val="24"/>
          <w:lang w:eastAsia="bg-BG"/>
        </w:rPr>
      </w:pPr>
      <w:r w:rsidRPr="007D0A2B">
        <w:rPr>
          <w:rFonts w:ascii="Times New Roman" w:eastAsia="Times New Roman" w:hAnsi="Times New Roman" w:cs="Times New Roman"/>
          <w:b/>
          <w:color w:val="000000"/>
          <w:sz w:val="24"/>
          <w:szCs w:val="24"/>
          <w:lang w:eastAsia="bg-BG"/>
        </w:rPr>
        <w:t xml:space="preserve">3.2. </w:t>
      </w:r>
      <w:r w:rsidR="00A41B0B" w:rsidRPr="007D0A2B">
        <w:rPr>
          <w:rFonts w:ascii="Times New Roman" w:eastAsia="Times New Roman" w:hAnsi="Times New Roman" w:cs="Times New Roman"/>
          <w:b/>
          <w:color w:val="000000"/>
          <w:sz w:val="24"/>
          <w:szCs w:val="24"/>
          <w:lang w:eastAsia="bg-BG"/>
        </w:rPr>
        <w:t xml:space="preserve">ПРЕПОРЪЧИТЕЛНИ </w:t>
      </w:r>
      <w:r w:rsidRPr="007D0A2B">
        <w:rPr>
          <w:rFonts w:ascii="Times New Roman" w:eastAsia="Times New Roman" w:hAnsi="Times New Roman" w:cs="Times New Roman"/>
          <w:b/>
          <w:color w:val="000000"/>
          <w:sz w:val="24"/>
          <w:szCs w:val="24"/>
          <w:lang w:eastAsia="bg-BG"/>
        </w:rPr>
        <w:t>МЕРКИ ЗА КОМПЕНСИРАНЕ НА ДЕМОГРАФСКИТЕ ДИСБАЛАНСИ</w:t>
      </w:r>
    </w:p>
    <w:p w14:paraId="27D3B43C" w14:textId="77777777" w:rsidR="006856A7" w:rsidRPr="007D0A2B" w:rsidRDefault="006856A7" w:rsidP="006856A7">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bg-BG"/>
        </w:rPr>
      </w:pPr>
      <w:r w:rsidRPr="007D0A2B">
        <w:rPr>
          <w:rFonts w:ascii="Times New Roman" w:eastAsia="Times New Roman" w:hAnsi="Times New Roman" w:cs="Times New Roman"/>
          <w:b/>
          <w:color w:val="000000"/>
          <w:sz w:val="24"/>
          <w:szCs w:val="24"/>
          <w:lang w:eastAsia="bg-BG"/>
        </w:rPr>
        <w:tab/>
      </w:r>
    </w:p>
    <w:p w14:paraId="7FB62AA0"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7D0A2B">
        <w:rPr>
          <w:rFonts w:ascii="Times New Roman" w:eastAsia="Times New Roman" w:hAnsi="Times New Roman" w:cs="Times New Roman"/>
          <w:b/>
          <w:caps/>
          <w:color w:val="000000"/>
          <w:sz w:val="24"/>
          <w:szCs w:val="24"/>
          <w:lang w:eastAsia="bg-BG"/>
        </w:rPr>
        <w:t>3.2.1. Мерки с компенсиращ характер по отношение на Раждаемостта</w:t>
      </w:r>
    </w:p>
    <w:p w14:paraId="0A8E2B3F" w14:textId="77777777" w:rsidR="006856A7" w:rsidRPr="00AA5833" w:rsidRDefault="006856A7" w:rsidP="006856A7">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B1DD1C1"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Очакванията за раждаемостта в следващите десетилетия са тя да продължава да намалява, предимно поради констатираното от последното преброяване значително намаляване на родилните контингенти.</w:t>
      </w:r>
    </w:p>
    <w:p w14:paraId="12047FA1"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Факторите, които оказват въздействие върху взимането на решение за раждане и отглеждане на дете са комплексни и се отнасят до </w:t>
      </w:r>
      <w:r w:rsidRPr="00AA5833">
        <w:rPr>
          <w:rFonts w:ascii="Times New Roman" w:eastAsia="Times New Roman" w:hAnsi="Times New Roman" w:cs="Times New Roman"/>
          <w:b/>
          <w:color w:val="000000"/>
          <w:sz w:val="24"/>
          <w:szCs w:val="24"/>
          <w:lang w:eastAsia="bg-BG"/>
        </w:rPr>
        <w:t>създаване на по-спокойна, предвидима и сигурна</w:t>
      </w:r>
      <w:r w:rsidRPr="00AA5833">
        <w:rPr>
          <w:rFonts w:ascii="Times New Roman" w:eastAsia="Times New Roman" w:hAnsi="Times New Roman" w:cs="Times New Roman"/>
          <w:color w:val="000000"/>
          <w:sz w:val="24"/>
          <w:szCs w:val="24"/>
          <w:lang w:eastAsia="bg-BG"/>
        </w:rPr>
        <w:t xml:space="preserve"> </w:t>
      </w:r>
      <w:r w:rsidRPr="00AA5833">
        <w:rPr>
          <w:rFonts w:ascii="Times New Roman" w:eastAsia="Times New Roman" w:hAnsi="Times New Roman" w:cs="Times New Roman"/>
          <w:b/>
          <w:color w:val="000000"/>
          <w:sz w:val="24"/>
          <w:szCs w:val="24"/>
          <w:lang w:eastAsia="bg-BG"/>
        </w:rPr>
        <w:t>семейна и обществена среда.</w:t>
      </w:r>
      <w:r w:rsidRPr="00AA5833">
        <w:rPr>
          <w:rFonts w:ascii="Times New Roman" w:eastAsia="Times New Roman" w:hAnsi="Times New Roman" w:cs="Times New Roman"/>
          <w:color w:val="000000"/>
          <w:sz w:val="24"/>
          <w:szCs w:val="24"/>
          <w:lang w:eastAsia="bg-BG"/>
        </w:rPr>
        <w:t xml:space="preserve"> Ето защо усилията на държавата следва да бъдат насочени към създаване на подходящи условия за раждане, отглеждане, възпитание, материална обезпеченост и социална реализация на толкова деца, колкото родителската двойка би искала да има.</w:t>
      </w:r>
    </w:p>
    <w:p w14:paraId="51A104E6"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Освен максимално обхватните и дългосрочни мерки в подкрепа на раждаемостта, семействата и децата, заложени в Актуализираната Национална стратегия за </w:t>
      </w:r>
      <w:r w:rsidRPr="00AA5833">
        <w:rPr>
          <w:rFonts w:ascii="Times New Roman" w:eastAsia="Times New Roman" w:hAnsi="Times New Roman" w:cs="Times New Roman"/>
          <w:color w:val="000000"/>
          <w:sz w:val="24"/>
          <w:szCs w:val="24"/>
          <w:lang w:eastAsia="bg-BG"/>
        </w:rPr>
        <w:lastRenderedPageBreak/>
        <w:t>демографско развитие на населението в Република България (2012-2030 г.), следва да се предприемат или да се поддържат вече предприети краткосрочни мерки, както за създаване на условия за раждането на второто дете в семейството, така и за реализиране на желания от младите хора двудетен семеен модел посредством:</w:t>
      </w:r>
    </w:p>
    <w:p w14:paraId="2945DB59" w14:textId="77777777" w:rsidR="006856A7" w:rsidRPr="00AA5833" w:rsidRDefault="006856A7" w:rsidP="006856A7">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Поддържане и разширяване на обхвата на мерките, свързани с гъвкаво съчетаване на семеен с професионален живот чрез гарантиране на по-добър достъп на децата до детски ясли, детски градини и предучилищни форми на обучение; подобряване на възможностите за трудова реализация на родителите с деца, осигуряване на възможност за работа при гъвкаво работно време и работа от вкъщи на родителите; развиване на подходяща инфраструктура и подобряване на качеството, и разнообразяване на услугите за отглеждане на децата. </w:t>
      </w:r>
    </w:p>
    <w:p w14:paraId="77FCBF78" w14:textId="77777777" w:rsidR="006856A7" w:rsidRPr="00AA5833" w:rsidRDefault="006856A7" w:rsidP="006856A7">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Въвеждане в средния курс на образователната система на обучения за повишаване на информираността на младите хора, консултиране по сексуално-репродуктивно здраве и отговорно родителство и използване на резервите за намаляване на абортите по желание, а с това и ограничаване, и намаляване на рисковете за репродуктивното здраве на девойките и жените. </w:t>
      </w:r>
    </w:p>
    <w:p w14:paraId="364A4C24" w14:textId="77777777" w:rsidR="006856A7" w:rsidRPr="00AA5833" w:rsidRDefault="006856A7" w:rsidP="006856A7">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 на качеството на здравните услуги и на достъпа до тях за децата и техните родители.</w:t>
      </w:r>
    </w:p>
    <w:p w14:paraId="5B57CA22" w14:textId="77777777" w:rsidR="006856A7" w:rsidRPr="00AA5833" w:rsidRDefault="006856A7" w:rsidP="006856A7">
      <w:pPr>
        <w:spacing w:after="0" w:line="240" w:lineRule="auto"/>
        <w:jc w:val="both"/>
        <w:rPr>
          <w:rFonts w:eastAsia="Times New Roman" w:cs="Times New Roman"/>
          <w:b/>
          <w:caps/>
          <w:color w:val="000000"/>
          <w:sz w:val="24"/>
          <w:szCs w:val="24"/>
          <w:lang w:eastAsia="bg-BG"/>
        </w:rPr>
      </w:pPr>
    </w:p>
    <w:p w14:paraId="51F25803" w14:textId="77777777" w:rsidR="006856A7" w:rsidRPr="00AA5833" w:rsidRDefault="006856A7" w:rsidP="006856A7">
      <w:pPr>
        <w:spacing w:after="0" w:line="240" w:lineRule="auto"/>
        <w:jc w:val="both"/>
        <w:rPr>
          <w:rFonts w:ascii="Times New Roman Bold" w:eastAsia="Times New Roman" w:hAnsi="Times New Roman Bold" w:cs="Times New Roman"/>
          <w:b/>
          <w:caps/>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3.2.2. Мерки с компенсиращ характер на Пазара на труда</w:t>
      </w:r>
    </w:p>
    <w:p w14:paraId="592746E0" w14:textId="77777777" w:rsidR="006856A7" w:rsidRPr="00AA5833" w:rsidRDefault="006856A7" w:rsidP="006856A7">
      <w:pPr>
        <w:spacing w:after="0" w:line="240" w:lineRule="auto"/>
        <w:jc w:val="both"/>
        <w:rPr>
          <w:rFonts w:ascii="Times New Roman" w:eastAsia="Times New Roman" w:hAnsi="Times New Roman" w:cs="Times New Roman"/>
          <w:color w:val="000000"/>
          <w:sz w:val="24"/>
          <w:szCs w:val="24"/>
          <w:lang w:eastAsia="bg-BG"/>
        </w:rPr>
      </w:pPr>
    </w:p>
    <w:p w14:paraId="52D6ECC5" w14:textId="77777777" w:rsidR="006856A7" w:rsidRPr="00AA5833" w:rsidRDefault="006856A7" w:rsidP="006856A7">
      <w:pPr>
        <w:adjustRightInd w:val="0"/>
        <w:spacing w:after="0" w:line="240" w:lineRule="auto"/>
        <w:contextualSpacing/>
        <w:jc w:val="center"/>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Възможни подходи и мерки за посрещане на демографските предизвикателства, свързани със застаряване и намаляване на работната сила</w:t>
      </w:r>
    </w:p>
    <w:p w14:paraId="1A4622E7" w14:textId="77777777" w:rsidR="006856A7" w:rsidRPr="00AA5833" w:rsidRDefault="006856A7" w:rsidP="006856A7">
      <w:pPr>
        <w:adjustRightInd w:val="0"/>
        <w:spacing w:after="0" w:line="240" w:lineRule="auto"/>
        <w:contextualSpacing/>
        <w:jc w:val="center"/>
        <w:rPr>
          <w:rFonts w:ascii="Times New Roman" w:eastAsia="Times New Roman" w:hAnsi="Times New Roman" w:cs="Times New Roman"/>
          <w:b/>
          <w:color w:val="000000"/>
          <w:sz w:val="20"/>
          <w:szCs w:val="20"/>
          <w:lang w:eastAsia="bg-BG"/>
        </w:rPr>
      </w:pPr>
    </w:p>
    <w:p w14:paraId="0FB5A986" w14:textId="77777777" w:rsidR="006856A7" w:rsidRPr="00AA5833" w:rsidRDefault="006856A7" w:rsidP="006856A7">
      <w:pPr>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Икономическите последици от застаряването на населението върху пазара на труда и неговото функциониране са многопосочни - очаква се да намалява количеството и качеството на труда, което води до влошаване на конкурентоспособността на икономиката в дългосрочен план, очакват се и неблагоприятни промени в образователното равнище на работната сила, професионалните компетенции и способността за адаптивност към промените. </w:t>
      </w:r>
    </w:p>
    <w:p w14:paraId="47353699" w14:textId="77777777" w:rsidR="006856A7" w:rsidRPr="00AA5833" w:rsidRDefault="006856A7" w:rsidP="006856A7">
      <w:pPr>
        <w:adjustRightInd w:val="0"/>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Демографските промени, застаряването и неравномерното териториално разпределение на населението изискват преструктуриране на икономиката и промяна в политиките за заетост и управление на човешките ресурси. </w:t>
      </w:r>
    </w:p>
    <w:p w14:paraId="5F7C58E8" w14:textId="77777777" w:rsidR="006856A7" w:rsidRPr="00AA5833" w:rsidRDefault="006856A7" w:rsidP="006856A7">
      <w:pPr>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Едно от най-големите предизвикателства в следващите десетилетия ще бъде осигуряване на възможност за приемане и посрещане на последствията от застаряване на работната сила и насърчаване на заетостта на възрастните хора.</w:t>
      </w:r>
    </w:p>
    <w:p w14:paraId="406BA781" w14:textId="77777777" w:rsidR="006856A7" w:rsidRPr="00AA5833" w:rsidRDefault="006856A7" w:rsidP="006856A7">
      <w:pPr>
        <w:adjustRightInd w:val="0"/>
        <w:spacing w:after="0" w:line="240" w:lineRule="auto"/>
        <w:ind w:firstLine="709"/>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Ако относително по-многочислената работна сила на по-висока възраст би имала </w:t>
      </w:r>
      <w:r w:rsidRPr="00AA5833">
        <w:rPr>
          <w:rFonts w:ascii="Times New Roman" w:eastAsia="Times New Roman" w:hAnsi="Times New Roman" w:cs="Times New Roman"/>
          <w:b/>
          <w:color w:val="000000"/>
          <w:sz w:val="24"/>
          <w:szCs w:val="24"/>
          <w:lang w:eastAsia="bg-BG"/>
        </w:rPr>
        <w:t>продуктивни работни места</w:t>
      </w:r>
      <w:r w:rsidRPr="00AA5833">
        <w:rPr>
          <w:rFonts w:ascii="Times New Roman" w:eastAsia="Times New Roman" w:hAnsi="Times New Roman" w:cs="Times New Roman"/>
          <w:color w:val="000000"/>
          <w:sz w:val="24"/>
          <w:szCs w:val="24"/>
          <w:lang w:eastAsia="bg-BG"/>
        </w:rPr>
        <w:t xml:space="preserve">, то това ще доведе до жизнен цикъл с положително салдо (намаляване на броя на зависимите). Такава ситуация благоприятства развитието, разширяват се възможностите за съхраняване и мултиплициране на инвестициите и в същото време би могло да се осигурява намаляване на разходите за образование. Намаляването на броя на зависимите ще позволи да се намали или освободи финансов ресурс за оптимизиране както на личните, така и на  държавните инвестиции за подобряване на качеството на човешките ресурси. </w:t>
      </w:r>
    </w:p>
    <w:p w14:paraId="7D05D6ED" w14:textId="77777777" w:rsidR="006856A7" w:rsidRPr="00AA5833" w:rsidRDefault="006856A7" w:rsidP="006856A7">
      <w:pPr>
        <w:adjustRightInd w:val="0"/>
        <w:spacing w:after="0" w:line="240" w:lineRule="auto"/>
        <w:ind w:firstLine="709"/>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
          <w:color w:val="000000"/>
          <w:sz w:val="24"/>
          <w:szCs w:val="24"/>
          <w:lang w:eastAsia="bg-BG"/>
        </w:rPr>
        <w:t>Осигуряването на продуктивни работни места</w:t>
      </w:r>
      <w:r w:rsidRPr="00AA5833">
        <w:rPr>
          <w:rFonts w:ascii="Times New Roman" w:eastAsia="Times New Roman" w:hAnsi="Times New Roman" w:cs="Times New Roman"/>
          <w:color w:val="000000"/>
          <w:sz w:val="24"/>
          <w:szCs w:val="24"/>
          <w:lang w:eastAsia="bg-BG"/>
        </w:rPr>
        <w:t xml:space="preserve">, особено за работната сила в по-високите възрастови групи (която ще бъде по-многочислената в следващите десетилетия) може да се определи като демографски дивидент. Подобен демографски дивидент могат да имат мерки за активиране и включване на пазара на труда на големи социални групи, които са изпаднали в състояние на икономическа зависимост, поради </w:t>
      </w:r>
      <w:r w:rsidRPr="00AA5833">
        <w:rPr>
          <w:rFonts w:ascii="Times New Roman" w:eastAsia="Times New Roman" w:hAnsi="Times New Roman" w:cs="Times New Roman"/>
          <w:color w:val="000000"/>
          <w:sz w:val="24"/>
          <w:szCs w:val="24"/>
          <w:lang w:eastAsia="bg-BG"/>
        </w:rPr>
        <w:lastRenderedPageBreak/>
        <w:t xml:space="preserve">безработица, ниско образование и квалификация, различна степен на увреждане, полагане на труд за гледането на други зависими членове в семейството и др. </w:t>
      </w:r>
    </w:p>
    <w:p w14:paraId="641344D8"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Използването на възможностите, които този демографски дивидент предоставя за икономически растеж и финансово стабилизиране на социалните системи, са свързани с:</w:t>
      </w:r>
    </w:p>
    <w:p w14:paraId="52451152" w14:textId="77777777" w:rsidR="006856A7" w:rsidRPr="00AA5833" w:rsidRDefault="006856A7" w:rsidP="006856A7">
      <w:pPr>
        <w:numPr>
          <w:ilvl w:val="0"/>
          <w:numId w:val="9"/>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Предприемане на мерки в подкрепа на икономика, която създава производителни работни места за все по-застаряващото население в активна трудоспособна възраст;</w:t>
      </w:r>
    </w:p>
    <w:p w14:paraId="3EB6647C" w14:textId="77777777" w:rsidR="006856A7" w:rsidRPr="00AA5833" w:rsidRDefault="006856A7" w:rsidP="006856A7">
      <w:pPr>
        <w:numPr>
          <w:ilvl w:val="0"/>
          <w:numId w:val="9"/>
        </w:numPr>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Осигуряване на пълна и производителна заетост за потенциалната работна сила.</w:t>
      </w:r>
    </w:p>
    <w:p w14:paraId="7639BFE3"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Проблем за използването този демографски дивидент се състои в дефицит на възможности за продуктивна заетост, вкл.: висока безработица; ниско равнище на квалификация на работната сила; висока заетост с нископроизводителен или непроизводителен труд; висок дял на неформалната заетост; ниски работни заплати, съобразно реалните потребности за нормално възпроизводство на работната сила. </w:t>
      </w:r>
    </w:p>
    <w:p w14:paraId="20835550" w14:textId="77777777" w:rsidR="006856A7" w:rsidRPr="00AA5833" w:rsidRDefault="006856A7" w:rsidP="006856A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Промененият и променящият се профил на работната сила на пазара на труда в резултат на демографските дисбаланси и застаряването на населението изисква спешен и неотложен преглед, и когато се налага - промяна и адаптиране на всички мерки и програми към новата ситуация, вкл.:</w:t>
      </w:r>
    </w:p>
    <w:p w14:paraId="696C9CA0"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Използване на резерви за стабилизиране на пазара на труда и на работната сила чрез включване на невключени социални групи (увеличаване на количеството труд) – младежи; възрастни в добро здраве; жени в определени възрастови групи; хора с увреждания, позволяващи полагане в определена степен на определен вид труд; роми; обезкуражени и др. </w:t>
      </w:r>
    </w:p>
    <w:p w14:paraId="06C199AB"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Повишаване на производителността на труда. Такава мярка е в пряка зависимост от състоянието на икономиката и бизнеса; броя и качествата (образование, квалификация, умения, здравословно състояние и др.) на активното население в трудоспособна възраст; равномерно икономическо развитие на отделните региони на страната; наличие на психологически, икономически и финансови условия за повсеместно развитие на предприемачеството и иновациите; подобрения на производствения процес; обща икономическа и фискална стабилност и др.</w:t>
      </w:r>
    </w:p>
    <w:p w14:paraId="4C30EC0B"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Повишаване на ролята, значението и относителния дял на доходите от труд в структурата на общите доходи. </w:t>
      </w:r>
    </w:p>
    <w:p w14:paraId="0BDC414F"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Радикално ограничаване на дела на неформалната заетост за всички социални групи на пазара на труда, както и относителния дял на неформалната икономика в живота на страната.</w:t>
      </w:r>
    </w:p>
    <w:p w14:paraId="1BC228FA"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Инвестиране и привличане на чуждестранни инвестиции във високо доходни и иновативни високо технологични бизнеси и сектори на икономиката с висока възвращаемост на инвестициите. </w:t>
      </w:r>
    </w:p>
    <w:p w14:paraId="02AAB7EB"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Разширяване на дела на учещите през целия живот и превръщането на ученето през целия живот в елемент на националната народопсихология и култура.</w:t>
      </w:r>
    </w:p>
    <w:p w14:paraId="6A5E7594"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Адаптиране на учебните програми във всички степени на образователната система към изискванията на добрата бизнес-практика и постигането на конкретни практически социални, икономически и финансови ползи и резултати.</w:t>
      </w:r>
    </w:p>
    <w:p w14:paraId="44D1AC59"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Разработване на дългосрочна политика за намаляване на младежката емиграция и за разумно привличане на имигранти,</w:t>
      </w:r>
      <w:r w:rsidRPr="00AA5833">
        <w:rPr>
          <w:rFonts w:eastAsia="Calibri"/>
        </w:rPr>
        <w:t xml:space="preserve"> </w:t>
      </w:r>
      <w:r w:rsidRPr="00AA5833">
        <w:rPr>
          <w:rFonts w:ascii="Times New Roman" w:eastAsia="Calibri" w:hAnsi="Times New Roman" w:cs="Times New Roman"/>
          <w:color w:val="000000"/>
          <w:sz w:val="24"/>
          <w:szCs w:val="24"/>
          <w:lang w:eastAsia="bg-BG"/>
        </w:rPr>
        <w:t>което да отговори на възникнали дефицити в предлагането на труд от местни лица .</w:t>
      </w:r>
    </w:p>
    <w:p w14:paraId="3ACDAD4C"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lastRenderedPageBreak/>
        <w:t>Недопускане на дискриминация на работното място. По-активно въвеждане на гъвкави форми на труд, заетост и заплащане на труда за всички възрастови групи, при пълна заетост.</w:t>
      </w:r>
    </w:p>
    <w:p w14:paraId="7F7E03B6"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Предприемане на дейности за приспособяване на работната среда към потребностите на по-възрастните работници. Повишаване на нивата на заетост на възрастните работници чрез подобряване на условията на труд, приспособяване на работните места и условията на труд съобразени с възможностите и ограниченията възникнали с нарастването на възрастта на заетите, инвестиране в ученето през целия живот и премахване на дискриминация по възрастов и друг признак, въвеждане на устойчиви мерки и програми за поддържане на активен живот на възрастните хора на пазара на труда и др.</w:t>
      </w:r>
    </w:p>
    <w:p w14:paraId="20616BC8"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 xml:space="preserve">Подобряване на здравната профилактика и на достъпа до здравни услуги по месторабота и местоживеене. </w:t>
      </w:r>
    </w:p>
    <w:p w14:paraId="5470AB80" w14:textId="77777777" w:rsidR="006856A7" w:rsidRPr="00AA5833" w:rsidRDefault="006856A7" w:rsidP="006856A7">
      <w:pPr>
        <w:numPr>
          <w:ilvl w:val="0"/>
          <w:numId w:val="13"/>
        </w:numPr>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Развиване на механизма „Корпоративна социална отговорност”.</w:t>
      </w:r>
    </w:p>
    <w:p w14:paraId="01703129" w14:textId="77777777" w:rsidR="00FE75F2" w:rsidRPr="00AA5833" w:rsidRDefault="00FE75F2" w:rsidP="00FE75F2">
      <w:pPr>
        <w:spacing w:after="0" w:line="240" w:lineRule="auto"/>
        <w:contextualSpacing/>
        <w:jc w:val="both"/>
        <w:rPr>
          <w:rFonts w:ascii="Times New Roman" w:eastAsia="Calibri" w:hAnsi="Times New Roman" w:cs="Times New Roman"/>
          <w:color w:val="000000"/>
          <w:sz w:val="24"/>
          <w:szCs w:val="24"/>
          <w:lang w:eastAsia="bg-BG"/>
        </w:rPr>
      </w:pPr>
    </w:p>
    <w:p w14:paraId="481A9556" w14:textId="77777777" w:rsidR="006856A7" w:rsidRPr="00AA5833" w:rsidRDefault="006856A7" w:rsidP="006856A7">
      <w:pPr>
        <w:spacing w:after="0" w:line="240" w:lineRule="auto"/>
        <w:jc w:val="both"/>
        <w:rPr>
          <w:rFonts w:ascii="Times New Roman Bold" w:eastAsia="Times New Roman" w:hAnsi="Times New Roman Bold" w:cs="Times New Roman"/>
          <w:b/>
          <w:caps/>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3.2.</w:t>
      </w:r>
      <w:r w:rsidRPr="00AA5833">
        <w:rPr>
          <w:rFonts w:ascii="Times New Roman" w:eastAsia="Times New Roman" w:hAnsi="Times New Roman" w:cs="Times New Roman"/>
          <w:b/>
          <w:caps/>
          <w:color w:val="000000"/>
          <w:sz w:val="24"/>
          <w:szCs w:val="24"/>
          <w:lang w:eastAsia="bg-BG"/>
        </w:rPr>
        <w:t>3.</w:t>
      </w:r>
      <w:r w:rsidRPr="00AA5833">
        <w:rPr>
          <w:rFonts w:ascii="Times New Roman Bold" w:eastAsia="Times New Roman" w:hAnsi="Times New Roman Bold" w:cs="Times New Roman"/>
          <w:b/>
          <w:caps/>
          <w:color w:val="000000"/>
          <w:sz w:val="24"/>
          <w:szCs w:val="24"/>
          <w:lang w:eastAsia="bg-BG"/>
        </w:rPr>
        <w:t xml:space="preserve"> Мерки с компенсиращ характер в системата на Дългосрочните грижи</w:t>
      </w:r>
    </w:p>
    <w:p w14:paraId="3EDFDADC" w14:textId="77777777" w:rsidR="006856A7" w:rsidRPr="00AA5833" w:rsidRDefault="006856A7" w:rsidP="006856A7">
      <w:pPr>
        <w:spacing w:after="0" w:line="240" w:lineRule="auto"/>
        <w:ind w:firstLine="706"/>
        <w:jc w:val="both"/>
        <w:rPr>
          <w:rFonts w:ascii="Times New Roman" w:eastAsia="Times New Roman" w:hAnsi="Times New Roman" w:cs="Times New Roman"/>
          <w:b/>
          <w:color w:val="000000"/>
          <w:sz w:val="24"/>
          <w:szCs w:val="24"/>
          <w:lang w:eastAsia="bg-BG"/>
        </w:rPr>
      </w:pPr>
    </w:p>
    <w:p w14:paraId="2CDC0E54"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За все по-застаряващото население ще бъдат необходими и все по-високи  публични разходи за </w:t>
      </w:r>
      <w:r w:rsidRPr="00AA5833">
        <w:rPr>
          <w:rFonts w:ascii="Times New Roman" w:eastAsia="Times New Roman" w:hAnsi="Times New Roman" w:cs="Times New Roman"/>
          <w:b/>
          <w:bCs/>
          <w:color w:val="000000"/>
          <w:sz w:val="24"/>
          <w:szCs w:val="24"/>
          <w:lang w:eastAsia="bg-BG"/>
        </w:rPr>
        <w:t xml:space="preserve">дългосрочни грижи, </w:t>
      </w:r>
      <w:r w:rsidRPr="00AA5833">
        <w:rPr>
          <w:rFonts w:ascii="Times New Roman" w:eastAsia="Times New Roman" w:hAnsi="Times New Roman" w:cs="Times New Roman"/>
          <w:bCs/>
          <w:color w:val="000000"/>
          <w:sz w:val="24"/>
          <w:szCs w:val="24"/>
          <w:lang w:eastAsia="bg-BG"/>
        </w:rPr>
        <w:t>тъй като</w:t>
      </w:r>
      <w:r w:rsidRPr="00AA5833">
        <w:rPr>
          <w:rFonts w:ascii="Times New Roman" w:eastAsia="Times New Roman" w:hAnsi="Times New Roman" w:cs="Times New Roman"/>
          <w:color w:val="000000"/>
          <w:sz w:val="24"/>
          <w:szCs w:val="24"/>
          <w:lang w:eastAsia="bg-BG"/>
        </w:rPr>
        <w:t xml:space="preserve"> възрастните и най-възрастните ще съставляват най-бързо растящата социална група в обществото в бъдеще. </w:t>
      </w:r>
    </w:p>
    <w:p w14:paraId="111E6F48"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Понастоящем грижите за възрастни хора с нарушено и тежко здравословно състояние се предоставят в много голяма степен неофициално от роднини, което се отразява на качеството на заетостта. Промените в структурите на семействата, все по-активното участие на жените на пазара на труда и все по-голямата географска мобилност, следва да доведат до намаляване на неофициалните грижи и до тяхната професионализация. За държавите, в които официалните системи за полагане на грижи са по-слабо развити, очакваното увеличение на публичните разходи за дългосрочни грижи може да подцени бъдещия натиск върху публичните финанси, в резултат на  вероятната потребност от повече официално предоставяне на грижи.</w:t>
      </w:r>
    </w:p>
    <w:p w14:paraId="579FCA90"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
          <w:color w:val="000000"/>
          <w:sz w:val="24"/>
          <w:szCs w:val="24"/>
          <w:lang w:eastAsia="bg-BG"/>
        </w:rPr>
        <w:t>Очакванията са разходите на дългосрочните грижи и услуги за възрастни хора рязко да нарастват, което може да се окаже непосилно за много потенциални бенефициенти и семейства, да ги ограничи в достъпа им до услуги или да ги обрече на риск от дълготрайно обедняване.</w:t>
      </w:r>
    </w:p>
    <w:p w14:paraId="282AD300"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Необходимо е да бъдат предприемани иновативни подходи и да бъдат взимани иновативни управленски решения за намаляване на натиска на нарастващите потребности от дългосрочни грижи върху публичните финанси, например чрез:</w:t>
      </w:r>
    </w:p>
    <w:p w14:paraId="0DED74EE" w14:textId="77777777" w:rsidR="006856A7" w:rsidRPr="00AA5833" w:rsidRDefault="006856A7" w:rsidP="006856A7">
      <w:pPr>
        <w:numPr>
          <w:ilvl w:val="0"/>
          <w:numId w:val="10"/>
        </w:numPr>
        <w:spacing w:after="0" w:line="240" w:lineRule="auto"/>
        <w:ind w:hanging="294"/>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Осигуряване на подходящо обучение за персонала за полагане на грижи.</w:t>
      </w:r>
    </w:p>
    <w:p w14:paraId="69AB7E57"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Децентрализиране и диверсифициране на полагането на дългосрочни грижи. </w:t>
      </w:r>
    </w:p>
    <w:p w14:paraId="731AAC10"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Развитие на т.нар. „сребърна” икономика.</w:t>
      </w:r>
    </w:p>
    <w:p w14:paraId="6147E78F"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Разработване и усъвършенстване на стандарти за полагане на дългосрочни грижи.</w:t>
      </w:r>
    </w:p>
    <w:p w14:paraId="1E8B3BA2"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Развитие на социални услуги в общността, насочени към предоставяне на дългосрочни грижи в семейна или в среда близка до семейната.</w:t>
      </w:r>
    </w:p>
    <w:p w14:paraId="5E7B71CB"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Развитие на доброволчеството при предоставяне на услуги за възрастни хора.</w:t>
      </w:r>
    </w:p>
    <w:p w14:paraId="40C95E93"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Насърчаване на инициативи за укрепване на солидарността между поколенията като един от основните фактори за засилване на социалното сближаване и развитието на култура на участието, в която се включват жени и мъже от всички възрасти.</w:t>
      </w:r>
    </w:p>
    <w:p w14:paraId="083E017A" w14:textId="77777777" w:rsidR="006856A7" w:rsidRPr="00AA5833" w:rsidRDefault="006856A7" w:rsidP="006856A7">
      <w:pPr>
        <w:numPr>
          <w:ilvl w:val="0"/>
          <w:numId w:val="10"/>
        </w:numPr>
        <w:spacing w:after="0" w:line="240" w:lineRule="auto"/>
        <w:ind w:left="709" w:hanging="283"/>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 xml:space="preserve">Инвестиране в развитието на подходяща инфраструктура за предоставяне на услуги за възрастни, вкл. създаване на териториални комплексни центрове за възрастни хора, прилагане на клъстърен подход и развиване и на други дейности, освен здравни и социални услуги и др. </w:t>
      </w:r>
    </w:p>
    <w:p w14:paraId="4DCB5127" w14:textId="77777777" w:rsidR="006856A7" w:rsidRPr="00AA5833" w:rsidRDefault="006856A7" w:rsidP="006856A7">
      <w:pPr>
        <w:spacing w:after="0" w:line="240" w:lineRule="auto"/>
        <w:rPr>
          <w:rFonts w:ascii="Times New Roman" w:eastAsia="Calibri" w:hAnsi="Times New Roman" w:cs="Times New Roman"/>
          <w:b/>
          <w:sz w:val="24"/>
          <w:szCs w:val="24"/>
        </w:rPr>
      </w:pPr>
    </w:p>
    <w:p w14:paraId="0BF528FA" w14:textId="77777777" w:rsidR="006856A7" w:rsidRPr="00AA5833" w:rsidRDefault="006856A7" w:rsidP="006856A7">
      <w:pPr>
        <w:spacing w:after="0" w:line="240" w:lineRule="auto"/>
        <w:jc w:val="both"/>
        <w:rPr>
          <w:rFonts w:ascii="Times New Roman Bold" w:eastAsia="Times New Roman" w:hAnsi="Times New Roman Bold" w:cs="Times New Roman"/>
          <w:b/>
          <w:caps/>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3.2.</w:t>
      </w:r>
      <w:r w:rsidRPr="00AA5833">
        <w:rPr>
          <w:rFonts w:ascii="Times New Roman" w:eastAsia="Times New Roman" w:hAnsi="Times New Roman" w:cs="Times New Roman"/>
          <w:b/>
          <w:caps/>
          <w:color w:val="000000"/>
          <w:sz w:val="24"/>
          <w:szCs w:val="24"/>
          <w:lang w:eastAsia="bg-BG"/>
        </w:rPr>
        <w:t>4.</w:t>
      </w:r>
      <w:r w:rsidRPr="00AA5833">
        <w:rPr>
          <w:rFonts w:ascii="Times New Roman Bold" w:eastAsia="Times New Roman" w:hAnsi="Times New Roman Bold" w:cs="Times New Roman"/>
          <w:b/>
          <w:caps/>
          <w:color w:val="000000"/>
          <w:sz w:val="24"/>
          <w:szCs w:val="24"/>
          <w:lang w:eastAsia="bg-BG"/>
        </w:rPr>
        <w:t xml:space="preserve"> Мерки с компенсиращ характер в системата на Образованието</w:t>
      </w:r>
    </w:p>
    <w:p w14:paraId="5731B032" w14:textId="77777777" w:rsidR="006856A7" w:rsidRPr="00AA5833" w:rsidRDefault="006856A7" w:rsidP="006856A7">
      <w:pPr>
        <w:spacing w:after="0" w:line="240" w:lineRule="auto"/>
        <w:rPr>
          <w:rFonts w:ascii="Times New Roman" w:eastAsia="Times New Roman" w:hAnsi="Times New Roman" w:cs="Times New Roman"/>
          <w:b/>
          <w:color w:val="000000"/>
          <w:sz w:val="24"/>
          <w:szCs w:val="24"/>
          <w:lang w:eastAsia="bg-BG"/>
        </w:rPr>
      </w:pPr>
    </w:p>
    <w:p w14:paraId="284162E7" w14:textId="77777777" w:rsidR="006856A7" w:rsidRPr="00AA5833" w:rsidRDefault="006856A7" w:rsidP="006856A7">
      <w:pPr>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По отношение на разходите, свързани с </w:t>
      </w:r>
      <w:r w:rsidRPr="00AA5833">
        <w:rPr>
          <w:rFonts w:ascii="Times New Roman" w:eastAsia="Times New Roman" w:hAnsi="Times New Roman" w:cs="Times New Roman"/>
          <w:b/>
          <w:bCs/>
          <w:color w:val="000000"/>
          <w:sz w:val="24"/>
          <w:szCs w:val="24"/>
          <w:lang w:eastAsia="bg-BG"/>
        </w:rPr>
        <w:t>публичното образование</w:t>
      </w:r>
      <w:r w:rsidRPr="00AA5833">
        <w:rPr>
          <w:rFonts w:ascii="Times New Roman" w:eastAsia="Times New Roman" w:hAnsi="Times New Roman" w:cs="Times New Roman"/>
          <w:color w:val="000000"/>
          <w:sz w:val="24"/>
          <w:szCs w:val="24"/>
          <w:lang w:eastAsia="bg-BG"/>
        </w:rPr>
        <w:t xml:space="preserve">, въпреки очаквания все по-малък брой на деца през следващите десетилетия, за постигането на съществено подобрение на качеството на образованието за всички възрасти, </w:t>
      </w:r>
      <w:r w:rsidRPr="00AA5833">
        <w:rPr>
          <w:rFonts w:ascii="Times New Roman" w:eastAsia="Times New Roman" w:hAnsi="Times New Roman" w:cs="Times New Roman"/>
          <w:b/>
          <w:color w:val="000000"/>
          <w:sz w:val="24"/>
          <w:szCs w:val="24"/>
          <w:lang w:eastAsia="bg-BG"/>
        </w:rPr>
        <w:t>в бъдеще се очаква да бъдат необходими повече разходи за образование.</w:t>
      </w:r>
    </w:p>
    <w:p w14:paraId="6F7C119B" w14:textId="77777777" w:rsidR="006856A7" w:rsidRPr="00AA5833" w:rsidRDefault="006856A7" w:rsidP="006856A7">
      <w:pPr>
        <w:spacing w:after="0" w:line="240" w:lineRule="auto"/>
        <w:ind w:firstLine="709"/>
        <w:jc w:val="both"/>
        <w:rPr>
          <w:rFonts w:ascii="Times New Roman" w:eastAsia="Calibri" w:hAnsi="Times New Roman" w:cs="Times New Roman"/>
          <w:b/>
          <w:sz w:val="24"/>
          <w:szCs w:val="24"/>
        </w:rPr>
      </w:pPr>
      <w:r w:rsidRPr="00AA5833">
        <w:rPr>
          <w:rFonts w:ascii="Times New Roman" w:eastAsia="Times New Roman" w:hAnsi="Times New Roman" w:cs="Times New Roman"/>
          <w:b/>
          <w:bCs/>
          <w:color w:val="000000"/>
          <w:sz w:val="24"/>
          <w:szCs w:val="24"/>
          <w:lang w:eastAsia="bg-BG"/>
        </w:rPr>
        <w:t>Инвестициите в човешкия капитал и в работната сила</w:t>
      </w:r>
      <w:r w:rsidRPr="00AA5833">
        <w:rPr>
          <w:rFonts w:ascii="Times New Roman" w:eastAsia="Times New Roman" w:hAnsi="Times New Roman" w:cs="Times New Roman"/>
          <w:color w:val="000000"/>
          <w:sz w:val="24"/>
          <w:szCs w:val="24"/>
          <w:lang w:eastAsia="bg-BG"/>
        </w:rPr>
        <w:t xml:space="preserve">, </w:t>
      </w:r>
      <w:r w:rsidRPr="00AA5833">
        <w:rPr>
          <w:rFonts w:ascii="Times New Roman" w:eastAsia="Times New Roman" w:hAnsi="Times New Roman" w:cs="Times New Roman"/>
          <w:b/>
          <w:color w:val="000000"/>
          <w:sz w:val="24"/>
          <w:szCs w:val="24"/>
          <w:lang w:eastAsia="bg-BG"/>
        </w:rPr>
        <w:t>съставена от младежи и възрастни,</w:t>
      </w:r>
      <w:r w:rsidRPr="00AA5833">
        <w:rPr>
          <w:rFonts w:ascii="Times New Roman" w:eastAsia="Times New Roman" w:hAnsi="Times New Roman" w:cs="Times New Roman"/>
          <w:color w:val="000000"/>
          <w:sz w:val="24"/>
          <w:szCs w:val="24"/>
          <w:lang w:eastAsia="bg-BG"/>
        </w:rPr>
        <w:t xml:space="preserve"> ще бъдат жизненоважни за бъдещия растеж на производителността при намаляващо и застаряващо население и намаляваща работна сила. </w:t>
      </w:r>
      <w:r w:rsidRPr="00AA5833">
        <w:rPr>
          <w:rFonts w:ascii="Times New Roman" w:eastAsia="Calibri" w:hAnsi="Times New Roman" w:cs="Times New Roman"/>
          <w:b/>
          <w:sz w:val="24"/>
          <w:szCs w:val="24"/>
        </w:rPr>
        <w:t xml:space="preserve">От гледна точка на демографските предизвикателства и на смекчаване на  икономическите и фискални последици от застаряването  на населението, ключови ще бъдат: </w:t>
      </w:r>
    </w:p>
    <w:p w14:paraId="05BC5169" w14:textId="77777777" w:rsidR="006856A7" w:rsidRPr="00AA5833" w:rsidRDefault="006856A7" w:rsidP="006856A7">
      <w:pPr>
        <w:spacing w:after="0" w:line="240" w:lineRule="auto"/>
        <w:ind w:left="720"/>
        <w:contextualSpacing/>
        <w:jc w:val="both"/>
        <w:rPr>
          <w:rFonts w:ascii="Times New Roman" w:eastAsia="Calibri" w:hAnsi="Times New Roman" w:cs="Times New Roman"/>
          <w:b/>
          <w:sz w:val="24"/>
          <w:szCs w:val="24"/>
        </w:rPr>
      </w:pPr>
    </w:p>
    <w:p w14:paraId="248BE46A"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Разработване и реализиране на цялостна концепция, стратегия и на оперативни планове за учене през целия живот за всички възрасти.</w:t>
      </w:r>
    </w:p>
    <w:p w14:paraId="25C683FC"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Разработване и прилагане на строги механизми за ограничаване на отпадането на децата от всички степени на образователната система.</w:t>
      </w:r>
    </w:p>
    <w:p w14:paraId="4BC22D58"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Оптимизиране на учебните програми и на учебния материал с оглед на намаляване на времето на пребиваване в образователната система на децата и младежите, без това да се отразява на техните знания и подготовка.</w:t>
      </w:r>
    </w:p>
    <w:p w14:paraId="735257CA"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Разработване на учебни програми</w:t>
      </w:r>
      <w:r w:rsidRPr="00AA5833">
        <w:rPr>
          <w:rFonts w:ascii="Times New Roman" w:eastAsia="Calibri" w:hAnsi="Times New Roman" w:cs="Times New Roman"/>
          <w:color w:val="FF0000"/>
          <w:sz w:val="24"/>
          <w:szCs w:val="24"/>
        </w:rPr>
        <w:t xml:space="preserve"> </w:t>
      </w:r>
      <w:r w:rsidRPr="00AA5833">
        <w:rPr>
          <w:rFonts w:ascii="Times New Roman" w:eastAsia="Calibri" w:hAnsi="Times New Roman" w:cs="Times New Roman"/>
          <w:sz w:val="24"/>
          <w:szCs w:val="24"/>
        </w:rPr>
        <w:t>за придобиване и усвояване на нови знания и умения на населението на възраст 50+ години, съобразени с потребностите на бизнеса и на пазара на труда.</w:t>
      </w:r>
    </w:p>
    <w:p w14:paraId="38FEE3E2"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Създаване на подходящи условия за подобряване на достъпа до образование и обучение (като се вземат предвид различните причини за неучастие).</w:t>
      </w:r>
    </w:p>
    <w:p w14:paraId="2579268D"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 xml:space="preserve">Въвеждане на адекватни форми и механизми за контрол върху качеството на образованието и обучението. </w:t>
      </w:r>
    </w:p>
    <w:p w14:paraId="33C8B3B5"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color w:val="000000" w:themeColor="text1"/>
          <w:sz w:val="24"/>
          <w:szCs w:val="24"/>
        </w:rPr>
      </w:pPr>
      <w:r w:rsidRPr="00AA5833">
        <w:rPr>
          <w:rFonts w:ascii="Times New Roman" w:eastAsia="Calibri" w:hAnsi="Times New Roman" w:cs="Times New Roman"/>
          <w:color w:val="000000" w:themeColor="text1"/>
          <w:sz w:val="24"/>
          <w:szCs w:val="24"/>
        </w:rPr>
        <w:t>Увеличаване дела на публичните разходи за образование.</w:t>
      </w:r>
    </w:p>
    <w:p w14:paraId="35A30158" w14:textId="77777777" w:rsidR="006856A7" w:rsidRPr="00AA5833" w:rsidRDefault="006856A7" w:rsidP="006856A7">
      <w:pPr>
        <w:numPr>
          <w:ilvl w:val="0"/>
          <w:numId w:val="12"/>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Развиване на нови области на изследователската дейност, свързани с изучаване на потребностите и начина на живот на възрастните хора, социално икономическите и културни аспекти на стареенето и др. </w:t>
      </w:r>
    </w:p>
    <w:p w14:paraId="49775799" w14:textId="77777777" w:rsidR="006856A7" w:rsidRPr="00AA5833" w:rsidRDefault="006856A7" w:rsidP="006856A7">
      <w:pPr>
        <w:spacing w:after="0" w:line="240" w:lineRule="auto"/>
        <w:jc w:val="both"/>
        <w:rPr>
          <w:rFonts w:eastAsia="Times New Roman" w:cs="Times New Roman"/>
          <w:b/>
          <w:caps/>
          <w:color w:val="000000"/>
          <w:sz w:val="24"/>
          <w:szCs w:val="24"/>
          <w:lang w:eastAsia="bg-BG"/>
        </w:rPr>
      </w:pPr>
    </w:p>
    <w:p w14:paraId="02685F21" w14:textId="77777777" w:rsidR="006856A7" w:rsidRPr="00AA5833" w:rsidRDefault="006856A7" w:rsidP="006856A7">
      <w:pPr>
        <w:spacing w:after="0" w:line="240" w:lineRule="auto"/>
        <w:jc w:val="both"/>
        <w:rPr>
          <w:rFonts w:ascii="Times New Roman Bold" w:eastAsia="Times New Roman" w:hAnsi="Times New Roman Bold" w:cs="Times New Roman"/>
          <w:b/>
          <w:caps/>
          <w:color w:val="000000"/>
          <w:sz w:val="24"/>
          <w:szCs w:val="24"/>
          <w:lang w:eastAsia="bg-BG"/>
        </w:rPr>
      </w:pPr>
      <w:r w:rsidRPr="00AA5833">
        <w:rPr>
          <w:rFonts w:ascii="Times New Roman Bold" w:eastAsia="Times New Roman" w:hAnsi="Times New Roman Bold" w:cs="Times New Roman"/>
          <w:b/>
          <w:caps/>
          <w:color w:val="000000"/>
          <w:sz w:val="24"/>
          <w:szCs w:val="24"/>
          <w:lang w:eastAsia="bg-BG"/>
        </w:rPr>
        <w:t>3.2.</w:t>
      </w:r>
      <w:r w:rsidRPr="00AA5833">
        <w:rPr>
          <w:rFonts w:ascii="Times New Roman" w:eastAsia="Times New Roman" w:hAnsi="Times New Roman" w:cs="Times New Roman"/>
          <w:b/>
          <w:caps/>
          <w:color w:val="000000"/>
          <w:sz w:val="24"/>
          <w:szCs w:val="24"/>
          <w:lang w:eastAsia="bg-BG"/>
        </w:rPr>
        <w:t>5.</w:t>
      </w:r>
      <w:r w:rsidRPr="00AA5833">
        <w:rPr>
          <w:rFonts w:ascii="Times New Roman Bold" w:eastAsia="Times New Roman" w:hAnsi="Times New Roman Bold" w:cs="Times New Roman"/>
          <w:b/>
          <w:caps/>
          <w:color w:val="000000"/>
          <w:sz w:val="24"/>
          <w:szCs w:val="24"/>
          <w:lang w:eastAsia="bg-BG"/>
        </w:rPr>
        <w:t xml:space="preserve"> Мерки с компенсиращ характер в системата на Здравеопазването</w:t>
      </w:r>
    </w:p>
    <w:p w14:paraId="79162098"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Cs/>
          <w:color w:val="000000"/>
          <w:sz w:val="24"/>
          <w:szCs w:val="24"/>
          <w:lang w:eastAsia="bg-BG"/>
        </w:rPr>
        <w:t>Застаряването на населението</w:t>
      </w:r>
      <w:r w:rsidRPr="00AA5833">
        <w:rPr>
          <w:rFonts w:ascii="Times New Roman" w:eastAsia="Times New Roman" w:hAnsi="Times New Roman" w:cs="Times New Roman"/>
          <w:color w:val="000000"/>
          <w:sz w:val="24"/>
          <w:szCs w:val="24"/>
          <w:lang w:eastAsia="bg-BG"/>
        </w:rPr>
        <w:t xml:space="preserve"> оказва много сериозни обществени и икономически последици върху здравната система. По-високите разходи са предизвикани не от самото застаряване на населението, а от нездравословното остаряване. За да се намали негативното влияние на стареенето на населението върху здравната система, възрастните хора трябва да останат по-дълго време здрави и пълноценни за техните семейства и общности. </w:t>
      </w:r>
    </w:p>
    <w:p w14:paraId="60ED5C7B"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Все повече на преден план се поставя потенциалът на възрастните хора и се подчертават възможностите, които предлага едно застаряващо общество и по точно едно здравословно застаряващо общество. Здравословното остаряване на възрастните хората е основна предпоставка, за да се видят положителните аспекти, които носи </w:t>
      </w:r>
      <w:r w:rsidRPr="00AA5833">
        <w:rPr>
          <w:rFonts w:ascii="Times New Roman" w:eastAsia="Times New Roman" w:hAnsi="Times New Roman" w:cs="Times New Roman"/>
          <w:color w:val="000000"/>
          <w:sz w:val="24"/>
          <w:szCs w:val="24"/>
          <w:lang w:eastAsia="bg-BG"/>
        </w:rPr>
        <w:lastRenderedPageBreak/>
        <w:t xml:space="preserve">демографската промяна, както за възрастните хора, така и за цялото общество. От значение е и пълноценното използване на опита на възрастните хора. </w:t>
      </w:r>
    </w:p>
    <w:p w14:paraId="0D01D5CB" w14:textId="77777777" w:rsidR="006856A7" w:rsidRPr="00AA5833" w:rsidRDefault="006856A7" w:rsidP="006856A7">
      <w:pPr>
        <w:spacing w:after="0" w:line="240" w:lineRule="auto"/>
        <w:ind w:firstLine="709"/>
        <w:jc w:val="both"/>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bCs/>
          <w:color w:val="000000"/>
          <w:sz w:val="24"/>
          <w:szCs w:val="24"/>
          <w:lang w:eastAsia="bg-BG"/>
        </w:rPr>
        <w:t xml:space="preserve">Нарастването на относителния дял на възрастното население поставя поредица от въпроси, свързани с необходимостта от нарастване на публичните разходи за здравеопазване, поради очакванията за по-интензивно и по-продължително използване на медицинските услуги. </w:t>
      </w:r>
    </w:p>
    <w:p w14:paraId="1A7390EF"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За да се намали негативното влияние на демографските промени върху здравната система и да се усети положителното им влияние върху други сфери, като икономическата и социокултурната сфера, е необходимо да се инвестира в качествени здравни услуги и здравни технологии за ранна диагностика и лечение на заболяванията, както и в превенцията, възпитаване на здравословен начин на живот и профилактика на болестите сред населението.</w:t>
      </w:r>
      <w:r w:rsidRPr="00AA5833">
        <w:rPr>
          <w:rFonts w:ascii="Times New Roman" w:eastAsia="Times New Roman" w:hAnsi="Times New Roman" w:cs="Times New Roman"/>
          <w:b/>
          <w:color w:val="000000"/>
          <w:sz w:val="24"/>
          <w:szCs w:val="24"/>
          <w:lang w:eastAsia="bg-BG"/>
        </w:rPr>
        <w:t xml:space="preserve"> </w:t>
      </w:r>
      <w:r w:rsidRPr="00AA5833">
        <w:rPr>
          <w:rFonts w:ascii="Times New Roman" w:eastAsia="Times New Roman" w:hAnsi="Times New Roman" w:cs="Times New Roman"/>
          <w:color w:val="000000"/>
          <w:sz w:val="24"/>
          <w:szCs w:val="24"/>
          <w:lang w:eastAsia="bg-BG"/>
        </w:rPr>
        <w:t xml:space="preserve">Обновяването на технологиите и въвеждането на новоразработени и по-ефикасни методи за ранна диагностика и лечение, в краткосрочен план са основен фактор за нарастването на разходите в системата на здравеопазването, но в дългосрочен план използваният целесъобразно технически и технологичен ресурс може да доведе до икономии на разходи. </w:t>
      </w:r>
    </w:p>
    <w:p w14:paraId="5E8BDF8A" w14:textId="77777777" w:rsidR="006856A7" w:rsidRPr="00AA5833" w:rsidRDefault="006856A7" w:rsidP="006856A7">
      <w:pPr>
        <w:spacing w:after="0" w:line="240" w:lineRule="auto"/>
        <w:ind w:firstLine="709"/>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Сред препоръчителните мерки за посрещане на демографските предизвикателства в областта на здравеопазването са:</w:t>
      </w:r>
    </w:p>
    <w:p w14:paraId="370B8C3F"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Създаване на условия за продължителна трудова и социална активност в добро здраве на гражданите.</w:t>
      </w:r>
    </w:p>
    <w:p w14:paraId="511021EE"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Предприемане на мерки за удължаване на средната продължителност на живота в добро здраве.</w:t>
      </w:r>
    </w:p>
    <w:p w14:paraId="72F28784"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 ефективността на здравната система.</w:t>
      </w:r>
    </w:p>
    <w:p w14:paraId="5D45CDE9"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 на качеството на здравното обслужване.</w:t>
      </w:r>
    </w:p>
    <w:p w14:paraId="59F94054"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 на условията за безопасност и работа, съобразени с възможностите на възрастните хора.</w:t>
      </w:r>
    </w:p>
    <w:p w14:paraId="4A25CACE"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Създаване на условия за равен достъп до висококачествени здравни услуги, вкл.  превенция, лечение, рехабилитация и палиативни грижи.</w:t>
      </w:r>
    </w:p>
    <w:p w14:paraId="26E21715"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Инвестиране в качествени здравни услуги и високи здравни технологии за ранна диагностика и лечение на заболяванията.</w:t>
      </w:r>
    </w:p>
    <w:p w14:paraId="4A9C36BA" w14:textId="77777777" w:rsidR="006856A7" w:rsidRPr="00AA5833" w:rsidRDefault="006856A7" w:rsidP="006856A7">
      <w:pPr>
        <w:numPr>
          <w:ilvl w:val="0"/>
          <w:numId w:val="11"/>
        </w:numPr>
        <w:autoSpaceDE w:val="0"/>
        <w:autoSpaceDN w:val="0"/>
        <w:adjustRightInd w:val="0"/>
        <w:spacing w:after="0" w:line="240" w:lineRule="auto"/>
        <w:ind w:left="709" w:hanging="425"/>
        <w:contextualSpacing/>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Възпитаване на здравословен начин на живот и профилактика на заболяванията сред населението.</w:t>
      </w:r>
    </w:p>
    <w:p w14:paraId="65EC5CF4"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p>
    <w:p w14:paraId="37B6DF3F" w14:textId="77777777" w:rsidR="006856A7" w:rsidRPr="00AA5833" w:rsidRDefault="006856A7" w:rsidP="006856A7">
      <w:pPr>
        <w:spacing w:after="0" w:line="240" w:lineRule="auto"/>
        <w:jc w:val="both"/>
        <w:rPr>
          <w:rFonts w:ascii="Times New Roman" w:eastAsia="Times New Roman" w:hAnsi="Times New Roman" w:cs="Times New Roman"/>
          <w:b/>
          <w:caps/>
          <w:color w:val="000000"/>
          <w:sz w:val="24"/>
          <w:szCs w:val="24"/>
          <w:lang w:eastAsia="bg-BG"/>
        </w:rPr>
      </w:pPr>
      <w:r w:rsidRPr="00AA5833">
        <w:rPr>
          <w:rFonts w:ascii="Times New Roman" w:eastAsia="Times New Roman" w:hAnsi="Times New Roman" w:cs="Times New Roman"/>
          <w:b/>
          <w:caps/>
          <w:color w:val="000000"/>
          <w:sz w:val="24"/>
          <w:szCs w:val="24"/>
          <w:lang w:eastAsia="bg-BG"/>
        </w:rPr>
        <w:t>3.2.6. Мерки с компенсиращ характер по отношение на неравномерното териториално разпределение на населението</w:t>
      </w:r>
    </w:p>
    <w:p w14:paraId="7D9F4F39" w14:textId="77777777" w:rsidR="006856A7" w:rsidRPr="00AA5833" w:rsidRDefault="006856A7" w:rsidP="006856A7">
      <w:pPr>
        <w:tabs>
          <w:tab w:val="left" w:pos="3687"/>
        </w:tabs>
        <w:spacing w:after="0" w:line="240" w:lineRule="auto"/>
        <w:jc w:val="both"/>
        <w:rPr>
          <w:rFonts w:ascii="Times New Roman" w:eastAsia="Times New Roman" w:hAnsi="Times New Roman" w:cs="Times New Roman"/>
          <w:b/>
          <w:color w:val="000000"/>
          <w:sz w:val="24"/>
          <w:szCs w:val="24"/>
          <w:lang w:eastAsia="bg-BG"/>
        </w:rPr>
      </w:pPr>
    </w:p>
    <w:p w14:paraId="63AF27A7" w14:textId="77777777" w:rsidR="006856A7" w:rsidRPr="00AA5833" w:rsidRDefault="006856A7" w:rsidP="006856A7">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b/>
          <w:color w:val="000000"/>
          <w:sz w:val="24"/>
          <w:szCs w:val="24"/>
          <w:lang w:eastAsia="bg-BG"/>
        </w:rPr>
        <w:t>Ограничаването на диспропорциите в териториалното разпределение на населението и обезлюдяването в някои региони и селата</w:t>
      </w:r>
      <w:r w:rsidRPr="00AA5833">
        <w:rPr>
          <w:rFonts w:ascii="Times New Roman" w:eastAsia="Times New Roman" w:hAnsi="Times New Roman" w:cs="Times New Roman"/>
          <w:color w:val="000000"/>
          <w:sz w:val="24"/>
          <w:szCs w:val="24"/>
          <w:lang w:eastAsia="bg-BG"/>
        </w:rPr>
        <w:t xml:space="preserve"> изисква мобилизиране на сериозни институционални  и организационни ресурси, насочени към оптимизирането на жилищната политика, градоустройствените планове, инфраструктурата и др. Осъществяването на този приоритет  е неразривно свързано със засилването на ролята на регионалната политика и обвързване на плановете за регионално развитие с нормализирането на вътрешно миграционните процеси. Конкретните мерки в това отношение включват:</w:t>
      </w:r>
    </w:p>
    <w:p w14:paraId="51912BE0" w14:textId="77777777" w:rsidR="006856A7" w:rsidRPr="00AA5833" w:rsidRDefault="006856A7" w:rsidP="006856A7">
      <w:pPr>
        <w:numPr>
          <w:ilvl w:val="0"/>
          <w:numId w:val="14"/>
        </w:numPr>
        <w:autoSpaceDE w:val="0"/>
        <w:autoSpaceDN w:val="0"/>
        <w:spacing w:after="0" w:line="240" w:lineRule="auto"/>
        <w:contextualSpacing/>
        <w:jc w:val="both"/>
        <w:rPr>
          <w:rFonts w:ascii="Times New Roman" w:eastAsia="Calibri" w:hAnsi="Times New Roman" w:cs="Times New Roman"/>
          <w:color w:val="000000"/>
          <w:sz w:val="24"/>
          <w:szCs w:val="24"/>
          <w:lang w:eastAsia="bg-BG"/>
        </w:rPr>
      </w:pPr>
      <w:r w:rsidRPr="00AA5833">
        <w:rPr>
          <w:rFonts w:ascii="Times New Roman" w:eastAsia="Calibri" w:hAnsi="Times New Roman" w:cs="Times New Roman"/>
          <w:color w:val="000000"/>
          <w:sz w:val="24"/>
          <w:szCs w:val="24"/>
          <w:lang w:eastAsia="bg-BG"/>
        </w:rPr>
        <w:t>Намаляване на регионалните диспропорции чрез децентрализация и създаване на регионален капацитет за динамично икономическо развитие.</w:t>
      </w:r>
    </w:p>
    <w:p w14:paraId="494D1408"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Възраждане на селските райони – </w:t>
      </w:r>
      <w:r w:rsidRPr="00AA5833">
        <w:rPr>
          <w:rFonts w:ascii="Times New Roman" w:eastAsia="Times New Roman" w:hAnsi="Times New Roman" w:cs="Times New Roman"/>
          <w:b/>
          <w:color w:val="000000"/>
          <w:sz w:val="24"/>
          <w:szCs w:val="24"/>
          <w:lang w:eastAsia="bg-BG"/>
        </w:rPr>
        <w:t xml:space="preserve">състоянието на българското село изисква създаването на алтернативна заетост на основата на природните ресурси, туризма, местните услуги. Решенията трябва да се търсят и в подобряване на </w:t>
      </w:r>
      <w:r w:rsidRPr="00AA5833">
        <w:rPr>
          <w:rFonts w:ascii="Times New Roman" w:eastAsia="Times New Roman" w:hAnsi="Times New Roman" w:cs="Times New Roman"/>
          <w:b/>
          <w:color w:val="000000"/>
          <w:sz w:val="24"/>
          <w:szCs w:val="24"/>
          <w:lang w:eastAsia="bg-BG"/>
        </w:rPr>
        <w:lastRenderedPageBreak/>
        <w:t>достъпа за работа в близките градове, което да задържи населението в селските райони и да ги превърне в привлекателно място за работа и живот.</w:t>
      </w:r>
    </w:p>
    <w:p w14:paraId="2D0640B6"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Мобилизиране на регионалните и местни институционални възможности и ресурси в изпълнение на политиката за регионално развитие.</w:t>
      </w:r>
    </w:p>
    <w:p w14:paraId="63ED5CBC"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Провеждане на диференцирана регионална политика в изостаналите райони.</w:t>
      </w:r>
    </w:p>
    <w:p w14:paraId="240B713D"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Разработване на цялостна програма за икономическо и социално развитие на пограничните и полупланинските райони, в която водещо място да заемат привличането на инвестиции и развитието на трансгранично сътрудничество между населените места от двете страни на границите.</w:t>
      </w:r>
    </w:p>
    <w:p w14:paraId="6603FBF0"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Оптимизиране на концентрацията на населението в големите градове и столицата.</w:t>
      </w:r>
    </w:p>
    <w:p w14:paraId="41E50AAB"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Разработване на програма за решаване на проблема с “гетоизацията” чрез създаване на градоустройствени планове в кварталите с концентрация на бедност, рехабилитация на тези квартали, осигуряване на техническа инфраструктура и др.</w:t>
      </w:r>
    </w:p>
    <w:p w14:paraId="0AD70BDB"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Насърчаване на заетостта и инвестициите в селските райони с цел  задържане  на младите хора и преодоляване на тенденцията на застаряване на населението в тях.</w:t>
      </w:r>
    </w:p>
    <w:p w14:paraId="76EE79D7"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Подобряване на транспортната, търговската, социалната и други обслужващи инфраструктури на селските и пограничните райони за задържане на населението в тях.</w:t>
      </w:r>
    </w:p>
    <w:p w14:paraId="35C53088" w14:textId="77777777" w:rsidR="006856A7" w:rsidRPr="00AA5833" w:rsidRDefault="006856A7" w:rsidP="006856A7">
      <w:pPr>
        <w:widowControl w:val="0"/>
        <w:numPr>
          <w:ilvl w:val="0"/>
          <w:numId w:val="14"/>
        </w:numPr>
        <w:adjustRightInd w:val="0"/>
        <w:spacing w:after="0" w:line="240" w:lineRule="auto"/>
        <w:contextualSpacing/>
        <w:jc w:val="both"/>
        <w:textAlignment w:val="baseline"/>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Опазване и поддържане на екологична и ергономична среда за живот.</w:t>
      </w:r>
    </w:p>
    <w:p w14:paraId="68E39BF5" w14:textId="77777777" w:rsidR="006856A7" w:rsidRPr="00AA5833" w:rsidRDefault="006856A7" w:rsidP="006856A7">
      <w:pPr>
        <w:spacing w:after="0" w:line="240" w:lineRule="auto"/>
        <w:jc w:val="both"/>
        <w:rPr>
          <w:rFonts w:ascii="Times New Roman" w:eastAsia="Times New Roman" w:hAnsi="Times New Roman" w:cs="Times New Roman"/>
          <w:color w:val="000000"/>
          <w:sz w:val="24"/>
          <w:szCs w:val="24"/>
          <w:lang w:eastAsia="bg-BG"/>
        </w:rPr>
      </w:pPr>
    </w:p>
    <w:p w14:paraId="7EE2FBF0" w14:textId="77777777" w:rsidR="006856A7" w:rsidRPr="00AA5833" w:rsidRDefault="006856A7" w:rsidP="006856A7">
      <w:pPr>
        <w:spacing w:after="0" w:line="240" w:lineRule="auto"/>
        <w:ind w:firstLine="706"/>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Намаляването и застаряването на населението се очертава като дълготраен и необратим социален процес за България, затова и отговорът на това предизвикателство следва да се насочи не просто към механична промяна на основни демографски показатели, а към прилагане на цялостен подход и развитие на интегрирана политика, насочена към мобилизиране и пълноценно използване на възможностите на наличните човешки ресурси, и целенасочено инвестиране в повишаване на качеството на човешкия капитал. </w:t>
      </w:r>
    </w:p>
    <w:p w14:paraId="64E822A4" w14:textId="77777777" w:rsidR="006856A7" w:rsidRPr="00AA5833" w:rsidRDefault="006856A7" w:rsidP="006856A7">
      <w:pPr>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Балансираното демографско развитие на населението в страната ни е национален и социален приоритет от огромно значение, изискващ максимална концентрация на усилията и провеждане на активна, целенасочена и последователна правителствена политика, както и обединение и координиране на действията на  органите на властта, институциите и структурите на гражданското общество на централно, регионално и местно ниво. </w:t>
      </w:r>
    </w:p>
    <w:p w14:paraId="3885E28B" w14:textId="77777777" w:rsidR="006856A7" w:rsidRPr="00AA5833" w:rsidRDefault="006856A7" w:rsidP="006856A7">
      <w:pPr>
        <w:autoSpaceDE w:val="0"/>
        <w:autoSpaceDN w:val="0"/>
        <w:adjustRightInd w:val="0"/>
        <w:spacing w:after="0" w:line="240" w:lineRule="auto"/>
        <w:ind w:firstLine="706"/>
        <w:jc w:val="both"/>
        <w:rPr>
          <w:rFonts w:ascii="Times New Roman" w:eastAsia="TimesNewRoman" w:hAnsi="Times New Roman" w:cs="Times New Roman"/>
          <w:color w:val="000000"/>
          <w:sz w:val="24"/>
          <w:szCs w:val="24"/>
          <w:lang w:eastAsia="bg-BG"/>
        </w:rPr>
      </w:pPr>
      <w:r w:rsidRPr="00AA5833">
        <w:rPr>
          <w:rFonts w:ascii="Times New Roman" w:eastAsia="TimesNewRoman" w:hAnsi="Times New Roman" w:cs="Times New Roman"/>
          <w:color w:val="000000"/>
          <w:sz w:val="24"/>
          <w:szCs w:val="24"/>
          <w:lang w:eastAsia="bg-BG"/>
        </w:rPr>
        <w:t xml:space="preserve">Обществото следва да бъде подготвено да приеме намаляването и застаряването на населението като неизбежна даденост през следващите десетилетия, в които институциите ще трябва да концентрират усилията си и да се изправят достойно пред целия набор от промени, които съпътстват този процес. </w:t>
      </w:r>
    </w:p>
    <w:p w14:paraId="0350B6BB" w14:textId="77777777" w:rsidR="006856A7" w:rsidRPr="00AA5833" w:rsidRDefault="006856A7" w:rsidP="006856A7">
      <w:pPr>
        <w:autoSpaceDE w:val="0"/>
        <w:autoSpaceDN w:val="0"/>
        <w:adjustRightInd w:val="0"/>
        <w:spacing w:after="0" w:line="240" w:lineRule="auto"/>
        <w:ind w:firstLine="706"/>
        <w:jc w:val="both"/>
        <w:rPr>
          <w:rFonts w:ascii="Times New Roman" w:eastAsia="TimesNewRoman" w:hAnsi="Times New Roman" w:cs="Times New Roman"/>
          <w:color w:val="000000"/>
          <w:sz w:val="24"/>
          <w:szCs w:val="24"/>
          <w:lang w:eastAsia="bg-BG"/>
        </w:rPr>
      </w:pPr>
      <w:r w:rsidRPr="00AA5833">
        <w:rPr>
          <w:rFonts w:ascii="Times New Roman" w:eastAsia="TimesNewRoman" w:hAnsi="Times New Roman" w:cs="Times New Roman"/>
          <w:color w:val="000000"/>
          <w:sz w:val="24"/>
          <w:szCs w:val="24"/>
          <w:lang w:eastAsia="bg-BG"/>
        </w:rPr>
        <w:t>В духа на съвременните европейски тенденции и разбиране, институциите в България следва да възприемат позитивен подход към това явление и по този начин да намират не само най-верният път към справяне с възникващите проблеми, но и да превръщат предизвикателствата в нови възможности за устойчиво развитие.</w:t>
      </w:r>
    </w:p>
    <w:p w14:paraId="4A7EDB4E" w14:textId="77777777" w:rsidR="006856A7" w:rsidRPr="00AA5833" w:rsidRDefault="006856A7" w:rsidP="006856A7">
      <w:pPr>
        <w:autoSpaceDE w:val="0"/>
        <w:autoSpaceDN w:val="0"/>
        <w:adjustRightInd w:val="0"/>
        <w:spacing w:after="0" w:line="240" w:lineRule="auto"/>
        <w:ind w:firstLine="706"/>
        <w:jc w:val="both"/>
        <w:rPr>
          <w:rFonts w:ascii="Times New Roman" w:eastAsia="TimesNewRoman" w:hAnsi="Times New Roman" w:cs="Times New Roman"/>
          <w:color w:val="000000"/>
          <w:sz w:val="24"/>
          <w:szCs w:val="24"/>
          <w:lang w:eastAsia="bg-BG"/>
        </w:rPr>
      </w:pPr>
    </w:p>
    <w:p w14:paraId="7FB02217" w14:textId="77777777" w:rsidR="006856A7" w:rsidRDefault="006856A7"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p w14:paraId="2318CCA3" w14:textId="77777777" w:rsidR="00535F90" w:rsidRDefault="00535F90"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p w14:paraId="096F3B7F" w14:textId="77777777" w:rsidR="00535F90" w:rsidRDefault="00535F90"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p w14:paraId="0B4A260C" w14:textId="77777777" w:rsidR="00535F90" w:rsidRDefault="00535F90"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p w14:paraId="36A24299" w14:textId="77777777" w:rsidR="00535F90" w:rsidRDefault="00535F90"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p w14:paraId="09E1AFD1" w14:textId="77777777" w:rsidR="00535F90" w:rsidRDefault="00535F90"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3124D" w:rsidRPr="00AA5833" w14:paraId="74D2F25D" w14:textId="77777777" w:rsidTr="0043124D">
        <w:trPr>
          <w:jc w:val="center"/>
        </w:trPr>
        <w:tc>
          <w:tcPr>
            <w:tcW w:w="9000" w:type="dxa"/>
            <w:tcBorders>
              <w:top w:val="single" w:sz="4" w:space="0" w:color="auto"/>
              <w:left w:val="single" w:sz="4" w:space="0" w:color="auto"/>
              <w:bottom w:val="single" w:sz="4" w:space="0" w:color="auto"/>
              <w:right w:val="single" w:sz="4" w:space="0" w:color="auto"/>
            </w:tcBorders>
            <w:shd w:val="clear" w:color="auto" w:fill="00CC99"/>
            <w:vAlign w:val="center"/>
          </w:tcPr>
          <w:p w14:paraId="32229C4D" w14:textId="77777777" w:rsidR="0043124D" w:rsidRPr="00AA5833" w:rsidRDefault="0043124D" w:rsidP="0043124D">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ЧАСТ ІV. МОНИТОРИНГОВ ОТЧЕТ ЗА 2024 г. ЗА ИЗПЪЛНЕНИЕ НА АКТУАЛИЗИРАНАТА НАЦИОНАЛНА СТРАТЕГИЯ ЗА ДЕМОГРАФСКО РАЗВИТИЕ НА НАСЕЛЕНИЕТО В Р БЪЛГАРИЯ (2012-2030 г.)</w:t>
            </w:r>
          </w:p>
        </w:tc>
      </w:tr>
    </w:tbl>
    <w:p w14:paraId="5BA8C30F" w14:textId="77777777" w:rsidR="006856A7" w:rsidRPr="00AA5833" w:rsidRDefault="006856A7" w:rsidP="006856A7">
      <w:pPr>
        <w:autoSpaceDE w:val="0"/>
        <w:autoSpaceDN w:val="0"/>
        <w:adjustRightInd w:val="0"/>
        <w:spacing w:after="0" w:line="240" w:lineRule="auto"/>
        <w:jc w:val="both"/>
        <w:rPr>
          <w:rFonts w:ascii="Times New Roman" w:eastAsia="TimesNewRoman" w:hAnsi="Times New Roman" w:cs="Times New Roman"/>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AF2CAD9"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00CC99"/>
            <w:hideMark/>
          </w:tcPr>
          <w:p w14:paraId="744FF83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А. Приоритет І – Забавяне на негативните демографски процеси и намаляването на броя на населението</w:t>
            </w:r>
          </w:p>
        </w:tc>
      </w:tr>
    </w:tbl>
    <w:p w14:paraId="0F5CB16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aps/>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C1E6E3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720DF289"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Направление 1 – Насърчаване на раждаемостта чрез създаване на среда, благоприятна за отглеждането и възпитанието на деца</w:t>
            </w:r>
          </w:p>
        </w:tc>
      </w:tr>
    </w:tbl>
    <w:p w14:paraId="567775AB"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bg-BG"/>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4"/>
      </w:tblGrid>
      <w:tr w:rsidR="00533926" w:rsidRPr="00AA5833" w14:paraId="1169BD38" w14:textId="77777777" w:rsidTr="00533926">
        <w:trPr>
          <w:trHeight w:val="476"/>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FEA0FB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1.1. Финансови стимули за раждане и отглеждане на деца</w:t>
            </w:r>
          </w:p>
        </w:tc>
      </w:tr>
    </w:tbl>
    <w:p w14:paraId="208CC9B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bg-BG"/>
        </w:rPr>
      </w:pPr>
    </w:p>
    <w:p w14:paraId="54241A9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ФИНАНСИТЕ</w:t>
      </w:r>
    </w:p>
    <w:p w14:paraId="081C34C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D2057D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eastAsia="Times New Roman" w:hAnsi="Times New Roman" w:cs="Times New Roman"/>
          <w:b/>
          <w:sz w:val="24"/>
          <w:szCs w:val="24"/>
          <w:lang w:eastAsia="bg-BG"/>
        </w:rPr>
        <w:t xml:space="preserve">1.1.1. </w:t>
      </w:r>
      <w:r w:rsidRPr="00AA5833">
        <w:rPr>
          <w:rFonts w:ascii="Times New Roman" w:hAnsi="Times New Roman"/>
          <w:b/>
          <w:bCs/>
          <w:sz w:val="24"/>
          <w:szCs w:val="24"/>
          <w:lang w:eastAsia="bg-BG"/>
        </w:rPr>
        <w:t xml:space="preserve">Данъчно </w:t>
      </w:r>
      <w:r w:rsidRPr="00AA5833">
        <w:rPr>
          <w:rFonts w:ascii="Times New Roman" w:hAnsi="Times New Roman" w:cs="Times New Roman"/>
          <w:b/>
          <w:sz w:val="24"/>
          <w:szCs w:val="24"/>
        </w:rPr>
        <w:t>облекчение за деца по чл.22в от Закона за данъците върху доходите на физическите лица (ЗДДФЛ)</w:t>
      </w:r>
    </w:p>
    <w:p w14:paraId="1CD6550E" w14:textId="77777777" w:rsidR="00533926" w:rsidRPr="00AA5833" w:rsidRDefault="00533926" w:rsidP="00533926">
      <w:pPr>
        <w:autoSpaceDE w:val="0"/>
        <w:autoSpaceDN w:val="0"/>
        <w:adjustRightInd w:val="0"/>
        <w:spacing w:after="0" w:line="240" w:lineRule="auto"/>
        <w:jc w:val="both"/>
        <w:rPr>
          <w:rFonts w:ascii="Times New Roman" w:hAnsi="Times New Roman"/>
          <w:b/>
          <w:bCs/>
          <w:sz w:val="24"/>
          <w:szCs w:val="24"/>
          <w:lang w:eastAsia="bg-BG"/>
        </w:rPr>
      </w:pPr>
    </w:p>
    <w:p w14:paraId="6589C948" w14:textId="77777777" w:rsidR="00533926" w:rsidRPr="00AA5833" w:rsidRDefault="00533926" w:rsidP="00533926">
      <w:pPr>
        <w:autoSpaceDE w:val="0"/>
        <w:autoSpaceDN w:val="0"/>
        <w:spacing w:after="0" w:line="240" w:lineRule="auto"/>
        <w:ind w:firstLine="709"/>
        <w:jc w:val="both"/>
        <w:rPr>
          <w:rFonts w:ascii="Times New Roman" w:eastAsia="Calibri" w:hAnsi="Times New Roman"/>
          <w:color w:val="000000"/>
          <w:sz w:val="24"/>
          <w:szCs w:val="24"/>
          <w:lang w:eastAsia="bg-BG"/>
        </w:rPr>
      </w:pPr>
      <w:r w:rsidRPr="00AA5833">
        <w:rPr>
          <w:rFonts w:ascii="Times New Roman" w:eastAsia="Calibri" w:hAnsi="Times New Roman"/>
          <w:color w:val="000000"/>
          <w:sz w:val="24"/>
          <w:szCs w:val="24"/>
          <w:lang w:eastAsia="bg-BG"/>
        </w:rPr>
        <w:t xml:space="preserve">Данъчната преференция за деца по чл. 22в от Закона за данъците върху доходите на физическите лица (ЗДДФЛ) е насочена към подпомагането на данъчно задължени лица (родители, настойници, попечители или приемни родители) при отглеждането на деца, чрез намаляване реалния размер на тяхното данъчно задължение и по този начин осигуряване на по-голям разполагаем доход. Данъчното облекчение може да се ползва за деца, ненавършили пълнолетие, когато са налице посочените в закона обстоятелства. Всяко данъчно задължено лице, което има право да ползва данъчното облекчение за 2024 г., може да приспада от сумата на годишните си данъчни основи по чл. 17 от ЗДДФЛ 6 000 лв. за едно дете, 12 000 лв. за две деца и 18 000 лв. за три и повече деца, като съответно намалението от дължимия годишен данък е в размер на 600 лв., 1 200 лв. или 1 800 лв., когато са налице посочените в закона обстоятелства.  Въведена е и възможност за авансово ползване на данъчното облекчение за деца. </w:t>
      </w:r>
    </w:p>
    <w:p w14:paraId="71FBCF22" w14:textId="77777777" w:rsidR="00533926" w:rsidRDefault="00533926" w:rsidP="00533926">
      <w:pPr>
        <w:autoSpaceDE w:val="0"/>
        <w:autoSpaceDN w:val="0"/>
        <w:spacing w:after="0" w:line="240" w:lineRule="auto"/>
        <w:ind w:firstLine="709"/>
        <w:jc w:val="both"/>
        <w:rPr>
          <w:rFonts w:ascii="Times New Roman" w:hAnsi="Times New Roman" w:cs="Times New Roman"/>
          <w:color w:val="000000"/>
          <w:sz w:val="24"/>
          <w:szCs w:val="24"/>
          <w:lang w:eastAsia="bg-BG"/>
        </w:rPr>
      </w:pPr>
      <w:r w:rsidRPr="00AA5833">
        <w:rPr>
          <w:rFonts w:ascii="Times New Roman" w:hAnsi="Times New Roman" w:cs="Times New Roman"/>
          <w:color w:val="000000"/>
          <w:sz w:val="24"/>
          <w:szCs w:val="24"/>
          <w:lang w:eastAsia="bg-BG"/>
        </w:rPr>
        <w:t>Размерът на данъчното облекчение за деца е приет с § 2 от Преходните и заключителните разпоредби на Закона за държавния бюджет на Република България за 2024 г., обн., ДВ, бр. 108 от 30.12.2023 година.</w:t>
      </w:r>
    </w:p>
    <w:p w14:paraId="64462E7B" w14:textId="77777777" w:rsidR="00D22EF5" w:rsidRPr="00AA5833" w:rsidRDefault="00D22EF5" w:rsidP="00533926">
      <w:pPr>
        <w:autoSpaceDE w:val="0"/>
        <w:autoSpaceDN w:val="0"/>
        <w:spacing w:after="0" w:line="240" w:lineRule="auto"/>
        <w:ind w:firstLine="709"/>
        <w:jc w:val="both"/>
        <w:rPr>
          <w:rFonts w:ascii="Times New Roman" w:hAnsi="Times New Roman" w:cs="Times New Roman"/>
          <w:color w:val="000000"/>
          <w:sz w:val="24"/>
          <w:szCs w:val="24"/>
          <w:lang w:eastAsia="bg-BG"/>
        </w:rPr>
      </w:pPr>
      <w:r w:rsidRPr="00D22EF5">
        <w:rPr>
          <w:rFonts w:ascii="Times New Roman" w:hAnsi="Times New Roman" w:cs="Times New Roman"/>
          <w:color w:val="000000"/>
          <w:sz w:val="24"/>
          <w:szCs w:val="24"/>
          <w:lang w:eastAsia="bg-BG"/>
        </w:rPr>
        <w:t>През 2024 г. броят на лицата, използвали данъчното облекчение възлиза на 529 328 души, а размерът на данъчния разход е 433 525 175 лева. Информацията се отнася както за лицата, които са подали годишна данъчна декларация по реда на чл. 50 от ЗДДФЛ, така и за лицата, които са ползвали данъчното облекчение чрез работодател.</w:t>
      </w:r>
    </w:p>
    <w:p w14:paraId="73720A82" w14:textId="77777777" w:rsidR="00533926" w:rsidRPr="00AA5833" w:rsidRDefault="00533926" w:rsidP="00533926">
      <w:pPr>
        <w:autoSpaceDE w:val="0"/>
        <w:autoSpaceDN w:val="0"/>
        <w:spacing w:after="0" w:line="240" w:lineRule="auto"/>
        <w:ind w:firstLine="709"/>
        <w:jc w:val="both"/>
        <w:rPr>
          <w:rFonts w:ascii="Times New Roman" w:hAnsi="Times New Roman" w:cs="Times New Roman"/>
          <w:color w:val="000000"/>
          <w:sz w:val="24"/>
          <w:szCs w:val="24"/>
          <w:lang w:eastAsia="bg-BG"/>
        </w:rPr>
      </w:pPr>
    </w:p>
    <w:p w14:paraId="790A17A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ФИНАНСИТЕ</w:t>
      </w:r>
    </w:p>
    <w:p w14:paraId="133A80BE" w14:textId="77777777" w:rsidR="00533926" w:rsidRPr="00AA5833" w:rsidRDefault="00533926" w:rsidP="00533926">
      <w:pPr>
        <w:autoSpaceDE w:val="0"/>
        <w:autoSpaceDN w:val="0"/>
        <w:spacing w:after="0" w:line="240" w:lineRule="auto"/>
        <w:ind w:firstLine="709"/>
        <w:jc w:val="both"/>
        <w:rPr>
          <w:rFonts w:ascii="Times New Roman" w:hAnsi="Times New Roman" w:cs="Times New Roman"/>
          <w:color w:val="000000"/>
          <w:lang w:eastAsia="bg-BG"/>
        </w:rPr>
      </w:pPr>
    </w:p>
    <w:p w14:paraId="4669C47A" w14:textId="77777777" w:rsidR="00533926" w:rsidRPr="00AA5833" w:rsidRDefault="00533926" w:rsidP="001F3415">
      <w:pPr>
        <w:autoSpaceDE w:val="0"/>
        <w:autoSpaceDN w:val="0"/>
        <w:adjustRightInd w:val="0"/>
        <w:spacing w:after="0" w:line="240" w:lineRule="auto"/>
        <w:jc w:val="both"/>
        <w:rPr>
          <w:rFonts w:ascii="Times New Roman" w:hAnsi="Times New Roman"/>
          <w:b/>
          <w:bCs/>
          <w:color w:val="000000"/>
          <w:sz w:val="24"/>
          <w:szCs w:val="24"/>
          <w:lang w:eastAsia="bg-BG"/>
        </w:rPr>
      </w:pPr>
      <w:r w:rsidRPr="00AA5833">
        <w:rPr>
          <w:rFonts w:ascii="Times New Roman" w:hAnsi="Times New Roman"/>
          <w:b/>
          <w:bCs/>
          <w:color w:val="000000"/>
          <w:sz w:val="24"/>
          <w:szCs w:val="24"/>
          <w:lang w:eastAsia="bg-BG"/>
        </w:rPr>
        <w:t>1.1.2. Данъчно облекчение за деца с увреждания по чл. 22г от Закона за данъците върху доходите на физическите лица</w:t>
      </w:r>
    </w:p>
    <w:p w14:paraId="62A352C9"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b/>
          <w:bCs/>
          <w:color w:val="000000"/>
          <w:sz w:val="24"/>
          <w:szCs w:val="24"/>
          <w:lang w:eastAsia="bg-BG"/>
        </w:rPr>
      </w:pPr>
    </w:p>
    <w:p w14:paraId="2EABDA63"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bCs/>
          <w:color w:val="000000"/>
          <w:sz w:val="24"/>
          <w:szCs w:val="24"/>
          <w:lang w:eastAsia="bg-BG"/>
        </w:rPr>
      </w:pPr>
      <w:r w:rsidRPr="00AA5833">
        <w:rPr>
          <w:rFonts w:ascii="Times New Roman" w:hAnsi="Times New Roman"/>
          <w:bCs/>
          <w:color w:val="000000"/>
          <w:sz w:val="24"/>
          <w:szCs w:val="24"/>
          <w:lang w:eastAsia="bg-BG"/>
        </w:rPr>
        <w:t xml:space="preserve">Данъчната преференция за деца с увреждания по чл. 22г от ЗДДФЛ е насочена към подпомагане на данъчно задължени лица (родители, настойници, попечители или приемни родители), които отглеждат деца с увреждания. Данъчното облекчение може да се ползва за деца с увреждания, ненавършили пълнолетие, когато са налице посочените в закона обстоятелства. Всяко данъчно задължено лице, което има право да ползва данъчното облекчение за 2024 г. на дете с 50 и над 50 на сто вид и степен на увреждане може да приспада от общата си годишна данъчна основа по чл. 17 от ЗДДФЛ 12 000 лв., </w:t>
      </w:r>
      <w:r w:rsidRPr="00AA5833">
        <w:rPr>
          <w:rFonts w:ascii="Times New Roman" w:hAnsi="Times New Roman"/>
          <w:bCs/>
          <w:color w:val="000000"/>
          <w:sz w:val="24"/>
          <w:szCs w:val="24"/>
          <w:lang w:eastAsia="bg-BG"/>
        </w:rPr>
        <w:lastRenderedPageBreak/>
        <w:t xml:space="preserve">като съответно намалението от дължимия годишен данък е в размер на 1 200 лева. Данъчното облекчение може да се ползва едновременно с данъчното облекчение за деца по чл. 22в от ЗДДФЛ. Въведена е и възможност за авансово ползване на данъчното облекчение за деца с увреждания. </w:t>
      </w:r>
    </w:p>
    <w:p w14:paraId="11E5DAFD" w14:textId="77777777" w:rsidR="00533926" w:rsidRDefault="00533926" w:rsidP="00533926">
      <w:pPr>
        <w:autoSpaceDE w:val="0"/>
        <w:autoSpaceDN w:val="0"/>
        <w:adjustRightInd w:val="0"/>
        <w:spacing w:after="0" w:line="240" w:lineRule="auto"/>
        <w:ind w:firstLine="708"/>
        <w:jc w:val="both"/>
        <w:rPr>
          <w:rFonts w:ascii="Times New Roman" w:hAnsi="Times New Roman"/>
          <w:bCs/>
          <w:color w:val="000000"/>
          <w:sz w:val="24"/>
          <w:szCs w:val="24"/>
          <w:lang w:eastAsia="bg-BG"/>
        </w:rPr>
      </w:pPr>
      <w:r w:rsidRPr="00AA5833">
        <w:rPr>
          <w:rFonts w:ascii="Times New Roman" w:hAnsi="Times New Roman"/>
          <w:bCs/>
          <w:color w:val="000000"/>
          <w:sz w:val="24"/>
          <w:szCs w:val="24"/>
          <w:lang w:eastAsia="bg-BG"/>
        </w:rPr>
        <w:t>Размерът на данъчното облекчение за деца с увреждания е приет с § 2 от Преходните и заключителните разпоредби на Закона за държавния бюджет на Република България за 2024 г., обн., ДВ, бр. 108 от 30.12.2023 г.</w:t>
      </w:r>
    </w:p>
    <w:p w14:paraId="3A0ED947" w14:textId="77777777" w:rsidR="008C5DFA" w:rsidRPr="00AA5833" w:rsidRDefault="008C5DFA" w:rsidP="00533926">
      <w:pPr>
        <w:autoSpaceDE w:val="0"/>
        <w:autoSpaceDN w:val="0"/>
        <w:adjustRightInd w:val="0"/>
        <w:spacing w:after="0" w:line="240" w:lineRule="auto"/>
        <w:ind w:firstLine="708"/>
        <w:jc w:val="both"/>
        <w:rPr>
          <w:rFonts w:ascii="Times New Roman" w:hAnsi="Times New Roman"/>
          <w:bCs/>
          <w:color w:val="000000"/>
          <w:sz w:val="24"/>
          <w:szCs w:val="24"/>
          <w:lang w:eastAsia="bg-BG"/>
        </w:rPr>
      </w:pPr>
      <w:r w:rsidRPr="008C5DFA">
        <w:rPr>
          <w:rFonts w:ascii="Times New Roman" w:hAnsi="Times New Roman"/>
          <w:bCs/>
          <w:color w:val="000000"/>
          <w:sz w:val="24"/>
          <w:szCs w:val="24"/>
          <w:lang w:eastAsia="bg-BG"/>
        </w:rPr>
        <w:t>През 2024 г. броят на лицата, ползвали данъчното облекчение за деца с увреждания е 17 157 души, а размерът на данъчния разход е 18 733 404 лева. За о</w:t>
      </w:r>
      <w:r w:rsidR="001F3415">
        <w:rPr>
          <w:rFonts w:ascii="Times New Roman" w:hAnsi="Times New Roman"/>
          <w:bCs/>
          <w:color w:val="000000"/>
          <w:sz w:val="24"/>
          <w:szCs w:val="24"/>
          <w:lang w:eastAsia="bg-BG"/>
        </w:rPr>
        <w:t>ценка на данъчния разход за 2024</w:t>
      </w:r>
      <w:r w:rsidRPr="008C5DFA">
        <w:rPr>
          <w:rFonts w:ascii="Times New Roman" w:hAnsi="Times New Roman"/>
          <w:bCs/>
          <w:color w:val="000000"/>
          <w:sz w:val="24"/>
          <w:szCs w:val="24"/>
          <w:lang w:eastAsia="bg-BG"/>
        </w:rPr>
        <w:t xml:space="preserve"> г. са използвани данни както за лицата, които са подали годишна данъчна декларация по реда на чл. 50 от ЗДДФЛ, така и за лицата, които са ползвали данъчното облекчение чрез работодател.</w:t>
      </w:r>
    </w:p>
    <w:p w14:paraId="66B24990"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bCs/>
          <w:color w:val="000000"/>
          <w:sz w:val="24"/>
          <w:szCs w:val="24"/>
          <w:lang w:eastAsia="bg-BG"/>
        </w:rPr>
      </w:pPr>
    </w:p>
    <w:p w14:paraId="60BD122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506EFB4C"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bCs/>
          <w:color w:val="000000"/>
          <w:sz w:val="24"/>
          <w:szCs w:val="24"/>
          <w:lang w:eastAsia="bg-BG"/>
        </w:rPr>
      </w:pPr>
    </w:p>
    <w:p w14:paraId="4CAB803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bCs/>
          <w:color w:val="000000"/>
          <w:sz w:val="24"/>
          <w:szCs w:val="24"/>
          <w:lang w:eastAsia="bg-BG"/>
        </w:rPr>
      </w:pPr>
      <w:r w:rsidRPr="00AA5833">
        <w:rPr>
          <w:rFonts w:ascii="Times New Roman" w:hAnsi="Times New Roman" w:cs="Times New Roman"/>
          <w:b/>
          <w:bCs/>
          <w:color w:val="000000"/>
          <w:sz w:val="24"/>
          <w:szCs w:val="24"/>
          <w:lang w:eastAsia="bg-BG"/>
        </w:rPr>
        <w:t>1.1.3. Предоставяне на помощи, отпускани по реда на Закона за семейни помощи за деца в изпълнение на Бюджетна програма „Подкрепа за децата и семействата”</w:t>
      </w:r>
    </w:p>
    <w:p w14:paraId="6A63274E"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cs="Times New Roman"/>
          <w:bCs/>
          <w:color w:val="000000"/>
          <w:sz w:val="24"/>
          <w:szCs w:val="24"/>
          <w:lang w:eastAsia="bg-BG"/>
        </w:rPr>
      </w:pPr>
    </w:p>
    <w:p w14:paraId="78E7CD4C"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Агенцията за социално подпомагане (АСП) има ангажименти по изпълнение на една от програмите за реализиране на политиката за социално включване, съществена част от която е предоставянето на финансова и материална подкрепа за семействата с деца и семействата, които полагат грижи за деца в риск.</w:t>
      </w:r>
    </w:p>
    <w:p w14:paraId="6FBBE760" w14:textId="77777777" w:rsidR="003D09AB" w:rsidRPr="003D09AB" w:rsidRDefault="00533926" w:rsidP="003D09AB">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r>
      <w:r w:rsidR="003D09AB" w:rsidRPr="003D09AB">
        <w:rPr>
          <w:rFonts w:ascii="Times New Roman" w:hAnsi="Times New Roman" w:cs="Times New Roman"/>
          <w:sz w:val="24"/>
          <w:szCs w:val="24"/>
        </w:rPr>
        <w:t xml:space="preserve">Финансовата подкрепа на семействата със семейни помощи за деца е регламентирана в Закона за семейни помощи за деца (ЗСПД) и Правилника за неговото прилагане (ППЗСПД). </w:t>
      </w:r>
    </w:p>
    <w:p w14:paraId="16A83701" w14:textId="77777777" w:rsidR="003D09AB" w:rsidRPr="003D09AB" w:rsidRDefault="003D09AB" w:rsidP="003D09AB">
      <w:pPr>
        <w:spacing w:after="0" w:line="240" w:lineRule="auto"/>
        <w:jc w:val="both"/>
        <w:rPr>
          <w:rFonts w:ascii="Times New Roman" w:hAnsi="Times New Roman" w:cs="Times New Roman"/>
          <w:sz w:val="24"/>
          <w:szCs w:val="24"/>
        </w:rPr>
      </w:pPr>
      <w:r w:rsidRPr="003D09AB">
        <w:rPr>
          <w:rFonts w:ascii="Times New Roman" w:hAnsi="Times New Roman" w:cs="Times New Roman"/>
          <w:sz w:val="24"/>
          <w:szCs w:val="24"/>
        </w:rPr>
        <w:tab/>
        <w:t xml:space="preserve">Основната цел на предоставянето на семейни помощи е отглеждането на децата в семейна среда, като същевременно се насърчава тяхното предучилищно и училищно образование, достъпа до здравни грижи и др. По този начин пряко се защитават едни от основните права на детето, гарантирани от Конвенцията на ООН за правата на детето. </w:t>
      </w:r>
    </w:p>
    <w:p w14:paraId="4E52CED8" w14:textId="77777777" w:rsidR="00533926" w:rsidRPr="00AA5833" w:rsidRDefault="003D09AB" w:rsidP="003D09AB">
      <w:pPr>
        <w:spacing w:after="0" w:line="240" w:lineRule="auto"/>
        <w:jc w:val="both"/>
        <w:rPr>
          <w:rFonts w:ascii="Times New Roman" w:hAnsi="Times New Roman" w:cs="Times New Roman"/>
          <w:sz w:val="24"/>
          <w:szCs w:val="24"/>
        </w:rPr>
      </w:pPr>
      <w:r w:rsidRPr="003D09AB">
        <w:rPr>
          <w:rFonts w:ascii="Times New Roman" w:hAnsi="Times New Roman" w:cs="Times New Roman"/>
          <w:sz w:val="24"/>
          <w:szCs w:val="24"/>
        </w:rPr>
        <w:tab/>
        <w:t>Семейните помощи по реда на ЗСПД са средства в пари и/или в натура, които имат за цел да осигурят финансова подкрепа при бременност, раждане или отглеждането на децата в семейна среда от родителите или от лицата, полагащи грижи за тях. Предоставят се под формата на еднократни или месечни плащания от дирекции „Социално подпомагане“ (ДСП) въз основа на подадено заявление-декларация заедно с необходимите документи. Заявлението-декларация се подава по настоящ адрес от майката или друг законен представител на детето.</w:t>
      </w:r>
      <w:r w:rsidR="005D26DA">
        <w:rPr>
          <w:rFonts w:ascii="Times New Roman" w:hAnsi="Times New Roman" w:cs="Times New Roman"/>
          <w:sz w:val="24"/>
          <w:szCs w:val="24"/>
        </w:rPr>
        <w:t xml:space="preserve"> </w:t>
      </w:r>
      <w:r w:rsidR="00533926" w:rsidRPr="00AA5833">
        <w:rPr>
          <w:rFonts w:ascii="Times New Roman" w:hAnsi="Times New Roman" w:cs="Times New Roman"/>
          <w:sz w:val="24"/>
          <w:szCs w:val="24"/>
        </w:rPr>
        <w:t xml:space="preserve">За всяка помощ е възприет разграничителен критерий и конкретно определени условия, съобразени с предназначението ѝ. По-голямата част от семейните помощи се предоставят без доходен критерий. През 2024 г. само три от тях се предоставяха след доходен тест, като границата за достъп е определена в Закона за държавния бюджет на Република България (ЗДБРБ) за съответната година. Важно е да се отбележи, че законодателят е регламентирал различен доходен критерий за отпускане на съответния вид семейна помощ. През 2024 г. еднократната помощ при бременност и месечните помощи за отглеждане на дете до навършване на една година, се предоставяха на семейства със средномесечен доход на член от семейството през предходните 12 месеца преди подаване на заявлението-декларация по-нисък или равен на 810 лв. </w:t>
      </w:r>
    </w:p>
    <w:p w14:paraId="59D6181F"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Месечните помощи за отглеждане на дете до завършване на средно образование, но не повече от 20-годишна възраст, се предоставяха при двоен доходен критерий, в зависимост от който се определя и размера на помощта. През 2024 г. средномесечният доход за достъп до пълния размер на помощта е 710 лв. За семействата с доход между </w:t>
      </w:r>
      <w:r w:rsidRPr="00AA5833">
        <w:rPr>
          <w:rFonts w:ascii="Times New Roman" w:hAnsi="Times New Roman" w:cs="Times New Roman"/>
          <w:sz w:val="24"/>
          <w:szCs w:val="24"/>
        </w:rPr>
        <w:lastRenderedPageBreak/>
        <w:t>710,01 лв. и 810 лв., включително, помощта се предоставя в размер 80 на сто от пълния ѝ размер.</w:t>
      </w:r>
      <w:r w:rsidR="005D26DA">
        <w:rPr>
          <w:rFonts w:ascii="Times New Roman" w:hAnsi="Times New Roman" w:cs="Times New Roman"/>
          <w:sz w:val="24"/>
          <w:szCs w:val="24"/>
        </w:rPr>
        <w:t xml:space="preserve"> </w:t>
      </w:r>
      <w:r w:rsidR="005D26DA" w:rsidRPr="005D26DA">
        <w:rPr>
          <w:rFonts w:ascii="Times New Roman" w:hAnsi="Times New Roman" w:cs="Times New Roman"/>
          <w:sz w:val="24"/>
          <w:szCs w:val="24"/>
        </w:rPr>
        <w:t>Месечни помощи за отглеждане на дете до завършване на средно образование, но не повече от 20-годишна възраст – (размерът на помощта, определен в ЗДБРБ за 2024 г. е както следва: семейство с едно дете е 50 лв.; семейство с две деца – 110 лв.; семейство с три деца – 165 лв.; семейство с четири деца – 175, като за всяко следващо дете в семейството помощта нараства с 20 лв. През 2024 г. с месечни помощи за деца средномесечно са подпомогнати 279 497 семейства с 439 161 средномесечен брой деца, в т.ч. средномесечно 1 949 семейства с 2 175 деца са получили помощта си под формата на ваучери. Изплатената сума за периода е 279 725 661 лв.</w:t>
      </w:r>
    </w:p>
    <w:p w14:paraId="05684D6F" w14:textId="77777777" w:rsidR="005D26DA"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r>
      <w:r w:rsidR="003D09AB" w:rsidRPr="003D09AB">
        <w:rPr>
          <w:rFonts w:ascii="Times New Roman" w:hAnsi="Times New Roman" w:cs="Times New Roman"/>
          <w:sz w:val="24"/>
          <w:szCs w:val="24"/>
        </w:rPr>
        <w:t>В случаите, когато децата са настанени за отглеждане в семейство на роднини, близки или в приемно семейство по реда на чл. 26 от ЗЗД, семейните помощи се предоставят на законните им представители, независимо от дохода на семейството.</w:t>
      </w:r>
      <w:r w:rsidRPr="00AA5833">
        <w:rPr>
          <w:rFonts w:ascii="Times New Roman" w:hAnsi="Times New Roman" w:cs="Times New Roman"/>
          <w:sz w:val="24"/>
          <w:szCs w:val="24"/>
        </w:rPr>
        <w:tab/>
        <w:t xml:space="preserve">Когато родителите или лицата, получаващи семейната помощ, не полагат грижи за детето/децата си, семейната помощ не се използва по предназначение за детето/децата, родителите или лицата, получаващи семейната помощ, не изпълняват задължението по чл. 8, ал. 6 от ЗЗД или майката, на която са отпуснати месечни помощи, не е навършила 18 години, е регламентирана възможност същата да бъде предоставена в натура под формата на стоки и/или услуги за детето в съответствие с индивидуалните му потребности, оценени от ДСП. </w:t>
      </w:r>
    </w:p>
    <w:p w14:paraId="0D6F4B95"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Помощите в натура се предоставят под формата на ваучери.</w:t>
      </w:r>
    </w:p>
    <w:p w14:paraId="01B345B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Ваучерите са вид ценни книжа за замяна и се издават от АСП по образец, утвърден от изпълнителния директор на АСП. Предоставят се от ДСП на правоимащите лица и се използват като разплащателно средство до размера на отбелязаната върху тях номинална стойност за получаване на отпуснати семейни помощи в натура. Ваучерите се предоставят за закупуване на облекло, обувки, учебни пособия, бебешки принадлежности, козметични и хигиенни материали и други стоки за ежедневна употреба, необходими за детето според неговата възраст.</w:t>
      </w:r>
    </w:p>
    <w:p w14:paraId="5585FB88" w14:textId="77777777" w:rsidR="003D09AB" w:rsidRPr="003D09AB" w:rsidRDefault="00533926" w:rsidP="003D09AB">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r>
      <w:r w:rsidR="003D09AB" w:rsidRPr="003D09AB">
        <w:rPr>
          <w:rFonts w:ascii="Times New Roman" w:hAnsi="Times New Roman" w:cs="Times New Roman"/>
          <w:sz w:val="24"/>
          <w:szCs w:val="24"/>
        </w:rPr>
        <w:t>Отчетените показатели за изпълнение на бюджетна програма „Подкрепа за децата и семействата” през 2024 г. са, както следва:</w:t>
      </w:r>
    </w:p>
    <w:p w14:paraId="100F74E4" w14:textId="77777777" w:rsidR="003D09AB" w:rsidRPr="003D09AB" w:rsidRDefault="003D09AB" w:rsidP="003D09AB">
      <w:pPr>
        <w:pStyle w:val="ListParagraph"/>
        <w:numPr>
          <w:ilvl w:val="0"/>
          <w:numId w:val="110"/>
        </w:numPr>
        <w:ind w:left="0" w:firstLine="426"/>
        <w:jc w:val="both"/>
      </w:pPr>
      <w:r w:rsidRPr="003D09AB">
        <w:rPr>
          <w:b/>
        </w:rPr>
        <w:t>Еднократна помощ при бременност</w:t>
      </w:r>
      <w:r w:rsidRPr="003D09AB">
        <w:t xml:space="preserve"> – размерът на помощта за 2024 г. не е променян и е в размер на 225 лева. За 2024 г. с еднократна помощ при бременност са подпомогнати 8 660 бременни жени, за което са изплатени 1 903 520 лева.</w:t>
      </w:r>
    </w:p>
    <w:p w14:paraId="3C040933" w14:textId="77777777" w:rsidR="003D09AB" w:rsidRPr="003D09AB" w:rsidRDefault="003D09AB" w:rsidP="003D09AB">
      <w:pPr>
        <w:pStyle w:val="ListParagraph"/>
        <w:numPr>
          <w:ilvl w:val="0"/>
          <w:numId w:val="110"/>
        </w:numPr>
        <w:ind w:left="0" w:firstLine="426"/>
        <w:jc w:val="both"/>
      </w:pPr>
      <w:r w:rsidRPr="003D09AB">
        <w:rPr>
          <w:b/>
        </w:rPr>
        <w:t>Еднократна помощ при раждане на дете</w:t>
      </w:r>
      <w:r w:rsidRPr="003D09AB">
        <w:t xml:space="preserve"> – размерите на помощите през 2024 г. са: за първо дете – 375 лева; за второ дете – 900 лева; за трето дете – 450 лева, за четвърто и всяко следващо дете – 300 лева. За 2024 г. са изплатени 29 353 855 лева за 55 112 деца.</w:t>
      </w:r>
    </w:p>
    <w:p w14:paraId="01E1B01D" w14:textId="77777777" w:rsidR="003D09AB" w:rsidRPr="003D09AB" w:rsidRDefault="003D09AB" w:rsidP="003D09AB">
      <w:pPr>
        <w:pStyle w:val="ListParagraph"/>
        <w:numPr>
          <w:ilvl w:val="0"/>
          <w:numId w:val="110"/>
        </w:numPr>
        <w:ind w:left="0" w:firstLine="426"/>
        <w:jc w:val="both"/>
      </w:pPr>
      <w:r w:rsidRPr="003D09AB">
        <w:rPr>
          <w:b/>
        </w:rPr>
        <w:t>Еднократна помощ за осиновяване на дете</w:t>
      </w:r>
      <w:r w:rsidRPr="003D09AB">
        <w:t xml:space="preserve"> – размерът за 2024 г. е 375 лева. Към 31.12.2024 г. са изплатени еднократни помощи за 330 осиновени деца, а изплатената сума за периода е 114 625 лева.</w:t>
      </w:r>
    </w:p>
    <w:p w14:paraId="4A2E000F" w14:textId="77777777" w:rsidR="003D09AB" w:rsidRPr="003D09AB" w:rsidRDefault="003D09AB" w:rsidP="003D09AB">
      <w:pPr>
        <w:pStyle w:val="ListParagraph"/>
        <w:numPr>
          <w:ilvl w:val="0"/>
          <w:numId w:val="110"/>
        </w:numPr>
        <w:ind w:left="0" w:firstLine="426"/>
        <w:jc w:val="both"/>
      </w:pPr>
      <w:r w:rsidRPr="003D09AB">
        <w:rPr>
          <w:b/>
        </w:rPr>
        <w:t>Еднократна помощ за отглеждане на близнаци</w:t>
      </w:r>
      <w:r w:rsidRPr="003D09AB">
        <w:t xml:space="preserve"> – размер на помощта – 1 200 лв. за всяко дете-близнак. За 2024 г. помощта е изплатена за 1707 деца в общ размер на 2 036 400 лева. </w:t>
      </w:r>
    </w:p>
    <w:p w14:paraId="61C509C7" w14:textId="77777777" w:rsidR="003D09AB" w:rsidRPr="003D09AB" w:rsidRDefault="003D09AB" w:rsidP="003D09AB">
      <w:pPr>
        <w:pStyle w:val="ListParagraph"/>
        <w:numPr>
          <w:ilvl w:val="0"/>
          <w:numId w:val="110"/>
        </w:numPr>
        <w:ind w:left="0" w:firstLine="426"/>
        <w:jc w:val="both"/>
      </w:pPr>
      <w:r w:rsidRPr="003D09AB">
        <w:rPr>
          <w:b/>
        </w:rPr>
        <w:t>Еднократна помощ за отглеждане на дете от майка (осиновителка) студентка, учаща в редовна форма на обучение</w:t>
      </w:r>
      <w:r w:rsidRPr="003D09AB">
        <w:t xml:space="preserve"> – размерът на помощта за 2024 г. е 2880 лв., като сумата се изплаща на 2 транша по 1440 лева. Към 31.12.2024 г. по реда на чл. 8в от ЗСПД са изплатени 365 983 лв., от които 131 бр. случаи за първо плащане и 108 бр. случаи – второ плащане.</w:t>
      </w:r>
    </w:p>
    <w:p w14:paraId="5F150F54" w14:textId="77777777" w:rsidR="003D09AB" w:rsidRPr="003D09AB" w:rsidRDefault="003D09AB" w:rsidP="003D09AB">
      <w:pPr>
        <w:pStyle w:val="ListParagraph"/>
        <w:numPr>
          <w:ilvl w:val="0"/>
          <w:numId w:val="110"/>
        </w:numPr>
        <w:ind w:left="0" w:firstLine="426"/>
        <w:jc w:val="both"/>
      </w:pPr>
      <w:r w:rsidRPr="003D09AB">
        <w:rPr>
          <w:b/>
        </w:rPr>
        <w:t>Еднократна помощ за ученици, записани в първи клас или са записани или продължават обучението си във втори, трети и четвърти клас</w:t>
      </w:r>
      <w:r w:rsidRPr="003D09AB">
        <w:t xml:space="preserve"> – размерът на помощта за учебната 2024/2025 г. е 300 лева. Изплащането на еднократната помощ за ученици се извършва на два пъти, като петдесет на сто от размера на помощта се изплаща или </w:t>
      </w:r>
      <w:r w:rsidRPr="003D09AB">
        <w:lastRenderedPageBreak/>
        <w:t xml:space="preserve">предоставя след влизане в сила на заповедта за отпускането ѝ, а останалите петдесет на сто от размера на помощта се изплаща или предоставя в началото на втория учебен срок, ако детето продължава да учи. За учебната 2024/2025 г. са обобщени данни за 52 190 бр. деца в първи клас, 50 244 бр. деца във втори клас, 49 332 бр. деца в трети клас и 49 402 бр. деца в четвърти клас. Изплатената сума е 30 037 270 лева. </w:t>
      </w:r>
    </w:p>
    <w:p w14:paraId="45F9E2E8" w14:textId="77777777" w:rsidR="003D09AB" w:rsidRPr="003D09AB" w:rsidRDefault="003D09AB" w:rsidP="003D09AB">
      <w:pPr>
        <w:pStyle w:val="ListParagraph"/>
        <w:numPr>
          <w:ilvl w:val="0"/>
          <w:numId w:val="110"/>
        </w:numPr>
        <w:ind w:left="0" w:firstLine="426"/>
        <w:jc w:val="both"/>
      </w:pPr>
      <w:r w:rsidRPr="003D09AB">
        <w:rPr>
          <w:b/>
        </w:rPr>
        <w:t>Еднократна помощ за ученици, записани в осми клас</w:t>
      </w:r>
      <w:r w:rsidRPr="003D09AB">
        <w:t xml:space="preserve"> – размерът на помощта за учебната 2024/2025 г. е 300 лева. За учебната 2024/2025 г. помощта е предоставена за 49 629 бр. деца. Изплатената сума за 2024 г. е 7 359 206 лева. </w:t>
      </w:r>
    </w:p>
    <w:p w14:paraId="1E82AC82" w14:textId="77777777" w:rsidR="003D09AB" w:rsidRPr="003D09AB" w:rsidRDefault="003D09AB" w:rsidP="003D09AB">
      <w:pPr>
        <w:pStyle w:val="ListParagraph"/>
        <w:numPr>
          <w:ilvl w:val="0"/>
          <w:numId w:val="110"/>
        </w:numPr>
        <w:ind w:left="0" w:firstLine="426"/>
        <w:jc w:val="both"/>
      </w:pPr>
      <w:r w:rsidRPr="003D09AB">
        <w:rPr>
          <w:b/>
        </w:rPr>
        <w:t>Еднократна помощ за безплатно пътуване веднъж в годината с железопътния и автобусния транспорт в страната на многодетни майки</w:t>
      </w:r>
      <w:r w:rsidRPr="003D09AB">
        <w:t xml:space="preserve"> – към 31.12.2024 г. е осигурено правото на 5296 многодетни майки по реда на чл. 8г от ЗСПД, като за тях са изплатени 329 343 лева.</w:t>
      </w:r>
    </w:p>
    <w:p w14:paraId="1620C2FB" w14:textId="77777777" w:rsidR="003D09AB" w:rsidRDefault="003D09AB" w:rsidP="003D09AB">
      <w:pPr>
        <w:pStyle w:val="ListParagraph"/>
        <w:numPr>
          <w:ilvl w:val="0"/>
          <w:numId w:val="110"/>
        </w:numPr>
        <w:ind w:left="0" w:firstLine="426"/>
        <w:jc w:val="both"/>
      </w:pPr>
      <w:r w:rsidRPr="003D09AB">
        <w:rPr>
          <w:b/>
        </w:rPr>
        <w:t>Месечни помощи за отглеждане на дете до навършване на една година</w:t>
      </w:r>
      <w:r w:rsidRPr="003D09AB">
        <w:t xml:space="preserve"> – размерът на помощта за 2024 г. е 200 лева. От началото на 2024 г. до 31.12.2024 г. с месечни помощи за отглеждане на дете до навършване на 1 година средномесечно са подпомогнати 11 223 майки, като от тях 1386 средномесечно получават помощта си под формата на ваучери. Изплатената сума е 23 591 108 лева.</w:t>
      </w:r>
    </w:p>
    <w:p w14:paraId="01E4E32A" w14:textId="77777777" w:rsidR="003D09AB" w:rsidRPr="003D09AB" w:rsidRDefault="003D09AB" w:rsidP="003D09AB">
      <w:pPr>
        <w:pStyle w:val="ListParagraph"/>
        <w:numPr>
          <w:ilvl w:val="0"/>
          <w:numId w:val="110"/>
        </w:numPr>
        <w:ind w:left="0" w:firstLine="426"/>
        <w:jc w:val="both"/>
      </w:pPr>
      <w:r w:rsidRPr="003D09AB">
        <w:rPr>
          <w:b/>
        </w:rPr>
        <w:t xml:space="preserve">Месечни помощи за отглеждане на дете с трайно увреждане </w:t>
      </w:r>
      <w:r w:rsidRPr="003D09AB">
        <w:t xml:space="preserve">по реда на чл. 8д от ЗСПД през 2024 г. са предоставени за средномесечно 28 146 деца. Изплатената сума е 239 994 110 лева. </w:t>
      </w:r>
    </w:p>
    <w:p w14:paraId="44EB7CC7" w14:textId="77777777" w:rsidR="00533926" w:rsidRPr="00AA5833" w:rsidRDefault="00533926" w:rsidP="004111A5">
      <w:pPr>
        <w:numPr>
          <w:ilvl w:val="0"/>
          <w:numId w:val="39"/>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4111A5">
        <w:rPr>
          <w:rFonts w:ascii="Times New Roman" w:hAnsi="Times New Roman" w:cs="Times New Roman"/>
          <w:sz w:val="24"/>
          <w:szCs w:val="24"/>
        </w:rPr>
        <w:t>Размерът на месечната помощ за отглеждане на дете с трайно увреждане</w:t>
      </w:r>
      <w:r w:rsidRPr="00AA5833">
        <w:rPr>
          <w:rFonts w:ascii="Times New Roman" w:hAnsi="Times New Roman" w:cs="Times New Roman"/>
          <w:sz w:val="24"/>
          <w:szCs w:val="24"/>
        </w:rPr>
        <w:t xml:space="preserve"> по чл. 8д от ЗСПД за родители (осиновители), семейства на роднини или близки и доброволни приемни семейства, при които са настанени деца с трайни увреждания за 2024 г., е както следва:</w:t>
      </w:r>
    </w:p>
    <w:p w14:paraId="191EB2D1"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за дете с определени 90 и над 90 на сто вид и степен на увреждане или степен на трайно намалена работоспособност – 1180 лв.;</w:t>
      </w:r>
    </w:p>
    <w:p w14:paraId="49BEC235"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за дете с определени от 70 до 90 на сто вид и степен на увреждане или степен на трайно намалена работоспособност – 570 лв.;</w:t>
      </w:r>
    </w:p>
    <w:p w14:paraId="362D53A1"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за дете с определени от 50 до 70 на сто вид и степен на увреждане или степен на трайно намалена работоспособност – 450 лв.</w:t>
      </w:r>
    </w:p>
    <w:p w14:paraId="03EE224E" w14:textId="77777777" w:rsidR="00533926" w:rsidRPr="00AA5833" w:rsidRDefault="00533926" w:rsidP="002A598C">
      <w:pPr>
        <w:numPr>
          <w:ilvl w:val="0"/>
          <w:numId w:val="39"/>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 Размерът на месечната помощ за отглеждане на дете с трайно увреждане по чл. 8д от ЗСПД за професионални приемни семейства, при които са настанени деца с трайни увреждания за 2024 г., е както следва:</w:t>
      </w:r>
    </w:p>
    <w:p w14:paraId="61A6C381"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 за дете с определени 90 и над 90 на сто вид и степен на увреждане или степен на трайно намалена работоспособност – 620 лв.;</w:t>
      </w:r>
    </w:p>
    <w:p w14:paraId="55A71C68"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 за дете с определени от 70 до 90 на сто вид и степен на увреждане или степен на трайно намалена работоспособност – 530 лв.;</w:t>
      </w:r>
    </w:p>
    <w:p w14:paraId="06F994E1" w14:textId="77777777" w:rsidR="00533926" w:rsidRPr="00AA5833" w:rsidRDefault="00533926" w:rsidP="002A598C">
      <w:pPr>
        <w:numPr>
          <w:ilvl w:val="0"/>
          <w:numId w:val="40"/>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 за дете с определени от 50 до 70 на сто вид и степен на увреждане или степен на трайно намалена работоспособност – 450 лв.</w:t>
      </w:r>
    </w:p>
    <w:p w14:paraId="2FD14013"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b/>
          <w:sz w:val="24"/>
          <w:szCs w:val="24"/>
        </w:rPr>
        <w:t xml:space="preserve">Месечна помощ за дете без право на наследствена пенсия от починал родител </w:t>
      </w:r>
      <w:r w:rsidRPr="00AA5833">
        <w:rPr>
          <w:rFonts w:ascii="Times New Roman" w:hAnsi="Times New Roman" w:cs="Times New Roman"/>
          <w:sz w:val="24"/>
          <w:szCs w:val="24"/>
        </w:rPr>
        <w:t>по реда на чл. 8е от ЗСПД – размерът на помощта за 2024 г. е 150 лева. През 2024 г. помощта е предоставена за средномесечно 2260 брой случаи. Изплатената сума е 5 642 616 лева.</w:t>
      </w:r>
    </w:p>
    <w:p w14:paraId="0993E58F"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b/>
          <w:sz w:val="24"/>
          <w:szCs w:val="24"/>
        </w:rPr>
        <w:t>Средства, изплатени за помощи в натура по ЗСПД</w:t>
      </w:r>
    </w:p>
    <w:p w14:paraId="09DA4B76"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ab/>
        <w:t>За периода от 01.01.2024 г. до 31.12.2024 г. са изплатени средства в размер 4 605 297 лева на семейства с деца, получили помощи по ЗСПД под формата на ваучери.</w:t>
      </w:r>
    </w:p>
    <w:p w14:paraId="168D9D4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bg-BG"/>
        </w:rPr>
      </w:pPr>
    </w:p>
    <w:p w14:paraId="51D845A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70F3DCD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566D375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 xml:space="preserve">1.1.4. Предоставяне на финансови средства по реда на Закона за закрила на детето (ЗЗДет.) в изпълнение на Бюджетна програма „Подкрепа за децата и семействата” </w:t>
      </w:r>
    </w:p>
    <w:p w14:paraId="36F201C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bg-BG"/>
        </w:rPr>
      </w:pPr>
    </w:p>
    <w:p w14:paraId="7D3A9643" w14:textId="77777777" w:rsidR="00533926" w:rsidRPr="00AA5833" w:rsidRDefault="00533926" w:rsidP="00533926">
      <w:pPr>
        <w:spacing w:after="0" w:line="240" w:lineRule="auto"/>
        <w:ind w:left="10" w:hanging="1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r>
      <w:r w:rsidRPr="00AA5833">
        <w:rPr>
          <w:rFonts w:ascii="Times New Roman" w:eastAsia="Times New Roman" w:hAnsi="Times New Roman" w:cs="Times New Roman"/>
          <w:sz w:val="24"/>
          <w:szCs w:val="24"/>
          <w:lang w:eastAsia="bg-BG"/>
        </w:rPr>
        <w:tab/>
        <w:t>По реда и условията на Закона за закрила на детето (ЗЗДет.) и Правилника за неговото прилагане се оказва финансова подкрепа на семействата на деца в риск в съответствие и изпълнение на принципите на закрила, и по-конкретно – отглеждане на децата в семейна среда. Финансовата подкрепа е част от работата по случаи на превенция на изоставянето, реинтеграцията, настаняването на деца в семейства на роднини и близки и средствата за приемна грижа.</w:t>
      </w:r>
    </w:p>
    <w:p w14:paraId="4BA39548"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За периода януари – декември 2024 г. изплатената сума за помощи по ЗЗДет. е в размер на 10 590 056 </w:t>
      </w:r>
      <w:r w:rsidRPr="00AA5833">
        <w:rPr>
          <w:rFonts w:ascii="Times New Roman" w:eastAsia="Times New Roman" w:hAnsi="Times New Roman" w:cs="Times New Roman"/>
          <w:bCs/>
          <w:sz w:val="24"/>
          <w:szCs w:val="24"/>
          <w:lang w:eastAsia="bg-BG"/>
        </w:rPr>
        <w:t xml:space="preserve">лв. </w:t>
      </w:r>
      <w:r w:rsidRPr="00AA5833">
        <w:rPr>
          <w:rFonts w:ascii="Times New Roman" w:eastAsia="Times New Roman" w:hAnsi="Times New Roman" w:cs="Times New Roman"/>
          <w:sz w:val="24"/>
          <w:szCs w:val="24"/>
          <w:lang w:eastAsia="bg-BG"/>
        </w:rPr>
        <w:t xml:space="preserve">за </w:t>
      </w:r>
      <w:r w:rsidRPr="00AA5833">
        <w:rPr>
          <w:rFonts w:ascii="Times New Roman" w:eastAsia="Times New Roman" w:hAnsi="Times New Roman" w:cs="Times New Roman"/>
          <w:bCs/>
          <w:sz w:val="24"/>
          <w:szCs w:val="24"/>
          <w:lang w:eastAsia="bg-BG"/>
        </w:rPr>
        <w:t>1 993 средномесечен брой случаи</w:t>
      </w:r>
      <w:r w:rsidRPr="00AA5833">
        <w:rPr>
          <w:rFonts w:ascii="Times New Roman" w:eastAsia="Times New Roman" w:hAnsi="Times New Roman" w:cs="Times New Roman"/>
          <w:sz w:val="24"/>
          <w:szCs w:val="24"/>
          <w:lang w:eastAsia="bg-BG"/>
        </w:rPr>
        <w:t xml:space="preserve"> и 1 429 762 </w:t>
      </w:r>
      <w:r w:rsidRPr="00AA5833">
        <w:rPr>
          <w:rFonts w:ascii="Times New Roman" w:eastAsia="Times New Roman" w:hAnsi="Times New Roman" w:cs="Times New Roman"/>
          <w:bCs/>
          <w:sz w:val="24"/>
          <w:szCs w:val="24"/>
          <w:lang w:eastAsia="bg-BG"/>
        </w:rPr>
        <w:t xml:space="preserve">лв. </w:t>
      </w:r>
      <w:r w:rsidRPr="00AA5833">
        <w:rPr>
          <w:rFonts w:ascii="Times New Roman" w:eastAsia="Times New Roman" w:hAnsi="Times New Roman" w:cs="Times New Roman"/>
          <w:sz w:val="24"/>
          <w:szCs w:val="24"/>
          <w:lang w:eastAsia="bg-BG"/>
        </w:rPr>
        <w:t xml:space="preserve">за заплати и осигурителни вноски на </w:t>
      </w:r>
      <w:r w:rsidRPr="00AA5833">
        <w:rPr>
          <w:rFonts w:ascii="Times New Roman" w:eastAsia="Times New Roman" w:hAnsi="Times New Roman" w:cs="Times New Roman"/>
          <w:bCs/>
          <w:sz w:val="24"/>
          <w:szCs w:val="24"/>
          <w:lang w:eastAsia="bg-BG"/>
        </w:rPr>
        <w:t>84 средномесечен брой</w:t>
      </w:r>
      <w:r w:rsidRPr="00AA5833">
        <w:rPr>
          <w:rFonts w:ascii="Times New Roman" w:eastAsia="Times New Roman" w:hAnsi="Times New Roman" w:cs="Times New Roman"/>
          <w:sz w:val="24"/>
          <w:szCs w:val="24"/>
          <w:lang w:eastAsia="bg-BG"/>
        </w:rPr>
        <w:t xml:space="preserve"> професионални приемни родители. За отчетния период информацията за отпуснатите помощи по тази програма е следната:</w:t>
      </w:r>
    </w:p>
    <w:p w14:paraId="5DA2B842"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6" w:type="dxa"/>
          <w:right w:w="51" w:type="dxa"/>
        </w:tblCellMar>
        <w:tblLook w:val="00A0" w:firstRow="1" w:lastRow="0" w:firstColumn="1" w:lastColumn="0" w:noHBand="0" w:noVBand="0"/>
      </w:tblPr>
      <w:tblGrid>
        <w:gridCol w:w="4241"/>
        <w:gridCol w:w="1796"/>
        <w:gridCol w:w="1520"/>
        <w:gridCol w:w="1510"/>
      </w:tblGrid>
      <w:tr w:rsidR="00533926" w:rsidRPr="00AA5833" w14:paraId="46194C4A" w14:textId="77777777" w:rsidTr="00533926">
        <w:trPr>
          <w:trHeight w:val="671"/>
          <w:jc w:val="center"/>
        </w:trPr>
        <w:tc>
          <w:tcPr>
            <w:tcW w:w="4241" w:type="dxa"/>
            <w:shd w:val="clear" w:color="auto" w:fill="auto"/>
            <w:vAlign w:val="center"/>
          </w:tcPr>
          <w:p w14:paraId="4683924B" w14:textId="77777777" w:rsidR="00533926" w:rsidRPr="00AA5833" w:rsidRDefault="00533926" w:rsidP="00533926">
            <w:pPr>
              <w:spacing w:after="0" w:line="240" w:lineRule="auto"/>
              <w:ind w:left="10"/>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Показатели за изпълнение</w:t>
            </w:r>
          </w:p>
          <w:p w14:paraId="40902AAD" w14:textId="77777777" w:rsidR="00533926" w:rsidRPr="00AA5833" w:rsidRDefault="00533926" w:rsidP="00533926">
            <w:pPr>
              <w:spacing w:after="0" w:line="240" w:lineRule="auto"/>
              <w:ind w:left="10"/>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по бюджетна програма „Подкрепа за децата</w:t>
            </w:r>
          </w:p>
          <w:p w14:paraId="75C20A1B" w14:textId="77777777" w:rsidR="00533926" w:rsidRPr="00AA5833" w:rsidRDefault="00533926" w:rsidP="00533926">
            <w:pPr>
              <w:spacing w:after="0" w:line="240" w:lineRule="auto"/>
              <w:ind w:left="10"/>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b/>
                <w:bCs/>
                <w:sz w:val="20"/>
                <w:szCs w:val="20"/>
                <w:lang w:eastAsia="bg-BG"/>
              </w:rPr>
              <w:t>и семействата"</w:t>
            </w:r>
          </w:p>
        </w:tc>
        <w:tc>
          <w:tcPr>
            <w:tcW w:w="1796" w:type="dxa"/>
            <w:shd w:val="clear" w:color="auto" w:fill="auto"/>
            <w:vAlign w:val="center"/>
          </w:tcPr>
          <w:p w14:paraId="300AB727" w14:textId="77777777" w:rsidR="00533926" w:rsidRPr="00AA5833" w:rsidRDefault="00533926" w:rsidP="00533926">
            <w:pPr>
              <w:spacing w:after="0" w:line="240" w:lineRule="auto"/>
              <w:ind w:left="10"/>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b/>
                <w:bCs/>
                <w:sz w:val="20"/>
                <w:szCs w:val="20"/>
                <w:lang w:eastAsia="bg-BG"/>
              </w:rPr>
              <w:t>Мерна единица</w:t>
            </w:r>
          </w:p>
        </w:tc>
        <w:tc>
          <w:tcPr>
            <w:tcW w:w="1520" w:type="dxa"/>
            <w:shd w:val="clear" w:color="auto" w:fill="auto"/>
            <w:vAlign w:val="center"/>
          </w:tcPr>
          <w:p w14:paraId="26212B10" w14:textId="77777777" w:rsidR="00533926" w:rsidRPr="00AA5833" w:rsidRDefault="00533926" w:rsidP="00533926">
            <w:pPr>
              <w:spacing w:after="0" w:line="240" w:lineRule="auto"/>
              <w:ind w:left="10"/>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По Закона за бюджета </w:t>
            </w:r>
          </w:p>
          <w:p w14:paraId="617DBAC2" w14:textId="77777777" w:rsidR="00533926" w:rsidRPr="00AA5833" w:rsidRDefault="00533926" w:rsidP="00533926">
            <w:pPr>
              <w:spacing w:after="0" w:line="240" w:lineRule="auto"/>
              <w:ind w:left="10"/>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b/>
                <w:bCs/>
                <w:sz w:val="20"/>
                <w:szCs w:val="20"/>
                <w:lang w:eastAsia="bg-BG"/>
              </w:rPr>
              <w:t>за 2024 г.</w:t>
            </w:r>
          </w:p>
        </w:tc>
        <w:tc>
          <w:tcPr>
            <w:tcW w:w="1510" w:type="dxa"/>
            <w:shd w:val="clear" w:color="auto" w:fill="auto"/>
            <w:vAlign w:val="center"/>
          </w:tcPr>
          <w:p w14:paraId="2F729C4A" w14:textId="77777777" w:rsidR="00533926" w:rsidRPr="00AA5833" w:rsidRDefault="00533926" w:rsidP="00533926">
            <w:pPr>
              <w:spacing w:after="0" w:line="240" w:lineRule="auto"/>
              <w:ind w:left="10"/>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Отчет за периода </w:t>
            </w:r>
          </w:p>
          <w:p w14:paraId="5AE2875E" w14:textId="77777777" w:rsidR="00533926" w:rsidRPr="00AA5833" w:rsidRDefault="00533926" w:rsidP="00533926">
            <w:pPr>
              <w:spacing w:after="0" w:line="240" w:lineRule="auto"/>
              <w:ind w:left="10"/>
              <w:jc w:val="center"/>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на 2024 г.</w:t>
            </w:r>
          </w:p>
          <w:p w14:paraId="3F6FFBBD" w14:textId="77777777" w:rsidR="00533926" w:rsidRPr="00AA5833" w:rsidRDefault="00533926" w:rsidP="00533926">
            <w:pPr>
              <w:spacing w:after="0" w:line="240" w:lineRule="auto"/>
              <w:ind w:left="10"/>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bCs/>
                <w:sz w:val="20"/>
                <w:szCs w:val="20"/>
                <w:lang w:eastAsia="bg-BG"/>
              </w:rPr>
              <w:t>(средномесечен брой)</w:t>
            </w:r>
          </w:p>
        </w:tc>
      </w:tr>
      <w:tr w:rsidR="00533926" w:rsidRPr="00AA5833" w14:paraId="29F37C5F" w14:textId="77777777" w:rsidTr="00533926">
        <w:trPr>
          <w:trHeight w:val="70"/>
          <w:jc w:val="center"/>
        </w:trPr>
        <w:tc>
          <w:tcPr>
            <w:tcW w:w="4241" w:type="dxa"/>
            <w:shd w:val="clear" w:color="auto" w:fill="auto"/>
            <w:vAlign w:val="center"/>
          </w:tcPr>
          <w:p w14:paraId="5390896D" w14:textId="77777777" w:rsidR="00533926" w:rsidRPr="00AA5833" w:rsidRDefault="00533926" w:rsidP="00533926">
            <w:pPr>
              <w:spacing w:after="0" w:line="240" w:lineRule="auto"/>
              <w:ind w:left="10"/>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 xml:space="preserve">Превенция на изоставянето </w:t>
            </w:r>
          </w:p>
        </w:tc>
        <w:tc>
          <w:tcPr>
            <w:tcW w:w="1796" w:type="dxa"/>
            <w:shd w:val="clear" w:color="auto" w:fill="auto"/>
            <w:vAlign w:val="center"/>
          </w:tcPr>
          <w:p w14:paraId="6AF4EC91" w14:textId="77777777" w:rsidR="00533926" w:rsidRPr="00AA5833" w:rsidRDefault="00533926" w:rsidP="00533926">
            <w:pPr>
              <w:spacing w:after="0" w:line="240" w:lineRule="auto"/>
              <w:ind w:left="10" w:right="56"/>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Ср.м.бр.случаи</w:t>
            </w:r>
          </w:p>
        </w:tc>
        <w:tc>
          <w:tcPr>
            <w:tcW w:w="1520" w:type="dxa"/>
            <w:shd w:val="clear" w:color="auto" w:fill="auto"/>
            <w:vAlign w:val="center"/>
          </w:tcPr>
          <w:p w14:paraId="51246BF0" w14:textId="77777777" w:rsidR="00533926" w:rsidRPr="00AA5833" w:rsidRDefault="00533926" w:rsidP="00533926">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200</w:t>
            </w:r>
          </w:p>
        </w:tc>
        <w:tc>
          <w:tcPr>
            <w:tcW w:w="1510" w:type="dxa"/>
            <w:tcBorders>
              <w:top w:val="single" w:sz="8" w:space="0" w:color="auto"/>
              <w:left w:val="single" w:sz="8" w:space="0" w:color="auto"/>
              <w:bottom w:val="single" w:sz="8" w:space="0" w:color="auto"/>
              <w:right w:val="single" w:sz="8" w:space="0" w:color="auto"/>
            </w:tcBorders>
            <w:shd w:val="clear" w:color="auto" w:fill="auto"/>
            <w:vAlign w:val="center"/>
          </w:tcPr>
          <w:p w14:paraId="7D4DBA5D" w14:textId="77777777" w:rsidR="00533926" w:rsidRPr="00AA5833" w:rsidRDefault="00533926" w:rsidP="00533926">
            <w:pPr>
              <w:spacing w:after="0" w:line="240" w:lineRule="auto"/>
              <w:jc w:val="right"/>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25</w:t>
            </w:r>
          </w:p>
        </w:tc>
      </w:tr>
      <w:tr w:rsidR="00533926" w:rsidRPr="00AA5833" w14:paraId="44CE522D" w14:textId="77777777" w:rsidTr="00533926">
        <w:trPr>
          <w:trHeight w:val="25"/>
          <w:jc w:val="center"/>
        </w:trPr>
        <w:tc>
          <w:tcPr>
            <w:tcW w:w="4241" w:type="dxa"/>
            <w:shd w:val="clear" w:color="auto" w:fill="auto"/>
            <w:vAlign w:val="center"/>
          </w:tcPr>
          <w:p w14:paraId="7CF70247" w14:textId="77777777" w:rsidR="00533926" w:rsidRPr="00AA5833" w:rsidRDefault="00533926" w:rsidP="00533926">
            <w:pPr>
              <w:spacing w:after="0" w:line="240" w:lineRule="auto"/>
              <w:ind w:left="10"/>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 xml:space="preserve">Реинтеграция </w:t>
            </w:r>
          </w:p>
        </w:tc>
        <w:tc>
          <w:tcPr>
            <w:tcW w:w="1796" w:type="dxa"/>
            <w:shd w:val="clear" w:color="auto" w:fill="auto"/>
            <w:vAlign w:val="center"/>
          </w:tcPr>
          <w:p w14:paraId="2B1F5FB8" w14:textId="77777777" w:rsidR="00533926" w:rsidRPr="00AA5833" w:rsidRDefault="00533926" w:rsidP="00533926">
            <w:pPr>
              <w:spacing w:after="0" w:line="240" w:lineRule="auto"/>
              <w:ind w:left="10" w:right="59"/>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Ср.м.бр случаи</w:t>
            </w:r>
          </w:p>
        </w:tc>
        <w:tc>
          <w:tcPr>
            <w:tcW w:w="1520" w:type="dxa"/>
            <w:shd w:val="clear" w:color="auto" w:fill="auto"/>
            <w:vAlign w:val="center"/>
          </w:tcPr>
          <w:p w14:paraId="6DA7EE7B" w14:textId="77777777" w:rsidR="00533926" w:rsidRPr="00AA5833" w:rsidRDefault="00533926" w:rsidP="00533926">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200</w:t>
            </w:r>
          </w:p>
        </w:tc>
        <w:tc>
          <w:tcPr>
            <w:tcW w:w="1510" w:type="dxa"/>
            <w:tcBorders>
              <w:top w:val="nil"/>
              <w:left w:val="single" w:sz="8" w:space="0" w:color="auto"/>
              <w:bottom w:val="single" w:sz="8" w:space="0" w:color="auto"/>
              <w:right w:val="single" w:sz="8" w:space="0" w:color="auto"/>
            </w:tcBorders>
            <w:shd w:val="clear" w:color="auto" w:fill="auto"/>
            <w:vAlign w:val="center"/>
          </w:tcPr>
          <w:p w14:paraId="5E74E050" w14:textId="77777777" w:rsidR="00533926" w:rsidRPr="00AA5833" w:rsidRDefault="00533926" w:rsidP="00533926">
            <w:pPr>
              <w:spacing w:after="0" w:line="240" w:lineRule="auto"/>
              <w:ind w:firstLine="710"/>
              <w:jc w:val="right"/>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w:t>
            </w:r>
          </w:p>
        </w:tc>
      </w:tr>
      <w:tr w:rsidR="00533926" w:rsidRPr="00AA5833" w14:paraId="69FF8ECD" w14:textId="77777777" w:rsidTr="00533926">
        <w:trPr>
          <w:trHeight w:val="23"/>
          <w:jc w:val="center"/>
        </w:trPr>
        <w:tc>
          <w:tcPr>
            <w:tcW w:w="4241" w:type="dxa"/>
            <w:shd w:val="clear" w:color="auto" w:fill="auto"/>
            <w:vAlign w:val="center"/>
          </w:tcPr>
          <w:p w14:paraId="3A335E84" w14:textId="77777777" w:rsidR="00533926" w:rsidRPr="00AA5833" w:rsidRDefault="00533926" w:rsidP="00533926">
            <w:pPr>
              <w:spacing w:after="0" w:line="240" w:lineRule="auto"/>
              <w:ind w:left="10"/>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 xml:space="preserve">Настанени деца при роднини или близки </w:t>
            </w:r>
          </w:p>
        </w:tc>
        <w:tc>
          <w:tcPr>
            <w:tcW w:w="1796" w:type="dxa"/>
            <w:shd w:val="clear" w:color="auto" w:fill="auto"/>
            <w:vAlign w:val="center"/>
          </w:tcPr>
          <w:p w14:paraId="5FBDC372" w14:textId="77777777" w:rsidR="00533926" w:rsidRPr="00AA5833" w:rsidRDefault="00533926" w:rsidP="00533926">
            <w:pPr>
              <w:spacing w:after="0" w:line="240" w:lineRule="auto"/>
              <w:ind w:left="10" w:right="56"/>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Ср.м.бр.случаи</w:t>
            </w:r>
          </w:p>
        </w:tc>
        <w:tc>
          <w:tcPr>
            <w:tcW w:w="1520" w:type="dxa"/>
            <w:shd w:val="clear" w:color="auto" w:fill="auto"/>
            <w:vAlign w:val="center"/>
          </w:tcPr>
          <w:p w14:paraId="0DFFCFEC" w14:textId="77777777" w:rsidR="00533926" w:rsidRPr="00AA5833" w:rsidRDefault="00533926" w:rsidP="00533926">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2 600</w:t>
            </w:r>
          </w:p>
        </w:tc>
        <w:tc>
          <w:tcPr>
            <w:tcW w:w="1510" w:type="dxa"/>
            <w:tcBorders>
              <w:top w:val="nil"/>
              <w:left w:val="single" w:sz="8" w:space="0" w:color="auto"/>
              <w:bottom w:val="single" w:sz="8" w:space="0" w:color="auto"/>
              <w:right w:val="single" w:sz="8" w:space="0" w:color="auto"/>
            </w:tcBorders>
            <w:shd w:val="clear" w:color="auto" w:fill="auto"/>
            <w:vAlign w:val="center"/>
          </w:tcPr>
          <w:p w14:paraId="29D84C9B" w14:textId="77777777" w:rsidR="00533926" w:rsidRPr="00AA5833" w:rsidRDefault="00533926" w:rsidP="00533926">
            <w:pPr>
              <w:spacing w:after="0" w:line="240" w:lineRule="auto"/>
              <w:ind w:firstLine="710"/>
              <w:jc w:val="right"/>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1 871</w:t>
            </w:r>
          </w:p>
        </w:tc>
      </w:tr>
      <w:tr w:rsidR="00533926" w:rsidRPr="00AA5833" w14:paraId="4A7FA2D1" w14:textId="77777777" w:rsidTr="00533926">
        <w:trPr>
          <w:trHeight w:val="264"/>
          <w:jc w:val="center"/>
        </w:trPr>
        <w:tc>
          <w:tcPr>
            <w:tcW w:w="4241" w:type="dxa"/>
            <w:shd w:val="clear" w:color="auto" w:fill="auto"/>
            <w:vAlign w:val="center"/>
          </w:tcPr>
          <w:p w14:paraId="0C164D08" w14:textId="77777777" w:rsidR="00533926" w:rsidRPr="00AA5833" w:rsidRDefault="00533926" w:rsidP="00533926">
            <w:pPr>
              <w:spacing w:after="0" w:line="240" w:lineRule="auto"/>
              <w:ind w:left="10"/>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 xml:space="preserve">Настанени деца в приемни семейства </w:t>
            </w:r>
          </w:p>
        </w:tc>
        <w:tc>
          <w:tcPr>
            <w:tcW w:w="1796" w:type="dxa"/>
            <w:shd w:val="clear" w:color="auto" w:fill="auto"/>
            <w:vAlign w:val="center"/>
          </w:tcPr>
          <w:p w14:paraId="4E95D75D" w14:textId="77777777" w:rsidR="00533926" w:rsidRPr="00AA5833" w:rsidRDefault="00533926" w:rsidP="00533926">
            <w:pPr>
              <w:spacing w:after="0" w:line="240" w:lineRule="auto"/>
              <w:ind w:left="10" w:right="56"/>
              <w:jc w:val="center"/>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Ср.м.бр.случаи</w:t>
            </w:r>
          </w:p>
        </w:tc>
        <w:tc>
          <w:tcPr>
            <w:tcW w:w="1520" w:type="dxa"/>
            <w:shd w:val="clear" w:color="auto" w:fill="auto"/>
            <w:vAlign w:val="center"/>
          </w:tcPr>
          <w:p w14:paraId="6573F21C" w14:textId="77777777" w:rsidR="00533926" w:rsidRPr="00AA5833" w:rsidRDefault="00533926" w:rsidP="00533926">
            <w:pPr>
              <w:spacing w:after="0" w:line="240" w:lineRule="auto"/>
              <w:jc w:val="right"/>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1 800</w:t>
            </w:r>
          </w:p>
        </w:tc>
        <w:tc>
          <w:tcPr>
            <w:tcW w:w="1510" w:type="dxa"/>
            <w:tcBorders>
              <w:top w:val="nil"/>
              <w:left w:val="single" w:sz="8" w:space="0" w:color="auto"/>
              <w:bottom w:val="single" w:sz="8" w:space="0" w:color="auto"/>
              <w:right w:val="single" w:sz="8" w:space="0" w:color="auto"/>
            </w:tcBorders>
            <w:shd w:val="clear" w:color="auto" w:fill="auto"/>
            <w:vAlign w:val="center"/>
          </w:tcPr>
          <w:p w14:paraId="2C1C0885" w14:textId="77777777" w:rsidR="00533926" w:rsidRPr="00AA5833" w:rsidRDefault="00533926" w:rsidP="00533926">
            <w:pPr>
              <w:spacing w:after="0" w:line="240" w:lineRule="auto"/>
              <w:ind w:firstLine="710"/>
              <w:jc w:val="right"/>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95</w:t>
            </w:r>
          </w:p>
        </w:tc>
      </w:tr>
      <w:tr w:rsidR="00533926" w:rsidRPr="00AA5833" w14:paraId="2704E4B1" w14:textId="77777777" w:rsidTr="00533926">
        <w:trPr>
          <w:trHeight w:val="390"/>
          <w:jc w:val="center"/>
        </w:trPr>
        <w:tc>
          <w:tcPr>
            <w:tcW w:w="4241" w:type="dxa"/>
            <w:shd w:val="clear" w:color="auto" w:fill="auto"/>
            <w:vAlign w:val="center"/>
          </w:tcPr>
          <w:p w14:paraId="1D96173A" w14:textId="77777777" w:rsidR="00533926" w:rsidRPr="00AA5833" w:rsidRDefault="00533926" w:rsidP="00533926">
            <w:pPr>
              <w:spacing w:after="0" w:line="240" w:lineRule="auto"/>
              <w:ind w:left="10" w:right="53"/>
              <w:jc w:val="right"/>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 xml:space="preserve">Общо: </w:t>
            </w:r>
          </w:p>
        </w:tc>
        <w:tc>
          <w:tcPr>
            <w:tcW w:w="1796" w:type="dxa"/>
            <w:shd w:val="clear" w:color="auto" w:fill="auto"/>
          </w:tcPr>
          <w:p w14:paraId="2205C3BF" w14:textId="77777777" w:rsidR="00533926" w:rsidRPr="00AA5833" w:rsidRDefault="00533926" w:rsidP="00533926">
            <w:pPr>
              <w:spacing w:after="0" w:line="240" w:lineRule="auto"/>
              <w:ind w:left="10" w:right="3"/>
              <w:jc w:val="center"/>
              <w:rPr>
                <w:rFonts w:ascii="Times New Roman" w:eastAsia="Times New Roman" w:hAnsi="Times New Roman" w:cs="Times New Roman"/>
                <w:sz w:val="20"/>
                <w:szCs w:val="20"/>
                <w:lang w:eastAsia="bg-BG"/>
              </w:rPr>
            </w:pPr>
          </w:p>
        </w:tc>
        <w:tc>
          <w:tcPr>
            <w:tcW w:w="1520" w:type="dxa"/>
            <w:shd w:val="clear" w:color="auto" w:fill="auto"/>
            <w:vAlign w:val="center"/>
          </w:tcPr>
          <w:p w14:paraId="5233284A" w14:textId="77777777" w:rsidR="00533926" w:rsidRPr="00AA5833" w:rsidRDefault="00533926" w:rsidP="00533926">
            <w:pPr>
              <w:spacing w:after="0" w:line="240" w:lineRule="auto"/>
              <w:jc w:val="right"/>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5 800</w:t>
            </w:r>
          </w:p>
        </w:tc>
        <w:tc>
          <w:tcPr>
            <w:tcW w:w="1510" w:type="dxa"/>
            <w:shd w:val="clear" w:color="auto" w:fill="auto"/>
            <w:vAlign w:val="center"/>
          </w:tcPr>
          <w:p w14:paraId="0F9D77AD" w14:textId="77777777" w:rsidR="00533926" w:rsidRPr="00AA5833" w:rsidRDefault="00533926" w:rsidP="00533926">
            <w:pPr>
              <w:spacing w:after="0" w:line="240" w:lineRule="auto"/>
              <w:jc w:val="right"/>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1 993</w:t>
            </w:r>
          </w:p>
        </w:tc>
      </w:tr>
    </w:tbl>
    <w:p w14:paraId="01C620AA"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28DFBC60" w14:textId="77777777" w:rsidR="00533926" w:rsidRPr="00AA5833" w:rsidRDefault="00533926" w:rsidP="00533926">
      <w:pPr>
        <w:spacing w:after="0" w:line="240" w:lineRule="auto"/>
        <w:ind w:firstLine="71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Считано от 01.01.2024 г. по Програма „Развитие на човешките ресурси“ (ПРЧР) стартира проект „Повишаване на капацитета на служителите на Агенцията за социално подпомагане във връзка с модернизиране на системите за социална закрила“ – Компонент 1 по процедура за директно предоставяне на безвъзмездна финансова помощ BG05SFPR002-2.006, </w:t>
      </w:r>
      <w:r w:rsidRPr="00AA5833">
        <w:rPr>
          <w:rFonts w:ascii="Times New Roman" w:eastAsia="Times New Roman" w:hAnsi="Times New Roman" w:cs="Times New Roman"/>
          <w:b/>
          <w:bCs/>
          <w:sz w:val="24"/>
          <w:szCs w:val="24"/>
          <w:lang w:eastAsia="bg-BG"/>
        </w:rPr>
        <w:t xml:space="preserve">фокусирана върху продължаване и развитие на приемната грижа. </w:t>
      </w:r>
      <w:r w:rsidRPr="00AA5833">
        <w:rPr>
          <w:rFonts w:ascii="Times New Roman" w:eastAsia="Times New Roman" w:hAnsi="Times New Roman" w:cs="Times New Roman"/>
          <w:bCs/>
          <w:sz w:val="24"/>
          <w:szCs w:val="24"/>
          <w:lang w:eastAsia="bg-BG"/>
        </w:rPr>
        <w:t>Той обхваща</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sz w:val="24"/>
          <w:szCs w:val="24"/>
          <w:lang w:eastAsia="bg-BG"/>
        </w:rPr>
        <w:t xml:space="preserve">общините, предоставящи дейности по проект „Приеми ме 2015“, също и нови общини, които имат нови действащи приемни семейства с доставчици ДСП. </w:t>
      </w:r>
    </w:p>
    <w:p w14:paraId="2A4A8592" w14:textId="77777777" w:rsidR="00533926" w:rsidRPr="00AA5833" w:rsidRDefault="00533926" w:rsidP="00533926">
      <w:pPr>
        <w:spacing w:after="0" w:line="240" w:lineRule="auto"/>
        <w:ind w:firstLine="71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2024 г., за заплати и осигурителни вноски на </w:t>
      </w:r>
      <w:r w:rsidRPr="00AA5833">
        <w:rPr>
          <w:rFonts w:ascii="Times New Roman" w:eastAsia="Times New Roman" w:hAnsi="Times New Roman" w:cs="Times New Roman"/>
          <w:b/>
          <w:sz w:val="24"/>
          <w:szCs w:val="24"/>
          <w:lang w:eastAsia="bg-BG"/>
        </w:rPr>
        <w:t>професионалните приемни семейства</w:t>
      </w:r>
      <w:r w:rsidRPr="00AA5833">
        <w:rPr>
          <w:rFonts w:ascii="Times New Roman" w:eastAsia="Times New Roman" w:hAnsi="Times New Roman" w:cs="Times New Roman"/>
          <w:sz w:val="24"/>
          <w:szCs w:val="24"/>
          <w:lang w:eastAsia="bg-BG"/>
        </w:rPr>
        <w:t xml:space="preserve"> и помощи по програмата за </w:t>
      </w:r>
      <w:r w:rsidRPr="00AA5833">
        <w:rPr>
          <w:rFonts w:ascii="Times New Roman" w:eastAsia="Times New Roman" w:hAnsi="Times New Roman" w:cs="Times New Roman"/>
          <w:b/>
          <w:sz w:val="24"/>
          <w:szCs w:val="24"/>
          <w:lang w:eastAsia="bg-BG"/>
        </w:rPr>
        <w:t>децата</w:t>
      </w:r>
      <w:r w:rsidRPr="00AA5833">
        <w:rPr>
          <w:rFonts w:ascii="Times New Roman" w:eastAsia="Times New Roman" w:hAnsi="Times New Roman" w:cs="Times New Roman"/>
          <w:sz w:val="24"/>
          <w:szCs w:val="24"/>
          <w:lang w:eastAsia="bg-BG"/>
        </w:rPr>
        <w:t xml:space="preserve">, настанени в приемни семейства (професионални и доброволни) по горепосочения проект е предоставен трансфер в размер на 32 796 143 лева. </w:t>
      </w:r>
    </w:p>
    <w:p w14:paraId="07F3029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bg-BG"/>
        </w:rPr>
      </w:pPr>
    </w:p>
    <w:p w14:paraId="10B7187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НАЦИОНАЛЕН ОСИГУРИТЕЛЕН ИНСТИТУТ</w:t>
      </w:r>
    </w:p>
    <w:p w14:paraId="5B31B31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CB065D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1.1.5. Обезщетения за майчинство по Кодекса за социално осигуряване (КСО)</w:t>
      </w:r>
    </w:p>
    <w:p w14:paraId="364036A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587CC7E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Парични обезщетения за майчинство</w:t>
      </w:r>
    </w:p>
    <w:p w14:paraId="460DEE1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От бюджета на държавното обществено осигуряване (ДОО) се изплащат обезщетения, свързани с осигуряването за риска майчинство, както следва: парични обезщетения при бременност и раждане, парични обезщетения за отглеждане на дете до 2-годишна възраст, парични обезщетения при осиновяване на дете до 5-годишна възраст и парично обезщетение за отглеждане на дете до 8-годишна възраст от бащи/осиновители.</w:t>
      </w:r>
    </w:p>
    <w:p w14:paraId="1F72D36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Паричното обезщетение за отглеждане на дете до 2-годишна възраст по чл. 53 от КСО и за отглеждане на дете до 8-годишна възраст от бащата (осиновителя) по чл. 53ж </w:t>
      </w:r>
      <w:r w:rsidRPr="00AA5833">
        <w:rPr>
          <w:rFonts w:ascii="Times New Roman" w:hAnsi="Times New Roman" w:cs="Times New Roman"/>
          <w:sz w:val="24"/>
          <w:szCs w:val="24"/>
        </w:rPr>
        <w:lastRenderedPageBreak/>
        <w:t>от КСО за 2024 г. е в размер на 780 лв., съгласно чл. 12 от Закона за бюджета на държавното обществено осигуряване за 2024 г.</w:t>
      </w:r>
    </w:p>
    <w:p w14:paraId="1324C60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През 2024 г. от бюджета на ДОО за парични обезщетения за бременност и раждане са изплатени 669 377,8 хил. лв., което е с 12,1% повече от 2023 г. (597 134,6 хил. лв.). Изплатени са 11 615,2 хил. работни дни, при среднодневен размер на обезщетението от 57,63 лв., като спрямо 2023 г. (13 930,5 хил. работни дни) се отчита намаление с 2 315,3 хил. дни и увеличение на среднодневния размер (42,87 лв.) с 34,4%.</w:t>
      </w:r>
    </w:p>
    <w:p w14:paraId="04CCAE9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Броят на лицата с изплатено поне едно парично обезщетение за бременност и раждане през 2024 г. е 97 057 и са намалели с 2,8% спрямо 2023 г. (99 810 лица). Общият брой обхваща следните видове обезщетения: при бременност и раждане на майките; при отглеждане на дете, настанено по реда на чл. 26, ал. 1 от Закона за закрила на детето (ЗЗДет.); при отглеждане на дете от бащата или друго осигурено лице, след навършване на 6-месечна възраст на детето; по време на 15-дневния отпуск на бащите при раждане на дете; и при неизползване на отпуска за бременност и раждане.</w:t>
      </w:r>
    </w:p>
    <w:p w14:paraId="3B52A05C"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Най-висок е броят на лицата с обезщетение за бременност и раждане по чл. 50, ал. 1 и 5 и чл. 51 от КСО, които се изплащат на майките при раждане на дете, на лицата при които е настанено дете по реда на чл. 26, ал. 1 от ЗЗДет. и в случаите при смърт или тежко заболяване на майката. През 2024 г. са изплатени обезщетения на 74 225 лица, от които 74 183 жени и 42 мъже. Среднодневният размер на обезщетението е 45,08 лв. (при 40,17 лв. за 2023 г.). </w:t>
      </w:r>
    </w:p>
    <w:p w14:paraId="6BDECA87"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На 21 606 бащи са изплатени обезщетения за срок до 15 дни при раждане на дете със среднодневен размер на обезщетението 77,49 лв. </w:t>
      </w:r>
    </w:p>
    <w:p w14:paraId="5D0C8677"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На 423 лица, от които на 257 мъже и на 166 жени са изплатени обезщетения за бременност и раждане след навършване на 6-месечна възраст на детето. Среднодневният размер на това обезщетение е 72,74 лв. (при 66,93 лв. за 2023 г.). </w:t>
      </w:r>
    </w:p>
    <w:p w14:paraId="448F72F3" w14:textId="77777777" w:rsidR="00533926" w:rsidRPr="00AA5833" w:rsidRDefault="00533926" w:rsidP="002A598C">
      <w:pPr>
        <w:numPr>
          <w:ilvl w:val="0"/>
          <w:numId w:val="34"/>
        </w:numPr>
        <w:autoSpaceDE w:val="0"/>
        <w:autoSpaceDN w:val="0"/>
        <w:adjustRightInd w:val="0"/>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Лицата, които през 2024 г. са се върнали на работа и са получили 50 на сто от полагащото им се обезщетение при бременност и раждане са 803 със среднодневен размер на полученото обезщетение 26,18 лв. (при 24,15 лв. за 2023 г.). Този вид обезщетение се изплаща на 799 жени и 4 мъже.</w:t>
      </w:r>
    </w:p>
    <w:p w14:paraId="4E39A772" w14:textId="77777777" w:rsidR="00533926" w:rsidRPr="00AA5833" w:rsidRDefault="00533926" w:rsidP="00533926">
      <w:pPr>
        <w:autoSpaceDE w:val="0"/>
        <w:autoSpaceDN w:val="0"/>
        <w:adjustRightInd w:val="0"/>
        <w:spacing w:after="0" w:line="240" w:lineRule="auto"/>
        <w:ind w:left="360"/>
        <w:contextualSpacing/>
        <w:jc w:val="both"/>
        <w:rPr>
          <w:rFonts w:ascii="Times New Roman" w:hAnsi="Times New Roman" w:cs="Times New Roman"/>
          <w:sz w:val="24"/>
          <w:szCs w:val="24"/>
        </w:rPr>
      </w:pPr>
    </w:p>
    <w:p w14:paraId="14D9B215" w14:textId="77777777" w:rsidR="00533926" w:rsidRPr="00AA5833" w:rsidRDefault="00533926" w:rsidP="00533926">
      <w:pPr>
        <w:widowControl w:val="0"/>
        <w:suppressLineNumbers/>
        <w:suppressAutoHyphens/>
        <w:spacing w:after="40" w:line="240" w:lineRule="auto"/>
        <w:ind w:right="851" w:hanging="284"/>
        <w:rPr>
          <w:rFonts w:ascii="Times New Roman" w:eastAsia="SimSun" w:hAnsi="Times New Roman" w:cs="Times New Roman"/>
          <w:b/>
          <w:iCs/>
          <w:kern w:val="1"/>
          <w:sz w:val="24"/>
          <w:lang w:eastAsia="zh-CN" w:bidi="hi-IN"/>
        </w:rPr>
      </w:pPr>
      <w:r w:rsidRPr="00AA5833">
        <w:rPr>
          <w:rFonts w:ascii="Times New Roman" w:eastAsia="SimSun" w:hAnsi="Times New Roman" w:cs="Times New Roman"/>
          <w:b/>
          <w:iCs/>
          <w:kern w:val="1"/>
          <w:sz w:val="24"/>
          <w:lang w:eastAsia="zh-CN" w:bidi="hi-IN"/>
        </w:rPr>
        <w:t xml:space="preserve">Брой лица с обезщетение за бременност и раждане през 2023 г. и 2024 г. </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985"/>
        <w:gridCol w:w="880"/>
        <w:gridCol w:w="879"/>
        <w:gridCol w:w="880"/>
        <w:gridCol w:w="768"/>
        <w:gridCol w:w="881"/>
      </w:tblGrid>
      <w:tr w:rsidR="00533926" w:rsidRPr="00AA5833" w14:paraId="2E930552" w14:textId="77777777" w:rsidTr="00533926">
        <w:trPr>
          <w:trHeight w:val="20"/>
          <w:jc w:val="center"/>
        </w:trPr>
        <w:tc>
          <w:tcPr>
            <w:tcW w:w="4248" w:type="dxa"/>
            <w:vMerge w:val="restart"/>
            <w:shd w:val="clear" w:color="auto" w:fill="auto"/>
            <w:vAlign w:val="center"/>
            <w:hideMark/>
          </w:tcPr>
          <w:p w14:paraId="7E919828"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Вид на обезщетението</w:t>
            </w:r>
          </w:p>
        </w:tc>
        <w:tc>
          <w:tcPr>
            <w:tcW w:w="1865" w:type="dxa"/>
            <w:gridSpan w:val="2"/>
            <w:shd w:val="clear" w:color="auto" w:fill="auto"/>
            <w:vAlign w:val="center"/>
            <w:hideMark/>
          </w:tcPr>
          <w:p w14:paraId="32873024"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Общо</w:t>
            </w:r>
          </w:p>
        </w:tc>
        <w:tc>
          <w:tcPr>
            <w:tcW w:w="1759" w:type="dxa"/>
            <w:gridSpan w:val="2"/>
            <w:shd w:val="clear" w:color="auto" w:fill="auto"/>
            <w:vAlign w:val="center"/>
            <w:hideMark/>
          </w:tcPr>
          <w:p w14:paraId="074EA76E"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Мъже</w:t>
            </w:r>
          </w:p>
        </w:tc>
        <w:tc>
          <w:tcPr>
            <w:tcW w:w="1649" w:type="dxa"/>
            <w:gridSpan w:val="2"/>
            <w:shd w:val="clear" w:color="auto" w:fill="auto"/>
            <w:vAlign w:val="center"/>
            <w:hideMark/>
          </w:tcPr>
          <w:p w14:paraId="6F79CBF9"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Жени</w:t>
            </w:r>
          </w:p>
        </w:tc>
      </w:tr>
      <w:tr w:rsidR="00533926" w:rsidRPr="00AA5833" w14:paraId="5F7B029B" w14:textId="77777777" w:rsidTr="00533926">
        <w:trPr>
          <w:trHeight w:val="405"/>
          <w:jc w:val="center"/>
        </w:trPr>
        <w:tc>
          <w:tcPr>
            <w:tcW w:w="4248" w:type="dxa"/>
            <w:vMerge/>
            <w:shd w:val="clear" w:color="auto" w:fill="auto"/>
            <w:vAlign w:val="center"/>
            <w:hideMark/>
          </w:tcPr>
          <w:p w14:paraId="593FE9FD" w14:textId="77777777" w:rsidR="00533926" w:rsidRPr="00AA5833" w:rsidRDefault="00533926" w:rsidP="00533926">
            <w:pPr>
              <w:spacing w:after="0"/>
              <w:rPr>
                <w:rFonts w:ascii="Times New Roman" w:eastAsia="Times New Roman" w:hAnsi="Times New Roman"/>
                <w:b/>
                <w:bCs/>
                <w:sz w:val="20"/>
                <w:lang w:eastAsia="bg-BG"/>
              </w:rPr>
            </w:pPr>
          </w:p>
        </w:tc>
        <w:tc>
          <w:tcPr>
            <w:tcW w:w="985" w:type="dxa"/>
            <w:shd w:val="clear" w:color="auto" w:fill="auto"/>
            <w:noWrap/>
            <w:vAlign w:val="center"/>
            <w:hideMark/>
          </w:tcPr>
          <w:p w14:paraId="04006887"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2023 г.</w:t>
            </w:r>
          </w:p>
        </w:tc>
        <w:tc>
          <w:tcPr>
            <w:tcW w:w="880" w:type="dxa"/>
            <w:shd w:val="clear" w:color="auto" w:fill="auto"/>
            <w:vAlign w:val="center"/>
            <w:hideMark/>
          </w:tcPr>
          <w:p w14:paraId="1EB6BFD0"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2024 г.</w:t>
            </w:r>
          </w:p>
        </w:tc>
        <w:tc>
          <w:tcPr>
            <w:tcW w:w="879" w:type="dxa"/>
            <w:shd w:val="clear" w:color="auto" w:fill="auto"/>
            <w:vAlign w:val="center"/>
            <w:hideMark/>
          </w:tcPr>
          <w:p w14:paraId="63E94DF3"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2023 г.</w:t>
            </w:r>
          </w:p>
        </w:tc>
        <w:tc>
          <w:tcPr>
            <w:tcW w:w="880" w:type="dxa"/>
            <w:shd w:val="clear" w:color="auto" w:fill="auto"/>
            <w:noWrap/>
            <w:vAlign w:val="center"/>
            <w:hideMark/>
          </w:tcPr>
          <w:p w14:paraId="086056BF"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2024 г.</w:t>
            </w:r>
          </w:p>
        </w:tc>
        <w:tc>
          <w:tcPr>
            <w:tcW w:w="768" w:type="dxa"/>
            <w:shd w:val="clear" w:color="auto" w:fill="auto"/>
            <w:vAlign w:val="center"/>
            <w:hideMark/>
          </w:tcPr>
          <w:p w14:paraId="72EC8D57"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2023 г.</w:t>
            </w:r>
          </w:p>
        </w:tc>
        <w:tc>
          <w:tcPr>
            <w:tcW w:w="881" w:type="dxa"/>
            <w:shd w:val="clear" w:color="auto" w:fill="auto"/>
            <w:noWrap/>
            <w:vAlign w:val="center"/>
            <w:hideMark/>
          </w:tcPr>
          <w:p w14:paraId="77F72608" w14:textId="77777777" w:rsidR="00533926" w:rsidRPr="00AA5833" w:rsidRDefault="00533926" w:rsidP="00533926">
            <w:pPr>
              <w:spacing w:after="0"/>
              <w:jc w:val="center"/>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2024 г.</w:t>
            </w:r>
          </w:p>
        </w:tc>
      </w:tr>
      <w:tr w:rsidR="00533926" w:rsidRPr="00AA5833" w14:paraId="3C63B7EA" w14:textId="77777777" w:rsidTr="00533926">
        <w:trPr>
          <w:trHeight w:val="441"/>
          <w:jc w:val="center"/>
        </w:trPr>
        <w:tc>
          <w:tcPr>
            <w:tcW w:w="4248" w:type="dxa"/>
            <w:shd w:val="clear" w:color="auto" w:fill="auto"/>
            <w:vAlign w:val="center"/>
            <w:hideMark/>
          </w:tcPr>
          <w:p w14:paraId="0D1FDE56" w14:textId="77777777" w:rsidR="00533926" w:rsidRPr="00AA5833" w:rsidRDefault="00533926" w:rsidP="00533926">
            <w:pPr>
              <w:spacing w:after="0"/>
              <w:rPr>
                <w:rFonts w:ascii="Times New Roman" w:eastAsia="Times New Roman" w:hAnsi="Times New Roman"/>
                <w:sz w:val="20"/>
                <w:lang w:eastAsia="bg-BG"/>
              </w:rPr>
            </w:pPr>
            <w:r w:rsidRPr="00AA5833">
              <w:rPr>
                <w:rFonts w:ascii="Times New Roman" w:eastAsia="Times New Roman" w:hAnsi="Times New Roman"/>
                <w:sz w:val="20"/>
                <w:lang w:eastAsia="bg-BG"/>
              </w:rPr>
              <w:t xml:space="preserve">Парични обезщетения за бременност и раждане – чл. 50, ал. 1 и 5 и чл. 51 от КСО </w:t>
            </w:r>
          </w:p>
        </w:tc>
        <w:tc>
          <w:tcPr>
            <w:tcW w:w="985" w:type="dxa"/>
            <w:shd w:val="clear" w:color="auto" w:fill="auto"/>
            <w:noWrap/>
            <w:vAlign w:val="center"/>
            <w:hideMark/>
          </w:tcPr>
          <w:p w14:paraId="1AA13D8B"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76 412</w:t>
            </w:r>
          </w:p>
        </w:tc>
        <w:tc>
          <w:tcPr>
            <w:tcW w:w="880" w:type="dxa"/>
            <w:shd w:val="clear" w:color="auto" w:fill="auto"/>
            <w:noWrap/>
            <w:vAlign w:val="center"/>
          </w:tcPr>
          <w:p w14:paraId="36C2CF18"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74 225</w:t>
            </w:r>
          </w:p>
        </w:tc>
        <w:tc>
          <w:tcPr>
            <w:tcW w:w="879" w:type="dxa"/>
            <w:shd w:val="clear" w:color="auto" w:fill="auto"/>
            <w:noWrap/>
            <w:vAlign w:val="center"/>
            <w:hideMark/>
          </w:tcPr>
          <w:p w14:paraId="6A8F9E23"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36</w:t>
            </w:r>
          </w:p>
        </w:tc>
        <w:tc>
          <w:tcPr>
            <w:tcW w:w="880" w:type="dxa"/>
            <w:shd w:val="clear" w:color="auto" w:fill="auto"/>
            <w:noWrap/>
            <w:vAlign w:val="center"/>
          </w:tcPr>
          <w:p w14:paraId="22B29D6D"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42</w:t>
            </w:r>
          </w:p>
        </w:tc>
        <w:tc>
          <w:tcPr>
            <w:tcW w:w="768" w:type="dxa"/>
            <w:shd w:val="clear" w:color="auto" w:fill="auto"/>
            <w:noWrap/>
            <w:vAlign w:val="center"/>
            <w:hideMark/>
          </w:tcPr>
          <w:p w14:paraId="394E29FA"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76 376</w:t>
            </w:r>
          </w:p>
        </w:tc>
        <w:tc>
          <w:tcPr>
            <w:tcW w:w="881" w:type="dxa"/>
            <w:shd w:val="clear" w:color="auto" w:fill="auto"/>
            <w:noWrap/>
            <w:vAlign w:val="center"/>
          </w:tcPr>
          <w:p w14:paraId="06AD2B53"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74 183</w:t>
            </w:r>
          </w:p>
        </w:tc>
      </w:tr>
      <w:tr w:rsidR="00533926" w:rsidRPr="00AA5833" w14:paraId="2214A697" w14:textId="77777777" w:rsidTr="00533926">
        <w:trPr>
          <w:trHeight w:val="441"/>
          <w:jc w:val="center"/>
        </w:trPr>
        <w:tc>
          <w:tcPr>
            <w:tcW w:w="4248" w:type="dxa"/>
            <w:shd w:val="clear" w:color="auto" w:fill="auto"/>
            <w:vAlign w:val="center"/>
            <w:hideMark/>
          </w:tcPr>
          <w:p w14:paraId="58935EA7" w14:textId="77777777" w:rsidR="00533926" w:rsidRPr="00AA5833" w:rsidRDefault="00533926" w:rsidP="00533926">
            <w:pPr>
              <w:spacing w:after="0"/>
              <w:rPr>
                <w:rFonts w:ascii="Times New Roman" w:eastAsia="Times New Roman" w:hAnsi="Times New Roman"/>
                <w:sz w:val="20"/>
                <w:lang w:eastAsia="bg-BG"/>
              </w:rPr>
            </w:pPr>
            <w:r w:rsidRPr="00AA5833">
              <w:rPr>
                <w:rFonts w:ascii="Times New Roman" w:eastAsia="Times New Roman" w:hAnsi="Times New Roman"/>
                <w:sz w:val="20"/>
                <w:lang w:eastAsia="bg-BG"/>
              </w:rPr>
              <w:t>Парични обезщетения на бащите при раждане на дете за срок от 15 дни – чл. 50, ал. 6 от КСО и чл. 53в, ал. 2 от КСО</w:t>
            </w:r>
          </w:p>
        </w:tc>
        <w:tc>
          <w:tcPr>
            <w:tcW w:w="985" w:type="dxa"/>
            <w:shd w:val="clear" w:color="auto" w:fill="auto"/>
            <w:noWrap/>
            <w:vAlign w:val="center"/>
            <w:hideMark/>
          </w:tcPr>
          <w:p w14:paraId="28A313EC"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22 151</w:t>
            </w:r>
          </w:p>
        </w:tc>
        <w:tc>
          <w:tcPr>
            <w:tcW w:w="880" w:type="dxa"/>
            <w:shd w:val="clear" w:color="auto" w:fill="auto"/>
            <w:noWrap/>
            <w:vAlign w:val="center"/>
          </w:tcPr>
          <w:p w14:paraId="134003C1"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21 606</w:t>
            </w:r>
          </w:p>
        </w:tc>
        <w:tc>
          <w:tcPr>
            <w:tcW w:w="879" w:type="dxa"/>
            <w:shd w:val="clear" w:color="auto" w:fill="auto"/>
            <w:noWrap/>
            <w:vAlign w:val="center"/>
            <w:hideMark/>
          </w:tcPr>
          <w:p w14:paraId="19DCAD60"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22 151</w:t>
            </w:r>
          </w:p>
        </w:tc>
        <w:tc>
          <w:tcPr>
            <w:tcW w:w="880" w:type="dxa"/>
            <w:shd w:val="clear" w:color="auto" w:fill="auto"/>
            <w:noWrap/>
            <w:vAlign w:val="center"/>
          </w:tcPr>
          <w:p w14:paraId="41F4006F"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21 606</w:t>
            </w:r>
          </w:p>
        </w:tc>
        <w:tc>
          <w:tcPr>
            <w:tcW w:w="768" w:type="dxa"/>
            <w:shd w:val="clear" w:color="auto" w:fill="auto"/>
            <w:noWrap/>
            <w:vAlign w:val="center"/>
            <w:hideMark/>
          </w:tcPr>
          <w:p w14:paraId="48C183E1"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w:t>
            </w:r>
          </w:p>
        </w:tc>
        <w:tc>
          <w:tcPr>
            <w:tcW w:w="881" w:type="dxa"/>
            <w:shd w:val="clear" w:color="auto" w:fill="auto"/>
            <w:noWrap/>
            <w:vAlign w:val="center"/>
          </w:tcPr>
          <w:p w14:paraId="42ED3B9C"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w:t>
            </w:r>
          </w:p>
        </w:tc>
      </w:tr>
      <w:tr w:rsidR="00533926" w:rsidRPr="00AA5833" w14:paraId="4FBA4FBC" w14:textId="77777777" w:rsidTr="00533926">
        <w:trPr>
          <w:trHeight w:val="657"/>
          <w:jc w:val="center"/>
        </w:trPr>
        <w:tc>
          <w:tcPr>
            <w:tcW w:w="4248" w:type="dxa"/>
            <w:shd w:val="clear" w:color="auto" w:fill="auto"/>
            <w:vAlign w:val="center"/>
            <w:hideMark/>
          </w:tcPr>
          <w:p w14:paraId="0D47BD4F" w14:textId="77777777" w:rsidR="00533926" w:rsidRPr="00AA5833" w:rsidRDefault="00533926" w:rsidP="00533926">
            <w:pPr>
              <w:spacing w:after="0"/>
              <w:rPr>
                <w:rFonts w:ascii="Times New Roman" w:eastAsia="Times New Roman" w:hAnsi="Times New Roman"/>
                <w:sz w:val="20"/>
                <w:lang w:eastAsia="bg-BG"/>
              </w:rPr>
            </w:pPr>
            <w:r w:rsidRPr="00AA5833">
              <w:rPr>
                <w:rFonts w:ascii="Times New Roman" w:eastAsia="Times New Roman" w:hAnsi="Times New Roman"/>
                <w:sz w:val="20"/>
                <w:lang w:eastAsia="bg-BG"/>
              </w:rPr>
              <w:t>Парични обезщетения на лицата, поели отглеждането на детето след навършването на 6-месечната му възраст – чл. 50, ал. 7 от КСО</w:t>
            </w:r>
          </w:p>
        </w:tc>
        <w:tc>
          <w:tcPr>
            <w:tcW w:w="985" w:type="dxa"/>
            <w:shd w:val="clear" w:color="auto" w:fill="auto"/>
            <w:noWrap/>
            <w:vAlign w:val="center"/>
            <w:hideMark/>
          </w:tcPr>
          <w:p w14:paraId="143639FF"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408</w:t>
            </w:r>
          </w:p>
        </w:tc>
        <w:tc>
          <w:tcPr>
            <w:tcW w:w="880" w:type="dxa"/>
            <w:shd w:val="clear" w:color="auto" w:fill="auto"/>
            <w:noWrap/>
            <w:vAlign w:val="center"/>
          </w:tcPr>
          <w:p w14:paraId="7F5BAB3F"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423</w:t>
            </w:r>
          </w:p>
        </w:tc>
        <w:tc>
          <w:tcPr>
            <w:tcW w:w="879" w:type="dxa"/>
            <w:shd w:val="clear" w:color="auto" w:fill="auto"/>
            <w:noWrap/>
            <w:vAlign w:val="center"/>
            <w:hideMark/>
          </w:tcPr>
          <w:p w14:paraId="7AC59841"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294</w:t>
            </w:r>
          </w:p>
        </w:tc>
        <w:tc>
          <w:tcPr>
            <w:tcW w:w="880" w:type="dxa"/>
            <w:shd w:val="clear" w:color="auto" w:fill="auto"/>
            <w:noWrap/>
            <w:vAlign w:val="center"/>
          </w:tcPr>
          <w:p w14:paraId="096EE5EF"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257</w:t>
            </w:r>
          </w:p>
        </w:tc>
        <w:tc>
          <w:tcPr>
            <w:tcW w:w="768" w:type="dxa"/>
            <w:shd w:val="clear" w:color="auto" w:fill="auto"/>
            <w:noWrap/>
            <w:vAlign w:val="center"/>
            <w:hideMark/>
          </w:tcPr>
          <w:p w14:paraId="7E77C016"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114</w:t>
            </w:r>
          </w:p>
        </w:tc>
        <w:tc>
          <w:tcPr>
            <w:tcW w:w="881" w:type="dxa"/>
            <w:shd w:val="clear" w:color="auto" w:fill="auto"/>
            <w:noWrap/>
            <w:vAlign w:val="center"/>
          </w:tcPr>
          <w:p w14:paraId="53110A05"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166</w:t>
            </w:r>
          </w:p>
        </w:tc>
      </w:tr>
      <w:tr w:rsidR="00533926" w:rsidRPr="00AA5833" w14:paraId="4B2B7AD8" w14:textId="77777777" w:rsidTr="00533926">
        <w:trPr>
          <w:trHeight w:val="835"/>
          <w:jc w:val="center"/>
        </w:trPr>
        <w:tc>
          <w:tcPr>
            <w:tcW w:w="4248" w:type="dxa"/>
            <w:shd w:val="clear" w:color="auto" w:fill="auto"/>
            <w:vAlign w:val="center"/>
            <w:hideMark/>
          </w:tcPr>
          <w:p w14:paraId="3991CB0B" w14:textId="77777777" w:rsidR="00533926" w:rsidRPr="00AA5833" w:rsidRDefault="00533926" w:rsidP="00533926">
            <w:pPr>
              <w:spacing w:after="0"/>
              <w:rPr>
                <w:rFonts w:ascii="Times New Roman" w:eastAsia="Times New Roman" w:hAnsi="Times New Roman"/>
                <w:sz w:val="20"/>
                <w:lang w:eastAsia="bg-BG"/>
              </w:rPr>
            </w:pPr>
            <w:r w:rsidRPr="00AA5833">
              <w:rPr>
                <w:rFonts w:ascii="Times New Roman" w:eastAsia="Times New Roman" w:hAnsi="Times New Roman"/>
                <w:sz w:val="20"/>
                <w:lang w:eastAsia="bg-BG"/>
              </w:rPr>
              <w:t>Парични обезщетения при неизползване на отпуска за бременност и раждане – чл. 50а от КСО</w:t>
            </w:r>
          </w:p>
        </w:tc>
        <w:tc>
          <w:tcPr>
            <w:tcW w:w="985" w:type="dxa"/>
            <w:shd w:val="clear" w:color="auto" w:fill="auto"/>
            <w:noWrap/>
            <w:vAlign w:val="center"/>
            <w:hideMark/>
          </w:tcPr>
          <w:p w14:paraId="2927467B"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839</w:t>
            </w:r>
          </w:p>
        </w:tc>
        <w:tc>
          <w:tcPr>
            <w:tcW w:w="880" w:type="dxa"/>
            <w:shd w:val="clear" w:color="auto" w:fill="auto"/>
            <w:noWrap/>
            <w:vAlign w:val="center"/>
          </w:tcPr>
          <w:p w14:paraId="62C79C39"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803</w:t>
            </w:r>
          </w:p>
        </w:tc>
        <w:tc>
          <w:tcPr>
            <w:tcW w:w="879" w:type="dxa"/>
            <w:shd w:val="clear" w:color="auto" w:fill="auto"/>
            <w:noWrap/>
            <w:vAlign w:val="center"/>
            <w:hideMark/>
          </w:tcPr>
          <w:p w14:paraId="1EC111BF"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4</w:t>
            </w:r>
          </w:p>
        </w:tc>
        <w:tc>
          <w:tcPr>
            <w:tcW w:w="880" w:type="dxa"/>
            <w:shd w:val="clear" w:color="auto" w:fill="auto"/>
            <w:noWrap/>
            <w:vAlign w:val="center"/>
          </w:tcPr>
          <w:p w14:paraId="6FD29A76"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4</w:t>
            </w:r>
          </w:p>
        </w:tc>
        <w:tc>
          <w:tcPr>
            <w:tcW w:w="768" w:type="dxa"/>
            <w:shd w:val="clear" w:color="auto" w:fill="auto"/>
            <w:noWrap/>
            <w:vAlign w:val="center"/>
            <w:hideMark/>
          </w:tcPr>
          <w:p w14:paraId="7D7C850B"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835</w:t>
            </w:r>
          </w:p>
        </w:tc>
        <w:tc>
          <w:tcPr>
            <w:tcW w:w="881" w:type="dxa"/>
            <w:shd w:val="clear" w:color="auto" w:fill="auto"/>
            <w:noWrap/>
            <w:vAlign w:val="center"/>
          </w:tcPr>
          <w:p w14:paraId="2D08F1A8" w14:textId="77777777" w:rsidR="00533926" w:rsidRPr="00AA5833" w:rsidRDefault="00533926" w:rsidP="00533926">
            <w:pPr>
              <w:spacing w:after="0"/>
              <w:jc w:val="right"/>
              <w:rPr>
                <w:rFonts w:ascii="Times New Roman" w:eastAsia="Times New Roman" w:hAnsi="Times New Roman"/>
                <w:sz w:val="20"/>
                <w:lang w:eastAsia="bg-BG"/>
              </w:rPr>
            </w:pPr>
            <w:r w:rsidRPr="00AA5833">
              <w:rPr>
                <w:rFonts w:ascii="Times New Roman" w:eastAsia="Times New Roman" w:hAnsi="Times New Roman"/>
                <w:sz w:val="20"/>
                <w:lang w:eastAsia="bg-BG"/>
              </w:rPr>
              <w:t>799</w:t>
            </w:r>
          </w:p>
        </w:tc>
      </w:tr>
      <w:tr w:rsidR="00533926" w:rsidRPr="00AA5833" w14:paraId="198A1B33" w14:textId="77777777" w:rsidTr="00533926">
        <w:trPr>
          <w:trHeight w:val="263"/>
          <w:jc w:val="center"/>
        </w:trPr>
        <w:tc>
          <w:tcPr>
            <w:tcW w:w="4248" w:type="dxa"/>
            <w:shd w:val="clear" w:color="auto" w:fill="auto"/>
            <w:vAlign w:val="center"/>
            <w:hideMark/>
          </w:tcPr>
          <w:p w14:paraId="5E148EE0" w14:textId="77777777" w:rsidR="00533926" w:rsidRPr="00AA5833" w:rsidRDefault="00533926" w:rsidP="00533926">
            <w:pPr>
              <w:spacing w:after="0"/>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Общ брой лица</w:t>
            </w:r>
          </w:p>
        </w:tc>
        <w:tc>
          <w:tcPr>
            <w:tcW w:w="985" w:type="dxa"/>
            <w:shd w:val="clear" w:color="auto" w:fill="auto"/>
            <w:vAlign w:val="center"/>
            <w:hideMark/>
          </w:tcPr>
          <w:p w14:paraId="55BA227B" w14:textId="77777777" w:rsidR="00533926" w:rsidRPr="00AA5833" w:rsidRDefault="00533926" w:rsidP="00533926">
            <w:pPr>
              <w:spacing w:after="0"/>
              <w:jc w:val="right"/>
              <w:rPr>
                <w:rFonts w:ascii="Times New Roman" w:eastAsia="Times New Roman" w:hAnsi="Times New Roman"/>
                <w:b/>
                <w:bCs/>
                <w:sz w:val="20"/>
                <w:lang w:eastAsia="bg-BG"/>
              </w:rPr>
            </w:pPr>
            <w:r w:rsidRPr="00AA5833">
              <w:rPr>
                <w:rFonts w:ascii="Times New Roman" w:eastAsia="Times New Roman" w:hAnsi="Times New Roman"/>
                <w:b/>
                <w:bCs/>
                <w:sz w:val="20"/>
                <w:lang w:eastAsia="bg-BG"/>
              </w:rPr>
              <w:t>99 810</w:t>
            </w:r>
          </w:p>
        </w:tc>
        <w:tc>
          <w:tcPr>
            <w:tcW w:w="880" w:type="dxa"/>
            <w:shd w:val="clear" w:color="auto" w:fill="auto"/>
            <w:noWrap/>
            <w:vAlign w:val="center"/>
          </w:tcPr>
          <w:p w14:paraId="60C9B33B" w14:textId="77777777" w:rsidR="00533926" w:rsidRPr="00AA5833" w:rsidRDefault="00533926" w:rsidP="00533926">
            <w:pPr>
              <w:spacing w:after="0"/>
              <w:jc w:val="right"/>
              <w:rPr>
                <w:rFonts w:ascii="Times New Roman" w:eastAsia="Times New Roman" w:hAnsi="Times New Roman"/>
                <w:b/>
                <w:sz w:val="20"/>
                <w:lang w:eastAsia="bg-BG"/>
              </w:rPr>
            </w:pPr>
            <w:r w:rsidRPr="00AA5833">
              <w:rPr>
                <w:rFonts w:ascii="Times New Roman" w:eastAsia="Times New Roman" w:hAnsi="Times New Roman"/>
                <w:b/>
                <w:sz w:val="20"/>
                <w:lang w:eastAsia="bg-BG"/>
              </w:rPr>
              <w:t>97 057</w:t>
            </w:r>
          </w:p>
        </w:tc>
        <w:tc>
          <w:tcPr>
            <w:tcW w:w="879" w:type="dxa"/>
            <w:shd w:val="clear" w:color="auto" w:fill="auto"/>
            <w:noWrap/>
            <w:vAlign w:val="center"/>
            <w:hideMark/>
          </w:tcPr>
          <w:p w14:paraId="34EDC383" w14:textId="77777777" w:rsidR="00533926" w:rsidRPr="00AA5833" w:rsidRDefault="00533926" w:rsidP="00533926">
            <w:pPr>
              <w:spacing w:after="0"/>
              <w:jc w:val="right"/>
              <w:rPr>
                <w:rFonts w:ascii="Times New Roman" w:eastAsia="Times New Roman" w:hAnsi="Times New Roman"/>
                <w:b/>
                <w:sz w:val="20"/>
                <w:lang w:eastAsia="bg-BG"/>
              </w:rPr>
            </w:pPr>
            <w:r w:rsidRPr="00AA5833">
              <w:rPr>
                <w:rFonts w:ascii="Times New Roman" w:eastAsia="Times New Roman" w:hAnsi="Times New Roman"/>
                <w:b/>
                <w:sz w:val="20"/>
                <w:lang w:eastAsia="bg-BG"/>
              </w:rPr>
              <w:t>22 485</w:t>
            </w:r>
          </w:p>
        </w:tc>
        <w:tc>
          <w:tcPr>
            <w:tcW w:w="880" w:type="dxa"/>
            <w:shd w:val="clear" w:color="auto" w:fill="auto"/>
            <w:noWrap/>
          </w:tcPr>
          <w:p w14:paraId="207253B4" w14:textId="77777777" w:rsidR="00533926" w:rsidRPr="00AA5833" w:rsidRDefault="00533926" w:rsidP="00533926">
            <w:pPr>
              <w:spacing w:after="0"/>
              <w:jc w:val="right"/>
              <w:rPr>
                <w:rFonts w:ascii="Times New Roman" w:eastAsia="Times New Roman" w:hAnsi="Times New Roman"/>
                <w:b/>
                <w:sz w:val="20"/>
                <w:lang w:eastAsia="bg-BG"/>
              </w:rPr>
            </w:pPr>
            <w:r w:rsidRPr="00AA5833">
              <w:rPr>
                <w:rFonts w:ascii="Times New Roman" w:eastAsia="Times New Roman" w:hAnsi="Times New Roman"/>
                <w:b/>
                <w:sz w:val="20"/>
                <w:lang w:eastAsia="bg-BG"/>
              </w:rPr>
              <w:t>21 909</w:t>
            </w:r>
          </w:p>
        </w:tc>
        <w:tc>
          <w:tcPr>
            <w:tcW w:w="768" w:type="dxa"/>
            <w:shd w:val="clear" w:color="auto" w:fill="auto"/>
            <w:vAlign w:val="center"/>
            <w:hideMark/>
          </w:tcPr>
          <w:p w14:paraId="5D01F56F" w14:textId="77777777" w:rsidR="00533926" w:rsidRPr="00AA5833" w:rsidRDefault="00533926" w:rsidP="00533926">
            <w:pPr>
              <w:spacing w:after="0"/>
              <w:jc w:val="right"/>
              <w:rPr>
                <w:rFonts w:ascii="Times New Roman" w:eastAsia="Times New Roman" w:hAnsi="Times New Roman"/>
                <w:b/>
                <w:sz w:val="20"/>
                <w:lang w:eastAsia="bg-BG"/>
              </w:rPr>
            </w:pPr>
            <w:r w:rsidRPr="00AA5833">
              <w:rPr>
                <w:rFonts w:ascii="Times New Roman" w:eastAsia="Times New Roman" w:hAnsi="Times New Roman"/>
                <w:b/>
                <w:sz w:val="20"/>
                <w:lang w:eastAsia="bg-BG"/>
              </w:rPr>
              <w:t>77 325</w:t>
            </w:r>
          </w:p>
        </w:tc>
        <w:tc>
          <w:tcPr>
            <w:tcW w:w="881" w:type="dxa"/>
            <w:shd w:val="clear" w:color="auto" w:fill="auto"/>
            <w:noWrap/>
            <w:vAlign w:val="center"/>
          </w:tcPr>
          <w:p w14:paraId="2F318362" w14:textId="77777777" w:rsidR="00533926" w:rsidRPr="00AA5833" w:rsidRDefault="00533926" w:rsidP="00533926">
            <w:pPr>
              <w:spacing w:after="0"/>
              <w:jc w:val="right"/>
              <w:rPr>
                <w:rFonts w:ascii="Times New Roman" w:eastAsia="Times New Roman" w:hAnsi="Times New Roman"/>
                <w:b/>
                <w:sz w:val="20"/>
                <w:lang w:eastAsia="bg-BG"/>
              </w:rPr>
            </w:pPr>
            <w:r w:rsidRPr="00AA5833">
              <w:rPr>
                <w:rFonts w:ascii="Times New Roman" w:eastAsia="Times New Roman" w:hAnsi="Times New Roman"/>
                <w:b/>
                <w:sz w:val="20"/>
                <w:lang w:eastAsia="bg-BG"/>
              </w:rPr>
              <w:t>75 148</w:t>
            </w:r>
          </w:p>
        </w:tc>
      </w:tr>
    </w:tbl>
    <w:p w14:paraId="624229C6" w14:textId="77777777" w:rsidR="00533926" w:rsidRPr="00AA5833" w:rsidRDefault="00533926" w:rsidP="00533926">
      <w:pPr>
        <w:autoSpaceDE w:val="0"/>
        <w:autoSpaceDN w:val="0"/>
        <w:adjustRightInd w:val="0"/>
        <w:spacing w:after="0" w:line="240" w:lineRule="auto"/>
        <w:ind w:left="-284"/>
        <w:jc w:val="both"/>
        <w:rPr>
          <w:rFonts w:ascii="Times New Roman" w:hAnsi="Times New Roman"/>
          <w:sz w:val="20"/>
          <w:szCs w:val="20"/>
          <w:lang w:eastAsia="bg-BG"/>
        </w:rPr>
      </w:pPr>
      <w:r w:rsidRPr="00AA5833">
        <w:rPr>
          <w:rFonts w:ascii="Times New Roman" w:hAnsi="Times New Roman"/>
          <w:i/>
          <w:sz w:val="20"/>
          <w:szCs w:val="20"/>
          <w:u w:val="single"/>
          <w:lang w:eastAsia="bg-BG"/>
        </w:rPr>
        <w:t>Забележка:</w:t>
      </w:r>
      <w:r w:rsidRPr="00AA5833">
        <w:rPr>
          <w:rFonts w:ascii="Times New Roman" w:hAnsi="Times New Roman"/>
          <w:sz w:val="20"/>
          <w:szCs w:val="20"/>
          <w:u w:val="single"/>
          <w:lang w:eastAsia="bg-BG"/>
        </w:rPr>
        <w:t xml:space="preserve"> </w:t>
      </w:r>
      <w:r w:rsidRPr="00AA5833">
        <w:rPr>
          <w:rFonts w:ascii="Times New Roman" w:hAnsi="Times New Roman"/>
          <w:i/>
          <w:sz w:val="20"/>
          <w:szCs w:val="20"/>
          <w:lang w:eastAsia="bg-BG"/>
        </w:rPr>
        <w:t>Брой лица показва съвкупността от лица, на които през съответната година (към 31.12.) е начислено поне едно парично обезщетение от съответния вид. Елиминирано е двойното броене в случаите, когато едно и също лице е получило парично обезщетение през повече от един месец в рамките на периода</w:t>
      </w:r>
      <w:r w:rsidRPr="00AA5833">
        <w:rPr>
          <w:rFonts w:ascii="Times New Roman" w:hAnsi="Times New Roman"/>
          <w:sz w:val="20"/>
          <w:szCs w:val="20"/>
          <w:lang w:eastAsia="bg-BG"/>
        </w:rPr>
        <w:t>.</w:t>
      </w:r>
    </w:p>
    <w:p w14:paraId="1F497E41" w14:textId="77777777" w:rsidR="00533926" w:rsidRPr="00AA5833" w:rsidRDefault="00533926" w:rsidP="00533926">
      <w:pPr>
        <w:autoSpaceDE w:val="0"/>
        <w:autoSpaceDN w:val="0"/>
        <w:adjustRightInd w:val="0"/>
        <w:spacing w:after="0" w:line="240" w:lineRule="auto"/>
        <w:ind w:left="-284"/>
        <w:jc w:val="both"/>
        <w:rPr>
          <w:rFonts w:ascii="Times New Roman" w:hAnsi="Times New Roman"/>
          <w:sz w:val="24"/>
          <w:szCs w:val="24"/>
          <w:lang w:eastAsia="bg-BG"/>
        </w:rPr>
      </w:pPr>
    </w:p>
    <w:p w14:paraId="617D379D" w14:textId="77777777" w:rsidR="00533926" w:rsidRPr="00AA5833" w:rsidRDefault="00533926" w:rsidP="002A598C">
      <w:pPr>
        <w:numPr>
          <w:ilvl w:val="0"/>
          <w:numId w:val="103"/>
        </w:numPr>
        <w:autoSpaceDE w:val="0"/>
        <w:autoSpaceDN w:val="0"/>
        <w:adjustRightInd w:val="0"/>
        <w:spacing w:after="0" w:line="240" w:lineRule="auto"/>
        <w:ind w:firstLine="360"/>
        <w:contextualSpacing/>
        <w:jc w:val="both"/>
        <w:rPr>
          <w:rFonts w:ascii="Times New Roman" w:hAnsi="Times New Roman"/>
          <w:sz w:val="24"/>
          <w:szCs w:val="24"/>
          <w:lang w:eastAsia="bg-BG"/>
        </w:rPr>
      </w:pPr>
      <w:r w:rsidRPr="00AA5833">
        <w:rPr>
          <w:rFonts w:ascii="Times New Roman" w:eastAsia="Times New Roman" w:hAnsi="Times New Roman" w:cs="Times New Roman"/>
          <w:sz w:val="24"/>
          <w:szCs w:val="24"/>
          <w:lang w:eastAsia="zh-CN"/>
        </w:rPr>
        <w:lastRenderedPageBreak/>
        <w:t xml:space="preserve">За парични </w:t>
      </w:r>
      <w:bookmarkStart w:id="2" w:name="_Hlk150506415"/>
      <w:r w:rsidRPr="00AA5833">
        <w:rPr>
          <w:rFonts w:ascii="Times New Roman" w:eastAsia="Times New Roman" w:hAnsi="Times New Roman" w:cs="Times New Roman"/>
          <w:i/>
          <w:sz w:val="24"/>
          <w:szCs w:val="24"/>
          <w:lang w:eastAsia="zh-CN"/>
        </w:rPr>
        <w:t>обезщетения за отглеждане на дете до 2-годишна възраст</w:t>
      </w:r>
      <w:r w:rsidRPr="00AA5833">
        <w:rPr>
          <w:rFonts w:ascii="Times New Roman" w:eastAsia="Times New Roman" w:hAnsi="Times New Roman" w:cs="Times New Roman"/>
          <w:sz w:val="24"/>
          <w:szCs w:val="24"/>
          <w:lang w:eastAsia="zh-CN"/>
        </w:rPr>
        <w:t xml:space="preserve"> </w:t>
      </w:r>
      <w:bookmarkEnd w:id="2"/>
      <w:r w:rsidRPr="00AA5833">
        <w:rPr>
          <w:rFonts w:ascii="Times New Roman" w:eastAsia="Times New Roman" w:hAnsi="Times New Roman" w:cs="Times New Roman"/>
          <w:sz w:val="24"/>
          <w:szCs w:val="24"/>
          <w:lang w:eastAsia="zh-CN"/>
        </w:rPr>
        <w:t xml:space="preserve">през 2024 г. </w:t>
      </w:r>
      <w:r w:rsidRPr="00AA5833">
        <w:rPr>
          <w:rFonts w:ascii="Times New Roman" w:eastAsia="Calibri" w:hAnsi="Times New Roman" w:cs="Times New Roman"/>
          <w:sz w:val="24"/>
        </w:rPr>
        <w:t xml:space="preserve">са изплатени 313 869,4 хил. лв., като спрямо предходната година (326 074,0 </w:t>
      </w:r>
      <w:r w:rsidRPr="00AA5833">
        <w:rPr>
          <w:rFonts w:ascii="Times New Roman" w:eastAsia="Calibri" w:hAnsi="Times New Roman" w:cs="Times New Roman"/>
          <w:sz w:val="24"/>
          <w:szCs w:val="24"/>
          <w:lang w:eastAsia="bg-BG"/>
        </w:rPr>
        <w:t xml:space="preserve">хил. лв.) </w:t>
      </w:r>
      <w:r w:rsidRPr="00AA5833">
        <w:rPr>
          <w:rFonts w:ascii="Times New Roman" w:eastAsia="Calibri" w:hAnsi="Times New Roman" w:cs="Times New Roman"/>
          <w:sz w:val="24"/>
        </w:rPr>
        <w:t xml:space="preserve">е отчетено намаление с 3,7%. </w:t>
      </w:r>
      <w:r w:rsidRPr="00AA5833">
        <w:rPr>
          <w:rFonts w:ascii="Times New Roman" w:eastAsia="Times New Roman" w:hAnsi="Times New Roman" w:cs="Times New Roman"/>
          <w:sz w:val="24"/>
          <w:szCs w:val="24"/>
          <w:lang w:eastAsia="zh-CN"/>
        </w:rPr>
        <w:t xml:space="preserve">Броят на изплатените дни е </w:t>
      </w:r>
      <w:r w:rsidRPr="00AA5833">
        <w:rPr>
          <w:rFonts w:ascii="Times New Roman" w:eastAsia="Calibri" w:hAnsi="Times New Roman" w:cs="Times New Roman"/>
          <w:bCs/>
          <w:sz w:val="24"/>
          <w:szCs w:val="24"/>
        </w:rPr>
        <w:t xml:space="preserve">9 229,2 </w:t>
      </w:r>
      <w:r w:rsidRPr="00AA5833">
        <w:rPr>
          <w:rFonts w:ascii="Times New Roman" w:eastAsia="Times New Roman" w:hAnsi="Times New Roman" w:cs="Times New Roman"/>
          <w:sz w:val="24"/>
          <w:szCs w:val="24"/>
          <w:lang w:eastAsia="zh-CN"/>
        </w:rPr>
        <w:t xml:space="preserve">хил. (при </w:t>
      </w:r>
      <w:r w:rsidRPr="00AA5833">
        <w:rPr>
          <w:rFonts w:ascii="Times New Roman" w:eastAsia="Calibri" w:hAnsi="Times New Roman" w:cs="Times New Roman"/>
          <w:bCs/>
          <w:sz w:val="24"/>
          <w:szCs w:val="24"/>
        </w:rPr>
        <w:t xml:space="preserve">10 857,7 </w:t>
      </w:r>
      <w:r w:rsidRPr="00AA5833">
        <w:rPr>
          <w:rFonts w:ascii="Times New Roman" w:eastAsia="Times New Roman" w:hAnsi="Times New Roman" w:cs="Times New Roman"/>
          <w:sz w:val="24"/>
          <w:szCs w:val="24"/>
          <w:lang w:eastAsia="zh-CN"/>
        </w:rPr>
        <w:t xml:space="preserve">хил. дни за 2023 г.) със среднодневен размер </w:t>
      </w:r>
      <w:r w:rsidRPr="00AA5833">
        <w:rPr>
          <w:rFonts w:ascii="Times New Roman" w:eastAsia="Calibri" w:hAnsi="Times New Roman" w:cs="Times New Roman"/>
          <w:bCs/>
          <w:sz w:val="24"/>
          <w:szCs w:val="24"/>
        </w:rPr>
        <w:t>34,01 </w:t>
      </w:r>
      <w:r w:rsidRPr="00AA5833">
        <w:rPr>
          <w:rFonts w:ascii="Times New Roman" w:eastAsia="Times New Roman" w:hAnsi="Times New Roman" w:cs="Times New Roman"/>
          <w:sz w:val="24"/>
          <w:szCs w:val="24"/>
          <w:lang w:eastAsia="zh-CN"/>
        </w:rPr>
        <w:t>лв. (при 30,03 лв. за 2023 г.). Броят на лицата с изплатено поне едно парично обезщетение за отглеждане на дете до 2-годишна възраст към 31.12.2024 г. е 82 160, от които 81 313 жени и 847 мъже (при 84 049 за 2023 година). От тях лицата с изплатено поне едно обезщетение по време на допълнителния платен отпуск за отглеждане на дете до навършването на 2-годишна възраст са 66 786 (при 68 786 души за 2023 г.), а тези с поне едно обезщетение при неизползване на отпуска за отглеждане на дете до 2-годишна възраст са 15 374 (при 15 263 души за 2023 г.).</w:t>
      </w:r>
    </w:p>
    <w:p w14:paraId="1BCB5E20" w14:textId="77777777" w:rsidR="00533926" w:rsidRPr="00AA5833" w:rsidRDefault="00533926" w:rsidP="002A598C">
      <w:pPr>
        <w:numPr>
          <w:ilvl w:val="0"/>
          <w:numId w:val="103"/>
        </w:numPr>
        <w:autoSpaceDE w:val="0"/>
        <w:autoSpaceDN w:val="0"/>
        <w:adjustRightInd w:val="0"/>
        <w:spacing w:after="0" w:line="240" w:lineRule="auto"/>
        <w:ind w:firstLine="360"/>
        <w:contextualSpacing/>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t>През 2024 г. разходите за парични обезщетения при осиновяване на дете до 5-годишна възраст по чл. 53а от КСО са в размер на 3 869,1 хил. лв. (при 3 481,7 хил. лв. за 2023 г.).</w:t>
      </w:r>
      <w:bookmarkStart w:id="3" w:name="_Hlk137039659"/>
      <w:r w:rsidRPr="00AA5833">
        <w:rPr>
          <w:rFonts w:ascii="Times New Roman" w:eastAsia="Times New Roman" w:hAnsi="Times New Roman" w:cs="Times New Roman"/>
          <w:sz w:val="24"/>
          <w:szCs w:val="24"/>
          <w:lang w:eastAsia="zh-CN"/>
        </w:rPr>
        <w:t xml:space="preserve"> Броят на лицата с изплатено поне едно </w:t>
      </w:r>
      <w:bookmarkEnd w:id="3"/>
      <w:r w:rsidRPr="00AA5833">
        <w:rPr>
          <w:rFonts w:ascii="Times New Roman" w:eastAsia="Times New Roman" w:hAnsi="Times New Roman" w:cs="Times New Roman"/>
          <w:sz w:val="24"/>
          <w:szCs w:val="24"/>
          <w:lang w:eastAsia="zh-CN"/>
        </w:rPr>
        <w:t>парично обезщетение при осиновяване на дете до 5-годишна възраст към 31.12.2024 г. е 527 души (при 492 за 2023 г.), от които 448 са с обезщетения за времето на отпуск при осиновяване на дете до 5-годишна възраст, а 79 с обезщетение при неизползване на отпуск за осиновяване на дете до 5-годишна възраст.</w:t>
      </w:r>
    </w:p>
    <w:p w14:paraId="63E6AE2A" w14:textId="77777777" w:rsidR="00533926" w:rsidRPr="00AA5833" w:rsidRDefault="00533926" w:rsidP="002A598C">
      <w:pPr>
        <w:numPr>
          <w:ilvl w:val="0"/>
          <w:numId w:val="103"/>
        </w:numPr>
        <w:autoSpaceDE w:val="0"/>
        <w:autoSpaceDN w:val="0"/>
        <w:adjustRightInd w:val="0"/>
        <w:spacing w:after="0" w:line="240" w:lineRule="auto"/>
        <w:ind w:firstLine="360"/>
        <w:contextualSpacing/>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t>За парични обезщетения за отглеждане на дете до 8-годишна възраст на бащата (осиновителя) по чл. 53ж от КСО през 2024 г. е извършен разход в размер на 3 046,1 хил. лв. (при 4 343,7 хил. лв. за 2023 г.). Лицата с изплатено обезщетение за отглеждане на дете до 8-годишна възраст от бащата (осиновителя) по чл. 53ж от КСО към 31.12.2024 г. са 2843 (при 3501 лица за 2023 г.).</w:t>
      </w:r>
    </w:p>
    <w:p w14:paraId="23B4787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3E545A93"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D7E6D0F"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1.2. Съвместяване на родителството с трудово-професионалната реализация </w:t>
            </w:r>
          </w:p>
          <w:p w14:paraId="562AADA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p>
        </w:tc>
      </w:tr>
    </w:tbl>
    <w:p w14:paraId="452385C1" w14:textId="77777777" w:rsidR="00533926" w:rsidRPr="00AA5833" w:rsidRDefault="00533926" w:rsidP="00533926">
      <w:pPr>
        <w:spacing w:after="0" w:line="240" w:lineRule="auto"/>
        <w:ind w:firstLine="709"/>
        <w:jc w:val="both"/>
        <w:rPr>
          <w:rFonts w:ascii="Times New Roman" w:hAnsi="Times New Roman" w:cs="Times New Roman"/>
          <w:color w:val="000000"/>
          <w:sz w:val="24"/>
          <w:szCs w:val="24"/>
          <w:lang w:eastAsia="bg-BG"/>
        </w:rPr>
      </w:pPr>
    </w:p>
    <w:p w14:paraId="7ECF1A7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6A377A3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D592763"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Активната политика на пазара на труда, провеждана от Агенцията по заетостта (АЗ), включва програми за заетост, насърчителни мерки по Закона за насърчаване на заетостта (ЗНЗ) и схеми по Програма „Развитие на човешките ресурси” (П РЧР) за запазване и увеличаване на заетостта, ограничаване на безработицата чрез субсидиране на работни места, както и за повишаване качеството на работната сила чрез провеждане на обучения на възрастни за ограмотяване, придобиване на професионална квалификация, придобиване и усъвършенстване на ключови компетентности и мотивиране за активно поведение на пазара на труда, кариерно консултиране и развитие.</w:t>
      </w:r>
    </w:p>
    <w:p w14:paraId="1048E7C5"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Активната политика на Агенцията по заетостта на пазара на труда е насочена към безработни лица от уязвимите групи на пазара на труда и към заети лица и се финансира със средства от държавния бюджет (ДБ), Европейския социален фонд+ (ЕСФ+), чрез П РЧР.</w:t>
      </w:r>
    </w:p>
    <w:p w14:paraId="57F02C22"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Средствата от ДБ се изразходват за програми и мерки за обучение на възрастни и за професионално ориентиране, програми и мерки за запазване и за насърчаване на заетостта, програми и мерки за насърчаване на безработните към самостоятелна заетост, защита на вътрешния пазар на труда и за изпълнение на международни договори за обмен на работна сила, по които Република България е страна, изследване и прогнозиране на пазара на труда, както и за набирането, обработката и разпространението на информация за пазара на труда и оценка на ефекта от прилагането на мерките и програмите на активната политика и др.</w:t>
      </w:r>
    </w:p>
    <w:p w14:paraId="33D9FDB4"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Агенцията по заетостта организира обучения на възрастни в съответствие с </w:t>
      </w:r>
      <w:r w:rsidRPr="00AA5833">
        <w:rPr>
          <w:rFonts w:ascii="Times New Roman" w:hAnsi="Times New Roman" w:cs="Times New Roman"/>
          <w:sz w:val="24"/>
          <w:szCs w:val="24"/>
        </w:rPr>
        <w:lastRenderedPageBreak/>
        <w:t>потребностите на пазара на труда и изискванията на работодателите. Обученията са насочени към придобиване на знания и умения, необходими за заемане на заявени свободни работни места, както и за задоволяване бъдещи потребности на пазара на труда от квалифицирана работна сила. Чрез тях се насърчава производителността, конкурентоспособността, творчеството, иновациите и предприемачеството. Те са важен фактор за повишаване на пригодността за заетост и мобилността на работната сила на пазара на труда.</w:t>
      </w:r>
    </w:p>
    <w:p w14:paraId="4CE6A4B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7495DB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649D048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76C3A11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A078E0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1.2.1.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w:t>
      </w:r>
    </w:p>
    <w:p w14:paraId="1EDF7B1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E81896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 xml:space="preserve">Една от групите в неравностойно положение на пазара на труда, дефинирани в §1, т.4а от Допълнителните разпоредби на Закона за насърчаване на заетостта (ЗНЗ), които приоритетно се насочват към програми и мерки за обучение и заетост, обхваща </w:t>
      </w:r>
      <w:r w:rsidRPr="00AA5833">
        <w:rPr>
          <w:rFonts w:ascii="Times New Roman" w:hAnsi="Times New Roman" w:cs="Times New Roman"/>
          <w:b/>
          <w:color w:val="000000"/>
          <w:sz w:val="24"/>
          <w:szCs w:val="24"/>
        </w:rPr>
        <w:t>безработните родители (осиновители) с деца до 4 години</w:t>
      </w:r>
      <w:r w:rsidRPr="00AA5833">
        <w:rPr>
          <w:rFonts w:ascii="Times New Roman" w:hAnsi="Times New Roman" w:cs="Times New Roman"/>
          <w:color w:val="000000"/>
          <w:sz w:val="24"/>
          <w:szCs w:val="24"/>
        </w:rPr>
        <w:t>. Те са целева група и по насърчителната мярка, регламентирана в разпоредбата на чл. 36 от Закона за насърчаване на заетостта, която се финансира със средства от държавния бюджет. Мярката обединява стимули за работодатели, които осигуряват заетост на лица от неравнопоставените групи на пазара на труда, възможности за обучение за надграждане на знания и умения и подпомагане от ментор за адаптация към трудовия процес. През 2024 г. са включени в заетост 69 безработни родители с деца до 4-годишна възраст. Изразходваните средства от държавния бюджет са в размер на 223 633 лв.</w:t>
      </w:r>
    </w:p>
    <w:p w14:paraId="4A80234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0D6614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2B5F2F7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DAC00E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1.2.2. Насърчаване на безработни лица, включително младежи ползващи социални или интегрирани здравно-социални услуги за резидентна грижа, завършили образованието си, за наемане на работа в населено място, отстоящо на повече от 50 км. от населеното място по настоящ адрес чрез предоставяне на средства за такси за детски ясли, детски градини, наем на жилище, такси за ползване на интернет (чл. 42, ал. 3)</w:t>
      </w:r>
    </w:p>
    <w:p w14:paraId="4AAB8B9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217DCE1"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 xml:space="preserve">Мярката по чл. 42, ал. 3 от ЗНЗ насърчава </w:t>
      </w:r>
      <w:r w:rsidRPr="00AA5833">
        <w:rPr>
          <w:rFonts w:ascii="Times New Roman" w:hAnsi="Times New Roman" w:cs="Times New Roman"/>
          <w:b/>
          <w:sz w:val="24"/>
          <w:szCs w:val="24"/>
        </w:rPr>
        <w:t>териториалната мобилност на безработни лица</w:t>
      </w:r>
      <w:r w:rsidRPr="00AA5833">
        <w:rPr>
          <w:rFonts w:ascii="Times New Roman" w:hAnsi="Times New Roman" w:cs="Times New Roman"/>
          <w:sz w:val="24"/>
          <w:szCs w:val="24"/>
        </w:rPr>
        <w:t xml:space="preserve">. Подкрепя се осигуряването на заетост на безработно лице в населено място, което се намира на повече от 50 км. от неговото местоживеене. През 2024 г. субсидиите за лицето включват месечно суми за направени разходи за такси за детски ясли, детски градини, наем на жилище и такси за ползване на интернет. Периодът на субсидиране е до 12 месеца. През 2024 г. от мярката са се възползвали 79 лица, 37 от които нови. Изразходваните средства от държавния бюджет са в размер на 83 532 лв. </w:t>
      </w:r>
    </w:p>
    <w:p w14:paraId="58816B3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7FB281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793F12D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3C38DD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1.2.3. Повишаване предлагането на труд и участието в заетост на родители, посредством подкрепа в грижата за децата (Проект „Родители в заетост“) </w:t>
      </w:r>
    </w:p>
    <w:p w14:paraId="0024433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A32BED1" w14:textId="77777777" w:rsidR="00533926" w:rsidRPr="00AA5833" w:rsidRDefault="00533926" w:rsidP="00533926">
      <w:pPr>
        <w:spacing w:after="0" w:line="240" w:lineRule="auto"/>
        <w:ind w:firstLine="709"/>
        <w:jc w:val="both"/>
        <w:rPr>
          <w:rFonts w:ascii="Times New Roman" w:hAnsi="Times New Roman" w:cs="Times New Roman"/>
          <w:color w:val="000000"/>
          <w:sz w:val="24"/>
          <w:szCs w:val="24"/>
          <w:lang w:eastAsia="bg-BG"/>
        </w:rPr>
      </w:pPr>
      <w:r w:rsidRPr="00AA5833">
        <w:rPr>
          <w:rFonts w:ascii="Times New Roman" w:hAnsi="Times New Roman" w:cs="Times New Roman"/>
          <w:color w:val="000000"/>
          <w:sz w:val="24"/>
          <w:szCs w:val="24"/>
          <w:lang w:eastAsia="bg-BG"/>
        </w:rPr>
        <w:lastRenderedPageBreak/>
        <w:t>През 2024 г. продължава изпълнението на дейностите по проекта, чиято цел е да се осигури по-добър баланс между професионалния и личния живот на самотни, многодетни родители и на тези с малки деца чрез осигуряване на възможности за полагане на грижи за отглеждане на деца и чрез услуги за улесняване достъпа до заетост. Периода на изпълнение на Проекта е до 31.12.2026 г.</w:t>
      </w:r>
    </w:p>
    <w:p w14:paraId="57CF0FBF" w14:textId="77777777" w:rsidR="00533926" w:rsidRPr="00AA5833" w:rsidRDefault="00533926" w:rsidP="00533926">
      <w:pPr>
        <w:spacing w:after="0" w:line="240" w:lineRule="auto"/>
        <w:ind w:firstLine="709"/>
        <w:jc w:val="both"/>
        <w:rPr>
          <w:rFonts w:ascii="Times New Roman" w:hAnsi="Times New Roman" w:cs="Times New Roman"/>
          <w:color w:val="000000"/>
          <w:sz w:val="24"/>
          <w:szCs w:val="24"/>
          <w:lang w:eastAsia="bg-BG"/>
        </w:rPr>
      </w:pPr>
      <w:r w:rsidRPr="00AA5833">
        <w:rPr>
          <w:rFonts w:ascii="Times New Roman" w:hAnsi="Times New Roman" w:cs="Times New Roman"/>
          <w:color w:val="000000"/>
          <w:sz w:val="24"/>
          <w:szCs w:val="24"/>
          <w:lang w:eastAsia="bg-BG"/>
        </w:rPr>
        <w:t xml:space="preserve">На 11.06.2024 г. е подписано двустранно Допълнително споразумение №1 за  увеличаване на бюджета на проекта с 18 млн. лв. за слабо развити региони. Общият бюджет на проекта е на стойност 42 000 000 лв., от които 7 680 000 лв. за региони преход и 34 320 000 лв. за слаборазвити региони. Променен е индикаторът за изпълнение - Общ брой на участниците в по-слабо развит регион (Балансирано по пол участие на пазара на труда) на 2 250 бр., както и индикаторът за резултат - участници, чието положение на пазара на труда в рамките на шест месеца след напускане на операцията е по-добро (По-слабо развит) (Адаптиране на работниците и предприятията към промените) на 1 500 бр. </w:t>
      </w:r>
    </w:p>
    <w:p w14:paraId="3D9C06F7" w14:textId="77777777" w:rsidR="00533926" w:rsidRPr="00AA5833" w:rsidRDefault="00533926" w:rsidP="00533926">
      <w:pPr>
        <w:spacing w:after="0" w:line="240" w:lineRule="auto"/>
        <w:ind w:firstLine="709"/>
        <w:jc w:val="both"/>
        <w:rPr>
          <w:rFonts w:ascii="Times New Roman" w:hAnsi="Times New Roman" w:cs="Times New Roman"/>
          <w:color w:val="000000"/>
          <w:sz w:val="24"/>
          <w:szCs w:val="24"/>
          <w:lang w:eastAsia="bg-BG"/>
        </w:rPr>
      </w:pPr>
      <w:r w:rsidRPr="00AA5833">
        <w:rPr>
          <w:rFonts w:ascii="Times New Roman" w:hAnsi="Times New Roman" w:cs="Times New Roman"/>
          <w:color w:val="000000"/>
          <w:sz w:val="24"/>
          <w:szCs w:val="24"/>
          <w:lang w:eastAsia="bg-BG"/>
        </w:rPr>
        <w:t xml:space="preserve">Продължава подаването на заявления за включване в проекта на родителите и безработни лица, което стартира на 23.03.2023 г. През 2024 г. са подадени 1910 заявления от родители и 1556 заявления от безработни лица (детегледачи). Сключени са </w:t>
      </w:r>
      <w:r w:rsidRPr="00AA5833">
        <w:rPr>
          <w:rFonts w:ascii="Times New Roman" w:hAnsi="Times New Roman" w:cs="Times New Roman"/>
          <w:b/>
          <w:bCs/>
          <w:color w:val="000000"/>
          <w:sz w:val="24"/>
          <w:szCs w:val="24"/>
          <w:lang w:eastAsia="bg-BG"/>
        </w:rPr>
        <w:t>994 тристранни споразумения (респ. 994 трудови договори)</w:t>
      </w:r>
      <w:r w:rsidRPr="00AA5833">
        <w:rPr>
          <w:rFonts w:ascii="Times New Roman" w:hAnsi="Times New Roman" w:cs="Times New Roman"/>
          <w:color w:val="000000"/>
          <w:sz w:val="24"/>
          <w:szCs w:val="24"/>
          <w:lang w:eastAsia="bg-BG"/>
        </w:rPr>
        <w:t xml:space="preserve"> на обща стойност 17 813 741,55 лв.</w:t>
      </w:r>
    </w:p>
    <w:p w14:paraId="25C41490" w14:textId="77777777" w:rsidR="0047096A" w:rsidRPr="00AA5833" w:rsidRDefault="0047096A"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E55A23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663C0F6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9271DD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1.2.4. Предоставяне на възможност за включване на децата на военнослужещите и цивилните служители от системата на Министерство на отбраната в целодневни детски градини на територията на страната</w:t>
      </w:r>
    </w:p>
    <w:p w14:paraId="5CB1530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9CBA9D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Министерството на отбраната (МО) продължава своята последователна политика за осигуряване работата на три държавни детски градини (ДДГ) в гр. София и по една детска градина в градовете Пловдив, Стара Загора, Карлово и Казанлък. </w:t>
      </w:r>
    </w:p>
    <w:p w14:paraId="353F2C3E"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ДДГ „</w:t>
      </w:r>
      <w:r w:rsidRPr="00AA5833">
        <w:rPr>
          <w:rFonts w:ascii="Times New Roman" w:eastAsia="Times New Roman" w:hAnsi="Times New Roman" w:cs="Times New Roman"/>
          <w:b/>
          <w:sz w:val="24"/>
          <w:szCs w:val="24"/>
          <w:lang w:eastAsia="bg-BG"/>
        </w:rPr>
        <w:t>Средец</w:t>
      </w:r>
      <w:r w:rsidRPr="00AA5833">
        <w:rPr>
          <w:rFonts w:ascii="Times New Roman" w:eastAsia="Times New Roman" w:hAnsi="Times New Roman" w:cs="Times New Roman"/>
          <w:sz w:val="24"/>
          <w:szCs w:val="24"/>
          <w:lang w:eastAsia="bg-BG"/>
        </w:rPr>
        <w:t xml:space="preserve">“ – София е с капацитет </w:t>
      </w:r>
      <w:r w:rsidRPr="00AA5833">
        <w:rPr>
          <w:rFonts w:ascii="Times New Roman" w:eastAsia="Times New Roman" w:hAnsi="Times New Roman" w:cs="Times New Roman"/>
          <w:b/>
          <w:sz w:val="24"/>
          <w:szCs w:val="24"/>
          <w:lang w:eastAsia="bg-BG"/>
        </w:rPr>
        <w:t>50</w:t>
      </w:r>
      <w:r w:rsidRPr="00AA5833">
        <w:rPr>
          <w:rFonts w:ascii="Times New Roman" w:eastAsia="Times New Roman" w:hAnsi="Times New Roman" w:cs="Times New Roman"/>
          <w:sz w:val="24"/>
          <w:szCs w:val="24"/>
          <w:lang w:eastAsia="bg-BG"/>
        </w:rPr>
        <w:t xml:space="preserve"> места в две възрастови групи. ДДГ „</w:t>
      </w:r>
      <w:r w:rsidRPr="00AA5833">
        <w:rPr>
          <w:rFonts w:ascii="Times New Roman" w:eastAsia="Times New Roman" w:hAnsi="Times New Roman" w:cs="Times New Roman"/>
          <w:b/>
          <w:sz w:val="24"/>
          <w:szCs w:val="24"/>
          <w:lang w:eastAsia="bg-BG"/>
        </w:rPr>
        <w:t>Младост</w:t>
      </w:r>
      <w:r w:rsidRPr="00AA5833">
        <w:rPr>
          <w:rFonts w:ascii="Times New Roman" w:eastAsia="Times New Roman" w:hAnsi="Times New Roman" w:cs="Times New Roman"/>
          <w:sz w:val="24"/>
          <w:szCs w:val="24"/>
          <w:lang w:eastAsia="bg-BG"/>
        </w:rPr>
        <w:t xml:space="preserve">“ – София е с капацитет </w:t>
      </w:r>
      <w:r w:rsidRPr="00AA5833">
        <w:rPr>
          <w:rFonts w:ascii="Times New Roman" w:eastAsia="Times New Roman" w:hAnsi="Times New Roman" w:cs="Times New Roman"/>
          <w:b/>
          <w:sz w:val="24"/>
          <w:szCs w:val="24"/>
          <w:lang w:eastAsia="bg-BG"/>
        </w:rPr>
        <w:t>70</w:t>
      </w:r>
      <w:r w:rsidRPr="00AA5833">
        <w:rPr>
          <w:rFonts w:ascii="Times New Roman" w:eastAsia="Times New Roman" w:hAnsi="Times New Roman" w:cs="Times New Roman"/>
          <w:sz w:val="24"/>
          <w:szCs w:val="24"/>
          <w:lang w:eastAsia="bg-BG"/>
        </w:rPr>
        <w:t xml:space="preserve"> места, в три възрастови групи, от които 20 в яслена възраст. ДДГ „</w:t>
      </w:r>
      <w:r w:rsidRPr="00AA5833">
        <w:rPr>
          <w:rFonts w:ascii="Times New Roman" w:eastAsia="Times New Roman" w:hAnsi="Times New Roman" w:cs="Times New Roman"/>
          <w:b/>
          <w:sz w:val="24"/>
          <w:szCs w:val="24"/>
          <w:lang w:eastAsia="bg-BG"/>
        </w:rPr>
        <w:t>Слава</w:t>
      </w:r>
      <w:r w:rsidRPr="00AA5833">
        <w:rPr>
          <w:rFonts w:ascii="Times New Roman" w:eastAsia="Times New Roman" w:hAnsi="Times New Roman" w:cs="Times New Roman"/>
          <w:sz w:val="24"/>
          <w:szCs w:val="24"/>
          <w:lang w:eastAsia="bg-BG"/>
        </w:rPr>
        <w:t xml:space="preserve">” – София е с капацитет </w:t>
      </w:r>
      <w:r w:rsidRPr="00AA5833">
        <w:rPr>
          <w:rFonts w:ascii="Times New Roman" w:eastAsia="Times New Roman" w:hAnsi="Times New Roman" w:cs="Times New Roman"/>
          <w:b/>
          <w:sz w:val="24"/>
          <w:szCs w:val="24"/>
          <w:lang w:eastAsia="bg-BG"/>
        </w:rPr>
        <w:t>50</w:t>
      </w:r>
      <w:r w:rsidRPr="00AA5833">
        <w:rPr>
          <w:rFonts w:ascii="Times New Roman" w:eastAsia="Times New Roman" w:hAnsi="Times New Roman" w:cs="Times New Roman"/>
          <w:sz w:val="24"/>
          <w:szCs w:val="24"/>
          <w:lang w:eastAsia="bg-BG"/>
        </w:rPr>
        <w:t xml:space="preserve"> места в две възрастови групи. ДДГ „</w:t>
      </w:r>
      <w:r w:rsidRPr="00AA5833">
        <w:rPr>
          <w:rFonts w:ascii="Times New Roman" w:eastAsia="Times New Roman" w:hAnsi="Times New Roman" w:cs="Times New Roman"/>
          <w:b/>
          <w:sz w:val="24"/>
          <w:szCs w:val="24"/>
          <w:lang w:eastAsia="bg-BG"/>
        </w:rPr>
        <w:t>Кокиче</w:t>
      </w:r>
      <w:r w:rsidRPr="00AA5833">
        <w:rPr>
          <w:rFonts w:ascii="Times New Roman" w:eastAsia="Times New Roman" w:hAnsi="Times New Roman" w:cs="Times New Roman"/>
          <w:sz w:val="24"/>
          <w:szCs w:val="24"/>
          <w:lang w:eastAsia="bg-BG"/>
        </w:rPr>
        <w:t xml:space="preserve">” – Пловдив е с капацитет </w:t>
      </w:r>
      <w:r w:rsidRPr="00AA5833">
        <w:rPr>
          <w:rFonts w:ascii="Times New Roman" w:eastAsia="Times New Roman" w:hAnsi="Times New Roman" w:cs="Times New Roman"/>
          <w:b/>
          <w:sz w:val="24"/>
          <w:szCs w:val="24"/>
          <w:lang w:eastAsia="bg-BG"/>
        </w:rPr>
        <w:t>25</w:t>
      </w:r>
      <w:r w:rsidRPr="00AA5833">
        <w:rPr>
          <w:rFonts w:ascii="Times New Roman" w:eastAsia="Times New Roman" w:hAnsi="Times New Roman" w:cs="Times New Roman"/>
          <w:sz w:val="24"/>
          <w:szCs w:val="24"/>
          <w:lang w:eastAsia="bg-BG"/>
        </w:rPr>
        <w:t xml:space="preserve"> места в една група с деца на възраст от 3 до 7 години. ДДГ „</w:t>
      </w:r>
      <w:r w:rsidRPr="00AA5833">
        <w:rPr>
          <w:rFonts w:ascii="Times New Roman" w:eastAsia="Times New Roman" w:hAnsi="Times New Roman" w:cs="Times New Roman"/>
          <w:b/>
          <w:sz w:val="24"/>
          <w:szCs w:val="24"/>
          <w:lang w:eastAsia="bg-BG"/>
        </w:rPr>
        <w:t>Калина</w:t>
      </w:r>
      <w:r w:rsidRPr="00AA5833">
        <w:rPr>
          <w:rFonts w:ascii="Times New Roman" w:eastAsia="Times New Roman" w:hAnsi="Times New Roman" w:cs="Times New Roman"/>
          <w:sz w:val="24"/>
          <w:szCs w:val="24"/>
          <w:lang w:eastAsia="bg-BG"/>
        </w:rPr>
        <w:t xml:space="preserve">” – Стара Загора е с капацитет </w:t>
      </w:r>
      <w:r w:rsidRPr="00AA5833">
        <w:rPr>
          <w:rFonts w:ascii="Times New Roman" w:eastAsia="Times New Roman" w:hAnsi="Times New Roman" w:cs="Times New Roman"/>
          <w:b/>
          <w:sz w:val="24"/>
          <w:szCs w:val="24"/>
          <w:lang w:eastAsia="bg-BG"/>
        </w:rPr>
        <w:t>95</w:t>
      </w:r>
      <w:r w:rsidRPr="00AA5833">
        <w:rPr>
          <w:rFonts w:ascii="Times New Roman" w:eastAsia="Times New Roman" w:hAnsi="Times New Roman" w:cs="Times New Roman"/>
          <w:sz w:val="24"/>
          <w:szCs w:val="24"/>
          <w:lang w:eastAsia="bg-BG"/>
        </w:rPr>
        <w:t xml:space="preserve"> места, от които 20 в яслена група, разпределени в четири възрастови групи. ДДГ </w:t>
      </w:r>
      <w:r w:rsidRPr="00AA5833">
        <w:rPr>
          <w:rFonts w:ascii="Times New Roman" w:eastAsia="Times New Roman" w:hAnsi="Times New Roman" w:cs="Times New Roman"/>
          <w:b/>
          <w:sz w:val="24"/>
          <w:szCs w:val="24"/>
          <w:lang w:eastAsia="bg-BG"/>
        </w:rPr>
        <w:t xml:space="preserve">„Светлина” </w:t>
      </w:r>
      <w:r w:rsidRPr="00AA5833">
        <w:rPr>
          <w:rFonts w:ascii="Times New Roman" w:eastAsia="Times New Roman" w:hAnsi="Times New Roman" w:cs="Times New Roman"/>
          <w:sz w:val="24"/>
          <w:szCs w:val="24"/>
          <w:lang w:eastAsia="bg-BG"/>
        </w:rPr>
        <w:t xml:space="preserve">– Карлово е с капацитет </w:t>
      </w:r>
      <w:r w:rsidRPr="00AA5833">
        <w:rPr>
          <w:rFonts w:ascii="Times New Roman" w:eastAsia="Times New Roman" w:hAnsi="Times New Roman" w:cs="Times New Roman"/>
          <w:b/>
          <w:sz w:val="24"/>
          <w:szCs w:val="24"/>
          <w:lang w:eastAsia="bg-BG"/>
        </w:rPr>
        <w:t>50</w:t>
      </w:r>
      <w:r w:rsidRPr="00AA5833">
        <w:rPr>
          <w:rFonts w:ascii="Times New Roman" w:eastAsia="Times New Roman" w:hAnsi="Times New Roman" w:cs="Times New Roman"/>
          <w:sz w:val="24"/>
          <w:szCs w:val="24"/>
          <w:lang w:eastAsia="bg-BG"/>
        </w:rPr>
        <w:t xml:space="preserve"> места, разпределени в две възрастови групи. ДДГ „</w:t>
      </w:r>
      <w:r w:rsidRPr="00AA5833">
        <w:rPr>
          <w:rFonts w:ascii="Times New Roman" w:eastAsia="Times New Roman" w:hAnsi="Times New Roman" w:cs="Times New Roman"/>
          <w:b/>
          <w:sz w:val="24"/>
          <w:szCs w:val="24"/>
          <w:lang w:eastAsia="bg-BG"/>
        </w:rPr>
        <w:t>Детелина</w:t>
      </w:r>
      <w:r w:rsidRPr="00AA5833">
        <w:rPr>
          <w:rFonts w:ascii="Times New Roman" w:eastAsia="Times New Roman" w:hAnsi="Times New Roman" w:cs="Times New Roman"/>
          <w:sz w:val="24"/>
          <w:szCs w:val="24"/>
          <w:lang w:eastAsia="bg-BG"/>
        </w:rPr>
        <w:t xml:space="preserve">” – Казанлък е с капацитет </w:t>
      </w:r>
      <w:r w:rsidRPr="00AA5833">
        <w:rPr>
          <w:rFonts w:ascii="Times New Roman" w:eastAsia="Times New Roman" w:hAnsi="Times New Roman" w:cs="Times New Roman"/>
          <w:b/>
          <w:sz w:val="24"/>
          <w:szCs w:val="24"/>
          <w:lang w:eastAsia="bg-BG"/>
        </w:rPr>
        <w:t>75</w:t>
      </w:r>
      <w:r w:rsidRPr="00AA5833">
        <w:rPr>
          <w:rFonts w:ascii="Times New Roman" w:eastAsia="Times New Roman" w:hAnsi="Times New Roman" w:cs="Times New Roman"/>
          <w:sz w:val="24"/>
          <w:szCs w:val="24"/>
          <w:lang w:eastAsia="bg-BG"/>
        </w:rPr>
        <w:t xml:space="preserve"> места, разпределени в три възрастови групи.</w:t>
      </w:r>
    </w:p>
    <w:p w14:paraId="5391148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постъпили </w:t>
      </w:r>
      <w:r w:rsidRPr="00AA5833">
        <w:rPr>
          <w:rFonts w:ascii="Times New Roman" w:eastAsia="Times New Roman" w:hAnsi="Times New Roman" w:cs="Times New Roman"/>
          <w:b/>
          <w:sz w:val="24"/>
          <w:szCs w:val="24"/>
          <w:lang w:eastAsia="bg-BG"/>
        </w:rPr>
        <w:t>182</w:t>
      </w:r>
      <w:r w:rsidRPr="00AA5833">
        <w:rPr>
          <w:rFonts w:ascii="Times New Roman" w:eastAsia="Times New Roman" w:hAnsi="Times New Roman" w:cs="Times New Roman"/>
          <w:sz w:val="24"/>
          <w:szCs w:val="24"/>
          <w:lang w:eastAsia="bg-BG"/>
        </w:rPr>
        <w:t xml:space="preserve"> заявления за прием. Своевременно са проведени 42 заседания на Комисията по подбор и прием на деца в седемте ДДГ към МО. Приети са общо 109 деца за годината. Инициирани са действия и са осигурени по ½ допълнителна щатна бройка за всички ДДГ за психолог, логопед или педагогически съветник. Изготвен е Проект за изменение и допълнение на „Правилника за организацията и дейността на държавните детски градини към Министерството на отбраната и условията и реда за записване, отписване и преместване на деца в държавните детски градини към Министерството на отбраната“, който е приет и публикуван (изм. и доп., бр. 64 на Държавен вестник от 30.07.2024 г., в сила от 30.07.2024 г.) Проведени са работни срещи на тримесечие и посещения на място в ДДГ за запознаване с текущи проблеми и оказване на методическа помощ на директорите на ДДГ към МО. Представители на Изпълнителна агенция „Военни клубове и военно-почивно дело“ към МО са взели участия в заседания на обществени съвети към детските градини, съгласно заповед на министъра на отбраната. Изразени са становища по целесъобразност във връзка с искания на </w:t>
      </w:r>
      <w:r w:rsidRPr="00AA5833">
        <w:rPr>
          <w:rFonts w:ascii="Times New Roman" w:eastAsia="Times New Roman" w:hAnsi="Times New Roman" w:cs="Times New Roman"/>
          <w:sz w:val="24"/>
          <w:szCs w:val="24"/>
          <w:lang w:eastAsia="bg-BG"/>
        </w:rPr>
        <w:lastRenderedPageBreak/>
        <w:t>директорите на ДДГ към МО за осигуряване на средства по различни казуси. Изготвяни са становища и отговори до и от името на министъра на отбраната по постъпили жалби, касаещи казуси, свързани с работата на ДДГ към МО. Изготвени са становища и писма от името на министъра на отбраната във връзка с различни проекти на Решения и Постановления на Министерски съвет, свързани с предучилищното и училищното образование, както и по наредби и закони, имащи отношение към образованието в Република България. Изготвен е анализ на заетостта и състоянието на ДДГ към МО. Създадена е необходимата организация по осигуряването на учебни помагала и ЗУД в детските градини за учебната 2024/2025 г.</w:t>
      </w:r>
    </w:p>
    <w:p w14:paraId="7FCD35E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E99442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ИЗСЛЕДВАНЕ НА НАСЕЛЕНИЕТО И ЧОВЕКА – БАН</w:t>
      </w:r>
    </w:p>
    <w:p w14:paraId="58D9057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8B3194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1.2.5. Проект „Политики за родителски отпуски и социална устойчивост (Parental Leave Policies and Social Sustainability)“, COST Action 21150, 2022-2026, ръководител от българска страна проф. Т. Коцева </w:t>
      </w:r>
    </w:p>
    <w:p w14:paraId="29DD35A6" w14:textId="77777777" w:rsidR="00D15CA1" w:rsidRPr="00AA5833" w:rsidRDefault="00D15CA1"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65FE305" w14:textId="77777777" w:rsidR="00D15CA1" w:rsidRPr="00AA5833" w:rsidRDefault="00D15CA1" w:rsidP="00793B67">
      <w:pPr>
        <w:spacing w:after="0"/>
        <w:ind w:left="720" w:hanging="12"/>
        <w:jc w:val="both"/>
        <w:rPr>
          <w:rFonts w:ascii="Times New Roman" w:hAnsi="Times New Roman" w:cs="Times New Roman"/>
          <w:sz w:val="24"/>
          <w:szCs w:val="24"/>
        </w:rPr>
      </w:pPr>
      <w:r w:rsidRPr="00AA5833">
        <w:rPr>
          <w:rFonts w:ascii="Times New Roman" w:hAnsi="Times New Roman" w:cs="Times New Roman"/>
          <w:sz w:val="24"/>
          <w:szCs w:val="24"/>
        </w:rPr>
        <w:t>Дейности 2024 г.</w:t>
      </w:r>
    </w:p>
    <w:p w14:paraId="4794F5C2" w14:textId="77777777" w:rsidR="00D15CA1" w:rsidRPr="00AA5833" w:rsidRDefault="00D15CA1" w:rsidP="0047096A">
      <w:pPr>
        <w:spacing w:after="0" w:line="240" w:lineRule="auto"/>
        <w:ind w:left="714" w:hanging="357"/>
        <w:jc w:val="both"/>
        <w:rPr>
          <w:rFonts w:ascii="Times New Roman" w:hAnsi="Times New Roman" w:cs="Times New Roman"/>
          <w:sz w:val="24"/>
          <w:szCs w:val="24"/>
        </w:rPr>
      </w:pPr>
    </w:p>
    <w:p w14:paraId="38A4DD22" w14:textId="77777777" w:rsidR="00D15CA1" w:rsidRPr="00AA5833" w:rsidRDefault="00D15CA1" w:rsidP="0047096A">
      <w:pPr>
        <w:pStyle w:val="ListParagraph"/>
        <w:numPr>
          <w:ilvl w:val="0"/>
          <w:numId w:val="104"/>
        </w:numPr>
        <w:ind w:left="714" w:hanging="357"/>
        <w:jc w:val="both"/>
        <w:rPr>
          <w:shd w:val="clear" w:color="auto" w:fill="FFFFFF"/>
        </w:rPr>
      </w:pPr>
      <w:r w:rsidRPr="00AA5833">
        <w:rPr>
          <w:shd w:val="clear" w:color="auto" w:fill="FFFFFF"/>
        </w:rPr>
        <w:t xml:space="preserve">Проведено кабинетно проучване и систематизиране на литература и бази данни по темата за родителските отпуски. Участие в проучване на теоретични публикации в българската и международната литература по темата. . </w:t>
      </w:r>
    </w:p>
    <w:p w14:paraId="27C42A09" w14:textId="77777777" w:rsidR="00D15CA1" w:rsidRPr="00AA5833" w:rsidRDefault="00D15CA1" w:rsidP="0047096A">
      <w:pPr>
        <w:pStyle w:val="ListParagraph"/>
        <w:numPr>
          <w:ilvl w:val="0"/>
          <w:numId w:val="104"/>
        </w:numPr>
        <w:ind w:left="714" w:hanging="357"/>
        <w:jc w:val="both"/>
        <w:rPr>
          <w:shd w:val="clear" w:color="auto" w:fill="FFFFFF"/>
        </w:rPr>
      </w:pPr>
      <w:r w:rsidRPr="00AA5833">
        <w:rPr>
          <w:shd w:val="clear" w:color="auto" w:fill="FFFFFF"/>
        </w:rPr>
        <w:t xml:space="preserve">Проведено проучване на нагласите и практиките за ползване на родителски отпуски сред родители с деца до 8 г. възраст в България. </w:t>
      </w:r>
    </w:p>
    <w:p w14:paraId="2B8D5617" w14:textId="77777777" w:rsidR="00D15CA1" w:rsidRPr="00AA5833" w:rsidRDefault="00D15CA1" w:rsidP="0047096A">
      <w:pPr>
        <w:pStyle w:val="ListParagraph"/>
        <w:numPr>
          <w:ilvl w:val="0"/>
          <w:numId w:val="104"/>
        </w:numPr>
        <w:ind w:left="714" w:hanging="357"/>
        <w:jc w:val="both"/>
      </w:pPr>
      <w:r w:rsidRPr="00AA5833">
        <w:rPr>
          <w:shd w:val="clear" w:color="auto" w:fill="FFFFFF"/>
        </w:rPr>
        <w:t xml:space="preserve">Проведено качествен проучване – интервюта с родители на малки деца относно практиките и нагласите за ползване на родителски отпуски в България.  </w:t>
      </w:r>
    </w:p>
    <w:p w14:paraId="682C7A62" w14:textId="77777777" w:rsidR="00D15CA1" w:rsidRPr="00AA5833" w:rsidRDefault="00D15CA1" w:rsidP="00D15CA1">
      <w:pPr>
        <w:spacing w:after="0"/>
        <w:jc w:val="both"/>
        <w:rPr>
          <w:rFonts w:ascii="Times New Roman" w:hAnsi="Times New Roman" w:cs="Times New Roman"/>
          <w:sz w:val="24"/>
          <w:szCs w:val="24"/>
        </w:rPr>
      </w:pPr>
    </w:p>
    <w:p w14:paraId="0D5FED21" w14:textId="77777777" w:rsidR="00D15CA1" w:rsidRPr="0047096A" w:rsidRDefault="00D15CA1" w:rsidP="0047096A">
      <w:pPr>
        <w:spacing w:after="0" w:line="240" w:lineRule="auto"/>
        <w:ind w:firstLine="360"/>
        <w:jc w:val="both"/>
        <w:rPr>
          <w:rFonts w:ascii="Times New Roman" w:eastAsia="Times New Roman" w:hAnsi="Times New Roman" w:cs="Times New Roman"/>
          <w:sz w:val="24"/>
          <w:szCs w:val="24"/>
          <w:lang w:eastAsia="bg-BG"/>
        </w:rPr>
      </w:pPr>
      <w:r w:rsidRPr="0047096A">
        <w:rPr>
          <w:rFonts w:ascii="Times New Roman" w:eastAsia="Times New Roman" w:hAnsi="Times New Roman" w:cs="Times New Roman"/>
          <w:sz w:val="24"/>
          <w:szCs w:val="24"/>
          <w:lang w:eastAsia="bg-BG"/>
        </w:rPr>
        <w:t xml:space="preserve"> </w:t>
      </w:r>
      <w:r w:rsidR="0047096A">
        <w:rPr>
          <w:rFonts w:ascii="Times New Roman" w:eastAsia="Times New Roman" w:hAnsi="Times New Roman" w:cs="Times New Roman"/>
          <w:sz w:val="24"/>
          <w:szCs w:val="24"/>
          <w:lang w:eastAsia="bg-BG"/>
        </w:rPr>
        <w:tab/>
      </w:r>
      <w:r w:rsidRPr="0047096A">
        <w:rPr>
          <w:rFonts w:ascii="Times New Roman" w:eastAsia="Times New Roman" w:hAnsi="Times New Roman" w:cs="Times New Roman"/>
          <w:sz w:val="24"/>
          <w:szCs w:val="24"/>
          <w:lang w:eastAsia="bg-BG"/>
        </w:rPr>
        <w:t>Резултати 2024 г.</w:t>
      </w:r>
    </w:p>
    <w:p w14:paraId="3418B134" w14:textId="77777777" w:rsidR="00D15CA1" w:rsidRPr="0047096A" w:rsidRDefault="00D15CA1" w:rsidP="0047096A">
      <w:pPr>
        <w:spacing w:after="0" w:line="240" w:lineRule="auto"/>
        <w:ind w:firstLine="720"/>
        <w:jc w:val="both"/>
        <w:rPr>
          <w:rFonts w:ascii="Times New Roman" w:eastAsia="Times New Roman" w:hAnsi="Times New Roman" w:cs="Times New Roman"/>
          <w:sz w:val="24"/>
          <w:szCs w:val="24"/>
          <w:lang w:eastAsia="bg-BG"/>
        </w:rPr>
      </w:pPr>
    </w:p>
    <w:p w14:paraId="3252E3CB" w14:textId="77777777" w:rsidR="00D15CA1" w:rsidRPr="0047096A" w:rsidRDefault="00D15CA1" w:rsidP="0047096A">
      <w:pPr>
        <w:spacing w:after="0" w:line="240" w:lineRule="auto"/>
        <w:ind w:firstLine="720"/>
        <w:jc w:val="both"/>
        <w:rPr>
          <w:rFonts w:ascii="Times New Roman" w:eastAsia="Times New Roman" w:hAnsi="Times New Roman" w:cs="Times New Roman"/>
          <w:sz w:val="24"/>
          <w:szCs w:val="24"/>
          <w:lang w:eastAsia="bg-BG"/>
        </w:rPr>
      </w:pPr>
      <w:r w:rsidRPr="0047096A">
        <w:rPr>
          <w:rFonts w:ascii="Times New Roman" w:eastAsia="Times New Roman" w:hAnsi="Times New Roman" w:cs="Times New Roman"/>
          <w:sz w:val="24"/>
          <w:szCs w:val="24"/>
          <w:lang w:eastAsia="bg-BG"/>
        </w:rPr>
        <w:t xml:space="preserve">Проведеното през м. декември 2024 г. онлайн проучване сред родители – 1500 майки и 500 бащи – с деца до 8 г. възраст обхваща широк диапазон от теми относно практики и нагласи за ползване на майчинство и родителски отпуск в България: връзка със платен труд /преди и след отпуска/, режим на работа, мотивации за прекъсване на отпуска и връщане на работа, позитиви и негативи на родителските отпуски спрямо родителите, детето и общото благосъстояние на семейството, вкл. съвместяването на професионалните и семейните роли. Изследват се практиките за разделение на труда в семейството между майката и бащата, както и джендър стереотипи за ролите на майката и бащата относно детската грижа.  Проучват се нагласите на родителите относно ползването на отпуски при болест на детето – отношение на работодатели, колеги и др. Блок въпроси се отнася до нагласите за ползване на родителския отпуск – трансфериран от майката отпуск и отпуски по бащинство – от бащите. Изследват се бариерите и стимулите за ползване на отпуските от бащите. </w:t>
      </w:r>
    </w:p>
    <w:p w14:paraId="30F9BCA9" w14:textId="77777777" w:rsidR="00D15CA1" w:rsidRPr="0047096A" w:rsidRDefault="00D15CA1" w:rsidP="0047096A">
      <w:pPr>
        <w:spacing w:after="0" w:line="240" w:lineRule="auto"/>
        <w:ind w:firstLine="720"/>
        <w:jc w:val="both"/>
        <w:rPr>
          <w:rFonts w:ascii="Times New Roman" w:eastAsia="Times New Roman" w:hAnsi="Times New Roman" w:cs="Times New Roman"/>
          <w:sz w:val="24"/>
          <w:szCs w:val="24"/>
          <w:lang w:eastAsia="bg-BG"/>
        </w:rPr>
      </w:pPr>
      <w:r w:rsidRPr="0047096A">
        <w:rPr>
          <w:rFonts w:ascii="Times New Roman" w:eastAsia="Times New Roman" w:hAnsi="Times New Roman" w:cs="Times New Roman"/>
          <w:sz w:val="24"/>
          <w:szCs w:val="24"/>
          <w:lang w:eastAsia="bg-BG"/>
        </w:rPr>
        <w:t xml:space="preserve">В проведените интервюта с майки и бащи на малки деца се дискутират въпросите относно предимствата и дефицитите при ползване на родителските отпуски от майките, възможности за ползване от бащите, стереотипите и практиките при разделение на труда в семейството, в частност по отношение грижата за детето. </w:t>
      </w:r>
    </w:p>
    <w:p w14:paraId="77C77808" w14:textId="77777777" w:rsidR="00533926"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A54C68A" w14:textId="77777777" w:rsidR="007A4F8C"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516AE1" w14:textId="77777777" w:rsidR="007A4F8C"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B7E3646" w14:textId="77777777" w:rsidR="007A4F8C"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3F4CA90" w14:textId="77777777" w:rsidR="007A4F8C"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0BB374" w14:textId="77777777" w:rsidR="007A4F8C"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8F04B60" w14:textId="77777777" w:rsidR="007A4F8C" w:rsidRPr="00AA5833" w:rsidRDefault="007A4F8C" w:rsidP="00533926">
      <w:pPr>
        <w:autoSpaceDE w:val="0"/>
        <w:autoSpaceDN w:val="0"/>
        <w:adjustRightInd w:val="0"/>
        <w:spacing w:after="0" w:line="240" w:lineRule="auto"/>
        <w:jc w:val="both"/>
        <w:rPr>
          <w:rFonts w:ascii="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176B936"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5885A5F"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1.3. Образование, здравеопазване и социално развитие на децата</w:t>
            </w:r>
          </w:p>
          <w:p w14:paraId="6AFFC6B3"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p>
        </w:tc>
      </w:tr>
    </w:tbl>
    <w:p w14:paraId="72AC33F1"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535190F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ИКОНОМИЧЕСКИ ИЗСЛЕДВАНИЯ – БАН</w:t>
      </w:r>
    </w:p>
    <w:p w14:paraId="7B33740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7FF6122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1.3.1. Разработване на научно-приложен проект: „Влияние на COVID-19 върху човешкия капитал в България: демографски и образователни измерения“ </w:t>
      </w:r>
    </w:p>
    <w:p w14:paraId="1E22EFE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D596DD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eastAsia="Calibri" w:hAnsi="Times New Roman" w:cs="Times New Roman"/>
          <w:sz w:val="24"/>
          <w:szCs w:val="24"/>
        </w:rPr>
        <w:tab/>
        <w:t xml:space="preserve">Проект </w:t>
      </w:r>
      <w:r w:rsidRPr="00AA5833">
        <w:rPr>
          <w:rFonts w:ascii="Times New Roman" w:hAnsi="Times New Roman" w:cs="Times New Roman"/>
          <w:color w:val="000000"/>
          <w:sz w:val="24"/>
          <w:szCs w:val="24"/>
        </w:rPr>
        <w:t>„Влияние на COVID-19 върху човешкия капитал в България: демографски и образователни измерения“</w:t>
      </w:r>
      <w:r w:rsidRPr="00AA5833">
        <w:rPr>
          <w:rFonts w:ascii="Times New Roman" w:eastAsia="Calibri" w:hAnsi="Times New Roman" w:cs="Times New Roman"/>
          <w:sz w:val="24"/>
          <w:szCs w:val="24"/>
        </w:rPr>
        <w:t xml:space="preserve"> се финансира от бюджетната субсидия на БАН, поради което разходите не могат да бъдат конкретизирани, тъй като финансирането не е проектно. </w:t>
      </w:r>
    </w:p>
    <w:p w14:paraId="2AD8C367"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Извършена е комплексна количествена и качествена оценка на влиянието на пандемията върху човешкия капитал на базата на идентифицирани проблеми, свързани с демографските последици, със социално-икономически последици за семействата с деца и с образованието. </w:t>
      </w:r>
      <w:r w:rsidRPr="00AA5833">
        <w:rPr>
          <w:rFonts w:ascii="Times New Roman" w:hAnsi="Times New Roman" w:cs="Times New Roman"/>
          <w:sz w:val="24"/>
          <w:szCs w:val="24"/>
        </w:rPr>
        <w:t>Определени са краткосрочни и дългосрочни ефекти от пандемията върху формирането и развитието на човешкия капитал.</w:t>
      </w:r>
    </w:p>
    <w:p w14:paraId="58CD1385"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Направена е оценка на промените в демографските процеси в България под въздействие на пандемията от COVID-19. Доказано е, че пандемията рязко задълбочи демографската криза в страната. Очакванията са, че влошаването на здравословното състояние на населението в резултат на здравната криза ще има дългосрочни последици. Идентифицирани са краткотрайни ефекти върху миграционното поведение на населението, които не могат да компенсират негативните демографски последици. Направен е извод, че пандемията е създала условия за продължителен бъдещ период на ограничаване на носителите на човешки капитал.</w:t>
      </w:r>
    </w:p>
    <w:p w14:paraId="4E72ABA2"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Извършена е оценка на влиянието на пандемията върху семействата с деца в социално-икономически план. Доказано е, че в голямата си част икономическите последствия от COVID-19 за семействата с деца имат временен характер. Установени са устойчива тенденция на влошаване на психическото здраве на населението, както и многостранни негативни ефекти върху децата и младежите, включително увеличаване на случаите на домашно насилие.</w:t>
      </w:r>
    </w:p>
    <w:p w14:paraId="202F4949"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Констатирано е значително негативно въздействие върху достъпа до и качеството на образованието и на образователната подготовка, особено в сферата на </w:t>
      </w:r>
      <w:r w:rsidR="00B278BC">
        <w:rPr>
          <w:rFonts w:ascii="Times New Roman" w:hAnsi="Times New Roman" w:cs="Times New Roman"/>
          <w:sz w:val="24"/>
          <w:szCs w:val="24"/>
        </w:rPr>
        <w:t>училищното</w:t>
      </w:r>
      <w:r w:rsidRPr="00AA5833">
        <w:rPr>
          <w:rFonts w:ascii="Times New Roman" w:hAnsi="Times New Roman" w:cs="Times New Roman"/>
          <w:sz w:val="24"/>
          <w:szCs w:val="24"/>
        </w:rPr>
        <w:t xml:space="preserve"> образование. Изведени и систематизирани са основни затруднения и негативни ефекти, както и ползи от онлайн обучението. Установени са съществени проблеми, свързани с дигиталните умения на населението. Направен е извод, че въздействието на пандемията върху участието в образователния процес и качеството на образователната подготовка може да има дългосрочни негативни последици за качеството на човешкия капитал на страната, ако не се предприемат своевременни и целенасочени мерки и действия.</w:t>
      </w:r>
    </w:p>
    <w:p w14:paraId="511B2A6B"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Определени са по-важни области на интервенция за бъдещото формиране, развитие и съхранение на човешкия капитал в България и повишаване готовността на страната да се справя с предизвикателствата на нови кризи от подобен и различен характер.</w:t>
      </w:r>
    </w:p>
    <w:p w14:paraId="1A372DD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1E6DC0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ИЗСЛЕДВАНЕ НА НАСЕЛЕНИЕТО И ЧОВЕКА – БАН</w:t>
      </w:r>
    </w:p>
    <w:p w14:paraId="2093346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A4F5BE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1.3.1.2. Проект „Здраве и благополучие на юношите в условията на пандемията от COVID-19: ефекти върху психичното здраве, здравното поведение, социалните </w:t>
      </w:r>
      <w:r w:rsidRPr="00AA5833">
        <w:rPr>
          <w:rFonts w:ascii="Times New Roman" w:hAnsi="Times New Roman" w:cs="Times New Roman"/>
          <w:b/>
          <w:color w:val="000000"/>
          <w:sz w:val="24"/>
          <w:szCs w:val="24"/>
        </w:rPr>
        <w:lastRenderedPageBreak/>
        <w:t xml:space="preserve">взаимодействия и академичната мотивация и успеваемост, модерирани от личностните особености“ (2021–2025) с ръководител доц. А. Александрова-Караманова </w:t>
      </w:r>
    </w:p>
    <w:p w14:paraId="6185244D" w14:textId="77777777" w:rsidR="00533926" w:rsidRPr="00AA5833" w:rsidRDefault="00533926" w:rsidP="003B757A">
      <w:pPr>
        <w:autoSpaceDE w:val="0"/>
        <w:autoSpaceDN w:val="0"/>
        <w:adjustRightInd w:val="0"/>
        <w:spacing w:after="0" w:line="240" w:lineRule="auto"/>
        <w:jc w:val="both"/>
        <w:rPr>
          <w:rFonts w:ascii="Times New Roman" w:hAnsi="Times New Roman" w:cs="Times New Roman"/>
          <w:b/>
          <w:color w:val="000000"/>
          <w:sz w:val="24"/>
          <w:szCs w:val="24"/>
        </w:rPr>
      </w:pPr>
    </w:p>
    <w:p w14:paraId="4BCE7C15" w14:textId="77777777" w:rsidR="00BB5132" w:rsidRPr="00AA5833" w:rsidRDefault="00BB5132" w:rsidP="00BB5132">
      <w:pPr>
        <w:spacing w:after="0" w:line="240" w:lineRule="auto"/>
        <w:ind w:firstLine="708"/>
        <w:jc w:val="both"/>
        <w:rPr>
          <w:rFonts w:ascii="Times New Roman" w:eastAsia="Times New Roman" w:hAnsi="Times New Roman" w:cs="Times New Roman"/>
          <w:iCs/>
          <w:color w:val="000000"/>
          <w:sz w:val="24"/>
          <w:szCs w:val="24"/>
          <w:lang w:eastAsia="bg-BG"/>
        </w:rPr>
      </w:pPr>
      <w:r w:rsidRPr="00AA5833">
        <w:rPr>
          <w:rFonts w:ascii="Times New Roman" w:eastAsia="Times New Roman" w:hAnsi="Times New Roman" w:cs="Times New Roman"/>
          <w:iCs/>
          <w:color w:val="000000"/>
          <w:sz w:val="24"/>
          <w:szCs w:val="24"/>
          <w:lang w:eastAsia="bg-BG"/>
        </w:rPr>
        <w:t xml:space="preserve">През 2024 г. по „Здраве и благополучие на юношите в условията на пандемията от COVID-19: ефекти върху психичното здраве, здравното поведение, социалните взаимодействия и академичната мотивация и успеваемост, модерирани от личностните особености“ основните дейности бяха концентрирани върху подготовка на статии върху данните за България на международното проучване „Поведение и здраве сред деца в училищна възраст – HBSC”.  Подготвени бяха доклади за международни конференции и следните публикации: </w:t>
      </w:r>
      <w:r w:rsidRPr="007A4F8C">
        <w:rPr>
          <w:rFonts w:ascii="Times New Roman" w:eastAsia="Times New Roman" w:hAnsi="Times New Roman" w:cs="Times New Roman"/>
          <w:iCs/>
          <w:color w:val="000000"/>
          <w:sz w:val="24"/>
          <w:szCs w:val="24"/>
          <w:lang w:val="en-US" w:eastAsia="bg-BG"/>
        </w:rPr>
        <w:t>Alexandrova-Karamanova, A., Paunova-Markova, E., Mineva, K., &amp; Yordanova, T. (in press). The Mental Health of Adolescents: Pandemic Challenges and Risk and Protective Factors. Archives of Psychiatry Research; 3.</w:t>
      </w:r>
      <w:r w:rsidRPr="007A4F8C">
        <w:rPr>
          <w:rFonts w:ascii="Times New Roman" w:eastAsia="Times New Roman" w:hAnsi="Times New Roman" w:cs="Times New Roman"/>
          <w:iCs/>
          <w:color w:val="000000"/>
          <w:sz w:val="24"/>
          <w:szCs w:val="24"/>
          <w:lang w:val="en-US" w:eastAsia="bg-BG"/>
        </w:rPr>
        <w:tab/>
        <w:t xml:space="preserve">Dimitrova, E., &amp; Alexandrova-Karamanova, A. (2024). Family Dynamics, Socioeconomic Hardships, and Health Risk Behaviours of Bulgarian Adolescents during the COVID-19 Pandemic. Children, 11(8), 1016. </w:t>
      </w:r>
      <w:hyperlink r:id="rId32" w:history="1">
        <w:r w:rsidRPr="007A4F8C">
          <w:rPr>
            <w:rFonts w:ascii="Times New Roman" w:eastAsia="Times New Roman" w:hAnsi="Times New Roman" w:cs="Times New Roman"/>
            <w:iCs/>
            <w:color w:val="0000FF"/>
            <w:sz w:val="24"/>
            <w:szCs w:val="24"/>
            <w:u w:val="single"/>
            <w:lang w:val="en-US" w:eastAsia="bg-BG"/>
          </w:rPr>
          <w:t>https://doi.org/10.3390/children11081016</w:t>
        </w:r>
      </w:hyperlink>
      <w:r w:rsidRPr="00AA5833">
        <w:rPr>
          <w:rFonts w:ascii="Times New Roman" w:eastAsia="Times New Roman" w:hAnsi="Times New Roman" w:cs="Times New Roman"/>
          <w:iCs/>
          <w:color w:val="000000"/>
          <w:sz w:val="24"/>
          <w:szCs w:val="24"/>
          <w:lang w:eastAsia="bg-BG"/>
        </w:rPr>
        <w:t>. Проведените анализи очертават детерминантите на юношеското здраве и рискови поведения в условията на пандемията от Ковид-19 и могат служат за подготовката на интервенции и програми за промоция на здравословни поведения сред младите хора в България.</w:t>
      </w:r>
    </w:p>
    <w:p w14:paraId="4B7B10DD" w14:textId="77777777" w:rsidR="003B757A" w:rsidRPr="00AA5833" w:rsidRDefault="003B757A" w:rsidP="003B757A">
      <w:pPr>
        <w:autoSpaceDE w:val="0"/>
        <w:autoSpaceDN w:val="0"/>
        <w:adjustRightInd w:val="0"/>
        <w:spacing w:after="0" w:line="240" w:lineRule="auto"/>
        <w:jc w:val="both"/>
        <w:rPr>
          <w:rFonts w:ascii="Times New Roman" w:hAnsi="Times New Roman" w:cs="Times New Roman"/>
          <w:b/>
          <w:color w:val="000000"/>
          <w:sz w:val="24"/>
          <w:szCs w:val="24"/>
        </w:rPr>
      </w:pPr>
    </w:p>
    <w:p w14:paraId="4B42C2F4" w14:textId="77777777" w:rsidR="003B757A" w:rsidRPr="00AA5833" w:rsidRDefault="003B757A" w:rsidP="003B757A">
      <w:pPr>
        <w:autoSpaceDE w:val="0"/>
        <w:autoSpaceDN w:val="0"/>
        <w:adjustRightInd w:val="0"/>
        <w:spacing w:after="0" w:line="240" w:lineRule="auto"/>
        <w:jc w:val="both"/>
        <w:rPr>
          <w:rFonts w:ascii="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1E8C38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B3DEE3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1.3.1. </w:t>
            </w:r>
            <w:r w:rsidRPr="00AA5833">
              <w:rPr>
                <w:rFonts w:ascii="Times New Roman" w:eastAsia="Times New Roman" w:hAnsi="Times New Roman" w:cs="Times New Roman"/>
                <w:b/>
                <w:color w:val="000000"/>
                <w:sz w:val="24"/>
                <w:szCs w:val="24"/>
                <w:lang w:eastAsia="bg-BG"/>
              </w:rPr>
              <w:t>Подобряване на координацията и междуинституционалното взаимодействие при работата с деца (Координационен механизъм)</w:t>
            </w:r>
          </w:p>
        </w:tc>
      </w:tr>
    </w:tbl>
    <w:p w14:paraId="09A2863D" w14:textId="77777777" w:rsidR="00533926" w:rsidRPr="00AA5833" w:rsidRDefault="00533926" w:rsidP="00533926">
      <w:pPr>
        <w:spacing w:after="0" w:line="240" w:lineRule="auto"/>
        <w:ind w:firstLine="708"/>
        <w:jc w:val="both"/>
        <w:rPr>
          <w:rFonts w:ascii="Times New Roman" w:eastAsia="Times New Roman" w:hAnsi="Times New Roman" w:cs="Times New Roman"/>
          <w:color w:val="000000"/>
          <w:sz w:val="24"/>
          <w:szCs w:val="24"/>
          <w:lang w:eastAsia="bg-BG"/>
        </w:rPr>
      </w:pPr>
    </w:p>
    <w:p w14:paraId="3B04847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ДЪРЖАВНА АГЕНЦИЯ ЗА ЗАКРИЛА НА ДЕТЕТО </w:t>
      </w:r>
    </w:p>
    <w:p w14:paraId="375991F5"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0241329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color w:val="00B0F0"/>
          <w:sz w:val="24"/>
          <w:szCs w:val="24"/>
          <w:lang w:eastAsia="bg-BG"/>
        </w:rPr>
        <w:tab/>
      </w:r>
      <w:r w:rsidRPr="00AA5833">
        <w:rPr>
          <w:rFonts w:ascii="Times New Roman" w:eastAsia="Times New Roman" w:hAnsi="Times New Roman" w:cs="Times New Roman"/>
          <w:sz w:val="24"/>
          <w:szCs w:val="24"/>
          <w:lang w:eastAsia="bg-BG"/>
        </w:rPr>
        <w:t xml:space="preserve">През 2024 г. са попълнени и обработени данните за предходната 2023 г. от дейността на всички мултидисциплинарни екипи чрез Регионалните дирекции за социално подпомагане (РДСП) в страната. В Платформата по Координационния механизъм </w:t>
      </w:r>
      <w:hyperlink r:id="rId33" w:history="1">
        <w:r w:rsidRPr="00AA5833">
          <w:rPr>
            <w:rFonts w:ascii="Times New Roman" w:eastAsia="Times New Roman" w:hAnsi="Times New Roman" w:cs="Times New Roman"/>
            <w:color w:val="0563C1" w:themeColor="hyperlink"/>
            <w:sz w:val="24"/>
            <w:szCs w:val="24"/>
            <w:u w:val="single"/>
            <w:lang w:eastAsia="bg-BG"/>
          </w:rPr>
          <w:t>https://sacp.kontrax.bg</w:t>
        </w:r>
      </w:hyperlink>
      <w:r w:rsidRPr="00AA5833">
        <w:rPr>
          <w:rFonts w:ascii="Times New Roman" w:eastAsia="Times New Roman" w:hAnsi="Times New Roman" w:cs="Times New Roman"/>
          <w:sz w:val="24"/>
          <w:szCs w:val="24"/>
          <w:lang w:eastAsia="bg-BG"/>
        </w:rPr>
        <w:t xml:space="preserve"> са регистрирани като потребители представители на всички 28 РДСП в страната. Платформата съдържа информационна карта, с конкретни индикатори, предоставяща възможност за отдалечен достъп и електронно попълване на данните от дейността на мултидисциплинарните екипи. Експерт от ППДСРК е ангажиран с администрирането на платформата по КМ, създава и актуализира потребителските достъпи и пароли в нея, коригира допуснатите грешки и неточности в подадените данни. През отчетения период е осъществен мониторинг на работата на мултидисциплинарните екипи по прилагането на Координационния механизъм при насилие, съгласно чл. 36г от Закона за закрила на детето, в това число обработване и обобщаване на данните от отговорните за изпълнението институции чрез електронната платформа на ДАЗД.</w:t>
      </w:r>
    </w:p>
    <w:p w14:paraId="1A3F2C8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Calibri" w:hAnsi="Times New Roman" w:cs="Times New Roman"/>
          <w:sz w:val="24"/>
          <w:szCs w:val="24"/>
        </w:rPr>
        <w:tab/>
        <w:t>Изготвен е Мониторингов доклад за прилагането на Координационния механизъм по чл. 36г от Закона за закрила на детето.</w:t>
      </w:r>
    </w:p>
    <w:p w14:paraId="049C87E0"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Във връзка със Заповед №РД-06-6/18.04.2024 г. за работата на постоянно действаща работна група относно подготовката на Мониторингов доклад за прилагането на Координационния механизъм при насилие по чл. 36г от Закона за закрила на детето, данните от всички мултидисциплинарни екипи в страната по области са обработени, обобщени и структурирани. Направено е сравнение на данните от 2023 г. с данните от предходната година. Създадена е база данни в електронна таблица. Данните за 2023 г. са визуализирани под формата на графични диаграми. </w:t>
      </w:r>
    </w:p>
    <w:p w14:paraId="04154969" w14:textId="77777777" w:rsidR="00533926" w:rsidRPr="00AA5833" w:rsidRDefault="00533926" w:rsidP="00533926">
      <w:pPr>
        <w:spacing w:after="0" w:line="240" w:lineRule="auto"/>
        <w:ind w:firstLine="567"/>
        <w:jc w:val="both"/>
        <w:rPr>
          <w:rFonts w:ascii="Times New Roman" w:eastAsia="Times New Roman" w:hAnsi="Times New Roman" w:cs="Times New Roman"/>
          <w:sz w:val="24"/>
          <w:szCs w:val="24"/>
          <w:lang w:eastAsia="bg-BG"/>
        </w:rPr>
      </w:pPr>
      <w:r w:rsidRPr="00AA5833">
        <w:rPr>
          <w:rFonts w:ascii="Times New Roman" w:eastAsia="Calibri" w:hAnsi="Times New Roman" w:cs="Times New Roman"/>
          <w:sz w:val="24"/>
          <w:szCs w:val="24"/>
        </w:rPr>
        <w:lastRenderedPageBreak/>
        <w:t>През 2024 г. ДАЗД е работила по 26 случая за 32 деца, жертва на трафик, като от тях 25</w:t>
      </w:r>
      <w:r w:rsidRPr="00AA5833">
        <w:rPr>
          <w:rFonts w:ascii="Times New Roman" w:eastAsia="Calibri" w:hAnsi="Times New Roman" w:cs="Times New Roman"/>
          <w:bCs/>
          <w:sz w:val="24"/>
          <w:szCs w:val="24"/>
        </w:rPr>
        <w:t xml:space="preserve"> </w:t>
      </w:r>
      <w:r w:rsidRPr="00AA5833">
        <w:rPr>
          <w:rFonts w:ascii="Times New Roman" w:eastAsia="Calibri" w:hAnsi="Times New Roman" w:cs="Times New Roman"/>
          <w:sz w:val="24"/>
          <w:szCs w:val="24"/>
        </w:rPr>
        <w:t>момичета и 7</w:t>
      </w:r>
      <w:r w:rsidRPr="00AA5833">
        <w:rPr>
          <w:rFonts w:ascii="Times New Roman" w:eastAsia="Calibri" w:hAnsi="Times New Roman" w:cs="Times New Roman"/>
          <w:bCs/>
          <w:sz w:val="24"/>
          <w:szCs w:val="24"/>
        </w:rPr>
        <w:t xml:space="preserve"> </w:t>
      </w:r>
      <w:r w:rsidRPr="00AA5833">
        <w:rPr>
          <w:rFonts w:ascii="Times New Roman" w:eastAsia="Calibri" w:hAnsi="Times New Roman" w:cs="Times New Roman"/>
          <w:sz w:val="24"/>
          <w:szCs w:val="24"/>
        </w:rPr>
        <w:t>момчета. Видовете злоупотреба с деца български граждани, които са станали жертва на трафик с цел сексуална и трудова експлоатация, родени и изоставени от майките си, заведени  в чужбина и са изоставени от техните родители или близки, въвлечени в криминални действия. Случаите са от Обединено Кралство Великобритания, Германия, Франция, Гърция, Дания, Австрия, Република Кипър и др.</w:t>
      </w:r>
    </w:p>
    <w:p w14:paraId="3FADFAF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0829E7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7E05296B"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p>
    <w:p w14:paraId="2712DBF1"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1.3.1.1. Ефективност на работата на мултидисциплинарните екипи на местно ниво при провеждане на работните срещи</w:t>
      </w:r>
    </w:p>
    <w:p w14:paraId="198C7FF3"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p>
    <w:p w14:paraId="3E15471F"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sz w:val="24"/>
          <w:szCs w:val="24"/>
        </w:rPr>
        <w:tab/>
        <w:t>През</w:t>
      </w:r>
      <w:r w:rsidRPr="00AA5833">
        <w:rPr>
          <w:rFonts w:ascii="Times New Roman" w:hAnsi="Times New Roman" w:cs="Times New Roman"/>
          <w:b/>
          <w:bCs/>
          <w:sz w:val="24"/>
          <w:szCs w:val="24"/>
        </w:rPr>
        <w:t xml:space="preserve"> </w:t>
      </w:r>
      <w:r w:rsidRPr="00AA5833">
        <w:rPr>
          <w:rFonts w:ascii="Times New Roman" w:hAnsi="Times New Roman" w:cs="Times New Roman"/>
          <w:bCs/>
          <w:sz w:val="24"/>
          <w:szCs w:val="24"/>
        </w:rPr>
        <w:t xml:space="preserve">2024 г. </w:t>
      </w:r>
      <w:r w:rsidRPr="00AA5833">
        <w:rPr>
          <w:rFonts w:ascii="Times New Roman" w:hAnsi="Times New Roman" w:cs="Times New Roman"/>
          <w:sz w:val="24"/>
          <w:szCs w:val="24"/>
        </w:rPr>
        <w:t xml:space="preserve">броят на постъпилите сигнали в отдели „Закрила на детето“ към Дирекции „Социално подпомагане“ в страната, по които е приложен Координационният механизъм при насилие е </w:t>
      </w:r>
      <w:r w:rsidRPr="00AA5833">
        <w:rPr>
          <w:rFonts w:ascii="Times New Roman" w:hAnsi="Times New Roman" w:cs="Times New Roman"/>
          <w:bCs/>
          <w:sz w:val="24"/>
          <w:szCs w:val="24"/>
        </w:rPr>
        <w:t>1875.</w:t>
      </w:r>
    </w:p>
    <w:p w14:paraId="515652CB" w14:textId="77777777" w:rsidR="00533926" w:rsidRPr="00AA5833" w:rsidRDefault="00533926" w:rsidP="00533926">
      <w:pPr>
        <w:spacing w:after="0" w:line="240" w:lineRule="auto"/>
        <w:rPr>
          <w:rFonts w:ascii="Times New Roman" w:hAnsi="Times New Roman" w:cs="Times New Roman"/>
          <w:sz w:val="24"/>
          <w:szCs w:val="24"/>
          <w:lang w:eastAsia="bg-BG"/>
        </w:rPr>
      </w:pPr>
    </w:p>
    <w:p w14:paraId="77B30A1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2A97E89B" w14:textId="77777777" w:rsidR="00533926" w:rsidRPr="00AA5833" w:rsidRDefault="00533926" w:rsidP="00533926">
      <w:pPr>
        <w:spacing w:after="0" w:line="240" w:lineRule="auto"/>
        <w:rPr>
          <w:rFonts w:ascii="Times New Roman" w:hAnsi="Times New Roman" w:cs="Times New Roman"/>
          <w:sz w:val="24"/>
          <w:szCs w:val="24"/>
          <w:lang w:eastAsia="bg-BG"/>
        </w:rPr>
      </w:pPr>
    </w:p>
    <w:p w14:paraId="20C355B5" w14:textId="77777777" w:rsidR="00533926" w:rsidRPr="00AA5833" w:rsidRDefault="00533926" w:rsidP="00533926">
      <w:pPr>
        <w:spacing w:after="0" w:line="240" w:lineRule="auto"/>
        <w:rPr>
          <w:rFonts w:ascii="Times New Roman" w:hAnsi="Times New Roman" w:cs="Times New Roman"/>
          <w:b/>
          <w:sz w:val="24"/>
          <w:szCs w:val="24"/>
          <w:lang w:eastAsia="bg-BG"/>
        </w:rPr>
      </w:pPr>
      <w:r w:rsidRPr="00AA5833">
        <w:rPr>
          <w:rFonts w:ascii="Times New Roman" w:hAnsi="Times New Roman" w:cs="Times New Roman"/>
          <w:b/>
          <w:sz w:val="24"/>
          <w:szCs w:val="24"/>
          <w:lang w:eastAsia="bg-BG"/>
        </w:rPr>
        <w:t>1.3.1.2. Мониторинг на прилагането на Координационния механизъм при насилие</w:t>
      </w:r>
    </w:p>
    <w:p w14:paraId="00BBBA9A"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p>
    <w:p w14:paraId="3CF2621D"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При постъпил сигнал за насилие над дете се предприемат спешни действия и мерки за детето и се свиква </w:t>
      </w:r>
      <w:r w:rsidRPr="00AA5833">
        <w:rPr>
          <w:rFonts w:ascii="Times New Roman" w:hAnsi="Times New Roman" w:cs="Times New Roman"/>
          <w:b/>
          <w:sz w:val="24"/>
          <w:szCs w:val="24"/>
        </w:rPr>
        <w:t xml:space="preserve">Координационен механизъм при насилие (КМ), съгласно чл. 36г от Закона за закрила на детето (ЗЗДет.). </w:t>
      </w:r>
      <w:r w:rsidRPr="00AA5833">
        <w:rPr>
          <w:rFonts w:ascii="Times New Roman" w:hAnsi="Times New Roman" w:cs="Times New Roman"/>
          <w:sz w:val="24"/>
          <w:szCs w:val="24"/>
        </w:rPr>
        <w:t xml:space="preserve">Чрез прилагането на КМ се постига бърза реакция и сътрудничество между отговорните институции при случаи на дете в риск или дете – жертва на насилие. </w:t>
      </w:r>
    </w:p>
    <w:p w14:paraId="39AAC6E8"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bCs/>
          <w:sz w:val="24"/>
          <w:szCs w:val="24"/>
        </w:rPr>
        <w:t>Съгласно ЗЗДет.</w:t>
      </w:r>
      <w:r w:rsidRPr="00AA5833">
        <w:rPr>
          <w:rFonts w:ascii="Times New Roman" w:hAnsi="Times New Roman" w:cs="Times New Roman"/>
          <w:sz w:val="24"/>
          <w:szCs w:val="24"/>
        </w:rPr>
        <w:t xml:space="preserve"> за осигуряване на защита на дете в риск или жертва на насилие или експлоатация дирекция „Социално подпомагане“ създава мултидисциплинарен екип, чиито членове работят заедно до приключване на случая. Този екип разработва план за действие за защита на детето или за предотвратяване на насилието.</w:t>
      </w:r>
    </w:p>
    <w:p w14:paraId="679D8573"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До изтичането на 24 часа от получаване на сигнал за дете в риск или жертва на насилие или експлоатация социален работник, определен от директора на дирекция „Социално подпомагане“, прави оценка на сигнала. При потвърждаване на информацията в сигнала, социалният работник уведомява устно по телефон, включително мобилен, и писмено по пощата, по електронна поща или факс членовете на екипа, като определя дата и час за събиране на екипа.</w:t>
      </w:r>
    </w:p>
    <w:p w14:paraId="21157E72"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Водещ на екипа е социалният работник от дирекция „Социално подпомагане“.</w:t>
      </w:r>
    </w:p>
    <w:p w14:paraId="50A0A3F2"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В екипа задължително участват: представител на районното управление на Министерство на вътрешните работи (районен инспектор, инспектор от детска педагогическа стая или оперативен работник), на районната прокуратура и представител на общината. По преценка на водещия на екипа се канят за участие представител на регионалната здравна инспекция, личния лекар на детето или представител на болницата, откъдето е постъпил сигнал по случая, представител на регионалното управление по образованието и на училището, детската градина или друга образователна институция и представител на доставчик на социална услуга. Кметът на общината подпомага координацията на дейността на мултидисциплинарния екип.</w:t>
      </w:r>
    </w:p>
    <w:p w14:paraId="3DBE4E29"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Защитата на дете в риск или жертва на насилие или експлоатация се предприема след проучване на случая от страна на мултидисциплинарния екип и съгласно предложения от него план за действие, който съдържа здравни, социални и образователни услуги за превенция на насилието или за възстановяване на детето.</w:t>
      </w:r>
    </w:p>
    <w:p w14:paraId="48C94D2A"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 xml:space="preserve">Когато насилието е извършено от родител, от лице, на което са възложени </w:t>
      </w:r>
      <w:r w:rsidRPr="00AA5833">
        <w:rPr>
          <w:rFonts w:ascii="Times New Roman" w:hAnsi="Times New Roman" w:cs="Times New Roman"/>
          <w:sz w:val="24"/>
          <w:szCs w:val="24"/>
        </w:rPr>
        <w:lastRenderedPageBreak/>
        <w:t>грижите за детето, или от лице, на което детето е поверено, на детето-жертва може да се предостави закрила с настаняване извън семейството в социална услуга за деца, пострадали от насилие или жертви на трафик. В решението на съда се постановяват мерки по отношение на родителските права и насочване на родителите към социални услуги за повишаване на родителския капацитет по предложение на дирекция „Социално подпомагане“.</w:t>
      </w:r>
    </w:p>
    <w:p w14:paraId="6DA22F07" w14:textId="77777777" w:rsidR="00533926" w:rsidRPr="00AA5833" w:rsidRDefault="00533926" w:rsidP="00533926">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AA5833">
        <w:rPr>
          <w:rFonts w:ascii="Times New Roman" w:hAnsi="Times New Roman" w:cs="Times New Roman"/>
          <w:sz w:val="24"/>
          <w:szCs w:val="24"/>
        </w:rPr>
        <w:t xml:space="preserve"> </w:t>
      </w:r>
      <w:r w:rsidRPr="00AA5833">
        <w:rPr>
          <w:rFonts w:ascii="Times New Roman" w:hAnsi="Times New Roman" w:cs="Times New Roman"/>
          <w:sz w:val="24"/>
          <w:szCs w:val="24"/>
        </w:rPr>
        <w:tab/>
        <w:t xml:space="preserve">Когато насилието е извършено от родител, от лице, на което са възложени грижите за детето, или от лице, на което детето е поверено, дирекция „Социално подпомагане“ може да се обърне към съда или прокурор за предприемане на мерки по отношение на извършителя по Закона за защита от домашното насилие. </w:t>
      </w:r>
    </w:p>
    <w:p w14:paraId="01F31988" w14:textId="77777777" w:rsidR="00533926" w:rsidRPr="00AA5833" w:rsidRDefault="00533926" w:rsidP="0053392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При данни за извършено престъпление дирекция „Социално подпомагане“ изпраща сигнал до районната прокуратура за предприемане на мерки по отношение на извършителя по Наказателния кодекс.</w:t>
      </w:r>
    </w:p>
    <w:p w14:paraId="66271ECA" w14:textId="77777777" w:rsidR="00533926" w:rsidRPr="00AA5833" w:rsidRDefault="00533926" w:rsidP="00533926">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AA5833">
        <w:rPr>
          <w:rFonts w:ascii="Times New Roman" w:hAnsi="Times New Roman" w:cs="Times New Roman"/>
          <w:sz w:val="24"/>
          <w:szCs w:val="24"/>
        </w:rPr>
        <w:t xml:space="preserve"> </w:t>
      </w:r>
      <w:r w:rsidRPr="00AA5833">
        <w:rPr>
          <w:rFonts w:ascii="Times New Roman" w:hAnsi="Times New Roman" w:cs="Times New Roman"/>
          <w:sz w:val="24"/>
          <w:szCs w:val="24"/>
        </w:rPr>
        <w:tab/>
        <w:t>Когато насилието или експлоатацията на детето са извършени от лице, на което детето е поверено за предоставяне на грижи, защита, лечение или обучение на основание на съдебно решение, трудов или друг договор, органите на прокуратурата при внасяне на преписката в съда информират незабавно дирекция „Социално подпомагане“ по настоящия адрес на детето и съответния работодател за незабавно отделяне на това лице от детето или от децата.</w:t>
      </w:r>
    </w:p>
    <w:p w14:paraId="05D527EB" w14:textId="77777777" w:rsidR="00533926" w:rsidRPr="00AA5833" w:rsidRDefault="00533926" w:rsidP="00533926">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ДСП предприема мерки за закрила в семейна среда, които се изразяват в: осигуряване на педагогическа, психологическа и правна помощ на родителите или лицата, на които са възложени родителски функции, по проблеми, свързани с отглеждането, възпитанието и обучението на децата; насочване към подходящи социални услуги в общността; консултиране и информиране на детето в съответствие с неговата възраст и със степента на неговото развитие и други.</w:t>
      </w:r>
    </w:p>
    <w:p w14:paraId="5D692881" w14:textId="77777777" w:rsidR="00533926" w:rsidRPr="00AA5833" w:rsidRDefault="00533926" w:rsidP="00533926">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В случаите, при които за децата е установен непосредствен риск за живота и безопасността, те се извеждат от рисковата среда. Извеждането от биологичното семейство е крайна мярка, в случаите когато детето е жертва на насилие в семейството и съществува сериозна опасност от увреждане на неговото физическо, психическо, нравствено, интелектуално и социално развитие и когато са изчерпани възможностите за закрила в семейството.</w:t>
      </w:r>
    </w:p>
    <w:p w14:paraId="2643B74E" w14:textId="77777777" w:rsidR="00533926" w:rsidRPr="00AA5833" w:rsidRDefault="00533926" w:rsidP="00533926">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 xml:space="preserve">ДСП може да инициира производство по реда на Закона за защита от домашното насилие (ЗЗДН), когато пострадалото лице е малолетно или непълнолетно. </w:t>
      </w:r>
    </w:p>
    <w:p w14:paraId="0EDBE808" w14:textId="77777777" w:rsidR="00533926" w:rsidRPr="00AA5833" w:rsidRDefault="00533926" w:rsidP="00533926">
      <w:pPr>
        <w:spacing w:after="0" w:line="240" w:lineRule="auto"/>
        <w:ind w:firstLine="708"/>
        <w:jc w:val="both"/>
        <w:rPr>
          <w:rFonts w:ascii="Times New Roman" w:hAnsi="Times New Roman" w:cs="Times New Roman"/>
          <w:bCs/>
          <w:sz w:val="24"/>
          <w:szCs w:val="24"/>
        </w:rPr>
      </w:pPr>
    </w:p>
    <w:p w14:paraId="2561335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1CFAEEBE" w14:textId="77777777" w:rsidR="00533926" w:rsidRPr="00AA5833" w:rsidRDefault="00533926" w:rsidP="00533926">
      <w:pPr>
        <w:spacing w:after="0" w:line="240" w:lineRule="auto"/>
        <w:ind w:firstLine="708"/>
        <w:jc w:val="both"/>
        <w:rPr>
          <w:rFonts w:ascii="Times New Roman" w:hAnsi="Times New Roman" w:cs="Times New Roman"/>
          <w:b/>
          <w:bCs/>
          <w:sz w:val="24"/>
          <w:szCs w:val="24"/>
        </w:rPr>
      </w:pPr>
    </w:p>
    <w:p w14:paraId="61A59E9A" w14:textId="77777777" w:rsidR="00533926" w:rsidRPr="00AA5833" w:rsidRDefault="00533926" w:rsidP="00533926">
      <w:pPr>
        <w:spacing w:after="0" w:line="240" w:lineRule="auto"/>
        <w:jc w:val="both"/>
        <w:rPr>
          <w:rFonts w:ascii="Times New Roman" w:hAnsi="Times New Roman" w:cs="Times New Roman"/>
          <w:b/>
          <w:sz w:val="24"/>
          <w:szCs w:val="24"/>
          <w:lang w:eastAsia="bg-BG"/>
        </w:rPr>
      </w:pPr>
      <w:r w:rsidRPr="00AA5833">
        <w:rPr>
          <w:rFonts w:ascii="Times New Roman" w:hAnsi="Times New Roman" w:cs="Times New Roman"/>
          <w:b/>
          <w:sz w:val="24"/>
          <w:szCs w:val="24"/>
          <w:lang w:eastAsia="bg-BG"/>
        </w:rPr>
        <w:t>1.3.1.3. Мониторинг на прилагането на КМ за рефериране и обгрижване на непридружени деца и деца жертви на трафик</w:t>
      </w:r>
    </w:p>
    <w:p w14:paraId="29C260E6" w14:textId="77777777" w:rsidR="00533926" w:rsidRPr="00AA5833" w:rsidRDefault="00533926" w:rsidP="00533926">
      <w:pPr>
        <w:spacing w:after="0" w:line="240" w:lineRule="auto"/>
        <w:rPr>
          <w:rFonts w:ascii="Times New Roman" w:hAnsi="Times New Roman" w:cs="Times New Roman"/>
          <w:b/>
          <w:sz w:val="24"/>
          <w:szCs w:val="24"/>
          <w:lang w:eastAsia="bg-BG"/>
        </w:rPr>
      </w:pPr>
    </w:p>
    <w:p w14:paraId="210C2110" w14:textId="77777777" w:rsidR="00533926" w:rsidRPr="00AA5833" w:rsidRDefault="00533926" w:rsidP="00533926">
      <w:pPr>
        <w:spacing w:after="0" w:line="240" w:lineRule="auto"/>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ab/>
        <w:t xml:space="preserve">Децата, жертва на трафик са деца в риск и спрямо тях се предприема мярка за закрила по реда на ЗЗДет., с цел осигуряване правото на детето да живее в сигурна и защитена среда, предотвратяване на последиците от трафикирането и възможността от повторно въвличане в трафик. </w:t>
      </w:r>
    </w:p>
    <w:p w14:paraId="695D1D8E" w14:textId="77777777" w:rsidR="00533926" w:rsidRPr="00AA5833" w:rsidRDefault="00533926" w:rsidP="00533926">
      <w:pPr>
        <w:spacing w:after="0" w:line="240" w:lineRule="auto"/>
        <w:ind w:firstLine="708"/>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За всеки случай на дете, жертва на трафик се инициира социално проучване, като важен момент в работата на социалните работници е адекватната оценка на потребностите на детето, жертва на трафик, както и оценката на риска и мерките за безопасност, които се предприемат спрямо него.</w:t>
      </w:r>
    </w:p>
    <w:p w14:paraId="3443BA03" w14:textId="77777777" w:rsidR="00533926" w:rsidRPr="00AA5833" w:rsidRDefault="00533926" w:rsidP="00533926">
      <w:pPr>
        <w:spacing w:after="0" w:line="240" w:lineRule="auto"/>
        <w:jc w:val="both"/>
        <w:rPr>
          <w:rFonts w:ascii="Times New Roman" w:eastAsia="Dotum" w:hAnsi="Times New Roman" w:cs="Times New Roman"/>
          <w:sz w:val="24"/>
          <w:szCs w:val="24"/>
          <w:lang w:eastAsia="bg-BG"/>
        </w:rPr>
      </w:pPr>
      <w:r w:rsidRPr="00AA5833">
        <w:rPr>
          <w:rFonts w:ascii="Times New Roman" w:eastAsia="Dotum" w:hAnsi="Times New Roman" w:cs="Times New Roman"/>
          <w:sz w:val="24"/>
          <w:szCs w:val="24"/>
          <w:lang w:eastAsia="bg-BG"/>
        </w:rPr>
        <w:tab/>
        <w:t xml:space="preserve">В АСП се администрират данни за наблюдаваните случаи на деца, жертва на трафик, съгласно </w:t>
      </w:r>
      <w:r w:rsidRPr="00AA5833">
        <w:rPr>
          <w:rFonts w:ascii="Times New Roman" w:eastAsia="Dotum" w:hAnsi="Times New Roman" w:cs="Times New Roman"/>
          <w:iCs/>
          <w:sz w:val="24"/>
          <w:szCs w:val="24"/>
          <w:lang w:eastAsia="bg-BG"/>
        </w:rPr>
        <w:t>Координационния механизъм за рефериране и обгрижване на непридружени деца и деца, жертви на трафик, завръщащи се от чужбина</w:t>
      </w:r>
      <w:r w:rsidRPr="00AA5833">
        <w:rPr>
          <w:rFonts w:ascii="Times New Roman" w:eastAsia="Dotum" w:hAnsi="Times New Roman" w:cs="Times New Roman"/>
          <w:sz w:val="24"/>
          <w:szCs w:val="24"/>
          <w:lang w:eastAsia="bg-BG"/>
        </w:rPr>
        <w:t xml:space="preserve">. </w:t>
      </w:r>
    </w:p>
    <w:p w14:paraId="2543CE5F" w14:textId="77777777" w:rsidR="00533926" w:rsidRPr="00AA5833" w:rsidRDefault="00533926" w:rsidP="00533926">
      <w:pPr>
        <w:spacing w:after="0" w:line="240" w:lineRule="auto"/>
        <w:ind w:firstLine="708"/>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lastRenderedPageBreak/>
        <w:t>Случаите на деца, жертви на трафик, активно се наблюдават от отдел „Закрила на детето“ (ОЗД) за период от една година, като по преценка на социалния работник периодът на наблюдение може да се удължи, в зависимост от спецификата на конкретния случай.</w:t>
      </w:r>
    </w:p>
    <w:p w14:paraId="3550DEB7"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rPr>
      </w:pPr>
      <w:bookmarkStart w:id="4" w:name="_Hlk190732164"/>
      <w:r w:rsidRPr="00AA5833">
        <w:rPr>
          <w:rFonts w:ascii="Times New Roman" w:eastAsia="Times New Roman" w:hAnsi="Times New Roman" w:cs="Times New Roman"/>
          <w:sz w:val="24"/>
          <w:szCs w:val="24"/>
        </w:rPr>
        <w:t>През 2024 г. за наблюдаваните от ОЗД деца, жертви на трафик в АСП е налична следната информация:</w:t>
      </w:r>
    </w:p>
    <w:p w14:paraId="7A7CE1E7" w14:textId="77777777" w:rsidR="00533926" w:rsidRPr="00AA5833" w:rsidRDefault="00533926" w:rsidP="002A598C">
      <w:pPr>
        <w:numPr>
          <w:ilvl w:val="0"/>
          <w:numId w:val="42"/>
        </w:numPr>
        <w:spacing w:after="0" w:line="240" w:lineRule="auto"/>
        <w:contextualSpacing/>
        <w:jc w:val="both"/>
        <w:rPr>
          <w:rFonts w:ascii="Times New Roman" w:eastAsia="Times New Roman" w:hAnsi="Times New Roman" w:cs="Times New Roman"/>
          <w:sz w:val="24"/>
          <w:szCs w:val="24"/>
        </w:rPr>
      </w:pPr>
      <w:r w:rsidRPr="00AA5833">
        <w:rPr>
          <w:rFonts w:ascii="Times New Roman" w:eastAsia="Dotum" w:hAnsi="Times New Roman" w:cs="Times New Roman"/>
          <w:sz w:val="24"/>
          <w:szCs w:val="24"/>
        </w:rPr>
        <w:t xml:space="preserve">първо тримесечие на 2024 г. – наблюдавани са </w:t>
      </w:r>
      <w:r w:rsidRPr="00AA5833">
        <w:rPr>
          <w:rFonts w:ascii="Times New Roman" w:eastAsia="Dotum" w:hAnsi="Times New Roman" w:cs="Times New Roman"/>
          <w:bCs/>
          <w:sz w:val="24"/>
          <w:szCs w:val="24"/>
        </w:rPr>
        <w:t>3 деца</w:t>
      </w:r>
      <w:r w:rsidRPr="00AA5833">
        <w:rPr>
          <w:rFonts w:ascii="Times New Roman" w:eastAsia="Dotum" w:hAnsi="Times New Roman" w:cs="Times New Roman"/>
          <w:sz w:val="24"/>
          <w:szCs w:val="24"/>
        </w:rPr>
        <w:t>;</w:t>
      </w:r>
    </w:p>
    <w:p w14:paraId="23F34970" w14:textId="77777777" w:rsidR="00533926" w:rsidRPr="00AA5833" w:rsidRDefault="00533926" w:rsidP="002A598C">
      <w:pPr>
        <w:numPr>
          <w:ilvl w:val="0"/>
          <w:numId w:val="42"/>
        </w:numPr>
        <w:spacing w:after="0" w:line="240" w:lineRule="auto"/>
        <w:contextualSpacing/>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второ тримесечие на 2024 г. – наблюдавани са 4 деца;</w:t>
      </w:r>
    </w:p>
    <w:p w14:paraId="47552487" w14:textId="77777777" w:rsidR="00533926" w:rsidRPr="00AA5833" w:rsidRDefault="00533926" w:rsidP="002A598C">
      <w:pPr>
        <w:numPr>
          <w:ilvl w:val="0"/>
          <w:numId w:val="42"/>
        </w:numPr>
        <w:spacing w:after="0" w:line="240" w:lineRule="auto"/>
        <w:contextualSpacing/>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трето тримесечие на 2024 г. – наблюдавани са 2 деца;</w:t>
      </w:r>
    </w:p>
    <w:p w14:paraId="28673CE4" w14:textId="77777777" w:rsidR="00533926" w:rsidRPr="00AA5833" w:rsidRDefault="00533926" w:rsidP="002A598C">
      <w:pPr>
        <w:numPr>
          <w:ilvl w:val="0"/>
          <w:numId w:val="42"/>
        </w:numPr>
        <w:spacing w:after="0" w:line="240" w:lineRule="auto"/>
        <w:contextualSpacing/>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четвърто тримесечие на 2024 г. – наблюдавани са 2 деца.</w:t>
      </w:r>
      <w:bookmarkEnd w:id="4"/>
    </w:p>
    <w:p w14:paraId="1B97B53F" w14:textId="77777777" w:rsidR="00533926" w:rsidRPr="00AA5833" w:rsidRDefault="00533926" w:rsidP="00533926">
      <w:pPr>
        <w:spacing w:after="0" w:line="240" w:lineRule="auto"/>
        <w:ind w:firstLine="708"/>
        <w:jc w:val="both"/>
        <w:rPr>
          <w:rFonts w:ascii="Times New Roman" w:eastAsia="Times New Roman" w:hAnsi="Times New Roman" w:cs="Times New Roman"/>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2FF3E26"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610F121"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1.3.2. Дейности по Националната програма за подобряване на майчиното и детско здраве (НППМДЗ)</w:t>
            </w:r>
          </w:p>
        </w:tc>
      </w:tr>
    </w:tbl>
    <w:p w14:paraId="45003CBA"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35268E67"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МИНИСТЕРСТВО НА ЗДРАВЕОПАЗВАНЕТО </w:t>
      </w:r>
    </w:p>
    <w:p w14:paraId="2331CF4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48EA743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1.3.2.1. Осигуряване провеждането на масов неонатален слухов скрининг за новородени </w:t>
      </w:r>
    </w:p>
    <w:p w14:paraId="657876F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59796CB3" w14:textId="77777777" w:rsidR="00533926" w:rsidRPr="00AA5833" w:rsidRDefault="00533926" w:rsidP="00533926">
      <w:pPr>
        <w:spacing w:after="0" w:line="240" w:lineRule="auto"/>
        <w:ind w:firstLine="73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 Решение №333/09.04.2021 г. на Министерския съвет е приета Националната програма за подобряване на майчиното и детско здраве 2021 – 2030 (НППМДЗ) и План за действие към нея за периода 2024 – 2026 г. Програмата има за цел да осигури устойчивост на и да надгради постигнатите резултати в областта на майчиното и детско здраве, постигнати в изпълнение на Националната програма за подобряване на майчиното и детско здраве 2014 – 2020 г. Чрез програмата се осигурява изпълнението на дейности, за които няма осигурено финансиране от други източници и които имат значителен здравен ефект, свързан с ранната диагностика на заболявания и увреждания и осигуряването на комплексни медицински грижи за деца с комплексното лечение на определени хронични заболявания. С цел ранно откриване и навременна интервенция при увреждане на слуха при новородени през 2024 г. продължи провеждането на масов неонатален слухов скрининг, като са изследвани 47 125 новородени.</w:t>
      </w:r>
    </w:p>
    <w:p w14:paraId="224BEFF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Мярката е изпълнена.</w:t>
      </w:r>
    </w:p>
    <w:p w14:paraId="56427209"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4E1D94CA"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МИНИСТЕРСТВО НА ЗДРАВЕОПАЗВАНЕТО </w:t>
      </w:r>
    </w:p>
    <w:p w14:paraId="5FE1FB32"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7B6EA9F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1.3.2.2. Осигуряване дейността на комисиите за изготвяне на индивидуални медико-социални планове за деца с диабет, вродени сърдечни малформации, вродени лицеви малформации, вродени хематологични заболявания и недоносени деца, разкрити в университетски болници</w:t>
      </w:r>
    </w:p>
    <w:p w14:paraId="5F7C66A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27A74A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С цел осигуряване на високоспециализирани консултации за деца с определени заболявания към Здравно-консултативните центрове за майчино и детско здраве (ЗКЦ) в университетските и специализирани болници са създадени комисии за изготвяне на индивидуални планове за комплексно интердисциплинарно медицинско обслужване и продължителна здравна грижа на деца с определени хронични заболявания (диабет, вродени сърдечни малформации, вродени лицеви малформации, вродени хематологични заболявания, вродени неврологични заболявания, недоносени деца). През 2024 година комисиите са изготвили 1436 медико-социални планове за децата.</w:t>
      </w:r>
    </w:p>
    <w:p w14:paraId="6EDAD52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Мярката е изпълнена. </w:t>
      </w:r>
    </w:p>
    <w:p w14:paraId="5C3138B9" w14:textId="77777777" w:rsidR="00533926"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75A0A84" w14:textId="77777777" w:rsidR="00EF0D15" w:rsidRDefault="00EF0D15"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45246B8" w14:textId="77777777" w:rsidR="00EF0D15" w:rsidRPr="00AA5833" w:rsidRDefault="00EF0D15"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36FAF5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МИНИСТЕРСТВО НА ЗДРАВЕОПАЗВАНЕТО </w:t>
      </w:r>
    </w:p>
    <w:p w14:paraId="4EA7C7FF"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15B05E7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1.3.2.3. Осигуряване дейността на Здравно-консултативните центрове за майчино и детско здраве</w:t>
      </w:r>
    </w:p>
    <w:p w14:paraId="2A2523D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DDBFD4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2024 г. в рамките на Националната програма за подобряване на майчиното и детско здраве 2021 – 2030 г. са извършени 5534 медицински консултации и 167 домашни посещения на деца с увреждания, хронични заболявания и недоносени деца.</w:t>
      </w:r>
    </w:p>
    <w:p w14:paraId="2B90DD1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6F7EBA0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НАЦИОНАЛНА ЗДРАВНООСИГУРИТЕЛНА КАСА </w:t>
      </w:r>
    </w:p>
    <w:p w14:paraId="6BB4B13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0DFF1D7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1.3.2.4. Профилактични прегледи за деца</w:t>
      </w:r>
    </w:p>
    <w:p w14:paraId="0F1B192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DA0D7B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 01.01.2024 г. до 31.12.2024 г. профилактичните прегледи на децата се извършват по програма „Детско здравеопазване“ от общопрактикуващите лекари (ОПЛ) по Приложение №12 към НРД за медицинските дейности 2023 – 2025 г. (НРД за МД 2023 – 2025 г.) „Дейности на ОПЛ по имунопрофилактика, програма „Детско здравеопазване“, профилактични прегледи на здравноосигурени лица (ЗОЛ) над 18 години, формиране на групи от лица с рискови фактори за развитие на заболяване при ЗОЛ над 18 години, профилактични дейности при ЗОЛ над 18 години с рискови фактори за развитие на заболяване и програма „Майчино здравеопазване“ или от лекар със специалност „Педиатрия“ съгласно Приложение №14 към НРД за МД 2023-2025 г. „Дейности на лекаря специалист по „Педиатрия“ по програма „Детско здравеопазване“, на лекаря специалист по „Акушерство и гинекология“ по програма „Майчино здравеопазване“ и на лекаря специалист по профилактика на ЗОЛ над 18 години с рискови фактори за развитие на заболяване“.</w:t>
      </w:r>
    </w:p>
    <w:p w14:paraId="3E806C8F" w14:textId="77777777" w:rsidR="00533926" w:rsidRPr="00AA5833" w:rsidRDefault="00533926" w:rsidP="00533926">
      <w:pPr>
        <w:spacing w:after="0" w:line="240" w:lineRule="auto"/>
        <w:ind w:firstLine="709"/>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Националната здравноосигурителна каса (НЗОК) заплаща разширен пакет от профилактични прегледи за деца, в съответствие с Наредба №8 от 3 ноември 2016 г. за профилактичните прегледи и диспансеризацията, издадена от </w:t>
      </w:r>
      <w:r w:rsidRPr="00AA5833">
        <w:rPr>
          <w:rFonts w:ascii="Times New Roman" w:eastAsia="Times New Roman" w:hAnsi="Times New Roman" w:cs="Times New Roman"/>
          <w:sz w:val="24"/>
          <w:szCs w:val="24"/>
          <w:lang w:eastAsia="bg-BG"/>
        </w:rPr>
        <w:t xml:space="preserve">министъра на здравеопазването и </w:t>
      </w:r>
      <w:r w:rsidRPr="00AA5833">
        <w:rPr>
          <w:rFonts w:ascii="Times New Roman" w:eastAsia="Times New Roman" w:hAnsi="Times New Roman" w:cs="Times New Roman"/>
          <w:color w:val="000000"/>
          <w:sz w:val="24"/>
          <w:szCs w:val="24"/>
          <w:lang w:eastAsia="bg-BG"/>
        </w:rPr>
        <w:t>НРД за МД 2023 – 2025 г. и Приложенията към тях.</w:t>
      </w:r>
    </w:p>
    <w:p w14:paraId="5FD1850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НЗОК заплаща за следните профилактични прегледи и изследвания за деца по възрастови групи, както следва:</w:t>
      </w:r>
    </w:p>
    <w:p w14:paraId="03EA8BDC"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b/>
          <w:sz w:val="24"/>
          <w:szCs w:val="24"/>
        </w:rPr>
        <w:t>До навършване на едномесечна възраст на детето</w:t>
      </w:r>
      <w:r w:rsidRPr="00AA5833">
        <w:rPr>
          <w:rFonts w:ascii="Times New Roman" w:hAnsi="Times New Roman" w:cs="Times New Roman"/>
          <w:sz w:val="24"/>
          <w:szCs w:val="24"/>
        </w:rPr>
        <w:t xml:space="preserve"> – анамнеза и подробен статус,</w:t>
      </w:r>
      <w:r w:rsidRPr="00AA5833">
        <w:rPr>
          <w:rFonts w:ascii="Times New Roman" w:hAnsi="Times New Roman" w:cs="Times New Roman"/>
          <w:b/>
          <w:bCs/>
          <w:sz w:val="24"/>
          <w:szCs w:val="24"/>
        </w:rPr>
        <w:t xml:space="preserve"> </w:t>
      </w:r>
      <w:r w:rsidRPr="00AA5833">
        <w:rPr>
          <w:rFonts w:ascii="Times New Roman" w:hAnsi="Times New Roman" w:cs="Times New Roman"/>
          <w:sz w:val="24"/>
          <w:szCs w:val="24"/>
        </w:rPr>
        <w:t>съвети за грижи за новороденото и насърчаване на кърменето</w:t>
      </w:r>
      <w:r w:rsidRPr="00AA5833">
        <w:rPr>
          <w:rFonts w:ascii="Times New Roman" w:hAnsi="Times New Roman" w:cs="Times New Roman"/>
          <w:b/>
          <w:sz w:val="24"/>
          <w:szCs w:val="24"/>
        </w:rPr>
        <w:t xml:space="preserve"> </w:t>
      </w:r>
      <w:r w:rsidRPr="00AA5833">
        <w:rPr>
          <w:rFonts w:ascii="Times New Roman" w:hAnsi="Times New Roman" w:cs="Times New Roman"/>
          <w:sz w:val="24"/>
          <w:szCs w:val="24"/>
        </w:rPr>
        <w:t xml:space="preserve">до два прегледа до навършване на едномесечна възраст с препоръчителен интервал от 7 до 14 дни. До 28-ия ден от раждането детето се посещава в дома от лекар – първият преглед се извършва до 24 часа след изписване от лечебното заведение при осъществен избор на родителите/законните настойници на лекар на детето. При липса на избран лекар до </w:t>
      </w:r>
      <w:r w:rsidRPr="00AA5833">
        <w:rPr>
          <w:rFonts w:ascii="Times New Roman" w:hAnsi="Times New Roman" w:cs="Times New Roman"/>
          <w:sz w:val="24"/>
          <w:szCs w:val="24"/>
        </w:rPr>
        <w:br/>
        <w:t>24-я час след изписването, първият преглед на детето се извършва до 24 часа след осъществен избор на лекар.</w:t>
      </w:r>
      <w:r w:rsidRPr="00AA5833">
        <w:rPr>
          <w:rFonts w:ascii="Times New Roman" w:hAnsi="Times New Roman" w:cs="Times New Roman"/>
          <w:color w:val="FF0000"/>
          <w:sz w:val="24"/>
          <w:szCs w:val="24"/>
        </w:rPr>
        <w:t xml:space="preserve"> </w:t>
      </w:r>
    </w:p>
    <w:p w14:paraId="5804309E"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b/>
          <w:sz w:val="24"/>
          <w:szCs w:val="24"/>
        </w:rPr>
        <w:t>От 1 месец до 1 година</w:t>
      </w:r>
      <w:r w:rsidRPr="00AA5833">
        <w:rPr>
          <w:rFonts w:ascii="Times New Roman" w:hAnsi="Times New Roman" w:cs="Times New Roman"/>
          <w:sz w:val="24"/>
          <w:szCs w:val="24"/>
        </w:rPr>
        <w:t xml:space="preserve"> – анамнеза и подробен статус, измерване на ръст, тегло, оценка на психическо развитие – един път месечно в рамките на календарния месец, измерване на обиколка на глава и гърди – през първите шест месеца след раждането – при всеки преглед; един път на деветмесечна и на едногодишна възраст – по време на ежемесечния преглед. </w:t>
      </w:r>
    </w:p>
    <w:p w14:paraId="33C9F1FE"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 xml:space="preserve">Обща оценка на зрението – ориентировъчно, обща оценка на слух – два пъти годишно – на шестмесечна и едногодишна възраст. </w:t>
      </w:r>
    </w:p>
    <w:p w14:paraId="655579E2"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lastRenderedPageBreak/>
        <w:t xml:space="preserve">Клинично изследване за дисплазия на тазобедрените стави с определяне на риска от дисплазия – два пъти – при навършване на 1-месечна и 4-месечна възраст. </w:t>
      </w:r>
    </w:p>
    <w:p w14:paraId="1B31C06D"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 xml:space="preserve">Ехографско изследване на отделителна система – еднократно на шестмесечна възраст. </w:t>
      </w:r>
    </w:p>
    <w:p w14:paraId="5EAFC999"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 xml:space="preserve">Преглед за ранно откриване на вродена/наследствена очна патология – еднократно между 6-месечна и едногодишна възраст. </w:t>
      </w:r>
    </w:p>
    <w:p w14:paraId="18D5CEAC"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 xml:space="preserve">Медико-диагностични изследвания се правят два пъти годишно при навършване на шестмесечна и една годишна възраст за: хемоглобин, брой еритроцити, брой левкоцити, хематокрит, MCV, MCH, MCHC – седимент в урината, изследване на албумин в урината. </w:t>
      </w:r>
    </w:p>
    <w:p w14:paraId="5D665906"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b/>
          <w:sz w:val="24"/>
          <w:szCs w:val="24"/>
        </w:rPr>
        <w:t>От 1 до 2 години</w:t>
      </w:r>
      <w:r w:rsidRPr="00AA5833">
        <w:rPr>
          <w:rFonts w:ascii="Times New Roman" w:hAnsi="Times New Roman" w:cs="Times New Roman"/>
          <w:sz w:val="24"/>
          <w:szCs w:val="24"/>
        </w:rPr>
        <w:t xml:space="preserve"> – анамнеза и подробен статус, измерване на ръст, тегло, обиколка на гърди, оценка на психично развитие - четири пъти годишно – през период не по-малък от 2 месеца.</w:t>
      </w:r>
    </w:p>
    <w:p w14:paraId="3A723264"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b/>
          <w:sz w:val="24"/>
          <w:szCs w:val="24"/>
        </w:rPr>
        <w:t>От 2 до 7 години</w:t>
      </w:r>
      <w:r w:rsidRPr="00AA5833">
        <w:rPr>
          <w:rFonts w:ascii="Times New Roman" w:hAnsi="Times New Roman" w:cs="Times New Roman"/>
          <w:sz w:val="24"/>
          <w:szCs w:val="24"/>
        </w:rPr>
        <w:t xml:space="preserve"> - анамнеза и подробен статус, измерване на ръст, тегло, обиколка на гърди - два пъти годишно – през период не по-малък от 4 месеца, оценка на психично и физическо развитие – един път годишно, оценка на зрителна острота – ориентировъчно – един път на 5-годишна възраст. </w:t>
      </w:r>
    </w:p>
    <w:p w14:paraId="4A03FFCB"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Медико-диагностични изследвания се правят за хемоглобин, брой еритроцити, брой левкоцити, MCV, MCH, MCHC, хематокрит и СУЕ – един път на 3-годишна възраст. Изследване за чревни паразити – Ентеробиус вермикуларис, Аскарис лумбрикоидес, Ламблия интестиналис и Хименолептис нана – един път годишно.</w:t>
      </w:r>
    </w:p>
    <w:p w14:paraId="1678E3F1" w14:textId="77777777" w:rsidR="00533926" w:rsidRPr="00AA5833" w:rsidRDefault="00533926" w:rsidP="00533926">
      <w:pPr>
        <w:spacing w:after="0" w:line="240" w:lineRule="auto"/>
        <w:ind w:firstLine="644"/>
        <w:jc w:val="both"/>
        <w:rPr>
          <w:rFonts w:ascii="Times New Roman" w:hAnsi="Times New Roman" w:cs="Times New Roman"/>
          <w:sz w:val="24"/>
          <w:szCs w:val="24"/>
        </w:rPr>
      </w:pPr>
      <w:r w:rsidRPr="00AA5833">
        <w:rPr>
          <w:rFonts w:ascii="Times New Roman" w:hAnsi="Times New Roman" w:cs="Times New Roman"/>
          <w:b/>
          <w:sz w:val="24"/>
          <w:szCs w:val="24"/>
        </w:rPr>
        <w:t>От 7 до 18 години</w:t>
      </w:r>
      <w:r w:rsidRPr="00AA5833">
        <w:rPr>
          <w:rFonts w:ascii="Times New Roman" w:hAnsi="Times New Roman" w:cs="Times New Roman"/>
          <w:sz w:val="24"/>
          <w:szCs w:val="24"/>
        </w:rPr>
        <w:t xml:space="preserve"> – анамнеза и подробен статус, измерване на ръст, тегло, гръдна обиколка, измерване на артериално налягане, оценка на физическо развитие, изследване за зрителна острота (ориентировъчно) и цветоусещане, отклонения в развитието на опорно-двигателната система, изследване на урина за протеин (с тест-лента)</w:t>
      </w:r>
      <w:r w:rsidRPr="00AA5833">
        <w:rPr>
          <w:rFonts w:ascii="Times New Roman" w:hAnsi="Times New Roman" w:cs="Times New Roman"/>
        </w:rPr>
        <w:t xml:space="preserve"> </w:t>
      </w:r>
      <w:r w:rsidRPr="00AA5833">
        <w:rPr>
          <w:rFonts w:ascii="Times New Roman" w:hAnsi="Times New Roman" w:cs="Times New Roman"/>
          <w:sz w:val="24"/>
          <w:szCs w:val="24"/>
        </w:rPr>
        <w:t>– 1 път за календарната година.</w:t>
      </w:r>
    </w:p>
    <w:p w14:paraId="36CD5C2F"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Провеждат се следните медико-диагностични изследвания: Пълна кръвна картина (ПКК) – поне 8 показателя, Урина (химично изследване и седимент) на 7-, на 10-, на 13- и на 16-годишна възраст; Кръвна захар, Триглицериди, HDL-холестерол, LDL-холестерол – на 16-годишна възраст.</w:t>
      </w:r>
    </w:p>
    <w:p w14:paraId="7F56436C" w14:textId="77777777" w:rsidR="00533926" w:rsidRPr="00AA5833" w:rsidRDefault="00533926" w:rsidP="00533926">
      <w:pPr>
        <w:tabs>
          <w:tab w:val="left" w:pos="851"/>
          <w:tab w:val="left" w:pos="2552"/>
        </w:tabs>
        <w:autoSpaceDE w:val="0"/>
        <w:autoSpaceDN w:val="0"/>
        <w:adjustRightInd w:val="0"/>
        <w:spacing w:after="0" w:line="240" w:lineRule="auto"/>
        <w:ind w:right="-70" w:firstLine="567"/>
        <w:contextualSpacing/>
        <w:jc w:val="both"/>
        <w:rPr>
          <w:rFonts w:ascii="Times New Roman" w:hAnsi="Times New Roman" w:cs="Times New Roman"/>
          <w:bCs/>
          <w:sz w:val="24"/>
          <w:szCs w:val="24"/>
        </w:rPr>
      </w:pPr>
      <w:r w:rsidRPr="00AA5833">
        <w:rPr>
          <w:rFonts w:ascii="Times New Roman" w:hAnsi="Times New Roman" w:cs="Times New Roman"/>
          <w:sz w:val="24"/>
          <w:szCs w:val="24"/>
        </w:rPr>
        <w:t xml:space="preserve">НЗОК </w:t>
      </w:r>
      <w:r w:rsidRPr="00AA5833">
        <w:rPr>
          <w:rFonts w:ascii="Times New Roman" w:eastAsia="Times New Roman" w:hAnsi="Times New Roman" w:cs="Times New Roman"/>
          <w:sz w:val="24"/>
          <w:szCs w:val="24"/>
          <w:lang w:eastAsia="bg-BG"/>
        </w:rPr>
        <w:t xml:space="preserve">заплаща за здравни грижи, осъществявани в дома от медицински сестри, акушерки или лекарски асистенти до две посещения до 6 месеца след изписване от лечебното заведение, като първото е в ранния неонатален период на новороденото до 7 дни след изписване от лечебното заведение. Здравните грижи включват: </w:t>
      </w:r>
      <w:r w:rsidRPr="00AA5833">
        <w:rPr>
          <w:rFonts w:ascii="Times New Roman" w:hAnsi="Times New Roman" w:cs="Times New Roman"/>
          <w:bCs/>
          <w:sz w:val="24"/>
          <w:szCs w:val="24"/>
        </w:rPr>
        <w:t>предоставяне на информация за възможностите за укрепване и подобряване на здравето на детето и утвърждаване на положителни здравни навици и жизнени умения; оценка от здравна гледна точка на средата, в която се отглежда детето и запознаване с рисковите фактори за заболявания и вредата от нездравословните навици в средата; даване на необходимата информация (консултиране) на родителите за рационално хранене на кърмачето, ползите от изключителното кърмене през първите шест месеца и продължителността на естественото хранене съгласно приетите норми, а при кърмачета на смесено и кърмачета на изкуствено хранене – на препоръки за подходящите адаптирани млека; даване на указания за правилния хигиенен режим за отглеждане и закаляване на детето; консултиране по въпроси за подобряване на родителските практики за отглеждане и възпитание на детето; при необходимост измерване, регистрация и оценяване на витални показатели, разпознаване на индикациите на застрашаващи живота състояния и предприемане на своевременни действия.</w:t>
      </w:r>
    </w:p>
    <w:p w14:paraId="2B6589F6" w14:textId="77777777" w:rsidR="00533926" w:rsidRPr="00AA5833" w:rsidRDefault="00533926" w:rsidP="00533926">
      <w:pPr>
        <w:spacing w:after="0" w:line="240" w:lineRule="auto"/>
        <w:ind w:firstLine="644"/>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w:t>
      </w:r>
      <w:r w:rsidRPr="00AA5833">
        <w:rPr>
          <w:rFonts w:ascii="Times New Roman" w:eastAsia="Times New Roman" w:hAnsi="Times New Roman" w:cs="Times New Roman"/>
          <w:b/>
          <w:sz w:val="24"/>
          <w:szCs w:val="24"/>
          <w:lang w:eastAsia="bg-BG"/>
        </w:rPr>
        <w:t>профилактични прегледи по програма „Детско здравеопазване“</w:t>
      </w:r>
      <w:r w:rsidRPr="00AA5833">
        <w:rPr>
          <w:rFonts w:ascii="Times New Roman" w:eastAsia="Times New Roman" w:hAnsi="Times New Roman" w:cs="Times New Roman"/>
          <w:sz w:val="24"/>
          <w:szCs w:val="24"/>
          <w:lang w:eastAsia="bg-BG"/>
        </w:rPr>
        <w:t xml:space="preserve"> на изпълнителите на първична извънболнична медицинска помощ (ПИМП) през 2024 г. от бюджета на НЗОК са заплатени 61 430,8 хил. лв. за 2 356 467 бр. прегледи, на изпълнителите на специализирана извънболнична медицинска помощ (СИМП) – </w:t>
      </w:r>
      <w:r w:rsidRPr="00AA5833">
        <w:rPr>
          <w:rFonts w:ascii="Times New Roman" w:eastAsia="Times New Roman" w:hAnsi="Times New Roman" w:cs="Times New Roman"/>
          <w:sz w:val="24"/>
          <w:szCs w:val="24"/>
          <w:lang w:eastAsia="bg-BG"/>
        </w:rPr>
        <w:lastRenderedPageBreak/>
        <w:t>69 135,1 хил. лв. за 1 995 127 бр. прегледи, а на изпълнителите на медико-диагностични дейности (МДД) – 2 704,1 хил. лв.</w:t>
      </w:r>
    </w:p>
    <w:p w14:paraId="716A626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поставените 703 944 бр. имунизации на деца от 0 – 18 г. (в т.ч. Манту), извършвани от изпълнители на ПИМП, заплатената сума  е 10 791,6 хил. лв. </w:t>
      </w:r>
    </w:p>
    <w:p w14:paraId="194EFB6B" w14:textId="77777777" w:rsidR="00533926" w:rsidRPr="00AA5833" w:rsidRDefault="00533926" w:rsidP="00533926">
      <w:pPr>
        <w:spacing w:after="0" w:line="240" w:lineRule="auto"/>
        <w:ind w:firstLine="709"/>
        <w:jc w:val="both"/>
        <w:rPr>
          <w:rFonts w:ascii="Times New Roman" w:eastAsia="Times New Roman" w:hAnsi="Times New Roman" w:cs="Times New Roman"/>
          <w:i/>
          <w:sz w:val="24"/>
          <w:szCs w:val="24"/>
          <w:lang w:eastAsia="bg-BG"/>
        </w:rPr>
      </w:pPr>
      <w:r w:rsidRPr="00AA5833">
        <w:rPr>
          <w:rFonts w:ascii="Times New Roman" w:eastAsia="Times New Roman" w:hAnsi="Times New Roman" w:cs="Times New Roman"/>
          <w:sz w:val="24"/>
          <w:szCs w:val="24"/>
          <w:lang w:eastAsia="bg-BG"/>
        </w:rPr>
        <w:t>Достъпът до първична извънболнична медицинска помощ (ПИМП) е гарантиран чрез задължението на изпълнителите на ПИМП да осигуряват постоянен денонощен достъп на здравноосигурените лица до медицинска помощ по един от начините посочен в Наредба №9 от 2019 г. за определяне на пакета от здравни дейности. За тази цел през  2024 г. са заплатени 18 355,6 хил. лв.</w:t>
      </w:r>
      <w:r w:rsidRPr="00AA5833">
        <w:rPr>
          <w:rFonts w:ascii="Times New Roman" w:eastAsia="Times New Roman" w:hAnsi="Times New Roman" w:cs="Times New Roman"/>
          <w:i/>
          <w:sz w:val="24"/>
          <w:szCs w:val="24"/>
          <w:lang w:eastAsia="bg-BG"/>
        </w:rPr>
        <w:t>*данните за денонощния достъп се отнасят за всички здравноосигурени лица (ЗОЛ), не само за децата.</w:t>
      </w:r>
    </w:p>
    <w:p w14:paraId="060FE941"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Посещение </w:t>
      </w:r>
      <w:r w:rsidRPr="00AA5833">
        <w:rPr>
          <w:rFonts w:ascii="Times New Roman" w:eastAsia="Times New Roman" w:hAnsi="Times New Roman" w:cs="Times New Roman"/>
          <w:bCs/>
          <w:sz w:val="24"/>
          <w:szCs w:val="24"/>
          <w:lang w:eastAsia="bg-BG"/>
        </w:rPr>
        <w:t>за осъществяване на здравни грижи за новородено до 6 месеца след изписване от лечебното заведение на изпълнителите на ПИМП през 2024 г.</w:t>
      </w:r>
      <w:r w:rsidRPr="00AA5833">
        <w:rPr>
          <w:rFonts w:ascii="Times New Roman" w:eastAsia="Times New Roman" w:hAnsi="Times New Roman" w:cs="Times New Roman"/>
          <w:sz w:val="24"/>
          <w:szCs w:val="24"/>
          <w:lang w:eastAsia="bg-BG"/>
        </w:rPr>
        <w:t xml:space="preserve"> от бюджета на НЗОК са заплатени 2,4 хил. лв. за 133 бр. прегледи.</w:t>
      </w:r>
    </w:p>
    <w:p w14:paraId="2B740AA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Заложените приоритетни направления и мерки в Плана за 2024 г. за изпълнението на Актуализираната Национална стратегия за демографско развитие на населението в Република България (2012 – 2030 г.) по направление „Профилактични прегледи за деца“ са спазени. </w:t>
      </w:r>
    </w:p>
    <w:p w14:paraId="1DC875D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Провеждането на профилактични прегледи и изследвания при децата по възрастови групи е с цел проследяване на физическото и психическо развитие на децата, както и ранно откриване на заболявания, което позволява взимането на своевременно мерки за тяхното лечение и предотвратяване на по-нататъшно им усложнение.</w:t>
      </w:r>
    </w:p>
    <w:p w14:paraId="2E5C96AA"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310CB307"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4F3CE10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6D914F9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1.3.2.5. Директна подкрепа за деца до 3-годишна възраст чрез предоставяне на ваучери за хранене от детски кухни</w:t>
      </w:r>
    </w:p>
    <w:p w14:paraId="7AA808D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B68BD0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Операцията се реализира в рамките на  Програмата за храни и основно материално подпомагане 2021 – 2027 година. Подпомагането се реализира на територията на цялата страна. По процедура „Детска кухня“ се предоставят ваучери за обедно детско хранене за деца от 10 месеца до тригодишна възраст от семейства, обект на социално подпомагане, с оглед насърчаване на рационален и здравословен хранителен режим. </w:t>
      </w:r>
      <w:r w:rsidRPr="00AA5833">
        <w:rPr>
          <w:rFonts w:ascii="Times New Roman" w:hAnsi="Times New Roman" w:cs="Times New Roman"/>
          <w:color w:val="000000"/>
          <w:sz w:val="24"/>
          <w:szCs w:val="24"/>
          <w:lang w:bidi="bg-BG"/>
        </w:rPr>
        <w:t xml:space="preserve">Фокусът е върху деца, които са обект на социално подпомагане – деца от домакинства с ниски доходи, деца с увреждания, деца, лишени от родителски грижи, деца, които живеят в лоши жилищни условия, в риск от изоставяне и др., за които не е осигурено хранене по друг ред. </w:t>
      </w:r>
      <w:r w:rsidRPr="00AA5833">
        <w:rPr>
          <w:rFonts w:ascii="Times New Roman" w:hAnsi="Times New Roman" w:cs="Times New Roman"/>
          <w:color w:val="000000"/>
          <w:sz w:val="24"/>
          <w:szCs w:val="24"/>
        </w:rPr>
        <w:t xml:space="preserve">Осигуряването на храна от детските кухни е безвъзмездно за децата от целевите групи. Размерът на предвиденото финансиране е 7 153 272 лв. до 2025 г., като се очаква за същият период да бъдат подкрепени най-малко 5000 деца. </w:t>
      </w:r>
    </w:p>
    <w:p w14:paraId="1C29B9E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2024 г. е осигурена подкрепа с ваучери за детска кухня на общо 954 деца на възраст от 10 месеца до 3 години от 28 общини.</w:t>
      </w:r>
    </w:p>
    <w:p w14:paraId="07CD710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2C62C056"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F76673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1.4. Утвърждаване на семейството като базов компонент на обществото и насърчаване на родителите за отглеждане на децата в семейна среда</w:t>
            </w:r>
          </w:p>
        </w:tc>
      </w:tr>
    </w:tbl>
    <w:p w14:paraId="637979C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4641E5F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МИНИСТЕРСТВО НА ВЪТРЕШНИТЕ РАБОТИ </w:t>
      </w:r>
    </w:p>
    <w:p w14:paraId="6921102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34764C17"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1.4.1. Закрила на децата от насилие, включително и насилие в интернет</w:t>
      </w:r>
    </w:p>
    <w:p w14:paraId="3951DB9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1462AD91" w14:textId="77777777" w:rsidR="00533926" w:rsidRPr="00AA5833" w:rsidRDefault="00533926" w:rsidP="00533926">
      <w:pPr>
        <w:spacing w:after="0" w:line="240" w:lineRule="auto"/>
        <w:jc w:val="both"/>
        <w:rPr>
          <w:rFonts w:ascii="Times New Roman" w:hAnsi="Times New Roman" w:cs="Times New Roman"/>
          <w:noProof/>
          <w:sz w:val="24"/>
          <w:szCs w:val="24"/>
        </w:rPr>
      </w:pPr>
      <w:r w:rsidRPr="00AA5833">
        <w:rPr>
          <w:rFonts w:ascii="Times New Roman" w:hAnsi="Times New Roman" w:cs="Times New Roman"/>
          <w:noProof/>
          <w:sz w:val="24"/>
          <w:szCs w:val="24"/>
        </w:rPr>
        <w:tab/>
        <w:t xml:space="preserve">Предвид нарастващите случаи на сексуално посегателство над деца в онлайн пространството и рисковете и заплахите, произтичащи от тях, правителството на </w:t>
      </w:r>
      <w:r w:rsidRPr="00AA5833">
        <w:rPr>
          <w:rFonts w:ascii="Times New Roman" w:hAnsi="Times New Roman" w:cs="Times New Roman"/>
          <w:noProof/>
          <w:sz w:val="24"/>
          <w:szCs w:val="24"/>
        </w:rPr>
        <w:lastRenderedPageBreak/>
        <w:t>Република България изработи и прие с Решение на Министерския съвет Национална програма за превенция на насилието и злоупотребата с деца (2023 – 2026 г.), която представлява своеобразна рамка за координация на действията. Усилията са насочени към създаване на бърз механизъм за взаимодействие с доставчиците на интернет услуги за филтриране на противоправно съдържание. Направени са промени в Наказателния кодекс в посока към увеличаване на наказанията за извършени престъпления срещу онлайн сексуална експлоатация на деца и разпространение на порнографски материали в интернет.</w:t>
      </w:r>
    </w:p>
    <w:p w14:paraId="28A94881" w14:textId="77777777" w:rsidR="00533926" w:rsidRPr="00AA5833" w:rsidRDefault="00533926" w:rsidP="00533926">
      <w:pPr>
        <w:spacing w:after="0" w:line="240" w:lineRule="auto"/>
        <w:contextualSpacing/>
        <w:jc w:val="both"/>
        <w:rPr>
          <w:rFonts w:ascii="Times New Roman" w:hAnsi="Times New Roman" w:cs="Times New Roman"/>
          <w:noProof/>
          <w:sz w:val="24"/>
          <w:szCs w:val="24"/>
        </w:rPr>
      </w:pPr>
      <w:r w:rsidRPr="00AA5833">
        <w:rPr>
          <w:rFonts w:ascii="Times New Roman" w:hAnsi="Times New Roman" w:cs="Times New Roman"/>
          <w:noProof/>
          <w:sz w:val="24"/>
          <w:szCs w:val="24"/>
        </w:rPr>
        <w:tab/>
        <w:t xml:space="preserve">За осигуряване на защита на правата на децата в Република България и подкрепа на децата в риск свидетелства и подписаният Меморандум за разбирателство за сътрудничество между МВР и УНИЦЕФ, заедно с работен план към него за периода 2023 – 2024 г., който потвърждава ангажимента на институциите във връзка с превенцията и закрилата на децата от онлайн сексуална експлоатация и злоупотреба. Основна цел на съвместната работа е гарантиране на правата на всички деца в Република България. </w:t>
      </w:r>
    </w:p>
    <w:p w14:paraId="014F3284" w14:textId="77777777" w:rsidR="00533926" w:rsidRPr="00AA5833" w:rsidRDefault="00533926" w:rsidP="00533926">
      <w:pPr>
        <w:spacing w:after="0" w:line="240" w:lineRule="auto"/>
        <w:contextualSpacing/>
        <w:jc w:val="both"/>
        <w:rPr>
          <w:rFonts w:ascii="Times New Roman" w:eastAsia="Calibri" w:hAnsi="Times New Roman" w:cs="Times New Roman"/>
          <w:noProof/>
          <w:sz w:val="24"/>
          <w:szCs w:val="24"/>
        </w:rPr>
      </w:pPr>
      <w:r w:rsidRPr="00AA5833">
        <w:rPr>
          <w:rFonts w:ascii="Times New Roman" w:eastAsia="Calibri" w:hAnsi="Times New Roman" w:cs="Times New Roman"/>
          <w:noProof/>
          <w:sz w:val="24"/>
          <w:szCs w:val="24"/>
        </w:rPr>
        <w:tab/>
        <w:t xml:space="preserve">ГДБОП си партнира с компетентните държавни институции и доставчици на хостинг услуги за сваляне при установяване на IP адреси от българското интернет пространство, като същите се докладват в съответната прокуратура и се предприемат действия за тяхното премахване, в т.ч. статии, публикации и мейли. </w:t>
      </w:r>
    </w:p>
    <w:p w14:paraId="5651A78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Най-често престъпленията срещу деца в интернет са свързани с разпространението на порнография и педофилия във виртуалната среда и сексуална експлоатация. Прогнозата е, че проблемът с този вид престъпна дейност (сексуалната експлоатация на деца под различните и форми – детска порнография, детска проституция, сексуално робство, секс-туризъм и трафик на хора) ще се задълбочава. Обуславя се от факта, че уеб-сайтовете, съдържащи материали със сексуална експлоатация и насилие над деца, през последните години се е увеличил. Децата често стават жертва на онлайн сексуално изнудване, потенциална сексуална експлоатация или на кибертормоз.</w:t>
      </w:r>
    </w:p>
    <w:p w14:paraId="1594BB04" w14:textId="77777777" w:rsidR="00533926" w:rsidRPr="00AA5833" w:rsidRDefault="00533926" w:rsidP="00533926">
      <w:pPr>
        <w:spacing w:after="0" w:line="240" w:lineRule="auto"/>
        <w:jc w:val="both"/>
        <w:rPr>
          <w:rFonts w:ascii="Times New Roman" w:hAnsi="Times New Roman" w:cs="Times New Roman"/>
          <w:noProof/>
          <w:sz w:val="24"/>
          <w:szCs w:val="24"/>
        </w:rPr>
      </w:pPr>
      <w:r w:rsidRPr="00AA5833">
        <w:rPr>
          <w:rFonts w:ascii="Times New Roman" w:hAnsi="Times New Roman" w:cs="Times New Roman"/>
          <w:sz w:val="24"/>
          <w:szCs w:val="24"/>
        </w:rPr>
        <w:tab/>
        <w:t xml:space="preserve">Служители от Главна дирекция „Борба с организираната престъпност“ (ГДБОП) – МВР изпълняват функции на национален експерт за Република България по </w:t>
      </w:r>
      <w:r w:rsidRPr="00AA5833">
        <w:rPr>
          <w:rFonts w:ascii="Times New Roman" w:hAnsi="Times New Roman" w:cs="Times New Roman"/>
          <w:noProof/>
          <w:color w:val="000000"/>
          <w:sz w:val="24"/>
          <w:szCs w:val="24"/>
        </w:rPr>
        <w:t xml:space="preserve">Европейската мултидисциплинарна платформа за сътрудничество, срещу заплахите от престъпността (EMPACT) </w:t>
      </w:r>
      <w:r w:rsidRPr="00AA5833">
        <w:rPr>
          <w:rFonts w:ascii="Times New Roman" w:hAnsi="Times New Roman" w:cs="Times New Roman"/>
          <w:sz w:val="24"/>
          <w:szCs w:val="24"/>
        </w:rPr>
        <w:t>за Европол по подприоритетна област „Онлайн сексуална експлоатация на деца“. Поддържат интернет страница htps://</w:t>
      </w:r>
      <w:hyperlink r:id="rId34" w:history="1">
        <w:r w:rsidRPr="00AA5833">
          <w:rPr>
            <w:rFonts w:ascii="Times New Roman" w:hAnsi="Times New Roman" w:cs="Times New Roman"/>
            <w:sz w:val="24"/>
            <w:szCs w:val="24"/>
          </w:rPr>
          <w:t>spasidete.bg</w:t>
        </w:r>
      </w:hyperlink>
      <w:r w:rsidRPr="00AA5833">
        <w:rPr>
          <w:rFonts w:ascii="Times New Roman" w:hAnsi="Times New Roman" w:cs="Times New Roman"/>
          <w:sz w:val="24"/>
          <w:szCs w:val="24"/>
        </w:rPr>
        <w:t xml:space="preserve">, свързана със системата за филтрация на интернет страници, разпространяващи материали с детска сексуална експлоатация, включени в списъка на Интерпол “Worst of” на територията на Република България. Осъществяват взаимодействие с Националния център за изчезнали и експлоатирани деца в САЩ (NECMEC), обмен и анализ на информация на постъпили доклади от доставчици на интернет услуги, </w:t>
      </w:r>
      <w:r w:rsidRPr="00AA5833">
        <w:rPr>
          <w:rFonts w:ascii="Times New Roman" w:hAnsi="Times New Roman" w:cs="Times New Roman"/>
          <w:noProof/>
          <w:sz w:val="24"/>
          <w:szCs w:val="24"/>
        </w:rPr>
        <w:t xml:space="preserve">свързани със сексуално насилие над деца (виртуално блудство и разпространение на порнографски материали с деца), в това число превантивни мерки за защитата на деца на територията на Република България и в чужбина.  </w:t>
      </w:r>
    </w:p>
    <w:p w14:paraId="05D746A6" w14:textId="77777777" w:rsidR="00533926" w:rsidRPr="00AA5833" w:rsidRDefault="00533926" w:rsidP="00533926">
      <w:pPr>
        <w:spacing w:after="0" w:line="240" w:lineRule="auto"/>
        <w:jc w:val="both"/>
        <w:rPr>
          <w:rFonts w:ascii="Times New Roman" w:hAnsi="Times New Roman" w:cs="Times New Roman"/>
          <w:noProof/>
          <w:sz w:val="24"/>
          <w:szCs w:val="24"/>
        </w:rPr>
      </w:pPr>
      <w:r w:rsidRPr="00AA5833">
        <w:rPr>
          <w:rFonts w:ascii="Times New Roman" w:hAnsi="Times New Roman" w:cs="Times New Roman"/>
          <w:sz w:val="24"/>
          <w:szCs w:val="24"/>
        </w:rPr>
        <w:tab/>
        <w:t xml:space="preserve">Служители на главната дирекция оказват съдействие в международни операции по постъпили сигнали от партньорски служби, свързани с български интернет потребители или чужди граждани, живущи на територията на страната. Взаимодействат активно с държавни и неправителствени организации, c предмет на дейност правата, принципите и мерките за закрила на децата – Държавна агенция за закрила на детето (ДАЗД), </w:t>
      </w:r>
      <w:r w:rsidRPr="00AA5833">
        <w:rPr>
          <w:rFonts w:ascii="Times New Roman" w:hAnsi="Times New Roman" w:cs="Times New Roman"/>
          <w:noProof/>
          <w:sz w:val="24"/>
          <w:szCs w:val="24"/>
        </w:rPr>
        <w:t>УНИЦЕФ</w:t>
      </w:r>
      <w:r w:rsidRPr="00AA5833">
        <w:rPr>
          <w:rFonts w:ascii="Times New Roman" w:hAnsi="Times New Roman" w:cs="Times New Roman"/>
          <w:sz w:val="24"/>
          <w:szCs w:val="24"/>
        </w:rPr>
        <w:t xml:space="preserve">, Национален център за безопасен интернет и други.  </w:t>
      </w:r>
    </w:p>
    <w:p w14:paraId="2EBDF8A4"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С цел повишаване на сигурността и безопасността на децата в интернет се осъществява сътрудничество с организации от правителствения и неправителствения сектор, сайтове за социални медии като Фейсбук, Туитър и др. При наличие на данни за престъпление от общ характер се предприемат незабавни действия за установяване, </w:t>
      </w:r>
      <w:r w:rsidRPr="00AA5833">
        <w:rPr>
          <w:rFonts w:ascii="Times New Roman" w:hAnsi="Times New Roman" w:cs="Times New Roman"/>
          <w:sz w:val="24"/>
          <w:szCs w:val="24"/>
        </w:rPr>
        <w:lastRenderedPageBreak/>
        <w:t xml:space="preserve">пресичане и документиране дейността на лица, извършващи сексуално насилие и експлоатация на деца онлайн. </w:t>
      </w:r>
    </w:p>
    <w:p w14:paraId="48F8771B" w14:textId="77777777" w:rsidR="00533926" w:rsidRPr="00AA5833" w:rsidRDefault="00533926" w:rsidP="00533926">
      <w:pPr>
        <w:spacing w:after="0" w:line="240" w:lineRule="auto"/>
        <w:jc w:val="both"/>
        <w:rPr>
          <w:rFonts w:ascii="Times New Roman" w:hAnsi="Times New Roman" w:cs="Times New Roman"/>
          <w:noProof/>
          <w:sz w:val="24"/>
          <w:szCs w:val="24"/>
        </w:rPr>
      </w:pPr>
      <w:r w:rsidRPr="00AA5833">
        <w:rPr>
          <w:rFonts w:ascii="Times New Roman" w:hAnsi="Times New Roman" w:cs="Times New Roman"/>
          <w:sz w:val="24"/>
          <w:szCs w:val="24"/>
        </w:rPr>
        <w:tab/>
        <w:t xml:space="preserve">Извършва се 24/7 мониторинг на интернет трафика на Република България, като над 85% от него се филтрира за незаконно съдържание. Ограничава се както умишлен, така и случаен достъп (особено от деца) на сайтове с порнографски материали. Блокират се сайтове и се пренасочват потребителите им към стоп страница с информация за законодателната рамка на престъплението. </w:t>
      </w:r>
      <w:r w:rsidRPr="00AA5833">
        <w:rPr>
          <w:rFonts w:ascii="Times New Roman" w:hAnsi="Times New Roman" w:cs="Times New Roman"/>
          <w:bCs/>
          <w:sz w:val="24"/>
          <w:szCs w:val="24"/>
        </w:rPr>
        <w:t xml:space="preserve">ГДБОП </w:t>
      </w:r>
      <w:r w:rsidRPr="00AA5833">
        <w:rPr>
          <w:rFonts w:ascii="Times New Roman" w:hAnsi="Times New Roman" w:cs="Times New Roman"/>
          <w:sz w:val="24"/>
          <w:szCs w:val="24"/>
        </w:rPr>
        <w:t>– МВР</w:t>
      </w:r>
      <w:r w:rsidRPr="00AA5833">
        <w:rPr>
          <w:rFonts w:ascii="Times New Roman" w:hAnsi="Times New Roman" w:cs="Times New Roman"/>
          <w:bCs/>
          <w:sz w:val="24"/>
          <w:szCs w:val="24"/>
        </w:rPr>
        <w:t xml:space="preserve"> си </w:t>
      </w:r>
      <w:r w:rsidRPr="00AA5833">
        <w:rPr>
          <w:rFonts w:ascii="Times New Roman" w:hAnsi="Times New Roman" w:cs="Times New Roman"/>
          <w:noProof/>
          <w:sz w:val="24"/>
          <w:szCs w:val="24"/>
        </w:rPr>
        <w:t>взаимодейства</w:t>
      </w:r>
      <w:r w:rsidRPr="00AA5833">
        <w:rPr>
          <w:rFonts w:ascii="Times New Roman" w:hAnsi="Times New Roman" w:cs="Times New Roman"/>
          <w:bCs/>
          <w:sz w:val="24"/>
          <w:szCs w:val="24"/>
        </w:rPr>
        <w:t xml:space="preserve"> </w:t>
      </w:r>
      <w:r w:rsidRPr="00AA5833">
        <w:rPr>
          <w:rFonts w:ascii="Times New Roman" w:hAnsi="Times New Roman" w:cs="Times New Roman"/>
          <w:noProof/>
          <w:sz w:val="24"/>
          <w:szCs w:val="24"/>
        </w:rPr>
        <w:t xml:space="preserve">с доставчиците на интернет услуги </w:t>
      </w:r>
      <w:r w:rsidRPr="00AA5833">
        <w:rPr>
          <w:rFonts w:ascii="Times New Roman" w:hAnsi="Times New Roman" w:cs="Times New Roman"/>
          <w:bCs/>
          <w:sz w:val="24"/>
          <w:szCs w:val="24"/>
        </w:rPr>
        <w:t xml:space="preserve">по създаване на бърз </w:t>
      </w:r>
      <w:r w:rsidRPr="00AA5833">
        <w:rPr>
          <w:rFonts w:ascii="Times New Roman" w:hAnsi="Times New Roman" w:cs="Times New Roman"/>
          <w:noProof/>
          <w:sz w:val="24"/>
          <w:szCs w:val="24"/>
        </w:rPr>
        <w:t>механизъм за филтриране на противоправното съдържание в интернет.</w:t>
      </w:r>
    </w:p>
    <w:p w14:paraId="7EFE243E"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Създадена е възможност за подаване на директен сигнал към ГДБОП на страници </w:t>
      </w:r>
      <w:hyperlink r:id="rId35" w:history="1">
        <w:r w:rsidRPr="00AA5833">
          <w:rPr>
            <w:rFonts w:ascii="Times New Roman" w:hAnsi="Times New Roman" w:cs="Times New Roman"/>
            <w:color w:val="0563C1" w:themeColor="hyperlink"/>
            <w:sz w:val="24"/>
            <w:szCs w:val="24"/>
            <w:u w:val="single"/>
          </w:rPr>
          <w:t>www.cybercrime.bg</w:t>
        </w:r>
      </w:hyperlink>
      <w:r w:rsidRPr="00AA5833">
        <w:rPr>
          <w:rFonts w:ascii="Times New Roman" w:hAnsi="Times New Roman" w:cs="Times New Roman"/>
          <w:sz w:val="24"/>
          <w:szCs w:val="24"/>
        </w:rPr>
        <w:t xml:space="preserve"> и </w:t>
      </w:r>
      <w:hyperlink r:id="rId36" w:history="1">
        <w:r w:rsidRPr="00AA5833">
          <w:rPr>
            <w:rFonts w:ascii="Times New Roman" w:hAnsi="Times New Roman" w:cs="Times New Roman"/>
            <w:color w:val="0563C1" w:themeColor="hyperlink"/>
            <w:sz w:val="24"/>
            <w:szCs w:val="24"/>
            <w:u w:val="single"/>
          </w:rPr>
          <w:t>www.gdbop.bg</w:t>
        </w:r>
      </w:hyperlink>
      <w:r w:rsidRPr="00AA5833">
        <w:rPr>
          <w:rFonts w:ascii="Times New Roman" w:hAnsi="Times New Roman" w:cs="Times New Roman"/>
          <w:sz w:val="24"/>
          <w:szCs w:val="24"/>
        </w:rPr>
        <w:t xml:space="preserve">, администрирани от експерти в отдел „Киберпрестъпност“. </w:t>
      </w:r>
    </w:p>
    <w:p w14:paraId="76C14BC4" w14:textId="77777777" w:rsidR="00533926" w:rsidRPr="00AA5833" w:rsidRDefault="00533926" w:rsidP="00533926">
      <w:pPr>
        <w:spacing w:after="0" w:line="240" w:lineRule="auto"/>
        <w:jc w:val="both"/>
        <w:rPr>
          <w:rFonts w:ascii="Times New Roman" w:hAnsi="Times New Roman" w:cs="Times New Roman"/>
          <w:spacing w:val="3"/>
          <w:sz w:val="24"/>
          <w:szCs w:val="24"/>
          <w:lang w:eastAsia="ja-JP"/>
        </w:rPr>
      </w:pPr>
      <w:r w:rsidRPr="00AA5833">
        <w:rPr>
          <w:rFonts w:ascii="Times New Roman" w:hAnsi="Times New Roman" w:cs="Times New Roman"/>
          <w:sz w:val="24"/>
          <w:szCs w:val="24"/>
        </w:rPr>
        <w:tab/>
        <w:t xml:space="preserve">Изпълняват се конкретни мерки за повишаване на обществената осведоменост (запознаване с рисковете и опасностите, които крие интернет) чрез превантивни и информационни кампании, срещи, обучения и семинари с ученици, родители и учители. </w:t>
      </w:r>
      <w:r w:rsidRPr="00AA5833">
        <w:rPr>
          <w:rFonts w:ascii="Times New Roman" w:hAnsi="Times New Roman" w:cs="Times New Roman"/>
          <w:noProof/>
          <w:sz w:val="24"/>
          <w:szCs w:val="24"/>
        </w:rPr>
        <w:t xml:space="preserve">Разискват се теми, свързани с </w:t>
      </w:r>
      <w:r w:rsidRPr="00AA5833">
        <w:rPr>
          <w:rFonts w:ascii="Times New Roman" w:eastAsia="Calibri" w:hAnsi="Times New Roman" w:cs="Times New Roman"/>
          <w:sz w:val="24"/>
          <w:szCs w:val="24"/>
        </w:rPr>
        <w:t xml:space="preserve">безопасността в онлайн пространството, </w:t>
      </w:r>
      <w:r w:rsidRPr="00AA5833">
        <w:rPr>
          <w:rFonts w:ascii="Times New Roman" w:hAnsi="Times New Roman" w:cs="Times New Roman"/>
          <w:noProof/>
          <w:sz w:val="24"/>
          <w:szCs w:val="24"/>
        </w:rPr>
        <w:t xml:space="preserve">като </w:t>
      </w:r>
      <w:r w:rsidRPr="00AA5833">
        <w:rPr>
          <w:rFonts w:ascii="Times New Roman" w:eastAsia="Calibri" w:hAnsi="Times New Roman" w:cs="Times New Roman"/>
          <w:sz w:val="24"/>
          <w:szCs w:val="24"/>
        </w:rPr>
        <w:t xml:space="preserve">през 2024 г. са проведени 97 лекции. </w:t>
      </w:r>
      <w:r w:rsidRPr="00AA5833">
        <w:rPr>
          <w:rFonts w:ascii="Times New Roman" w:hAnsi="Times New Roman" w:cs="Times New Roman"/>
          <w:noProof/>
          <w:sz w:val="24"/>
          <w:szCs w:val="24"/>
        </w:rPr>
        <w:t>Премахнати са 63 912</w:t>
      </w:r>
      <w:r w:rsidRPr="00AA5833">
        <w:rPr>
          <w:rFonts w:ascii="Times New Roman" w:hAnsi="Times New Roman" w:cs="Times New Roman"/>
          <w:b/>
          <w:noProof/>
          <w:sz w:val="24"/>
          <w:szCs w:val="24"/>
        </w:rPr>
        <w:t xml:space="preserve"> </w:t>
      </w:r>
      <w:r w:rsidRPr="00AA5833">
        <w:rPr>
          <w:rFonts w:ascii="Times New Roman" w:hAnsi="Times New Roman" w:cs="Times New Roman"/>
          <w:noProof/>
          <w:sz w:val="24"/>
          <w:szCs w:val="24"/>
        </w:rPr>
        <w:t xml:space="preserve">материала с незаконно съдържание, представляващи детска експлоатация. </w:t>
      </w:r>
      <w:r w:rsidRPr="00AA5833">
        <w:rPr>
          <w:rFonts w:ascii="Times New Roman" w:hAnsi="Times New Roman" w:cs="Times New Roman"/>
          <w:sz w:val="24"/>
          <w:szCs w:val="24"/>
        </w:rPr>
        <w:t xml:space="preserve">По сигнали на „Националния център за безопасен интернет“ и в резултат от ползотворното сътрудничество, от ГДБОП са свалени над 35 000 линка, съдържащи сексуална злоупотреба с деца, хоствани на територията на Република България. </w:t>
      </w:r>
      <w:r w:rsidRPr="00AA5833">
        <w:rPr>
          <w:rFonts w:ascii="Times New Roman" w:hAnsi="Times New Roman" w:cs="Times New Roman"/>
          <w:noProof/>
          <w:sz w:val="24"/>
          <w:szCs w:val="24"/>
        </w:rPr>
        <w:t xml:space="preserve">През миналата годината служители са участвали в разработването на </w:t>
      </w:r>
      <w:r w:rsidRPr="00AA5833">
        <w:rPr>
          <w:rFonts w:ascii="Times New Roman" w:hAnsi="Times New Roman" w:cs="Times New Roman"/>
          <w:spacing w:val="3"/>
          <w:sz w:val="24"/>
          <w:szCs w:val="24"/>
          <w:lang w:eastAsia="ja-JP"/>
        </w:rPr>
        <w:t>международен проект „Heroes“, чрез който ще бъде разработен софтуер за противодействие на сексуалната експлоатация на деца в интернет.</w:t>
      </w:r>
    </w:p>
    <w:p w14:paraId="7084981C" w14:textId="77777777" w:rsidR="00533926" w:rsidRPr="00AA5833" w:rsidRDefault="00533926" w:rsidP="00533926">
      <w:pPr>
        <w:spacing w:after="0" w:line="240" w:lineRule="auto"/>
        <w:jc w:val="both"/>
        <w:rPr>
          <w:rFonts w:ascii="Times New Roman" w:hAnsi="Times New Roman" w:cs="Times New Roman"/>
          <w:spacing w:val="3"/>
          <w:sz w:val="24"/>
          <w:szCs w:val="24"/>
          <w:lang w:eastAsia="ja-JP"/>
        </w:rPr>
      </w:pPr>
    </w:p>
    <w:p w14:paraId="29CC586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ДЪРЖАВНА АГЕНЦИЯ ЗА ЗАКРИЛА НА ДЕТЕТО</w:t>
      </w:r>
    </w:p>
    <w:p w14:paraId="1F67D5A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6D7C8C5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color w:val="00B0F0"/>
          <w:sz w:val="24"/>
          <w:szCs w:val="24"/>
          <w:lang w:eastAsia="bg-BG"/>
        </w:rPr>
        <w:tab/>
      </w:r>
      <w:r w:rsidRPr="00AA5833">
        <w:rPr>
          <w:rFonts w:ascii="Times New Roman" w:eastAsia="Times New Roman" w:hAnsi="Times New Roman" w:cs="Times New Roman"/>
          <w:sz w:val="24"/>
          <w:szCs w:val="24"/>
          <w:lang w:eastAsia="bg-BG"/>
        </w:rPr>
        <w:t>С подкрепата на всички министри, органи за закрила на детето, ДАЗД организира и реализира Национална информационна кампания за превенция на насилието и злоупотребата с деца, която цели гарантиране правото на закрила от насилие на всички деца и особено на деца във висок риск от уязвимост, мобилизиране на общността и промяна в обществените нагласи.</w:t>
      </w:r>
    </w:p>
    <w:p w14:paraId="5E2188B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Националната кампания е под мотото „Бъди смел, бъди добър!“. Националната кампания за превенция на насилието и злоупотребата с деца е официално открита с пресконференция на 17 септември 2024 г. Дейностите в кампанията, реализирани в партньорство с отговорни министерства, институции и общините, са: детски конкурс за есе и фотография/колаж на тема срещу насилието на тема „Светът е по-добро място без насилие“; спортни активности на открито; засаждане на дърво във всяка една община с послание на децата срещу насилието и осветяване на знакови сгради в общините под наслов за борбата срещу насилието. </w:t>
      </w:r>
    </w:p>
    <w:p w14:paraId="47862EC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На 30 септември 2024 г. с активното съдействие на общините и спортните клубове и организации са проведени спортни</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събития на територията на цялата страна. От ДАЗД са подсигурени специални обозначителни знаци за участващите деца и поощрителни символични награди. Реализирани са и дейности за засаждане на дърво във всяка община с послание на децата срещу насилието и осветяване на знакови сгради под наслов за борбата срещу насилието. Проведен е и детски конкурс за есе и фотография/колаж на тема срещу насилието на тема „Светът е по-добро място без насилие“ със 720 творби. Създадени са видеопослания от известни личности към деца за насилието и вредни последици, за добротата, които със съдействието на Столична община се излъчват в Метрополитен през месец декември 2024 г. При изпълнението на кампанията е отчетена </w:t>
      </w:r>
      <w:r w:rsidRPr="00AA5833">
        <w:rPr>
          <w:rFonts w:ascii="Times New Roman" w:eastAsia="Times New Roman" w:hAnsi="Times New Roman" w:cs="Times New Roman"/>
          <w:sz w:val="24"/>
          <w:szCs w:val="24"/>
          <w:lang w:eastAsia="bg-BG"/>
        </w:rPr>
        <w:lastRenderedPageBreak/>
        <w:t>голяма активност от стана на партньорите и децата. В дейностите се включиха около 15 720 деца и почти всички общини в Република България.</w:t>
      </w:r>
    </w:p>
    <w:p w14:paraId="01BDED9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6E4FF35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0C377A19"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4753D6B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1.4.2. Подпомагане на децата на военнослужещите, загинали при или по повод изпълнение на военната служба по време на коледните и/или великденските празници и/или при откриване на учебната година, съвместно с фондация „Деца на Българската армия“</w:t>
      </w:r>
    </w:p>
    <w:p w14:paraId="7660145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EF88DB1" w14:textId="77777777" w:rsidR="00533926" w:rsidRPr="00AA5833" w:rsidRDefault="00533926" w:rsidP="00533926">
      <w:pPr>
        <w:spacing w:after="0" w:line="240" w:lineRule="auto"/>
        <w:ind w:firstLine="720"/>
        <w:jc w:val="both"/>
        <w:rPr>
          <w:rFonts w:ascii="Times New Roman" w:hAnsi="Times New Roman" w:cs="Times New Roman"/>
          <w:b/>
          <w:sz w:val="24"/>
          <w:szCs w:val="24"/>
        </w:rPr>
      </w:pPr>
      <w:r w:rsidRPr="00AA5833">
        <w:rPr>
          <w:rFonts w:ascii="Times New Roman" w:hAnsi="Times New Roman" w:cs="Times New Roman"/>
          <w:sz w:val="24"/>
          <w:szCs w:val="24"/>
        </w:rPr>
        <w:t xml:space="preserve">В изпълнение на чл. 13, ал. 1 от Наредба № Н-1 от 31.01.2024 г. за условията и реда за подпомагане с парични средства на лицата по чл. 226з и чл. 298а, ал. 1 от Закона за отбраната и въоръжените сили на Република България (ЗОВСРБ), на свое заседание №11 от 29.11.2024 г. Комисията по материално подпомагане при Министерството на отбраната отпусна допълнително еднократни помощи по случай коледните и новогодишни празници на </w:t>
      </w:r>
      <w:r w:rsidRPr="00AA5833">
        <w:rPr>
          <w:rFonts w:ascii="Times New Roman" w:hAnsi="Times New Roman" w:cs="Times New Roman"/>
          <w:b/>
          <w:sz w:val="24"/>
          <w:szCs w:val="24"/>
        </w:rPr>
        <w:t>7</w:t>
      </w:r>
      <w:r w:rsidRPr="00AA5833">
        <w:rPr>
          <w:rFonts w:ascii="Times New Roman" w:hAnsi="Times New Roman" w:cs="Times New Roman"/>
          <w:sz w:val="24"/>
          <w:szCs w:val="24"/>
        </w:rPr>
        <w:t xml:space="preserve"> </w:t>
      </w:r>
      <w:r w:rsidRPr="00AA5833">
        <w:rPr>
          <w:rFonts w:ascii="Times New Roman" w:hAnsi="Times New Roman" w:cs="Times New Roman"/>
          <w:b/>
          <w:sz w:val="24"/>
          <w:szCs w:val="24"/>
        </w:rPr>
        <w:t>деца</w:t>
      </w:r>
      <w:r w:rsidRPr="00AA5833">
        <w:rPr>
          <w:rFonts w:ascii="Times New Roman" w:hAnsi="Times New Roman" w:cs="Times New Roman"/>
          <w:sz w:val="24"/>
          <w:szCs w:val="24"/>
        </w:rPr>
        <w:t xml:space="preserve"> на военнослужещи, загинали при или по повод изпълнение на военната служба, по 2500 лв. за всяко от тях, общо в размер на 17 500 лв.</w:t>
      </w:r>
    </w:p>
    <w:p w14:paraId="00609B8B"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53BC79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ИЗСЛЕДВАНЕ НА НАСЕЛЕНИЕТО И ЧОВЕКА – БАН</w:t>
      </w:r>
    </w:p>
    <w:p w14:paraId="31659AA5"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21EA6E2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1.4.3. Проект „Кохортен анализ на брачността в България“ – 2023-2024 г., ръководител гл. ас. С. Моралийска-Николова </w:t>
      </w:r>
    </w:p>
    <w:p w14:paraId="3990EC1E"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07BF10D8" w14:textId="77777777" w:rsidR="00BB5132" w:rsidRPr="00AA5833" w:rsidRDefault="00BB5132" w:rsidP="00BB5132">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 базата на периоден анализ на брачността е идентифицирана промяна в брачния модел в периода след 1990 г. в България и стартирането на процес на отлагане на сключването на първи брак за българските жени и мъже. В кохортен аспект въз основа на данните от последните три преброявания в Р България са изчислени вероятности за преход между основните брачни състояния по пол – неженен/а, женен/омъжена, вдовец/а, разведен/а. От изчислената матрица на вероятностите за преход са построени мултистатусни таблици на брачност за 2001, 2011, 2021 г. Те представляват историята на синтетична кохорта жени/мъже, каквато биха преживели при наблюдавания през съответната година модел на брачност и разводимост. В създадения мултистатусен модел на населението по семейно положение е отчетена смъртността. От мултистатусните таблици за брачност са извлечени обобщени показатели, характеризиращи режима на брачност в страната. Получените специфични данни за брачността от своя страна са в основата на изчисляването на редица неконвенционални показатели за процеса в кохортен аспект.</w:t>
      </w:r>
    </w:p>
    <w:p w14:paraId="47F5EF0F" w14:textId="77777777" w:rsidR="00BB5132" w:rsidRPr="00AA5833" w:rsidRDefault="00BB5132" w:rsidP="00533926">
      <w:pPr>
        <w:spacing w:after="0" w:line="240" w:lineRule="auto"/>
        <w:jc w:val="both"/>
        <w:rPr>
          <w:rFonts w:ascii="Times New Roman" w:eastAsia="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0D6300C0"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40E0DBF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Направление 2 – Подобряване на репродуктивното здраве на населението </w:t>
            </w:r>
          </w:p>
        </w:tc>
      </w:tr>
    </w:tbl>
    <w:p w14:paraId="2A2088D0" w14:textId="77777777" w:rsidR="00533926" w:rsidRPr="00AA5833" w:rsidRDefault="00533926" w:rsidP="00533926">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04F96AD"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D2D5CD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2.1. Подобряване на грижите за репродуктивното здраве на жените и мъжете. Поддържане на добро здравно състояние на бременните жени и майките</w:t>
            </w:r>
          </w:p>
        </w:tc>
      </w:tr>
    </w:tbl>
    <w:p w14:paraId="585413E8" w14:textId="77777777" w:rsidR="00533926" w:rsidRPr="00AA5833" w:rsidRDefault="00533926" w:rsidP="00533926">
      <w:pPr>
        <w:spacing w:after="0" w:line="240" w:lineRule="auto"/>
        <w:ind w:firstLine="709"/>
        <w:jc w:val="both"/>
        <w:rPr>
          <w:rFonts w:ascii="Times New Roman" w:eastAsia="Times New Roman" w:hAnsi="Times New Roman" w:cs="Times New Roman"/>
          <w:b/>
          <w:color w:val="000000"/>
          <w:sz w:val="24"/>
          <w:szCs w:val="24"/>
          <w:lang w:eastAsia="bg-BG"/>
        </w:rPr>
      </w:pPr>
    </w:p>
    <w:p w14:paraId="2C8C99C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28F5243E" w14:textId="77777777" w:rsidR="00533926" w:rsidRPr="00AA5833" w:rsidRDefault="00533926" w:rsidP="00533926">
      <w:pPr>
        <w:spacing w:after="0" w:line="240" w:lineRule="auto"/>
        <w:jc w:val="center"/>
        <w:rPr>
          <w:rFonts w:ascii="Times New Roman" w:eastAsia="Times New Roman" w:hAnsi="Times New Roman" w:cs="Times New Roman"/>
          <w:b/>
          <w:color w:val="000000"/>
          <w:sz w:val="24"/>
          <w:szCs w:val="24"/>
          <w:lang w:eastAsia="bg-BG"/>
        </w:rPr>
      </w:pPr>
    </w:p>
    <w:p w14:paraId="5F7C1F0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2.1.1. Осигуряване дейността на Здравно-консултативните центрове за майчино и детско здраве в изпълнение на дейности по Национална програма за подобряване на майчиното и детско здраве 2021 – 2030 г. </w:t>
      </w:r>
    </w:p>
    <w:p w14:paraId="37BF852C" w14:textId="77777777" w:rsidR="00533926" w:rsidRPr="00AA5833" w:rsidRDefault="00533926" w:rsidP="00533926">
      <w:pPr>
        <w:spacing w:after="0" w:line="240" w:lineRule="auto"/>
        <w:ind w:firstLine="709"/>
        <w:jc w:val="both"/>
        <w:rPr>
          <w:rFonts w:ascii="Times New Roman" w:eastAsia="Times New Roman" w:hAnsi="Times New Roman" w:cs="Times New Roman"/>
          <w:b/>
          <w:color w:val="000000"/>
          <w:sz w:val="24"/>
          <w:szCs w:val="24"/>
          <w:lang w:eastAsia="bg-BG"/>
        </w:rPr>
      </w:pPr>
    </w:p>
    <w:p w14:paraId="4964A7D9" w14:textId="77777777" w:rsidR="00BB5132"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lastRenderedPageBreak/>
        <w:tab/>
        <w:t>В 31 Здравно-консултативни центъра за майчино и детско здраве, разкрити във всички областни градове, лекари, психолози и социални работници осигуряват комплексното медицинско наблюдение на деца с увреждания и хронични заболявания, бременни с повишен медицински риск, с патология на бременността или наличие на хронични заболявания и увреждания. Чрез ЗКЦ се осигуряват здравно-информационни и здравно-обучителни дейности, специализирани консултации от медицински специалисти, домашни посещения на недоносени д</w:t>
      </w:r>
    </w:p>
    <w:p w14:paraId="358818E2"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 xml:space="preserve">еца до 1 година и на деца с увреждания и хронични заболявания, медицинска и психо-социална рехабилитация, включително превенция на изоставяне на деца. На здравно неосигурените бременни е осигурена възможност за допълнителни консултации при наличие на заболявания, възникнали по време на бременността, в т.ч. допълнителен преглед от специалист по акушерство и гинекология освен прегледът, по реда Наредба №26/2007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w:t>
      </w:r>
    </w:p>
    <w:p w14:paraId="412F62E7"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ab/>
        <w:t>През 2024 г. са извършени 5701 медицински консултации и домашни посещения, от които 2456 консултации на деца с увреждания, хронични заболявания и недоносени деца; 3078 консултации при бременни жени и родилки. Извършени са 1219 допълнителни прегледа от специалист по акушерство и гинекология. Разходите по Националната програма за подобряване на майчиното и детско здраве са в рамките на утвърдения за 2024 г. бюджет на Министерство на здравеопазването.</w:t>
      </w:r>
    </w:p>
    <w:p w14:paraId="51F218B9"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ab/>
        <w:t>Мярката е изпълнена.</w:t>
      </w:r>
    </w:p>
    <w:p w14:paraId="4FAB651F" w14:textId="77777777" w:rsidR="00533926" w:rsidRPr="00AA5833" w:rsidRDefault="00533926" w:rsidP="00533926">
      <w:pPr>
        <w:spacing w:after="0" w:line="240" w:lineRule="auto"/>
        <w:ind w:firstLine="709"/>
        <w:jc w:val="both"/>
        <w:rPr>
          <w:rFonts w:ascii="Times New Roman" w:eastAsia="Times New Roman" w:hAnsi="Times New Roman" w:cs="Times New Roman"/>
          <w:b/>
          <w:color w:val="000000"/>
          <w:sz w:val="24"/>
          <w:szCs w:val="24"/>
          <w:lang w:eastAsia="bg-BG"/>
        </w:rPr>
      </w:pPr>
    </w:p>
    <w:p w14:paraId="7D53300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7B66473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DC81979"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2.1.2. Осигуряване на медицински грижи за бременни и родилки. Наблюдение по програма „Майчино здравеопазване“ в извънболничната медицинска помощ (ИМП)</w:t>
      </w:r>
    </w:p>
    <w:p w14:paraId="20860BDA"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51817C5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Наблюдение по програма „Майчино здравеопазване“ в извънболничната медицинска помощ (ИМП) – от 01.01.2024 г. до 31.12.2024 г., се извършва от общопрактикуващ лекар или от лекар специалист по „Акушерство и гинекология“, по желание на бременната, съгласно Приложение №12 към НРД за МД 2023 – 2025 г. „Дейности на ОПЛ по имунопрофилактика, програма „Детско здравеопазване“, профилактични прегледи на ЗОЛ над 18 години, формиране на групи от лица с рискови фактори за развитие на заболяване при ЗОЛ над 18 години, профилактични дейности при ЗОЛ над 18 години с рискови фактори за развитие на заболяване и програма „Майчино здравеопазване“ или от лекар със специалност „Акушерство и гинекология“ по Приложение №14 към НРД за МД 2023 – 2025 г. „Дейности на лекаря специалист по „Педиатрия“ по програма „Детско здравеопазване“, на лекаря специалист по „Акушерство и гинекология“ по програма „Майчино здравеопазване“ и на лекаря специалист по профилактика на ЗОЛ над 18 години с рискови фактори за развитие на заболяване“.</w:t>
      </w:r>
      <w:r w:rsidRPr="00AA5833">
        <w:rPr>
          <w:rFonts w:ascii="Times New Roman" w:hAnsi="Times New Roman" w:cs="Times New Roman"/>
          <w:sz w:val="24"/>
          <w:szCs w:val="24"/>
        </w:rPr>
        <w:t xml:space="preserve"> </w:t>
      </w:r>
    </w:p>
    <w:p w14:paraId="6F8B0C42"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Бременните жени имат право да направят личен избор кой лекар ще наблюдава бременността им, ще провежда прегледите им и ще назначава необходимите изследвания през периода на бременността. </w:t>
      </w:r>
    </w:p>
    <w:p w14:paraId="44624234"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eastAsia="Times New Roman" w:hAnsi="Times New Roman" w:cs="Times New Roman"/>
          <w:sz w:val="24"/>
          <w:szCs w:val="24"/>
          <w:lang w:eastAsia="bg-BG"/>
        </w:rPr>
        <w:t>ОПЛ наблюдава бременните жени по програма „Майчино здравеопазване“ само при нормална бременност, а при рискова бременност наблюдението се провежда от лекар специалист по акушерство и гинекология.</w:t>
      </w:r>
      <w:r w:rsidRPr="00AA5833">
        <w:rPr>
          <w:rFonts w:ascii="Times New Roman" w:hAnsi="Times New Roman" w:cs="Times New Roman"/>
          <w:sz w:val="24"/>
          <w:szCs w:val="24"/>
        </w:rPr>
        <w:t xml:space="preserve"> </w:t>
      </w:r>
    </w:p>
    <w:p w14:paraId="0892930B" w14:textId="77777777" w:rsidR="00533926" w:rsidRPr="00AA5833" w:rsidRDefault="00533926" w:rsidP="00533926">
      <w:pPr>
        <w:spacing w:after="0" w:line="240" w:lineRule="auto"/>
        <w:jc w:val="both"/>
        <w:rPr>
          <w:rFonts w:ascii="Times New Roman" w:hAnsi="Times New Roman"/>
          <w:b/>
          <w:sz w:val="24"/>
          <w:szCs w:val="24"/>
          <w:lang w:eastAsia="bg-BG"/>
        </w:rPr>
      </w:pPr>
      <w:r w:rsidRPr="00AA5833">
        <w:rPr>
          <w:rFonts w:ascii="Times New Roman" w:hAnsi="Times New Roman"/>
          <w:sz w:val="24"/>
          <w:szCs w:val="24"/>
        </w:rPr>
        <w:lastRenderedPageBreak/>
        <w:tab/>
      </w:r>
      <w:r w:rsidRPr="00AA5833">
        <w:rPr>
          <w:rFonts w:ascii="Times New Roman" w:hAnsi="Times New Roman"/>
          <w:sz w:val="24"/>
          <w:szCs w:val="24"/>
          <w:lang w:eastAsia="bg-BG"/>
        </w:rPr>
        <w:t xml:space="preserve">При рискова бременност (ако жената е над 35- или под 20-годишна възраст; или има кръвно-групова несъвместимост с биологичния баща (по АБО или Резус); или е бременна с риск от развитие на диабет: предишно раждане на едър плод, предишно мъртво раждане, семейна обремененост с диабет, предходящо нарушение на въглехидратния толеранс, раждане на дете с аномалии, наличие на глюкозурия-възраст над 25 години, повишена кр. захар над 6.5 ммол/л; или с друг риск, произтичащ от външни фактори (обезитас, недохранване, фамилна обремененост, обременена акушерска анамнеза, проблеми от социално естество и др.), други външни фактори (йонизиращи лъчи, вибрации, медикаменти, контакт с причинители на инфекциозни заболявания, тежка работа и др.), наблюдението се извършва само от лекар със специалност по акушерство и гинекология. </w:t>
      </w:r>
    </w:p>
    <w:p w14:paraId="7A1FD1C7" w14:textId="77777777" w:rsidR="00533926" w:rsidRPr="00AA5833" w:rsidRDefault="00533926" w:rsidP="00533926">
      <w:pPr>
        <w:spacing w:after="0" w:line="240" w:lineRule="auto"/>
        <w:ind w:firstLine="708"/>
        <w:jc w:val="both"/>
        <w:rPr>
          <w:rFonts w:ascii="Times New Roman" w:hAnsi="Times New Roman"/>
          <w:b/>
          <w:sz w:val="24"/>
          <w:szCs w:val="24"/>
          <w:lang w:eastAsia="bg-BG"/>
        </w:rPr>
      </w:pPr>
      <w:r w:rsidRPr="00AA5833">
        <w:rPr>
          <w:rFonts w:ascii="Times New Roman" w:hAnsi="Times New Roman"/>
          <w:sz w:val="24"/>
          <w:szCs w:val="24"/>
          <w:lang w:eastAsia="bg-BG"/>
        </w:rPr>
        <w:t xml:space="preserve">Жената има право да смени акушер-гинеколога, ако не е доволна от оказаната помощ, като за целта личният лекар издава необходимото медицинско направление. </w:t>
      </w:r>
    </w:p>
    <w:p w14:paraId="31BFB5C1" w14:textId="77777777" w:rsidR="00533926" w:rsidRPr="00AA5833" w:rsidRDefault="00533926" w:rsidP="00533926">
      <w:pPr>
        <w:spacing w:after="0" w:line="240" w:lineRule="auto"/>
        <w:ind w:firstLine="709"/>
        <w:jc w:val="both"/>
        <w:rPr>
          <w:rFonts w:ascii="Times New Roman" w:hAnsi="Times New Roman"/>
          <w:sz w:val="24"/>
          <w:szCs w:val="24"/>
          <w:lang w:eastAsia="bg-BG"/>
        </w:rPr>
      </w:pPr>
      <w:r w:rsidRPr="00AA5833">
        <w:rPr>
          <w:rFonts w:ascii="Times New Roman" w:eastAsia="Times New Roman" w:hAnsi="Times New Roman" w:cs="Times New Roman"/>
          <w:sz w:val="24"/>
          <w:szCs w:val="24"/>
          <w:lang w:eastAsia="bg-BG"/>
        </w:rPr>
        <w:t xml:space="preserve">В наблюдението на бременността има задължителни лабораторни изследвания, които трябва да се извършат в различните срокове на бременността: </w:t>
      </w:r>
      <w:r w:rsidRPr="00AA5833">
        <w:rPr>
          <w:rFonts w:ascii="Times New Roman" w:hAnsi="Times New Roman"/>
          <w:sz w:val="24"/>
          <w:szCs w:val="24"/>
          <w:lang w:eastAsia="bg-BG"/>
        </w:rPr>
        <w:t xml:space="preserve">пълна кръвна картина (хемоглобин, еритроцити, левкоцити, хематокрит, MCV, MCH, СУЕ); изследване на кръвна захар; урина (седимент, уробилиноген, кетони) – един път при първо посещение, и по един път в петия и осмия лунарен месец; определяне на кръвна група и Rh-фактор – един път – в I-ви триместър (или при първо посещение); изследване за сифилис и хепатит В (НвS Ag) и хепатит С /anti-HCV/, а при съгласие на бременната – и за HIV, ехографски преглед за фетална морфология – еднократно, както и акушерска ехография – 4 пъти за периода на бременността: един път – 4-10 г. с.; един път – 11-13+6 г. с.; един път – 18-23+6 г. с.; а при рискова бременност – на жени над 35-годишна възраст, се назначават две допълнителни ехографии, а при жени под 20-годишна възраст и кръвно-групова несъвместимост с биологичния баща (по АБО или Резус), се назначава една допълнителна ехография. </w:t>
      </w:r>
    </w:p>
    <w:p w14:paraId="22AC8DB3" w14:textId="77777777" w:rsidR="00533926" w:rsidRPr="00AA5833" w:rsidRDefault="00533926" w:rsidP="00533926">
      <w:pPr>
        <w:tabs>
          <w:tab w:val="left" w:pos="709"/>
          <w:tab w:val="left" w:pos="2552"/>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При бременни над 35-годишна възраст се извършва серумен скрининг за: -алфа-фетопротеин, -свободен бета ЧХГ за оценка на риска от синдром на Даун и дефекти на невралната тръба. </w:t>
      </w:r>
    </w:p>
    <w:p w14:paraId="50C4C4AC" w14:textId="77777777" w:rsidR="00533926" w:rsidRPr="00AA5833" w:rsidRDefault="00533926" w:rsidP="00533926">
      <w:pPr>
        <w:tabs>
          <w:tab w:val="left" w:pos="709"/>
          <w:tab w:val="left" w:pos="2552"/>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Извършват се изследвания на онкопрофилактична цитонамазка (назначава се от специалист по АГ); изследване на влагалищен секрет; периодични проследявания на сърдечната дейност на плода. </w:t>
      </w:r>
    </w:p>
    <w:p w14:paraId="27B9E09D"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Изследване за определяне на кръвна група и Rh фактор не се назначава, ако вече е определено по друг повод. В този случай кръвната група и Rh фактора се вписват в Картата за профилактика на бременността.</w:t>
      </w:r>
    </w:p>
    <w:p w14:paraId="20EAB09E"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0"/>
          <w:szCs w:val="20"/>
        </w:rPr>
      </w:pPr>
      <w:r w:rsidRPr="00AA5833">
        <w:rPr>
          <w:rFonts w:ascii="Times New Roman" w:eastAsia="Times New Roman" w:hAnsi="Times New Roman" w:cs="Times New Roman"/>
          <w:sz w:val="24"/>
          <w:szCs w:val="24"/>
          <w:lang w:eastAsia="bg-BG"/>
        </w:rPr>
        <w:t xml:space="preserve">За </w:t>
      </w:r>
      <w:r w:rsidRPr="00AA5833">
        <w:rPr>
          <w:rFonts w:ascii="Times New Roman" w:eastAsia="Times New Roman" w:hAnsi="Times New Roman" w:cs="Times New Roman"/>
          <w:b/>
          <w:sz w:val="24"/>
          <w:szCs w:val="24"/>
          <w:lang w:eastAsia="bg-BG"/>
        </w:rPr>
        <w:t>профилактични прегледи по програма „Майчино здравеопазване“</w:t>
      </w:r>
      <w:r w:rsidRPr="00AA5833">
        <w:rPr>
          <w:rFonts w:ascii="Times New Roman" w:eastAsia="Times New Roman" w:hAnsi="Times New Roman" w:cs="Times New Roman"/>
          <w:sz w:val="24"/>
          <w:szCs w:val="24"/>
          <w:lang w:eastAsia="bg-BG"/>
        </w:rPr>
        <w:t xml:space="preserve"> на изпълнителите на ПИМП през 2024 г. от бюджета на НЗОК са заплатени 47,8 хил. лв. за 1640 бр. прегледи, а на изпълнителите на СИМП – 7 908 хил. лв. за 278 940 бр. прегледи, а на изпълнителите на МДД – 5 333,6 хил. лв.</w:t>
      </w:r>
    </w:p>
    <w:p w14:paraId="66865F1C"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оказване на </w:t>
      </w:r>
      <w:r w:rsidRPr="00AA5833">
        <w:rPr>
          <w:rFonts w:ascii="Times New Roman" w:eastAsia="Times New Roman" w:hAnsi="Times New Roman" w:cs="Times New Roman"/>
          <w:b/>
          <w:sz w:val="24"/>
          <w:szCs w:val="24"/>
          <w:lang w:eastAsia="bg-BG"/>
        </w:rPr>
        <w:t>грижи за бременната от изпълнители на болнична медицинска помощ (БМП)</w:t>
      </w:r>
      <w:r w:rsidRPr="00AA5833">
        <w:rPr>
          <w:rFonts w:ascii="Times New Roman" w:eastAsia="Times New Roman" w:hAnsi="Times New Roman" w:cs="Times New Roman"/>
          <w:sz w:val="24"/>
          <w:szCs w:val="24"/>
          <w:lang w:eastAsia="bg-BG"/>
        </w:rPr>
        <w:t xml:space="preserve"> през 2024 г. от бюджета на НЗОК са заплатени</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27 066,2 хил. лв., а за болнична медицинска помощ при раждане, независимо от срока на бременността и предлежанието на плода – 61 945,3  хил. лв.</w:t>
      </w:r>
    </w:p>
    <w:p w14:paraId="4BFB9A79"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НЗОК чрез трансфери от Министерството на здравеопазването (МЗ) извършва заплащане на разходи за медицинска помощ на здравнонеосигурени жени за срока на бременността:</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съгласно чл. 82, ал. 1, т. 2 от Закона за здравето (ЗЗ), и в съответствие с чл. 19 от Наредба №26 от 14.06.2007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Платената сума по това направление през 2024 г. е в размер на </w:t>
      </w:r>
      <w:r w:rsidRPr="00AA5833">
        <w:rPr>
          <w:rFonts w:ascii="Times New Roman" w:eastAsia="Times New Roman" w:hAnsi="Times New Roman" w:cs="Times New Roman"/>
          <w:b/>
          <w:sz w:val="24"/>
          <w:szCs w:val="24"/>
          <w:lang w:eastAsia="bg-BG"/>
        </w:rPr>
        <w:t>13 969,5 хил. лв.</w:t>
      </w:r>
      <w:r w:rsidRPr="00AA5833">
        <w:rPr>
          <w:rFonts w:ascii="Times New Roman" w:eastAsia="Times New Roman" w:hAnsi="Times New Roman" w:cs="Times New Roman"/>
          <w:bCs/>
          <w:sz w:val="24"/>
          <w:szCs w:val="24"/>
          <w:lang w:eastAsia="bg-BG"/>
        </w:rPr>
        <w:t>, която е разпределена, както следва:</w:t>
      </w:r>
    </w:p>
    <w:p w14:paraId="0E6203FA" w14:textId="77777777" w:rsidR="00533926" w:rsidRPr="00AA5833" w:rsidRDefault="00533926" w:rsidP="002A598C">
      <w:pPr>
        <w:numPr>
          <w:ilvl w:val="0"/>
          <w:numId w:val="29"/>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 xml:space="preserve">За 6963 бр. профилактични специализирани АГ прегледи – </w:t>
      </w:r>
      <w:r w:rsidRPr="00AA5833">
        <w:rPr>
          <w:rFonts w:ascii="Times New Roman" w:eastAsia="Times New Roman" w:hAnsi="Times New Roman" w:cs="Times New Roman"/>
          <w:sz w:val="24"/>
          <w:szCs w:val="24"/>
          <w:lang w:eastAsia="bg-BG"/>
        </w:rPr>
        <w:t>239,2 хил. лв.</w:t>
      </w:r>
      <w:r w:rsidRPr="00AA5833">
        <w:rPr>
          <w:rFonts w:ascii="Times New Roman" w:eastAsia="Times New Roman" w:hAnsi="Times New Roman" w:cs="Times New Roman"/>
          <w:bCs/>
          <w:sz w:val="24"/>
          <w:szCs w:val="24"/>
          <w:lang w:eastAsia="bg-BG"/>
        </w:rPr>
        <w:t>;</w:t>
      </w:r>
    </w:p>
    <w:p w14:paraId="613F5680" w14:textId="77777777" w:rsidR="00533926" w:rsidRPr="00AA5833" w:rsidRDefault="00533926" w:rsidP="002A598C">
      <w:pPr>
        <w:numPr>
          <w:ilvl w:val="0"/>
          <w:numId w:val="29"/>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За 21 200 бр. профилактични изследвания </w:t>
      </w:r>
      <w:r w:rsidRPr="00AA5833">
        <w:rPr>
          <w:rFonts w:ascii="Times New Roman" w:eastAsia="Times New Roman" w:hAnsi="Times New Roman" w:cs="Times New Roman"/>
          <w:bCs/>
          <w:strike/>
          <w:sz w:val="24"/>
          <w:szCs w:val="24"/>
          <w:lang w:eastAsia="bg-BG"/>
        </w:rPr>
        <w:t>–</w:t>
      </w:r>
      <w:r w:rsidRPr="00AA5833">
        <w:rPr>
          <w:rFonts w:ascii="Times New Roman" w:eastAsia="Times New Roman" w:hAnsi="Times New Roman" w:cs="Times New Roman"/>
          <w:sz w:val="24"/>
          <w:szCs w:val="24"/>
          <w:lang w:eastAsia="bg-BG"/>
        </w:rPr>
        <w:t xml:space="preserve"> 139,4 хил. лв.</w:t>
      </w:r>
      <w:r w:rsidRPr="00AA5833">
        <w:rPr>
          <w:rFonts w:ascii="Times New Roman" w:eastAsia="Times New Roman" w:hAnsi="Times New Roman" w:cs="Times New Roman"/>
          <w:bCs/>
          <w:sz w:val="24"/>
          <w:szCs w:val="24"/>
          <w:lang w:eastAsia="bg-BG"/>
        </w:rPr>
        <w:t>;</w:t>
      </w:r>
    </w:p>
    <w:p w14:paraId="55E64DAE" w14:textId="77777777" w:rsidR="00533926" w:rsidRPr="00AA5833" w:rsidRDefault="00533926" w:rsidP="002A598C">
      <w:pPr>
        <w:numPr>
          <w:ilvl w:val="0"/>
          <w:numId w:val="29"/>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За 3200 бр. по клинична пътека „Стационарни грижи при бременност с повишен риск“ – 2 635,8 хил. лв.;</w:t>
      </w:r>
    </w:p>
    <w:p w14:paraId="7F3EFC9A" w14:textId="77777777" w:rsidR="00533926" w:rsidRPr="00AA5833" w:rsidRDefault="00533926" w:rsidP="002A598C">
      <w:pPr>
        <w:numPr>
          <w:ilvl w:val="0"/>
          <w:numId w:val="29"/>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За 6830 бр. по клинична пътека „Раждане в болнична помощ“ – </w:t>
      </w:r>
      <w:r w:rsidRPr="00AA5833">
        <w:rPr>
          <w:rFonts w:ascii="Times New Roman" w:eastAsia="Times New Roman" w:hAnsi="Times New Roman" w:cs="Times New Roman"/>
          <w:sz w:val="24"/>
          <w:szCs w:val="24"/>
          <w:lang w:eastAsia="bg-BG"/>
        </w:rPr>
        <w:t>10 955,1 хил. лв.</w:t>
      </w:r>
    </w:p>
    <w:p w14:paraId="2E6D8B78" w14:textId="77777777" w:rsidR="00533926" w:rsidRPr="00AA5833" w:rsidRDefault="00533926"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3B8C473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0F960EC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0AC0FE4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2.1.3.</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b/>
          <w:sz w:val="24"/>
          <w:szCs w:val="24"/>
          <w:lang w:eastAsia="bg-BG"/>
        </w:rPr>
        <w:t>Осигуряване на безплатна следродилна здравна помощ по въпросите на кърменето и здравното състояние на новородените</w:t>
      </w:r>
    </w:p>
    <w:p w14:paraId="28E7761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52A9D560"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През 2024 г. </w:t>
      </w:r>
      <w:r w:rsidRPr="00AA5833">
        <w:rPr>
          <w:rFonts w:ascii="Times New Roman" w:eastAsia="Times New Roman" w:hAnsi="Times New Roman" w:cs="Times New Roman"/>
          <w:sz w:val="24"/>
          <w:szCs w:val="24"/>
        </w:rPr>
        <w:t>следродилната здравна помощ</w:t>
      </w:r>
      <w:r w:rsidRPr="00AA5833">
        <w:rPr>
          <w:rFonts w:ascii="Times New Roman" w:eastAsia="Times New Roman" w:hAnsi="Times New Roman" w:cs="Times New Roman"/>
          <w:b/>
          <w:sz w:val="24"/>
          <w:szCs w:val="24"/>
        </w:rPr>
        <w:t xml:space="preserve"> </w:t>
      </w:r>
      <w:r w:rsidRPr="00AA5833">
        <w:rPr>
          <w:rFonts w:ascii="Times New Roman" w:eastAsia="Times New Roman" w:hAnsi="Times New Roman" w:cs="Times New Roman"/>
          <w:sz w:val="24"/>
          <w:szCs w:val="24"/>
          <w:lang w:eastAsia="bg-BG"/>
        </w:rPr>
        <w:t xml:space="preserve">се осъществява съгласно Приложение №12 към НРД за МД 2023 – 2025 г. „Дейности на ОПЛ по имунопрофилактика, програма „Детско здравеопазване“, профилактични прегледи на ЗОЛ над 18 години, формиране на групи от лица с рискови фактори за развитие на заболяване при ЗОЛ над 18 години, профилактични дейности при ЗОЛ над 18 години с рискови фактори за развитие на заболяване и програма „Майчино здравеопазване“ или от лекар със специалност „Акушерство и гинекология“ по Приложение №14 към НРД за МД 2023 – 2025 г. „Дейности на лекаря специалист по „Педиатрия“ по програма „Детско здравеопазване“ на лекаря специалист по „Акушерство и гинекология“ по програма „Майчино здравеопазване“ и на лекаря специалист по профилактика на ЗОЛ над 18 години с рискови фактори за развитие на заболяване“. </w:t>
      </w:r>
    </w:p>
    <w:p w14:paraId="586BA43B"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По програма „Майчино здравеопазване“ се извършва рутинно послеродово наблюдение до 42-я ден след раждането</w:t>
      </w:r>
      <w:r w:rsidRPr="00AA5833">
        <w:rPr>
          <w:rFonts w:ascii="Times New Roman" w:eastAsia="Times New Roman" w:hAnsi="Times New Roman" w:cs="Times New Roman"/>
          <w:sz w:val="24"/>
          <w:szCs w:val="24"/>
          <w:lang w:eastAsia="bg-BG"/>
        </w:rPr>
        <w:t xml:space="preserve">, което включва: </w:t>
      </w:r>
    </w:p>
    <w:p w14:paraId="34885BE7"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Общ преглед (в т.ч. оценка на психичен статус, измерване на артериално налягане); проследяване на инволуция на матката и кървене от гениталиите; мануално изследване не млечните жлези, проследяване на лактацията; промоция на кърменето (здравни съвети и обучение по въпросите на кърменето, правилното хранене, хигиенни грижи за гърдите и гениталиите) – два пъти: до 7-мия ден и след 30-тия ден от раждането. Извършват се следните медико-диагностични изследвания на: хемоглобин, хематокрит, диференциално броене на левкоцити, СУЕ, албумин и седимент в урината (еднократно). </w:t>
      </w:r>
    </w:p>
    <w:p w14:paraId="6E3A790B"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В болничната медицинска помощ</w:t>
      </w:r>
      <w:r w:rsidRPr="00AA5833">
        <w:rPr>
          <w:rFonts w:ascii="Times New Roman" w:eastAsia="Times New Roman" w:hAnsi="Times New Roman" w:cs="Times New Roman"/>
          <w:sz w:val="24"/>
          <w:szCs w:val="24"/>
          <w:lang w:eastAsia="bg-BG"/>
        </w:rPr>
        <w:t xml:space="preserve"> НЗОК осигурява лечението на новородени във всички степени на недоносеност с или без прилагане на сърфактант и/или прилагане на механична вентилация – по клинични пътеки (КП), по които през 2024 г. са отчетени 32 046 бр. КП и заплатени от бюджета на НЗОК 91 541,5 хил. лв. </w:t>
      </w:r>
    </w:p>
    <w:p w14:paraId="544289D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Заплаща се и отделна КП №6 „Грижи за здраво новородено дете“, по която през 2024 г. от бюджета на НЗОК са заплатени</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21 857,6 хил. лв. за отчетени 27 491 бр. случая. </w:t>
      </w:r>
    </w:p>
    <w:p w14:paraId="17ADE34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клинична процедура (КПр) №2 „Интензивно лечение на новородени деца с асистирано дишане“ през 2024 г. от бюджета на НЗОК са заплатени 186,2 хил. лв. за 561 бр. случая.</w:t>
      </w:r>
    </w:p>
    <w:p w14:paraId="04F4F82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КПр №5 „Дейности по осигуряване на лечение за новородени деца с вродени сърдечни малформации, претърпели сърдечна оперативна интервенция до навършване на 1-годишна възраст“, през 2024 г. от бюджета на НЗОК са заплатени 584,1 хил. лв. за 460 бр. случая.</w:t>
      </w:r>
    </w:p>
    <w:p w14:paraId="44E0D672"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Посочените в Плана за 2024 г. индикатори и резултата от тях показват, че изпълнението на алгоритъма по програма „Майчино здравеопазване“ позволява да се следи здравословното състояние на бременната жена, развитието на плода във всеки един етап от лунарните месеци на бременността, както и да се констатират още вътреутробно евентуални здравословни проблеми на плода и съответно да се </w:t>
      </w:r>
      <w:r w:rsidRPr="00AA5833">
        <w:rPr>
          <w:rFonts w:ascii="Times New Roman" w:eastAsia="Times New Roman" w:hAnsi="Times New Roman" w:cs="Times New Roman"/>
          <w:sz w:val="24"/>
          <w:szCs w:val="24"/>
          <w:lang w:eastAsia="bg-BG"/>
        </w:rPr>
        <w:lastRenderedPageBreak/>
        <w:t>предприемат своевременни мерки, като се назначават допълнителни прегледи и изследвания извън програмата.</w:t>
      </w:r>
    </w:p>
    <w:p w14:paraId="008FAAEF" w14:textId="77777777" w:rsidR="00533926" w:rsidRDefault="00533926"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229D4C4C" w14:textId="77777777" w:rsidR="00D02A87" w:rsidRDefault="00D02A87"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0784BF4E" w14:textId="77777777" w:rsidR="00D02A87" w:rsidRDefault="00D02A87"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0AABBB17" w14:textId="77777777" w:rsidR="00D02A87" w:rsidRPr="00AA5833" w:rsidRDefault="00D02A87"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79350F7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039F7A4D" w14:textId="77777777" w:rsidR="00533926" w:rsidRPr="00AA5833" w:rsidRDefault="00533926" w:rsidP="00533926">
      <w:pPr>
        <w:tabs>
          <w:tab w:val="left" w:pos="1276"/>
        </w:tabs>
        <w:spacing w:after="0" w:line="240" w:lineRule="auto"/>
        <w:contextualSpacing/>
        <w:jc w:val="both"/>
        <w:rPr>
          <w:rFonts w:ascii="Times New Roman" w:eastAsia="Times New Roman" w:hAnsi="Times New Roman" w:cs="Times New Roman"/>
          <w:bCs/>
          <w:sz w:val="24"/>
          <w:szCs w:val="24"/>
          <w:highlight w:val="yellow"/>
          <w:lang w:eastAsia="bg-BG"/>
        </w:rPr>
      </w:pPr>
    </w:p>
    <w:p w14:paraId="1823960B"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2.1.4. Профилактика на онкологичните заболявания на репродуктивната система при жените и мъжете и профилактика на ротавирусните гастроентерити (РГЕ)</w:t>
      </w:r>
    </w:p>
    <w:p w14:paraId="283FF512" w14:textId="77777777" w:rsidR="00533926" w:rsidRPr="00AA5833" w:rsidRDefault="00533926" w:rsidP="00533926">
      <w:pPr>
        <w:spacing w:after="0" w:line="240" w:lineRule="auto"/>
        <w:jc w:val="both"/>
        <w:rPr>
          <w:rFonts w:ascii="Times New Roman" w:eastAsia="Times New Roman" w:hAnsi="Times New Roman" w:cs="Times New Roman"/>
          <w:b/>
          <w:sz w:val="24"/>
          <w:szCs w:val="24"/>
          <w:u w:val="single"/>
          <w:lang w:eastAsia="bg-BG"/>
        </w:rPr>
      </w:pPr>
    </w:p>
    <w:p w14:paraId="38A97B8C"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Националната здравноосигурителна каса заплаща имунологични лекарствени продукти по национални програми по чл. 82, ал. 2, т. 3 от ЗЗ и дейностите по поставянето им – до размер, финансиран чрез трансфер от МЗ за съответните национални програми, както следва: </w:t>
      </w:r>
    </w:p>
    <w:p w14:paraId="58F572B0" w14:textId="77777777" w:rsidR="00533926" w:rsidRPr="00AA5833" w:rsidRDefault="00533926" w:rsidP="002A598C">
      <w:pPr>
        <w:numPr>
          <w:ilvl w:val="0"/>
          <w:numId w:val="30"/>
        </w:numPr>
        <w:spacing w:after="0" w:line="240" w:lineRule="auto"/>
        <w:ind w:left="0"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72,3 хил. лв</w:t>
      </w:r>
      <w:r w:rsidRPr="00AA5833">
        <w:rPr>
          <w:rFonts w:ascii="Times New Roman" w:eastAsia="Times New Roman" w:hAnsi="Times New Roman" w:cs="Times New Roman"/>
          <w:sz w:val="24"/>
          <w:szCs w:val="24"/>
          <w:lang w:eastAsia="bg-BG"/>
        </w:rPr>
        <w:t xml:space="preserve">. за приложени </w:t>
      </w:r>
      <w:r w:rsidRPr="00AA5833">
        <w:rPr>
          <w:rFonts w:ascii="Times New Roman" w:eastAsia="Times New Roman" w:hAnsi="Times New Roman" w:cs="Times New Roman"/>
          <w:b/>
          <w:sz w:val="24"/>
          <w:szCs w:val="24"/>
          <w:lang w:eastAsia="bg-BG"/>
        </w:rPr>
        <w:t>7750 бр</w:t>
      </w:r>
      <w:r w:rsidRPr="00AA5833">
        <w:rPr>
          <w:rFonts w:ascii="Times New Roman" w:eastAsia="Times New Roman" w:hAnsi="Times New Roman" w:cs="Times New Roman"/>
          <w:sz w:val="24"/>
          <w:szCs w:val="24"/>
          <w:lang w:eastAsia="bg-BG"/>
        </w:rPr>
        <w:t>. профилактични ваксини срещу рак на маточната шийка (РМШ), осигуряващи изпълнението на Националната програма за първична профилактика на рака на маточната шийка 2021 – 2024 г., приета с Решение на Министерския съвет на Република България.</w:t>
      </w:r>
    </w:p>
    <w:p w14:paraId="5B3DB90E" w14:textId="77777777" w:rsidR="00533926" w:rsidRPr="00AA5833" w:rsidRDefault="00533926" w:rsidP="002A598C">
      <w:pPr>
        <w:numPr>
          <w:ilvl w:val="0"/>
          <w:numId w:val="30"/>
        </w:numPr>
        <w:spacing w:after="0" w:line="240" w:lineRule="auto"/>
        <w:ind w:left="0"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 xml:space="preserve">577,6 хил. лв. </w:t>
      </w:r>
      <w:r w:rsidRPr="00AA5833">
        <w:rPr>
          <w:rFonts w:ascii="Times New Roman" w:eastAsia="Times New Roman" w:hAnsi="Times New Roman" w:cs="Times New Roman"/>
          <w:sz w:val="24"/>
          <w:szCs w:val="24"/>
          <w:lang w:eastAsia="bg-BG"/>
        </w:rPr>
        <w:t>за приложени</w:t>
      </w:r>
      <w:r w:rsidRPr="00AA5833">
        <w:rPr>
          <w:rFonts w:ascii="Times New Roman" w:eastAsia="Times New Roman" w:hAnsi="Times New Roman" w:cs="Times New Roman"/>
          <w:b/>
          <w:sz w:val="24"/>
          <w:szCs w:val="24"/>
          <w:lang w:eastAsia="bg-BG"/>
        </w:rPr>
        <w:t xml:space="preserve"> 63 991 бр. </w:t>
      </w:r>
      <w:r w:rsidRPr="00AA5833">
        <w:rPr>
          <w:rFonts w:ascii="Times New Roman" w:eastAsia="Times New Roman" w:hAnsi="Times New Roman" w:cs="Times New Roman"/>
          <w:sz w:val="24"/>
          <w:szCs w:val="24"/>
          <w:lang w:eastAsia="bg-BG"/>
        </w:rPr>
        <w:t>профилактични ваксини срещу ротавирусните гастроентерити, осигуряващи изпълнението на Националната програма за профилактика на ротавирусните гастроентерити в Република България 2022 – 2025 г., приета с Решение №455 от 7 юли 2022 г. на Министерския съвет на Република България.</w:t>
      </w:r>
    </w:p>
    <w:p w14:paraId="69F1363C"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Платените средства от бюджета на Министерството на здравеопазването през 2024 г. за лекарствените продукти – ваксини и дейности по прилагането им по чл. 82, ал. 2, т. 3 от ЗЗ за тези две национални програми са в размер на</w:t>
      </w:r>
      <w:r w:rsidRPr="00AA5833">
        <w:rPr>
          <w:rFonts w:ascii="Times New Roman" w:eastAsia="Times New Roman" w:hAnsi="Times New Roman" w:cs="Times New Roman"/>
          <w:b/>
          <w:sz w:val="24"/>
          <w:szCs w:val="24"/>
          <w:lang w:eastAsia="bg-BG"/>
        </w:rPr>
        <w:t xml:space="preserve"> 2 893,4 хил. лв.</w:t>
      </w:r>
    </w:p>
    <w:p w14:paraId="65BA881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Прилагането на имунологични лекарствени продукти – профилактични ваксини срещу ротавирусните гастроентерити и рака на маточната шийка, спомага при борбата с разпространението на ротавирусните инфекции и папилома вируса.</w:t>
      </w:r>
    </w:p>
    <w:p w14:paraId="4002E013"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p>
    <w:p w14:paraId="495B01F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4366F1AA" w14:textId="77777777" w:rsidR="00533926" w:rsidRPr="00AA5833" w:rsidRDefault="00533926" w:rsidP="00533926">
      <w:pPr>
        <w:spacing w:after="0" w:line="240" w:lineRule="auto"/>
        <w:ind w:firstLine="709"/>
        <w:jc w:val="both"/>
        <w:rPr>
          <w:rFonts w:ascii="Times New Roman" w:eastAsia="Times New Roman" w:hAnsi="Times New Roman" w:cs="Times New Roman"/>
          <w:b/>
          <w:color w:val="000000"/>
          <w:sz w:val="24"/>
          <w:szCs w:val="24"/>
          <w:lang w:eastAsia="bg-BG"/>
        </w:rPr>
      </w:pPr>
    </w:p>
    <w:p w14:paraId="5F51E28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2.1.5. НЗОК заплаща за осъществяване на пренатална диагностика</w:t>
      </w:r>
    </w:p>
    <w:p w14:paraId="636CDBE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23C9B2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 xml:space="preserve">В програма „Майчино здравеопазване“ се включват изследвания, с които се установяват заболявания на майката, които впоследствие биха предизвикали аномалии на плода. </w:t>
      </w:r>
    </w:p>
    <w:p w14:paraId="4A194BD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НЗОК заплаща медико-диагностичното изследване „серумен скрининг” за алфа-фетопротеин и свободен бета-хорионгонадотропин за оценка на риск от синдром на Даун и дефекти на невралната тръба. Изследването се прави при рискова бременност на жени над 35-годишна възраст. Заплатените суми са 86,3 хил. лв. (изследвания с код 10.14 и 10.15).</w:t>
      </w:r>
    </w:p>
    <w:p w14:paraId="47801A34" w14:textId="77777777" w:rsidR="00533926" w:rsidRPr="00AA5833" w:rsidRDefault="00533926" w:rsidP="00533926">
      <w:pPr>
        <w:spacing w:after="0" w:line="240" w:lineRule="auto"/>
        <w:ind w:firstLine="709"/>
        <w:jc w:val="both"/>
        <w:rPr>
          <w:rFonts w:ascii="Times New Roman" w:eastAsia="Times New Roman" w:hAnsi="Times New Roman" w:cs="Times New Roman"/>
          <w:b/>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CE6CB35"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87A0A3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2.2. Насърчаване и развитие на семейното планиране</w:t>
            </w:r>
          </w:p>
        </w:tc>
      </w:tr>
    </w:tbl>
    <w:p w14:paraId="5D0E60F5" w14:textId="77777777" w:rsidR="00533926" w:rsidRPr="00AA5833" w:rsidRDefault="00533926" w:rsidP="00533926">
      <w:pPr>
        <w:spacing w:after="0" w:line="240" w:lineRule="auto"/>
        <w:ind w:firstLine="709"/>
        <w:jc w:val="both"/>
        <w:rPr>
          <w:rFonts w:ascii="Times New Roman" w:eastAsia="Times New Roman" w:hAnsi="Times New Roman" w:cs="Times New Roman"/>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25199BBF"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BAA7365"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2.3. Значително намаляване на броя на абортите и извънбрачните раждания на деца, неприпознати от бащата</w:t>
            </w:r>
          </w:p>
        </w:tc>
      </w:tr>
    </w:tbl>
    <w:p w14:paraId="6278AEC0" w14:textId="77777777" w:rsidR="00D02A87" w:rsidRPr="00AA5833" w:rsidRDefault="00D02A87" w:rsidP="00533926">
      <w:pPr>
        <w:spacing w:after="0" w:line="240" w:lineRule="auto"/>
        <w:ind w:firstLine="709"/>
        <w:jc w:val="both"/>
        <w:rPr>
          <w:rFonts w:ascii="Times New Roman" w:eastAsia="Times New Roman" w:hAnsi="Times New Roman" w:cs="Times New Roman"/>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623DF196"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4AD4D6B6"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2.3.1. Осъществяване на превантивни и последващи мерки за намаляване на броя на абортите и извънбрачните раждания на деца</w:t>
            </w:r>
          </w:p>
        </w:tc>
      </w:tr>
    </w:tbl>
    <w:p w14:paraId="7D69EFCA" w14:textId="77777777" w:rsidR="00533926" w:rsidRPr="00AA5833" w:rsidRDefault="00533926" w:rsidP="00533926">
      <w:pPr>
        <w:spacing w:after="0" w:line="240" w:lineRule="auto"/>
        <w:jc w:val="both"/>
        <w:rPr>
          <w:rFonts w:ascii="Times New Roman" w:eastAsia="Times New Roman" w:hAnsi="Times New Roman" w:cs="Times New Roman"/>
          <w:bCs/>
          <w:color w:val="FF0000"/>
          <w:sz w:val="24"/>
          <w:szCs w:val="24"/>
          <w:lang w:eastAsia="bg-BG"/>
        </w:rPr>
      </w:pPr>
    </w:p>
    <w:p w14:paraId="64211297"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ДЪРЖАВНА АГЕНЦИЯ ЗА ЗАКРИЛА НА ДЕТЕТО</w:t>
      </w:r>
    </w:p>
    <w:p w14:paraId="63D30E9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32E3614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2.3.1.1. Предприемане на ефективни мерки за намаляване на ранните бракове </w:t>
      </w:r>
    </w:p>
    <w:p w14:paraId="58174033" w14:textId="77777777" w:rsidR="00533926" w:rsidRPr="00AA5833" w:rsidRDefault="00533926" w:rsidP="00533926">
      <w:pPr>
        <w:spacing w:after="0" w:line="240" w:lineRule="auto"/>
        <w:jc w:val="center"/>
        <w:rPr>
          <w:rFonts w:ascii="Times New Roman" w:eastAsia="Times New Roman" w:hAnsi="Times New Roman" w:cs="Times New Roman"/>
          <w:bCs/>
          <w:color w:val="FF0000"/>
          <w:sz w:val="24"/>
          <w:szCs w:val="24"/>
          <w:lang w:eastAsia="bg-BG"/>
        </w:rPr>
      </w:pPr>
    </w:p>
    <w:p w14:paraId="0F06BDD8"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color w:val="00B0F0"/>
          <w:sz w:val="24"/>
          <w:szCs w:val="24"/>
          <w:lang w:eastAsia="bg-BG"/>
        </w:rPr>
        <w:tab/>
      </w:r>
      <w:r w:rsidRPr="00AA5833">
        <w:rPr>
          <w:rFonts w:ascii="Times New Roman" w:eastAsia="Times New Roman" w:hAnsi="Times New Roman" w:cs="Times New Roman"/>
          <w:sz w:val="24"/>
          <w:szCs w:val="24"/>
          <w:lang w:eastAsia="bg-BG"/>
        </w:rPr>
        <w:t>През 2024 година на Националната телефонна линия за деца 116111 са идентифицирани и регистрирани 2452 сигнала за деца в риск.</w:t>
      </w:r>
      <w:r w:rsidRPr="00AA5833">
        <w:rPr>
          <w:sz w:val="24"/>
          <w:szCs w:val="24"/>
        </w:rPr>
        <w:t xml:space="preserve"> </w:t>
      </w:r>
      <w:r w:rsidRPr="00AA5833">
        <w:rPr>
          <w:rFonts w:ascii="Times New Roman" w:eastAsia="Times New Roman" w:hAnsi="Times New Roman" w:cs="Times New Roman"/>
          <w:sz w:val="24"/>
          <w:szCs w:val="24"/>
          <w:lang w:eastAsia="bg-BG"/>
        </w:rPr>
        <w:t>При 96 от консултациите и регистрираните сигнали е идентифициран риск от ранно съпружеско съжителство, при 91 – риск от ранно майчинство, при 52 – риск от неправомерно задържане, основно на непълнолетни момичета. Сигналите с риск от сексуално насилие са 121. При 42 от сигналите има риск от трафик, а при 76 – риск от трудова експлоатация, при 115 – риск от просия.</w:t>
      </w:r>
    </w:p>
    <w:p w14:paraId="10ADCEB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76E08571" w14:textId="77777777" w:rsidR="00533926" w:rsidRPr="00AA5833" w:rsidRDefault="00533926" w:rsidP="00533926">
      <w:pPr>
        <w:spacing w:after="0" w:line="240" w:lineRule="auto"/>
        <w:jc w:val="both"/>
        <w:rPr>
          <w:rFonts w:ascii="Times New Roman" w:hAnsi="Times New Roman" w:cs="Times New Roman"/>
          <w:sz w:val="24"/>
          <w:szCs w:val="24"/>
          <w:lang w:eastAsia="bg-BG"/>
        </w:rPr>
      </w:pPr>
    </w:p>
    <w:p w14:paraId="1E6C320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Ранните съжителства са форма на насилие върху детето и крият сериозен риск от неглижиране на нужди и потребности, злоупотреби и социално изключване; ранното раждане крие негативни емоционални, социални и здравни последици както за майката, така и за детето. Новородените и техните малолетни и непълнолетни майки са в риск от социално изключване и изолация, в риск от изоставяне, неглижиране, злоупотреба, поради липса на зрялост, на умения, знания и мотивация за добро родителстване.</w:t>
      </w:r>
    </w:p>
    <w:p w14:paraId="37C7A7EF" w14:textId="77777777" w:rsidR="00533926" w:rsidRPr="00AA5833" w:rsidRDefault="00533926" w:rsidP="00533926">
      <w:pPr>
        <w:shd w:val="clear" w:color="auto" w:fill="FFFFFF"/>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В своята дейност служителите на отдели „Закрила на детето“ (ОЗД) към ДСП се ръководят от принципите за закрила на детето и гарантират неговите права и интереси. При постъпил сигнал за риск от ранно съпружеско съжителство се прилагат мерките за закрила разписани в ЗЗДет. и задължително се сезира Районната прокуратура, която е компетентния орган за произнасяне относно наличието или не на данни за образуване на наказателно производство. </w:t>
      </w:r>
    </w:p>
    <w:p w14:paraId="0182458F" w14:textId="77777777" w:rsidR="00533926" w:rsidRPr="00AA5833" w:rsidRDefault="00533926" w:rsidP="00533926">
      <w:pPr>
        <w:shd w:val="clear" w:color="auto" w:fill="FFFFFF"/>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ОЗД към ДСП работят съвместно с други институции – Министерство на вътрешните работи, Районна прокуратура, община, здравни и учебни заведения и проследяват развитието на всеки конкретен случай до навършване на пълнолетие на майката, с цел превенция на предстоящи рискове. При наличие на условия, които могат да доведат до определен риск за детето в бъдеще, се предлагат възможности за ползване на социална услуга в общността. В тези случаи водещият случая социален работник издава направление за ползване на такава. </w:t>
      </w:r>
    </w:p>
    <w:p w14:paraId="7DB3283B" w14:textId="77777777" w:rsidR="00533926" w:rsidRPr="00AA5833" w:rsidRDefault="00533926" w:rsidP="00533926">
      <w:pPr>
        <w:shd w:val="clear" w:color="auto" w:fill="FFFFFF"/>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EAC67DC"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D1B62DC"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bCs/>
                <w:color w:val="000000"/>
                <w:sz w:val="24"/>
                <w:szCs w:val="24"/>
                <w:lang w:eastAsia="bg-BG"/>
              </w:rPr>
              <w:t>2.4. Превенция и лечение на инфекции на репродуктивните органи и ограничаване на риска от разпространение на ХИВ/СПИН в страната</w:t>
            </w:r>
          </w:p>
        </w:tc>
      </w:tr>
    </w:tbl>
    <w:p w14:paraId="3719703D"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65F39DD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4DFA239B"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p>
    <w:p w14:paraId="1034D27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2.4.1. Национална програма за превенция и контрол на ХИВ и сексуално предавани инфекции 2021-2025 г.</w:t>
      </w:r>
    </w:p>
    <w:p w14:paraId="557BF5C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0F91A4F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Националната програма за превенция и контрол на ХИВ и сексуално предавани инфекции в Република България за периода 2021 – 2025 г. е приета с Решение №594 на Министерския съвет от 12.08.2021 година:</w:t>
      </w:r>
    </w:p>
    <w:p w14:paraId="61739736"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Задържане на разпространението на ХИВ сред общото население – под 1%:</w:t>
      </w:r>
    </w:p>
    <w:p w14:paraId="2A7CE4E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Към 31.12.2024 г. в България са регистрирани общо 4 561 лица с ХИВ инфекция. През 2024 г. броят на новорегистрираните случаи на ХИВ е 284. </w:t>
      </w:r>
    </w:p>
    <w:p w14:paraId="14658C05"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Задържане на разпространението на ХИВ сред младите хора на възраст 15 – 24 години – под 1%: </w:t>
      </w:r>
    </w:p>
    <w:p w14:paraId="16B94E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ab/>
        <w:t xml:space="preserve">Осигурява се адекватна и качествена диагностика на ХИВ и сексуално предавани инфекции всяка година. Диагностиката е безплатна, в Кабинетите за анонимно и безплатно консултиране и изследване за СПИН (КАБКИС) към Регионалните здравни инспекции, за всеки гражданин, независимо от здравноосигурителния статус. </w:t>
      </w:r>
    </w:p>
    <w:p w14:paraId="5DF5C3FC"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Брой функциониращи КАБКИС:</w:t>
      </w:r>
    </w:p>
    <w:p w14:paraId="386C8F8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На територията на страната функционират 19 кабинета за анонимно, безплатно, доброволно консултиране и изследване за ХИВ в градовете Благоевград, Бургас, Варна, Велико Търново, Враца, Добрич, Кърджали, Кюстендил, Ловеч, Плевен, Пловдив, Русе, Силистра, Сливен, Смолян, София, Стара Загора, Хасково и Ямбол.</w:t>
      </w:r>
    </w:p>
    <w:p w14:paraId="37CA5CD2"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Брой лица, получили консултиране и изследване и узнали своя резултат в КАБКИС:</w:t>
      </w:r>
    </w:p>
    <w:p w14:paraId="6957C20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9037 лица са получили безплатно консултиране и изследване за ХИВ и са узнали резултата си. </w:t>
      </w:r>
    </w:p>
    <w:p w14:paraId="66BB42EF"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Брой ХИВ-позитивни лица, регистрирани за проследяване и обхванати с медицинско обслужване в секторите за лечение на пациенти с ХИВ/СПИН:</w:t>
      </w:r>
    </w:p>
    <w:p w14:paraId="3903B4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На територията на страната функционират 5 клиники/отделения за лечение на пациенти с ХИВ инфекция, разкрити към следните лечебни заведения: СБАЛИПБ „Проф. д-р Иван Киров“ гр. София, УМБАЛ „Свети Георги“ гр. Пловдив, УМБАЛ „Проф. д-р Георги Странски“ гр. Плевен, УМБАЛ „Света Марина“, гр. Варна и УМБАЛ „Проф. д-р Ст. Киркович“ гр. Стара Загора. Общо 2639 ХИВ серопозитивни лица са регистрирани за проследяване и лечение през 2024 г.</w:t>
      </w:r>
    </w:p>
    <w:p w14:paraId="5E2104C9"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Брой пациенти с ХИВ/СПИН, които получават антиретровирусна терапия: </w:t>
      </w:r>
    </w:p>
    <w:p w14:paraId="33C18DD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Броят на пациентите на съвременна антиретровирусна терапия (АРТ) към 31.12.2024 г. е 2464. Лечението е осигурено със средства от бюджета на Министерство на здравеопазването, като то е безплатно независимо от здравноосигурителния статус на пациентите. </w:t>
      </w:r>
    </w:p>
    <w:p w14:paraId="236ACCB1" w14:textId="77777777" w:rsidR="00533926" w:rsidRPr="00AA5833" w:rsidRDefault="00533926" w:rsidP="002A598C">
      <w:pPr>
        <w:numPr>
          <w:ilvl w:val="0"/>
          <w:numId w:val="100"/>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Брой лица от уязвимите групи, достигнати с нископрагови здравни и социални услуги:</w:t>
      </w:r>
    </w:p>
    <w:p w14:paraId="533B718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2024 г. са достигнати 1403 лица от уязвимите групи с помощта на 3 неправителствени организации, като от тях 411 са получили изследване за ХИВ, 373 са изследвани за Сифилис, 411 лица са изследвани за Хепатит С, 372 лица са получили изследване за Хепатит Б, а 78 лица са получили услугата „Водене на случай“, прилагаща се при лица с потвърден положителен резултат за ХИВ в особен риск.</w:t>
      </w:r>
    </w:p>
    <w:p w14:paraId="2A7E151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В рамките на Националната програма за превенция и контрол на ХИВ и сексуално предавани инфекции (СПИ) в Република България 2021 – 2025 г. продължава да се провежда ежегодно Национална АНТИСПИН кампания в 4 етапа: по повод 14 февруари – Денят на влюбените, по повод Международния ден за съпричастност със засегнатите от ХИВ/СПИН, лятна АНТИСПИН кампания и по повод 1 декември – Световния ден за борба срещу СПИН бе проведена информационна кампания и бяха предоставени услуги по безплатно, доброволно и анонимно консултиране и изследване на ХИВ и сексуално предавани инфекции (СПИ) в КАБКИС. В цялата страна дейностите през различните етапи на кампанията се осъществяват от РЗИ и КАБКИС в сътрудничество с доброволците на Българския младежки червен кръст (БМЧК).</w:t>
      </w:r>
    </w:p>
    <w:p w14:paraId="41FCDCAA" w14:textId="77777777" w:rsidR="001A0EB7" w:rsidRPr="001A0EB7" w:rsidRDefault="00533926" w:rsidP="001A0EB7">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r>
      <w:r w:rsidR="001A0EB7" w:rsidRPr="001A0EB7">
        <w:rPr>
          <w:rFonts w:ascii="Times New Roman" w:hAnsi="Times New Roman" w:cs="Times New Roman"/>
          <w:color w:val="000000"/>
          <w:sz w:val="24"/>
          <w:szCs w:val="24"/>
        </w:rPr>
        <w:t>По Националната програма за превенция и контрол на ХИВ и СПИ в Република България 2021 – 2025 г. разходите са в рамките на утвърдения за 2024 г. бюджет на Министерство на здравеопазването.</w:t>
      </w:r>
    </w:p>
    <w:p w14:paraId="1CAA4B8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4C1FADB1" w14:textId="77777777" w:rsidR="00533926" w:rsidRPr="00AA5833" w:rsidRDefault="00533926" w:rsidP="00533926">
      <w:pPr>
        <w:spacing w:after="0" w:line="240" w:lineRule="auto"/>
        <w:jc w:val="center"/>
        <w:rPr>
          <w:rFonts w:ascii="Times New Roman" w:hAnsi="Times New Roman" w:cs="Times New Roman"/>
          <w:b/>
          <w:color w:val="000000"/>
          <w:sz w:val="24"/>
          <w:szCs w:val="24"/>
        </w:rPr>
      </w:pPr>
    </w:p>
    <w:p w14:paraId="7657359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0AB0D1D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C6E8D5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 xml:space="preserve">2.4.2. Прилагане на обучителни модули и реализиране на кампании по проблеми, свързани с репродуктивното здраве, превенцията на HIV/СПИН и превенция на сексуално-рисковото поведение </w:t>
      </w:r>
    </w:p>
    <w:p w14:paraId="78319F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2C650A3"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hAnsi="Times New Roman"/>
          <w:sz w:val="24"/>
          <w:szCs w:val="24"/>
        </w:rPr>
        <w:t xml:space="preserve">Една от основните дейности, мотивираща поколения доброволци на Българския младежки червен кръст (БМЧК) и залегнала в мисията на организацията, е разпространението на информация за безопасно сексуално поведение и подобряване на репродуктивното здраве на младите хора в България. </w:t>
      </w:r>
    </w:p>
    <w:p w14:paraId="2D105302"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тази връзка бяха проведени различни обучителни модули и обучения по темите превенция на репродуктивните заболявания и сексуално-рисково поведение. Чрез широкото им популяризиране в социалните мрежи и официалните електронни страници на БЧК и БМЧК, бе повишена информираността на младите хора и обществото по тези проблеми, както и бе отчетена необходимостта от подобряване на достъпа до достоверна здравна информация.</w:t>
      </w:r>
    </w:p>
    <w:p w14:paraId="664D4CBD"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През 2024 г. доброволците на Българския младежки червен кръст проведоха 183 презентации и ателиета, </w:t>
      </w:r>
      <w:r w:rsidRPr="00AA5833">
        <w:rPr>
          <w:rFonts w:ascii="Times New Roman" w:eastAsia="Times New Roman" w:hAnsi="Times New Roman" w:cs="Times New Roman"/>
          <w:bCs/>
          <w:sz w:val="24"/>
          <w:szCs w:val="24"/>
          <w:lang w:eastAsia="bg-BG"/>
        </w:rPr>
        <w:t>свързани с репродуктивното здраве и превенция на сексуално-рисковото поведение,</w:t>
      </w:r>
      <w:r w:rsidRPr="00AA5833">
        <w:rPr>
          <w:rFonts w:ascii="Times New Roman" w:eastAsia="Times New Roman" w:hAnsi="Times New Roman" w:cs="Times New Roman"/>
          <w:sz w:val="24"/>
          <w:szCs w:val="24"/>
          <w:lang w:eastAsia="bg-BG"/>
        </w:rPr>
        <w:t xml:space="preserve"> чрез които достигнаха до над 14 000 ученици в цялата страна. </w:t>
      </w:r>
    </w:p>
    <w:p w14:paraId="3E85E6C5"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проведени </w:t>
      </w:r>
      <w:r w:rsidRPr="00AA5833">
        <w:rPr>
          <w:rFonts w:ascii="Times New Roman" w:eastAsia="Times New Roman" w:hAnsi="Times New Roman" w:cs="Times New Roman"/>
          <w:b/>
          <w:sz w:val="24"/>
          <w:szCs w:val="24"/>
          <w:lang w:eastAsia="bg-BG"/>
        </w:rPr>
        <w:t xml:space="preserve">43 </w:t>
      </w:r>
      <w:r w:rsidRPr="00AA5833">
        <w:rPr>
          <w:rFonts w:ascii="Times New Roman" w:eastAsia="Times New Roman" w:hAnsi="Times New Roman" w:cs="Times New Roman"/>
          <w:sz w:val="24"/>
          <w:szCs w:val="24"/>
          <w:lang w:eastAsia="bg-BG"/>
        </w:rPr>
        <w:t>обучения и са обучени</w:t>
      </w:r>
      <w:r w:rsidRPr="00AA5833">
        <w:rPr>
          <w:rFonts w:ascii="Times New Roman" w:eastAsia="Times New Roman" w:hAnsi="Times New Roman" w:cs="Times New Roman"/>
          <w:b/>
          <w:sz w:val="24"/>
          <w:szCs w:val="24"/>
          <w:lang w:eastAsia="bg-BG"/>
        </w:rPr>
        <w:t xml:space="preserve"> 912</w:t>
      </w:r>
      <w:r w:rsidRPr="00AA5833">
        <w:rPr>
          <w:rFonts w:ascii="Times New Roman" w:eastAsia="Times New Roman" w:hAnsi="Times New Roman" w:cs="Times New Roman"/>
          <w:sz w:val="24"/>
          <w:szCs w:val="24"/>
          <w:lang w:eastAsia="bg-BG"/>
        </w:rPr>
        <w:t xml:space="preserve"> доброволци по традиционни за организацията теми, като превенция на ХИВ/СПИН и репродуктивно здраве.</w:t>
      </w:r>
    </w:p>
    <w:p w14:paraId="31F2F3ED"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Разработените онлайн курсове в платформата на БЧК осигуряват достъп на всеки човек до достоверна и структурирана информация, в удобно време, съобразено с натовареността на обучението в училище и в ежедневието. </w:t>
      </w:r>
    </w:p>
    <w:p w14:paraId="50849533"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p>
    <w:p w14:paraId="095CB80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450C604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6D629B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2.4.3. Провеждане на информационни кампании за борба със стигмата върху хора, живеещи с HIV/СПИН</w:t>
      </w:r>
    </w:p>
    <w:p w14:paraId="610ADB2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88604D6"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проведени </w:t>
      </w:r>
      <w:r w:rsidRPr="00AA5833">
        <w:rPr>
          <w:rFonts w:ascii="Times New Roman" w:eastAsia="Times New Roman" w:hAnsi="Times New Roman" w:cs="Times New Roman"/>
          <w:b/>
          <w:sz w:val="24"/>
          <w:szCs w:val="24"/>
          <w:lang w:eastAsia="bg-BG"/>
        </w:rPr>
        <w:t>133</w:t>
      </w:r>
      <w:r w:rsidRPr="00AA5833">
        <w:rPr>
          <w:rFonts w:ascii="Times New Roman" w:eastAsia="Times New Roman" w:hAnsi="Times New Roman" w:cs="Times New Roman"/>
          <w:sz w:val="24"/>
          <w:szCs w:val="24"/>
          <w:lang w:eastAsia="bg-BG"/>
        </w:rPr>
        <w:t xml:space="preserve"> информационни кампании. Чрез различни мероприятия, кампании и инициативи по темите превенция на HIV/СПИН и сексуално-рисково поведение са достигнати над </w:t>
      </w:r>
      <w:r w:rsidRPr="00AA5833">
        <w:rPr>
          <w:rFonts w:ascii="Times New Roman" w:eastAsia="Times New Roman" w:hAnsi="Times New Roman" w:cs="Times New Roman"/>
          <w:b/>
          <w:sz w:val="24"/>
          <w:szCs w:val="24"/>
          <w:lang w:eastAsia="bg-BG"/>
        </w:rPr>
        <w:t>62 500</w:t>
      </w:r>
      <w:r w:rsidRPr="00AA5833">
        <w:rPr>
          <w:rFonts w:ascii="Times New Roman" w:eastAsia="Times New Roman" w:hAnsi="Times New Roman" w:cs="Times New Roman"/>
          <w:sz w:val="24"/>
          <w:szCs w:val="24"/>
          <w:lang w:eastAsia="bg-BG"/>
        </w:rPr>
        <w:t xml:space="preserve"> души. Чрез реализирането на тези кампании и популяризирането им в социалните мрежи, ефективно и по интерактивен начин се разпространява информация за безопасно сексуално поведение и подобряване на репродуктивното здраве на младите хора в България.</w:t>
      </w:r>
    </w:p>
    <w:p w14:paraId="4874833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Едни от най-масовите информационни кампании, които обединяват мнозинството от клубовете на БМЧК в цялата страна, са АНТИСПИН кампаниите по повод 14-ти февруари (Ден на влюбените), Международния ден за съпричастност със засегнатите от </w:t>
      </w:r>
      <w:r w:rsidRPr="00AA5833">
        <w:rPr>
          <w:rFonts w:ascii="Times New Roman" w:eastAsia="Times New Roman" w:hAnsi="Times New Roman" w:cs="Times New Roman"/>
          <w:bCs/>
          <w:sz w:val="24"/>
          <w:szCs w:val="24"/>
          <w:lang w:eastAsia="bg-BG"/>
        </w:rPr>
        <w:t>ХИВ</w:t>
      </w:r>
      <w:r w:rsidRPr="00AA5833">
        <w:rPr>
          <w:rFonts w:ascii="Times New Roman" w:eastAsia="Times New Roman" w:hAnsi="Times New Roman" w:cs="Times New Roman"/>
          <w:sz w:val="24"/>
          <w:szCs w:val="24"/>
          <w:lang w:eastAsia="bg-BG"/>
        </w:rPr>
        <w:t xml:space="preserve">/СПИН (всяка трета неделя на месец май) и 1 декември (Световен ден за борба с </w:t>
      </w:r>
      <w:r w:rsidRPr="00AA5833">
        <w:rPr>
          <w:rFonts w:ascii="Times New Roman" w:eastAsia="Times New Roman" w:hAnsi="Times New Roman" w:cs="Times New Roman"/>
          <w:bCs/>
          <w:sz w:val="24"/>
          <w:szCs w:val="24"/>
          <w:lang w:eastAsia="bg-BG"/>
        </w:rPr>
        <w:t>ХИВ</w:t>
      </w:r>
      <w:r w:rsidRPr="00AA5833">
        <w:rPr>
          <w:rFonts w:ascii="Times New Roman" w:eastAsia="Times New Roman" w:hAnsi="Times New Roman" w:cs="Times New Roman"/>
          <w:sz w:val="24"/>
          <w:szCs w:val="24"/>
          <w:lang w:eastAsia="bg-BG"/>
        </w:rPr>
        <w:t xml:space="preserve">/СПИН). Основната цел на тези информационни кампании е по оригинален и атрактивен начин да насърчават отговорното и безопасно сексуално поведение, да промотират анонимното и безплатно консултиране и изследване за </w:t>
      </w:r>
      <w:r w:rsidRPr="00AA5833">
        <w:rPr>
          <w:rFonts w:ascii="Times New Roman" w:eastAsia="Times New Roman" w:hAnsi="Times New Roman" w:cs="Times New Roman"/>
          <w:bCs/>
          <w:sz w:val="24"/>
          <w:szCs w:val="24"/>
          <w:lang w:eastAsia="bg-BG"/>
        </w:rPr>
        <w:t>ХИВ</w:t>
      </w:r>
      <w:r w:rsidRPr="00AA5833">
        <w:rPr>
          <w:rFonts w:ascii="Times New Roman" w:eastAsia="Times New Roman" w:hAnsi="Times New Roman" w:cs="Times New Roman"/>
          <w:sz w:val="24"/>
          <w:szCs w:val="24"/>
          <w:lang w:eastAsia="bg-BG"/>
        </w:rPr>
        <w:t xml:space="preserve">, и да се борят с нетолерантното отношение и дискриминацията към хората, живеещи с </w:t>
      </w:r>
      <w:r w:rsidRPr="00AA5833">
        <w:rPr>
          <w:rFonts w:ascii="Times New Roman" w:eastAsia="Times New Roman" w:hAnsi="Times New Roman" w:cs="Times New Roman"/>
          <w:bCs/>
          <w:sz w:val="24"/>
          <w:szCs w:val="24"/>
          <w:lang w:eastAsia="bg-BG"/>
        </w:rPr>
        <w:t>ХИВ</w:t>
      </w:r>
      <w:r w:rsidRPr="00AA5833">
        <w:rPr>
          <w:rFonts w:ascii="Times New Roman" w:eastAsia="Times New Roman" w:hAnsi="Times New Roman" w:cs="Times New Roman"/>
          <w:sz w:val="24"/>
          <w:szCs w:val="24"/>
          <w:lang w:eastAsia="bg-BG"/>
        </w:rPr>
        <w:t>/СПИН.</w:t>
      </w:r>
    </w:p>
    <w:p w14:paraId="38DBEB5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F1A0BE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67DF5DB0" w14:textId="77777777" w:rsidR="00533926" w:rsidRPr="00AA5833" w:rsidRDefault="00533926" w:rsidP="00533926">
            <w:pPr>
              <w:spacing w:after="0" w:line="240" w:lineRule="auto"/>
              <w:jc w:val="both"/>
              <w:rPr>
                <w:rFonts w:ascii="Times New Roman" w:eastAsia="Times New Roman" w:hAnsi="Times New Roman" w:cs="Times New Roman"/>
                <w:b/>
                <w:color w:val="FF0000"/>
                <w:sz w:val="24"/>
                <w:szCs w:val="24"/>
              </w:rPr>
            </w:pPr>
            <w:r w:rsidRPr="00AA5833">
              <w:rPr>
                <w:rFonts w:ascii="Times New Roman" w:eastAsia="Times New Roman" w:hAnsi="Times New Roman" w:cs="Times New Roman"/>
                <w:b/>
                <w:color w:val="000000"/>
                <w:sz w:val="24"/>
                <w:szCs w:val="24"/>
              </w:rPr>
              <w:t>Направление 3 – Подобряване на общата демографска информираност и сексуално-репродуктивна култура на населението.</w:t>
            </w:r>
          </w:p>
        </w:tc>
      </w:tr>
    </w:tbl>
    <w:p w14:paraId="25480E3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highlight w:val="re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543DFA39"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8551CC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3.1. Повишаване на демографската информираност и сексуално-репродуктивна култура на населението </w:t>
            </w:r>
          </w:p>
        </w:tc>
      </w:tr>
    </w:tbl>
    <w:p w14:paraId="68B5472E" w14:textId="77777777" w:rsidR="00533926" w:rsidRDefault="00533926" w:rsidP="00533926">
      <w:pPr>
        <w:spacing w:after="0" w:line="240" w:lineRule="auto"/>
        <w:jc w:val="both"/>
        <w:rPr>
          <w:rFonts w:ascii="Times New Roman" w:eastAsia="Times New Roman" w:hAnsi="Times New Roman" w:cs="Times New Roman"/>
          <w:sz w:val="24"/>
          <w:szCs w:val="24"/>
        </w:rPr>
      </w:pPr>
    </w:p>
    <w:p w14:paraId="0D788DD3" w14:textId="77777777" w:rsidR="00D02A87" w:rsidRDefault="00D02A87" w:rsidP="00533926">
      <w:pPr>
        <w:spacing w:after="0" w:line="240" w:lineRule="auto"/>
        <w:jc w:val="both"/>
        <w:rPr>
          <w:rFonts w:ascii="Times New Roman" w:eastAsia="Times New Roman" w:hAnsi="Times New Roman" w:cs="Times New Roman"/>
          <w:sz w:val="24"/>
          <w:szCs w:val="24"/>
        </w:rPr>
      </w:pPr>
    </w:p>
    <w:p w14:paraId="64E59085" w14:textId="77777777" w:rsidR="00D02A87" w:rsidRDefault="00D02A87" w:rsidP="00533926">
      <w:pPr>
        <w:spacing w:after="0" w:line="240" w:lineRule="auto"/>
        <w:jc w:val="both"/>
        <w:rPr>
          <w:rFonts w:ascii="Times New Roman" w:eastAsia="Times New Roman" w:hAnsi="Times New Roman" w:cs="Times New Roman"/>
          <w:sz w:val="24"/>
          <w:szCs w:val="24"/>
        </w:rPr>
      </w:pPr>
    </w:p>
    <w:p w14:paraId="55E63959" w14:textId="77777777" w:rsidR="00D02A87" w:rsidRDefault="00D02A87" w:rsidP="00533926">
      <w:pPr>
        <w:spacing w:after="0" w:line="240" w:lineRule="auto"/>
        <w:jc w:val="both"/>
        <w:rPr>
          <w:rFonts w:ascii="Times New Roman" w:eastAsia="Times New Roman" w:hAnsi="Times New Roman" w:cs="Times New Roman"/>
          <w:sz w:val="24"/>
          <w:szCs w:val="24"/>
        </w:rPr>
      </w:pPr>
    </w:p>
    <w:p w14:paraId="7C32EEE9" w14:textId="77777777" w:rsidR="00D02A87" w:rsidRDefault="00D02A87" w:rsidP="00533926">
      <w:pPr>
        <w:spacing w:after="0" w:line="240" w:lineRule="auto"/>
        <w:jc w:val="both"/>
        <w:rPr>
          <w:rFonts w:ascii="Times New Roman" w:eastAsia="Times New Roman" w:hAnsi="Times New Roman" w:cs="Times New Roman"/>
          <w:sz w:val="24"/>
          <w:szCs w:val="24"/>
        </w:rPr>
      </w:pPr>
    </w:p>
    <w:p w14:paraId="490449D8" w14:textId="77777777" w:rsidR="00D02A87" w:rsidRPr="00AA5833" w:rsidRDefault="00D02A87" w:rsidP="00533926">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263ACFD2"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4491BE35"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Направление 4 – Подобряване на общото здравословно състояние на населението и намаляване на общата, преждевременната, детската и майчината смъртност.</w:t>
            </w:r>
          </w:p>
        </w:tc>
      </w:tr>
    </w:tbl>
    <w:p w14:paraId="39437997" w14:textId="77777777" w:rsidR="00533926" w:rsidRPr="00AA5833" w:rsidRDefault="00533926" w:rsidP="00533926">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4764BD9F"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C9C6893"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4.1. Подобряване на стандарта и качеството на живот</w:t>
            </w:r>
          </w:p>
        </w:tc>
      </w:tr>
    </w:tbl>
    <w:p w14:paraId="7ECB5E1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5AE596A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34D29B0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0E9150A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4.1.1. Изпълнение на Национална програма за превенция и контрол на туберкулозата 2021 – 2025 г. </w:t>
      </w:r>
    </w:p>
    <w:p w14:paraId="77CEED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586AFCA0" w14:textId="77777777" w:rsidR="00533926" w:rsidRPr="00AA5833" w:rsidRDefault="00533926" w:rsidP="002A598C">
      <w:pPr>
        <w:numPr>
          <w:ilvl w:val="0"/>
          <w:numId w:val="100"/>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Намаляване на заболяемостта от туберкулоза през 2024 г. под 18 на 100 000 население:</w:t>
      </w:r>
    </w:p>
    <w:p w14:paraId="1B6A5B79"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В България през последните години се наблюдава трайна тенденция за намаляване на заболяемостта от активна туберкулоза – от 39,1 на 100 000 през 2006 г. до 13,5 на 100 000 през 2024 г. </w:t>
      </w:r>
    </w:p>
    <w:p w14:paraId="5A43E029" w14:textId="77777777" w:rsidR="00533926" w:rsidRPr="00AA5833" w:rsidRDefault="00533926" w:rsidP="002A598C">
      <w:pPr>
        <w:numPr>
          <w:ilvl w:val="0"/>
          <w:numId w:val="100"/>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Задържане на относителния дял на успешно лекуваните новооткрити случаи с белодробна туберкулоза с микроскопско и/или културелно изследване над 85%: </w:t>
      </w:r>
    </w:p>
    <w:p w14:paraId="78FB6F5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След 2023 г. относителният дял на успешно лекуваните новооткрити случаи с белодробна туберкулоза с микроскопско и/или културелно изследване е под 85%. Вероятна причина за това е пандемията от COVID-19 и свързаната с нея реорганизация на здравната система. През 2024 г. относителният дял на успешно лекуваните новооткрити случаи с белодробна туберкулоза с микроскопско и/или културелно изследване е 75,3%.</w:t>
      </w:r>
    </w:p>
    <w:p w14:paraId="60EC4742"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Функционират 28 регионални лечебни заведения, които отговарят за превенция, диагностика, лечение и контрол на туберкулозата. Функционира един сектор за лечение на пациентите с мултирезистентна туберкулоза. </w:t>
      </w:r>
    </w:p>
    <w:p w14:paraId="63768E3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Министерство на здравеопазването осигурява диагностикуми и консумативи за диагностика на туберкулоза на 33 микробиологични лаборатории в страната. В България са въведени и бързи тестове за диагности</w:t>
      </w:r>
      <w:r w:rsidR="001A0EB7">
        <w:rPr>
          <w:rFonts w:ascii="Times New Roman" w:eastAsia="Times New Roman" w:hAnsi="Times New Roman" w:cs="Times New Roman"/>
          <w:sz w:val="24"/>
          <w:szCs w:val="24"/>
          <w:lang w:eastAsia="bg-BG"/>
        </w:rPr>
        <w:t>ка на туберкулоза и рифампицин</w:t>
      </w:r>
      <w:r w:rsidRPr="00AA5833">
        <w:rPr>
          <w:rFonts w:ascii="Times New Roman" w:eastAsia="Times New Roman" w:hAnsi="Times New Roman" w:cs="Times New Roman"/>
          <w:sz w:val="24"/>
          <w:szCs w:val="24"/>
          <w:lang w:eastAsia="bg-BG"/>
        </w:rPr>
        <w:t xml:space="preserve"> резистентна туберкулоза (Real Time PCR тестове за бързо откриване на MTB комплекс и резистентност към Рифампицин-GenExpert), което допринася за своевременно започване на лечението и ограничаване на разпространение на това заболяване. </w:t>
      </w:r>
    </w:p>
    <w:p w14:paraId="563A8249" w14:textId="77777777" w:rsidR="00533926" w:rsidRPr="00AA5833" w:rsidRDefault="00533926" w:rsidP="002A598C">
      <w:pPr>
        <w:numPr>
          <w:ilvl w:val="0"/>
          <w:numId w:val="100"/>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Брой обхванати контактни лица с химиопрофилактика </w:t>
      </w:r>
    </w:p>
    <w:p w14:paraId="1DA50E1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Броят на обхванати контактни лица с химиопрофилактика през 2024 г. е 2280 лица. </w:t>
      </w:r>
    </w:p>
    <w:p w14:paraId="601ABE48" w14:textId="77777777" w:rsidR="00533926" w:rsidRPr="00AA5833" w:rsidRDefault="00533926" w:rsidP="002A598C">
      <w:pPr>
        <w:numPr>
          <w:ilvl w:val="0"/>
          <w:numId w:val="100"/>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Брой на случаите на туберкулоза от групите във висок риск </w:t>
      </w:r>
    </w:p>
    <w:p w14:paraId="7D02AAE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След приключване на процедурата за избор на изпълнители на дейности по превенция на туберкулоза сред рисковите групи във връзк</w:t>
      </w:r>
      <w:r w:rsidR="001A0EB7">
        <w:rPr>
          <w:rFonts w:ascii="Times New Roman" w:eastAsia="Times New Roman" w:hAnsi="Times New Roman" w:cs="Times New Roman"/>
          <w:sz w:val="24"/>
          <w:szCs w:val="24"/>
          <w:lang w:eastAsia="bg-BG"/>
        </w:rPr>
        <w:t>а с изпълнението на Национална п</w:t>
      </w:r>
      <w:r w:rsidRPr="00AA5833">
        <w:rPr>
          <w:rFonts w:ascii="Times New Roman" w:eastAsia="Times New Roman" w:hAnsi="Times New Roman" w:cs="Times New Roman"/>
          <w:sz w:val="24"/>
          <w:szCs w:val="24"/>
          <w:lang w:eastAsia="bg-BG"/>
        </w:rPr>
        <w:t xml:space="preserve">рограма за превенция и контрол на туберкулозата са сключени договори със 7 организации, които изпълняват дейности в 15 области на страната. В изпълнение на тях от групите с висок риск през 2024 г. са достигнати общо 6050 </w:t>
      </w:r>
      <w:r w:rsidR="001A0EB7">
        <w:rPr>
          <w:rFonts w:ascii="Times New Roman" w:eastAsia="Times New Roman" w:hAnsi="Times New Roman" w:cs="Times New Roman"/>
          <w:sz w:val="24"/>
          <w:szCs w:val="24"/>
          <w:lang w:eastAsia="bg-BG"/>
        </w:rPr>
        <w:t>лица</w:t>
      </w:r>
      <w:r w:rsidRPr="00AA5833">
        <w:rPr>
          <w:rFonts w:ascii="Times New Roman" w:eastAsia="Times New Roman" w:hAnsi="Times New Roman" w:cs="Times New Roman"/>
          <w:sz w:val="24"/>
          <w:szCs w:val="24"/>
          <w:lang w:eastAsia="bg-BG"/>
        </w:rPr>
        <w:t>.</w:t>
      </w:r>
    </w:p>
    <w:p w14:paraId="6A62EBC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По Националната програма за превенция и контрол на туберкулозата в Република България разходите са в рамките на утвърдения за 2024 г. бюджет на Министерство на здравеопазването.</w:t>
      </w:r>
    </w:p>
    <w:p w14:paraId="6FFB3FE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14D047C2"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155D9D3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43661D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4.1.2. Оптимизиране на дейностите включени в Наредба №9 за определяне на пакета от здравни дейности, гарантиран от бюджета на Националната здравноосигурителна каса </w:t>
      </w:r>
    </w:p>
    <w:p w14:paraId="3F77568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603F119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С промени от 2024 г. в Наредба №9 от 2019 г. за определяне на пакета от здравни дейности, гарантиран от бюджета на Национална здравноосигурителна каса, се разшири обхватът на пакета от здравни дейности за новородените деца като се създаде правна възможност за включване на медицински специалисти от индивидуална или групова практика за здравни грижи чрез договор с амбулатория за първична медицинска помощ в домашните посещения на новородените до 6 месеца след изписване от лечебното заведение. С промените в пакета се включиха и нови видове медико-диагностични изследвания в обхвата на медицинските специалности „Клинична лаборатория“ и „Обща и клинична патология“. По този начин е осигурена достъпна и надеждна оценка на бъбречната функция при пациенти с намалена бъбречна функция, създадена е възможност за по-ранна и точна диагностика на рак на маточната шийка. В пакета са включени и нови високоспециализирани дейности за извършване на имуноцитохимично изследване на биоптат и за извършване на ДНК анализ за пациенти с хематологични заболявания.</w:t>
      </w:r>
    </w:p>
    <w:p w14:paraId="6E93CA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36C9338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highlight w:val="yellow"/>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5FCB898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E68E48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4.1.3. Оптимизиране на дейностите предоставяни по реда на Наредба №8 за профилактичните прегледи и диспансеризацията </w:t>
      </w:r>
    </w:p>
    <w:p w14:paraId="3914D88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6FC29A3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2024 г. с промените на Наредба №8 от 2016 г. за профилактичните прегледи и диспансеризацията са създадени нормативни предпоставки за по-добро диспансерно наблюдение и за проследяване на ефекта от прилаганото лечение на пациенти с хронични кардиологични заболявания и шест редки заболявания (вроден хиперинсулинизъм, вродена генерализирана липодистрофия, остра чернодробна порфирия, транстиретин-свързана амилоидоза с нормална последователност и първична хипероксалурия). Разширени са възрастовите граници за скрининг за рак на простатата при мъжете и за рак на гърдата при жените в обхвата на профилактичните прегледи.</w:t>
      </w:r>
    </w:p>
    <w:p w14:paraId="17A20EA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F19408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ВЪТРЕШНИТЕ РАБОТИ</w:t>
      </w:r>
    </w:p>
    <w:p w14:paraId="46CDAB20"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5B2ABEEB"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4.1.4. Кампания „КОД – Отговорни заедно”</w:t>
      </w:r>
    </w:p>
    <w:p w14:paraId="11EB247A" w14:textId="77777777" w:rsidR="00533926" w:rsidRPr="00AA5833" w:rsidRDefault="00533926" w:rsidP="00533926">
      <w:pPr>
        <w:spacing w:after="0" w:line="240" w:lineRule="auto"/>
        <w:ind w:firstLine="851"/>
        <w:jc w:val="both"/>
        <w:rPr>
          <w:rFonts w:ascii="Times New Roman" w:eastAsia="Calibri" w:hAnsi="Times New Roman" w:cs="Times New Roman"/>
          <w:b/>
          <w:color w:val="000000"/>
          <w:sz w:val="24"/>
          <w:szCs w:val="24"/>
        </w:rPr>
      </w:pPr>
    </w:p>
    <w:p w14:paraId="04E30D67" w14:textId="77777777" w:rsidR="00533926" w:rsidRPr="00AA5833" w:rsidRDefault="00533926" w:rsidP="00533926">
      <w:pPr>
        <w:spacing w:after="0" w:line="240" w:lineRule="auto"/>
        <w:ind w:right="-29" w:firstLine="851"/>
        <w:jc w:val="both"/>
        <w:rPr>
          <w:rFonts w:ascii="Times New Roman" w:hAnsi="Times New Roman" w:cs="Times New Roman"/>
          <w:sz w:val="24"/>
          <w:szCs w:val="24"/>
          <w:shd w:val="clear" w:color="auto" w:fill="FFFFFF"/>
        </w:rPr>
      </w:pPr>
      <w:r w:rsidRPr="00AA5833">
        <w:rPr>
          <w:rFonts w:ascii="Times New Roman" w:hAnsi="Times New Roman" w:cs="Times New Roman"/>
          <w:sz w:val="24"/>
          <w:szCs w:val="24"/>
        </w:rPr>
        <w:t xml:space="preserve">В рамките на сключено споразумение за сътрудничество и взаимодействие между  Главна дирекция „Национална полиция“ (ГДНП) </w:t>
      </w:r>
      <w:r w:rsidRPr="00AA5833">
        <w:rPr>
          <w:rFonts w:ascii="Times New Roman" w:hAnsi="Times New Roman" w:cs="Times New Roman"/>
          <w:noProof/>
          <w:sz w:val="24"/>
          <w:szCs w:val="24"/>
        </w:rPr>
        <w:t xml:space="preserve">– МВР </w:t>
      </w:r>
      <w:r w:rsidRPr="00AA5833">
        <w:rPr>
          <w:rFonts w:ascii="Times New Roman" w:hAnsi="Times New Roman" w:cs="Times New Roman"/>
          <w:sz w:val="24"/>
          <w:szCs w:val="24"/>
        </w:rPr>
        <w:t xml:space="preserve">и Съюза на пивоварите в Република България на 17.04.2024 г., в лятното кино на гр. Ямбол е проведено спортно мероприятие, част от дългосрочната превантивна кампания „КОД </w:t>
      </w:r>
      <w:r w:rsidRPr="00AA5833">
        <w:rPr>
          <w:rFonts w:ascii="Times New Roman" w:hAnsi="Times New Roman" w:cs="Times New Roman"/>
          <w:noProof/>
          <w:sz w:val="24"/>
          <w:szCs w:val="24"/>
        </w:rPr>
        <w:t>–</w:t>
      </w:r>
      <w:r w:rsidRPr="00AA5833">
        <w:rPr>
          <w:rFonts w:ascii="Times New Roman" w:hAnsi="Times New Roman" w:cs="Times New Roman"/>
          <w:sz w:val="24"/>
          <w:szCs w:val="24"/>
        </w:rPr>
        <w:t xml:space="preserve"> Отговорни заедно“ срещу зависимостите сред деца под 18-годишна възраст. </w:t>
      </w:r>
      <w:r w:rsidRPr="00AA5833">
        <w:rPr>
          <w:rFonts w:ascii="Times New Roman" w:eastAsia="Calibri" w:hAnsi="Times New Roman" w:cs="Times New Roman"/>
          <w:color w:val="000000"/>
          <w:sz w:val="24"/>
          <w:szCs w:val="24"/>
        </w:rPr>
        <w:t xml:space="preserve">В </w:t>
      </w:r>
      <w:r w:rsidRPr="00AA5833">
        <w:rPr>
          <w:rFonts w:ascii="Times New Roman" w:hAnsi="Times New Roman" w:cs="Times New Roman"/>
          <w:sz w:val="24"/>
          <w:szCs w:val="24"/>
        </w:rPr>
        <w:t>мероприятието е взето участие от 70 деца от пет учебни заведения  от област Ямбол</w:t>
      </w:r>
      <w:r w:rsidRPr="00AA5833">
        <w:rPr>
          <w:rFonts w:ascii="Times New Roman" w:hAnsi="Times New Roman" w:cs="Times New Roman"/>
          <w:sz w:val="24"/>
          <w:szCs w:val="24"/>
          <w:shd w:val="clear" w:color="auto" w:fill="FFFFFF"/>
        </w:rPr>
        <w:t>, както и 30 деца</w:t>
      </w:r>
      <w:r w:rsidRPr="00AA5833">
        <w:rPr>
          <w:rFonts w:ascii="Times New Roman" w:hAnsi="Times New Roman" w:cs="Times New Roman"/>
          <w:sz w:val="24"/>
          <w:szCs w:val="24"/>
        </w:rPr>
        <w:t xml:space="preserve"> от същите училища, които са представили различни музикални и танцови изпълнения. </w:t>
      </w:r>
      <w:r w:rsidRPr="00AA5833">
        <w:rPr>
          <w:rFonts w:ascii="Times New Roman" w:hAnsi="Times New Roman" w:cs="Times New Roman"/>
          <w:sz w:val="24"/>
          <w:szCs w:val="24"/>
          <w:shd w:val="clear" w:color="auto" w:fill="FFFFFF"/>
        </w:rPr>
        <w:t xml:space="preserve">На събитието са присъствали </w:t>
      </w:r>
      <w:r w:rsidRPr="00AA5833">
        <w:rPr>
          <w:rFonts w:ascii="Times New Roman" w:hAnsi="Times New Roman" w:cs="Times New Roman"/>
          <w:sz w:val="24"/>
          <w:szCs w:val="24"/>
        </w:rPr>
        <w:t>служители от ГДНП, областна дирекция на МВР (</w:t>
      </w:r>
      <w:r w:rsidRPr="00AA5833">
        <w:rPr>
          <w:rFonts w:ascii="Times New Roman" w:hAnsi="Times New Roman" w:cs="Times New Roman"/>
          <w:sz w:val="24"/>
          <w:szCs w:val="24"/>
          <w:shd w:val="clear" w:color="auto" w:fill="FFFFFF"/>
        </w:rPr>
        <w:t>ОДМВР) Ямбол, областният управител на Ямбол, изпълнителният директор на Съюза на пивоварите в България, началникът на Регионално управление на образованието в гр. Ямбол, представители на общините Елхово, Стралджа и Тунджа.</w:t>
      </w:r>
    </w:p>
    <w:p w14:paraId="1585DAEC" w14:textId="77777777" w:rsidR="00533926" w:rsidRPr="00AA5833" w:rsidRDefault="00533926" w:rsidP="00533926">
      <w:pPr>
        <w:spacing w:after="0" w:line="240" w:lineRule="auto"/>
        <w:ind w:right="-29" w:firstLine="851"/>
        <w:jc w:val="both"/>
        <w:rPr>
          <w:rFonts w:ascii="Times New Roman" w:hAnsi="Times New Roman" w:cs="Times New Roman"/>
          <w:sz w:val="24"/>
          <w:szCs w:val="24"/>
          <w:shd w:val="clear" w:color="auto" w:fill="FFFFFF"/>
        </w:rPr>
      </w:pPr>
    </w:p>
    <w:p w14:paraId="4B2C538B"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lastRenderedPageBreak/>
        <w:t>МИНИСТЕРСТВО НА ВЪТРЕШНИТЕ РАБОТИ</w:t>
      </w:r>
    </w:p>
    <w:p w14:paraId="7E8DE41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4745C70"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4.1.5. Национална превантивна кампания</w:t>
      </w:r>
      <w:r w:rsidRPr="00AA5833">
        <w:rPr>
          <w:rFonts w:ascii="Times New Roman" w:hAnsi="Times New Roman" w:cs="Times New Roman"/>
          <w:b/>
          <w:color w:val="FF0000"/>
          <w:sz w:val="24"/>
          <w:szCs w:val="24"/>
        </w:rPr>
        <w:t xml:space="preserve"> </w:t>
      </w:r>
      <w:r w:rsidRPr="00AA5833">
        <w:rPr>
          <w:rFonts w:ascii="Times New Roman" w:hAnsi="Times New Roman" w:cs="Times New Roman"/>
          <w:b/>
          <w:sz w:val="24"/>
          <w:szCs w:val="24"/>
        </w:rPr>
        <w:t xml:space="preserve">„Предпазване на младите хора от престъпление“ </w:t>
      </w:r>
    </w:p>
    <w:p w14:paraId="1F0B07EF" w14:textId="77777777" w:rsidR="00533926" w:rsidRPr="00AA5833" w:rsidRDefault="00533926" w:rsidP="00533926">
      <w:pPr>
        <w:spacing w:after="0" w:line="240" w:lineRule="auto"/>
        <w:jc w:val="both"/>
        <w:rPr>
          <w:rFonts w:ascii="Times New Roman" w:hAnsi="Times New Roman" w:cs="Times New Roman"/>
          <w:b/>
          <w:sz w:val="24"/>
          <w:szCs w:val="24"/>
        </w:rPr>
      </w:pPr>
    </w:p>
    <w:p w14:paraId="053C2E19" w14:textId="77777777" w:rsidR="00533926" w:rsidRPr="00AA5833" w:rsidRDefault="00533926" w:rsidP="00533926">
      <w:pPr>
        <w:spacing w:after="0" w:line="240" w:lineRule="auto"/>
        <w:ind w:right="-57" w:firstLine="851"/>
        <w:jc w:val="both"/>
        <w:rPr>
          <w:rFonts w:ascii="Times New Roman" w:hAnsi="Times New Roman" w:cs="Times New Roman"/>
          <w:sz w:val="24"/>
          <w:szCs w:val="24"/>
        </w:rPr>
      </w:pPr>
      <w:r w:rsidRPr="00AA5833">
        <w:rPr>
          <w:rFonts w:ascii="Times New Roman" w:hAnsi="Times New Roman" w:cs="Times New Roman"/>
          <w:sz w:val="24"/>
          <w:szCs w:val="24"/>
        </w:rPr>
        <w:t xml:space="preserve">През учебната 2023/2024 г. Националната превантивна програма „Предпазване на младите хора от престъпления“ (Програмата) е реализирана в общо 202 училища на територията на градовете Благоевград, Бургас, Варна, Велико Търново, Добрич, Монтана, Пазарджик, Плевен, Пловдив, Русе, Сливен, Търговище и Шумен. На представяне на темите са присъствали около 8400 ученици и техните учители. </w:t>
      </w:r>
      <w:r w:rsidRPr="00AA5833">
        <w:rPr>
          <w:rFonts w:ascii="Times New Roman" w:hAnsi="Times New Roman" w:cs="Times New Roman"/>
          <w:bCs/>
          <w:sz w:val="24"/>
          <w:szCs w:val="24"/>
        </w:rPr>
        <w:t xml:space="preserve">Беседите са предизвикали интерес и активност от страна на учениците.    </w:t>
      </w:r>
    </w:p>
    <w:p w14:paraId="70C1397D" w14:textId="77777777" w:rsidR="00533926" w:rsidRPr="00AA5833" w:rsidRDefault="00533926" w:rsidP="00533926">
      <w:pPr>
        <w:spacing w:after="0" w:line="240" w:lineRule="auto"/>
        <w:ind w:firstLine="851"/>
        <w:jc w:val="both"/>
        <w:rPr>
          <w:rFonts w:ascii="Times New Roman" w:hAnsi="Times New Roman" w:cs="Times New Roman"/>
          <w:bCs/>
          <w:sz w:val="24"/>
          <w:szCs w:val="24"/>
        </w:rPr>
      </w:pPr>
      <w:r w:rsidRPr="00AA5833">
        <w:rPr>
          <w:rFonts w:ascii="Times New Roman" w:hAnsi="Times New Roman" w:cs="Times New Roman"/>
          <w:bCs/>
          <w:sz w:val="24"/>
          <w:szCs w:val="24"/>
        </w:rPr>
        <w:t xml:space="preserve">От учебната 2024/2025 г. Програмата се провежда на територията на цялата страна и обхваща всички областни градове. Тъй като учебната година все още не е приключила, към момента не може да бъде предоставена информация за броя на участващите училища и ученици.  </w:t>
      </w:r>
    </w:p>
    <w:p w14:paraId="3FC76A65" w14:textId="77777777" w:rsidR="00533926" w:rsidRPr="00AA5833" w:rsidRDefault="00533926" w:rsidP="00533926">
      <w:pPr>
        <w:spacing w:after="0" w:line="240" w:lineRule="auto"/>
        <w:ind w:right="-57" w:firstLine="851"/>
        <w:jc w:val="both"/>
        <w:rPr>
          <w:rFonts w:ascii="Times New Roman" w:hAnsi="Times New Roman" w:cs="Times New Roman"/>
          <w:sz w:val="24"/>
          <w:szCs w:val="24"/>
        </w:rPr>
      </w:pPr>
      <w:r w:rsidRPr="00AA5833">
        <w:rPr>
          <w:rFonts w:ascii="Times New Roman" w:hAnsi="Times New Roman" w:cs="Times New Roman"/>
          <w:sz w:val="24"/>
          <w:szCs w:val="24"/>
        </w:rPr>
        <w:t xml:space="preserve">В програмата са включени следните теми: </w:t>
      </w:r>
      <w:r w:rsidRPr="00AA5833">
        <w:rPr>
          <w:rFonts w:ascii="Times New Roman" w:eastAsia="Calibri" w:hAnsi="Times New Roman" w:cs="Times New Roman"/>
          <w:sz w:val="24"/>
          <w:szCs w:val="24"/>
        </w:rPr>
        <w:t>„Превенция на трафик на хора“</w:t>
      </w:r>
      <w:r w:rsidRPr="00AA5833">
        <w:rPr>
          <w:rFonts w:ascii="Times New Roman" w:hAnsi="Times New Roman" w:cs="Times New Roman"/>
          <w:noProof/>
          <w:sz w:val="24"/>
          <w:szCs w:val="24"/>
        </w:rPr>
        <w:t xml:space="preserve"> –</w:t>
      </w:r>
      <w:r w:rsidRPr="00AA5833">
        <w:rPr>
          <w:rFonts w:ascii="Times New Roman" w:eastAsia="Calibri" w:hAnsi="Times New Roman" w:cs="Times New Roman"/>
          <w:sz w:val="24"/>
          <w:szCs w:val="24"/>
        </w:rPr>
        <w:t xml:space="preserve"> презентирани от служители на Местните комисии за борба с трафика на хора; „Превенция на употребата на наркотични вещества“ (установени в практиката начини за склоняване към употреба на наркотични вещества и участие в схеми за разпространението им)</w:t>
      </w:r>
      <w:r w:rsidRPr="00AA5833">
        <w:rPr>
          <w:rFonts w:ascii="Times New Roman" w:hAnsi="Times New Roman" w:cs="Times New Roman"/>
          <w:noProof/>
          <w:sz w:val="24"/>
          <w:szCs w:val="24"/>
        </w:rPr>
        <w:t xml:space="preserve"> –</w:t>
      </w:r>
      <w:r w:rsidRPr="00AA5833">
        <w:rPr>
          <w:rFonts w:ascii="Times New Roman" w:eastAsia="Calibri" w:hAnsi="Times New Roman" w:cs="Times New Roman"/>
          <w:sz w:val="24"/>
          <w:szCs w:val="24"/>
        </w:rPr>
        <w:t xml:space="preserve"> представена от служители на Превантивно-информационните центрове по проблемите на наркоманиите; „Превенция на престъпления против собствеността“</w:t>
      </w:r>
      <w:r w:rsidRPr="00AA5833">
        <w:rPr>
          <w:rFonts w:ascii="Times New Roman" w:hAnsi="Times New Roman" w:cs="Times New Roman"/>
          <w:noProof/>
          <w:sz w:val="24"/>
          <w:szCs w:val="24"/>
        </w:rPr>
        <w:t xml:space="preserve"> – </w:t>
      </w:r>
      <w:r w:rsidRPr="00AA5833">
        <w:rPr>
          <w:rFonts w:ascii="Times New Roman" w:eastAsia="Calibri" w:hAnsi="Times New Roman" w:cs="Times New Roman"/>
          <w:sz w:val="24"/>
          <w:szCs w:val="24"/>
        </w:rPr>
        <w:t>презентирана от служител на съответната ОДМВР; „Превенция на престъпления и виктимизация с използване на информационни и комуникационни технологии“</w:t>
      </w:r>
      <w:r w:rsidRPr="00AA5833">
        <w:rPr>
          <w:rFonts w:ascii="Times New Roman" w:hAnsi="Times New Roman" w:cs="Times New Roman"/>
          <w:noProof/>
          <w:sz w:val="24"/>
          <w:szCs w:val="24"/>
        </w:rPr>
        <w:t xml:space="preserve"> –</w:t>
      </w:r>
      <w:r w:rsidRPr="00AA5833">
        <w:rPr>
          <w:rFonts w:ascii="Times New Roman" w:eastAsia="Calibri" w:hAnsi="Times New Roman" w:cs="Times New Roman"/>
          <w:sz w:val="24"/>
          <w:szCs w:val="24"/>
        </w:rPr>
        <w:t xml:space="preserve"> представена от служители на ГДБОП. </w:t>
      </w:r>
    </w:p>
    <w:p w14:paraId="60497370" w14:textId="77777777" w:rsidR="00533926" w:rsidRPr="00AA5833" w:rsidRDefault="00533926" w:rsidP="00533926">
      <w:pPr>
        <w:spacing w:after="0" w:line="240" w:lineRule="auto"/>
        <w:ind w:right="-57" w:firstLine="851"/>
        <w:jc w:val="both"/>
        <w:rPr>
          <w:rFonts w:ascii="Times New Roman" w:hAnsi="Times New Roman" w:cs="Times New Roman"/>
          <w:sz w:val="24"/>
          <w:szCs w:val="24"/>
        </w:rPr>
      </w:pPr>
    </w:p>
    <w:p w14:paraId="7CDE8C3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00B615D7" w14:textId="77777777" w:rsidR="00533926" w:rsidRPr="00AA5833" w:rsidRDefault="00533926" w:rsidP="00533926">
      <w:pPr>
        <w:spacing w:after="0" w:line="240" w:lineRule="auto"/>
        <w:ind w:right="-57" w:firstLine="851"/>
        <w:jc w:val="both"/>
        <w:rPr>
          <w:rFonts w:ascii="Times New Roman" w:hAnsi="Times New Roman" w:cs="Times New Roman"/>
          <w:sz w:val="24"/>
          <w:szCs w:val="24"/>
        </w:rPr>
      </w:pPr>
    </w:p>
    <w:p w14:paraId="6470965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4.1.6. Създаване на организация за провеждането на задължителен годишен профилактичен медицински преглед на военнослужещите, курсантите във висшите военни училища и резервистите на активна служба, и периодичен медицински преглед на цивилните служители в Министерство на отбраната, структурите на пряко подчинение на министъра на отбраната и Българската армия </w:t>
      </w:r>
    </w:p>
    <w:p w14:paraId="4E43B0F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5E9C01E"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Провеждането на задължителен годишен профилактичен медицински преглед на военнослужещите, курсантите във висшите военни училища и резервистите на активна служба се осъществява съгласно разпоредбите на  Наредба №Н-6 от 13 февруари 2018 г. за военномедицинската експертиза, издадена от МО. Годишният профилактичен медицински преглед се извършва въз основа на обективен преглед, изследвания и обобщени данни от прегледа за работа при здравословни и безопасни условия на труд, друга медицинска документация и подписана декларация от военнослужещия /резервиста за здравословното му/й състояние за периода от предишния годишен профилактичен медицински преглед. Извършват се и допълнителни ежегодни изследвания съгласно разпоредбите на нормативната уредба за профилактика на заболяванията. Всички данни от годишния профилактичен медицински преглед се отразяват в протокол по образец, който се съхранява в служебното дело на военнослужещите за целия срок на службата. Годишният профилактичен медицински преглед се извършва в период, който се обявява ежегодно с нарочна заповед на министъра на отбраната</w:t>
      </w:r>
      <w:r w:rsidRPr="00AA5833">
        <w:rPr>
          <w:rFonts w:ascii="Times New Roman" w:hAnsi="Times New Roman" w:cs="Times New Roman"/>
          <w:color w:val="00B050"/>
          <w:sz w:val="24"/>
          <w:szCs w:val="24"/>
        </w:rPr>
        <w:t xml:space="preserve"> </w:t>
      </w:r>
      <w:r w:rsidRPr="00AA5833">
        <w:rPr>
          <w:rFonts w:ascii="Times New Roman" w:hAnsi="Times New Roman" w:cs="Times New Roman"/>
          <w:sz w:val="24"/>
          <w:szCs w:val="24"/>
        </w:rPr>
        <w:t>– за 2024 г. дейността е била организирана с МЗ №ОХ-774/16.08.2024 г.</w:t>
      </w:r>
    </w:p>
    <w:p w14:paraId="437BE915" w14:textId="77777777" w:rsidR="00533926" w:rsidRPr="00AA5833" w:rsidRDefault="00533926" w:rsidP="00533926">
      <w:pPr>
        <w:spacing w:after="0" w:line="240" w:lineRule="auto"/>
        <w:ind w:firstLine="720"/>
        <w:jc w:val="both"/>
        <w:rPr>
          <w:rFonts w:ascii="Times New Roman" w:hAnsi="Times New Roman" w:cs="Times New Roman"/>
          <w:color w:val="FF0000"/>
          <w:sz w:val="24"/>
          <w:szCs w:val="24"/>
        </w:rPr>
      </w:pPr>
      <w:r w:rsidRPr="00AA5833">
        <w:rPr>
          <w:rFonts w:ascii="Times New Roman" w:hAnsi="Times New Roman" w:cs="Times New Roman"/>
          <w:sz w:val="24"/>
          <w:szCs w:val="24"/>
        </w:rPr>
        <w:lastRenderedPageBreak/>
        <w:t>Провеждането на периодичен медицински преглед на цивилните служители в Министерството на отбраната, структурите на пряко подчинение на министъра на отбраната и Българската армия се осъществява съгласно разпоредбите на Наредба №Н-8 от 3 ноември 2016 г. за профилактичните прегледи и диспансеризацията, издадена от Министерството на здравеопазването.</w:t>
      </w:r>
    </w:p>
    <w:p w14:paraId="03A9AE96" w14:textId="77777777" w:rsidR="00533926" w:rsidRPr="00AA5833" w:rsidRDefault="00533926" w:rsidP="00533926">
      <w:pPr>
        <w:spacing w:after="0" w:line="240" w:lineRule="auto"/>
        <w:ind w:right="-57" w:firstLine="851"/>
        <w:jc w:val="both"/>
        <w:rPr>
          <w:rFonts w:ascii="Times New Roman" w:hAnsi="Times New Roman" w:cs="Times New Roman"/>
          <w:sz w:val="24"/>
          <w:szCs w:val="24"/>
        </w:rPr>
      </w:pPr>
    </w:p>
    <w:p w14:paraId="1F9B6FC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291D1E5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5D217D5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4.1.7. Един път годишно на здравноосигурените лица се провежда профилактичен преглед от общопрактикуващ лекар</w:t>
      </w:r>
    </w:p>
    <w:p w14:paraId="68D16F7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5AEA078"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eastAsia="Times New Roman" w:hAnsi="Times New Roman" w:cs="Times New Roman"/>
          <w:sz w:val="24"/>
          <w:szCs w:val="24"/>
          <w:lang w:eastAsia="bg-BG"/>
        </w:rPr>
        <w:t xml:space="preserve">Профилактичните прегледи на здравноосигурени лица над 18-годишна възраст през 2024 г. </w:t>
      </w:r>
      <w:r w:rsidRPr="00AA5833">
        <w:rPr>
          <w:rFonts w:ascii="Times New Roman" w:hAnsi="Times New Roman" w:cs="Times New Roman"/>
          <w:sz w:val="24"/>
          <w:szCs w:val="24"/>
        </w:rPr>
        <w:t>се извършват съгласно Приложение №12 към НРД за МД 2023 – 2025 г., Наредба №8 от 3 ноември 2016 г. за профилактичните прегледи и диспансеризацията и Наредба №9 от 10 декември 2019 г. за определяне на пакета от здравни дейности, гарантиран от бюджета на НЗОК.</w:t>
      </w:r>
    </w:p>
    <w:p w14:paraId="574EECD1" w14:textId="77777777" w:rsidR="00533926" w:rsidRPr="00AA5833" w:rsidRDefault="00533926" w:rsidP="00533926">
      <w:pPr>
        <w:spacing w:after="0" w:line="240" w:lineRule="auto"/>
        <w:ind w:firstLine="709"/>
        <w:jc w:val="both"/>
        <w:rPr>
          <w:rFonts w:ascii="Times New Roman" w:hAnsi="Times New Roman"/>
          <w:sz w:val="24"/>
          <w:szCs w:val="24"/>
        </w:rPr>
      </w:pPr>
      <w:r w:rsidRPr="00AA5833">
        <w:rPr>
          <w:rFonts w:ascii="Times New Roman" w:hAnsi="Times New Roman"/>
          <w:sz w:val="24"/>
          <w:szCs w:val="24"/>
        </w:rPr>
        <w:t>С цел профилактиката на социално-значими и приоритетни за страната заболявания при лица над 18 години, ОПЛ формира следните групи от лица с рискови фактори за развитие на заболяване: лица с рискови фактори за развитие на сърдечно-съдови заболявания, лица с рискови фактори за развитие на захарен диабет тип 2, лица с рискови фактори за развитие на злокачествено новообразувание на шийката на матката, лица с рискови фактори за развитие на злокачествено новообразувание на млечната жлеза, лица с рискови фактори за развитие на злокачествено новообразувание на ректосигмоидалната област, лица с рискови фактори за развитие на злокачествено новообразувание на простатата, лица с рисков фактор затлъстяване, лица с рисков фактор тютюнопушене.</w:t>
      </w:r>
    </w:p>
    <w:p w14:paraId="09DFE3DF" w14:textId="77777777" w:rsidR="00533926" w:rsidRPr="00AA5833" w:rsidRDefault="00533926" w:rsidP="00533926">
      <w:pPr>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За формиране на групите от лица с рискови фактори за развитие на заболяване, ОПЛ попълва „Карта за оценка на рисковите фактори за развитие на заболяване“, включена в медицинския софтуер на лекаря, осъществил прегледа, изготвена по образец съгласно Приложение №4 към Наредба №8 от </w:t>
      </w:r>
      <w:r w:rsidRPr="00AA5833">
        <w:rPr>
          <w:rFonts w:ascii="Times New Roman" w:hAnsi="Times New Roman" w:cs="Times New Roman"/>
          <w:sz w:val="24"/>
          <w:szCs w:val="24"/>
        </w:rPr>
        <w:t xml:space="preserve">3 ноември </w:t>
      </w:r>
      <w:r w:rsidRPr="00AA5833">
        <w:rPr>
          <w:rFonts w:ascii="Times New Roman" w:eastAsia="Calibri" w:hAnsi="Times New Roman" w:cs="Times New Roman"/>
          <w:sz w:val="24"/>
          <w:szCs w:val="24"/>
        </w:rPr>
        <w:t>2016 г.</w:t>
      </w:r>
    </w:p>
    <w:p w14:paraId="6D35A299"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Лекарите със специалност „Вътрешни болести“, „Гастроентерология“, „Урология“, „Ендокринология и болести на обмяната“, „Кардиология“, „Хирургия“ и „Акушерство и гинекология“ извършват профилактика на ЗОЛ над 18-годишна възраст с рискови фактори за развитие на заболяване.</w:t>
      </w:r>
    </w:p>
    <w:p w14:paraId="3DABB77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При формиране в определена рискова група, на здравноосигурените лица се провеждат необходимите изследвания и/или консултации със специалист по профила на заболяването за уточняване на диагнозата и определяне на лечение. </w:t>
      </w:r>
    </w:p>
    <w:p w14:paraId="7FA997F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профилактични прегледи на лица над 18-годишна възраст на изпълнителите на ПИМП през 2024 г. от бюджета на НЗОК са заплатени 96 985,8 хил. лв. за </w:t>
      </w:r>
      <w:bookmarkStart w:id="5" w:name="_Hlk201154576"/>
      <w:r w:rsidRPr="00AA5833">
        <w:rPr>
          <w:rFonts w:ascii="Times New Roman" w:eastAsia="Times New Roman" w:hAnsi="Times New Roman" w:cs="Times New Roman"/>
          <w:sz w:val="24"/>
          <w:szCs w:val="24"/>
          <w:lang w:eastAsia="bg-BG"/>
        </w:rPr>
        <w:t>2 583 331 </w:t>
      </w:r>
      <w:bookmarkEnd w:id="5"/>
      <w:r w:rsidRPr="00AA5833">
        <w:rPr>
          <w:rFonts w:ascii="Times New Roman" w:eastAsia="Times New Roman" w:hAnsi="Times New Roman" w:cs="Times New Roman"/>
          <w:sz w:val="24"/>
          <w:szCs w:val="24"/>
          <w:lang w:eastAsia="bg-BG"/>
        </w:rPr>
        <w:t xml:space="preserve">бр. отчетени годишни профилактични прегледи на лица над 18 г. </w:t>
      </w:r>
    </w:p>
    <w:p w14:paraId="28378266" w14:textId="77777777" w:rsidR="00533926" w:rsidRPr="00AA5833" w:rsidRDefault="00533926" w:rsidP="00533926">
      <w:pPr>
        <w:spacing w:after="0" w:line="240" w:lineRule="auto"/>
        <w:ind w:left="7" w:firstLine="702"/>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поставяне на имунизации на лица над 18-годишна възраст, извършвани от изпълнители на ПИМП, заплатената сума за 2024 г. е 2 672,4 хил. лв. за 175 401 бр. отчетени имунизации.</w:t>
      </w:r>
    </w:p>
    <w:p w14:paraId="7492483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профилактични прегледи на ЗОЛ над 18-годишна възраст</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с рискови фактори за развитие на заболяване, извършвани от изпълнители на СИМП, през 2024 г. от бюджета на НЗОК са заплатени 9,4 хил. лв., а за МДД – 58,2 хил. лв. </w:t>
      </w:r>
    </w:p>
    <w:p w14:paraId="2AE9328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Заложените приоритетни мерки от страна на НЗОК в Плана за 2024 г. по направление „Профилактични прегледи на ЗОЛ над 18-годишна възраст с рискови фактори за развитие на заболяване“ са спазени през 2024 г., като целта е ранно откриване </w:t>
      </w:r>
      <w:r w:rsidRPr="00AA5833">
        <w:rPr>
          <w:rFonts w:ascii="Times New Roman" w:eastAsia="Times New Roman" w:hAnsi="Times New Roman" w:cs="Times New Roman"/>
          <w:sz w:val="24"/>
          <w:szCs w:val="24"/>
          <w:lang w:eastAsia="bg-BG"/>
        </w:rPr>
        <w:lastRenderedPageBreak/>
        <w:t xml:space="preserve">и диагностициране на различни здравни увреждания и болести, за да бъдат избегнати нежелани усложнения и хронични заболявания. </w:t>
      </w:r>
    </w:p>
    <w:p w14:paraId="4F456400" w14:textId="77777777" w:rsidR="00533926"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41A3BDA" w14:textId="77777777" w:rsidR="002E676E" w:rsidRDefault="002E676E"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6D76EA97" w14:textId="77777777" w:rsidR="002E676E" w:rsidRDefault="002E676E"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06129F3E" w14:textId="77777777" w:rsidR="002E676E" w:rsidRDefault="002E676E"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373AEB8" w14:textId="77777777" w:rsidR="002E676E" w:rsidRPr="00AA5833" w:rsidRDefault="002E676E"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58028E3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7517288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47B8F2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4.1.8. Осигуряване на физикални и рехабилитационни мероприятия на лица след претърпяно заболяване или хирургическа интервенция, както и палиативни грижи и грижа за лица във вегетативно състояние</w:t>
      </w:r>
    </w:p>
    <w:p w14:paraId="632E99A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DC9DCD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Националната здравноосигурителна каса заплаща за физиотерапия в извънболничната и в болничната помощ – палиативни грижи за онкологично болни, в състояние на будна кома и др. </w:t>
      </w:r>
    </w:p>
    <w:p w14:paraId="1429BB9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физиотерапия, извършена от лекари в специализираната извънболнична медицинска помощ заплатените през 2024 г. средства са в размер 98 933,5 хил. лв., за физиотерапия и рехабилитация в болничната медицинска помощ – 118,090,8 хил. лв., а за палиативни грижи и болни в състояние на кома – 3 831,0 хил. лв.</w:t>
      </w:r>
    </w:p>
    <w:p w14:paraId="200D312C"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Физикална и рехабилитационна медицина </w:t>
      </w:r>
    </w:p>
    <w:p w14:paraId="35241EC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извънболничната медицинска помощ необходимостта от рехабилитационни мероприятия за здравноосигурените лица се установява от лекар специалист и/или от общопрактикуващия (личния) лекар, като лечението се извършва по предписан от лекаря специалист по „Физикална и рехабилитационна медицина“ физиотерапевтичен курс на лечение. Това е от съществено значение и за хората след претърпяно заболяване или хирургическа интервенция, с цел постигане на максимален терапевтичен ефект и превенция на по-нататъшни увреждания.</w:t>
      </w:r>
    </w:p>
    <w:p w14:paraId="45BCADAD"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физиотерапевтичен курс на лечение на определено заболяване се приема комплексно лечение, което включва: първоначален преглед на лекаря специалист по физикална и рехабилитационна медицина, оценка на обективното състояние на пациента, назначени видове и брой процедури общо до 20 в курс от група 1 и/или 2 или 3 по преценка на лекаря специалист, промените на</w:t>
      </w:r>
      <w:r w:rsidRPr="00AA5833">
        <w:rPr>
          <w:rFonts w:ascii="Times New Roman" w:eastAsia="Times New Roman" w:hAnsi="Times New Roman" w:cs="Times New Roman"/>
          <w:bCs/>
          <w:sz w:val="24"/>
          <w:szCs w:val="24"/>
          <w:lang w:eastAsia="bg-BG"/>
        </w:rPr>
        <w:t xml:space="preserve"> </w:t>
      </w:r>
      <w:r w:rsidRPr="00AA5833">
        <w:rPr>
          <w:rFonts w:ascii="Times New Roman" w:eastAsia="Times New Roman" w:hAnsi="Times New Roman" w:cs="Times New Roman"/>
          <w:sz w:val="24"/>
          <w:szCs w:val="24"/>
          <w:lang w:eastAsia="bg-BG"/>
        </w:rPr>
        <w:t>лечението, както и заключителен преглед с оценка на резултатите от проведеното лечение и отразени вид и брой на проведените процедури.</w:t>
      </w:r>
    </w:p>
    <w:p w14:paraId="725F9E5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физиотерапия в извънболничната медицинска помощ през 2024 г. са заплатени средства за извършването на 10 606 329 бр. физиотерапевтични прегледа (първични и заключителни).</w:t>
      </w:r>
    </w:p>
    <w:p w14:paraId="594A36F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F2A6C0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697F366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05658BE"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4.1.9. Осигуряване на достоен и качествен живот на пациентите със заболявания</w:t>
      </w:r>
    </w:p>
    <w:p w14:paraId="1B9756A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7E31DA8"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За медицински изделия (МИ), предназначени за заболявания, включени в списъка на наредбата, съгласно чл. 45, ал. 3 от Закона за здравното осигуряване (ЗЗО), прилагани в извънболничната медицинска помощ – тест-ленти за измерване на кръвна захар, сензори за продължително измерване на нивото на глюкозата, медицински изделия за прилагане с инсулинова помпа при лица със захарен диабет</w:t>
      </w:r>
      <w:r w:rsidRPr="00AA5833">
        <w:t xml:space="preserve"> </w:t>
      </w:r>
      <w:r w:rsidRPr="00AA5833">
        <w:rPr>
          <w:rFonts w:ascii="Times New Roman" w:eastAsia="Times New Roman" w:hAnsi="Times New Roman" w:cs="Times New Roman"/>
          <w:sz w:val="24"/>
          <w:szCs w:val="24"/>
          <w:lang w:eastAsia="bg-BG"/>
        </w:rPr>
        <w:t xml:space="preserve">тип 1, изделия за стомирано болни, медицински изделия за пациенти с Булозна епидермолиза и интермитентни катетри са заплатени </w:t>
      </w:r>
      <w:r w:rsidRPr="00AA5833">
        <w:rPr>
          <w:rFonts w:ascii="Times New Roman" w:eastAsia="Times New Roman" w:hAnsi="Times New Roman" w:cs="Times New Roman"/>
          <w:b/>
          <w:sz w:val="24"/>
          <w:szCs w:val="24"/>
          <w:lang w:eastAsia="bg-BG"/>
        </w:rPr>
        <w:t>46 859 479,00 лв.</w:t>
      </w:r>
    </w:p>
    <w:p w14:paraId="7EF56E39" w14:textId="77777777" w:rsidR="00533926" w:rsidRPr="00AA5833" w:rsidRDefault="00533926" w:rsidP="00533926">
      <w:pPr>
        <w:spacing w:after="0" w:line="240" w:lineRule="auto"/>
        <w:ind w:firstLine="709"/>
        <w:jc w:val="both"/>
        <w:rPr>
          <w:rFonts w:ascii="Times New Roman" w:hAnsi="Times New Roman" w:cs="Times New Roman"/>
          <w:b/>
          <w:bCs/>
          <w:sz w:val="24"/>
          <w:szCs w:val="24"/>
          <w:lang w:eastAsia="bg-BG"/>
        </w:rPr>
      </w:pPr>
      <w:r w:rsidRPr="00AA5833">
        <w:rPr>
          <w:rFonts w:ascii="Times New Roman" w:eastAsia="Times New Roman" w:hAnsi="Times New Roman" w:cs="Times New Roman"/>
          <w:sz w:val="24"/>
          <w:szCs w:val="24"/>
          <w:lang w:eastAsia="bg-BG"/>
        </w:rPr>
        <w:lastRenderedPageBreak/>
        <w:t xml:space="preserve">Броят на медицинските изделия, включени в списъка на НЗОК за извънболничната медицинска помощ към 31.12.2024 г. е </w:t>
      </w:r>
      <w:r w:rsidRPr="00AA5833">
        <w:rPr>
          <w:rFonts w:ascii="Times New Roman" w:eastAsia="Times New Roman" w:hAnsi="Times New Roman" w:cs="Times New Roman"/>
          <w:b/>
          <w:sz w:val="24"/>
          <w:szCs w:val="24"/>
          <w:lang w:eastAsia="bg-BG"/>
        </w:rPr>
        <w:t xml:space="preserve">586 бр. медицински изделия. </w:t>
      </w:r>
      <w:r w:rsidRPr="00AA5833">
        <w:rPr>
          <w:rFonts w:ascii="Times New Roman" w:eastAsia="Times New Roman" w:hAnsi="Times New Roman" w:cs="Times New Roman"/>
          <w:sz w:val="24"/>
          <w:szCs w:val="24"/>
          <w:lang w:eastAsia="bg-BG"/>
        </w:rPr>
        <w:t xml:space="preserve">Броят на пациентите, възползвали се от медицински изделия в извънболничната помощ през 2024 г. e </w:t>
      </w:r>
      <w:r w:rsidRPr="00AA5833">
        <w:rPr>
          <w:rFonts w:ascii="Times New Roman" w:eastAsia="Times New Roman" w:hAnsi="Times New Roman" w:cs="Times New Roman"/>
          <w:b/>
          <w:sz w:val="24"/>
          <w:szCs w:val="24"/>
          <w:lang w:eastAsia="bg-BG"/>
        </w:rPr>
        <w:t>59 845 здравноосигурени лица</w:t>
      </w:r>
      <w:r w:rsidRPr="00AA5833">
        <w:rPr>
          <w:rFonts w:ascii="Times New Roman" w:eastAsia="Times New Roman" w:hAnsi="Times New Roman" w:cs="Times New Roman"/>
          <w:sz w:val="24"/>
          <w:szCs w:val="24"/>
          <w:lang w:eastAsia="bg-BG"/>
        </w:rPr>
        <w:t>.</w:t>
      </w:r>
      <w:r w:rsidRPr="00AA5833">
        <w:rPr>
          <w:rFonts w:ascii="Times New Roman" w:hAnsi="Times New Roman" w:cs="Times New Roman"/>
          <w:b/>
          <w:bCs/>
          <w:sz w:val="24"/>
          <w:szCs w:val="24"/>
          <w:lang w:eastAsia="bg-BG"/>
        </w:rPr>
        <w:t xml:space="preserve"> </w:t>
      </w:r>
    </w:p>
    <w:p w14:paraId="289289C1"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rPr>
      </w:pPr>
      <w:r w:rsidRPr="00AA5833">
        <w:rPr>
          <w:rFonts w:ascii="Times New Roman" w:eastAsia="Times New Roman" w:hAnsi="Times New Roman" w:cs="Times New Roman"/>
          <w:bCs/>
          <w:sz w:val="24"/>
          <w:szCs w:val="24"/>
        </w:rPr>
        <w:t xml:space="preserve">Списъкът на диетични храни за специални медицински цели, заплащани напълно или частично от НЗОК включва общо </w:t>
      </w:r>
      <w:r w:rsidRPr="00AA5833">
        <w:rPr>
          <w:rFonts w:ascii="Times New Roman" w:eastAsia="Times New Roman" w:hAnsi="Times New Roman" w:cs="Times New Roman"/>
          <w:b/>
          <w:bCs/>
          <w:sz w:val="24"/>
          <w:szCs w:val="24"/>
        </w:rPr>
        <w:t>43 бр.</w:t>
      </w:r>
      <w:r w:rsidRPr="00AA5833">
        <w:rPr>
          <w:rFonts w:ascii="Times New Roman" w:eastAsia="Times New Roman" w:hAnsi="Times New Roman" w:cs="Times New Roman"/>
          <w:bCs/>
          <w:sz w:val="24"/>
          <w:szCs w:val="24"/>
        </w:rPr>
        <w:t xml:space="preserve"> диетични храни за домашно лечение. През 2024 г. НЗОК е заплатила общо </w:t>
      </w:r>
      <w:r w:rsidRPr="00AA5833">
        <w:rPr>
          <w:rFonts w:ascii="Times New Roman" w:eastAsia="Times New Roman" w:hAnsi="Times New Roman" w:cs="Times New Roman"/>
          <w:b/>
          <w:bCs/>
          <w:sz w:val="24"/>
          <w:szCs w:val="24"/>
        </w:rPr>
        <w:t xml:space="preserve">3 851 347 лв. </w:t>
      </w:r>
      <w:r w:rsidRPr="00AA5833">
        <w:rPr>
          <w:rFonts w:ascii="Times New Roman" w:eastAsia="Times New Roman" w:hAnsi="Times New Roman" w:cs="Times New Roman"/>
          <w:bCs/>
          <w:sz w:val="24"/>
          <w:szCs w:val="24"/>
        </w:rPr>
        <w:t xml:space="preserve">за диетични храни за специални медицински цели за </w:t>
      </w:r>
      <w:r w:rsidRPr="00AA5833">
        <w:rPr>
          <w:rFonts w:ascii="Times New Roman" w:eastAsia="Times New Roman" w:hAnsi="Times New Roman" w:cs="Times New Roman"/>
          <w:b/>
          <w:bCs/>
          <w:sz w:val="24"/>
          <w:szCs w:val="24"/>
        </w:rPr>
        <w:t>2133 пациенти</w:t>
      </w:r>
      <w:r w:rsidRPr="00AA5833">
        <w:rPr>
          <w:rFonts w:ascii="Times New Roman" w:eastAsia="Times New Roman" w:hAnsi="Times New Roman" w:cs="Times New Roman"/>
          <w:bCs/>
          <w:sz w:val="24"/>
          <w:szCs w:val="24"/>
        </w:rPr>
        <w:t>.</w:t>
      </w:r>
    </w:p>
    <w:p w14:paraId="18BB6D22"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eastAsia="Times New Roman" w:hAnsi="Times New Roman" w:cs="Times New Roman"/>
          <w:bCs/>
          <w:sz w:val="24"/>
          <w:szCs w:val="24"/>
        </w:rPr>
        <w:tab/>
      </w:r>
    </w:p>
    <w:p w14:paraId="695677C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353E29F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2CDCE1AB"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0CA170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4.1.10. Поддържане на високи стандарти за качеството на храни </w:t>
      </w:r>
    </w:p>
    <w:p w14:paraId="53E2C42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D8B1C9A" w14:textId="77777777" w:rsidR="00533926" w:rsidRPr="00AA5833" w:rsidRDefault="00533926" w:rsidP="00533926">
      <w:p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2024 г. обектите, одобрени да произвеждат храни по стандарти, изготвени по предложение и с участието на браншовите организации, представители на висши учебни заведения, на научните среди и експерти от Българската агенция по безопасност на храните (БАБХ), са както следва:</w:t>
      </w:r>
    </w:p>
    <w:p w14:paraId="1CD50807" w14:textId="77777777" w:rsidR="00533926" w:rsidRPr="00AA5833" w:rsidRDefault="00533926" w:rsidP="002A598C">
      <w:pPr>
        <w:numPr>
          <w:ilvl w:val="0"/>
          <w:numId w:val="27"/>
        </w:num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По утвърден стандарт „Стара планина“ (за месни заготовки и месни продукти) – 88 бр.;</w:t>
      </w:r>
    </w:p>
    <w:p w14:paraId="33A1C458" w14:textId="77777777" w:rsidR="00533926" w:rsidRPr="00AA5833" w:rsidRDefault="00533926" w:rsidP="002A598C">
      <w:pPr>
        <w:numPr>
          <w:ilvl w:val="0"/>
          <w:numId w:val="27"/>
        </w:num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По утвърден стандарт „България“ (за брашно бяло, добруджа и типово и хляб бял, добруджа и типов) – 103 бр.;</w:t>
      </w:r>
    </w:p>
    <w:p w14:paraId="5FF6289A" w14:textId="77777777" w:rsidR="00533926" w:rsidRPr="00AA5833" w:rsidRDefault="00533926" w:rsidP="002A598C">
      <w:pPr>
        <w:numPr>
          <w:ilvl w:val="0"/>
          <w:numId w:val="27"/>
        </w:num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По браншови стандарт „Лютеница“ – 14 бр.;</w:t>
      </w:r>
    </w:p>
    <w:p w14:paraId="01808479" w14:textId="77777777" w:rsidR="00533926" w:rsidRPr="00AA5833" w:rsidRDefault="00533926" w:rsidP="002A598C">
      <w:pPr>
        <w:numPr>
          <w:ilvl w:val="0"/>
          <w:numId w:val="27"/>
        </w:num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По браншови стандарт за „Рафинирано слънчогледово масло“ – 6 бр.;</w:t>
      </w:r>
    </w:p>
    <w:p w14:paraId="3A66D858" w14:textId="77777777" w:rsidR="00533926" w:rsidRPr="00AA5833" w:rsidRDefault="00533926" w:rsidP="002A598C">
      <w:pPr>
        <w:numPr>
          <w:ilvl w:val="0"/>
          <w:numId w:val="27"/>
        </w:numPr>
        <w:autoSpaceDN w:val="0"/>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За производство на млечни продукти по Български държавен стандарт – 65 бр.</w:t>
      </w:r>
    </w:p>
    <w:p w14:paraId="16867F44" w14:textId="77777777" w:rsidR="00533926" w:rsidRPr="00AA5833" w:rsidRDefault="00533926" w:rsidP="00533926">
      <w:pPr>
        <w:autoSpaceDN w:val="0"/>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Проверките в тези обекти се извършват регулярно, съгласно оценката на риска, и се предприемат действия по компетентност от съответната Областна дирекция по безопасност на храните (ОДБХ), на чиято територия са позиционирани производствените предприятия.</w:t>
      </w:r>
    </w:p>
    <w:p w14:paraId="40CD03BC" w14:textId="77777777" w:rsidR="00533926" w:rsidRPr="00AA5833" w:rsidRDefault="00533926" w:rsidP="00533926">
      <w:pPr>
        <w:autoSpaceDN w:val="0"/>
        <w:spacing w:beforeLines="120" w:before="288" w:after="0" w:line="240" w:lineRule="auto"/>
        <w:ind w:firstLine="709"/>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За да гарантира правото на потребителите да получават пълна и вярна информация за храните, които закупуват и консумират, и в изпълнение на разпоредбите на Регламент (ЕС) №1308/2013 за установяване на обща организация на пазарите на селскостопански продукти и Наредбата за специфичните изисквания към млечните продукти, БАБХ организира и извършва контрол на предлаганите на пазара млечни продукти за нерегламентирано влагане на немлечни мазнини и за съответствие по физикохимични показатели, съгласно технологична документация (ТД) на производителя, чрез лабораторно изпитване на взети проби млечни продукти от търговска мрежа. Пробовземането се извършва с участието на Комисия за защита на потребителите, браншовите организации на млекопреработвателите, Асоциация „Активни потребители“, сдружение „За достъпна и качествена храна“. </w:t>
      </w:r>
    </w:p>
    <w:p w14:paraId="14150756" w14:textId="77777777" w:rsidR="00533926" w:rsidRPr="00AA5833" w:rsidRDefault="00533926" w:rsidP="00533926">
      <w:pPr>
        <w:spacing w:after="0" w:line="240" w:lineRule="auto"/>
        <w:jc w:val="both"/>
        <w:outlineLvl w:val="0"/>
        <w:rPr>
          <w:rFonts w:ascii="Times New Roman" w:hAnsi="Times New Roman" w:cs="Times New Roman"/>
          <w:sz w:val="24"/>
          <w:szCs w:val="24"/>
        </w:rPr>
      </w:pPr>
      <w:r w:rsidRPr="00AA5833">
        <w:rPr>
          <w:rFonts w:ascii="Times New Roman" w:hAnsi="Times New Roman" w:cs="Times New Roman"/>
          <w:sz w:val="24"/>
          <w:szCs w:val="24"/>
        </w:rPr>
        <w:tab/>
        <w:t xml:space="preserve">В периода януари – декември 2024 г. от търговска мрежа са взети 143 проби млечни продукти, които са изпитани за наличие на немлечни мазнини и за съответствие по физикохимични показатели съгласно ТД на производителя. При направените изпитвания като несъответстващи са установени 32 млечни продукта. При една проба е установено влагане на немлечни киселини, в три от пробите не се изолира мазнина, а при останалите 28 проби се отчитат отклонения спрямо зададените в технологичната документация на производителя физикохимични показатели. </w:t>
      </w:r>
      <w:r w:rsidRPr="00AA5833">
        <w:rPr>
          <w:rFonts w:ascii="Times New Roman" w:eastAsia="Calibri" w:hAnsi="Times New Roman" w:cs="Times New Roman"/>
          <w:sz w:val="24"/>
          <w:szCs w:val="24"/>
        </w:rPr>
        <w:t>За установените несъответствия Българската агенция по безопасност на храните е предприела необходимите действия по компетентност към бизнес-операторите, производители на млечни продукти.</w:t>
      </w:r>
    </w:p>
    <w:p w14:paraId="05C71F06"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eastAsia="Calibri" w:hAnsi="Times New Roman" w:cs="Times New Roman"/>
          <w:sz w:val="24"/>
          <w:szCs w:val="24"/>
        </w:rPr>
        <w:lastRenderedPageBreak/>
        <w:t>Българската агенция по безопасност на храните</w:t>
      </w:r>
      <w:r w:rsidRPr="00AA5833" w:rsidDel="0011273E">
        <w:rPr>
          <w:rFonts w:ascii="Times New Roman" w:hAnsi="Times New Roman" w:cs="Times New Roman"/>
          <w:sz w:val="24"/>
          <w:szCs w:val="24"/>
        </w:rPr>
        <w:t xml:space="preserve"> </w:t>
      </w:r>
      <w:r w:rsidRPr="00AA5833">
        <w:rPr>
          <w:rFonts w:ascii="Times New Roman" w:hAnsi="Times New Roman" w:cs="Times New Roman"/>
          <w:sz w:val="24"/>
          <w:szCs w:val="24"/>
        </w:rPr>
        <w:t>извършва официален контрол по реда на чл. 25, ал. 3 – 6 и чл. 25а, ал. 1 от Закона за прилагане на Общата организация на пазарите на земеделски продукти на Европейския съюз (ЗПООПЗПЕС) за употребата на термини и означения за биологичен метод на производство в търговска мрежа за съответствие с изискванията на Регламент (ЕС) №2018/848 относно биологичното производство и етикетирането на биологични продукти. Извършваният официален контрол е в съответствие със Стандартна оперативна процедура СОП КХ-24, утвърдена със заповед на изпълнителния директор на БАБХ.</w:t>
      </w:r>
    </w:p>
    <w:p w14:paraId="42FDE62C"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През 2024 г. са извършени 462 планови инспекции за констатиране на съответствието на употребата на термини и означения за биологичен метод на производство, от които: в обекти за търговия на едро – 55, в обекти за търговия на дребно – 378, в общински пазари – 18 и в обекти за преработка – 16.  </w:t>
      </w:r>
    </w:p>
    <w:p w14:paraId="2173FA48"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Извършени са 408 проверки на пратки при внос от трети страни на биологични продукти и продукти, произведени в преход. Взети са 49 проби и е допуснат внос на 407 пратки като биологични продукти. Една пратка сушени кайсии в количество от 1500 кг с произход Република Турция не е допусната за свободно обръщение в страната като биологична и конвенционална продукция поради констатирани наличия на пестициди над допустимите норми за консумация от човека.</w:t>
      </w:r>
    </w:p>
    <w:p w14:paraId="79555CE4"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5AD994A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6827E3C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5D5AAD86"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7ABFD22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4.1.11. Увеличаване на дела на потребление на българските храни със защитени наименования, произвеждани на територията на Република България, с използване на български суровини </w:t>
      </w:r>
    </w:p>
    <w:p w14:paraId="2BEE38A0"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6CFF21C5"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Българската агенция по безопасност на храните е определена като компетентен орган за контрол по чл. 38 на Регламент (ЕС) №2024/1143 относно схемите за качество на селскостопанските продукти и храни и чл. 25а на ЗПООПЗПЕС. Агенцията извършва официален контрол за използването на регистрирани наименования (защитени наименования за произход, защитени географски указания и храни с традиционно специфичен характер) за описание на пуснат на пазара продукт. </w:t>
      </w:r>
    </w:p>
    <w:p w14:paraId="12BF85FE" w14:textId="77777777" w:rsidR="00533926" w:rsidRPr="00AA5833" w:rsidRDefault="00533926" w:rsidP="00533926">
      <w:pPr>
        <w:spacing w:after="0" w:line="240" w:lineRule="auto"/>
        <w:ind w:firstLine="709"/>
        <w:jc w:val="both"/>
        <w:outlineLvl w:val="0"/>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За 2024 г. са извършени 28 бр. проверки в млекопреработвателни предприятия, подали заявления за вписване в Европейския регистър на Защитените наименования за произход и Защитените географски указания на Защитено наименование за произход (ЗНП) „Българско кисело мляко“ и на Защитено наименование за произход (ЗНП) „Българско бяло саламурено сирене“. В регистъра на производителите на ЗНП „Българско кисело мляко“ са вписани 25 бр. бизнес оператори, а в регистъра на производителите на ЗНП „Българско бяло саламурено сирене“ са вписани 18 бр. бизнес оператори.</w:t>
      </w:r>
    </w:p>
    <w:p w14:paraId="58842BD3"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Контролът за съответствие на употребата на наименования и символи на храни със защитени географски указания, защитени наименования за произход (ЗНП) и храни с традиционно специфичен характер (ХТСХ) се извършва в обекти за производство и търговия с храни и като обхваща вноса, износа, съхранението, транспорта, търговията, нарязването, преопаковането, етикетирането и продажбата или доставката до краен потребител. В съответствие с утвърдената Стандартна оперативна процедура, в която са определени критериите за оценка на риска и честотата на извършване на проверките, контролът е насочен приоритетно към обекти, в чиято дейност има потенциален риск от несъответствие с изискванията на законодателството към храните със ЗНП/ЗГУ/ХТСХ за потребителите или други оператори по веригата на разпространение. </w:t>
      </w:r>
    </w:p>
    <w:p w14:paraId="61923396"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lastRenderedPageBreak/>
        <w:t>През 2024 г. са извършени общо 581 проверки за съответствие на употребата на наименования и символи на храни със ЗГУ, ЗНП и ХТСХ в обекти за производство, търговия на едро и дребно с храни и заведения за обществено хранене. От тях 83 проверки са в млекопреработвателни предприятия за спазване изискванията на Регламент (ЕС) №2024/1143 по отношение на неправомерната употреба при износ за трети страни на сирене „Фета“, което е със защитено наименование за произход.</w:t>
      </w:r>
    </w:p>
    <w:p w14:paraId="40D1FDF3"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При 120 от проверките не е установено предлагане на храни с регистрирани наименования.</w:t>
      </w:r>
    </w:p>
    <w:p w14:paraId="530821CD"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При извършените проверки по официален контрол на храни с регистрирани наименования, произведени в България, са обхванати ХТСХ – „Филе Елена“, „Кайзерован врат Тракия“, „Луканка Панагюрска“, „Пастърма Говежда“ и „Роле Трапезица“, от храните със ЗГУ – „Горнооряховски суджук“, а от тези със ЗНП – „Българско бяло сaламурено сирене“, „Българско кисело мляко“.</w:t>
      </w:r>
    </w:p>
    <w:p w14:paraId="7A059D18"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Всички установени български производители на храни с регистрирани наименования използват правомерно наименованията ЗНП, ЗГУ и ХТСХ и са включени в регистрите на производителите на защитени храни, които са достъпни на интернет-страницата на Министерството на земеделието и храните. </w:t>
      </w:r>
    </w:p>
    <w:p w14:paraId="4468A9F0"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През 2024 г. са извършени проверки за съответствие употребата на наименования и символи на храни с произход Европейски съюз (EС). Всички проверени храни с произход ЕС са включени в Регистър на защитените наименования за произход и защитените географски указания и Регистър на храните с традиционно специфичен характер в системата eAmbrosia – регистърът на географските означения на ЕС: </w:t>
      </w:r>
      <w:hyperlink r:id="rId37" w:history="1">
        <w:r w:rsidRPr="00AA5833">
          <w:rPr>
            <w:rFonts w:ascii="Times New Roman" w:eastAsia="Calibri" w:hAnsi="Times New Roman" w:cs="Times New Roman"/>
            <w:color w:val="0563C1" w:themeColor="hyperlink"/>
            <w:sz w:val="24"/>
            <w:szCs w:val="24"/>
            <w:u w:val="single"/>
          </w:rPr>
          <w:t>https://ec.europa.eu/info/food-farming-fisheries/food-safety-and-quality/certification/quality-labels/geographical-indications-register/</w:t>
        </w:r>
      </w:hyperlink>
      <w:r w:rsidRPr="00AA5833">
        <w:rPr>
          <w:rFonts w:ascii="Times New Roman" w:eastAsia="Calibri" w:hAnsi="Times New Roman" w:cs="Times New Roman"/>
          <w:sz w:val="24"/>
          <w:szCs w:val="24"/>
        </w:rPr>
        <w:t>.</w:t>
      </w:r>
    </w:p>
    <w:p w14:paraId="7E4C3EB7" w14:textId="77777777" w:rsidR="00533926" w:rsidRPr="00AA5833" w:rsidRDefault="00533926" w:rsidP="00533926">
      <w:pPr>
        <w:spacing w:after="0" w:line="240" w:lineRule="auto"/>
        <w:ind w:firstLine="567"/>
        <w:jc w:val="both"/>
        <w:rPr>
          <w:rFonts w:ascii="Times New Roman" w:hAnsi="Times New Roman" w:cs="Times New Roman"/>
          <w:sz w:val="24"/>
          <w:szCs w:val="24"/>
        </w:rPr>
      </w:pPr>
      <w:r w:rsidRPr="00AA5833">
        <w:rPr>
          <w:rFonts w:ascii="Times New Roman" w:hAnsi="Times New Roman" w:cs="Times New Roman"/>
          <w:sz w:val="24"/>
          <w:szCs w:val="24"/>
        </w:rPr>
        <w:t>Предлаганите на пазара храни с регистрирани наименования са етикетирани съгласно изискванията на Регламент (ЕС) №1169/2011 относно предоставяне на информация на потребителите за храните и Регламент (ЕС) №2024/1143 относно схемите за качество на селскостопанските продукти и храни. На всички проверени продукти има съответния графичен символ на общността и наименованието на продукта е разположено в същото зрително поле.</w:t>
      </w:r>
    </w:p>
    <w:p w14:paraId="4E0EED36" w14:textId="77777777" w:rsidR="00533926" w:rsidRPr="00AA5833" w:rsidRDefault="00533926" w:rsidP="00533926">
      <w:pPr>
        <w:spacing w:after="0" w:line="240" w:lineRule="auto"/>
        <w:ind w:firstLine="567"/>
        <w:jc w:val="both"/>
        <w:rPr>
          <w:rFonts w:ascii="Times New Roman" w:hAnsi="Times New Roman" w:cs="Times New Roman"/>
          <w:bCs/>
          <w:sz w:val="24"/>
          <w:szCs w:val="24"/>
        </w:rPr>
      </w:pPr>
      <w:r w:rsidRPr="00AA5833">
        <w:rPr>
          <w:rFonts w:ascii="Times New Roman" w:eastAsia="Calibri" w:hAnsi="Times New Roman" w:cs="Times New Roman"/>
          <w:sz w:val="24"/>
          <w:szCs w:val="24"/>
        </w:rPr>
        <w:t>За постъпилите през 2024 г. сигнали за неправомерна употреба на храни с регистрирани наименования</w:t>
      </w:r>
      <w:r w:rsidRPr="00AA5833">
        <w:rPr>
          <w:rFonts w:ascii="Times New Roman" w:hAnsi="Times New Roman" w:cs="Times New Roman"/>
          <w:bCs/>
          <w:sz w:val="24"/>
          <w:szCs w:val="24"/>
        </w:rPr>
        <w:t xml:space="preserve"> са предприети административни мерки, като са издадени пет предписания с определени конкретни срокове за отстраняване на констатираните несъответствия, които са изпълнени в срок. Съставени са шест акта за установяване на административни нарушения (АУАН) и е издадено едно Разпореждане за забрана. </w:t>
      </w:r>
    </w:p>
    <w:p w14:paraId="2DAF1ED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3017A600"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23ED900"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color w:val="000000"/>
                <w:sz w:val="24"/>
                <w:szCs w:val="24"/>
                <w:lang w:eastAsia="bg-BG"/>
              </w:rPr>
              <w:br w:type="page"/>
            </w:r>
            <w:r w:rsidRPr="00AA5833">
              <w:rPr>
                <w:rFonts w:ascii="Times New Roman" w:eastAsia="Times New Roman" w:hAnsi="Times New Roman" w:cs="Times New Roman"/>
                <w:b/>
                <w:color w:val="000000"/>
                <w:sz w:val="24"/>
                <w:szCs w:val="24"/>
              </w:rPr>
              <w:t>4.2. Ускоряване на повишаването на средната продължителност на живота и на продължителността на живота в добро здраве</w:t>
            </w:r>
          </w:p>
        </w:tc>
      </w:tr>
    </w:tbl>
    <w:p w14:paraId="16480F0A" w14:textId="77777777" w:rsidR="00533926" w:rsidRPr="00AA5833" w:rsidRDefault="00533926" w:rsidP="00533926">
      <w:pPr>
        <w:spacing w:after="0" w:line="240" w:lineRule="auto"/>
        <w:jc w:val="both"/>
        <w:rPr>
          <w:rFonts w:ascii="Times New Roman" w:eastAsia="Times New Roman" w:hAnsi="Times New Roman" w:cs="Times New Roman"/>
          <w:strike/>
          <w:color w:val="FF0000"/>
          <w:sz w:val="24"/>
          <w:szCs w:val="24"/>
          <w:lang w:eastAsia="bg-BG"/>
        </w:rPr>
      </w:pPr>
    </w:p>
    <w:p w14:paraId="6575BF9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НАЦИОНАЛЕН ОСИГУРИТЕЛЕН ИНСТИТУТ </w:t>
      </w:r>
    </w:p>
    <w:p w14:paraId="7143A5DF" w14:textId="77777777" w:rsidR="00533926" w:rsidRPr="00AA5833" w:rsidRDefault="00533926" w:rsidP="00533926">
      <w:pPr>
        <w:spacing w:after="0" w:line="240" w:lineRule="auto"/>
        <w:jc w:val="center"/>
        <w:rPr>
          <w:rFonts w:ascii="Times New Roman" w:eastAsia="Times New Roman" w:hAnsi="Times New Roman" w:cs="Times New Roman"/>
          <w:strike/>
          <w:color w:val="FF0000"/>
          <w:sz w:val="24"/>
          <w:szCs w:val="24"/>
          <w:lang w:eastAsia="bg-BG"/>
        </w:rPr>
      </w:pPr>
    </w:p>
    <w:p w14:paraId="4B3F47A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4.2.1. Парични помощи за профилактика и рехабилитация по Кодекса за социално осигуряване (КСО)</w:t>
      </w:r>
    </w:p>
    <w:p w14:paraId="55ADDF2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A5718E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tab/>
        <w:t>Осигурените за общо заболяване и майчинство и/или за трудова злополука и професионална болест лица имат право на парични помощ за профилактика и рехабилитация от средствата на ДОО. Право на тази помощ имат и лицата, които получават лична пенсия за инвалидност, ако не са навършили възрастта по чл. 68, ал. 1 от КСО и срокът на инвалидността в експертното решение на ТЕЛК/НЕЛК не е изтекъл.</w:t>
      </w:r>
    </w:p>
    <w:p w14:paraId="4A629302"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lastRenderedPageBreak/>
        <w:tab/>
        <w:t>Всяка година със Закона за бюджета на държавното обществено осигуряване (ЗБДОО) се определят средства, които да се разходват за тази дейност по условия и ред, регламентирани в Наредба №1 от 13 февруари 2007 г. за ползване и изплащане на паричните помощи за профилактика и рехабилитация. За 2024 г. бяха планирани средства в размер на 32,5 млн. лв.</w:t>
      </w:r>
    </w:p>
    <w:p w14:paraId="42AE85B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tab/>
        <w:t xml:space="preserve">За осъществяване на дейността по профилактика и рехабилитация на осигурените лица през 2024 г. НОИ е сключил договори с 21 юридически лица за 50 изпълнители на дейността. Размерът на паричната помощ за едно лице през 2024 г. включва средствата за не повече от 4 основни диагностични и терапевтични процедури дневно, нощувки и частична парична помощ за </w:t>
      </w:r>
      <w:r w:rsidRPr="00AA5833">
        <w:rPr>
          <w:rFonts w:ascii="Times New Roman" w:eastAsia="Calibri" w:hAnsi="Times New Roman" w:cs="Times New Roman"/>
          <w:sz w:val="24"/>
          <w:szCs w:val="24"/>
          <w:lang w:eastAsia="zh-CN"/>
        </w:rPr>
        <w:t>хранене</w:t>
      </w:r>
      <w:r w:rsidRPr="00AA5833">
        <w:rPr>
          <w:rFonts w:ascii="Times New Roman" w:eastAsia="Times New Roman" w:hAnsi="Times New Roman" w:cs="Times New Roman"/>
          <w:sz w:val="24"/>
          <w:szCs w:val="24"/>
          <w:lang w:eastAsia="zh-CN"/>
        </w:rPr>
        <w:t xml:space="preserve">. </w:t>
      </w:r>
    </w:p>
    <w:p w14:paraId="3C4BF2ED"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2024 г. в заведенията за профилактика и рехабилитация са преминали 41 552 лица, като през 2023 г. те са били 42 880 лица. Средният разход за едно лице през 2024 г. е в размер на 582,48 лв., докато през 2023 г. е бил 505,17 лв. Изразходваните средства за дейността по профилактика и рехабилитация от бюджета на ДОО за 2024 г. са</w:t>
      </w:r>
      <w:r w:rsidRPr="00AA5833">
        <w:rPr>
          <w:rFonts w:ascii="Times New Roman" w:eastAsia="Calibri" w:hAnsi="Times New Roman" w:cs="Times New Roman"/>
          <w:bCs/>
          <w:sz w:val="24"/>
          <w:szCs w:val="24"/>
        </w:rPr>
        <w:t xml:space="preserve"> </w:t>
      </w:r>
      <w:r w:rsidRPr="00AA5833">
        <w:rPr>
          <w:rFonts w:ascii="Times New Roman" w:eastAsia="Calibri" w:hAnsi="Times New Roman" w:cs="Times New Roman"/>
          <w:sz w:val="24"/>
          <w:szCs w:val="24"/>
        </w:rPr>
        <w:t>24 203,0 хил. лв. В допълнение към тази сума, по сключени договори с бюджетни организации за изпълнение на дейността по профилактика и рехабилитация през 2024 г. са изразходвани 2 423,4 хил. лв.</w:t>
      </w:r>
    </w:p>
    <w:p w14:paraId="48B3523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zh-CN"/>
        </w:rPr>
      </w:pPr>
      <w:r w:rsidRPr="00AA5833">
        <w:rPr>
          <w:rFonts w:ascii="Times New Roman" w:eastAsia="Times New Roman" w:hAnsi="Times New Roman" w:cs="Times New Roman"/>
          <w:sz w:val="24"/>
          <w:szCs w:val="24"/>
          <w:lang w:eastAsia="zh-CN"/>
        </w:rPr>
        <w:t xml:space="preserve">От лицата, провели профилактика и рехабилитация, с най-голям относителен дял са тези със заболявания на опорно-двигателния апарат (74,3% от всички участници в програмата) и на периферната нервна система (23,0%). </w:t>
      </w:r>
    </w:p>
    <w:p w14:paraId="22656225" w14:textId="77777777" w:rsidR="00533926" w:rsidRPr="00AA5833" w:rsidRDefault="00533926" w:rsidP="00533926">
      <w:pPr>
        <w:spacing w:after="0" w:line="240" w:lineRule="auto"/>
        <w:ind w:firstLine="709"/>
        <w:jc w:val="both"/>
        <w:rPr>
          <w:rFonts w:ascii="Times New Roman" w:eastAsia="Times New Roman" w:hAnsi="Times New Roman" w:cs="Times New Roman"/>
          <w:strike/>
          <w:color w:val="FF0000"/>
          <w:sz w:val="24"/>
          <w:szCs w:val="24"/>
          <w:lang w:eastAsia="bg-BG"/>
        </w:rPr>
      </w:pPr>
    </w:p>
    <w:p w14:paraId="2672E35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20880F12" w14:textId="77777777" w:rsidR="00533926" w:rsidRPr="00AA5833" w:rsidRDefault="00533926" w:rsidP="00533926">
      <w:pPr>
        <w:spacing w:after="0" w:line="240" w:lineRule="auto"/>
        <w:ind w:firstLine="709"/>
        <w:jc w:val="both"/>
        <w:rPr>
          <w:rFonts w:ascii="Times New Roman" w:eastAsia="Times New Roman" w:hAnsi="Times New Roman" w:cs="Times New Roman"/>
          <w:strike/>
          <w:color w:val="FF0000"/>
          <w:sz w:val="24"/>
          <w:szCs w:val="24"/>
          <w:lang w:eastAsia="bg-BG"/>
        </w:rPr>
      </w:pPr>
    </w:p>
    <w:p w14:paraId="1EB6DB3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4.2.2. Диспансерно наблюдение в извънболничната и в болничната помощ</w:t>
      </w:r>
    </w:p>
    <w:p w14:paraId="68039C5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6D92E3D7"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година диспансерното наблюдение в извънболничната помощ се осъществява по алгоритмите, заложени в Приложение №8 към НРД за МД 2023 – 2025 г. „Пакет дейности и изследвания на ЗОЛ по МКБ, диспансеризирани от ОПЛ“ и по Приложение №13 към НРД за МД 2023 – 2025 г. „Пакет дейности и изследвания на ЗОЛ по МКБ, диспансеризирани от лекар специалист“.  </w:t>
      </w:r>
    </w:p>
    <w:p w14:paraId="373BAE8F"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За прегледи по диспансерно наблюдение на здравноосигурени лица с едно или с повече заболявания, извършвани от изпълнители на ПИМП, през 2024 г. от бюджета на НЗОК са заплатени 145 044,9 хил. лв.,</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а от изпълнители на СИМП – 15 715 хил. лв. Сумите за МДД изследвания по повод диспансерно наблюдение са 28 836,1 хил. лв.</w:t>
      </w:r>
    </w:p>
    <w:p w14:paraId="07A47CBE" w14:textId="77777777" w:rsidR="00533926" w:rsidRPr="00AA5833" w:rsidRDefault="00533926" w:rsidP="00533926">
      <w:pPr>
        <w:spacing w:after="0" w:line="240" w:lineRule="auto"/>
        <w:ind w:firstLine="709"/>
        <w:jc w:val="both"/>
        <w:rPr>
          <w:rFonts w:ascii="Times New Roman" w:eastAsia="Calibri" w:hAnsi="Times New Roman" w:cs="Times New Roman"/>
          <w:sz w:val="24"/>
          <w:szCs w:val="24"/>
          <w:u w:val="single"/>
        </w:rPr>
      </w:pPr>
      <w:r w:rsidRPr="00AA5833">
        <w:rPr>
          <w:rFonts w:ascii="Times New Roman" w:eastAsia="Calibri" w:hAnsi="Times New Roman" w:cs="Times New Roman"/>
          <w:sz w:val="24"/>
          <w:szCs w:val="24"/>
        </w:rPr>
        <w:t>От 01.01.2024 г. до 31.12.2024 г. комплексното диспансерно (амбулаторно) наблюдение на пациенти с кожно-венерически заболявания и с психически заболявания се осъществяват в съответствие с Наредба №8 от 2016 г. за профилактичните прегледи и диспансеризацията и на Наредба №9 от 10 декември 2019 г. за определяне на пакета от здравни дейности, гарантиран от бюджета на НЗОК.</w:t>
      </w:r>
      <w:r w:rsidRPr="00AA5833">
        <w:rPr>
          <w:rFonts w:ascii="Times New Roman" w:eastAsia="Calibri" w:hAnsi="Times New Roman" w:cs="Times New Roman"/>
          <w:sz w:val="24"/>
          <w:szCs w:val="24"/>
          <w:u w:val="single"/>
        </w:rPr>
        <w:t xml:space="preserve"> </w:t>
      </w:r>
    </w:p>
    <w:p w14:paraId="4C5241DD"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За комплексно диспансерно (амбулаторно наблюдение) на лица с психични и кожно-венерически заболявания през 2024 г. от бюджета на НЗОК са заплатени</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342 хил. лв., а чрез трансфери от МЗ – допълнително още 13 940 лв.</w:t>
      </w:r>
      <w:r w:rsidRPr="00AA5833">
        <w:rPr>
          <w:rFonts w:ascii="Times New Roman" w:eastAsia="Times New Roman" w:hAnsi="Times New Roman" w:cs="Times New Roman"/>
          <w:b/>
          <w:sz w:val="24"/>
          <w:szCs w:val="24"/>
          <w:lang w:eastAsia="bg-BG"/>
        </w:rPr>
        <w:t xml:space="preserve"> </w:t>
      </w:r>
    </w:p>
    <w:p w14:paraId="0AB5A802" w14:textId="77777777" w:rsidR="00533926" w:rsidRPr="00AA5833" w:rsidRDefault="00533926" w:rsidP="00533926">
      <w:pPr>
        <w:spacing w:after="0" w:line="240" w:lineRule="auto"/>
        <w:ind w:firstLine="709"/>
        <w:jc w:val="both"/>
        <w:rPr>
          <w:rFonts w:ascii="Times New Roman" w:hAnsi="Times New Roman" w:cs="Times New Roman"/>
          <w:b/>
          <w:sz w:val="24"/>
          <w:szCs w:val="24"/>
        </w:rPr>
      </w:pPr>
      <w:r w:rsidRPr="00AA5833">
        <w:rPr>
          <w:rFonts w:ascii="Times New Roman" w:eastAsia="Times New Roman" w:hAnsi="Times New Roman" w:cs="Times New Roman"/>
          <w:sz w:val="24"/>
          <w:szCs w:val="24"/>
          <w:lang w:eastAsia="bg-BG"/>
        </w:rPr>
        <w:t>За</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диспансерно наблюдение на пациенти със: злокачествени заболявания и при вродени хематологични заболявания, муковисцидоза или </w:t>
      </w:r>
      <w:r w:rsidRPr="00AA5833">
        <w:rPr>
          <w:rFonts w:ascii="Times New Roman" w:hAnsi="Times New Roman" w:cs="Times New Roman"/>
          <w:sz w:val="24"/>
          <w:szCs w:val="24"/>
        </w:rPr>
        <w:t>възпалителни полиатропатии и спондилопатии,</w:t>
      </w:r>
      <w:r w:rsidRPr="00AA5833">
        <w:rPr>
          <w:rFonts w:ascii="Times New Roman" w:eastAsia="Times New Roman" w:hAnsi="Times New Roman" w:cs="Times New Roman"/>
          <w:sz w:val="24"/>
          <w:szCs w:val="24"/>
          <w:lang w:eastAsia="bg-BG"/>
        </w:rPr>
        <w:t xml:space="preserve"> осъществявано от изпълнители на БМП, през 2024 г. от бюджета на НЗОК са заплатени 22 113,1</w:t>
      </w:r>
      <w:r w:rsidRPr="00AA5833">
        <w:rPr>
          <w:rFonts w:ascii="Times New Roman" w:hAnsi="Times New Roman" w:cs="Times New Roman"/>
          <w:sz w:val="24"/>
          <w:szCs w:val="24"/>
        </w:rPr>
        <w:t xml:space="preserve"> хил. лв. </w:t>
      </w:r>
    </w:p>
    <w:p w14:paraId="75FB1DB4"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hAnsi="Times New Roman" w:cs="Times New Roman"/>
          <w:sz w:val="24"/>
          <w:szCs w:val="24"/>
        </w:rPr>
        <w:t>Заплащаните от НЗОК дейности по диспансеризация при заболявания осигуряват качествен и достоен живот на пациентите.</w:t>
      </w:r>
    </w:p>
    <w:p w14:paraId="3DAF7F72" w14:textId="77777777" w:rsidR="00533926" w:rsidRPr="00AA5833" w:rsidRDefault="00533926" w:rsidP="00533926">
      <w:pPr>
        <w:spacing w:after="0" w:line="240" w:lineRule="auto"/>
        <w:ind w:firstLine="709"/>
        <w:jc w:val="both"/>
        <w:rPr>
          <w:rFonts w:ascii="Times New Roman" w:eastAsia="Times New Roman" w:hAnsi="Times New Roman" w:cs="Times New Roman"/>
          <w:strike/>
          <w:color w:val="FF0000"/>
          <w:sz w:val="24"/>
          <w:szCs w:val="24"/>
          <w:lang w:eastAsia="bg-BG"/>
        </w:rPr>
      </w:pPr>
    </w:p>
    <w:p w14:paraId="10B9186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27E9CEA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4FAAC9F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4.2.3. Поставяне на медицински изделия в условията на болнична медицинска помощ</w:t>
      </w:r>
    </w:p>
    <w:p w14:paraId="66120F7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5DE9590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медицински изделия, прилагани в условията на болничната медицинска помощ, които НЗОК заплаща извън стойността на клиничните пътеки, клинични/амбулаторни процедури през 2024 г. НЗОК е заплатила сума в размер</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на</w:t>
      </w:r>
      <w:r w:rsidRPr="00AA5833">
        <w:rPr>
          <w:rFonts w:ascii="Times New Roman" w:eastAsia="Times New Roman" w:hAnsi="Times New Roman" w:cs="Times New Roman"/>
          <w:b/>
          <w:sz w:val="24"/>
          <w:szCs w:val="24"/>
          <w:lang w:eastAsia="bg-BG"/>
        </w:rPr>
        <w:t xml:space="preserve"> 189  085 779 ,00 лв.</w:t>
      </w:r>
    </w:p>
    <w:p w14:paraId="5C090582"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Към 31.12.2024 г. в лечебните заведения са вложени </w:t>
      </w:r>
      <w:r w:rsidRPr="00AA5833">
        <w:rPr>
          <w:rFonts w:ascii="Times New Roman" w:eastAsia="Times New Roman" w:hAnsi="Times New Roman" w:cs="Times New Roman"/>
          <w:b/>
          <w:sz w:val="24"/>
          <w:szCs w:val="24"/>
          <w:lang w:eastAsia="bg-BG"/>
        </w:rPr>
        <w:t xml:space="preserve">121 176 бр. медицински изделия. </w:t>
      </w:r>
    </w:p>
    <w:p w14:paraId="61252D42" w14:textId="77777777" w:rsidR="00533926" w:rsidRPr="00AA5833" w:rsidRDefault="00533926" w:rsidP="00533926">
      <w:pPr>
        <w:spacing w:after="0" w:line="240" w:lineRule="auto"/>
        <w:ind w:firstLine="709"/>
        <w:jc w:val="both"/>
        <w:rPr>
          <w:rFonts w:ascii="Times New Roman" w:eastAsia="Times New Roman" w:hAnsi="Times New Roman" w:cs="Times New Roman"/>
          <w:strike/>
          <w:color w:val="FF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F30B2B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A461F6E"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4.3. Намаляване на общата смъртност</w:t>
            </w:r>
          </w:p>
        </w:tc>
      </w:tr>
    </w:tbl>
    <w:p w14:paraId="2A455566"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6B9BC5C2"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40E9FD00"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4.3.1. Подобряване на лечебно-диагностичното и разширяване на профилактично-превантивното здравно медицинско обслужване на населението. Акцентиране върху дейностите по промоцията и профилактиката</w:t>
            </w:r>
          </w:p>
        </w:tc>
      </w:tr>
    </w:tbl>
    <w:p w14:paraId="51FE9EB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highlight w:val="yellow"/>
          <w:lang w:eastAsia="bg-BG"/>
        </w:rPr>
      </w:pPr>
    </w:p>
    <w:p w14:paraId="301C647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4C481994"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p w14:paraId="050A1A8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4.3.1.1. Националната стратегия на Република България за равенство, приобщаване и участие на ромите (2021 – 2030 г.) </w:t>
      </w:r>
    </w:p>
    <w:p w14:paraId="6FA7BB99" w14:textId="77777777" w:rsidR="00533926" w:rsidRPr="00AA5833" w:rsidRDefault="00533926" w:rsidP="00533926">
      <w:pPr>
        <w:spacing w:after="0" w:line="240" w:lineRule="auto"/>
        <w:jc w:val="both"/>
        <w:rPr>
          <w:rFonts w:ascii="Times New Roman" w:eastAsia="Times New Roman" w:hAnsi="Times New Roman" w:cs="Times New Roman"/>
          <w:sz w:val="24"/>
          <w:szCs w:val="24"/>
        </w:rPr>
      </w:pPr>
    </w:p>
    <w:p w14:paraId="10D4DCA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В изпълнение на заложените в Стратегията цели за осигуряване на равенство в достъпа до здравни услуги на лицата в неравностойно положение, принадлежащи към етнически малцинства, по оперативна цел „Осигуряване на равенство в достъпа до качествени здравни услуги и превантивни програми“, през 2024 г. с 21 броя мобилни кабинети са извършени 19 300 прегледи и 1680 изследвания в 15 области на страната: Благоевград, Бургас, Варна, Видин, Враца, Добрич, Пазарджик, Плевен, Пловдив, Разград, Русе, Силистра, Сливен, Софийска област и Ямбол. С мобилните кабинети за обща практика са прегледани 725 деца, от тях – извършени 393 имунизации, 525 реимунизации на деца на възраст от 0 до 18 години, с непълен имунизационен статус, съгласно Националния имунизационен календар; 1680 лабораторни изследвания; 260 флуорографски прегледи; 421 гинекологични прегледи; 570 педиатрични прегледи; 290 мамографски прегледи и 284 ехографски прегледи.</w:t>
      </w:r>
    </w:p>
    <w:p w14:paraId="51211D0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Здравните медиатори се финансират със средства от държавния бюджет, като делегирана от държавата дейност. За 2024 г. са осигурени средства за 332 щата здравни медиатори, спрямо 322 щата за 2023 г.</w:t>
      </w:r>
    </w:p>
    <w:p w14:paraId="7E6357C7"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Новите здравни медиатори са назначени в общините: Аксаково, Благоевград, Брезово, Карлово, Котел, Криводол, Николаево, Пазарджик, Петрич, Разград, Суворово, и Търговище. Общини, които за първи път назначават здравни медиатори са: Брезово (област Пловдив) и Суворово (област Варна).</w:t>
      </w:r>
    </w:p>
    <w:p w14:paraId="442B5D0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Съгласно утвърдения в чл. 9, ал. 1 от Наредба №1 от 19 август 2020 г. за изискванията за дейността на здравния медиатор формуляр за отчет, през 2024 г. основни постижения и резултати, постигнати от здравните медиатори са обобщени в шест основни направления:</w:t>
      </w:r>
    </w:p>
    <w:p w14:paraId="4E9C0F56"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Съдействие на общопрактикуващи лекари</w:t>
      </w:r>
      <w:r w:rsidRPr="00AA5833">
        <w:rPr>
          <w:rFonts w:ascii="Times New Roman" w:eastAsia="Times New Roman" w:hAnsi="Times New Roman" w:cs="Times New Roman"/>
          <w:sz w:val="24"/>
          <w:szCs w:val="24"/>
          <w:lang w:eastAsia="bg-BG"/>
        </w:rPr>
        <w:t>:</w:t>
      </w:r>
    </w:p>
    <w:p w14:paraId="54052883"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Планови имунизационни кампании сред деца – 18 215 и сред възрастни – 3087 лица;</w:t>
      </w:r>
    </w:p>
    <w:p w14:paraId="64F0145C"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Профилактични прегледи сред деца – 13 583 и сред възрастни – 8939 лица.</w:t>
      </w:r>
    </w:p>
    <w:p w14:paraId="694A0767"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Съдействие на РЗИ</w:t>
      </w:r>
      <w:r w:rsidRPr="00AA5833">
        <w:rPr>
          <w:rFonts w:ascii="Times New Roman" w:eastAsia="Times New Roman" w:hAnsi="Times New Roman" w:cs="Times New Roman"/>
          <w:sz w:val="24"/>
          <w:szCs w:val="24"/>
          <w:lang w:eastAsia="bg-BG"/>
        </w:rPr>
        <w:t xml:space="preserve">: </w:t>
      </w:r>
    </w:p>
    <w:p w14:paraId="580AEF88"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 Планови имунизации и имунизационни кампании сред деца – 2780 и сред възрастни –  520 лица.</w:t>
      </w:r>
    </w:p>
    <w:p w14:paraId="36940A93"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Съдействие на лекари по дентална медицина</w:t>
      </w:r>
      <w:r w:rsidRPr="00AA5833">
        <w:rPr>
          <w:rFonts w:ascii="Times New Roman" w:eastAsia="Times New Roman" w:hAnsi="Times New Roman" w:cs="Times New Roman"/>
          <w:sz w:val="24"/>
          <w:szCs w:val="24"/>
          <w:lang w:eastAsia="bg-BG"/>
        </w:rPr>
        <w:t>:</w:t>
      </w:r>
    </w:p>
    <w:p w14:paraId="68667EE5"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Профилактични и/или лечебни дейности – общо 1026 бр.;</w:t>
      </w:r>
    </w:p>
    <w:p w14:paraId="3F1EFAB2"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Профилактични програми – общо 548 бр.</w:t>
      </w:r>
    </w:p>
    <w:p w14:paraId="228460E6"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Подпомагане достъпа до медицинска помощ</w:t>
      </w:r>
      <w:r w:rsidRPr="00AA5833">
        <w:rPr>
          <w:rFonts w:ascii="Times New Roman" w:eastAsia="Times New Roman" w:hAnsi="Times New Roman" w:cs="Times New Roman"/>
          <w:sz w:val="24"/>
          <w:szCs w:val="24"/>
          <w:lang w:eastAsia="bg-BG"/>
        </w:rPr>
        <w:t>:</w:t>
      </w:r>
    </w:p>
    <w:p w14:paraId="4B86100D"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Консултация – 89 874 бр.;</w:t>
      </w:r>
    </w:p>
    <w:p w14:paraId="71229AE9"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Попълване на документи – 8582 бр.;</w:t>
      </w:r>
    </w:p>
    <w:p w14:paraId="579DD4D4"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Следване на процедури – 8370 бр.;</w:t>
      </w:r>
    </w:p>
    <w:p w14:paraId="5CFAB057"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Съпровождане до здравни институции – 13 276 бр.;</w:t>
      </w:r>
    </w:p>
    <w:p w14:paraId="184BE5F4"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Възстановяване на здравноосигурителни права – 1686 бр.;</w:t>
      </w:r>
    </w:p>
    <w:p w14:paraId="32C18E25"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Патронаж – 19 211 бр.</w:t>
      </w:r>
      <w:r w:rsidRPr="00AA5833">
        <w:rPr>
          <w:rFonts w:ascii="Times New Roman" w:eastAsia="Times New Roman" w:hAnsi="Times New Roman" w:cs="Times New Roman"/>
          <w:sz w:val="24"/>
          <w:szCs w:val="24"/>
          <w:lang w:eastAsia="bg-BG"/>
        </w:rPr>
        <w:tab/>
      </w:r>
    </w:p>
    <w:p w14:paraId="4676E660"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Дейности по промоция на здраве – здравно-информационни кампании</w:t>
      </w:r>
      <w:r w:rsidRPr="00AA5833">
        <w:rPr>
          <w:rFonts w:ascii="Times New Roman" w:eastAsia="Times New Roman" w:hAnsi="Times New Roman" w:cs="Times New Roman"/>
          <w:sz w:val="24"/>
          <w:szCs w:val="24"/>
          <w:lang w:eastAsia="bg-BG"/>
        </w:rPr>
        <w:t>:</w:t>
      </w:r>
    </w:p>
    <w:p w14:paraId="5A70CEE9"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Превенция на инфекциозни заболявания чрез хигиена – 4451 бр.;</w:t>
      </w:r>
    </w:p>
    <w:p w14:paraId="34BE98E9"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Семейно планиране, сексуално и репродуктивно здраве – 2289 бр.;</w:t>
      </w:r>
    </w:p>
    <w:p w14:paraId="0EFCFB70"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Брой разпространение на здравно-образователни материали – 67 626 бр.;</w:t>
      </w:r>
    </w:p>
    <w:p w14:paraId="1A46B488"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Съвместна работа с РЗИ и други институции, участие в обучения, семинари – 11 667 бр.</w:t>
      </w:r>
    </w:p>
    <w:p w14:paraId="25888BC4" w14:textId="77777777" w:rsidR="00533926" w:rsidRPr="00AA5833" w:rsidRDefault="00533926" w:rsidP="002A598C">
      <w:pPr>
        <w:numPr>
          <w:ilvl w:val="0"/>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Дейности по решаване на комплексни казуси</w:t>
      </w:r>
      <w:r w:rsidRPr="00AA5833">
        <w:rPr>
          <w:rFonts w:ascii="Times New Roman" w:eastAsia="Times New Roman" w:hAnsi="Times New Roman" w:cs="Times New Roman"/>
          <w:sz w:val="24"/>
          <w:szCs w:val="24"/>
          <w:lang w:eastAsia="bg-BG"/>
        </w:rPr>
        <w:t>:</w:t>
      </w:r>
    </w:p>
    <w:p w14:paraId="0266A730"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Консултации – 62 318 бр.;</w:t>
      </w:r>
    </w:p>
    <w:p w14:paraId="37288CC4"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Попълване на документи – 44 853 бр.;</w:t>
      </w:r>
    </w:p>
    <w:p w14:paraId="29AD1B1E"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Следване на процедури – 7734 бр.;</w:t>
      </w:r>
    </w:p>
    <w:p w14:paraId="70F60531"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Съпровождане до социални институции – 8314 бр.;</w:t>
      </w:r>
    </w:p>
    <w:p w14:paraId="29322AF4" w14:textId="77777777" w:rsidR="00533926" w:rsidRPr="00AA5833" w:rsidRDefault="00533926" w:rsidP="002A598C">
      <w:pPr>
        <w:numPr>
          <w:ilvl w:val="1"/>
          <w:numId w:val="101"/>
        </w:numPr>
        <w:spacing w:after="0" w:line="240" w:lineRule="auto"/>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Патронаж – 12 476 бр.</w:t>
      </w:r>
    </w:p>
    <w:p w14:paraId="04A699C0"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p w14:paraId="06651CB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700A5FC8"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p w14:paraId="59095F4F"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rPr>
        <w:t xml:space="preserve">4.3.1.2. </w:t>
      </w:r>
      <w:r w:rsidRPr="00AA5833">
        <w:rPr>
          <w:rFonts w:ascii="Times New Roman" w:eastAsia="Times New Roman" w:hAnsi="Times New Roman" w:cs="Times New Roman"/>
          <w:b/>
          <w:sz w:val="24"/>
          <w:szCs w:val="24"/>
          <w:lang w:eastAsia="bg-BG"/>
        </w:rPr>
        <w:t>Профилактични прегледи и изследвания на здравноосигурени лица над 18-годишна възраст.</w:t>
      </w:r>
    </w:p>
    <w:p w14:paraId="579A4A0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55166002"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периода от 01.01.2024 г. до 31.12.2024 г.</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профилактичните прегледи на ЗОЛ над 18-годишна възраст се извършват съгласно изискванията на Приложение №12 към НРД за МД 2023 – 2025 г., </w:t>
      </w:r>
      <w:r w:rsidRPr="00AA5833">
        <w:rPr>
          <w:rFonts w:ascii="Times New Roman" w:hAnsi="Times New Roman" w:cs="Times New Roman"/>
          <w:sz w:val="24"/>
          <w:szCs w:val="24"/>
        </w:rPr>
        <w:t xml:space="preserve">Наредба №8 от 3 ноември 2016 г. за профилактичните прегледи и диспансеризацията и Наредба №9 от 10 декември 2019 г. за определяне на пакета от здравни дейности, гарантиран от бюджета на НЗОК. </w:t>
      </w:r>
    </w:p>
    <w:p w14:paraId="566DFD6C"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Всички здравноосигурени лица над 18-годишна възраст – жени и мъже, ежегодно имат право на един задължителен профилактичен преглед. Той се осъществява от общопрактикуващия (личния) лекар и включва: анамнеза и подробен статус, изчисляване на индекс на телесна маса, оценка на психичен статус, изследване на острота на зрение (ориентировъчно, без определяне на диоптри), измерване на артериално налягане, електрокардиограма (ЕКГ) и изследване на урина с тест-ленти в кабинет за: протеин, глюкоза, кетонни тела, уробилиноген/билирубин, pH.</w:t>
      </w:r>
    </w:p>
    <w:p w14:paraId="54A00A20"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Останалите изследвания, включени в обема на профилактичния преглед, са в зависимост от възрастовата група, в която лицата попадат:</w:t>
      </w:r>
    </w:p>
    <w:p w14:paraId="1AB14B10"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от 20 до 65-годишна възраст (жени и мъже) – назначават се: Пълна кръвна картина (ПКК), АСАТ, АЛАТ, креатинин, урина (химично изследване и седимент), пикочна киселина – веднъж на 5 години; определяне на повърхностен антиген на хепатит В (HbsAg) с бърз тест, определяне на антитела срещу хепатит С (anti-HCV) с бърз тест – на 40-, 45-, 50-, 55- и 60-годишна възраст.</w:t>
      </w:r>
    </w:p>
    <w:p w14:paraId="1E996BB2"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жени ≥ 30-годишна възраст – мануално изследване на млечни жлези – ежегодно;</w:t>
      </w:r>
    </w:p>
    <w:p w14:paraId="7EC55F0E"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lastRenderedPageBreak/>
        <w:t>жени от 30- до 50-годишна възраст – ехографско изследване на млечни жлези – веднъж на 2 години;</w:t>
      </w:r>
    </w:p>
    <w:p w14:paraId="74DCA2A7"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жени от 30- до 40-годишна възраст – изследване на онкопрофилактична цитонамазка – ежегодно, а след две негативни цитонамазки – веднъж на 3 години; гинекологичен статус, с вземане и изпращане на материал за цитонамазка – осъществява се от лекар специалист по акушерство и гинекология – ежегодно, а след две негативни цитонамазки – веднъж на 3 години;</w:t>
      </w:r>
    </w:p>
    <w:p w14:paraId="4F58E990"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мъже ≥ 40-годишна възраст и жени ≥ 50 години – изследване на триглицериди; общ холестерол и HDL-холестерол и оценка на СС риск по SCORE системата за лица без сърдечно-съдови заболявания, захарен диабет, хроничната бъбречна недостатъчност (ХБН); LDL-холестерол (за лица със сърдечно-съдови заболявания, захарен диабет, ХБН, при които не се извършва оценка на СС риск по SCORE системата и не е изследван в рамките на диспансерното наблюдение) – веднъж на 5 години;</w:t>
      </w:r>
    </w:p>
    <w:p w14:paraId="21050DC2"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мъже ≥ 45-годишна възраст – PSA – общ и свободен – ежегодно;</w:t>
      </w:r>
    </w:p>
    <w:p w14:paraId="59ED9A26"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жени от 45- до 69-годишна възраст включително – мамография на млечни жлези – веднъж на 2 години; за жени на и над 70-годишна възраст – веднъж на 3 години.</w:t>
      </w:r>
    </w:p>
    <w:p w14:paraId="0B3F995F" w14:textId="77777777" w:rsidR="00533926" w:rsidRPr="00AA5833" w:rsidRDefault="00533926" w:rsidP="002A598C">
      <w:pPr>
        <w:numPr>
          <w:ilvl w:val="0"/>
          <w:numId w:val="31"/>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над 65-годишна възраст (жени и мъже): ПКК – ежегодно за календарна година; триглицериди – един път на 5 години; общ холестерол, HDL за лица без сърдечно-съдови заболявания, захарен диабет, хроничната бъбречна недостатъчност (ХБН) – един път на 5 години; LDL-холестерол (за лица със сърдечно-съдови заболявания, захарен диабет, ХБН) – един път на 5 години.</w:t>
      </w:r>
    </w:p>
    <w:p w14:paraId="21EB84C4" w14:textId="77777777" w:rsidR="00533926" w:rsidRPr="00AA5833" w:rsidRDefault="00533926" w:rsidP="00533926">
      <w:pPr>
        <w:spacing w:after="0" w:line="240" w:lineRule="auto"/>
        <w:ind w:firstLine="708"/>
        <w:jc w:val="both"/>
        <w:rPr>
          <w:rFonts w:ascii="Times New Roman" w:eastAsia="Times New Roman" w:hAnsi="Times New Roman" w:cs="Times New Roman"/>
          <w:b/>
          <w:bCs/>
          <w:sz w:val="24"/>
          <w:szCs w:val="24"/>
        </w:rPr>
      </w:pPr>
      <w:r w:rsidRPr="00AA5833">
        <w:rPr>
          <w:rFonts w:ascii="Times New Roman" w:eastAsia="Times New Roman" w:hAnsi="Times New Roman" w:cs="Times New Roman"/>
          <w:sz w:val="24"/>
          <w:szCs w:val="24"/>
          <w:lang w:eastAsia="bg-BG"/>
        </w:rPr>
        <w:t>Съгласно заложените изисквания на Наредба №8 за профилактични прегледи на лица над 18-годишна</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на изпълнителите на ПИМП през 2024 г. от бюджета на НЗОК са заплатени са заплатени </w:t>
      </w:r>
      <w:r w:rsidRPr="00AA5833">
        <w:rPr>
          <w:rFonts w:ascii="Times New Roman" w:eastAsia="Times New Roman" w:hAnsi="Times New Roman" w:cs="Times New Roman"/>
          <w:b/>
          <w:sz w:val="24"/>
          <w:szCs w:val="24"/>
          <w:lang w:eastAsia="bg-BG"/>
        </w:rPr>
        <w:t>96 985,8 хил. лв.</w:t>
      </w:r>
      <w:r w:rsidRPr="00AA5833">
        <w:rPr>
          <w:rFonts w:ascii="Times New Roman" w:eastAsia="Times New Roman" w:hAnsi="Times New Roman" w:cs="Times New Roman"/>
          <w:sz w:val="24"/>
          <w:szCs w:val="24"/>
          <w:lang w:eastAsia="bg-BG"/>
        </w:rPr>
        <w:t xml:space="preserve"> за </w:t>
      </w:r>
      <w:r w:rsidRPr="00AA5833">
        <w:rPr>
          <w:rFonts w:ascii="Times New Roman" w:eastAsia="Times New Roman" w:hAnsi="Times New Roman" w:cs="Times New Roman"/>
          <w:b/>
          <w:bCs/>
          <w:sz w:val="24"/>
          <w:szCs w:val="24"/>
        </w:rPr>
        <w:t xml:space="preserve">2 583 331 </w:t>
      </w:r>
      <w:r w:rsidRPr="00AA5833">
        <w:rPr>
          <w:rFonts w:ascii="Times New Roman" w:eastAsia="Times New Roman" w:hAnsi="Times New Roman" w:cs="Times New Roman"/>
          <w:b/>
          <w:sz w:val="24"/>
          <w:szCs w:val="24"/>
          <w:lang w:eastAsia="bg-BG"/>
        </w:rPr>
        <w:t>бр.</w:t>
      </w:r>
      <w:r w:rsidRPr="00AA5833">
        <w:rPr>
          <w:rFonts w:ascii="Times New Roman" w:eastAsia="Times New Roman" w:hAnsi="Times New Roman" w:cs="Times New Roman"/>
          <w:sz w:val="24"/>
          <w:szCs w:val="24"/>
          <w:lang w:eastAsia="bg-BG"/>
        </w:rPr>
        <w:t xml:space="preserve"> отчетени годишни профилактични прегледи на лица над 18 г., а за изпълнение на изискваните при профилактиката изследвания на изпълнителите на МДД са заплатени </w:t>
      </w:r>
      <w:r w:rsidRPr="00AA5833">
        <w:rPr>
          <w:rFonts w:ascii="Times New Roman" w:eastAsia="Times New Roman" w:hAnsi="Times New Roman" w:cs="Times New Roman"/>
          <w:b/>
          <w:sz w:val="24"/>
          <w:szCs w:val="24"/>
          <w:lang w:eastAsia="bg-BG"/>
        </w:rPr>
        <w:t>66 381,8 хил. лв.</w:t>
      </w:r>
    </w:p>
    <w:p w14:paraId="63510FF8" w14:textId="77777777" w:rsidR="00533926" w:rsidRPr="00AA5833" w:rsidRDefault="00533926" w:rsidP="00533926">
      <w:pPr>
        <w:spacing w:after="0" w:line="240" w:lineRule="auto"/>
        <w:ind w:left="7" w:firstLine="702"/>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w:t>
      </w:r>
      <w:r w:rsidRPr="00AA5833">
        <w:rPr>
          <w:rFonts w:ascii="Times New Roman" w:eastAsia="Times New Roman" w:hAnsi="Times New Roman" w:cs="Times New Roman"/>
          <w:b/>
          <w:sz w:val="24"/>
          <w:szCs w:val="24"/>
          <w:lang w:eastAsia="bg-BG"/>
        </w:rPr>
        <w:t>поставяне на имунизации на лица над 18-годишна възраст</w:t>
      </w:r>
      <w:r w:rsidRPr="00AA5833">
        <w:rPr>
          <w:rFonts w:ascii="Times New Roman" w:eastAsia="Times New Roman" w:hAnsi="Times New Roman" w:cs="Times New Roman"/>
          <w:sz w:val="24"/>
          <w:szCs w:val="24"/>
          <w:lang w:eastAsia="bg-BG"/>
        </w:rPr>
        <w:t xml:space="preserve">, извършвани от изпълнители на ПИМП, заплатената сума за 2024 г. е </w:t>
      </w:r>
      <w:r w:rsidRPr="00AA5833">
        <w:rPr>
          <w:rFonts w:ascii="Times New Roman" w:eastAsia="Times New Roman" w:hAnsi="Times New Roman" w:cs="Times New Roman"/>
          <w:b/>
          <w:sz w:val="24"/>
          <w:szCs w:val="24"/>
          <w:lang w:eastAsia="bg-BG"/>
        </w:rPr>
        <w:t xml:space="preserve">2 672,4 хил. лв. </w:t>
      </w:r>
      <w:r w:rsidRPr="00AA5833">
        <w:rPr>
          <w:rFonts w:ascii="Times New Roman" w:eastAsia="Times New Roman" w:hAnsi="Times New Roman" w:cs="Times New Roman"/>
          <w:sz w:val="24"/>
          <w:szCs w:val="24"/>
          <w:lang w:eastAsia="bg-BG"/>
        </w:rPr>
        <w:t>за</w:t>
      </w:r>
      <w:r w:rsidRPr="00AA5833">
        <w:rPr>
          <w:rFonts w:ascii="Times New Roman" w:eastAsia="Times New Roman" w:hAnsi="Times New Roman" w:cs="Times New Roman"/>
          <w:b/>
          <w:sz w:val="24"/>
          <w:szCs w:val="24"/>
          <w:lang w:eastAsia="bg-BG"/>
        </w:rPr>
        <w:t xml:space="preserve"> 175 401 бр. </w:t>
      </w:r>
      <w:r w:rsidRPr="00AA5833">
        <w:rPr>
          <w:rFonts w:ascii="Times New Roman" w:eastAsia="Times New Roman" w:hAnsi="Times New Roman" w:cs="Times New Roman"/>
          <w:sz w:val="24"/>
          <w:szCs w:val="24"/>
          <w:lang w:eastAsia="bg-BG"/>
        </w:rPr>
        <w:t>отчетени имунизации.</w:t>
      </w:r>
    </w:p>
    <w:p w14:paraId="37DE82D9"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За профилактични прегледи на ЗОЛ над 18-годишна възраст</w:t>
      </w:r>
      <w:r w:rsidRPr="00AA5833">
        <w:rPr>
          <w:rFonts w:ascii="Times New Roman" w:eastAsia="Times New Roman" w:hAnsi="Times New Roman" w:cs="Times New Roman"/>
          <w:b/>
          <w:sz w:val="24"/>
          <w:szCs w:val="24"/>
          <w:lang w:eastAsia="bg-BG"/>
        </w:rPr>
        <w:t xml:space="preserve"> с рискови фактори за развитие на заболяване</w:t>
      </w:r>
      <w:r w:rsidRPr="00AA5833">
        <w:rPr>
          <w:rFonts w:ascii="Times New Roman" w:eastAsia="Times New Roman" w:hAnsi="Times New Roman" w:cs="Times New Roman"/>
          <w:sz w:val="24"/>
          <w:szCs w:val="24"/>
          <w:lang w:eastAsia="bg-BG"/>
        </w:rPr>
        <w:t xml:space="preserve">, извършвани от изпълнители на СИМП, през 2024 г. от бюджета на НЗОК са заплатени </w:t>
      </w:r>
      <w:r w:rsidRPr="00AA5833">
        <w:rPr>
          <w:rFonts w:ascii="Times New Roman" w:eastAsia="Times New Roman" w:hAnsi="Times New Roman" w:cs="Times New Roman"/>
          <w:b/>
          <w:sz w:val="24"/>
          <w:szCs w:val="24"/>
          <w:lang w:eastAsia="bg-BG"/>
        </w:rPr>
        <w:t xml:space="preserve">9,4 хил. лв., </w:t>
      </w:r>
      <w:r w:rsidRPr="00AA5833">
        <w:rPr>
          <w:rFonts w:ascii="Times New Roman" w:eastAsia="Times New Roman" w:hAnsi="Times New Roman" w:cs="Times New Roman"/>
          <w:sz w:val="24"/>
          <w:szCs w:val="24"/>
          <w:lang w:eastAsia="bg-BG"/>
        </w:rPr>
        <w:t>а за МДД</w:t>
      </w:r>
      <w:r w:rsidRPr="00AA5833">
        <w:rPr>
          <w:rFonts w:ascii="Times New Roman" w:eastAsia="Times New Roman" w:hAnsi="Times New Roman" w:cs="Times New Roman"/>
          <w:b/>
          <w:sz w:val="24"/>
          <w:szCs w:val="24"/>
          <w:lang w:eastAsia="bg-BG"/>
        </w:rPr>
        <w:t xml:space="preserve"> – 58,2 хил. лв. </w:t>
      </w:r>
    </w:p>
    <w:p w14:paraId="6E4E8BE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НЗОК чрез трансфери от МЗ е заплатила лекарствени продукти –ваксини и дейности по прилагането им от изпълнители на ПИМП в изпълнение на Национална програма за подобряване на ваксино-профилактиката на сезонния грип и на пневмококовите инфекции при лица на и над 65-годишна възраст 2023 – 2026 г., приета с Решение №65/26.01.2023 г. на Министерски съвет на Република България, за определени по програмата целеви групи – </w:t>
      </w:r>
      <w:r w:rsidRPr="00AA5833">
        <w:rPr>
          <w:rFonts w:ascii="Times New Roman" w:eastAsia="Times New Roman" w:hAnsi="Times New Roman" w:cs="Times New Roman"/>
          <w:b/>
          <w:sz w:val="24"/>
          <w:szCs w:val="24"/>
          <w:lang w:eastAsia="bg-BG"/>
        </w:rPr>
        <w:t>лица на и над 65-годишна възраст</w:t>
      </w:r>
      <w:r w:rsidRPr="00AA5833">
        <w:rPr>
          <w:rFonts w:ascii="Times New Roman" w:eastAsia="Times New Roman" w:hAnsi="Times New Roman" w:cs="Times New Roman"/>
          <w:sz w:val="24"/>
          <w:szCs w:val="24"/>
          <w:lang w:eastAsia="bg-BG"/>
        </w:rPr>
        <w:t xml:space="preserve">. </w:t>
      </w:r>
    </w:p>
    <w:p w14:paraId="565B262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заплатени </w:t>
      </w:r>
      <w:r w:rsidRPr="00AA5833">
        <w:rPr>
          <w:rFonts w:ascii="Times New Roman" w:eastAsia="Times New Roman" w:hAnsi="Times New Roman" w:cs="Times New Roman"/>
          <w:b/>
          <w:sz w:val="24"/>
          <w:szCs w:val="24"/>
          <w:lang w:eastAsia="bg-BG"/>
        </w:rPr>
        <w:t>2 893,4 хил. лв.</w:t>
      </w:r>
      <w:r w:rsidRPr="00AA5833">
        <w:rPr>
          <w:rFonts w:ascii="Times New Roman" w:eastAsia="Times New Roman" w:hAnsi="Times New Roman" w:cs="Times New Roman"/>
          <w:sz w:val="24"/>
          <w:szCs w:val="24"/>
          <w:lang w:eastAsia="bg-BG"/>
        </w:rPr>
        <w:t xml:space="preserve"> за </w:t>
      </w:r>
      <w:r w:rsidRPr="00AA5833">
        <w:rPr>
          <w:rFonts w:ascii="Times New Roman" w:eastAsia="Times New Roman" w:hAnsi="Times New Roman" w:cs="Times New Roman"/>
          <w:b/>
          <w:sz w:val="24"/>
          <w:szCs w:val="24"/>
          <w:lang w:eastAsia="bg-BG"/>
        </w:rPr>
        <w:t>328,3 бр.</w:t>
      </w:r>
      <w:r w:rsidRPr="00AA5833">
        <w:rPr>
          <w:rFonts w:ascii="Times New Roman" w:eastAsia="Times New Roman" w:hAnsi="Times New Roman" w:cs="Times New Roman"/>
          <w:sz w:val="24"/>
          <w:szCs w:val="24"/>
          <w:lang w:eastAsia="bg-BG"/>
        </w:rPr>
        <w:t xml:space="preserve"> приложени ваксини против сезон грип.</w:t>
      </w:r>
    </w:p>
    <w:p w14:paraId="01D31683" w14:textId="77777777" w:rsidR="00533926" w:rsidRPr="00AA5833" w:rsidRDefault="00533926" w:rsidP="00533926">
      <w:pPr>
        <w:spacing w:after="0" w:line="240" w:lineRule="auto"/>
        <w:ind w:firstLine="709"/>
        <w:jc w:val="both"/>
        <w:rPr>
          <w:rFonts w:ascii="Times New Roman" w:eastAsia="Times New Roman" w:hAnsi="Times New Roman" w:cs="Times New Roman"/>
          <w:strike/>
          <w:sz w:val="24"/>
          <w:szCs w:val="24"/>
          <w:lang w:eastAsia="bg-BG"/>
        </w:rPr>
      </w:pPr>
    </w:p>
    <w:p w14:paraId="1A13547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729D2264"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p w14:paraId="113D4526"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4.3.1.3.  Заплащане на лекарствени продукти</w:t>
      </w:r>
    </w:p>
    <w:p w14:paraId="76928F27"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6F8ACEE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НЗОК заплаща изцяло или частично лекарствени продукти за домашно лечение. Реимбурсираната от НЗОК сума за лекарствени продукти за домашно лечение за 2024 г. е в размер на </w:t>
      </w:r>
      <w:r w:rsidRPr="00AA5833">
        <w:rPr>
          <w:rFonts w:ascii="Times New Roman" w:eastAsia="Times New Roman" w:hAnsi="Times New Roman" w:cs="Times New Roman"/>
          <w:b/>
          <w:sz w:val="24"/>
          <w:szCs w:val="24"/>
          <w:lang w:eastAsia="bg-BG"/>
        </w:rPr>
        <w:t>1 375 048 107 хил. лв.</w:t>
      </w:r>
    </w:p>
    <w:p w14:paraId="3B2FE741" w14:textId="77777777" w:rsidR="00533926" w:rsidRPr="00AA5833" w:rsidRDefault="00533926" w:rsidP="00533926">
      <w:pPr>
        <w:spacing w:after="0" w:line="240" w:lineRule="auto"/>
        <w:ind w:firstLine="709"/>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sz w:val="24"/>
          <w:szCs w:val="24"/>
          <w:lang w:eastAsia="bg-BG"/>
        </w:rPr>
        <w:t xml:space="preserve">Финансовите средства, които НЗОК е заплатила за лекарствени продукти, предназначени за лечение на злокачествени заболявания и лекарствени продукти,  </w:t>
      </w:r>
      <w:r w:rsidRPr="00AA5833">
        <w:rPr>
          <w:rFonts w:ascii="Times New Roman" w:eastAsia="Times New Roman" w:hAnsi="Times New Roman" w:cs="Times New Roman"/>
          <w:sz w:val="24"/>
          <w:szCs w:val="24"/>
          <w:lang w:eastAsia="bg-BG"/>
        </w:rPr>
        <w:lastRenderedPageBreak/>
        <w:t>прилагани при лечение на животозастрашаващи кръвоизливи и спешни оперативни и инвазивни интервенции на пациенти с вродени коагулопатии, извън стойността на оказваните медицински услуги, за 2024 г. са в размер на</w:t>
      </w:r>
      <w:r w:rsidRPr="00AA5833">
        <w:rPr>
          <w:rFonts w:ascii="Times New Roman" w:eastAsia="Times New Roman" w:hAnsi="Times New Roman" w:cs="Times New Roman"/>
          <w:b/>
          <w:sz w:val="24"/>
          <w:szCs w:val="24"/>
          <w:lang w:eastAsia="bg-BG"/>
        </w:rPr>
        <w:t xml:space="preserve"> 1 384 491 491 хил. </w:t>
      </w:r>
      <w:r w:rsidRPr="00AA5833">
        <w:rPr>
          <w:rFonts w:ascii="Times New Roman" w:eastAsia="Times New Roman" w:hAnsi="Times New Roman" w:cs="Times New Roman"/>
          <w:b/>
          <w:bCs/>
          <w:sz w:val="24"/>
          <w:szCs w:val="24"/>
          <w:lang w:eastAsia="bg-BG"/>
        </w:rPr>
        <w:t>лв.</w:t>
      </w:r>
    </w:p>
    <w:p w14:paraId="37C78E24" w14:textId="77777777" w:rsidR="00533926" w:rsidRPr="00AA5833" w:rsidRDefault="00533926" w:rsidP="00533926">
      <w:pPr>
        <w:spacing w:after="0" w:line="240" w:lineRule="auto"/>
        <w:ind w:firstLine="709"/>
        <w:jc w:val="both"/>
        <w:rPr>
          <w:rFonts w:ascii="Times New Roman" w:eastAsia="Times New Roman" w:hAnsi="Times New Roman" w:cs="Times New Roman"/>
          <w:b/>
          <w:bCs/>
          <w:sz w:val="24"/>
          <w:szCs w:val="24"/>
          <w:lang w:eastAsia="bg-BG"/>
        </w:rPr>
      </w:pPr>
    </w:p>
    <w:p w14:paraId="7DA4D9A2" w14:textId="77777777" w:rsidR="006237BB" w:rsidRDefault="006237BB" w:rsidP="00533926">
      <w:pPr>
        <w:spacing w:after="0" w:line="240" w:lineRule="auto"/>
        <w:jc w:val="center"/>
        <w:rPr>
          <w:rFonts w:ascii="Times New Roman" w:eastAsia="Times New Roman" w:hAnsi="Times New Roman" w:cs="Times New Roman"/>
          <w:b/>
          <w:color w:val="0000FF"/>
          <w:sz w:val="24"/>
          <w:szCs w:val="24"/>
          <w:lang w:eastAsia="bg-BG"/>
        </w:rPr>
      </w:pPr>
    </w:p>
    <w:p w14:paraId="383E24E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431A479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623898D5"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4.3.1.4. Целогодишна програма за профилактика срещу рака на гърдата на МО, реализираща се от ВМА-София и Сдружение на жените военнослужещи (СЖВ)</w:t>
      </w:r>
    </w:p>
    <w:p w14:paraId="304C19B1" w14:textId="77777777" w:rsidR="00533926" w:rsidRPr="00AA5833" w:rsidRDefault="00533926" w:rsidP="00533926">
      <w:pPr>
        <w:spacing w:after="0" w:line="240" w:lineRule="auto"/>
        <w:jc w:val="center"/>
        <w:rPr>
          <w:rFonts w:ascii="Times New Roman" w:eastAsia="Times New Roman" w:hAnsi="Times New Roman" w:cs="Times New Roman"/>
          <w:b/>
          <w:bCs/>
          <w:sz w:val="24"/>
          <w:szCs w:val="24"/>
          <w:lang w:eastAsia="bg-BG"/>
        </w:rPr>
      </w:pPr>
    </w:p>
    <w:p w14:paraId="72826DD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Профилактиката срещу рака на гърдата се осъществява съгласно разпоредбите на вече цитираната Наредба №Н-8 от 3 ноември 2016 г. за профилактичните прегледи и диспансеризацията, издадена от Министерството на здравеопазването и продължава целогодишно.</w:t>
      </w:r>
    </w:p>
    <w:p w14:paraId="10BDE44C" w14:textId="77777777" w:rsidR="00533926" w:rsidRPr="00AA5833" w:rsidRDefault="00533926" w:rsidP="00533926">
      <w:pPr>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B022181"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FEBFAD2"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sz w:val="24"/>
                <w:szCs w:val="24"/>
              </w:rPr>
              <w:t>4.3.2. Мерки за намаляване на пътнотранспортните произшествия</w:t>
            </w:r>
          </w:p>
        </w:tc>
      </w:tr>
    </w:tbl>
    <w:p w14:paraId="1BCC3C30" w14:textId="77777777" w:rsidR="00533926" w:rsidRPr="00AA5833" w:rsidRDefault="00533926" w:rsidP="00533926">
      <w:pPr>
        <w:shd w:val="clear" w:color="auto" w:fill="FFFFFF"/>
        <w:tabs>
          <w:tab w:val="left" w:pos="1134"/>
        </w:tabs>
        <w:spacing w:after="0" w:line="240" w:lineRule="auto"/>
        <w:ind w:firstLine="851"/>
        <w:jc w:val="both"/>
        <w:rPr>
          <w:rFonts w:ascii="Times New Roman" w:eastAsia="Times New Roman" w:hAnsi="Times New Roman" w:cs="Times New Roman"/>
          <w:sz w:val="24"/>
          <w:szCs w:val="24"/>
          <w:lang w:eastAsia="bg-BG"/>
        </w:rPr>
      </w:pPr>
    </w:p>
    <w:p w14:paraId="052DCDB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ВЪТРЕШНИТЕ РАБОТИ</w:t>
      </w:r>
    </w:p>
    <w:p w14:paraId="4938A10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C860C9E" w14:textId="77777777" w:rsidR="00533926" w:rsidRPr="00AA5833" w:rsidRDefault="00533926" w:rsidP="00533926">
      <w:pPr>
        <w:tabs>
          <w:tab w:val="left" w:pos="4500"/>
        </w:tabs>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4.3.2.1.</w:t>
      </w:r>
      <w:r w:rsidRPr="00AA5833">
        <w:rPr>
          <w:rFonts w:ascii="Times New Roman" w:hAnsi="Times New Roman" w:cs="Times New Roman"/>
          <w:szCs w:val="24"/>
        </w:rPr>
        <w:t xml:space="preserve"> </w:t>
      </w:r>
      <w:r w:rsidRPr="00AA5833">
        <w:rPr>
          <w:rFonts w:ascii="Times New Roman" w:hAnsi="Times New Roman" w:cs="Times New Roman"/>
          <w:b/>
          <w:sz w:val="24"/>
          <w:szCs w:val="24"/>
        </w:rPr>
        <w:t xml:space="preserve">Ограничаване на пътнотранспортния травматизъм </w:t>
      </w:r>
    </w:p>
    <w:p w14:paraId="5D9ECE08" w14:textId="77777777" w:rsidR="00533926" w:rsidRPr="00AA5833" w:rsidRDefault="00533926" w:rsidP="00533926">
      <w:pPr>
        <w:tabs>
          <w:tab w:val="left" w:pos="4500"/>
        </w:tabs>
        <w:spacing w:after="0" w:line="240" w:lineRule="auto"/>
        <w:jc w:val="both"/>
        <w:rPr>
          <w:rFonts w:ascii="Times New Roman" w:hAnsi="Times New Roman" w:cs="Times New Roman"/>
          <w:b/>
          <w:sz w:val="24"/>
          <w:szCs w:val="24"/>
        </w:rPr>
      </w:pPr>
    </w:p>
    <w:p w14:paraId="3052F16F" w14:textId="77777777" w:rsidR="00533926" w:rsidRPr="00AA5833" w:rsidRDefault="00533926" w:rsidP="00533926">
      <w:pPr>
        <w:shd w:val="clear" w:color="auto" w:fill="FFFFFF"/>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 xml:space="preserve">За ограничаване на пътнотранспортния травматизъм през 2024 г. са реализирани повече от 50 акции, кампании и специализирани полицейски операции (СПО), традиционни на ГДНП, както и със съдействието на партньори:  </w:t>
      </w:r>
    </w:p>
    <w:p w14:paraId="7904F1B5" w14:textId="77777777" w:rsidR="00533926" w:rsidRPr="00AA5833" w:rsidRDefault="00533926" w:rsidP="00533926">
      <w:pPr>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 xml:space="preserve">От Плана на превантивните национални кампании за безопасност на движението по пътищата проведените акции са: за националните празници; „Абитуриенти“; „Ваканция! Да пазим живота на децата на пътя!“; „Безопасно лято“; „Децата тръгват на училище! Да ги пазим на пътя!“; „Пешеходци в безопасност“; „Безопасен превоз на деца – в столчета или с колани и на задната седалка“; „Пресичаме безопасно“, осигуряване безопасността на децата на 1 юни; Дни на безопасността на пътя на Европейската мрежа на службите на пътна полиция (ROADPOL) „Зима“, Студентския празник, Коледа, Нова година и други.  </w:t>
      </w:r>
    </w:p>
    <w:p w14:paraId="4DB9AA68" w14:textId="77777777" w:rsidR="00533926" w:rsidRPr="00AA5833" w:rsidRDefault="00533926" w:rsidP="00533926">
      <w:pPr>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Проведени са 14 СПО по календара на ROADPOL за: контрол над товарни автомобили и автобуси; засилени проверки за използването на обезопасителни средства по време на пътуване от водачите и пътниците в превозните средства; 24 часа скорост-маратон; контрол на водачите на МПС за шофиране след употреба на алкохол и/или наркотични вещества или техни аналози;</w:t>
      </w:r>
      <w:r w:rsidRPr="00AA5833">
        <w:rPr>
          <w:rFonts w:ascii="Times New Roman" w:hAnsi="Times New Roman" w:cs="Times New Roman"/>
        </w:rPr>
        <w:t xml:space="preserve"> </w:t>
      </w:r>
      <w:r w:rsidRPr="00AA5833">
        <w:rPr>
          <w:rFonts w:ascii="Times New Roman" w:hAnsi="Times New Roman" w:cs="Times New Roman"/>
          <w:sz w:val="24"/>
          <w:szCs w:val="24"/>
        </w:rPr>
        <w:t xml:space="preserve">ограничаване влиянието на разсейването на водачите по време на движение; „Зима“ със Съюза на българските автомобилисти (СБА); „Най-добър млад шофьор на България“ на СБА; шампионатите по приложно колоездене на Националното движение по приложно колоездене „Младежта за безопасност на движението“ към СБА; Десети конкурс за реализирани инициативи в областта на пътната безопасност с награди от Фондация „Годишни награди за пътна безопасност“ – 22.02.2024 г.; Ден на безопасността на движението по пътищата (БДП) – 29 юни и участие в инициативата на Държавната агенция „Безопасност на движението по пътищата“ (ДАБДП) за връчване на вторите годишни награди „Регионални и местни инициатива и подкрепа на БДП“; Национално състезание по БДП, организирано от Министерството на образованието и науката (МОН), Национална ученическа викторина по БДП „Да пазим децата на пътя!“, организирана от МОН, Националният дворец на децата (НДД) и СБА; „Посланията на есенния лист“ на НДД; социална мотокампания на електронно издание ВММ „Ние сме хора, не „донори“ и отбелязване на Деня в памет на </w:t>
      </w:r>
      <w:r w:rsidRPr="00AA5833">
        <w:rPr>
          <w:rFonts w:ascii="Times New Roman" w:hAnsi="Times New Roman" w:cs="Times New Roman"/>
          <w:sz w:val="24"/>
          <w:szCs w:val="24"/>
        </w:rPr>
        <w:lastRenderedPageBreak/>
        <w:t xml:space="preserve">загиналите мотористи и в подкрепа на пострадалите мотоциклетисти; „Пресичам безопасно с ТЕДИ“ на Тимбарк; Световният ден за възпоменание на жертвите от ПТП в третата неделя на ноември по решение на Генералната асамблея на ООН; социално-отговорна кампания на „Каменица“ АД „Алкохолът е лош шофьор“; „Безопасно лято“ с радио „Веселина“ и Пътна полиция. </w:t>
      </w:r>
    </w:p>
    <w:p w14:paraId="66CB4925" w14:textId="77777777" w:rsidR="00533926" w:rsidRPr="00AA5833" w:rsidRDefault="00533926" w:rsidP="00533926">
      <w:pPr>
        <w:shd w:val="clear" w:color="auto" w:fill="FFFFFF"/>
        <w:spacing w:after="0" w:line="240" w:lineRule="auto"/>
        <w:ind w:firstLine="851"/>
        <w:jc w:val="both"/>
        <w:rPr>
          <w:rFonts w:ascii="Times New Roman" w:hAnsi="Times New Roman" w:cs="Times New Roman"/>
          <w:strike/>
          <w:sz w:val="24"/>
          <w:szCs w:val="24"/>
        </w:rPr>
      </w:pPr>
      <w:r w:rsidRPr="00AA5833">
        <w:rPr>
          <w:rFonts w:ascii="Times New Roman" w:hAnsi="Times New Roman" w:cs="Times New Roman"/>
          <w:sz w:val="24"/>
          <w:szCs w:val="24"/>
        </w:rPr>
        <w:t>Проведени са беседи по безопасност на движението по пътищата по инициатива на Българската федерация по тенис – проект на Българския национален тенис център.</w:t>
      </w:r>
    </w:p>
    <w:p w14:paraId="1FC209D4" w14:textId="77777777" w:rsidR="00533926" w:rsidRPr="00AA5833" w:rsidRDefault="00533926" w:rsidP="00533926">
      <w:pPr>
        <w:shd w:val="clear" w:color="auto" w:fill="FFFFFF"/>
        <w:spacing w:after="0" w:line="240" w:lineRule="auto"/>
        <w:ind w:firstLine="851"/>
        <w:jc w:val="both"/>
        <w:rPr>
          <w:rFonts w:ascii="Times New Roman" w:hAnsi="Times New Roman" w:cs="Times New Roman"/>
          <w:sz w:val="24"/>
          <w:szCs w:val="24"/>
        </w:rPr>
      </w:pPr>
      <w:r w:rsidRPr="00AA5833">
        <w:rPr>
          <w:rFonts w:ascii="Times New Roman" w:hAnsi="Times New Roman" w:cs="Times New Roman"/>
          <w:sz w:val="24"/>
          <w:szCs w:val="24"/>
        </w:rPr>
        <w:t>Допълнително е взето участие в следните кампании: в гр. Мизия в празник на града с изнасяне на беседа по БДП на открито с деца, управляващи тротинетки; в събитие за пътна безопасност „Всички заедно за живот“, организирано от фондация „Стефан Стефанов“ в гр. Банкя; в Кръгла маса на „24 часа“; в научно-приложна конференция по проблемите на БДП в гр. Шумен, организирана от ДГ „Дружба“, Шуменския университет и др.; в Деня на бащата, организиран от Националния военноисторически музей; в заседанията за 1 юни и за Коледа на Консултативния съвет към Националния дарителски фонд за подпомагане на деца, пострадали при ПТП; в Десетата годишна конференция на тема „Визия НУЛА“ – Пловдив (19 – 20 септември 2024 г.) по покана от Българската браншова асоциация „Пътна безопасност“; в презентации на студенти с открита дискусия на тема „Безопасност на движението по пътищата“, организирана от деканата на Висшето транспортно училище „Тодор Каблешков“ – София; в откриването на урок, съвместно с автомобилния състезател Илия Царски по проект с МОН „Аз ще бъда отговорен шофьор“ в шест града – София, Варна, Велико Търново, Пазарджик, Пловдив и Стара Загора.</w:t>
      </w:r>
    </w:p>
    <w:p w14:paraId="71FFC761" w14:textId="77777777" w:rsidR="00533926" w:rsidRPr="00AA5833" w:rsidRDefault="00533926" w:rsidP="00533926">
      <w:pPr>
        <w:shd w:val="clear" w:color="auto" w:fill="FFFFFF"/>
        <w:spacing w:after="0" w:line="240" w:lineRule="auto"/>
        <w:ind w:firstLine="851"/>
        <w:jc w:val="both"/>
        <w:rPr>
          <w:rFonts w:ascii="Times New Roman" w:hAnsi="Times New Roman" w:cs="Times New Roman"/>
          <w:sz w:val="24"/>
          <w:szCs w:val="24"/>
        </w:rPr>
      </w:pPr>
    </w:p>
    <w:p w14:paraId="7C90CB5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ТРАНСПОРТА И СЪОБЩЕНИЯТА</w:t>
      </w:r>
    </w:p>
    <w:p w14:paraId="59D6F48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„АВТОМОБИЛНА АДМИНИСТРАЦИЯ“</w:t>
      </w:r>
    </w:p>
    <w:p w14:paraId="266F79A5" w14:textId="77777777" w:rsidR="00533926" w:rsidRPr="00AA5833" w:rsidRDefault="00533926" w:rsidP="00533926">
      <w:pPr>
        <w:shd w:val="clear" w:color="auto" w:fill="FFFFFF"/>
        <w:spacing w:after="0" w:line="240" w:lineRule="auto"/>
        <w:ind w:firstLine="851"/>
        <w:jc w:val="both"/>
        <w:rPr>
          <w:rFonts w:ascii="Times New Roman" w:hAnsi="Times New Roman" w:cs="Times New Roman"/>
          <w:sz w:val="24"/>
          <w:szCs w:val="24"/>
        </w:rPr>
      </w:pPr>
    </w:p>
    <w:p w14:paraId="1D9A74ED" w14:textId="77777777" w:rsidR="00533926" w:rsidRPr="00AA5833" w:rsidRDefault="00533926" w:rsidP="00533926">
      <w:pPr>
        <w:shd w:val="clear" w:color="auto" w:fill="FFFFFF"/>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4.3.2.1. Подготовка на образовани, обучени и информирани водачи, притежаващи квалификация и отговорно поведение за безопасно управление на пътни превозни средства</w:t>
      </w:r>
    </w:p>
    <w:p w14:paraId="49847499" w14:textId="77777777" w:rsidR="00533926" w:rsidRPr="00AA5833" w:rsidRDefault="00533926" w:rsidP="00533926">
      <w:pPr>
        <w:shd w:val="clear" w:color="auto" w:fill="FFFFFF"/>
        <w:spacing w:after="0" w:line="240" w:lineRule="auto"/>
        <w:jc w:val="both"/>
        <w:rPr>
          <w:rFonts w:ascii="Times New Roman" w:hAnsi="Times New Roman" w:cs="Times New Roman"/>
          <w:b/>
          <w:sz w:val="24"/>
          <w:szCs w:val="24"/>
        </w:rPr>
      </w:pPr>
    </w:p>
    <w:p w14:paraId="7979FCE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Въздействието на мярката е на национално ниво. Целевата група са водачите на моторни превозни средства (МПС) за управлението, на които се изисква свидетелство за МПС от категории C1, C1E, C, CE, D1, D1E, D или DE, когато с тези превозни средства се извършват обществени превози, превози за собствена сметка или пътна помощ. В обхвата на мярката е провеждането на допълващо и надграждащо обучение за водачите на МПС след придобиване на правоспособност. Индикатор за изпълнението ѝ е броят на издадените карти за квалификация на водачите след преминаване на обучението за 2024 година </w:t>
      </w:r>
      <w:r w:rsidRPr="00AA5833">
        <w:rPr>
          <w:rFonts w:ascii="Times New Roman" w:eastAsia="Times New Roman" w:hAnsi="Times New Roman" w:cs="Times New Roman"/>
          <w:b/>
          <w:sz w:val="24"/>
          <w:szCs w:val="24"/>
          <w:lang w:eastAsia="bg-BG"/>
        </w:rPr>
        <w:t>–</w:t>
      </w:r>
      <w:r w:rsidRPr="00AA5833">
        <w:rPr>
          <w:rFonts w:ascii="Times New Roman" w:eastAsia="Times New Roman" w:hAnsi="Times New Roman" w:cs="Times New Roman"/>
          <w:sz w:val="24"/>
          <w:szCs w:val="24"/>
          <w:lang w:eastAsia="bg-BG"/>
        </w:rPr>
        <w:t xml:space="preserve"> 33 197 бр. </w:t>
      </w:r>
    </w:p>
    <w:p w14:paraId="57E721C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Финансовите средства, изразходвани за изпълнението на мярката, са свързани с осигуряването на функционирането и оптимизация на регистъра на лицата, провеждащи курсовете за обучение на водачи за придобиване на начална квалификация и усъвършенстване на познанията им и на регистъра на лицата, на които се провежда обучение на дейностите по организиране и провеждане на обучението, изпитите, издаването и персонализирането на картите за квалификация, като за 2024 г. сумата е в размер на 4320 лв. с ДДС. </w:t>
      </w:r>
    </w:p>
    <w:p w14:paraId="59078145" w14:textId="77777777" w:rsidR="00533926" w:rsidRPr="00AA5833" w:rsidRDefault="00533926" w:rsidP="00533926">
      <w:pPr>
        <w:shd w:val="clear" w:color="auto" w:fill="FFFFFF"/>
        <w:tabs>
          <w:tab w:val="left" w:pos="1134"/>
        </w:tabs>
        <w:spacing w:after="0" w:line="240" w:lineRule="auto"/>
        <w:ind w:firstLine="851"/>
        <w:jc w:val="both"/>
        <w:rPr>
          <w:rFonts w:ascii="Times New Roman" w:eastAsia="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4C064BD"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FF713D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4.4. Намаляване на майчината и детската смъртност</w:t>
            </w:r>
          </w:p>
        </w:tc>
      </w:tr>
    </w:tbl>
    <w:p w14:paraId="33E56D65"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03A2812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0C417742"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4688DA65"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lastRenderedPageBreak/>
        <w:t>4.4.1. Съгласно Наредба №8 от 3 ноември 2016 г. за профилактичните прегледи и диспансеризацията, издадена от министъра на здравеопазването, децата подлежат на профилактични прегледи и изследвания, определени по вид и честота в приложение №1</w:t>
      </w:r>
    </w:p>
    <w:p w14:paraId="0B2F301C" w14:textId="77777777" w:rsidR="00533926" w:rsidRPr="00AA5833" w:rsidRDefault="00533926" w:rsidP="00533926">
      <w:pPr>
        <w:spacing w:after="0" w:line="240" w:lineRule="auto"/>
        <w:ind w:firstLine="567"/>
        <w:jc w:val="both"/>
        <w:rPr>
          <w:rFonts w:ascii="Times New Roman" w:eastAsia="Times New Roman" w:hAnsi="Times New Roman" w:cs="Times New Roman"/>
          <w:b/>
          <w:sz w:val="24"/>
          <w:szCs w:val="24"/>
          <w:lang w:eastAsia="bg-BG"/>
        </w:rPr>
      </w:pPr>
    </w:p>
    <w:p w14:paraId="2C55465D" w14:textId="77777777" w:rsidR="00533926" w:rsidRPr="00AA5833" w:rsidRDefault="00533926" w:rsidP="00533926">
      <w:pPr>
        <w:spacing w:after="0" w:line="240" w:lineRule="auto"/>
        <w:ind w:firstLine="567"/>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периода от 01.01.2024 г. до 31.12.2024 г. профилактични прегледи на лица от 0 до 18-годишна възраст, изследвания и имунизации се извършват по </w:t>
      </w:r>
      <w:r w:rsidRPr="00AA5833">
        <w:rPr>
          <w:rFonts w:ascii="Times New Roman" w:eastAsia="Calibri" w:hAnsi="Times New Roman" w:cs="Times New Roman"/>
          <w:sz w:val="24"/>
          <w:szCs w:val="24"/>
          <w:lang w:eastAsia="bg-BG"/>
        </w:rPr>
        <w:t xml:space="preserve">програма „Детско здравеопазване“ </w:t>
      </w:r>
      <w:r w:rsidRPr="00AA5833">
        <w:rPr>
          <w:rFonts w:ascii="Times New Roman" w:eastAsia="Times New Roman" w:hAnsi="Times New Roman" w:cs="Times New Roman"/>
          <w:sz w:val="24"/>
          <w:szCs w:val="24"/>
          <w:lang w:eastAsia="bg-BG"/>
        </w:rPr>
        <w:t xml:space="preserve">от: </w:t>
      </w:r>
    </w:p>
    <w:p w14:paraId="5E792D5C" w14:textId="77777777" w:rsidR="00533926" w:rsidRPr="00AA5833" w:rsidRDefault="00533926" w:rsidP="002A598C">
      <w:pPr>
        <w:numPr>
          <w:ilvl w:val="0"/>
          <w:numId w:val="10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Общопрактикуващите лекари, при спазване изискванията на</w:t>
      </w:r>
      <w:r w:rsidRPr="00AA5833">
        <w:rPr>
          <w:rFonts w:ascii="Times New Roman" w:hAnsi="Times New Roman" w:cs="Times New Roman"/>
          <w:sz w:val="24"/>
          <w:szCs w:val="24"/>
        </w:rPr>
        <w:t xml:space="preserve"> Приложение №12 към НРД за МД 2023 –</w:t>
      </w:r>
      <w:r w:rsidRPr="00AA5833">
        <w:rPr>
          <w:rFonts w:ascii="Times New Roman" w:eastAsia="Times New Roman" w:hAnsi="Times New Roman" w:cs="Times New Roman"/>
          <w:sz w:val="24"/>
          <w:szCs w:val="24"/>
          <w:lang w:eastAsia="bg-BG"/>
        </w:rPr>
        <w:t xml:space="preserve"> </w:t>
      </w:r>
      <w:r w:rsidRPr="00AA5833">
        <w:rPr>
          <w:rFonts w:ascii="Times New Roman" w:hAnsi="Times New Roman" w:cs="Times New Roman"/>
          <w:sz w:val="24"/>
          <w:szCs w:val="24"/>
        </w:rPr>
        <w:t>2025 г. „Дейности на ОПЛ по имунопрофилактика, програма „Детско здравеопазване“, профилактични прегледи на ЗОЛ над 18 години, формиране на групи от лица с рискови фактори за развитие на заболяване при ЗОЛ над 18 години, профилактични дейности при ЗОЛ над 18 години с рискови фактори за развитие на заболяване и програма „Майчино здравеопазване“.</w:t>
      </w:r>
      <w:r w:rsidRPr="00AA5833">
        <w:rPr>
          <w:rFonts w:ascii="Times New Roman" w:hAnsi="Times New Roman" w:cs="Times New Roman"/>
          <w:b/>
          <w:sz w:val="24"/>
          <w:szCs w:val="24"/>
        </w:rPr>
        <w:t xml:space="preserve"> </w:t>
      </w:r>
    </w:p>
    <w:p w14:paraId="69CDF883" w14:textId="77777777" w:rsidR="00533926" w:rsidRPr="00AA5833" w:rsidRDefault="00533926" w:rsidP="002A598C">
      <w:pPr>
        <w:numPr>
          <w:ilvl w:val="0"/>
          <w:numId w:val="10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 лекарите специалисти по „Детски болести“ по Приложение №14 към НРД за МД 2023 – 2025 г. „Дейности на лекаря специалист по „Педиатрия“ по програма „Детско здравеопазване“, на лекаря специалист по „Акушерство и гинекология“ по програма „Майчино здравеопазване“ и на лекаря специалист по профилактика на ЗОЛ над 18 г. с рискови фактори за развитие на заболяване“.</w:t>
      </w:r>
    </w:p>
    <w:p w14:paraId="1DC3AE7B"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770965F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3E98D6C5"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087426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4.4.2. Регламентирана възможност дейностите по програми „Детско здравеопазване“ и „Майчино здравеопазване“ да се изпълняват не само от специалист, но и от изпълнител на ПИМП, с оглед достъпа до медицински услуги във всички райони на страната, на живеещите в отдалечени райони бременни жени, млади майки и деца</w:t>
      </w:r>
    </w:p>
    <w:p w14:paraId="6AE6617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233566D9"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hAnsi="Times New Roman" w:cs="Times New Roman"/>
          <w:b/>
          <w:sz w:val="24"/>
          <w:szCs w:val="24"/>
        </w:rPr>
        <w:tab/>
      </w:r>
      <w:r w:rsidRPr="00AA5833">
        <w:rPr>
          <w:rFonts w:ascii="Times New Roman" w:eastAsia="Times New Roman" w:hAnsi="Times New Roman" w:cs="Times New Roman"/>
          <w:sz w:val="24"/>
          <w:szCs w:val="24"/>
          <w:lang w:eastAsia="bg-BG"/>
        </w:rPr>
        <w:t xml:space="preserve">За профилактични прегледи по програми „Детско здравеопазване“ и „Майчино здравеопазване“ на изпълнителите на ПИМП през 2024 г. от бюджета на НЗОК са заплатени </w:t>
      </w:r>
      <w:r w:rsidRPr="00AA5833">
        <w:rPr>
          <w:rFonts w:ascii="Times New Roman" w:eastAsia="Times New Roman" w:hAnsi="Times New Roman" w:cs="Times New Roman"/>
          <w:b/>
          <w:sz w:val="24"/>
          <w:szCs w:val="24"/>
          <w:lang w:eastAsia="bg-BG"/>
        </w:rPr>
        <w:t>61 478,6 хил. лв.</w:t>
      </w:r>
      <w:r w:rsidRPr="00AA5833">
        <w:rPr>
          <w:rFonts w:ascii="Times New Roman" w:eastAsia="Times New Roman" w:hAnsi="Times New Roman" w:cs="Times New Roman"/>
          <w:sz w:val="24"/>
          <w:szCs w:val="24"/>
          <w:lang w:eastAsia="bg-BG"/>
        </w:rPr>
        <w:t xml:space="preserve">, на изпълнителите на СИМП – </w:t>
      </w:r>
      <w:r w:rsidRPr="00AA5833">
        <w:rPr>
          <w:rFonts w:ascii="Times New Roman" w:eastAsia="Times New Roman" w:hAnsi="Times New Roman" w:cs="Times New Roman"/>
          <w:b/>
          <w:sz w:val="24"/>
          <w:szCs w:val="24"/>
          <w:lang w:eastAsia="bg-BG"/>
        </w:rPr>
        <w:t>7 672,1 хил. лв</w:t>
      </w:r>
      <w:r w:rsidRPr="00AA5833">
        <w:rPr>
          <w:rFonts w:ascii="Times New Roman" w:eastAsia="Times New Roman" w:hAnsi="Times New Roman" w:cs="Times New Roman"/>
          <w:sz w:val="24"/>
          <w:szCs w:val="24"/>
          <w:lang w:eastAsia="bg-BG"/>
        </w:rPr>
        <w:t>., а на изпълнителите на медико-диагностични изследвания</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w:t>
      </w:r>
      <w:r w:rsidRPr="00AA5833">
        <w:t xml:space="preserve"> </w:t>
      </w:r>
      <w:r w:rsidRPr="00AA5833">
        <w:rPr>
          <w:rFonts w:ascii="Times New Roman" w:eastAsia="Times New Roman" w:hAnsi="Times New Roman" w:cs="Times New Roman"/>
          <w:b/>
          <w:sz w:val="24"/>
          <w:szCs w:val="24"/>
          <w:lang w:eastAsia="bg-BG"/>
        </w:rPr>
        <w:t>8 037,8 хил. лв.</w:t>
      </w:r>
    </w:p>
    <w:p w14:paraId="52B7663A"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7C04954"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0D99F4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4.4.1. Откриване на женски и детски консултации, нормативно и финансово обезпечаване на разширяването на функциите и обхвата и въвеждането на задължително безплатно наблюдение на бременни жени, кърмачки и новородени</w:t>
            </w:r>
          </w:p>
        </w:tc>
      </w:tr>
    </w:tbl>
    <w:p w14:paraId="46C9C986" w14:textId="77777777" w:rsidR="00533926" w:rsidRPr="00AA5833" w:rsidRDefault="00533926" w:rsidP="00533926">
      <w:pPr>
        <w:spacing w:after="0" w:line="240" w:lineRule="auto"/>
        <w:ind w:firstLine="426"/>
        <w:rPr>
          <w:rFonts w:ascii="Times New Roman" w:eastAsia="Times New Roman" w:hAnsi="Times New Roman" w:cs="Times New Roman"/>
          <w:b/>
          <w:i/>
          <w:sz w:val="24"/>
          <w:szCs w:val="24"/>
          <w:lang w:eastAsia="bg-BG"/>
        </w:rPr>
      </w:pPr>
    </w:p>
    <w:p w14:paraId="4644E16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5B876649" w14:textId="77777777" w:rsidR="00533926" w:rsidRPr="00AA5833" w:rsidRDefault="00533926" w:rsidP="00533926">
      <w:pPr>
        <w:spacing w:after="0" w:line="240" w:lineRule="auto"/>
        <w:ind w:firstLine="426"/>
        <w:rPr>
          <w:rFonts w:ascii="Times New Roman" w:eastAsia="Times New Roman" w:hAnsi="Times New Roman" w:cs="Times New Roman"/>
          <w:b/>
          <w:i/>
          <w:sz w:val="24"/>
          <w:szCs w:val="24"/>
          <w:lang w:eastAsia="bg-BG"/>
        </w:rPr>
      </w:pPr>
    </w:p>
    <w:p w14:paraId="746BD7C2"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4.4.1.1. Осигуряване дейността на Здравно-консултативните центрове за майчино и детско здраве, разкрити в изпълнение на дейностите по Националната програма за подобряване на майчиното и детско здраве 2021 – 2030 г.</w:t>
      </w:r>
    </w:p>
    <w:p w14:paraId="68411420" w14:textId="77777777" w:rsidR="00533926" w:rsidRPr="00AA5833" w:rsidRDefault="00533926" w:rsidP="00533926">
      <w:pPr>
        <w:spacing w:after="0" w:line="240" w:lineRule="auto"/>
        <w:jc w:val="both"/>
        <w:rPr>
          <w:rFonts w:ascii="Times New Roman" w:eastAsia="Times New Roman" w:hAnsi="Times New Roman" w:cs="Times New Roman"/>
          <w:b/>
          <w:sz w:val="24"/>
          <w:szCs w:val="24"/>
          <w:highlight w:val="yellow"/>
          <w:lang w:eastAsia="bg-BG"/>
        </w:rPr>
      </w:pPr>
    </w:p>
    <w:p w14:paraId="23AE0A2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В 31 Здравно-консултативни центъра за майчино и детско здраве, разкрити във всички областни градове, лекари, психолози и социални работници осигуряват комплексното медицинско наблюдение на деца с увреждания и хронични заболявания, бременни с повишен медицински риск, с патология на бременността или наличие на хронични заболявания и увреждания. Чрез ЗКЦ се осигуряват здравно-информационни и здравно-обучителни дейности, специализирани консултации от медицински </w:t>
      </w:r>
      <w:r w:rsidRPr="00AA5833">
        <w:rPr>
          <w:rFonts w:ascii="Times New Roman" w:eastAsia="Times New Roman" w:hAnsi="Times New Roman" w:cs="Times New Roman"/>
          <w:sz w:val="24"/>
          <w:szCs w:val="24"/>
          <w:lang w:eastAsia="bg-BG"/>
        </w:rPr>
        <w:lastRenderedPageBreak/>
        <w:t xml:space="preserve">специалисти, домашни посещения на недоносени деца до 1 година и на деца с увреждания и хронични заболявания, медицинска и психо-социална рехабилитация, включително превенция на изоставяне на деца. На здравно неосигурените бременни е осигурена възможност за допълнителни консултации при наличие на заболявания, възникнали по време на бременността, в т.ч. допълнителен преглед от специалист по акушерство и гинекология освен прегледът, по реда Наредба №26/2007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w:t>
      </w:r>
    </w:p>
    <w:p w14:paraId="66C7938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През 2024 г. са извършени 5701 медицински консултации и домашни посещения, от които 2456 консултации на деца с увреждания, хронични заболявания и недоносени деца; 3078 консултации при бременни жени и родилки. Извършени са 1219 допълнителни прегледа от специалист по акушерство и гинекология. Разходите по Националната програма за подобряване на майчиното и детско здраве са в рамките на утвърдения за 2024 г. бюджет на Министерство на здравеопазването.</w:t>
      </w:r>
    </w:p>
    <w:p w14:paraId="11730EA4"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Мярката е изпълнена.</w:t>
      </w:r>
    </w:p>
    <w:p w14:paraId="06055B56" w14:textId="77777777" w:rsidR="00533926" w:rsidRPr="00AA5833" w:rsidRDefault="00533926" w:rsidP="00533926">
      <w:pPr>
        <w:spacing w:after="0" w:line="240" w:lineRule="auto"/>
        <w:rPr>
          <w:rFonts w:ascii="Times New Roman" w:eastAsia="Times New Roman" w:hAnsi="Times New Roman" w:cs="Times New Roman"/>
          <w:b/>
          <w:sz w:val="24"/>
          <w:szCs w:val="24"/>
          <w:highlight w:val="yellow"/>
          <w:lang w:eastAsia="bg-BG"/>
        </w:rPr>
      </w:pPr>
    </w:p>
    <w:p w14:paraId="168D96B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50DC6F61"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33A9C83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4.4.1.2. Осигуряване на изследвания и консултации в рамките на биохимичен скрининг на бременни за оценка на риска от раждане на дете болест на Даун, други анеуплоидии, спина бифида, аненцефалия и тежък дефект на коремната стена</w:t>
      </w:r>
    </w:p>
    <w:p w14:paraId="13728FA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CFD601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По реда на Наредба №26 от 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през 2024 г. е извършен биохимичен скрининг на 13 945 бременни жени.</w:t>
      </w:r>
    </w:p>
    <w:p w14:paraId="0F5D3B10" w14:textId="77777777" w:rsidR="00533926" w:rsidRPr="00AA5833" w:rsidRDefault="00533926" w:rsidP="00533926">
      <w:pPr>
        <w:spacing w:after="0" w:line="240" w:lineRule="auto"/>
        <w:ind w:firstLine="426"/>
        <w:rPr>
          <w:rFonts w:ascii="Times New Roman" w:eastAsia="Times New Roman" w:hAnsi="Times New Roman" w:cs="Times New Roman"/>
          <w:b/>
          <w:i/>
          <w:sz w:val="24"/>
          <w:szCs w:val="24"/>
          <w:lang w:eastAsia="bg-BG"/>
        </w:rPr>
      </w:pPr>
    </w:p>
    <w:tbl>
      <w:tblPr>
        <w:tblW w:w="841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063"/>
        <w:gridCol w:w="6066"/>
      </w:tblGrid>
      <w:tr w:rsidR="00533926" w:rsidRPr="00AA5833" w14:paraId="197374E2" w14:textId="77777777" w:rsidTr="00533926">
        <w:trPr>
          <w:gridBefore w:val="1"/>
          <w:gridAfter w:val="1"/>
          <w:wBefore w:w="37" w:type="pct"/>
          <w:wAfter w:w="1990" w:type="pct"/>
        </w:trPr>
        <w:tc>
          <w:tcPr>
            <w:tcW w:w="2973" w:type="pct"/>
            <w:tcBorders>
              <w:top w:val="single" w:sz="4" w:space="0" w:color="auto"/>
              <w:left w:val="single" w:sz="4" w:space="0" w:color="auto"/>
              <w:bottom w:val="single" w:sz="4" w:space="0" w:color="auto"/>
              <w:right w:val="single" w:sz="4" w:space="0" w:color="auto"/>
            </w:tcBorders>
            <w:shd w:val="clear" w:color="auto" w:fill="FFFF99"/>
            <w:hideMark/>
          </w:tcPr>
          <w:p w14:paraId="06AF985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4.4.2. Въвеждане на мерки за осигуряване на достъп до качествени медицински услуги на живеещите в селата бременни жени, млади майки и деца</w:t>
            </w:r>
          </w:p>
        </w:tc>
      </w:tr>
      <w:tr w:rsidR="00533926" w:rsidRPr="00AA5833" w14:paraId="28DDC070" w14:textId="77777777" w:rsidTr="00533926">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88"/>
        </w:trPr>
        <w:tc>
          <w:tcPr>
            <w:tcW w:w="5000" w:type="pct"/>
            <w:gridSpan w:val="3"/>
          </w:tcPr>
          <w:p w14:paraId="7D57B593" w14:textId="77777777" w:rsidR="00533926" w:rsidRPr="00AA5833" w:rsidRDefault="00533926" w:rsidP="00533926">
            <w:pPr>
              <w:autoSpaceDE w:val="0"/>
              <w:autoSpaceDN w:val="0"/>
              <w:adjustRightInd w:val="0"/>
              <w:spacing w:after="0" w:line="240" w:lineRule="auto"/>
              <w:rPr>
                <w:rFonts w:ascii="Times New Roman" w:hAnsi="Times New Roman" w:cs="Times New Roman"/>
                <w:color w:val="000000"/>
                <w:sz w:val="24"/>
                <w:szCs w:val="24"/>
              </w:rPr>
            </w:pPr>
          </w:p>
        </w:tc>
      </w:tr>
      <w:tr w:rsidR="00533926" w:rsidRPr="00AA5833" w14:paraId="67C1273B" w14:textId="77777777" w:rsidTr="00533926">
        <w:trPr>
          <w:gridBefore w:val="1"/>
          <w:gridAfter w:val="1"/>
          <w:wBefore w:w="37" w:type="pct"/>
          <w:wAfter w:w="1990" w:type="pct"/>
        </w:trPr>
        <w:tc>
          <w:tcPr>
            <w:tcW w:w="2973" w:type="pct"/>
            <w:tcBorders>
              <w:top w:val="single" w:sz="4" w:space="0" w:color="auto"/>
              <w:left w:val="single" w:sz="4" w:space="0" w:color="auto"/>
              <w:bottom w:val="single" w:sz="4" w:space="0" w:color="auto"/>
              <w:right w:val="single" w:sz="4" w:space="0" w:color="auto"/>
            </w:tcBorders>
            <w:shd w:val="clear" w:color="auto" w:fill="FFFF99"/>
            <w:hideMark/>
          </w:tcPr>
          <w:p w14:paraId="5E2C623A" w14:textId="77777777" w:rsidR="00533926" w:rsidRPr="00AA5833" w:rsidRDefault="00533926" w:rsidP="00533926">
            <w:pPr>
              <w:spacing w:after="0" w:line="240" w:lineRule="auto"/>
              <w:ind w:left="-255"/>
              <w:jc w:val="center"/>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4.5. Намаляване на преждевременната смъртност, особено на тази сред мъжете</w:t>
            </w:r>
          </w:p>
        </w:tc>
      </w:tr>
    </w:tbl>
    <w:p w14:paraId="780AEC4E" w14:textId="77777777" w:rsidR="00533926" w:rsidRPr="00AA5833" w:rsidRDefault="00533926" w:rsidP="00533926">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0011B271"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6185F6D"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4.6. </w:t>
            </w:r>
            <w:r w:rsidRPr="00AA5833">
              <w:rPr>
                <w:rFonts w:ascii="Times New Roman" w:eastAsia="Times New Roman" w:hAnsi="Times New Roman" w:cs="Times New Roman"/>
                <w:b/>
                <w:bCs/>
                <w:color w:val="000000"/>
                <w:sz w:val="24"/>
                <w:szCs w:val="24"/>
                <w:lang w:eastAsia="bg-BG"/>
              </w:rPr>
              <w:t xml:space="preserve">Намаляване на общата заболеваемост и превенция на социално значими болести, вкл. болести на сърцето и кръвоносната система, онкологични заболявания, заболявания, водещи до трайна инвалидизация и др. </w:t>
            </w:r>
          </w:p>
        </w:tc>
      </w:tr>
    </w:tbl>
    <w:p w14:paraId="41F7445C"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460656D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ЗДРАВЕОПАЗВАНЕТО</w:t>
      </w:r>
    </w:p>
    <w:p w14:paraId="7C3D456C"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559D349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4.6.1. Изпълнение на Национална програма за превенция на хроничните незаразни болести 2021 – 2025 г. </w:t>
      </w:r>
    </w:p>
    <w:p w14:paraId="0AF7AED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AFC59F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Реализиране на дейности, насочени към намаляване на факторите на риска, водещи до хроничните незаразни болести (ХНБ)</w:t>
      </w:r>
    </w:p>
    <w:p w14:paraId="1E13E7A5" w14:textId="77777777" w:rsidR="00533926" w:rsidRPr="00AA5833" w:rsidRDefault="00533926" w:rsidP="00533926">
      <w:pPr>
        <w:spacing w:after="0" w:line="240" w:lineRule="auto"/>
        <w:jc w:val="center"/>
        <w:rPr>
          <w:rFonts w:ascii="Times New Roman" w:eastAsia="Times New Roman" w:hAnsi="Times New Roman" w:cs="Times New Roman"/>
          <w:sz w:val="24"/>
          <w:szCs w:val="24"/>
          <w:u w:val="single"/>
          <w:lang w:eastAsia="bg-BG"/>
        </w:rPr>
      </w:pPr>
    </w:p>
    <w:p w14:paraId="7CAA5E09"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Повишаване на нивото на информираност, обучение и включване на населението до 19 г. в дейности по Програмата</w:t>
      </w:r>
    </w:p>
    <w:p w14:paraId="2EE668D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в страната са реализирани редица дейности по промоция на здраве и профилактика на болестите сред деца и млади хора до 19 години, насочени към ограничаване на рисковите фактори, свързани с начина на живот (тютюнопушене, </w:t>
      </w:r>
      <w:r w:rsidRPr="00AA5833">
        <w:rPr>
          <w:rFonts w:ascii="Times New Roman" w:eastAsia="Times New Roman" w:hAnsi="Times New Roman" w:cs="Times New Roman"/>
          <w:sz w:val="24"/>
          <w:szCs w:val="24"/>
          <w:lang w:eastAsia="bg-BG"/>
        </w:rPr>
        <w:lastRenderedPageBreak/>
        <w:t xml:space="preserve">нездравословно хранене, ниска физическа активност, употреба и злоупотреба на алкохол); биологичните фактори на риска за хронични незаразни болести – повишено артериално налягане и затлъстяване; пътнотранспортен травматизъм и други. </w:t>
      </w:r>
    </w:p>
    <w:p w14:paraId="5850FDC2"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Използвани са традиционните образователни методи и форми на обучение: курсове, семинари, беседи/лекции, дискусии, тренинги, видеопокази и видеоклипове, индивидуални обучения, изложби, тематични дни, конкурси и начини на разпространение на здравна информация: телевизионни (ТВ) и радиопредавания, публикации в пресата и интернет публикации, пресконференции, създаване и разпространение на здравнообразователни материали.</w:t>
      </w:r>
    </w:p>
    <w:p w14:paraId="3623ECC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Продължава дейността на Националния ученически конкурс „Посланици на здравето“. Конкурсът се организира за шестнадесети път в рамките на Националната програма за превенция на хроничните незаразни болести, по инициатива на Министерството на здравеопазването и в партньорство с Националния център по обществено здраве и анализи, Министерството на образованието и науката, Министерството на културата, Министерството на младежта и спорта, Министерството на околната среда и водите, Офиса на СЗО за България и Българския Червен кръст. Той е продължение на стартиралия през 2008 г. ученически конкурс „Проектът на нашия клас – за живот без тютюнев дим“, провеждан в рамките на Националната програма за ограничаване на тютюнопушенето на Р България 2007 – 2010 г. и се провежда в подкрепа на здравословния начин на живот на младите хора, с цел превенция на поведенческите рискови за здравето фактори, свързани с нездравословното хранене, ниската физическа активност, злоупотребата  алкохол и тютюнопушенето.</w:t>
      </w:r>
    </w:p>
    <w:p w14:paraId="1B3F0D9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Конкурсът „Посланици на здравето“ се отнася за трите възрастови групи: 1-4 клас, 5-7 клас и 8-12 клас и включва две тематични области: 1) ограничаване на тютюнопушенето и злоупотребата с алкохол и 2) здравословно хранене и физическа активност. Дейностите се провеждат през цялата година от м. март до м. ноември. В проектите са реализирани интерактивни дейности за ограничаване на рисковите за здравето фактори, които включват електронни приложения, интернет сайтове и електронни книги за здравословно хранене, спортни прояви – състезания и турнири; туристически и еко походи; ролеви игри; дебати и дискусии; сътрудничество и работа в екип между поколенията с цел запазване на българските традиции; почистване на замърсени райони в различни населени места в страната и др.</w:t>
      </w:r>
    </w:p>
    <w:p w14:paraId="5CFA4E3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Общият брой на проектите, финализирани успешно през 2024 година, е 44. В категорията от 1-ви до 4-ти клас – 13 проекта; от 5-и до 7-и клас – 11 проекта и от 8-и до 12-и клас – 20 проекта. Министерствата-партньори на инициативата класират по 3 призови места във всяка възрастова група, като МЗ, Офисът на СЗО за България и БЧК връчват и една специална награда. Класираните участници получиха грамоти и предметни награди, изпратени до директорите на техните училища.</w:t>
      </w:r>
    </w:p>
    <w:p w14:paraId="0998BDA7"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Извършената дейност по четирите фактора на риска за млади хора до 19 години е следната: организирани и проведени са 207 кампании, отбелязани със 160 събития и 250 масови мероприятия с участието на 25 833 млади хора за световни, международни и тематични дни, празници. Излъчени са: 75 ТВ предавания, 148 радиопредавания, 1633 аудио-, видеоклипа и видеопокази; публикувани са 212 материала в местни и централни вестници, 694 – в интернет; организирани са 12 пресконференции във връзка с младежки здравни прояви; изнесени са 2322 лекции и беседи (с 48 921 участници); 723 дискусии (с 11 599 участници); 118 семинара (с 3701 участници); 761 тренинга (с 7066 участници); 386 индивидуални обучения и консултации. Разработени и отпечатани са 31 здравнообразователни материала, с общ тираж 16 510 бр. Разпространени са 57 656 бр. материали (методични помагала, дипляни, плакати, стикери, календари и др.) (Таблица 1).</w:t>
      </w:r>
    </w:p>
    <w:p w14:paraId="43B05F53" w14:textId="77777777" w:rsidR="00533926"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6045BAB5" w14:textId="77777777" w:rsidR="002E676E" w:rsidRDefault="002E676E" w:rsidP="00533926">
      <w:pPr>
        <w:spacing w:after="0" w:line="240" w:lineRule="auto"/>
        <w:ind w:firstLine="709"/>
        <w:jc w:val="both"/>
        <w:rPr>
          <w:rFonts w:ascii="Times New Roman" w:eastAsia="Times New Roman" w:hAnsi="Times New Roman" w:cs="Times New Roman"/>
          <w:sz w:val="24"/>
          <w:szCs w:val="24"/>
          <w:lang w:eastAsia="bg-BG"/>
        </w:rPr>
      </w:pPr>
    </w:p>
    <w:p w14:paraId="6E189D80" w14:textId="77777777" w:rsidR="002E676E" w:rsidRDefault="002E676E" w:rsidP="00533926">
      <w:pPr>
        <w:spacing w:after="0" w:line="240" w:lineRule="auto"/>
        <w:ind w:firstLine="709"/>
        <w:jc w:val="both"/>
        <w:rPr>
          <w:rFonts w:ascii="Times New Roman" w:eastAsia="Times New Roman" w:hAnsi="Times New Roman" w:cs="Times New Roman"/>
          <w:sz w:val="24"/>
          <w:szCs w:val="24"/>
          <w:lang w:eastAsia="bg-BG"/>
        </w:rPr>
      </w:pPr>
    </w:p>
    <w:p w14:paraId="415F18FB" w14:textId="77777777" w:rsidR="002E676E" w:rsidRPr="00AA5833" w:rsidRDefault="002E676E" w:rsidP="00533926">
      <w:pPr>
        <w:spacing w:after="0" w:line="240" w:lineRule="auto"/>
        <w:ind w:firstLine="709"/>
        <w:jc w:val="both"/>
        <w:rPr>
          <w:rFonts w:ascii="Times New Roman" w:eastAsia="Times New Roman" w:hAnsi="Times New Roman" w:cs="Times New Roman"/>
          <w:sz w:val="24"/>
          <w:szCs w:val="24"/>
          <w:lang w:eastAsia="bg-BG"/>
        </w:rPr>
      </w:pPr>
    </w:p>
    <w:p w14:paraId="784E3B28"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Таблица 1. Здравнообразователна дейност по факторите на риска за хронични незаразни болести сред население до 19 г. през 2024 г.</w:t>
      </w:r>
    </w:p>
    <w:p w14:paraId="6C4075E6"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tbl>
      <w:tblPr>
        <w:tblW w:w="10483" w:type="dxa"/>
        <w:tblInd w:w="-436" w:type="dxa"/>
        <w:tblLayout w:type="fixed"/>
        <w:tblCellMar>
          <w:left w:w="70" w:type="dxa"/>
          <w:right w:w="70" w:type="dxa"/>
        </w:tblCellMar>
        <w:tblLook w:val="04A0" w:firstRow="1" w:lastRow="0" w:firstColumn="1" w:lastColumn="0" w:noHBand="0" w:noVBand="1"/>
      </w:tblPr>
      <w:tblGrid>
        <w:gridCol w:w="390"/>
        <w:gridCol w:w="2212"/>
        <w:gridCol w:w="927"/>
        <w:gridCol w:w="160"/>
        <w:gridCol w:w="423"/>
        <w:gridCol w:w="1202"/>
        <w:gridCol w:w="175"/>
        <w:gridCol w:w="902"/>
        <w:gridCol w:w="760"/>
        <w:gridCol w:w="104"/>
        <w:gridCol w:w="973"/>
        <w:gridCol w:w="1178"/>
        <w:gridCol w:w="157"/>
        <w:gridCol w:w="920"/>
      </w:tblGrid>
      <w:tr w:rsidR="00533926" w:rsidRPr="00AA5833" w14:paraId="3856C0A7" w14:textId="77777777" w:rsidTr="00533926">
        <w:trPr>
          <w:trHeight w:val="300"/>
        </w:trPr>
        <w:tc>
          <w:tcPr>
            <w:tcW w:w="390" w:type="dxa"/>
            <w:tcBorders>
              <w:top w:val="single" w:sz="8" w:space="0" w:color="auto"/>
              <w:left w:val="single" w:sz="8" w:space="0" w:color="auto"/>
              <w:bottom w:val="nil"/>
              <w:right w:val="single" w:sz="8" w:space="0" w:color="auto"/>
            </w:tcBorders>
            <w:shd w:val="clear" w:color="000000" w:fill="E6E6E6"/>
            <w:vAlign w:val="center"/>
            <w:hideMark/>
          </w:tcPr>
          <w:p w14:paraId="7FF7E8D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12" w:type="dxa"/>
            <w:tcBorders>
              <w:top w:val="single" w:sz="8" w:space="0" w:color="auto"/>
              <w:left w:val="nil"/>
              <w:bottom w:val="nil"/>
              <w:right w:val="single" w:sz="8" w:space="0" w:color="auto"/>
            </w:tcBorders>
            <w:shd w:val="clear" w:color="000000" w:fill="E6E6E6"/>
            <w:vAlign w:val="center"/>
            <w:hideMark/>
          </w:tcPr>
          <w:p w14:paraId="64AD97A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510"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29F465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ТЮТЮНО-ПУШЕНЕ</w:t>
            </w:r>
          </w:p>
        </w:tc>
        <w:tc>
          <w:tcPr>
            <w:tcW w:w="2279"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6359862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   АЛКОХОЛ</w:t>
            </w:r>
          </w:p>
        </w:tc>
        <w:tc>
          <w:tcPr>
            <w:tcW w:w="1837"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C7CD31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 НИСКА ФИЗИЧЕСКА АКТИВНОСТ</w:t>
            </w:r>
          </w:p>
        </w:tc>
        <w:tc>
          <w:tcPr>
            <w:tcW w:w="2255"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BBB37C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НЕЗДРАВОСЛОВНО ХРАНЕНЕ</w:t>
            </w:r>
          </w:p>
        </w:tc>
      </w:tr>
      <w:tr w:rsidR="00533926" w:rsidRPr="00AA5833" w14:paraId="26FB711A" w14:textId="77777777" w:rsidTr="00533926">
        <w:trPr>
          <w:trHeight w:val="630"/>
        </w:trPr>
        <w:tc>
          <w:tcPr>
            <w:tcW w:w="390" w:type="dxa"/>
            <w:tcBorders>
              <w:top w:val="nil"/>
              <w:left w:val="single" w:sz="8" w:space="0" w:color="auto"/>
              <w:bottom w:val="nil"/>
              <w:right w:val="single" w:sz="8" w:space="0" w:color="auto"/>
            </w:tcBorders>
            <w:shd w:val="clear" w:color="000000" w:fill="E6E6E6"/>
            <w:vAlign w:val="center"/>
            <w:hideMark/>
          </w:tcPr>
          <w:p w14:paraId="7329A2D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w:t>
            </w:r>
          </w:p>
        </w:tc>
        <w:tc>
          <w:tcPr>
            <w:tcW w:w="2212" w:type="dxa"/>
            <w:tcBorders>
              <w:top w:val="nil"/>
              <w:left w:val="nil"/>
              <w:bottom w:val="nil"/>
              <w:right w:val="single" w:sz="8" w:space="0" w:color="auto"/>
            </w:tcBorders>
            <w:shd w:val="clear" w:color="000000" w:fill="E6E6E6"/>
            <w:vAlign w:val="center"/>
            <w:hideMark/>
          </w:tcPr>
          <w:p w14:paraId="1F5888E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ДЕЙНОСТИ</w:t>
            </w:r>
          </w:p>
        </w:tc>
        <w:tc>
          <w:tcPr>
            <w:tcW w:w="1510" w:type="dxa"/>
            <w:gridSpan w:val="3"/>
            <w:vMerge/>
            <w:tcBorders>
              <w:top w:val="nil"/>
              <w:left w:val="nil"/>
              <w:bottom w:val="nil"/>
              <w:right w:val="single" w:sz="8" w:space="0" w:color="auto"/>
            </w:tcBorders>
            <w:vAlign w:val="center"/>
            <w:hideMark/>
          </w:tcPr>
          <w:p w14:paraId="22885FA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79" w:type="dxa"/>
            <w:gridSpan w:val="3"/>
            <w:vMerge/>
            <w:tcBorders>
              <w:top w:val="nil"/>
              <w:left w:val="nil"/>
              <w:bottom w:val="nil"/>
              <w:right w:val="single" w:sz="8" w:space="0" w:color="auto"/>
            </w:tcBorders>
            <w:vAlign w:val="center"/>
            <w:hideMark/>
          </w:tcPr>
          <w:p w14:paraId="64C9844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837" w:type="dxa"/>
            <w:gridSpan w:val="3"/>
            <w:vMerge/>
            <w:tcBorders>
              <w:top w:val="nil"/>
              <w:left w:val="nil"/>
              <w:bottom w:val="nil"/>
              <w:right w:val="single" w:sz="8" w:space="0" w:color="auto"/>
            </w:tcBorders>
            <w:vAlign w:val="center"/>
            <w:hideMark/>
          </w:tcPr>
          <w:p w14:paraId="21E5252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55" w:type="dxa"/>
            <w:gridSpan w:val="3"/>
            <w:vMerge/>
            <w:tcBorders>
              <w:top w:val="nil"/>
              <w:left w:val="nil"/>
              <w:bottom w:val="nil"/>
              <w:right w:val="single" w:sz="8" w:space="0" w:color="auto"/>
            </w:tcBorders>
            <w:vAlign w:val="center"/>
            <w:hideMark/>
          </w:tcPr>
          <w:p w14:paraId="6ECF6FA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r>
      <w:tr w:rsidR="00533926" w:rsidRPr="00AA5833" w14:paraId="156D3E43" w14:textId="77777777" w:rsidTr="00533926">
        <w:trPr>
          <w:trHeight w:val="155"/>
        </w:trPr>
        <w:tc>
          <w:tcPr>
            <w:tcW w:w="390" w:type="dxa"/>
            <w:tcBorders>
              <w:top w:val="nil"/>
              <w:left w:val="single" w:sz="8" w:space="0" w:color="auto"/>
              <w:bottom w:val="single" w:sz="8" w:space="0" w:color="auto"/>
              <w:right w:val="single" w:sz="8" w:space="0" w:color="auto"/>
            </w:tcBorders>
            <w:shd w:val="clear" w:color="000000" w:fill="E6E6E6"/>
            <w:vAlign w:val="center"/>
            <w:hideMark/>
          </w:tcPr>
          <w:p w14:paraId="172EA9A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12" w:type="dxa"/>
            <w:tcBorders>
              <w:top w:val="nil"/>
              <w:left w:val="nil"/>
              <w:bottom w:val="single" w:sz="8" w:space="0" w:color="auto"/>
              <w:right w:val="single" w:sz="8" w:space="0" w:color="auto"/>
            </w:tcBorders>
            <w:shd w:val="clear" w:color="000000" w:fill="E6E6E6"/>
            <w:vAlign w:val="center"/>
            <w:hideMark/>
          </w:tcPr>
          <w:p w14:paraId="742FD9F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510" w:type="dxa"/>
            <w:gridSpan w:val="3"/>
            <w:vMerge/>
            <w:tcBorders>
              <w:top w:val="nil"/>
              <w:left w:val="nil"/>
              <w:bottom w:val="single" w:sz="8" w:space="0" w:color="auto"/>
              <w:right w:val="single" w:sz="8" w:space="0" w:color="auto"/>
            </w:tcBorders>
            <w:vAlign w:val="center"/>
            <w:hideMark/>
          </w:tcPr>
          <w:p w14:paraId="6AC8BDB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79" w:type="dxa"/>
            <w:gridSpan w:val="3"/>
            <w:vMerge/>
            <w:tcBorders>
              <w:top w:val="nil"/>
              <w:left w:val="nil"/>
              <w:bottom w:val="single" w:sz="8" w:space="0" w:color="auto"/>
              <w:right w:val="single" w:sz="8" w:space="0" w:color="auto"/>
            </w:tcBorders>
            <w:vAlign w:val="center"/>
            <w:hideMark/>
          </w:tcPr>
          <w:p w14:paraId="3222836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837" w:type="dxa"/>
            <w:gridSpan w:val="3"/>
            <w:vMerge/>
            <w:tcBorders>
              <w:top w:val="nil"/>
              <w:left w:val="nil"/>
              <w:bottom w:val="single" w:sz="8" w:space="0" w:color="auto"/>
              <w:right w:val="single" w:sz="8" w:space="0" w:color="auto"/>
            </w:tcBorders>
            <w:vAlign w:val="center"/>
            <w:hideMark/>
          </w:tcPr>
          <w:p w14:paraId="7118A8C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55" w:type="dxa"/>
            <w:gridSpan w:val="3"/>
            <w:vMerge/>
            <w:tcBorders>
              <w:top w:val="nil"/>
              <w:left w:val="nil"/>
              <w:bottom w:val="single" w:sz="8" w:space="0" w:color="auto"/>
              <w:right w:val="single" w:sz="8" w:space="0" w:color="auto"/>
            </w:tcBorders>
            <w:vAlign w:val="center"/>
            <w:hideMark/>
          </w:tcPr>
          <w:p w14:paraId="5A0F3B9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r>
      <w:tr w:rsidR="00533926" w:rsidRPr="00AA5833" w14:paraId="05F8C6F3"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E6E6E6"/>
            <w:vAlign w:val="center"/>
            <w:hideMark/>
          </w:tcPr>
          <w:p w14:paraId="1AFA4B3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12" w:type="dxa"/>
            <w:tcBorders>
              <w:top w:val="nil"/>
              <w:left w:val="nil"/>
              <w:bottom w:val="single" w:sz="8" w:space="0" w:color="auto"/>
              <w:right w:val="single" w:sz="8" w:space="0" w:color="auto"/>
            </w:tcBorders>
            <w:shd w:val="clear" w:color="000000" w:fill="E6E6E6"/>
            <w:vAlign w:val="center"/>
            <w:hideMark/>
          </w:tcPr>
          <w:p w14:paraId="0F250DC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510" w:type="dxa"/>
            <w:gridSpan w:val="3"/>
            <w:tcBorders>
              <w:top w:val="single" w:sz="8" w:space="0" w:color="auto"/>
              <w:left w:val="nil"/>
              <w:bottom w:val="single" w:sz="8" w:space="0" w:color="auto"/>
              <w:right w:val="single" w:sz="8" w:space="0" w:color="000000"/>
            </w:tcBorders>
            <w:shd w:val="clear" w:color="000000" w:fill="D9D9D9"/>
            <w:vAlign w:val="center"/>
            <w:hideMark/>
          </w:tcPr>
          <w:p w14:paraId="1B8F0C2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2279" w:type="dxa"/>
            <w:gridSpan w:val="3"/>
            <w:tcBorders>
              <w:top w:val="single" w:sz="8" w:space="0" w:color="auto"/>
              <w:left w:val="nil"/>
              <w:bottom w:val="single" w:sz="8" w:space="0" w:color="auto"/>
              <w:right w:val="single" w:sz="8" w:space="0" w:color="000000"/>
            </w:tcBorders>
            <w:shd w:val="clear" w:color="000000" w:fill="D9D9D9"/>
            <w:vAlign w:val="center"/>
            <w:hideMark/>
          </w:tcPr>
          <w:p w14:paraId="59D1DAC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837" w:type="dxa"/>
            <w:gridSpan w:val="3"/>
            <w:tcBorders>
              <w:top w:val="single" w:sz="8" w:space="0" w:color="auto"/>
              <w:left w:val="nil"/>
              <w:bottom w:val="single" w:sz="8" w:space="0" w:color="auto"/>
              <w:right w:val="single" w:sz="8" w:space="0" w:color="000000"/>
            </w:tcBorders>
            <w:shd w:val="clear" w:color="000000" w:fill="D9D9D9"/>
            <w:vAlign w:val="center"/>
            <w:hideMark/>
          </w:tcPr>
          <w:p w14:paraId="62C20CD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2255" w:type="dxa"/>
            <w:gridSpan w:val="3"/>
            <w:tcBorders>
              <w:top w:val="single" w:sz="8" w:space="0" w:color="auto"/>
              <w:left w:val="nil"/>
              <w:bottom w:val="single" w:sz="8" w:space="0" w:color="auto"/>
              <w:right w:val="single" w:sz="8" w:space="0" w:color="000000"/>
            </w:tcBorders>
            <w:shd w:val="clear" w:color="000000" w:fill="D9D9D9"/>
            <w:vAlign w:val="center"/>
            <w:hideMark/>
          </w:tcPr>
          <w:p w14:paraId="4974193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r>
      <w:tr w:rsidR="00533926" w:rsidRPr="00AA5833" w14:paraId="19151F75"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33F51BF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w:t>
            </w:r>
          </w:p>
        </w:tc>
        <w:tc>
          <w:tcPr>
            <w:tcW w:w="2212" w:type="dxa"/>
            <w:tcBorders>
              <w:top w:val="nil"/>
              <w:left w:val="nil"/>
              <w:bottom w:val="single" w:sz="8" w:space="0" w:color="auto"/>
              <w:right w:val="single" w:sz="8" w:space="0" w:color="auto"/>
            </w:tcBorders>
            <w:shd w:val="clear" w:color="000000" w:fill="D9D9D9"/>
            <w:vAlign w:val="center"/>
            <w:hideMark/>
          </w:tcPr>
          <w:p w14:paraId="5D3DA0D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Кампании</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hideMark/>
          </w:tcPr>
          <w:p w14:paraId="20509CC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70</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hideMark/>
          </w:tcPr>
          <w:p w14:paraId="4F9BEA2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hideMark/>
          </w:tcPr>
          <w:p w14:paraId="2B7345F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hideMark/>
          </w:tcPr>
          <w:p w14:paraId="0050067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53</w:t>
            </w:r>
          </w:p>
        </w:tc>
      </w:tr>
      <w:tr w:rsidR="00533926" w:rsidRPr="00AA5833" w14:paraId="48602AE7" w14:textId="77777777" w:rsidTr="00533926">
        <w:trPr>
          <w:trHeight w:val="28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5A649AA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w:t>
            </w:r>
          </w:p>
        </w:tc>
        <w:tc>
          <w:tcPr>
            <w:tcW w:w="2212" w:type="dxa"/>
            <w:tcBorders>
              <w:top w:val="nil"/>
              <w:left w:val="nil"/>
              <w:bottom w:val="single" w:sz="8" w:space="0" w:color="auto"/>
              <w:right w:val="single" w:sz="8" w:space="0" w:color="auto"/>
            </w:tcBorders>
            <w:shd w:val="clear" w:color="000000" w:fill="D9D9D9"/>
            <w:vAlign w:val="center"/>
            <w:hideMark/>
          </w:tcPr>
          <w:p w14:paraId="608CF38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Световни/тематични дни</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1A665FD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51</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6476F1D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4228132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36</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1672ACE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56</w:t>
            </w:r>
          </w:p>
        </w:tc>
      </w:tr>
      <w:tr w:rsidR="00533926" w:rsidRPr="00AA5833" w14:paraId="261931CD" w14:textId="77777777" w:rsidTr="00533926">
        <w:trPr>
          <w:trHeight w:val="487"/>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2C5ACBF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12" w:type="dxa"/>
            <w:tcBorders>
              <w:top w:val="nil"/>
              <w:left w:val="nil"/>
              <w:bottom w:val="single" w:sz="8" w:space="0" w:color="auto"/>
              <w:right w:val="single" w:sz="8" w:space="0" w:color="auto"/>
            </w:tcBorders>
            <w:shd w:val="clear" w:color="000000" w:fill="D9D9D9"/>
            <w:vAlign w:val="center"/>
            <w:hideMark/>
          </w:tcPr>
          <w:p w14:paraId="324F99B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Медийни изяви:</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32C923A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2279" w:type="dxa"/>
            <w:gridSpan w:val="3"/>
            <w:tcBorders>
              <w:top w:val="single" w:sz="8" w:space="0" w:color="auto"/>
              <w:left w:val="nil"/>
              <w:bottom w:val="single" w:sz="4" w:space="0" w:color="auto"/>
              <w:right w:val="single" w:sz="8" w:space="0" w:color="000000"/>
            </w:tcBorders>
            <w:shd w:val="clear" w:color="000000" w:fill="FFFFFF"/>
            <w:vAlign w:val="center"/>
          </w:tcPr>
          <w:p w14:paraId="69688DA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1837" w:type="dxa"/>
            <w:gridSpan w:val="3"/>
            <w:tcBorders>
              <w:top w:val="single" w:sz="8" w:space="0" w:color="auto"/>
              <w:left w:val="nil"/>
              <w:bottom w:val="single" w:sz="4" w:space="0" w:color="auto"/>
              <w:right w:val="single" w:sz="8" w:space="0" w:color="000000"/>
            </w:tcBorders>
            <w:shd w:val="clear" w:color="000000" w:fill="FFFFFF"/>
            <w:vAlign w:val="center"/>
          </w:tcPr>
          <w:p w14:paraId="6B0F72B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2255" w:type="dxa"/>
            <w:gridSpan w:val="3"/>
            <w:tcBorders>
              <w:top w:val="single" w:sz="8" w:space="0" w:color="auto"/>
              <w:left w:val="nil"/>
              <w:bottom w:val="single" w:sz="4" w:space="0" w:color="auto"/>
              <w:right w:val="single" w:sz="8" w:space="0" w:color="000000"/>
            </w:tcBorders>
            <w:shd w:val="clear" w:color="000000" w:fill="FFFFFF"/>
            <w:vAlign w:val="center"/>
          </w:tcPr>
          <w:p w14:paraId="4AB1E7D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r>
      <w:tr w:rsidR="00533926" w:rsidRPr="00AA5833" w14:paraId="536F49FC"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2F984C8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3.</w:t>
            </w:r>
          </w:p>
        </w:tc>
        <w:tc>
          <w:tcPr>
            <w:tcW w:w="2212" w:type="dxa"/>
            <w:tcBorders>
              <w:top w:val="nil"/>
              <w:left w:val="nil"/>
              <w:bottom w:val="single" w:sz="8" w:space="0" w:color="auto"/>
              <w:right w:val="single" w:sz="8" w:space="0" w:color="auto"/>
            </w:tcBorders>
            <w:shd w:val="clear" w:color="000000" w:fill="D9D9D9"/>
            <w:vAlign w:val="center"/>
            <w:hideMark/>
          </w:tcPr>
          <w:p w14:paraId="00BBD23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ТВ предавания</w:t>
            </w:r>
          </w:p>
        </w:tc>
        <w:tc>
          <w:tcPr>
            <w:tcW w:w="1510" w:type="dxa"/>
            <w:gridSpan w:val="3"/>
            <w:tcBorders>
              <w:top w:val="single" w:sz="8" w:space="0" w:color="auto"/>
              <w:left w:val="nil"/>
              <w:bottom w:val="single" w:sz="8" w:space="0" w:color="auto"/>
              <w:right w:val="single" w:sz="4" w:space="0" w:color="auto"/>
            </w:tcBorders>
            <w:shd w:val="clear" w:color="000000" w:fill="FFFFFF"/>
            <w:vAlign w:val="center"/>
          </w:tcPr>
          <w:p w14:paraId="407BA02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26</w:t>
            </w:r>
          </w:p>
        </w:tc>
        <w:tc>
          <w:tcPr>
            <w:tcW w:w="1202" w:type="dxa"/>
            <w:tcBorders>
              <w:top w:val="single" w:sz="4" w:space="0" w:color="auto"/>
              <w:left w:val="single" w:sz="4" w:space="0" w:color="auto"/>
              <w:bottom w:val="single" w:sz="8" w:space="0" w:color="auto"/>
              <w:right w:val="nil"/>
            </w:tcBorders>
            <w:shd w:val="clear" w:color="000000" w:fill="FFFFFF"/>
            <w:vAlign w:val="center"/>
          </w:tcPr>
          <w:p w14:paraId="61BAF54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5C6030D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760" w:type="dxa"/>
            <w:tcBorders>
              <w:top w:val="single" w:sz="4" w:space="0" w:color="auto"/>
              <w:left w:val="nil"/>
              <w:bottom w:val="single" w:sz="8" w:space="0" w:color="auto"/>
              <w:right w:val="nil"/>
            </w:tcBorders>
            <w:shd w:val="clear" w:color="000000" w:fill="FFFFFF"/>
            <w:vAlign w:val="center"/>
          </w:tcPr>
          <w:p w14:paraId="713F24C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1E72399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1178" w:type="dxa"/>
            <w:tcBorders>
              <w:top w:val="single" w:sz="4" w:space="0" w:color="auto"/>
              <w:left w:val="nil"/>
              <w:bottom w:val="single" w:sz="8" w:space="0" w:color="auto"/>
              <w:right w:val="nil"/>
            </w:tcBorders>
            <w:shd w:val="clear" w:color="000000" w:fill="FFFFFF"/>
            <w:vAlign w:val="center"/>
          </w:tcPr>
          <w:p w14:paraId="1F17125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w:t>
            </w:r>
          </w:p>
        </w:tc>
        <w:tc>
          <w:tcPr>
            <w:tcW w:w="1077" w:type="dxa"/>
            <w:gridSpan w:val="2"/>
            <w:tcBorders>
              <w:top w:val="single" w:sz="4" w:space="0" w:color="auto"/>
              <w:left w:val="nil"/>
              <w:bottom w:val="single" w:sz="8" w:space="0" w:color="auto"/>
              <w:right w:val="single" w:sz="4" w:space="0" w:color="auto"/>
            </w:tcBorders>
            <w:shd w:val="clear" w:color="000000" w:fill="FFFFFF"/>
            <w:vAlign w:val="center"/>
            <w:hideMark/>
          </w:tcPr>
          <w:p w14:paraId="53287DC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r>
      <w:tr w:rsidR="00533926" w:rsidRPr="00AA5833" w14:paraId="4E849398"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6F7635F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4.</w:t>
            </w:r>
          </w:p>
        </w:tc>
        <w:tc>
          <w:tcPr>
            <w:tcW w:w="2212" w:type="dxa"/>
            <w:tcBorders>
              <w:top w:val="nil"/>
              <w:left w:val="nil"/>
              <w:bottom w:val="single" w:sz="8" w:space="0" w:color="auto"/>
              <w:right w:val="single" w:sz="8" w:space="0" w:color="auto"/>
            </w:tcBorders>
            <w:shd w:val="clear" w:color="000000" w:fill="D9D9D9"/>
            <w:vAlign w:val="center"/>
            <w:hideMark/>
          </w:tcPr>
          <w:p w14:paraId="25003FE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Радиопредавания</w:t>
            </w:r>
          </w:p>
        </w:tc>
        <w:tc>
          <w:tcPr>
            <w:tcW w:w="1510" w:type="dxa"/>
            <w:gridSpan w:val="3"/>
            <w:tcBorders>
              <w:top w:val="single" w:sz="8" w:space="0" w:color="auto"/>
              <w:left w:val="nil"/>
              <w:bottom w:val="single" w:sz="8" w:space="0" w:color="auto"/>
              <w:right w:val="single" w:sz="4" w:space="0" w:color="auto"/>
            </w:tcBorders>
            <w:shd w:val="clear" w:color="000000" w:fill="FFFFFF"/>
            <w:vAlign w:val="center"/>
          </w:tcPr>
          <w:p w14:paraId="159F992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46</w:t>
            </w:r>
          </w:p>
        </w:tc>
        <w:tc>
          <w:tcPr>
            <w:tcW w:w="2279" w:type="dxa"/>
            <w:gridSpan w:val="3"/>
            <w:tcBorders>
              <w:top w:val="single" w:sz="8" w:space="0" w:color="auto"/>
              <w:left w:val="single" w:sz="4" w:space="0" w:color="auto"/>
              <w:bottom w:val="single" w:sz="4" w:space="0" w:color="auto"/>
              <w:right w:val="single" w:sz="8" w:space="0" w:color="000000"/>
            </w:tcBorders>
            <w:shd w:val="clear" w:color="000000" w:fill="FFFFFF"/>
            <w:vAlign w:val="center"/>
          </w:tcPr>
          <w:p w14:paraId="26C2E45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w:t>
            </w:r>
          </w:p>
        </w:tc>
        <w:tc>
          <w:tcPr>
            <w:tcW w:w="1837" w:type="dxa"/>
            <w:gridSpan w:val="3"/>
            <w:tcBorders>
              <w:top w:val="single" w:sz="8" w:space="0" w:color="auto"/>
              <w:left w:val="nil"/>
              <w:bottom w:val="single" w:sz="4" w:space="0" w:color="auto"/>
              <w:right w:val="single" w:sz="8" w:space="0" w:color="000000"/>
            </w:tcBorders>
            <w:shd w:val="clear" w:color="000000" w:fill="FFFFFF"/>
            <w:vAlign w:val="center"/>
          </w:tcPr>
          <w:p w14:paraId="1DBE33B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w:t>
            </w:r>
          </w:p>
        </w:tc>
        <w:tc>
          <w:tcPr>
            <w:tcW w:w="2255" w:type="dxa"/>
            <w:gridSpan w:val="3"/>
            <w:tcBorders>
              <w:top w:val="single" w:sz="8" w:space="0" w:color="auto"/>
              <w:left w:val="nil"/>
              <w:bottom w:val="single" w:sz="4" w:space="0" w:color="auto"/>
              <w:right w:val="single" w:sz="4" w:space="0" w:color="auto"/>
            </w:tcBorders>
            <w:shd w:val="clear" w:color="000000" w:fill="FFFFFF"/>
            <w:vAlign w:val="center"/>
          </w:tcPr>
          <w:p w14:paraId="24D3057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w:t>
            </w:r>
          </w:p>
        </w:tc>
      </w:tr>
      <w:tr w:rsidR="00533926" w:rsidRPr="00AA5833" w14:paraId="0B2F2B50"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4F1F1C5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5.</w:t>
            </w:r>
          </w:p>
        </w:tc>
        <w:tc>
          <w:tcPr>
            <w:tcW w:w="2212" w:type="dxa"/>
            <w:tcBorders>
              <w:top w:val="nil"/>
              <w:left w:val="nil"/>
              <w:bottom w:val="single" w:sz="8" w:space="0" w:color="auto"/>
              <w:right w:val="single" w:sz="8" w:space="0" w:color="auto"/>
            </w:tcBorders>
            <w:shd w:val="clear" w:color="000000" w:fill="D9D9D9"/>
            <w:vAlign w:val="center"/>
            <w:hideMark/>
          </w:tcPr>
          <w:p w14:paraId="778FF61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Видеоклипове</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68E00C0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c>
          <w:tcPr>
            <w:tcW w:w="2279" w:type="dxa"/>
            <w:gridSpan w:val="3"/>
            <w:tcBorders>
              <w:top w:val="single" w:sz="4" w:space="0" w:color="auto"/>
              <w:left w:val="nil"/>
              <w:bottom w:val="single" w:sz="8" w:space="0" w:color="auto"/>
              <w:right w:val="single" w:sz="8" w:space="0" w:color="000000"/>
            </w:tcBorders>
            <w:shd w:val="clear" w:color="000000" w:fill="FFFFFF"/>
            <w:vAlign w:val="center"/>
          </w:tcPr>
          <w:p w14:paraId="763A02D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w:t>
            </w:r>
          </w:p>
        </w:tc>
        <w:tc>
          <w:tcPr>
            <w:tcW w:w="1837" w:type="dxa"/>
            <w:gridSpan w:val="3"/>
            <w:tcBorders>
              <w:top w:val="single" w:sz="4" w:space="0" w:color="auto"/>
              <w:left w:val="nil"/>
              <w:bottom w:val="single" w:sz="8" w:space="0" w:color="auto"/>
              <w:right w:val="single" w:sz="8" w:space="0" w:color="000000"/>
            </w:tcBorders>
            <w:shd w:val="clear" w:color="000000" w:fill="FFFFFF"/>
            <w:vAlign w:val="center"/>
          </w:tcPr>
          <w:p w14:paraId="2A8BE8F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w:t>
            </w:r>
          </w:p>
        </w:tc>
        <w:tc>
          <w:tcPr>
            <w:tcW w:w="2255" w:type="dxa"/>
            <w:gridSpan w:val="3"/>
            <w:tcBorders>
              <w:top w:val="single" w:sz="4" w:space="0" w:color="auto"/>
              <w:left w:val="nil"/>
              <w:bottom w:val="single" w:sz="8" w:space="0" w:color="auto"/>
              <w:right w:val="single" w:sz="8" w:space="0" w:color="000000"/>
            </w:tcBorders>
            <w:shd w:val="clear" w:color="000000" w:fill="FFFFFF"/>
            <w:vAlign w:val="center"/>
          </w:tcPr>
          <w:p w14:paraId="547442B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r>
      <w:tr w:rsidR="00533926" w:rsidRPr="00AA5833" w14:paraId="52EB5533"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2B9D599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6.</w:t>
            </w:r>
          </w:p>
        </w:tc>
        <w:tc>
          <w:tcPr>
            <w:tcW w:w="2212" w:type="dxa"/>
            <w:tcBorders>
              <w:top w:val="nil"/>
              <w:left w:val="nil"/>
              <w:bottom w:val="single" w:sz="8" w:space="0" w:color="auto"/>
              <w:right w:val="single" w:sz="8" w:space="0" w:color="auto"/>
            </w:tcBorders>
            <w:shd w:val="clear" w:color="000000" w:fill="D9D9D9"/>
            <w:vAlign w:val="center"/>
            <w:hideMark/>
          </w:tcPr>
          <w:p w14:paraId="4E82617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Аудиоклипове</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7AE24F9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5713947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25337FF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43C0B4F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w:t>
            </w:r>
          </w:p>
        </w:tc>
      </w:tr>
      <w:tr w:rsidR="00533926" w:rsidRPr="00AA5833" w14:paraId="3D83963C"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29306DD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7.</w:t>
            </w:r>
          </w:p>
        </w:tc>
        <w:tc>
          <w:tcPr>
            <w:tcW w:w="2212" w:type="dxa"/>
            <w:tcBorders>
              <w:top w:val="nil"/>
              <w:left w:val="nil"/>
              <w:bottom w:val="single" w:sz="8" w:space="0" w:color="auto"/>
              <w:right w:val="single" w:sz="8" w:space="0" w:color="auto"/>
            </w:tcBorders>
            <w:shd w:val="clear" w:color="000000" w:fill="D9D9D9"/>
            <w:vAlign w:val="center"/>
            <w:hideMark/>
          </w:tcPr>
          <w:p w14:paraId="41F231D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Публикации в пресата</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036FA89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64</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6DA2FF9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21335AA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42</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4A29B7F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82</w:t>
            </w:r>
          </w:p>
        </w:tc>
      </w:tr>
      <w:tr w:rsidR="00533926" w:rsidRPr="00AA5833" w14:paraId="68706B18"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7C27604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8.</w:t>
            </w:r>
          </w:p>
        </w:tc>
        <w:tc>
          <w:tcPr>
            <w:tcW w:w="2212" w:type="dxa"/>
            <w:tcBorders>
              <w:top w:val="nil"/>
              <w:left w:val="nil"/>
              <w:bottom w:val="single" w:sz="8" w:space="0" w:color="auto"/>
              <w:right w:val="single" w:sz="8" w:space="0" w:color="auto"/>
            </w:tcBorders>
            <w:shd w:val="clear" w:color="000000" w:fill="D9D9D9"/>
            <w:vAlign w:val="center"/>
            <w:hideMark/>
          </w:tcPr>
          <w:p w14:paraId="0DA54D8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Интернет публикации</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199BDD5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207</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0B86BC9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109</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4AFD442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175</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712D0D9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203</w:t>
            </w:r>
          </w:p>
        </w:tc>
      </w:tr>
      <w:tr w:rsidR="00533926" w:rsidRPr="00AA5833" w14:paraId="249365BB" w14:textId="77777777" w:rsidTr="00533926">
        <w:trPr>
          <w:trHeight w:val="31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3BC96BE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9.</w:t>
            </w:r>
          </w:p>
        </w:tc>
        <w:tc>
          <w:tcPr>
            <w:tcW w:w="2212" w:type="dxa"/>
            <w:tcBorders>
              <w:top w:val="nil"/>
              <w:left w:val="nil"/>
              <w:bottom w:val="single" w:sz="8" w:space="0" w:color="auto"/>
              <w:right w:val="single" w:sz="8" w:space="0" w:color="auto"/>
            </w:tcBorders>
            <w:shd w:val="clear" w:color="000000" w:fill="D9D9D9"/>
            <w:vAlign w:val="center"/>
            <w:hideMark/>
          </w:tcPr>
          <w:p w14:paraId="393E7F1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Пресконференции </w:t>
            </w:r>
          </w:p>
        </w:tc>
        <w:tc>
          <w:tcPr>
            <w:tcW w:w="1510" w:type="dxa"/>
            <w:gridSpan w:val="3"/>
            <w:tcBorders>
              <w:top w:val="single" w:sz="8" w:space="0" w:color="auto"/>
              <w:left w:val="nil"/>
              <w:bottom w:val="single" w:sz="8" w:space="0" w:color="auto"/>
              <w:right w:val="single" w:sz="8" w:space="0" w:color="000000"/>
            </w:tcBorders>
            <w:shd w:val="clear" w:color="000000" w:fill="FFFFFF"/>
            <w:vAlign w:val="center"/>
          </w:tcPr>
          <w:p w14:paraId="2D9EC2A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3E9ED2C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6E088F5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596F797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r>
      <w:tr w:rsidR="00533926" w:rsidRPr="00AA5833" w14:paraId="162555F7" w14:textId="77777777" w:rsidTr="006237BB">
        <w:trPr>
          <w:trHeight w:val="52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45B283C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10.</w:t>
            </w:r>
          </w:p>
        </w:tc>
        <w:tc>
          <w:tcPr>
            <w:tcW w:w="2212" w:type="dxa"/>
            <w:tcBorders>
              <w:top w:val="nil"/>
              <w:left w:val="nil"/>
              <w:bottom w:val="single" w:sz="8" w:space="0" w:color="auto"/>
              <w:right w:val="single" w:sz="4" w:space="0" w:color="auto"/>
            </w:tcBorders>
            <w:shd w:val="clear" w:color="000000" w:fill="D9D9D9"/>
            <w:vAlign w:val="center"/>
            <w:hideMark/>
          </w:tcPr>
          <w:p w14:paraId="6C7783F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ЗОМ - брой заглавия/тираж</w:t>
            </w:r>
          </w:p>
        </w:tc>
        <w:tc>
          <w:tcPr>
            <w:tcW w:w="927" w:type="dxa"/>
            <w:tcBorders>
              <w:top w:val="nil"/>
              <w:left w:val="single" w:sz="4" w:space="0" w:color="auto"/>
              <w:bottom w:val="single" w:sz="8" w:space="0" w:color="auto"/>
              <w:right w:val="nil"/>
            </w:tcBorders>
            <w:shd w:val="clear" w:color="000000" w:fill="FFFFFF"/>
            <w:vAlign w:val="center"/>
            <w:hideMark/>
          </w:tcPr>
          <w:p w14:paraId="400ED74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w:t>
            </w:r>
          </w:p>
        </w:tc>
        <w:tc>
          <w:tcPr>
            <w:tcW w:w="160" w:type="dxa"/>
            <w:tcBorders>
              <w:top w:val="nil"/>
              <w:left w:val="nil"/>
              <w:bottom w:val="single" w:sz="8" w:space="0" w:color="auto"/>
              <w:right w:val="single" w:sz="4" w:space="0" w:color="auto"/>
            </w:tcBorders>
            <w:shd w:val="clear" w:color="000000" w:fill="FFFFFF"/>
            <w:vAlign w:val="center"/>
            <w:hideMark/>
          </w:tcPr>
          <w:p w14:paraId="14648C6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423" w:type="dxa"/>
            <w:tcBorders>
              <w:top w:val="nil"/>
              <w:left w:val="single" w:sz="4" w:space="0" w:color="auto"/>
              <w:bottom w:val="single" w:sz="8" w:space="0" w:color="auto"/>
              <w:right w:val="single" w:sz="8" w:space="0" w:color="auto"/>
            </w:tcBorders>
            <w:shd w:val="clear" w:color="000000" w:fill="FFFFFF"/>
            <w:vAlign w:val="center"/>
          </w:tcPr>
          <w:p w14:paraId="706A9F8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6110</w:t>
            </w:r>
          </w:p>
        </w:tc>
        <w:tc>
          <w:tcPr>
            <w:tcW w:w="1202" w:type="dxa"/>
            <w:tcBorders>
              <w:top w:val="nil"/>
              <w:left w:val="nil"/>
              <w:bottom w:val="single" w:sz="8" w:space="0" w:color="auto"/>
              <w:right w:val="single" w:sz="4" w:space="0" w:color="auto"/>
            </w:tcBorders>
            <w:shd w:val="clear" w:color="000000" w:fill="FFFFFF"/>
            <w:vAlign w:val="center"/>
            <w:hideMark/>
          </w:tcPr>
          <w:p w14:paraId="45762D7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75" w:type="dxa"/>
            <w:tcBorders>
              <w:top w:val="nil"/>
              <w:left w:val="single" w:sz="4" w:space="0" w:color="auto"/>
              <w:bottom w:val="single" w:sz="8" w:space="0" w:color="auto"/>
              <w:right w:val="nil"/>
            </w:tcBorders>
            <w:shd w:val="clear" w:color="000000" w:fill="FFFFFF"/>
            <w:vAlign w:val="center"/>
          </w:tcPr>
          <w:p w14:paraId="61BC30E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902" w:type="dxa"/>
            <w:tcBorders>
              <w:top w:val="nil"/>
              <w:left w:val="nil"/>
              <w:bottom w:val="single" w:sz="8" w:space="0" w:color="auto"/>
              <w:right w:val="single" w:sz="8" w:space="0" w:color="auto"/>
            </w:tcBorders>
            <w:shd w:val="clear" w:color="000000" w:fill="FFFFFF"/>
            <w:vAlign w:val="center"/>
            <w:hideMark/>
          </w:tcPr>
          <w:p w14:paraId="0BAE2BD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150</w:t>
            </w:r>
          </w:p>
        </w:tc>
        <w:tc>
          <w:tcPr>
            <w:tcW w:w="864" w:type="dxa"/>
            <w:gridSpan w:val="2"/>
            <w:tcBorders>
              <w:top w:val="nil"/>
              <w:left w:val="nil"/>
              <w:bottom w:val="single" w:sz="8" w:space="0" w:color="auto"/>
              <w:right w:val="nil"/>
            </w:tcBorders>
            <w:shd w:val="clear" w:color="000000" w:fill="FFFFFF"/>
            <w:vAlign w:val="center"/>
            <w:hideMark/>
          </w:tcPr>
          <w:p w14:paraId="33D3FFD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c>
          <w:tcPr>
            <w:tcW w:w="973" w:type="dxa"/>
            <w:tcBorders>
              <w:top w:val="nil"/>
              <w:left w:val="single" w:sz="8" w:space="0" w:color="auto"/>
              <w:bottom w:val="single" w:sz="8" w:space="0" w:color="auto"/>
              <w:right w:val="nil"/>
            </w:tcBorders>
            <w:shd w:val="clear" w:color="000000" w:fill="FFFFFF"/>
            <w:vAlign w:val="center"/>
            <w:hideMark/>
          </w:tcPr>
          <w:p w14:paraId="6709B74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4160</w:t>
            </w:r>
          </w:p>
        </w:tc>
        <w:tc>
          <w:tcPr>
            <w:tcW w:w="1335" w:type="dxa"/>
            <w:gridSpan w:val="2"/>
            <w:tcBorders>
              <w:top w:val="nil"/>
              <w:left w:val="single" w:sz="8" w:space="0" w:color="auto"/>
              <w:bottom w:val="single" w:sz="8" w:space="0" w:color="auto"/>
              <w:right w:val="nil"/>
            </w:tcBorders>
            <w:shd w:val="clear" w:color="000000" w:fill="FFFFFF"/>
            <w:vAlign w:val="center"/>
            <w:hideMark/>
          </w:tcPr>
          <w:p w14:paraId="7ACA4F5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w:t>
            </w:r>
          </w:p>
        </w:tc>
        <w:tc>
          <w:tcPr>
            <w:tcW w:w="920" w:type="dxa"/>
            <w:tcBorders>
              <w:top w:val="nil"/>
              <w:left w:val="single" w:sz="8" w:space="0" w:color="auto"/>
              <w:bottom w:val="single" w:sz="8" w:space="0" w:color="auto"/>
              <w:right w:val="single" w:sz="4" w:space="0" w:color="auto"/>
            </w:tcBorders>
            <w:shd w:val="clear" w:color="000000" w:fill="FFFFFF"/>
            <w:vAlign w:val="center"/>
            <w:hideMark/>
          </w:tcPr>
          <w:p w14:paraId="3E5320F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6090</w:t>
            </w:r>
          </w:p>
        </w:tc>
      </w:tr>
      <w:tr w:rsidR="00533926" w:rsidRPr="00AA5833" w14:paraId="6185524E" w14:textId="77777777" w:rsidTr="00533926">
        <w:trPr>
          <w:trHeight w:val="75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315FA63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11.</w:t>
            </w:r>
          </w:p>
        </w:tc>
        <w:tc>
          <w:tcPr>
            <w:tcW w:w="2212" w:type="dxa"/>
            <w:tcBorders>
              <w:top w:val="nil"/>
              <w:left w:val="nil"/>
              <w:bottom w:val="single" w:sz="8" w:space="0" w:color="auto"/>
              <w:right w:val="single" w:sz="4" w:space="0" w:color="auto"/>
            </w:tcBorders>
            <w:shd w:val="clear" w:color="000000" w:fill="D9D9D9"/>
            <w:vAlign w:val="center"/>
            <w:hideMark/>
          </w:tcPr>
          <w:p w14:paraId="3D7882B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ЗОМ - брой разпространени материали</w:t>
            </w:r>
          </w:p>
        </w:tc>
        <w:tc>
          <w:tcPr>
            <w:tcW w:w="1510" w:type="dxa"/>
            <w:gridSpan w:val="3"/>
            <w:tcBorders>
              <w:top w:val="single" w:sz="8" w:space="0" w:color="auto"/>
              <w:left w:val="single" w:sz="4" w:space="0" w:color="auto"/>
              <w:bottom w:val="single" w:sz="8" w:space="0" w:color="auto"/>
              <w:right w:val="single" w:sz="8" w:space="0" w:color="000000"/>
            </w:tcBorders>
            <w:shd w:val="clear" w:color="000000" w:fill="FFFFFF"/>
            <w:vAlign w:val="center"/>
          </w:tcPr>
          <w:p w14:paraId="533C890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16049</w:t>
            </w:r>
          </w:p>
        </w:tc>
        <w:tc>
          <w:tcPr>
            <w:tcW w:w="2279" w:type="dxa"/>
            <w:gridSpan w:val="3"/>
            <w:tcBorders>
              <w:top w:val="single" w:sz="8" w:space="0" w:color="auto"/>
              <w:left w:val="nil"/>
              <w:bottom w:val="single" w:sz="8" w:space="0" w:color="auto"/>
              <w:right w:val="single" w:sz="8" w:space="0" w:color="000000"/>
            </w:tcBorders>
            <w:shd w:val="clear" w:color="000000" w:fill="FFFFFF"/>
            <w:vAlign w:val="center"/>
          </w:tcPr>
          <w:p w14:paraId="5462328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11295</w:t>
            </w:r>
          </w:p>
        </w:tc>
        <w:tc>
          <w:tcPr>
            <w:tcW w:w="1837" w:type="dxa"/>
            <w:gridSpan w:val="3"/>
            <w:tcBorders>
              <w:top w:val="single" w:sz="8" w:space="0" w:color="auto"/>
              <w:left w:val="nil"/>
              <w:bottom w:val="single" w:sz="8" w:space="0" w:color="auto"/>
              <w:right w:val="single" w:sz="8" w:space="0" w:color="000000"/>
            </w:tcBorders>
            <w:shd w:val="clear" w:color="000000" w:fill="FFFFFF"/>
            <w:vAlign w:val="center"/>
          </w:tcPr>
          <w:p w14:paraId="563A36F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11863</w:t>
            </w:r>
          </w:p>
        </w:tc>
        <w:tc>
          <w:tcPr>
            <w:tcW w:w="2255" w:type="dxa"/>
            <w:gridSpan w:val="3"/>
            <w:tcBorders>
              <w:top w:val="single" w:sz="8" w:space="0" w:color="auto"/>
              <w:left w:val="nil"/>
              <w:bottom w:val="single" w:sz="8" w:space="0" w:color="auto"/>
              <w:right w:val="single" w:sz="8" w:space="0" w:color="000000"/>
            </w:tcBorders>
            <w:shd w:val="clear" w:color="000000" w:fill="FFFFFF"/>
            <w:vAlign w:val="center"/>
          </w:tcPr>
          <w:p w14:paraId="125BA99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18449</w:t>
            </w:r>
          </w:p>
        </w:tc>
      </w:tr>
      <w:tr w:rsidR="00533926" w:rsidRPr="00AA5833" w14:paraId="1A07F857" w14:textId="77777777" w:rsidTr="00533926">
        <w:trPr>
          <w:trHeight w:val="79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52B3555F"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 </w:t>
            </w:r>
          </w:p>
        </w:tc>
        <w:tc>
          <w:tcPr>
            <w:tcW w:w="2212" w:type="dxa"/>
            <w:tcBorders>
              <w:top w:val="nil"/>
              <w:left w:val="nil"/>
              <w:bottom w:val="single" w:sz="8" w:space="0" w:color="auto"/>
              <w:right w:val="single" w:sz="8" w:space="0" w:color="auto"/>
            </w:tcBorders>
            <w:shd w:val="clear" w:color="000000" w:fill="D9D9D9"/>
            <w:vAlign w:val="center"/>
            <w:hideMark/>
          </w:tcPr>
          <w:p w14:paraId="44DF11F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Обучителни дейности, реализирани от РЗИ:</w:t>
            </w:r>
          </w:p>
        </w:tc>
        <w:tc>
          <w:tcPr>
            <w:tcW w:w="927" w:type="dxa"/>
            <w:tcBorders>
              <w:top w:val="nil"/>
              <w:left w:val="nil"/>
              <w:bottom w:val="single" w:sz="4" w:space="0" w:color="auto"/>
              <w:right w:val="single" w:sz="8" w:space="0" w:color="auto"/>
            </w:tcBorders>
            <w:shd w:val="clear" w:color="000000" w:fill="D9D9D9"/>
            <w:vAlign w:val="center"/>
            <w:hideMark/>
          </w:tcPr>
          <w:p w14:paraId="3CC07B7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583" w:type="dxa"/>
            <w:gridSpan w:val="2"/>
            <w:tcBorders>
              <w:top w:val="nil"/>
              <w:left w:val="nil"/>
              <w:bottom w:val="single" w:sz="4" w:space="0" w:color="auto"/>
              <w:right w:val="single" w:sz="8" w:space="0" w:color="auto"/>
            </w:tcBorders>
            <w:shd w:val="clear" w:color="000000" w:fill="D9D9D9"/>
            <w:vAlign w:val="center"/>
            <w:hideMark/>
          </w:tcPr>
          <w:p w14:paraId="3F4D0BB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1202" w:type="dxa"/>
            <w:tcBorders>
              <w:top w:val="nil"/>
              <w:left w:val="nil"/>
              <w:bottom w:val="single" w:sz="4" w:space="0" w:color="auto"/>
              <w:right w:val="single" w:sz="8" w:space="0" w:color="auto"/>
            </w:tcBorders>
            <w:shd w:val="clear" w:color="000000" w:fill="D9D9D9"/>
            <w:vAlign w:val="center"/>
            <w:hideMark/>
          </w:tcPr>
          <w:p w14:paraId="09C7985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gridSpan w:val="2"/>
            <w:tcBorders>
              <w:top w:val="nil"/>
              <w:left w:val="nil"/>
              <w:bottom w:val="single" w:sz="4" w:space="0" w:color="auto"/>
              <w:right w:val="single" w:sz="8" w:space="0" w:color="auto"/>
            </w:tcBorders>
            <w:shd w:val="clear" w:color="000000" w:fill="D9D9D9"/>
            <w:vAlign w:val="center"/>
            <w:hideMark/>
          </w:tcPr>
          <w:p w14:paraId="492C1D2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760" w:type="dxa"/>
            <w:tcBorders>
              <w:top w:val="nil"/>
              <w:left w:val="nil"/>
              <w:bottom w:val="single" w:sz="4" w:space="0" w:color="auto"/>
              <w:right w:val="single" w:sz="8" w:space="0" w:color="auto"/>
            </w:tcBorders>
            <w:shd w:val="clear" w:color="000000" w:fill="D9D9D9"/>
            <w:vAlign w:val="center"/>
            <w:hideMark/>
          </w:tcPr>
          <w:p w14:paraId="3C67D31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gridSpan w:val="2"/>
            <w:tcBorders>
              <w:top w:val="nil"/>
              <w:left w:val="nil"/>
              <w:bottom w:val="single" w:sz="4" w:space="0" w:color="auto"/>
              <w:right w:val="single" w:sz="8" w:space="0" w:color="auto"/>
            </w:tcBorders>
            <w:shd w:val="clear" w:color="000000" w:fill="D9D9D9"/>
            <w:vAlign w:val="center"/>
            <w:hideMark/>
          </w:tcPr>
          <w:p w14:paraId="761AC6D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1178" w:type="dxa"/>
            <w:tcBorders>
              <w:top w:val="nil"/>
              <w:left w:val="nil"/>
              <w:bottom w:val="single" w:sz="4" w:space="0" w:color="auto"/>
              <w:right w:val="single" w:sz="8" w:space="0" w:color="auto"/>
            </w:tcBorders>
            <w:shd w:val="clear" w:color="000000" w:fill="D9D9D9"/>
            <w:vAlign w:val="center"/>
            <w:hideMark/>
          </w:tcPr>
          <w:p w14:paraId="7C4C097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gridSpan w:val="2"/>
            <w:tcBorders>
              <w:top w:val="nil"/>
              <w:left w:val="nil"/>
              <w:bottom w:val="single" w:sz="4" w:space="0" w:color="auto"/>
              <w:right w:val="single" w:sz="8" w:space="0" w:color="auto"/>
            </w:tcBorders>
            <w:shd w:val="clear" w:color="000000" w:fill="D9D9D9"/>
            <w:vAlign w:val="center"/>
            <w:hideMark/>
          </w:tcPr>
          <w:p w14:paraId="0C14EE5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r>
      <w:tr w:rsidR="00533926" w:rsidRPr="00AA5833" w14:paraId="57506BA5" w14:textId="77777777" w:rsidTr="00533926">
        <w:trPr>
          <w:trHeight w:val="42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3ECEE3B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12.</w:t>
            </w:r>
          </w:p>
        </w:tc>
        <w:tc>
          <w:tcPr>
            <w:tcW w:w="2212" w:type="dxa"/>
            <w:tcBorders>
              <w:top w:val="nil"/>
              <w:left w:val="nil"/>
              <w:bottom w:val="single" w:sz="4" w:space="0" w:color="auto"/>
              <w:right w:val="single" w:sz="8" w:space="0" w:color="auto"/>
            </w:tcBorders>
            <w:shd w:val="clear" w:color="000000" w:fill="D9D9D9"/>
            <w:vAlign w:val="center"/>
            <w:hideMark/>
          </w:tcPr>
          <w:p w14:paraId="2201DF1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Курсове</w:t>
            </w:r>
          </w:p>
        </w:tc>
        <w:tc>
          <w:tcPr>
            <w:tcW w:w="927" w:type="dxa"/>
            <w:tcBorders>
              <w:top w:val="single" w:sz="4" w:space="0" w:color="auto"/>
              <w:left w:val="single" w:sz="4" w:space="0" w:color="auto"/>
              <w:bottom w:val="single" w:sz="4" w:space="0" w:color="auto"/>
              <w:right w:val="single" w:sz="8" w:space="0" w:color="auto"/>
            </w:tcBorders>
            <w:shd w:val="clear" w:color="000000" w:fill="FFFFFF"/>
            <w:vAlign w:val="center"/>
          </w:tcPr>
          <w:p w14:paraId="3CD8040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583" w:type="dxa"/>
            <w:gridSpan w:val="2"/>
            <w:tcBorders>
              <w:top w:val="single" w:sz="4" w:space="0" w:color="auto"/>
              <w:left w:val="nil"/>
              <w:bottom w:val="single" w:sz="4" w:space="0" w:color="auto"/>
              <w:right w:val="single" w:sz="8" w:space="0" w:color="auto"/>
            </w:tcBorders>
            <w:shd w:val="clear" w:color="000000" w:fill="FFFFFF"/>
            <w:vAlign w:val="center"/>
          </w:tcPr>
          <w:p w14:paraId="461FE48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202" w:type="dxa"/>
            <w:tcBorders>
              <w:top w:val="single" w:sz="4" w:space="0" w:color="auto"/>
              <w:left w:val="nil"/>
              <w:bottom w:val="single" w:sz="4" w:space="0" w:color="auto"/>
              <w:right w:val="single" w:sz="8" w:space="0" w:color="auto"/>
            </w:tcBorders>
            <w:shd w:val="clear" w:color="000000" w:fill="FFFFFF"/>
            <w:vAlign w:val="center"/>
          </w:tcPr>
          <w:p w14:paraId="508FC4C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77" w:type="dxa"/>
            <w:gridSpan w:val="2"/>
            <w:tcBorders>
              <w:top w:val="single" w:sz="4" w:space="0" w:color="auto"/>
              <w:left w:val="nil"/>
              <w:bottom w:val="single" w:sz="4" w:space="0" w:color="auto"/>
              <w:right w:val="single" w:sz="8" w:space="0" w:color="auto"/>
            </w:tcBorders>
            <w:shd w:val="clear" w:color="000000" w:fill="FFFFFF"/>
            <w:vAlign w:val="center"/>
          </w:tcPr>
          <w:p w14:paraId="367D9C3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760" w:type="dxa"/>
            <w:tcBorders>
              <w:top w:val="single" w:sz="4" w:space="0" w:color="auto"/>
              <w:left w:val="nil"/>
              <w:bottom w:val="single" w:sz="4" w:space="0" w:color="auto"/>
              <w:right w:val="single" w:sz="8" w:space="0" w:color="auto"/>
            </w:tcBorders>
            <w:shd w:val="clear" w:color="000000" w:fill="FFFFFF"/>
            <w:vAlign w:val="center"/>
          </w:tcPr>
          <w:p w14:paraId="0BDE456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77" w:type="dxa"/>
            <w:gridSpan w:val="2"/>
            <w:tcBorders>
              <w:top w:val="single" w:sz="4" w:space="0" w:color="auto"/>
              <w:left w:val="nil"/>
              <w:bottom w:val="single" w:sz="4" w:space="0" w:color="auto"/>
              <w:right w:val="single" w:sz="8" w:space="0" w:color="auto"/>
            </w:tcBorders>
            <w:shd w:val="clear" w:color="000000" w:fill="FFFFFF"/>
            <w:vAlign w:val="center"/>
          </w:tcPr>
          <w:p w14:paraId="6919DB2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178" w:type="dxa"/>
            <w:tcBorders>
              <w:top w:val="single" w:sz="4" w:space="0" w:color="auto"/>
              <w:left w:val="nil"/>
              <w:bottom w:val="single" w:sz="4" w:space="0" w:color="auto"/>
              <w:right w:val="single" w:sz="8" w:space="0" w:color="auto"/>
            </w:tcBorders>
            <w:shd w:val="clear" w:color="000000" w:fill="FFFFFF"/>
            <w:vAlign w:val="center"/>
          </w:tcPr>
          <w:p w14:paraId="1FF8893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77" w:type="dxa"/>
            <w:gridSpan w:val="2"/>
            <w:tcBorders>
              <w:top w:val="single" w:sz="4" w:space="0" w:color="auto"/>
              <w:left w:val="nil"/>
              <w:bottom w:val="single" w:sz="4" w:space="0" w:color="auto"/>
              <w:right w:val="single" w:sz="8" w:space="0" w:color="auto"/>
            </w:tcBorders>
            <w:shd w:val="clear" w:color="000000" w:fill="FFFFFF"/>
            <w:vAlign w:val="center"/>
          </w:tcPr>
          <w:p w14:paraId="1CB498A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r>
      <w:tr w:rsidR="00533926" w:rsidRPr="00AA5833" w14:paraId="1470E3D0" w14:textId="77777777" w:rsidTr="00533926">
        <w:trPr>
          <w:trHeight w:val="405"/>
        </w:trPr>
        <w:tc>
          <w:tcPr>
            <w:tcW w:w="390" w:type="dxa"/>
            <w:tcBorders>
              <w:top w:val="nil"/>
              <w:left w:val="single" w:sz="8" w:space="0" w:color="auto"/>
              <w:bottom w:val="single" w:sz="8" w:space="0" w:color="auto"/>
              <w:right w:val="single" w:sz="4" w:space="0" w:color="auto"/>
            </w:tcBorders>
            <w:shd w:val="clear" w:color="000000" w:fill="D9D9D9"/>
            <w:vAlign w:val="center"/>
            <w:hideMark/>
          </w:tcPr>
          <w:p w14:paraId="433E8F4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13.</w:t>
            </w:r>
          </w:p>
        </w:tc>
        <w:tc>
          <w:tcPr>
            <w:tcW w:w="2212" w:type="dxa"/>
            <w:tcBorders>
              <w:top w:val="single" w:sz="4" w:space="0" w:color="auto"/>
              <w:left w:val="single" w:sz="4" w:space="0" w:color="auto"/>
              <w:bottom w:val="single" w:sz="4" w:space="0" w:color="auto"/>
              <w:right w:val="nil"/>
            </w:tcBorders>
            <w:shd w:val="clear" w:color="000000" w:fill="D9D9D9"/>
            <w:vAlign w:val="center"/>
            <w:hideMark/>
          </w:tcPr>
          <w:p w14:paraId="520A832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Семинари</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tcPr>
          <w:p w14:paraId="7857825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w:t>
            </w:r>
          </w:p>
        </w:tc>
        <w:tc>
          <w:tcPr>
            <w:tcW w:w="58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030C68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1279</w:t>
            </w:r>
          </w:p>
        </w:tc>
        <w:tc>
          <w:tcPr>
            <w:tcW w:w="1202" w:type="dxa"/>
            <w:tcBorders>
              <w:top w:val="single" w:sz="4" w:space="0" w:color="auto"/>
              <w:left w:val="single" w:sz="4" w:space="0" w:color="auto"/>
              <w:bottom w:val="single" w:sz="4" w:space="0" w:color="auto"/>
              <w:right w:val="single" w:sz="4" w:space="0" w:color="auto"/>
            </w:tcBorders>
            <w:shd w:val="clear" w:color="000000" w:fill="FFFFFF"/>
            <w:vAlign w:val="center"/>
          </w:tcPr>
          <w:p w14:paraId="7A3E2C3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32689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871</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14:paraId="2EE3F89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AC5BE5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419</w:t>
            </w:r>
          </w:p>
        </w:tc>
        <w:tc>
          <w:tcPr>
            <w:tcW w:w="1178" w:type="dxa"/>
            <w:tcBorders>
              <w:top w:val="single" w:sz="4" w:space="0" w:color="auto"/>
              <w:left w:val="single" w:sz="4" w:space="0" w:color="auto"/>
              <w:bottom w:val="single" w:sz="4" w:space="0" w:color="auto"/>
              <w:right w:val="single" w:sz="4" w:space="0" w:color="auto"/>
            </w:tcBorders>
            <w:shd w:val="clear" w:color="000000" w:fill="FFFFFF"/>
            <w:vAlign w:val="center"/>
          </w:tcPr>
          <w:p w14:paraId="0F23A32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37</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37457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1132</w:t>
            </w:r>
          </w:p>
        </w:tc>
      </w:tr>
      <w:tr w:rsidR="00533926" w:rsidRPr="00AA5833" w14:paraId="0762904B" w14:textId="77777777" w:rsidTr="00533926">
        <w:trPr>
          <w:trHeight w:val="45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49E0668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14.</w:t>
            </w:r>
          </w:p>
        </w:tc>
        <w:tc>
          <w:tcPr>
            <w:tcW w:w="2212" w:type="dxa"/>
            <w:tcBorders>
              <w:top w:val="single" w:sz="4" w:space="0" w:color="auto"/>
              <w:left w:val="nil"/>
              <w:bottom w:val="single" w:sz="4" w:space="0" w:color="auto"/>
              <w:right w:val="nil"/>
            </w:tcBorders>
            <w:shd w:val="clear" w:color="000000" w:fill="D9D9D9"/>
            <w:vAlign w:val="center"/>
            <w:hideMark/>
          </w:tcPr>
          <w:p w14:paraId="40C9F2D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Лекции/беседи</w:t>
            </w:r>
          </w:p>
        </w:tc>
        <w:tc>
          <w:tcPr>
            <w:tcW w:w="927" w:type="dxa"/>
            <w:tcBorders>
              <w:top w:val="single" w:sz="4" w:space="0" w:color="auto"/>
              <w:left w:val="single" w:sz="4" w:space="0" w:color="auto"/>
              <w:bottom w:val="single" w:sz="8" w:space="0" w:color="auto"/>
              <w:right w:val="single" w:sz="8" w:space="0" w:color="auto"/>
            </w:tcBorders>
            <w:shd w:val="clear" w:color="000000" w:fill="FFFFFF"/>
            <w:vAlign w:val="center"/>
          </w:tcPr>
          <w:p w14:paraId="1E767CA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649</w:t>
            </w:r>
          </w:p>
        </w:tc>
        <w:tc>
          <w:tcPr>
            <w:tcW w:w="583" w:type="dxa"/>
            <w:gridSpan w:val="2"/>
            <w:tcBorders>
              <w:top w:val="single" w:sz="4" w:space="0" w:color="auto"/>
              <w:left w:val="nil"/>
              <w:bottom w:val="single" w:sz="8" w:space="0" w:color="auto"/>
              <w:right w:val="single" w:sz="8" w:space="0" w:color="auto"/>
            </w:tcBorders>
            <w:shd w:val="clear" w:color="000000" w:fill="FFFFFF"/>
            <w:vAlign w:val="center"/>
          </w:tcPr>
          <w:p w14:paraId="4299A66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13304</w:t>
            </w:r>
          </w:p>
        </w:tc>
        <w:tc>
          <w:tcPr>
            <w:tcW w:w="1202" w:type="dxa"/>
            <w:tcBorders>
              <w:top w:val="single" w:sz="4" w:space="0" w:color="auto"/>
              <w:left w:val="nil"/>
              <w:bottom w:val="single" w:sz="8" w:space="0" w:color="auto"/>
              <w:right w:val="single" w:sz="8" w:space="0" w:color="auto"/>
            </w:tcBorders>
            <w:shd w:val="clear" w:color="000000" w:fill="FFFFFF"/>
            <w:vAlign w:val="center"/>
          </w:tcPr>
          <w:p w14:paraId="1B91A80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540</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3DE873A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11025</w:t>
            </w:r>
          </w:p>
        </w:tc>
        <w:tc>
          <w:tcPr>
            <w:tcW w:w="760" w:type="dxa"/>
            <w:tcBorders>
              <w:top w:val="single" w:sz="4" w:space="0" w:color="auto"/>
              <w:left w:val="nil"/>
              <w:bottom w:val="single" w:sz="8" w:space="0" w:color="auto"/>
              <w:right w:val="single" w:sz="8" w:space="0" w:color="auto"/>
            </w:tcBorders>
            <w:shd w:val="clear" w:color="000000" w:fill="FFFFFF"/>
            <w:vAlign w:val="center"/>
          </w:tcPr>
          <w:p w14:paraId="19AAB13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496</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445CED4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10565</w:t>
            </w:r>
          </w:p>
        </w:tc>
        <w:tc>
          <w:tcPr>
            <w:tcW w:w="1178" w:type="dxa"/>
            <w:tcBorders>
              <w:top w:val="single" w:sz="4" w:space="0" w:color="auto"/>
              <w:left w:val="nil"/>
              <w:bottom w:val="single" w:sz="8" w:space="0" w:color="auto"/>
              <w:right w:val="single" w:sz="8" w:space="0" w:color="auto"/>
            </w:tcBorders>
            <w:shd w:val="clear" w:color="000000" w:fill="FFFFFF"/>
            <w:vAlign w:val="center"/>
          </w:tcPr>
          <w:p w14:paraId="3C08CC3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637</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3890002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14027</w:t>
            </w:r>
          </w:p>
        </w:tc>
      </w:tr>
      <w:tr w:rsidR="00533926" w:rsidRPr="00AA5833" w14:paraId="5D033E95" w14:textId="77777777" w:rsidTr="00533926">
        <w:trPr>
          <w:trHeight w:val="39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6B46429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15.</w:t>
            </w:r>
          </w:p>
        </w:tc>
        <w:tc>
          <w:tcPr>
            <w:tcW w:w="2212" w:type="dxa"/>
            <w:tcBorders>
              <w:top w:val="nil"/>
              <w:left w:val="nil"/>
              <w:bottom w:val="single" w:sz="4" w:space="0" w:color="auto"/>
              <w:right w:val="nil"/>
            </w:tcBorders>
            <w:shd w:val="clear" w:color="000000" w:fill="D9D9D9"/>
            <w:vAlign w:val="center"/>
            <w:hideMark/>
          </w:tcPr>
          <w:p w14:paraId="0175A7A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Дискусии</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19AD4A7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157</w:t>
            </w:r>
          </w:p>
        </w:tc>
        <w:tc>
          <w:tcPr>
            <w:tcW w:w="583" w:type="dxa"/>
            <w:gridSpan w:val="2"/>
            <w:tcBorders>
              <w:top w:val="nil"/>
              <w:left w:val="nil"/>
              <w:bottom w:val="single" w:sz="8" w:space="0" w:color="auto"/>
              <w:right w:val="single" w:sz="8" w:space="0" w:color="auto"/>
            </w:tcBorders>
            <w:shd w:val="clear" w:color="000000" w:fill="FFFFFF"/>
            <w:vAlign w:val="center"/>
          </w:tcPr>
          <w:p w14:paraId="280EBC2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2772</w:t>
            </w:r>
          </w:p>
        </w:tc>
        <w:tc>
          <w:tcPr>
            <w:tcW w:w="1202" w:type="dxa"/>
            <w:tcBorders>
              <w:top w:val="nil"/>
              <w:left w:val="nil"/>
              <w:bottom w:val="single" w:sz="8" w:space="0" w:color="auto"/>
              <w:right w:val="single" w:sz="8" w:space="0" w:color="auto"/>
            </w:tcBorders>
            <w:shd w:val="clear" w:color="000000" w:fill="FFFFFF"/>
            <w:vAlign w:val="center"/>
          </w:tcPr>
          <w:p w14:paraId="5855125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164</w:t>
            </w:r>
          </w:p>
        </w:tc>
        <w:tc>
          <w:tcPr>
            <w:tcW w:w="1077" w:type="dxa"/>
            <w:gridSpan w:val="2"/>
            <w:tcBorders>
              <w:top w:val="nil"/>
              <w:left w:val="nil"/>
              <w:bottom w:val="single" w:sz="8" w:space="0" w:color="auto"/>
              <w:right w:val="single" w:sz="8" w:space="0" w:color="auto"/>
            </w:tcBorders>
            <w:shd w:val="clear" w:color="000000" w:fill="FFFFFF"/>
            <w:vAlign w:val="center"/>
          </w:tcPr>
          <w:p w14:paraId="52ADD14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2641</w:t>
            </w:r>
          </w:p>
        </w:tc>
        <w:tc>
          <w:tcPr>
            <w:tcW w:w="760" w:type="dxa"/>
            <w:tcBorders>
              <w:top w:val="nil"/>
              <w:left w:val="nil"/>
              <w:bottom w:val="single" w:sz="8" w:space="0" w:color="auto"/>
              <w:right w:val="single" w:sz="8" w:space="0" w:color="auto"/>
            </w:tcBorders>
            <w:shd w:val="clear" w:color="000000" w:fill="FFFFFF"/>
            <w:vAlign w:val="center"/>
          </w:tcPr>
          <w:p w14:paraId="7142C3B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180</w:t>
            </w:r>
          </w:p>
        </w:tc>
        <w:tc>
          <w:tcPr>
            <w:tcW w:w="1077" w:type="dxa"/>
            <w:gridSpan w:val="2"/>
            <w:tcBorders>
              <w:top w:val="nil"/>
              <w:left w:val="nil"/>
              <w:bottom w:val="single" w:sz="8" w:space="0" w:color="auto"/>
              <w:right w:val="single" w:sz="8" w:space="0" w:color="auto"/>
            </w:tcBorders>
            <w:shd w:val="clear" w:color="000000" w:fill="FFFFFF"/>
            <w:vAlign w:val="center"/>
          </w:tcPr>
          <w:p w14:paraId="295B60C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2678</w:t>
            </w:r>
          </w:p>
        </w:tc>
        <w:tc>
          <w:tcPr>
            <w:tcW w:w="1178" w:type="dxa"/>
            <w:tcBorders>
              <w:top w:val="nil"/>
              <w:left w:val="nil"/>
              <w:bottom w:val="single" w:sz="8" w:space="0" w:color="auto"/>
              <w:right w:val="single" w:sz="8" w:space="0" w:color="auto"/>
            </w:tcBorders>
            <w:shd w:val="clear" w:color="000000" w:fill="FFFFFF"/>
            <w:vAlign w:val="center"/>
          </w:tcPr>
          <w:p w14:paraId="319BB02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222</w:t>
            </w:r>
          </w:p>
        </w:tc>
        <w:tc>
          <w:tcPr>
            <w:tcW w:w="1077" w:type="dxa"/>
            <w:gridSpan w:val="2"/>
            <w:tcBorders>
              <w:top w:val="nil"/>
              <w:left w:val="nil"/>
              <w:bottom w:val="single" w:sz="8" w:space="0" w:color="auto"/>
              <w:right w:val="single" w:sz="8" w:space="0" w:color="auto"/>
            </w:tcBorders>
            <w:shd w:val="clear" w:color="000000" w:fill="FFFFFF"/>
            <w:vAlign w:val="center"/>
          </w:tcPr>
          <w:p w14:paraId="3CC141B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3508</w:t>
            </w:r>
          </w:p>
        </w:tc>
      </w:tr>
      <w:tr w:rsidR="00533926" w:rsidRPr="00AA5833" w14:paraId="0AC108B7" w14:textId="77777777" w:rsidTr="00533926">
        <w:trPr>
          <w:trHeight w:val="42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6084B4F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16.</w:t>
            </w:r>
          </w:p>
        </w:tc>
        <w:tc>
          <w:tcPr>
            <w:tcW w:w="2212" w:type="dxa"/>
            <w:tcBorders>
              <w:top w:val="nil"/>
              <w:left w:val="nil"/>
              <w:bottom w:val="single" w:sz="4" w:space="0" w:color="auto"/>
              <w:right w:val="nil"/>
            </w:tcBorders>
            <w:shd w:val="clear" w:color="000000" w:fill="D9D9D9"/>
            <w:vAlign w:val="center"/>
            <w:hideMark/>
          </w:tcPr>
          <w:p w14:paraId="5E1E611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Тренинги</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4E7F532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203</w:t>
            </w:r>
          </w:p>
        </w:tc>
        <w:tc>
          <w:tcPr>
            <w:tcW w:w="583" w:type="dxa"/>
            <w:gridSpan w:val="2"/>
            <w:tcBorders>
              <w:top w:val="nil"/>
              <w:left w:val="nil"/>
              <w:bottom w:val="single" w:sz="8" w:space="0" w:color="auto"/>
              <w:right w:val="single" w:sz="8" w:space="0" w:color="auto"/>
            </w:tcBorders>
            <w:shd w:val="clear" w:color="000000" w:fill="FFFFFF"/>
            <w:vAlign w:val="center"/>
          </w:tcPr>
          <w:p w14:paraId="05A6921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2182</w:t>
            </w:r>
          </w:p>
        </w:tc>
        <w:tc>
          <w:tcPr>
            <w:tcW w:w="1202" w:type="dxa"/>
            <w:tcBorders>
              <w:top w:val="nil"/>
              <w:left w:val="nil"/>
              <w:bottom w:val="single" w:sz="8" w:space="0" w:color="auto"/>
              <w:right w:val="single" w:sz="8" w:space="0" w:color="auto"/>
            </w:tcBorders>
            <w:shd w:val="clear" w:color="000000" w:fill="FFFFFF"/>
            <w:vAlign w:val="center"/>
          </w:tcPr>
          <w:p w14:paraId="623EF3F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199</w:t>
            </w:r>
          </w:p>
        </w:tc>
        <w:tc>
          <w:tcPr>
            <w:tcW w:w="1077" w:type="dxa"/>
            <w:gridSpan w:val="2"/>
            <w:tcBorders>
              <w:top w:val="nil"/>
              <w:left w:val="nil"/>
              <w:bottom w:val="single" w:sz="8" w:space="0" w:color="auto"/>
              <w:right w:val="single" w:sz="8" w:space="0" w:color="auto"/>
            </w:tcBorders>
            <w:shd w:val="clear" w:color="000000" w:fill="FFFFFF"/>
            <w:vAlign w:val="center"/>
          </w:tcPr>
          <w:p w14:paraId="2422176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1942</w:t>
            </w:r>
          </w:p>
        </w:tc>
        <w:tc>
          <w:tcPr>
            <w:tcW w:w="760" w:type="dxa"/>
            <w:tcBorders>
              <w:top w:val="nil"/>
              <w:left w:val="nil"/>
              <w:bottom w:val="single" w:sz="8" w:space="0" w:color="auto"/>
              <w:right w:val="single" w:sz="8" w:space="0" w:color="auto"/>
            </w:tcBorders>
            <w:shd w:val="clear" w:color="000000" w:fill="FFFFFF"/>
            <w:vAlign w:val="center"/>
          </w:tcPr>
          <w:p w14:paraId="4AE7DD7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171</w:t>
            </w:r>
          </w:p>
        </w:tc>
        <w:tc>
          <w:tcPr>
            <w:tcW w:w="1077" w:type="dxa"/>
            <w:gridSpan w:val="2"/>
            <w:tcBorders>
              <w:top w:val="nil"/>
              <w:left w:val="nil"/>
              <w:bottom w:val="single" w:sz="8" w:space="0" w:color="auto"/>
              <w:right w:val="single" w:sz="8" w:space="0" w:color="auto"/>
            </w:tcBorders>
            <w:shd w:val="clear" w:color="000000" w:fill="FFFFFF"/>
            <w:vAlign w:val="center"/>
          </w:tcPr>
          <w:p w14:paraId="3C2840C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1140</w:t>
            </w:r>
          </w:p>
        </w:tc>
        <w:tc>
          <w:tcPr>
            <w:tcW w:w="1178" w:type="dxa"/>
            <w:tcBorders>
              <w:top w:val="nil"/>
              <w:left w:val="nil"/>
              <w:bottom w:val="single" w:sz="8" w:space="0" w:color="auto"/>
              <w:right w:val="single" w:sz="8" w:space="0" w:color="auto"/>
            </w:tcBorders>
            <w:shd w:val="clear" w:color="000000" w:fill="FFFFFF"/>
            <w:vAlign w:val="center"/>
          </w:tcPr>
          <w:p w14:paraId="6F48DEC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188</w:t>
            </w:r>
          </w:p>
        </w:tc>
        <w:tc>
          <w:tcPr>
            <w:tcW w:w="1077" w:type="dxa"/>
            <w:gridSpan w:val="2"/>
            <w:tcBorders>
              <w:top w:val="nil"/>
              <w:left w:val="nil"/>
              <w:bottom w:val="single" w:sz="8" w:space="0" w:color="auto"/>
              <w:right w:val="single" w:sz="8" w:space="0" w:color="auto"/>
            </w:tcBorders>
            <w:shd w:val="clear" w:color="000000" w:fill="FFFFFF"/>
            <w:vAlign w:val="center"/>
          </w:tcPr>
          <w:p w14:paraId="5996D6F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1802</w:t>
            </w:r>
          </w:p>
        </w:tc>
      </w:tr>
      <w:tr w:rsidR="00533926" w:rsidRPr="00AA5833" w14:paraId="0F61B83A" w14:textId="77777777" w:rsidTr="00533926">
        <w:trPr>
          <w:trHeight w:val="43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2A77FF3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17.</w:t>
            </w:r>
          </w:p>
        </w:tc>
        <w:tc>
          <w:tcPr>
            <w:tcW w:w="2212" w:type="dxa"/>
            <w:tcBorders>
              <w:top w:val="nil"/>
              <w:left w:val="nil"/>
              <w:bottom w:val="single" w:sz="8" w:space="0" w:color="auto"/>
              <w:right w:val="nil"/>
            </w:tcBorders>
            <w:shd w:val="clear" w:color="000000" w:fill="D9D9D9"/>
            <w:vAlign w:val="center"/>
            <w:hideMark/>
          </w:tcPr>
          <w:p w14:paraId="5885C2C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Видеопокази</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1E8F480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544</w:t>
            </w:r>
          </w:p>
        </w:tc>
        <w:tc>
          <w:tcPr>
            <w:tcW w:w="583" w:type="dxa"/>
            <w:gridSpan w:val="2"/>
            <w:tcBorders>
              <w:top w:val="nil"/>
              <w:left w:val="nil"/>
              <w:bottom w:val="single" w:sz="8" w:space="0" w:color="auto"/>
              <w:right w:val="single" w:sz="8" w:space="0" w:color="auto"/>
            </w:tcBorders>
            <w:shd w:val="clear" w:color="000000" w:fill="FFFFFF"/>
            <w:vAlign w:val="center"/>
          </w:tcPr>
          <w:p w14:paraId="79CB23A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5572</w:t>
            </w:r>
          </w:p>
        </w:tc>
        <w:tc>
          <w:tcPr>
            <w:tcW w:w="1202" w:type="dxa"/>
            <w:tcBorders>
              <w:top w:val="nil"/>
              <w:left w:val="nil"/>
              <w:bottom w:val="single" w:sz="8" w:space="0" w:color="auto"/>
              <w:right w:val="single" w:sz="8" w:space="0" w:color="auto"/>
            </w:tcBorders>
            <w:shd w:val="clear" w:color="000000" w:fill="FFFFFF"/>
            <w:vAlign w:val="center"/>
          </w:tcPr>
          <w:p w14:paraId="0123F28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404</w:t>
            </w:r>
          </w:p>
        </w:tc>
        <w:tc>
          <w:tcPr>
            <w:tcW w:w="1077" w:type="dxa"/>
            <w:gridSpan w:val="2"/>
            <w:tcBorders>
              <w:top w:val="nil"/>
              <w:left w:val="nil"/>
              <w:bottom w:val="single" w:sz="8" w:space="0" w:color="auto"/>
              <w:right w:val="single" w:sz="8" w:space="0" w:color="auto"/>
            </w:tcBorders>
            <w:shd w:val="clear" w:color="000000" w:fill="FFFFFF"/>
            <w:vAlign w:val="center"/>
          </w:tcPr>
          <w:p w14:paraId="5B1CAAE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3492</w:t>
            </w:r>
          </w:p>
        </w:tc>
        <w:tc>
          <w:tcPr>
            <w:tcW w:w="760" w:type="dxa"/>
            <w:tcBorders>
              <w:top w:val="nil"/>
              <w:left w:val="nil"/>
              <w:bottom w:val="single" w:sz="8" w:space="0" w:color="auto"/>
              <w:right w:val="single" w:sz="8" w:space="0" w:color="auto"/>
            </w:tcBorders>
            <w:shd w:val="clear" w:color="000000" w:fill="FFFFFF"/>
            <w:vAlign w:val="center"/>
          </w:tcPr>
          <w:p w14:paraId="75D5CCD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285</w:t>
            </w:r>
          </w:p>
        </w:tc>
        <w:tc>
          <w:tcPr>
            <w:tcW w:w="1077" w:type="dxa"/>
            <w:gridSpan w:val="2"/>
            <w:tcBorders>
              <w:top w:val="nil"/>
              <w:left w:val="nil"/>
              <w:bottom w:val="single" w:sz="8" w:space="0" w:color="auto"/>
              <w:right w:val="single" w:sz="8" w:space="0" w:color="auto"/>
            </w:tcBorders>
            <w:shd w:val="clear" w:color="000000" w:fill="FFFFFF"/>
            <w:vAlign w:val="center"/>
          </w:tcPr>
          <w:p w14:paraId="262046B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1957</w:t>
            </w:r>
          </w:p>
        </w:tc>
        <w:tc>
          <w:tcPr>
            <w:tcW w:w="1178" w:type="dxa"/>
            <w:tcBorders>
              <w:top w:val="nil"/>
              <w:left w:val="nil"/>
              <w:bottom w:val="single" w:sz="8" w:space="0" w:color="auto"/>
              <w:right w:val="single" w:sz="8" w:space="0" w:color="auto"/>
            </w:tcBorders>
            <w:shd w:val="clear" w:color="000000" w:fill="FFFFFF"/>
            <w:vAlign w:val="center"/>
          </w:tcPr>
          <w:p w14:paraId="3F46E3E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360</w:t>
            </w:r>
          </w:p>
        </w:tc>
        <w:tc>
          <w:tcPr>
            <w:tcW w:w="1077" w:type="dxa"/>
            <w:gridSpan w:val="2"/>
            <w:tcBorders>
              <w:top w:val="nil"/>
              <w:left w:val="nil"/>
              <w:bottom w:val="single" w:sz="8" w:space="0" w:color="auto"/>
              <w:right w:val="single" w:sz="8" w:space="0" w:color="auto"/>
            </w:tcBorders>
            <w:shd w:val="clear" w:color="000000" w:fill="FFFFFF"/>
            <w:vAlign w:val="center"/>
          </w:tcPr>
          <w:p w14:paraId="1DA2F36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4156</w:t>
            </w:r>
          </w:p>
        </w:tc>
      </w:tr>
      <w:tr w:rsidR="00533926" w:rsidRPr="00AA5833" w14:paraId="51D16641" w14:textId="77777777" w:rsidTr="00533926">
        <w:trPr>
          <w:trHeight w:val="52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32E546D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18.</w:t>
            </w:r>
          </w:p>
        </w:tc>
        <w:tc>
          <w:tcPr>
            <w:tcW w:w="2212" w:type="dxa"/>
            <w:tcBorders>
              <w:top w:val="nil"/>
              <w:left w:val="nil"/>
              <w:bottom w:val="single" w:sz="8" w:space="0" w:color="auto"/>
              <w:right w:val="single" w:sz="8" w:space="0" w:color="auto"/>
            </w:tcBorders>
            <w:shd w:val="clear" w:color="000000" w:fill="D9D9D9"/>
            <w:vAlign w:val="center"/>
            <w:hideMark/>
          </w:tcPr>
          <w:p w14:paraId="20DA66D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Индивидуални обучения/консултации</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75A71DD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299</w:t>
            </w:r>
          </w:p>
        </w:tc>
        <w:tc>
          <w:tcPr>
            <w:tcW w:w="583" w:type="dxa"/>
            <w:gridSpan w:val="2"/>
            <w:tcBorders>
              <w:top w:val="nil"/>
              <w:left w:val="nil"/>
              <w:bottom w:val="single" w:sz="8" w:space="0" w:color="auto"/>
              <w:right w:val="single" w:sz="8" w:space="0" w:color="auto"/>
            </w:tcBorders>
            <w:shd w:val="clear" w:color="000000" w:fill="FFFFFF"/>
            <w:vAlign w:val="center"/>
          </w:tcPr>
          <w:p w14:paraId="272FB61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299</w:t>
            </w:r>
          </w:p>
        </w:tc>
        <w:tc>
          <w:tcPr>
            <w:tcW w:w="1202" w:type="dxa"/>
            <w:tcBorders>
              <w:top w:val="nil"/>
              <w:left w:val="nil"/>
              <w:bottom w:val="single" w:sz="8" w:space="0" w:color="auto"/>
              <w:right w:val="single" w:sz="8" w:space="0" w:color="auto"/>
            </w:tcBorders>
            <w:shd w:val="clear" w:color="000000" w:fill="FFFFFF"/>
            <w:vAlign w:val="center"/>
          </w:tcPr>
          <w:p w14:paraId="6C6A529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w:t>
            </w:r>
          </w:p>
        </w:tc>
        <w:tc>
          <w:tcPr>
            <w:tcW w:w="1077" w:type="dxa"/>
            <w:gridSpan w:val="2"/>
            <w:tcBorders>
              <w:top w:val="nil"/>
              <w:left w:val="nil"/>
              <w:bottom w:val="single" w:sz="8" w:space="0" w:color="auto"/>
              <w:right w:val="single" w:sz="8" w:space="0" w:color="auto"/>
            </w:tcBorders>
            <w:shd w:val="clear" w:color="000000" w:fill="FFFFFF"/>
            <w:vAlign w:val="center"/>
          </w:tcPr>
          <w:p w14:paraId="45F080A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41</w:t>
            </w:r>
          </w:p>
        </w:tc>
        <w:tc>
          <w:tcPr>
            <w:tcW w:w="760" w:type="dxa"/>
            <w:tcBorders>
              <w:top w:val="nil"/>
              <w:left w:val="nil"/>
              <w:bottom w:val="single" w:sz="8" w:space="0" w:color="auto"/>
              <w:right w:val="single" w:sz="8" w:space="0" w:color="auto"/>
            </w:tcBorders>
            <w:shd w:val="clear" w:color="000000" w:fill="FFFFFF"/>
            <w:vAlign w:val="center"/>
          </w:tcPr>
          <w:p w14:paraId="3684F0F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077" w:type="dxa"/>
            <w:gridSpan w:val="2"/>
            <w:tcBorders>
              <w:top w:val="nil"/>
              <w:left w:val="nil"/>
              <w:bottom w:val="single" w:sz="8" w:space="0" w:color="auto"/>
              <w:right w:val="single" w:sz="8" w:space="0" w:color="auto"/>
            </w:tcBorders>
            <w:shd w:val="clear" w:color="000000" w:fill="FFFFFF"/>
            <w:vAlign w:val="center"/>
          </w:tcPr>
          <w:p w14:paraId="251D338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178" w:type="dxa"/>
            <w:tcBorders>
              <w:top w:val="nil"/>
              <w:left w:val="nil"/>
              <w:bottom w:val="single" w:sz="8" w:space="0" w:color="auto"/>
              <w:right w:val="single" w:sz="8" w:space="0" w:color="auto"/>
            </w:tcBorders>
            <w:shd w:val="clear" w:color="000000" w:fill="FFFFFF"/>
            <w:vAlign w:val="center"/>
          </w:tcPr>
          <w:p w14:paraId="6C4FCA2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1077" w:type="dxa"/>
            <w:gridSpan w:val="2"/>
            <w:tcBorders>
              <w:top w:val="nil"/>
              <w:left w:val="nil"/>
              <w:bottom w:val="single" w:sz="8" w:space="0" w:color="auto"/>
              <w:right w:val="single" w:sz="8" w:space="0" w:color="auto"/>
            </w:tcBorders>
            <w:shd w:val="clear" w:color="000000" w:fill="FFFFFF"/>
            <w:vAlign w:val="center"/>
          </w:tcPr>
          <w:p w14:paraId="4C0AB51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r>
      <w:tr w:rsidR="00533926" w:rsidRPr="00AA5833" w14:paraId="3CFB3EBC" w14:textId="77777777" w:rsidTr="00533926">
        <w:trPr>
          <w:trHeight w:val="405"/>
        </w:trPr>
        <w:tc>
          <w:tcPr>
            <w:tcW w:w="10483" w:type="dxa"/>
            <w:gridSpan w:val="14"/>
            <w:tcBorders>
              <w:top w:val="nil"/>
              <w:left w:val="single" w:sz="8" w:space="0" w:color="auto"/>
              <w:bottom w:val="single" w:sz="8" w:space="0" w:color="auto"/>
              <w:right w:val="single" w:sz="8" w:space="0" w:color="auto"/>
            </w:tcBorders>
            <w:shd w:val="clear" w:color="auto" w:fill="auto"/>
            <w:vAlign w:val="center"/>
            <w:hideMark/>
          </w:tcPr>
          <w:p w14:paraId="694CA8F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Други дейности:</w:t>
            </w:r>
          </w:p>
        </w:tc>
      </w:tr>
      <w:tr w:rsidR="00533926" w:rsidRPr="00AA5833" w14:paraId="34F8F728" w14:textId="77777777" w:rsidTr="00533926">
        <w:trPr>
          <w:trHeight w:val="555"/>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0DA289D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lastRenderedPageBreak/>
              <w:t>19</w:t>
            </w:r>
          </w:p>
        </w:tc>
        <w:tc>
          <w:tcPr>
            <w:tcW w:w="2212" w:type="dxa"/>
            <w:tcBorders>
              <w:top w:val="single" w:sz="8" w:space="0" w:color="auto"/>
              <w:left w:val="nil"/>
              <w:bottom w:val="nil"/>
              <w:right w:val="single" w:sz="4" w:space="0" w:color="auto"/>
            </w:tcBorders>
            <w:shd w:val="clear" w:color="000000" w:fill="D9D9D9"/>
            <w:vAlign w:val="center"/>
            <w:hideMark/>
          </w:tcPr>
          <w:p w14:paraId="2F8DD06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Масови прояви</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6E8098B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73</w:t>
            </w:r>
          </w:p>
        </w:tc>
        <w:tc>
          <w:tcPr>
            <w:tcW w:w="583" w:type="dxa"/>
            <w:gridSpan w:val="2"/>
            <w:tcBorders>
              <w:top w:val="nil"/>
              <w:left w:val="nil"/>
              <w:bottom w:val="single" w:sz="8" w:space="0" w:color="auto"/>
              <w:right w:val="single" w:sz="8" w:space="0" w:color="auto"/>
            </w:tcBorders>
            <w:shd w:val="clear" w:color="000000" w:fill="FFFFFF"/>
            <w:vAlign w:val="center"/>
          </w:tcPr>
          <w:p w14:paraId="567099F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6992</w:t>
            </w:r>
          </w:p>
        </w:tc>
        <w:tc>
          <w:tcPr>
            <w:tcW w:w="1202" w:type="dxa"/>
            <w:tcBorders>
              <w:top w:val="nil"/>
              <w:left w:val="nil"/>
              <w:bottom w:val="single" w:sz="8" w:space="0" w:color="auto"/>
              <w:right w:val="single" w:sz="8" w:space="0" w:color="auto"/>
            </w:tcBorders>
            <w:shd w:val="clear" w:color="000000" w:fill="FFFFFF"/>
            <w:vAlign w:val="center"/>
          </w:tcPr>
          <w:p w14:paraId="38D0B7E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42</w:t>
            </w:r>
          </w:p>
        </w:tc>
        <w:tc>
          <w:tcPr>
            <w:tcW w:w="1077" w:type="dxa"/>
            <w:gridSpan w:val="2"/>
            <w:tcBorders>
              <w:top w:val="nil"/>
              <w:left w:val="nil"/>
              <w:bottom w:val="single" w:sz="8" w:space="0" w:color="auto"/>
              <w:right w:val="single" w:sz="8" w:space="0" w:color="auto"/>
            </w:tcBorders>
            <w:shd w:val="clear" w:color="000000" w:fill="FFFFFF"/>
            <w:vAlign w:val="center"/>
          </w:tcPr>
          <w:p w14:paraId="3A2C2B2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4965</w:t>
            </w:r>
          </w:p>
        </w:tc>
        <w:tc>
          <w:tcPr>
            <w:tcW w:w="760" w:type="dxa"/>
            <w:tcBorders>
              <w:top w:val="nil"/>
              <w:left w:val="nil"/>
              <w:bottom w:val="single" w:sz="8" w:space="0" w:color="auto"/>
              <w:right w:val="single" w:sz="8" w:space="0" w:color="auto"/>
            </w:tcBorders>
            <w:shd w:val="clear" w:color="000000" w:fill="FFFFFF"/>
            <w:vAlign w:val="center"/>
          </w:tcPr>
          <w:p w14:paraId="4B814CC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81</w:t>
            </w:r>
          </w:p>
        </w:tc>
        <w:tc>
          <w:tcPr>
            <w:tcW w:w="1077" w:type="dxa"/>
            <w:gridSpan w:val="2"/>
            <w:tcBorders>
              <w:top w:val="nil"/>
              <w:left w:val="nil"/>
              <w:bottom w:val="single" w:sz="8" w:space="0" w:color="auto"/>
              <w:right w:val="single" w:sz="8" w:space="0" w:color="auto"/>
            </w:tcBorders>
            <w:shd w:val="clear" w:color="000000" w:fill="FFFFFF"/>
            <w:vAlign w:val="center"/>
          </w:tcPr>
          <w:p w14:paraId="3A6AD8D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7685</w:t>
            </w:r>
          </w:p>
        </w:tc>
        <w:tc>
          <w:tcPr>
            <w:tcW w:w="1178" w:type="dxa"/>
            <w:tcBorders>
              <w:top w:val="nil"/>
              <w:left w:val="nil"/>
              <w:bottom w:val="single" w:sz="8" w:space="0" w:color="auto"/>
              <w:right w:val="single" w:sz="8" w:space="0" w:color="auto"/>
            </w:tcBorders>
            <w:shd w:val="clear" w:color="000000" w:fill="FFFFFF"/>
            <w:vAlign w:val="center"/>
          </w:tcPr>
          <w:p w14:paraId="300E721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54</w:t>
            </w:r>
          </w:p>
        </w:tc>
        <w:tc>
          <w:tcPr>
            <w:tcW w:w="1077" w:type="dxa"/>
            <w:gridSpan w:val="2"/>
            <w:tcBorders>
              <w:top w:val="nil"/>
              <w:left w:val="nil"/>
              <w:bottom w:val="single" w:sz="8" w:space="0" w:color="auto"/>
              <w:right w:val="single" w:sz="8" w:space="0" w:color="auto"/>
            </w:tcBorders>
            <w:shd w:val="clear" w:color="000000" w:fill="FFFFFF"/>
            <w:vAlign w:val="center"/>
          </w:tcPr>
          <w:p w14:paraId="353B09E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6191</w:t>
            </w:r>
          </w:p>
        </w:tc>
      </w:tr>
      <w:tr w:rsidR="00533926" w:rsidRPr="00AA5833" w14:paraId="390538A6" w14:textId="77777777" w:rsidTr="00533926">
        <w:trPr>
          <w:trHeight w:val="480"/>
        </w:trPr>
        <w:tc>
          <w:tcPr>
            <w:tcW w:w="390" w:type="dxa"/>
            <w:tcBorders>
              <w:top w:val="nil"/>
              <w:left w:val="single" w:sz="8" w:space="0" w:color="auto"/>
              <w:bottom w:val="single" w:sz="8" w:space="0" w:color="auto"/>
              <w:right w:val="single" w:sz="8" w:space="0" w:color="auto"/>
            </w:tcBorders>
            <w:shd w:val="clear" w:color="000000" w:fill="D9D9D9"/>
            <w:vAlign w:val="center"/>
            <w:hideMark/>
          </w:tcPr>
          <w:p w14:paraId="4E2E917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20</w:t>
            </w:r>
          </w:p>
        </w:tc>
        <w:tc>
          <w:tcPr>
            <w:tcW w:w="2212" w:type="dxa"/>
            <w:tcBorders>
              <w:top w:val="single" w:sz="4" w:space="0" w:color="auto"/>
              <w:left w:val="nil"/>
              <w:bottom w:val="single" w:sz="8" w:space="0" w:color="auto"/>
              <w:right w:val="single" w:sz="8" w:space="0" w:color="auto"/>
            </w:tcBorders>
            <w:shd w:val="clear" w:color="000000" w:fill="D9D9D9"/>
            <w:vAlign w:val="center"/>
            <w:hideMark/>
          </w:tcPr>
          <w:p w14:paraId="6B90986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Проучвания</w:t>
            </w:r>
          </w:p>
        </w:tc>
        <w:tc>
          <w:tcPr>
            <w:tcW w:w="927" w:type="dxa"/>
            <w:tcBorders>
              <w:top w:val="nil"/>
              <w:left w:val="single" w:sz="4" w:space="0" w:color="auto"/>
              <w:bottom w:val="single" w:sz="8" w:space="0" w:color="auto"/>
              <w:right w:val="single" w:sz="8" w:space="0" w:color="auto"/>
            </w:tcBorders>
            <w:shd w:val="clear" w:color="000000" w:fill="FFFFFF"/>
            <w:vAlign w:val="center"/>
          </w:tcPr>
          <w:p w14:paraId="25340E3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583" w:type="dxa"/>
            <w:gridSpan w:val="2"/>
            <w:tcBorders>
              <w:top w:val="nil"/>
              <w:left w:val="nil"/>
              <w:bottom w:val="single" w:sz="8" w:space="0" w:color="auto"/>
              <w:right w:val="single" w:sz="8" w:space="0" w:color="auto"/>
            </w:tcBorders>
            <w:shd w:val="clear" w:color="000000" w:fill="FFFFFF"/>
            <w:vAlign w:val="center"/>
          </w:tcPr>
          <w:p w14:paraId="59117F6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280</w:t>
            </w:r>
          </w:p>
        </w:tc>
        <w:tc>
          <w:tcPr>
            <w:tcW w:w="1202" w:type="dxa"/>
            <w:tcBorders>
              <w:top w:val="nil"/>
              <w:left w:val="nil"/>
              <w:bottom w:val="single" w:sz="8" w:space="0" w:color="auto"/>
              <w:right w:val="single" w:sz="8" w:space="0" w:color="auto"/>
            </w:tcBorders>
            <w:shd w:val="clear" w:color="000000" w:fill="FFFFFF"/>
            <w:vAlign w:val="center"/>
          </w:tcPr>
          <w:p w14:paraId="0F50D00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w:t>
            </w:r>
          </w:p>
        </w:tc>
        <w:tc>
          <w:tcPr>
            <w:tcW w:w="1077" w:type="dxa"/>
            <w:gridSpan w:val="2"/>
            <w:tcBorders>
              <w:top w:val="nil"/>
              <w:left w:val="nil"/>
              <w:bottom w:val="single" w:sz="8" w:space="0" w:color="auto"/>
              <w:right w:val="single" w:sz="8" w:space="0" w:color="auto"/>
            </w:tcBorders>
            <w:shd w:val="clear" w:color="000000" w:fill="FFFFFF"/>
            <w:vAlign w:val="center"/>
          </w:tcPr>
          <w:p w14:paraId="2A499F4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5629</w:t>
            </w:r>
          </w:p>
        </w:tc>
        <w:tc>
          <w:tcPr>
            <w:tcW w:w="760" w:type="dxa"/>
            <w:tcBorders>
              <w:top w:val="nil"/>
              <w:left w:val="nil"/>
              <w:bottom w:val="single" w:sz="8" w:space="0" w:color="auto"/>
              <w:right w:val="single" w:sz="8" w:space="0" w:color="auto"/>
            </w:tcBorders>
            <w:shd w:val="clear" w:color="000000" w:fill="FFFFFF"/>
            <w:vAlign w:val="center"/>
          </w:tcPr>
          <w:p w14:paraId="6570D8A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w:t>
            </w:r>
          </w:p>
        </w:tc>
        <w:tc>
          <w:tcPr>
            <w:tcW w:w="1077" w:type="dxa"/>
            <w:gridSpan w:val="2"/>
            <w:tcBorders>
              <w:top w:val="nil"/>
              <w:left w:val="nil"/>
              <w:bottom w:val="single" w:sz="8" w:space="0" w:color="auto"/>
              <w:right w:val="single" w:sz="8" w:space="0" w:color="auto"/>
            </w:tcBorders>
            <w:shd w:val="clear" w:color="000000" w:fill="FFFFFF"/>
            <w:vAlign w:val="center"/>
          </w:tcPr>
          <w:p w14:paraId="3534B21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321</w:t>
            </w:r>
          </w:p>
        </w:tc>
        <w:tc>
          <w:tcPr>
            <w:tcW w:w="1178" w:type="dxa"/>
            <w:tcBorders>
              <w:top w:val="nil"/>
              <w:left w:val="nil"/>
              <w:bottom w:val="single" w:sz="8" w:space="0" w:color="auto"/>
              <w:right w:val="single" w:sz="8" w:space="0" w:color="auto"/>
            </w:tcBorders>
            <w:shd w:val="clear" w:color="000000" w:fill="FFFFFF"/>
            <w:vAlign w:val="center"/>
          </w:tcPr>
          <w:p w14:paraId="41A22A3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w:t>
            </w:r>
          </w:p>
        </w:tc>
        <w:tc>
          <w:tcPr>
            <w:tcW w:w="1077" w:type="dxa"/>
            <w:gridSpan w:val="2"/>
            <w:tcBorders>
              <w:top w:val="nil"/>
              <w:left w:val="nil"/>
              <w:bottom w:val="single" w:sz="8" w:space="0" w:color="auto"/>
              <w:right w:val="single" w:sz="8" w:space="0" w:color="auto"/>
            </w:tcBorders>
            <w:shd w:val="clear" w:color="000000" w:fill="FFFFFF"/>
            <w:vAlign w:val="center"/>
          </w:tcPr>
          <w:p w14:paraId="053ABA2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913</w:t>
            </w:r>
          </w:p>
        </w:tc>
      </w:tr>
    </w:tbl>
    <w:p w14:paraId="185B0C27"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77EDF175"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Повишаване на нивото на информираност, обучение и включване на населението над 20 г. в дейности по Програмата</w:t>
      </w:r>
    </w:p>
    <w:p w14:paraId="7E5505A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ab/>
      </w:r>
      <w:r w:rsidRPr="00AA5833">
        <w:rPr>
          <w:rFonts w:ascii="Times New Roman" w:eastAsia="Times New Roman" w:hAnsi="Times New Roman" w:cs="Times New Roman"/>
          <w:sz w:val="24"/>
          <w:szCs w:val="24"/>
          <w:lang w:eastAsia="bg-BG"/>
        </w:rPr>
        <w:t>През 2024 г. дейностите за повишаване на нивото на информираност на населението над 20 години традиционно са насочени към: промоция на здравето; намаляване нивото на поведенческите, биологичните и социалните фактори на риска (тютюнопушене, нездравословно хранене, ниска физическа активност, злоупотреба с алкохол, повишено артериално налягане, затлъстяване, повишена кръвна захар и др.), също и към образоване на населението за превенцията на ХНБ (сърдечносъдови заболявания, злокачествени новообразувания, диабет тип 2, ХОББ).</w:t>
      </w:r>
    </w:p>
    <w:p w14:paraId="1EC76E2E" w14:textId="77777777" w:rsidR="00533926" w:rsidRPr="00AA5833" w:rsidRDefault="00533926" w:rsidP="00533926">
      <w:pPr>
        <w:spacing w:after="0" w:line="240" w:lineRule="auto"/>
        <w:ind w:firstLine="709"/>
        <w:jc w:val="both"/>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4"/>
          <w:szCs w:val="24"/>
          <w:lang w:eastAsia="bg-BG"/>
        </w:rPr>
        <w:t>Извършената дейност по четирите фактора на риска през годината е значителна.  Организирани и проведени са общо 184 кампании, посветени на контрола на хроничните незаразни болести и факторите на риска за тях, свързани с начина на живот на населението, отбелязани са със 108 масови прояви с 12 691 участници и със 123 събития за тематични, световни и международни дни, празници. Излъчени са: 65 ТВ предавания, 132 радиопредавания, 218 аудио-, видеоклипове и видеопокази; публикувани са 248 материала в пресата, в интернет – 707. През годината са организирани 8 пресконференции с журналисти; изнесени са 700 лекции и беседи (с 6771 участници); проведени са 141 семинара (с 4410 участници), 858 дискусии (с 3665 участници), 87 тренинга (с 1178 участници); 7 курсове (с 99 участници); извършени са 2060 индивидуални обучения и консултации. Разработени и отпечатани са 16 здравнообразователни материала, с тираж 8160 бр. Разпространени са общо 32750 бр. материали (методични помагала, дипляни, плакати, стикери, календари и др. (Таблица 2).</w:t>
      </w:r>
    </w:p>
    <w:p w14:paraId="63DA9454" w14:textId="77777777" w:rsidR="00533926" w:rsidRPr="00AA5833" w:rsidRDefault="00533926" w:rsidP="00533926">
      <w:pPr>
        <w:spacing w:after="0" w:line="240" w:lineRule="auto"/>
        <w:jc w:val="both"/>
        <w:rPr>
          <w:rFonts w:ascii="Times New Roman" w:eastAsia="Times New Roman" w:hAnsi="Times New Roman" w:cs="Times New Roman"/>
          <w:sz w:val="20"/>
          <w:szCs w:val="20"/>
          <w:lang w:eastAsia="bg-BG"/>
        </w:rPr>
      </w:pPr>
    </w:p>
    <w:p w14:paraId="53794E8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Таблица 2. Здравнообразователна дейност по факторите на риска за хронични незаразни болести сред население над 20 г. през 2024 г.</w:t>
      </w:r>
    </w:p>
    <w:p w14:paraId="6FC58B98"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 xml:space="preserve"> </w:t>
      </w:r>
      <w:r w:rsidRPr="00AA5833">
        <w:rPr>
          <w:rFonts w:ascii="Times New Roman" w:eastAsia="Times New Roman" w:hAnsi="Times New Roman" w:cs="Times New Roman"/>
          <w:b/>
          <w:sz w:val="20"/>
          <w:szCs w:val="20"/>
          <w:lang w:eastAsia="bg-BG"/>
        </w:rPr>
        <w:tab/>
        <w:t xml:space="preserve"> </w:t>
      </w:r>
      <w:r w:rsidRPr="00AA5833">
        <w:rPr>
          <w:rFonts w:ascii="Times New Roman" w:eastAsia="Times New Roman" w:hAnsi="Times New Roman" w:cs="Times New Roman"/>
          <w:b/>
          <w:sz w:val="20"/>
          <w:szCs w:val="20"/>
          <w:lang w:eastAsia="bg-BG"/>
        </w:rPr>
        <w:tab/>
      </w:r>
    </w:p>
    <w:tbl>
      <w:tblPr>
        <w:tblW w:w="10628" w:type="dxa"/>
        <w:jc w:val="center"/>
        <w:tblCellMar>
          <w:left w:w="70" w:type="dxa"/>
          <w:right w:w="70" w:type="dxa"/>
        </w:tblCellMar>
        <w:tblLook w:val="04A0" w:firstRow="1" w:lastRow="0" w:firstColumn="1" w:lastColumn="0" w:noHBand="0" w:noVBand="1"/>
      </w:tblPr>
      <w:tblGrid>
        <w:gridCol w:w="394"/>
        <w:gridCol w:w="2218"/>
        <w:gridCol w:w="1050"/>
        <w:gridCol w:w="243"/>
        <w:gridCol w:w="834"/>
        <w:gridCol w:w="807"/>
        <w:gridCol w:w="240"/>
        <w:gridCol w:w="838"/>
        <w:gridCol w:w="762"/>
        <w:gridCol w:w="160"/>
        <w:gridCol w:w="917"/>
        <w:gridCol w:w="1088"/>
        <w:gridCol w:w="160"/>
        <w:gridCol w:w="917"/>
      </w:tblGrid>
      <w:tr w:rsidR="00533926" w:rsidRPr="00AA5833" w14:paraId="318646E9" w14:textId="77777777" w:rsidTr="00533926">
        <w:trPr>
          <w:trHeight w:val="300"/>
          <w:jc w:val="center"/>
        </w:trPr>
        <w:tc>
          <w:tcPr>
            <w:tcW w:w="411" w:type="dxa"/>
            <w:tcBorders>
              <w:top w:val="single" w:sz="8" w:space="0" w:color="auto"/>
              <w:left w:val="single" w:sz="8" w:space="0" w:color="auto"/>
              <w:bottom w:val="nil"/>
              <w:right w:val="single" w:sz="8" w:space="0" w:color="auto"/>
            </w:tcBorders>
            <w:shd w:val="clear" w:color="000000" w:fill="E6E6E6"/>
            <w:vAlign w:val="center"/>
            <w:hideMark/>
          </w:tcPr>
          <w:p w14:paraId="0889332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64" w:type="dxa"/>
            <w:tcBorders>
              <w:top w:val="single" w:sz="8" w:space="0" w:color="auto"/>
              <w:left w:val="nil"/>
              <w:bottom w:val="nil"/>
              <w:right w:val="single" w:sz="8" w:space="0" w:color="auto"/>
            </w:tcBorders>
            <w:shd w:val="clear" w:color="000000" w:fill="E6E6E6"/>
            <w:vAlign w:val="center"/>
            <w:hideMark/>
          </w:tcPr>
          <w:p w14:paraId="127CB04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993"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484058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ТЮТЮНОПУШЕНЕ</w:t>
            </w:r>
          </w:p>
        </w:tc>
        <w:tc>
          <w:tcPr>
            <w:tcW w:w="1954"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67D44B6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  УПОТРЕБА НА АЛКОХОЛ</w:t>
            </w:r>
          </w:p>
        </w:tc>
        <w:tc>
          <w:tcPr>
            <w:tcW w:w="1841"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65CAB7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   НИСКА ФИЗИЧЕСКА АКТИВНОСТ</w:t>
            </w:r>
          </w:p>
        </w:tc>
        <w:tc>
          <w:tcPr>
            <w:tcW w:w="2165" w:type="dxa"/>
            <w:gridSpan w:val="3"/>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3C29FAC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НЕЗДРАВОСЛОВНО ХРАНЕНЕ</w:t>
            </w:r>
          </w:p>
        </w:tc>
      </w:tr>
      <w:tr w:rsidR="00533926" w:rsidRPr="00AA5833" w14:paraId="325103A6" w14:textId="77777777" w:rsidTr="00533926">
        <w:trPr>
          <w:trHeight w:val="630"/>
          <w:jc w:val="center"/>
        </w:trPr>
        <w:tc>
          <w:tcPr>
            <w:tcW w:w="411" w:type="dxa"/>
            <w:tcBorders>
              <w:top w:val="nil"/>
              <w:left w:val="single" w:sz="8" w:space="0" w:color="auto"/>
              <w:bottom w:val="nil"/>
              <w:right w:val="single" w:sz="8" w:space="0" w:color="auto"/>
            </w:tcBorders>
            <w:shd w:val="clear" w:color="000000" w:fill="E6E6E6"/>
            <w:vAlign w:val="center"/>
            <w:hideMark/>
          </w:tcPr>
          <w:p w14:paraId="075B2F5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w:t>
            </w:r>
          </w:p>
        </w:tc>
        <w:tc>
          <w:tcPr>
            <w:tcW w:w="2264" w:type="dxa"/>
            <w:tcBorders>
              <w:top w:val="nil"/>
              <w:left w:val="nil"/>
              <w:bottom w:val="nil"/>
              <w:right w:val="single" w:sz="8" w:space="0" w:color="auto"/>
            </w:tcBorders>
            <w:shd w:val="clear" w:color="000000" w:fill="E6E6E6"/>
            <w:vAlign w:val="center"/>
            <w:hideMark/>
          </w:tcPr>
          <w:p w14:paraId="5033D62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ДЕЙНОСТИ</w:t>
            </w:r>
          </w:p>
        </w:tc>
        <w:tc>
          <w:tcPr>
            <w:tcW w:w="1993" w:type="dxa"/>
            <w:gridSpan w:val="3"/>
            <w:vMerge/>
            <w:tcBorders>
              <w:top w:val="nil"/>
              <w:left w:val="nil"/>
              <w:bottom w:val="nil"/>
              <w:right w:val="single" w:sz="8" w:space="0" w:color="auto"/>
            </w:tcBorders>
            <w:vAlign w:val="center"/>
            <w:hideMark/>
          </w:tcPr>
          <w:p w14:paraId="6FAB5CD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954" w:type="dxa"/>
            <w:gridSpan w:val="3"/>
            <w:vMerge/>
            <w:tcBorders>
              <w:top w:val="nil"/>
              <w:left w:val="nil"/>
              <w:bottom w:val="nil"/>
              <w:right w:val="single" w:sz="8" w:space="0" w:color="auto"/>
            </w:tcBorders>
            <w:vAlign w:val="center"/>
            <w:hideMark/>
          </w:tcPr>
          <w:p w14:paraId="1C14EF8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841" w:type="dxa"/>
            <w:gridSpan w:val="3"/>
            <w:vMerge/>
            <w:tcBorders>
              <w:top w:val="nil"/>
              <w:left w:val="nil"/>
              <w:bottom w:val="nil"/>
              <w:right w:val="single" w:sz="8" w:space="0" w:color="auto"/>
            </w:tcBorders>
            <w:vAlign w:val="center"/>
            <w:hideMark/>
          </w:tcPr>
          <w:p w14:paraId="6A35149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165" w:type="dxa"/>
            <w:gridSpan w:val="3"/>
            <w:vMerge/>
            <w:tcBorders>
              <w:top w:val="nil"/>
              <w:left w:val="nil"/>
              <w:bottom w:val="nil"/>
              <w:right w:val="single" w:sz="8" w:space="0" w:color="auto"/>
            </w:tcBorders>
            <w:vAlign w:val="center"/>
            <w:hideMark/>
          </w:tcPr>
          <w:p w14:paraId="1163877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r>
      <w:tr w:rsidR="00533926" w:rsidRPr="00AA5833" w14:paraId="3D1C5172" w14:textId="77777777" w:rsidTr="00533926">
        <w:trPr>
          <w:trHeight w:val="92"/>
          <w:jc w:val="center"/>
        </w:trPr>
        <w:tc>
          <w:tcPr>
            <w:tcW w:w="411" w:type="dxa"/>
            <w:tcBorders>
              <w:top w:val="nil"/>
              <w:left w:val="single" w:sz="8" w:space="0" w:color="auto"/>
              <w:bottom w:val="single" w:sz="8" w:space="0" w:color="auto"/>
              <w:right w:val="single" w:sz="8" w:space="0" w:color="auto"/>
            </w:tcBorders>
            <w:shd w:val="clear" w:color="000000" w:fill="E6E6E6"/>
            <w:vAlign w:val="center"/>
            <w:hideMark/>
          </w:tcPr>
          <w:p w14:paraId="6905D73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264" w:type="dxa"/>
            <w:tcBorders>
              <w:top w:val="nil"/>
              <w:left w:val="nil"/>
              <w:bottom w:val="single" w:sz="8" w:space="0" w:color="auto"/>
              <w:right w:val="single" w:sz="8" w:space="0" w:color="auto"/>
            </w:tcBorders>
            <w:shd w:val="clear" w:color="000000" w:fill="E6E6E6"/>
            <w:vAlign w:val="center"/>
            <w:hideMark/>
          </w:tcPr>
          <w:p w14:paraId="201E1FA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993" w:type="dxa"/>
            <w:gridSpan w:val="3"/>
            <w:vMerge/>
            <w:tcBorders>
              <w:top w:val="nil"/>
              <w:left w:val="nil"/>
              <w:bottom w:val="single" w:sz="8" w:space="0" w:color="auto"/>
              <w:right w:val="single" w:sz="8" w:space="0" w:color="auto"/>
            </w:tcBorders>
            <w:vAlign w:val="center"/>
            <w:hideMark/>
          </w:tcPr>
          <w:p w14:paraId="3EB0951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954" w:type="dxa"/>
            <w:gridSpan w:val="3"/>
            <w:vMerge/>
            <w:tcBorders>
              <w:top w:val="nil"/>
              <w:left w:val="nil"/>
              <w:bottom w:val="single" w:sz="8" w:space="0" w:color="auto"/>
              <w:right w:val="single" w:sz="8" w:space="0" w:color="auto"/>
            </w:tcBorders>
            <w:vAlign w:val="center"/>
            <w:hideMark/>
          </w:tcPr>
          <w:p w14:paraId="175399C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841" w:type="dxa"/>
            <w:gridSpan w:val="3"/>
            <w:vMerge/>
            <w:tcBorders>
              <w:top w:val="nil"/>
              <w:left w:val="nil"/>
              <w:bottom w:val="single" w:sz="8" w:space="0" w:color="auto"/>
              <w:right w:val="single" w:sz="8" w:space="0" w:color="auto"/>
            </w:tcBorders>
            <w:vAlign w:val="center"/>
            <w:hideMark/>
          </w:tcPr>
          <w:p w14:paraId="7D3E15C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2165" w:type="dxa"/>
            <w:gridSpan w:val="3"/>
            <w:vMerge/>
            <w:tcBorders>
              <w:top w:val="nil"/>
              <w:left w:val="nil"/>
              <w:bottom w:val="single" w:sz="8" w:space="0" w:color="auto"/>
              <w:right w:val="single" w:sz="8" w:space="0" w:color="auto"/>
            </w:tcBorders>
            <w:vAlign w:val="center"/>
            <w:hideMark/>
          </w:tcPr>
          <w:p w14:paraId="51D6EBA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r>
      <w:tr w:rsidR="00533926" w:rsidRPr="00AA5833" w14:paraId="45273E2F" w14:textId="77777777" w:rsidTr="00533926">
        <w:trPr>
          <w:trHeight w:val="315"/>
          <w:jc w:val="center"/>
        </w:trPr>
        <w:tc>
          <w:tcPr>
            <w:tcW w:w="411" w:type="dxa"/>
            <w:tcBorders>
              <w:top w:val="nil"/>
              <w:left w:val="single" w:sz="8" w:space="0" w:color="auto"/>
              <w:bottom w:val="single" w:sz="4" w:space="0" w:color="auto"/>
              <w:right w:val="single" w:sz="8" w:space="0" w:color="auto"/>
            </w:tcBorders>
            <w:shd w:val="clear" w:color="000000" w:fill="E6E6E6"/>
            <w:vAlign w:val="center"/>
            <w:hideMark/>
          </w:tcPr>
          <w:p w14:paraId="026D571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64" w:type="dxa"/>
            <w:tcBorders>
              <w:top w:val="nil"/>
              <w:left w:val="nil"/>
              <w:bottom w:val="single" w:sz="4" w:space="0" w:color="auto"/>
              <w:right w:val="single" w:sz="8" w:space="0" w:color="auto"/>
            </w:tcBorders>
            <w:shd w:val="clear" w:color="000000" w:fill="E6E6E6"/>
            <w:vAlign w:val="center"/>
            <w:hideMark/>
          </w:tcPr>
          <w:p w14:paraId="37B2A43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1993" w:type="dxa"/>
            <w:gridSpan w:val="3"/>
            <w:tcBorders>
              <w:top w:val="single" w:sz="8" w:space="0" w:color="auto"/>
              <w:left w:val="nil"/>
              <w:bottom w:val="single" w:sz="8" w:space="0" w:color="auto"/>
              <w:right w:val="single" w:sz="8" w:space="0" w:color="000000"/>
            </w:tcBorders>
            <w:shd w:val="clear" w:color="000000" w:fill="D9D9D9"/>
            <w:vAlign w:val="center"/>
            <w:hideMark/>
          </w:tcPr>
          <w:p w14:paraId="5B526E7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954" w:type="dxa"/>
            <w:gridSpan w:val="3"/>
            <w:tcBorders>
              <w:top w:val="single" w:sz="8" w:space="0" w:color="auto"/>
              <w:left w:val="nil"/>
              <w:bottom w:val="single" w:sz="8" w:space="0" w:color="auto"/>
              <w:right w:val="single" w:sz="8" w:space="0" w:color="000000"/>
            </w:tcBorders>
            <w:shd w:val="clear" w:color="000000" w:fill="D9D9D9"/>
            <w:vAlign w:val="center"/>
            <w:hideMark/>
          </w:tcPr>
          <w:p w14:paraId="046449E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841" w:type="dxa"/>
            <w:gridSpan w:val="3"/>
            <w:tcBorders>
              <w:top w:val="single" w:sz="8" w:space="0" w:color="auto"/>
              <w:left w:val="nil"/>
              <w:bottom w:val="single" w:sz="8" w:space="0" w:color="auto"/>
              <w:right w:val="single" w:sz="8" w:space="0" w:color="000000"/>
            </w:tcBorders>
            <w:shd w:val="clear" w:color="000000" w:fill="D9D9D9"/>
            <w:vAlign w:val="center"/>
            <w:hideMark/>
          </w:tcPr>
          <w:p w14:paraId="1673329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2165" w:type="dxa"/>
            <w:gridSpan w:val="3"/>
            <w:tcBorders>
              <w:top w:val="single" w:sz="8" w:space="0" w:color="auto"/>
              <w:left w:val="nil"/>
              <w:bottom w:val="single" w:sz="8" w:space="0" w:color="auto"/>
              <w:right w:val="single" w:sz="8" w:space="0" w:color="000000"/>
            </w:tcBorders>
            <w:shd w:val="clear" w:color="000000" w:fill="D9D9D9"/>
            <w:vAlign w:val="center"/>
            <w:hideMark/>
          </w:tcPr>
          <w:p w14:paraId="5C690D1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r>
      <w:tr w:rsidR="00533926" w:rsidRPr="00AA5833" w14:paraId="3830F4BF" w14:textId="77777777" w:rsidTr="00533926">
        <w:trPr>
          <w:trHeight w:val="315"/>
          <w:jc w:val="center"/>
        </w:trPr>
        <w:tc>
          <w:tcPr>
            <w:tcW w:w="4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89785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w:t>
            </w:r>
          </w:p>
        </w:tc>
        <w:tc>
          <w:tcPr>
            <w:tcW w:w="22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D9ED8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Кампании</w:t>
            </w:r>
          </w:p>
        </w:tc>
        <w:tc>
          <w:tcPr>
            <w:tcW w:w="1993" w:type="dxa"/>
            <w:gridSpan w:val="3"/>
            <w:tcBorders>
              <w:top w:val="single" w:sz="8" w:space="0" w:color="auto"/>
              <w:left w:val="single" w:sz="4" w:space="0" w:color="auto"/>
              <w:bottom w:val="single" w:sz="8" w:space="0" w:color="auto"/>
              <w:right w:val="single" w:sz="8" w:space="0" w:color="000000"/>
            </w:tcBorders>
            <w:shd w:val="clear" w:color="000000" w:fill="FFFFFF"/>
            <w:vAlign w:val="center"/>
          </w:tcPr>
          <w:p w14:paraId="5C7A4B0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62</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5A9D367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32</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5C3F54C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35</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04A48FE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55</w:t>
            </w:r>
          </w:p>
        </w:tc>
      </w:tr>
      <w:tr w:rsidR="00533926" w:rsidRPr="00AA5833" w14:paraId="5ECB3BA2" w14:textId="77777777" w:rsidTr="00533926">
        <w:trPr>
          <w:trHeight w:val="285"/>
          <w:jc w:val="center"/>
        </w:trPr>
        <w:tc>
          <w:tcPr>
            <w:tcW w:w="411"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492A11D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w:t>
            </w:r>
          </w:p>
        </w:tc>
        <w:tc>
          <w:tcPr>
            <w:tcW w:w="2264" w:type="dxa"/>
            <w:tcBorders>
              <w:top w:val="single" w:sz="4" w:space="0" w:color="auto"/>
              <w:left w:val="nil"/>
              <w:bottom w:val="single" w:sz="8" w:space="0" w:color="auto"/>
              <w:right w:val="single" w:sz="8" w:space="0" w:color="auto"/>
            </w:tcBorders>
            <w:shd w:val="clear" w:color="000000" w:fill="D9D9D9"/>
            <w:vAlign w:val="center"/>
            <w:hideMark/>
          </w:tcPr>
          <w:p w14:paraId="6DFB1F6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Световни/тематични дни</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55F0720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04537EF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14</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123B80D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0FCA4BD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46</w:t>
            </w:r>
          </w:p>
        </w:tc>
      </w:tr>
      <w:tr w:rsidR="00533926" w:rsidRPr="00AA5833" w14:paraId="425ADB21" w14:textId="77777777" w:rsidTr="00533926">
        <w:trPr>
          <w:trHeight w:val="487"/>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35BBA43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2264" w:type="dxa"/>
            <w:tcBorders>
              <w:top w:val="nil"/>
              <w:left w:val="nil"/>
              <w:bottom w:val="single" w:sz="8" w:space="0" w:color="auto"/>
              <w:right w:val="single" w:sz="8" w:space="0" w:color="auto"/>
            </w:tcBorders>
            <w:shd w:val="clear" w:color="000000" w:fill="D9D9D9"/>
            <w:vAlign w:val="center"/>
            <w:hideMark/>
          </w:tcPr>
          <w:p w14:paraId="7A97E78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Медийни изяви:</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309A61E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2DAA29B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740E382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608DFE1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r>
      <w:tr w:rsidR="00533926" w:rsidRPr="00AA5833" w14:paraId="52404E96"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3295621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3.</w:t>
            </w:r>
          </w:p>
        </w:tc>
        <w:tc>
          <w:tcPr>
            <w:tcW w:w="2264" w:type="dxa"/>
            <w:tcBorders>
              <w:top w:val="nil"/>
              <w:left w:val="nil"/>
              <w:bottom w:val="single" w:sz="8" w:space="0" w:color="auto"/>
              <w:right w:val="single" w:sz="8" w:space="0" w:color="auto"/>
            </w:tcBorders>
            <w:shd w:val="clear" w:color="000000" w:fill="D9D9D9"/>
            <w:vAlign w:val="center"/>
            <w:hideMark/>
          </w:tcPr>
          <w:p w14:paraId="27E11C2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ТВ предавания</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020180B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w:t>
            </w:r>
          </w:p>
        </w:tc>
        <w:tc>
          <w:tcPr>
            <w:tcW w:w="867" w:type="dxa"/>
            <w:tcBorders>
              <w:top w:val="nil"/>
              <w:left w:val="nil"/>
              <w:bottom w:val="single" w:sz="8" w:space="0" w:color="auto"/>
              <w:right w:val="nil"/>
            </w:tcBorders>
            <w:shd w:val="clear" w:color="000000" w:fill="FFFFFF"/>
            <w:vAlign w:val="center"/>
          </w:tcPr>
          <w:p w14:paraId="0EB4056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087" w:type="dxa"/>
            <w:gridSpan w:val="2"/>
            <w:tcBorders>
              <w:top w:val="nil"/>
              <w:left w:val="nil"/>
              <w:bottom w:val="single" w:sz="8" w:space="0" w:color="auto"/>
              <w:right w:val="single" w:sz="8" w:space="0" w:color="auto"/>
            </w:tcBorders>
            <w:shd w:val="clear" w:color="000000" w:fill="FFFFFF"/>
            <w:vAlign w:val="center"/>
          </w:tcPr>
          <w:p w14:paraId="2B405C9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764" w:type="dxa"/>
            <w:tcBorders>
              <w:top w:val="nil"/>
              <w:left w:val="nil"/>
              <w:bottom w:val="single" w:sz="8" w:space="0" w:color="auto"/>
              <w:right w:val="nil"/>
            </w:tcBorders>
            <w:shd w:val="clear" w:color="000000" w:fill="FFFFFF"/>
            <w:vAlign w:val="center"/>
          </w:tcPr>
          <w:p w14:paraId="5F2C2C3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w:t>
            </w:r>
          </w:p>
        </w:tc>
        <w:tc>
          <w:tcPr>
            <w:tcW w:w="1077" w:type="dxa"/>
            <w:gridSpan w:val="2"/>
            <w:tcBorders>
              <w:top w:val="nil"/>
              <w:left w:val="nil"/>
              <w:bottom w:val="single" w:sz="8" w:space="0" w:color="auto"/>
              <w:right w:val="single" w:sz="8" w:space="0" w:color="auto"/>
            </w:tcBorders>
            <w:shd w:val="clear" w:color="000000" w:fill="FFFFFF"/>
            <w:vAlign w:val="center"/>
          </w:tcPr>
          <w:p w14:paraId="3CA86E3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1088" w:type="dxa"/>
            <w:tcBorders>
              <w:top w:val="nil"/>
              <w:left w:val="nil"/>
              <w:bottom w:val="single" w:sz="8" w:space="0" w:color="auto"/>
              <w:right w:val="nil"/>
            </w:tcBorders>
            <w:shd w:val="clear" w:color="000000" w:fill="FFFFFF"/>
            <w:vAlign w:val="center"/>
          </w:tcPr>
          <w:p w14:paraId="24998EC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31</w:t>
            </w:r>
          </w:p>
        </w:tc>
        <w:tc>
          <w:tcPr>
            <w:tcW w:w="1077" w:type="dxa"/>
            <w:gridSpan w:val="2"/>
            <w:tcBorders>
              <w:top w:val="nil"/>
              <w:left w:val="nil"/>
              <w:bottom w:val="single" w:sz="8" w:space="0" w:color="auto"/>
              <w:right w:val="single" w:sz="8" w:space="0" w:color="auto"/>
            </w:tcBorders>
            <w:shd w:val="clear" w:color="000000" w:fill="FFFFFF"/>
            <w:vAlign w:val="center"/>
          </w:tcPr>
          <w:p w14:paraId="3207046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r>
      <w:tr w:rsidR="00533926" w:rsidRPr="00AA5833" w14:paraId="3882B29A"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0813BDAB"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4.</w:t>
            </w:r>
          </w:p>
        </w:tc>
        <w:tc>
          <w:tcPr>
            <w:tcW w:w="2264" w:type="dxa"/>
            <w:tcBorders>
              <w:top w:val="nil"/>
              <w:left w:val="nil"/>
              <w:bottom w:val="single" w:sz="8" w:space="0" w:color="auto"/>
              <w:right w:val="single" w:sz="8" w:space="0" w:color="auto"/>
            </w:tcBorders>
            <w:shd w:val="clear" w:color="000000" w:fill="D9D9D9"/>
            <w:vAlign w:val="center"/>
            <w:hideMark/>
          </w:tcPr>
          <w:p w14:paraId="785FEF2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Радиопредавания</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1367C26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43</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0E99CBA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19</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3D267E2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08C2E97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w:t>
            </w:r>
          </w:p>
        </w:tc>
      </w:tr>
      <w:tr w:rsidR="00533926" w:rsidRPr="00AA5833" w14:paraId="14FF47CD"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090A7EE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5.</w:t>
            </w:r>
          </w:p>
        </w:tc>
        <w:tc>
          <w:tcPr>
            <w:tcW w:w="2264" w:type="dxa"/>
            <w:tcBorders>
              <w:top w:val="nil"/>
              <w:left w:val="nil"/>
              <w:bottom w:val="single" w:sz="8" w:space="0" w:color="auto"/>
              <w:right w:val="single" w:sz="8" w:space="0" w:color="auto"/>
            </w:tcBorders>
            <w:shd w:val="clear" w:color="000000" w:fill="D9D9D9"/>
            <w:vAlign w:val="center"/>
            <w:hideMark/>
          </w:tcPr>
          <w:p w14:paraId="72B376A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Видеоклипове</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69DACAF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09AA374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6217AA2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40E7BB0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r>
      <w:tr w:rsidR="00533926" w:rsidRPr="00AA5833" w14:paraId="30BE35CE"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20723CC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6.</w:t>
            </w:r>
          </w:p>
        </w:tc>
        <w:tc>
          <w:tcPr>
            <w:tcW w:w="2264" w:type="dxa"/>
            <w:tcBorders>
              <w:top w:val="nil"/>
              <w:left w:val="nil"/>
              <w:bottom w:val="single" w:sz="8" w:space="0" w:color="auto"/>
              <w:right w:val="single" w:sz="8" w:space="0" w:color="auto"/>
            </w:tcBorders>
            <w:shd w:val="clear" w:color="000000" w:fill="D9D9D9"/>
            <w:vAlign w:val="center"/>
            <w:hideMark/>
          </w:tcPr>
          <w:p w14:paraId="59930FD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Аудиоклипове</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79D45C2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62DF962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36908F0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62CB6A6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w:t>
            </w:r>
          </w:p>
        </w:tc>
      </w:tr>
      <w:tr w:rsidR="00533926" w:rsidRPr="00AA5833" w14:paraId="12C038EC"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0C22FCC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7.</w:t>
            </w:r>
          </w:p>
        </w:tc>
        <w:tc>
          <w:tcPr>
            <w:tcW w:w="2264" w:type="dxa"/>
            <w:tcBorders>
              <w:top w:val="nil"/>
              <w:left w:val="nil"/>
              <w:bottom w:val="single" w:sz="8" w:space="0" w:color="auto"/>
              <w:right w:val="single" w:sz="8" w:space="0" w:color="auto"/>
            </w:tcBorders>
            <w:shd w:val="clear" w:color="000000" w:fill="D9D9D9"/>
            <w:vAlign w:val="center"/>
            <w:hideMark/>
          </w:tcPr>
          <w:p w14:paraId="35470E3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Публикации в пресата</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01F9443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83</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52BB1C4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6F393E1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48</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020EF45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93</w:t>
            </w:r>
          </w:p>
        </w:tc>
      </w:tr>
      <w:tr w:rsidR="00533926" w:rsidRPr="00AA5833" w14:paraId="52FDCC9F"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7354799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8.</w:t>
            </w:r>
          </w:p>
        </w:tc>
        <w:tc>
          <w:tcPr>
            <w:tcW w:w="2264" w:type="dxa"/>
            <w:tcBorders>
              <w:top w:val="nil"/>
              <w:left w:val="nil"/>
              <w:bottom w:val="single" w:sz="8" w:space="0" w:color="auto"/>
              <w:right w:val="single" w:sz="8" w:space="0" w:color="auto"/>
            </w:tcBorders>
            <w:shd w:val="clear" w:color="000000" w:fill="D9D9D9"/>
            <w:vAlign w:val="center"/>
            <w:hideMark/>
          </w:tcPr>
          <w:p w14:paraId="0ACAA8F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Интернет публикации</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1BC114A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211</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5941127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122</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306F59D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170</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3AD686C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204</w:t>
            </w:r>
          </w:p>
        </w:tc>
      </w:tr>
      <w:tr w:rsidR="00533926" w:rsidRPr="00AA5833" w14:paraId="66BA0A10" w14:textId="77777777" w:rsidTr="00533926">
        <w:trPr>
          <w:trHeight w:val="31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6D9FD66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lastRenderedPageBreak/>
              <w:t>9.</w:t>
            </w:r>
          </w:p>
        </w:tc>
        <w:tc>
          <w:tcPr>
            <w:tcW w:w="2264" w:type="dxa"/>
            <w:tcBorders>
              <w:top w:val="nil"/>
              <w:left w:val="nil"/>
              <w:bottom w:val="single" w:sz="8" w:space="0" w:color="auto"/>
              <w:right w:val="single" w:sz="8" w:space="0" w:color="auto"/>
            </w:tcBorders>
            <w:shd w:val="clear" w:color="000000" w:fill="D9D9D9"/>
            <w:vAlign w:val="center"/>
            <w:hideMark/>
          </w:tcPr>
          <w:p w14:paraId="27F1748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xml:space="preserve">Пресконференции </w:t>
            </w:r>
          </w:p>
        </w:tc>
        <w:tc>
          <w:tcPr>
            <w:tcW w:w="1993" w:type="dxa"/>
            <w:gridSpan w:val="3"/>
            <w:tcBorders>
              <w:top w:val="single" w:sz="8" w:space="0" w:color="auto"/>
              <w:left w:val="nil"/>
              <w:bottom w:val="single" w:sz="8" w:space="0" w:color="auto"/>
              <w:right w:val="single" w:sz="8" w:space="0" w:color="000000"/>
            </w:tcBorders>
            <w:shd w:val="clear" w:color="000000" w:fill="FFFFFF"/>
            <w:vAlign w:val="center"/>
          </w:tcPr>
          <w:p w14:paraId="750F442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65B6EE2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35DB216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329DB1C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r>
      <w:tr w:rsidR="00533926" w:rsidRPr="00AA5833" w14:paraId="7DD9DD38" w14:textId="77777777" w:rsidTr="00533926">
        <w:trPr>
          <w:trHeight w:val="52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0A2101C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10.</w:t>
            </w:r>
          </w:p>
        </w:tc>
        <w:tc>
          <w:tcPr>
            <w:tcW w:w="2264" w:type="dxa"/>
            <w:tcBorders>
              <w:top w:val="nil"/>
              <w:left w:val="nil"/>
              <w:bottom w:val="single" w:sz="8" w:space="0" w:color="auto"/>
              <w:right w:val="single" w:sz="4" w:space="0" w:color="auto"/>
            </w:tcBorders>
            <w:shd w:val="clear" w:color="000000" w:fill="D9D9D9"/>
            <w:vAlign w:val="center"/>
            <w:hideMark/>
          </w:tcPr>
          <w:p w14:paraId="2F4EBDD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ЗОМ - брой заглавия/тираж</w:t>
            </w:r>
          </w:p>
        </w:tc>
        <w:tc>
          <w:tcPr>
            <w:tcW w:w="1029" w:type="dxa"/>
            <w:tcBorders>
              <w:top w:val="nil"/>
              <w:left w:val="single" w:sz="4" w:space="0" w:color="auto"/>
              <w:bottom w:val="single" w:sz="8" w:space="0" w:color="auto"/>
              <w:right w:val="nil"/>
            </w:tcBorders>
            <w:shd w:val="clear" w:color="000000" w:fill="FFFFFF"/>
            <w:vAlign w:val="center"/>
          </w:tcPr>
          <w:p w14:paraId="7AD6771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w:t>
            </w:r>
          </w:p>
        </w:tc>
        <w:tc>
          <w:tcPr>
            <w:tcW w:w="227" w:type="dxa"/>
            <w:tcBorders>
              <w:top w:val="nil"/>
              <w:left w:val="nil"/>
              <w:bottom w:val="single" w:sz="8" w:space="0" w:color="auto"/>
              <w:right w:val="single" w:sz="4" w:space="0" w:color="auto"/>
            </w:tcBorders>
            <w:shd w:val="clear" w:color="000000" w:fill="FFFFFF"/>
            <w:vAlign w:val="center"/>
          </w:tcPr>
          <w:p w14:paraId="10A382D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737" w:type="dxa"/>
            <w:tcBorders>
              <w:top w:val="nil"/>
              <w:left w:val="single" w:sz="4" w:space="0" w:color="auto"/>
              <w:bottom w:val="single" w:sz="8" w:space="0" w:color="auto"/>
              <w:right w:val="single" w:sz="8" w:space="0" w:color="auto"/>
            </w:tcBorders>
            <w:shd w:val="clear" w:color="000000" w:fill="FFFFFF"/>
            <w:vAlign w:val="center"/>
          </w:tcPr>
          <w:p w14:paraId="6BDFA26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4000</w:t>
            </w:r>
          </w:p>
        </w:tc>
        <w:tc>
          <w:tcPr>
            <w:tcW w:w="867" w:type="dxa"/>
            <w:tcBorders>
              <w:top w:val="nil"/>
              <w:left w:val="nil"/>
              <w:bottom w:val="single" w:sz="8" w:space="0" w:color="auto"/>
              <w:right w:val="single" w:sz="4" w:space="0" w:color="auto"/>
            </w:tcBorders>
            <w:shd w:val="clear" w:color="000000" w:fill="FFFFFF"/>
            <w:vAlign w:val="center"/>
          </w:tcPr>
          <w:p w14:paraId="7D667F5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240" w:type="dxa"/>
            <w:tcBorders>
              <w:top w:val="nil"/>
              <w:left w:val="single" w:sz="4" w:space="0" w:color="auto"/>
              <w:bottom w:val="single" w:sz="8" w:space="0" w:color="auto"/>
              <w:right w:val="nil"/>
            </w:tcBorders>
            <w:shd w:val="clear" w:color="000000" w:fill="FFFFFF"/>
            <w:vAlign w:val="center"/>
          </w:tcPr>
          <w:p w14:paraId="60302DB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847" w:type="dxa"/>
            <w:tcBorders>
              <w:top w:val="nil"/>
              <w:left w:val="nil"/>
              <w:bottom w:val="single" w:sz="8" w:space="0" w:color="auto"/>
              <w:right w:val="single" w:sz="8" w:space="0" w:color="auto"/>
            </w:tcBorders>
            <w:shd w:val="clear" w:color="000000" w:fill="FFFFFF"/>
            <w:vAlign w:val="center"/>
          </w:tcPr>
          <w:p w14:paraId="3356516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p>
        </w:tc>
        <w:tc>
          <w:tcPr>
            <w:tcW w:w="924" w:type="dxa"/>
            <w:gridSpan w:val="2"/>
            <w:tcBorders>
              <w:top w:val="nil"/>
              <w:left w:val="nil"/>
              <w:bottom w:val="single" w:sz="8" w:space="0" w:color="auto"/>
              <w:right w:val="nil"/>
            </w:tcBorders>
            <w:shd w:val="clear" w:color="000000" w:fill="FFFFFF"/>
            <w:vAlign w:val="center"/>
          </w:tcPr>
          <w:p w14:paraId="117D64F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w:t>
            </w:r>
          </w:p>
        </w:tc>
        <w:tc>
          <w:tcPr>
            <w:tcW w:w="917" w:type="dxa"/>
            <w:tcBorders>
              <w:top w:val="nil"/>
              <w:left w:val="single" w:sz="8" w:space="0" w:color="auto"/>
              <w:bottom w:val="single" w:sz="8" w:space="0" w:color="auto"/>
              <w:right w:val="nil"/>
            </w:tcBorders>
            <w:shd w:val="clear" w:color="000000" w:fill="FFFFFF"/>
            <w:vAlign w:val="center"/>
          </w:tcPr>
          <w:p w14:paraId="1296FFF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1160</w:t>
            </w:r>
          </w:p>
        </w:tc>
        <w:tc>
          <w:tcPr>
            <w:tcW w:w="1248" w:type="dxa"/>
            <w:gridSpan w:val="2"/>
            <w:tcBorders>
              <w:top w:val="nil"/>
              <w:left w:val="single" w:sz="8" w:space="0" w:color="auto"/>
              <w:bottom w:val="single" w:sz="8" w:space="0" w:color="auto"/>
              <w:right w:val="nil"/>
            </w:tcBorders>
            <w:shd w:val="clear" w:color="000000" w:fill="FFFFFF"/>
            <w:vAlign w:val="center"/>
          </w:tcPr>
          <w:p w14:paraId="45E6955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w:t>
            </w:r>
          </w:p>
        </w:tc>
        <w:tc>
          <w:tcPr>
            <w:tcW w:w="917" w:type="dxa"/>
            <w:tcBorders>
              <w:top w:val="nil"/>
              <w:left w:val="single" w:sz="8" w:space="0" w:color="auto"/>
              <w:bottom w:val="single" w:sz="8" w:space="0" w:color="auto"/>
              <w:right w:val="single" w:sz="4" w:space="0" w:color="auto"/>
            </w:tcBorders>
            <w:shd w:val="clear" w:color="000000" w:fill="FFFFFF"/>
            <w:vAlign w:val="center"/>
          </w:tcPr>
          <w:p w14:paraId="39FB6EE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3000</w:t>
            </w:r>
          </w:p>
        </w:tc>
      </w:tr>
      <w:tr w:rsidR="00533926" w:rsidRPr="00AA5833" w14:paraId="37024E90" w14:textId="77777777" w:rsidTr="00533926">
        <w:trPr>
          <w:trHeight w:val="750"/>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2A08969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11.</w:t>
            </w:r>
          </w:p>
        </w:tc>
        <w:tc>
          <w:tcPr>
            <w:tcW w:w="2264" w:type="dxa"/>
            <w:tcBorders>
              <w:top w:val="nil"/>
              <w:left w:val="nil"/>
              <w:bottom w:val="single" w:sz="8" w:space="0" w:color="auto"/>
              <w:right w:val="single" w:sz="4" w:space="0" w:color="auto"/>
            </w:tcBorders>
            <w:shd w:val="clear" w:color="000000" w:fill="D9D9D9"/>
            <w:vAlign w:val="center"/>
            <w:hideMark/>
          </w:tcPr>
          <w:p w14:paraId="26870D2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ЗОМ - брой разпространени материали</w:t>
            </w:r>
          </w:p>
        </w:tc>
        <w:tc>
          <w:tcPr>
            <w:tcW w:w="1993" w:type="dxa"/>
            <w:gridSpan w:val="3"/>
            <w:tcBorders>
              <w:top w:val="single" w:sz="8" w:space="0" w:color="auto"/>
              <w:left w:val="single" w:sz="4" w:space="0" w:color="auto"/>
              <w:bottom w:val="single" w:sz="8" w:space="0" w:color="auto"/>
              <w:right w:val="single" w:sz="8" w:space="0" w:color="000000"/>
            </w:tcBorders>
            <w:shd w:val="clear" w:color="000000" w:fill="FFFFFF"/>
            <w:vAlign w:val="center"/>
          </w:tcPr>
          <w:p w14:paraId="2611792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8576</w:t>
            </w:r>
          </w:p>
        </w:tc>
        <w:tc>
          <w:tcPr>
            <w:tcW w:w="1954" w:type="dxa"/>
            <w:gridSpan w:val="3"/>
            <w:tcBorders>
              <w:top w:val="single" w:sz="8" w:space="0" w:color="auto"/>
              <w:left w:val="nil"/>
              <w:bottom w:val="single" w:sz="8" w:space="0" w:color="auto"/>
              <w:right w:val="single" w:sz="8" w:space="0" w:color="000000"/>
            </w:tcBorders>
            <w:shd w:val="clear" w:color="000000" w:fill="FFFFFF"/>
            <w:vAlign w:val="center"/>
          </w:tcPr>
          <w:p w14:paraId="07608B2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6535</w:t>
            </w:r>
          </w:p>
        </w:tc>
        <w:tc>
          <w:tcPr>
            <w:tcW w:w="1841" w:type="dxa"/>
            <w:gridSpan w:val="3"/>
            <w:tcBorders>
              <w:top w:val="single" w:sz="8" w:space="0" w:color="auto"/>
              <w:left w:val="nil"/>
              <w:bottom w:val="single" w:sz="8" w:space="0" w:color="auto"/>
              <w:right w:val="single" w:sz="8" w:space="0" w:color="000000"/>
            </w:tcBorders>
            <w:shd w:val="clear" w:color="000000" w:fill="FFFFFF"/>
            <w:vAlign w:val="center"/>
          </w:tcPr>
          <w:p w14:paraId="1DC8334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6788</w:t>
            </w:r>
          </w:p>
        </w:tc>
        <w:tc>
          <w:tcPr>
            <w:tcW w:w="2165" w:type="dxa"/>
            <w:gridSpan w:val="3"/>
            <w:tcBorders>
              <w:top w:val="single" w:sz="8" w:space="0" w:color="auto"/>
              <w:left w:val="nil"/>
              <w:bottom w:val="single" w:sz="8" w:space="0" w:color="auto"/>
              <w:right w:val="single" w:sz="8" w:space="0" w:color="000000"/>
            </w:tcBorders>
            <w:shd w:val="clear" w:color="000000" w:fill="FFFFFF"/>
            <w:vAlign w:val="center"/>
          </w:tcPr>
          <w:p w14:paraId="24644D9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10851</w:t>
            </w:r>
          </w:p>
        </w:tc>
      </w:tr>
      <w:tr w:rsidR="00533926" w:rsidRPr="00AA5833" w14:paraId="21A8856A" w14:textId="77777777" w:rsidTr="00533926">
        <w:trPr>
          <w:trHeight w:val="79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6E8CAB93"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 </w:t>
            </w:r>
          </w:p>
        </w:tc>
        <w:tc>
          <w:tcPr>
            <w:tcW w:w="2264" w:type="dxa"/>
            <w:tcBorders>
              <w:top w:val="nil"/>
              <w:left w:val="nil"/>
              <w:bottom w:val="single" w:sz="8" w:space="0" w:color="auto"/>
              <w:right w:val="single" w:sz="8" w:space="0" w:color="auto"/>
            </w:tcBorders>
            <w:shd w:val="clear" w:color="000000" w:fill="D9D9D9"/>
            <w:vAlign w:val="center"/>
            <w:hideMark/>
          </w:tcPr>
          <w:p w14:paraId="259F084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Обучителни дейности, реализирани от РЗИ:</w:t>
            </w:r>
          </w:p>
        </w:tc>
        <w:tc>
          <w:tcPr>
            <w:tcW w:w="1029" w:type="dxa"/>
            <w:tcBorders>
              <w:top w:val="nil"/>
              <w:left w:val="nil"/>
              <w:bottom w:val="single" w:sz="4" w:space="0" w:color="auto"/>
              <w:right w:val="single" w:sz="8" w:space="0" w:color="auto"/>
            </w:tcBorders>
            <w:shd w:val="clear" w:color="000000" w:fill="D9D9D9"/>
            <w:vAlign w:val="center"/>
            <w:hideMark/>
          </w:tcPr>
          <w:p w14:paraId="610CAE8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964" w:type="dxa"/>
            <w:gridSpan w:val="2"/>
            <w:tcBorders>
              <w:top w:val="nil"/>
              <w:left w:val="nil"/>
              <w:bottom w:val="single" w:sz="4" w:space="0" w:color="auto"/>
              <w:right w:val="single" w:sz="8" w:space="0" w:color="auto"/>
            </w:tcBorders>
            <w:shd w:val="clear" w:color="000000" w:fill="D9D9D9"/>
            <w:vAlign w:val="center"/>
            <w:hideMark/>
          </w:tcPr>
          <w:p w14:paraId="3E8F859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867" w:type="dxa"/>
            <w:tcBorders>
              <w:top w:val="nil"/>
              <w:left w:val="nil"/>
              <w:bottom w:val="single" w:sz="4" w:space="0" w:color="auto"/>
              <w:right w:val="single" w:sz="8" w:space="0" w:color="auto"/>
            </w:tcBorders>
            <w:shd w:val="clear" w:color="000000" w:fill="D9D9D9"/>
            <w:vAlign w:val="center"/>
            <w:hideMark/>
          </w:tcPr>
          <w:p w14:paraId="2305064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87" w:type="dxa"/>
            <w:gridSpan w:val="2"/>
            <w:tcBorders>
              <w:top w:val="nil"/>
              <w:left w:val="nil"/>
              <w:bottom w:val="single" w:sz="4" w:space="0" w:color="auto"/>
              <w:right w:val="single" w:sz="8" w:space="0" w:color="auto"/>
            </w:tcBorders>
            <w:shd w:val="clear" w:color="000000" w:fill="D9D9D9"/>
            <w:vAlign w:val="center"/>
            <w:hideMark/>
          </w:tcPr>
          <w:p w14:paraId="12CF183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764" w:type="dxa"/>
            <w:tcBorders>
              <w:top w:val="nil"/>
              <w:left w:val="nil"/>
              <w:bottom w:val="single" w:sz="4" w:space="0" w:color="auto"/>
              <w:right w:val="single" w:sz="8" w:space="0" w:color="auto"/>
            </w:tcBorders>
            <w:shd w:val="clear" w:color="000000" w:fill="D9D9D9"/>
            <w:vAlign w:val="center"/>
            <w:hideMark/>
          </w:tcPr>
          <w:p w14:paraId="2DE05C2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gridSpan w:val="2"/>
            <w:tcBorders>
              <w:top w:val="nil"/>
              <w:left w:val="nil"/>
              <w:bottom w:val="single" w:sz="4" w:space="0" w:color="auto"/>
              <w:right w:val="single" w:sz="8" w:space="0" w:color="auto"/>
            </w:tcBorders>
            <w:shd w:val="clear" w:color="000000" w:fill="D9D9D9"/>
            <w:vAlign w:val="center"/>
            <w:hideMark/>
          </w:tcPr>
          <w:p w14:paraId="133B44A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1088" w:type="dxa"/>
            <w:tcBorders>
              <w:top w:val="nil"/>
              <w:left w:val="nil"/>
              <w:bottom w:val="single" w:sz="4" w:space="0" w:color="auto"/>
              <w:right w:val="single" w:sz="8" w:space="0" w:color="auto"/>
            </w:tcBorders>
            <w:shd w:val="clear" w:color="000000" w:fill="D9D9D9"/>
            <w:vAlign w:val="center"/>
            <w:hideMark/>
          </w:tcPr>
          <w:p w14:paraId="63C51B9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gridSpan w:val="2"/>
            <w:tcBorders>
              <w:top w:val="nil"/>
              <w:left w:val="nil"/>
              <w:bottom w:val="single" w:sz="4" w:space="0" w:color="auto"/>
              <w:right w:val="single" w:sz="8" w:space="0" w:color="auto"/>
            </w:tcBorders>
            <w:shd w:val="clear" w:color="000000" w:fill="D9D9D9"/>
            <w:vAlign w:val="center"/>
            <w:hideMark/>
          </w:tcPr>
          <w:p w14:paraId="1BBFA1A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r>
      <w:tr w:rsidR="00533926" w:rsidRPr="00AA5833" w14:paraId="7958C622" w14:textId="77777777" w:rsidTr="00533926">
        <w:trPr>
          <w:trHeight w:val="420"/>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59130AD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12.</w:t>
            </w:r>
          </w:p>
        </w:tc>
        <w:tc>
          <w:tcPr>
            <w:tcW w:w="2264" w:type="dxa"/>
            <w:tcBorders>
              <w:top w:val="nil"/>
              <w:left w:val="nil"/>
              <w:bottom w:val="single" w:sz="8" w:space="0" w:color="auto"/>
              <w:right w:val="single" w:sz="8" w:space="0" w:color="auto"/>
            </w:tcBorders>
            <w:shd w:val="clear" w:color="000000" w:fill="D9D9D9"/>
            <w:vAlign w:val="center"/>
            <w:hideMark/>
          </w:tcPr>
          <w:p w14:paraId="4A95054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Курсове</w:t>
            </w:r>
          </w:p>
        </w:tc>
        <w:tc>
          <w:tcPr>
            <w:tcW w:w="1029" w:type="dxa"/>
            <w:tcBorders>
              <w:top w:val="single" w:sz="4" w:space="0" w:color="auto"/>
              <w:left w:val="single" w:sz="4" w:space="0" w:color="auto"/>
              <w:bottom w:val="single" w:sz="8" w:space="0" w:color="auto"/>
              <w:right w:val="single" w:sz="8" w:space="0" w:color="auto"/>
            </w:tcBorders>
            <w:shd w:val="clear" w:color="000000" w:fill="FFFFFF"/>
            <w:vAlign w:val="center"/>
          </w:tcPr>
          <w:p w14:paraId="51F8165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c>
          <w:tcPr>
            <w:tcW w:w="964" w:type="dxa"/>
            <w:gridSpan w:val="2"/>
            <w:tcBorders>
              <w:top w:val="single" w:sz="4" w:space="0" w:color="auto"/>
              <w:left w:val="nil"/>
              <w:bottom w:val="single" w:sz="8" w:space="0" w:color="auto"/>
              <w:right w:val="single" w:sz="8" w:space="0" w:color="auto"/>
            </w:tcBorders>
            <w:shd w:val="clear" w:color="000000" w:fill="FFFFFF"/>
            <w:vAlign w:val="center"/>
          </w:tcPr>
          <w:p w14:paraId="357EAFA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31</w:t>
            </w:r>
          </w:p>
        </w:tc>
        <w:tc>
          <w:tcPr>
            <w:tcW w:w="867" w:type="dxa"/>
            <w:tcBorders>
              <w:top w:val="single" w:sz="4" w:space="0" w:color="auto"/>
              <w:left w:val="nil"/>
              <w:bottom w:val="single" w:sz="8" w:space="0" w:color="auto"/>
              <w:right w:val="single" w:sz="8" w:space="0" w:color="auto"/>
            </w:tcBorders>
            <w:shd w:val="clear" w:color="000000" w:fill="FFFFFF"/>
            <w:vAlign w:val="center"/>
          </w:tcPr>
          <w:p w14:paraId="5825402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87" w:type="dxa"/>
            <w:gridSpan w:val="2"/>
            <w:tcBorders>
              <w:top w:val="single" w:sz="4" w:space="0" w:color="auto"/>
              <w:left w:val="nil"/>
              <w:bottom w:val="single" w:sz="8" w:space="0" w:color="auto"/>
              <w:right w:val="single" w:sz="8" w:space="0" w:color="auto"/>
            </w:tcBorders>
            <w:shd w:val="clear" w:color="000000" w:fill="FFFFFF"/>
            <w:vAlign w:val="center"/>
          </w:tcPr>
          <w:p w14:paraId="281C0C7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764" w:type="dxa"/>
            <w:tcBorders>
              <w:top w:val="single" w:sz="4" w:space="0" w:color="auto"/>
              <w:left w:val="nil"/>
              <w:bottom w:val="single" w:sz="8" w:space="0" w:color="auto"/>
              <w:right w:val="single" w:sz="8" w:space="0" w:color="auto"/>
            </w:tcBorders>
            <w:shd w:val="clear" w:color="000000" w:fill="FFFFFF"/>
            <w:vAlign w:val="center"/>
          </w:tcPr>
          <w:p w14:paraId="5717E0D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4A19723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0</w:t>
            </w:r>
          </w:p>
        </w:tc>
        <w:tc>
          <w:tcPr>
            <w:tcW w:w="1088" w:type="dxa"/>
            <w:tcBorders>
              <w:top w:val="single" w:sz="4" w:space="0" w:color="auto"/>
              <w:left w:val="nil"/>
              <w:bottom w:val="single" w:sz="8" w:space="0" w:color="auto"/>
              <w:right w:val="single" w:sz="8" w:space="0" w:color="auto"/>
            </w:tcBorders>
            <w:shd w:val="clear" w:color="000000" w:fill="FFFFFF"/>
            <w:vAlign w:val="center"/>
          </w:tcPr>
          <w:p w14:paraId="4D40A21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4396557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68</w:t>
            </w:r>
          </w:p>
        </w:tc>
      </w:tr>
      <w:tr w:rsidR="00533926" w:rsidRPr="00AA5833" w14:paraId="603E4447" w14:textId="77777777" w:rsidTr="00533926">
        <w:trPr>
          <w:trHeight w:val="40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5DB610B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13.</w:t>
            </w:r>
          </w:p>
        </w:tc>
        <w:tc>
          <w:tcPr>
            <w:tcW w:w="2264" w:type="dxa"/>
            <w:tcBorders>
              <w:top w:val="nil"/>
              <w:left w:val="nil"/>
              <w:bottom w:val="single" w:sz="8" w:space="0" w:color="auto"/>
              <w:right w:val="nil"/>
            </w:tcBorders>
            <w:shd w:val="clear" w:color="000000" w:fill="D9D9D9"/>
            <w:vAlign w:val="center"/>
            <w:hideMark/>
          </w:tcPr>
          <w:p w14:paraId="2CAD35B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Семинари</w:t>
            </w:r>
          </w:p>
        </w:tc>
        <w:tc>
          <w:tcPr>
            <w:tcW w:w="1029" w:type="dxa"/>
            <w:tcBorders>
              <w:top w:val="nil"/>
              <w:left w:val="single" w:sz="4" w:space="0" w:color="auto"/>
              <w:bottom w:val="single" w:sz="8" w:space="0" w:color="auto"/>
              <w:right w:val="single" w:sz="8" w:space="0" w:color="auto"/>
            </w:tcBorders>
            <w:shd w:val="clear" w:color="000000" w:fill="FFFFFF"/>
            <w:vAlign w:val="center"/>
          </w:tcPr>
          <w:p w14:paraId="0BF3A95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34</w:t>
            </w:r>
          </w:p>
        </w:tc>
        <w:tc>
          <w:tcPr>
            <w:tcW w:w="964" w:type="dxa"/>
            <w:gridSpan w:val="2"/>
            <w:tcBorders>
              <w:top w:val="nil"/>
              <w:left w:val="nil"/>
              <w:bottom w:val="single" w:sz="8" w:space="0" w:color="auto"/>
              <w:right w:val="single" w:sz="8" w:space="0" w:color="auto"/>
            </w:tcBorders>
            <w:shd w:val="clear" w:color="000000" w:fill="FFFFFF"/>
            <w:vAlign w:val="center"/>
          </w:tcPr>
          <w:p w14:paraId="1DB551D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1138</w:t>
            </w:r>
          </w:p>
        </w:tc>
        <w:tc>
          <w:tcPr>
            <w:tcW w:w="867" w:type="dxa"/>
            <w:tcBorders>
              <w:top w:val="nil"/>
              <w:left w:val="nil"/>
              <w:bottom w:val="single" w:sz="8" w:space="0" w:color="auto"/>
              <w:right w:val="single" w:sz="8" w:space="0" w:color="auto"/>
            </w:tcBorders>
            <w:shd w:val="clear" w:color="000000" w:fill="FFFFFF"/>
            <w:vAlign w:val="center"/>
          </w:tcPr>
          <w:p w14:paraId="5011850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32</w:t>
            </w:r>
          </w:p>
        </w:tc>
        <w:tc>
          <w:tcPr>
            <w:tcW w:w="1087" w:type="dxa"/>
            <w:gridSpan w:val="2"/>
            <w:tcBorders>
              <w:top w:val="nil"/>
              <w:left w:val="nil"/>
              <w:bottom w:val="single" w:sz="8" w:space="0" w:color="auto"/>
              <w:right w:val="single" w:sz="8" w:space="0" w:color="auto"/>
            </w:tcBorders>
            <w:shd w:val="clear" w:color="000000" w:fill="FFFFFF"/>
            <w:vAlign w:val="center"/>
          </w:tcPr>
          <w:p w14:paraId="4B28B11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888</w:t>
            </w:r>
          </w:p>
        </w:tc>
        <w:tc>
          <w:tcPr>
            <w:tcW w:w="764" w:type="dxa"/>
            <w:tcBorders>
              <w:top w:val="nil"/>
              <w:left w:val="nil"/>
              <w:bottom w:val="single" w:sz="8" w:space="0" w:color="auto"/>
              <w:right w:val="single" w:sz="8" w:space="0" w:color="auto"/>
            </w:tcBorders>
            <w:shd w:val="clear" w:color="000000" w:fill="FFFFFF"/>
            <w:vAlign w:val="center"/>
          </w:tcPr>
          <w:p w14:paraId="731F640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w:t>
            </w:r>
          </w:p>
        </w:tc>
        <w:tc>
          <w:tcPr>
            <w:tcW w:w="1077" w:type="dxa"/>
            <w:gridSpan w:val="2"/>
            <w:tcBorders>
              <w:top w:val="nil"/>
              <w:left w:val="nil"/>
              <w:bottom w:val="single" w:sz="8" w:space="0" w:color="auto"/>
              <w:right w:val="single" w:sz="8" w:space="0" w:color="auto"/>
            </w:tcBorders>
            <w:shd w:val="clear" w:color="000000" w:fill="FFFFFF"/>
            <w:vAlign w:val="center"/>
          </w:tcPr>
          <w:p w14:paraId="164D26C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680</w:t>
            </w:r>
          </w:p>
        </w:tc>
        <w:tc>
          <w:tcPr>
            <w:tcW w:w="1088" w:type="dxa"/>
            <w:tcBorders>
              <w:top w:val="nil"/>
              <w:left w:val="nil"/>
              <w:bottom w:val="single" w:sz="8" w:space="0" w:color="auto"/>
              <w:right w:val="single" w:sz="8" w:space="0" w:color="auto"/>
            </w:tcBorders>
            <w:shd w:val="clear" w:color="000000" w:fill="FFFFFF"/>
            <w:vAlign w:val="center"/>
          </w:tcPr>
          <w:p w14:paraId="28D4753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45</w:t>
            </w:r>
          </w:p>
        </w:tc>
        <w:tc>
          <w:tcPr>
            <w:tcW w:w="1077" w:type="dxa"/>
            <w:gridSpan w:val="2"/>
            <w:tcBorders>
              <w:top w:val="nil"/>
              <w:left w:val="nil"/>
              <w:bottom w:val="single" w:sz="8" w:space="0" w:color="auto"/>
              <w:right w:val="single" w:sz="8" w:space="0" w:color="auto"/>
            </w:tcBorders>
            <w:shd w:val="clear" w:color="000000" w:fill="FFFFFF"/>
            <w:vAlign w:val="center"/>
          </w:tcPr>
          <w:p w14:paraId="79A23E5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1704</w:t>
            </w:r>
          </w:p>
        </w:tc>
      </w:tr>
      <w:tr w:rsidR="00533926" w:rsidRPr="00AA5833" w14:paraId="1AEA3279" w14:textId="77777777" w:rsidTr="00533926">
        <w:trPr>
          <w:trHeight w:val="450"/>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4FCE4C4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14.</w:t>
            </w:r>
          </w:p>
        </w:tc>
        <w:tc>
          <w:tcPr>
            <w:tcW w:w="2264" w:type="dxa"/>
            <w:tcBorders>
              <w:top w:val="nil"/>
              <w:left w:val="nil"/>
              <w:bottom w:val="single" w:sz="4" w:space="0" w:color="auto"/>
              <w:right w:val="nil"/>
            </w:tcBorders>
            <w:shd w:val="clear" w:color="000000" w:fill="D9D9D9"/>
            <w:vAlign w:val="center"/>
            <w:hideMark/>
          </w:tcPr>
          <w:p w14:paraId="3852377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Лекции/беседи</w:t>
            </w:r>
          </w:p>
        </w:tc>
        <w:tc>
          <w:tcPr>
            <w:tcW w:w="1029" w:type="dxa"/>
            <w:tcBorders>
              <w:top w:val="nil"/>
              <w:left w:val="single" w:sz="4" w:space="0" w:color="auto"/>
              <w:bottom w:val="single" w:sz="8" w:space="0" w:color="auto"/>
              <w:right w:val="single" w:sz="8" w:space="0" w:color="auto"/>
            </w:tcBorders>
            <w:shd w:val="clear" w:color="000000" w:fill="FFFFFF"/>
            <w:vAlign w:val="center"/>
          </w:tcPr>
          <w:p w14:paraId="4527602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165</w:t>
            </w:r>
          </w:p>
        </w:tc>
        <w:tc>
          <w:tcPr>
            <w:tcW w:w="964" w:type="dxa"/>
            <w:gridSpan w:val="2"/>
            <w:tcBorders>
              <w:top w:val="nil"/>
              <w:left w:val="nil"/>
              <w:bottom w:val="single" w:sz="8" w:space="0" w:color="auto"/>
              <w:right w:val="single" w:sz="8" w:space="0" w:color="auto"/>
            </w:tcBorders>
            <w:shd w:val="clear" w:color="000000" w:fill="FFFFFF"/>
            <w:vAlign w:val="center"/>
          </w:tcPr>
          <w:p w14:paraId="12A04BF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1798</w:t>
            </w:r>
          </w:p>
        </w:tc>
        <w:tc>
          <w:tcPr>
            <w:tcW w:w="867" w:type="dxa"/>
            <w:tcBorders>
              <w:top w:val="nil"/>
              <w:left w:val="nil"/>
              <w:bottom w:val="single" w:sz="8" w:space="0" w:color="auto"/>
              <w:right w:val="single" w:sz="8" w:space="0" w:color="auto"/>
            </w:tcBorders>
            <w:shd w:val="clear" w:color="000000" w:fill="FFFFFF"/>
            <w:vAlign w:val="center"/>
          </w:tcPr>
          <w:p w14:paraId="2A8E815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172</w:t>
            </w:r>
          </w:p>
        </w:tc>
        <w:tc>
          <w:tcPr>
            <w:tcW w:w="1087" w:type="dxa"/>
            <w:gridSpan w:val="2"/>
            <w:tcBorders>
              <w:top w:val="nil"/>
              <w:left w:val="nil"/>
              <w:bottom w:val="single" w:sz="8" w:space="0" w:color="auto"/>
              <w:right w:val="single" w:sz="8" w:space="0" w:color="auto"/>
            </w:tcBorders>
            <w:shd w:val="clear" w:color="000000" w:fill="FFFFFF"/>
            <w:vAlign w:val="center"/>
          </w:tcPr>
          <w:p w14:paraId="3803EAA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1670</w:t>
            </w:r>
          </w:p>
        </w:tc>
        <w:tc>
          <w:tcPr>
            <w:tcW w:w="764" w:type="dxa"/>
            <w:tcBorders>
              <w:top w:val="nil"/>
              <w:left w:val="nil"/>
              <w:bottom w:val="single" w:sz="8" w:space="0" w:color="auto"/>
              <w:right w:val="single" w:sz="8" w:space="0" w:color="auto"/>
            </w:tcBorders>
            <w:shd w:val="clear" w:color="000000" w:fill="FFFFFF"/>
            <w:vAlign w:val="center"/>
          </w:tcPr>
          <w:p w14:paraId="094EB80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183</w:t>
            </w:r>
          </w:p>
        </w:tc>
        <w:tc>
          <w:tcPr>
            <w:tcW w:w="1077" w:type="dxa"/>
            <w:gridSpan w:val="2"/>
            <w:tcBorders>
              <w:top w:val="nil"/>
              <w:left w:val="nil"/>
              <w:bottom w:val="single" w:sz="8" w:space="0" w:color="auto"/>
              <w:right w:val="single" w:sz="8" w:space="0" w:color="auto"/>
            </w:tcBorders>
            <w:shd w:val="clear" w:color="000000" w:fill="FFFFFF"/>
            <w:vAlign w:val="center"/>
          </w:tcPr>
          <w:p w14:paraId="2BF7B65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1347</w:t>
            </w:r>
          </w:p>
        </w:tc>
        <w:tc>
          <w:tcPr>
            <w:tcW w:w="1088" w:type="dxa"/>
            <w:tcBorders>
              <w:top w:val="nil"/>
              <w:left w:val="nil"/>
              <w:bottom w:val="single" w:sz="8" w:space="0" w:color="auto"/>
              <w:right w:val="single" w:sz="8" w:space="0" w:color="auto"/>
            </w:tcBorders>
            <w:shd w:val="clear" w:color="000000" w:fill="FFFFFF"/>
            <w:vAlign w:val="center"/>
          </w:tcPr>
          <w:p w14:paraId="591A3B5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180</w:t>
            </w:r>
          </w:p>
        </w:tc>
        <w:tc>
          <w:tcPr>
            <w:tcW w:w="1077" w:type="dxa"/>
            <w:gridSpan w:val="2"/>
            <w:tcBorders>
              <w:top w:val="nil"/>
              <w:left w:val="nil"/>
              <w:bottom w:val="single" w:sz="8" w:space="0" w:color="auto"/>
              <w:right w:val="single" w:sz="8" w:space="0" w:color="auto"/>
            </w:tcBorders>
            <w:shd w:val="clear" w:color="000000" w:fill="FFFFFF"/>
            <w:vAlign w:val="center"/>
          </w:tcPr>
          <w:p w14:paraId="5E631A0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1956</w:t>
            </w:r>
          </w:p>
        </w:tc>
      </w:tr>
      <w:tr w:rsidR="00533926" w:rsidRPr="00AA5833" w14:paraId="1B2E2576" w14:textId="77777777" w:rsidTr="00533926">
        <w:trPr>
          <w:trHeight w:val="390"/>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259EFAB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15.</w:t>
            </w:r>
          </w:p>
        </w:tc>
        <w:tc>
          <w:tcPr>
            <w:tcW w:w="2264" w:type="dxa"/>
            <w:tcBorders>
              <w:top w:val="nil"/>
              <w:left w:val="nil"/>
              <w:bottom w:val="single" w:sz="4" w:space="0" w:color="auto"/>
              <w:right w:val="nil"/>
            </w:tcBorders>
            <w:shd w:val="clear" w:color="000000" w:fill="D9D9D9"/>
            <w:vAlign w:val="center"/>
            <w:hideMark/>
          </w:tcPr>
          <w:p w14:paraId="5F04FF2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Дискусии</w:t>
            </w:r>
          </w:p>
        </w:tc>
        <w:tc>
          <w:tcPr>
            <w:tcW w:w="1029" w:type="dxa"/>
            <w:tcBorders>
              <w:top w:val="nil"/>
              <w:left w:val="single" w:sz="4" w:space="0" w:color="auto"/>
              <w:bottom w:val="single" w:sz="8" w:space="0" w:color="auto"/>
              <w:right w:val="single" w:sz="8" w:space="0" w:color="auto"/>
            </w:tcBorders>
            <w:shd w:val="clear" w:color="000000" w:fill="FFFFFF"/>
            <w:vAlign w:val="center"/>
          </w:tcPr>
          <w:p w14:paraId="5DBCFEE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252</w:t>
            </w:r>
          </w:p>
        </w:tc>
        <w:tc>
          <w:tcPr>
            <w:tcW w:w="964" w:type="dxa"/>
            <w:gridSpan w:val="2"/>
            <w:tcBorders>
              <w:top w:val="nil"/>
              <w:left w:val="nil"/>
              <w:bottom w:val="single" w:sz="8" w:space="0" w:color="auto"/>
              <w:right w:val="single" w:sz="8" w:space="0" w:color="auto"/>
            </w:tcBorders>
            <w:shd w:val="clear" w:color="000000" w:fill="FFFFFF"/>
            <w:vAlign w:val="center"/>
          </w:tcPr>
          <w:p w14:paraId="368C33F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1105</w:t>
            </w:r>
          </w:p>
        </w:tc>
        <w:tc>
          <w:tcPr>
            <w:tcW w:w="867" w:type="dxa"/>
            <w:tcBorders>
              <w:top w:val="nil"/>
              <w:left w:val="nil"/>
              <w:bottom w:val="single" w:sz="8" w:space="0" w:color="auto"/>
              <w:right w:val="single" w:sz="8" w:space="0" w:color="auto"/>
            </w:tcBorders>
            <w:shd w:val="clear" w:color="000000" w:fill="FFFFFF"/>
            <w:vAlign w:val="center"/>
          </w:tcPr>
          <w:p w14:paraId="3BB3811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244</w:t>
            </w:r>
          </w:p>
        </w:tc>
        <w:tc>
          <w:tcPr>
            <w:tcW w:w="1087" w:type="dxa"/>
            <w:gridSpan w:val="2"/>
            <w:tcBorders>
              <w:top w:val="nil"/>
              <w:left w:val="nil"/>
              <w:bottom w:val="single" w:sz="8" w:space="0" w:color="auto"/>
              <w:right w:val="single" w:sz="8" w:space="0" w:color="auto"/>
            </w:tcBorders>
            <w:shd w:val="clear" w:color="000000" w:fill="FFFFFF"/>
            <w:vAlign w:val="center"/>
          </w:tcPr>
          <w:p w14:paraId="706B7BA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801</w:t>
            </w:r>
          </w:p>
        </w:tc>
        <w:tc>
          <w:tcPr>
            <w:tcW w:w="764" w:type="dxa"/>
            <w:tcBorders>
              <w:top w:val="nil"/>
              <w:left w:val="nil"/>
              <w:bottom w:val="single" w:sz="8" w:space="0" w:color="auto"/>
              <w:right w:val="single" w:sz="8" w:space="0" w:color="auto"/>
            </w:tcBorders>
            <w:shd w:val="clear" w:color="000000" w:fill="FFFFFF"/>
            <w:vAlign w:val="center"/>
          </w:tcPr>
          <w:p w14:paraId="6673E05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233</w:t>
            </w:r>
          </w:p>
        </w:tc>
        <w:tc>
          <w:tcPr>
            <w:tcW w:w="1077" w:type="dxa"/>
            <w:gridSpan w:val="2"/>
            <w:tcBorders>
              <w:top w:val="nil"/>
              <w:left w:val="nil"/>
              <w:bottom w:val="single" w:sz="8" w:space="0" w:color="auto"/>
              <w:right w:val="single" w:sz="8" w:space="0" w:color="auto"/>
            </w:tcBorders>
            <w:shd w:val="clear" w:color="000000" w:fill="FFFFFF"/>
            <w:vAlign w:val="center"/>
          </w:tcPr>
          <w:p w14:paraId="0672D48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927</w:t>
            </w:r>
          </w:p>
        </w:tc>
        <w:tc>
          <w:tcPr>
            <w:tcW w:w="1088" w:type="dxa"/>
            <w:tcBorders>
              <w:top w:val="nil"/>
              <w:left w:val="nil"/>
              <w:bottom w:val="single" w:sz="8" w:space="0" w:color="auto"/>
              <w:right w:val="single" w:sz="8" w:space="0" w:color="auto"/>
            </w:tcBorders>
            <w:shd w:val="clear" w:color="000000" w:fill="FFFFFF"/>
            <w:vAlign w:val="center"/>
          </w:tcPr>
          <w:p w14:paraId="7E4F43B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124</w:t>
            </w:r>
          </w:p>
        </w:tc>
        <w:tc>
          <w:tcPr>
            <w:tcW w:w="1077" w:type="dxa"/>
            <w:gridSpan w:val="2"/>
            <w:tcBorders>
              <w:top w:val="nil"/>
              <w:left w:val="nil"/>
              <w:bottom w:val="single" w:sz="8" w:space="0" w:color="auto"/>
              <w:right w:val="single" w:sz="8" w:space="0" w:color="auto"/>
            </w:tcBorders>
            <w:shd w:val="clear" w:color="000000" w:fill="FFFFFF"/>
            <w:vAlign w:val="center"/>
          </w:tcPr>
          <w:p w14:paraId="41E577B5"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832</w:t>
            </w:r>
          </w:p>
        </w:tc>
      </w:tr>
      <w:tr w:rsidR="00533926" w:rsidRPr="00AA5833" w14:paraId="68C0E513" w14:textId="77777777" w:rsidTr="00533926">
        <w:trPr>
          <w:trHeight w:val="420"/>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545FD70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16.</w:t>
            </w:r>
          </w:p>
        </w:tc>
        <w:tc>
          <w:tcPr>
            <w:tcW w:w="2264" w:type="dxa"/>
            <w:tcBorders>
              <w:top w:val="nil"/>
              <w:left w:val="nil"/>
              <w:bottom w:val="single" w:sz="4" w:space="0" w:color="auto"/>
              <w:right w:val="nil"/>
            </w:tcBorders>
            <w:shd w:val="clear" w:color="000000" w:fill="D9D9D9"/>
            <w:vAlign w:val="center"/>
            <w:hideMark/>
          </w:tcPr>
          <w:p w14:paraId="7BC8824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Тренинги</w:t>
            </w:r>
          </w:p>
        </w:tc>
        <w:tc>
          <w:tcPr>
            <w:tcW w:w="1029" w:type="dxa"/>
            <w:tcBorders>
              <w:top w:val="nil"/>
              <w:left w:val="single" w:sz="4" w:space="0" w:color="auto"/>
              <w:bottom w:val="single" w:sz="4" w:space="0" w:color="auto"/>
              <w:right w:val="single" w:sz="8" w:space="0" w:color="auto"/>
            </w:tcBorders>
            <w:shd w:val="clear" w:color="000000" w:fill="FFFFFF"/>
            <w:vAlign w:val="center"/>
          </w:tcPr>
          <w:p w14:paraId="563BB99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w:t>
            </w:r>
          </w:p>
        </w:tc>
        <w:tc>
          <w:tcPr>
            <w:tcW w:w="964" w:type="dxa"/>
            <w:gridSpan w:val="2"/>
            <w:tcBorders>
              <w:top w:val="nil"/>
              <w:left w:val="nil"/>
              <w:bottom w:val="single" w:sz="4" w:space="0" w:color="auto"/>
              <w:right w:val="single" w:sz="8" w:space="0" w:color="auto"/>
            </w:tcBorders>
            <w:shd w:val="clear" w:color="000000" w:fill="FFFFFF"/>
            <w:vAlign w:val="center"/>
          </w:tcPr>
          <w:p w14:paraId="4C4C766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283</w:t>
            </w:r>
          </w:p>
        </w:tc>
        <w:tc>
          <w:tcPr>
            <w:tcW w:w="867" w:type="dxa"/>
            <w:tcBorders>
              <w:top w:val="nil"/>
              <w:left w:val="nil"/>
              <w:bottom w:val="single" w:sz="4" w:space="0" w:color="auto"/>
              <w:right w:val="single" w:sz="8" w:space="0" w:color="auto"/>
            </w:tcBorders>
            <w:shd w:val="clear" w:color="000000" w:fill="FFFFFF"/>
            <w:vAlign w:val="center"/>
          </w:tcPr>
          <w:p w14:paraId="2C673A5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21</w:t>
            </w:r>
          </w:p>
        </w:tc>
        <w:tc>
          <w:tcPr>
            <w:tcW w:w="1087" w:type="dxa"/>
            <w:gridSpan w:val="2"/>
            <w:tcBorders>
              <w:top w:val="nil"/>
              <w:left w:val="nil"/>
              <w:bottom w:val="single" w:sz="4" w:space="0" w:color="auto"/>
              <w:right w:val="single" w:sz="8" w:space="0" w:color="auto"/>
            </w:tcBorders>
            <w:shd w:val="clear" w:color="000000" w:fill="FFFFFF"/>
            <w:vAlign w:val="center"/>
          </w:tcPr>
          <w:p w14:paraId="0F36DFA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185</w:t>
            </w:r>
          </w:p>
        </w:tc>
        <w:tc>
          <w:tcPr>
            <w:tcW w:w="764" w:type="dxa"/>
            <w:tcBorders>
              <w:top w:val="nil"/>
              <w:left w:val="nil"/>
              <w:bottom w:val="single" w:sz="4" w:space="0" w:color="auto"/>
              <w:right w:val="single" w:sz="8" w:space="0" w:color="auto"/>
            </w:tcBorders>
            <w:shd w:val="clear" w:color="000000" w:fill="FFFFFF"/>
            <w:vAlign w:val="center"/>
          </w:tcPr>
          <w:p w14:paraId="472F93D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15</w:t>
            </w:r>
          </w:p>
        </w:tc>
        <w:tc>
          <w:tcPr>
            <w:tcW w:w="1077" w:type="dxa"/>
            <w:gridSpan w:val="2"/>
            <w:tcBorders>
              <w:top w:val="nil"/>
              <w:left w:val="nil"/>
              <w:bottom w:val="single" w:sz="4" w:space="0" w:color="auto"/>
              <w:right w:val="single" w:sz="8" w:space="0" w:color="auto"/>
            </w:tcBorders>
            <w:shd w:val="clear" w:color="000000" w:fill="FFFFFF"/>
            <w:vAlign w:val="center"/>
          </w:tcPr>
          <w:p w14:paraId="0746739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188</w:t>
            </w:r>
          </w:p>
        </w:tc>
        <w:tc>
          <w:tcPr>
            <w:tcW w:w="1088" w:type="dxa"/>
            <w:tcBorders>
              <w:top w:val="nil"/>
              <w:left w:val="nil"/>
              <w:bottom w:val="single" w:sz="4" w:space="0" w:color="auto"/>
              <w:right w:val="single" w:sz="8" w:space="0" w:color="auto"/>
            </w:tcBorders>
            <w:shd w:val="clear" w:color="000000" w:fill="FFFFFF"/>
            <w:vAlign w:val="center"/>
          </w:tcPr>
          <w:p w14:paraId="34CD70A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31</w:t>
            </w:r>
          </w:p>
        </w:tc>
        <w:tc>
          <w:tcPr>
            <w:tcW w:w="1077" w:type="dxa"/>
            <w:gridSpan w:val="2"/>
            <w:tcBorders>
              <w:top w:val="nil"/>
              <w:left w:val="nil"/>
              <w:bottom w:val="single" w:sz="4" w:space="0" w:color="auto"/>
              <w:right w:val="single" w:sz="8" w:space="0" w:color="auto"/>
            </w:tcBorders>
            <w:shd w:val="clear" w:color="000000" w:fill="FFFFFF"/>
            <w:vAlign w:val="center"/>
          </w:tcPr>
          <w:p w14:paraId="48686A4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522</w:t>
            </w:r>
          </w:p>
        </w:tc>
      </w:tr>
      <w:tr w:rsidR="00533926" w:rsidRPr="00AA5833" w14:paraId="405C1459" w14:textId="77777777" w:rsidTr="00533926">
        <w:trPr>
          <w:trHeight w:val="435"/>
          <w:jc w:val="center"/>
        </w:trPr>
        <w:tc>
          <w:tcPr>
            <w:tcW w:w="411" w:type="dxa"/>
            <w:tcBorders>
              <w:top w:val="nil"/>
              <w:left w:val="single" w:sz="8" w:space="0" w:color="auto"/>
              <w:bottom w:val="single" w:sz="8" w:space="0" w:color="auto"/>
              <w:right w:val="single" w:sz="4" w:space="0" w:color="auto"/>
            </w:tcBorders>
            <w:shd w:val="clear" w:color="000000" w:fill="D9D9D9"/>
            <w:vAlign w:val="center"/>
            <w:hideMark/>
          </w:tcPr>
          <w:p w14:paraId="4B21033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17.</w:t>
            </w:r>
          </w:p>
        </w:tc>
        <w:tc>
          <w:tcPr>
            <w:tcW w:w="2264" w:type="dxa"/>
            <w:tcBorders>
              <w:top w:val="single" w:sz="4" w:space="0" w:color="auto"/>
              <w:left w:val="single" w:sz="4" w:space="0" w:color="auto"/>
              <w:bottom w:val="single" w:sz="4" w:space="0" w:color="auto"/>
              <w:right w:val="nil"/>
            </w:tcBorders>
            <w:shd w:val="clear" w:color="000000" w:fill="D9D9D9"/>
            <w:vAlign w:val="center"/>
            <w:hideMark/>
          </w:tcPr>
          <w:p w14:paraId="4C850B6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Видеопокази</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27125D2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51</w:t>
            </w:r>
          </w:p>
        </w:tc>
        <w:tc>
          <w:tcPr>
            <w:tcW w:w="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8BB37A"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601</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tcPr>
          <w:p w14:paraId="387105C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37</w:t>
            </w:r>
          </w:p>
        </w:tc>
        <w:tc>
          <w:tcPr>
            <w:tcW w:w="108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2F8189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673</w:t>
            </w:r>
          </w:p>
        </w:tc>
        <w:tc>
          <w:tcPr>
            <w:tcW w:w="764" w:type="dxa"/>
            <w:tcBorders>
              <w:top w:val="single" w:sz="4" w:space="0" w:color="auto"/>
              <w:left w:val="single" w:sz="4" w:space="0" w:color="auto"/>
              <w:bottom w:val="single" w:sz="4" w:space="0" w:color="auto"/>
              <w:right w:val="single" w:sz="4" w:space="0" w:color="auto"/>
            </w:tcBorders>
            <w:shd w:val="clear" w:color="000000" w:fill="FFFFFF"/>
            <w:vAlign w:val="center"/>
          </w:tcPr>
          <w:p w14:paraId="62D4E6AC"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34</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CA231B3"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445</w:t>
            </w:r>
          </w:p>
        </w:tc>
        <w:tc>
          <w:tcPr>
            <w:tcW w:w="1088" w:type="dxa"/>
            <w:tcBorders>
              <w:top w:val="single" w:sz="4" w:space="0" w:color="auto"/>
              <w:left w:val="single" w:sz="4" w:space="0" w:color="auto"/>
              <w:bottom w:val="single" w:sz="4" w:space="0" w:color="auto"/>
              <w:right w:val="single" w:sz="4" w:space="0" w:color="auto"/>
            </w:tcBorders>
            <w:shd w:val="clear" w:color="000000" w:fill="FFFFFF"/>
            <w:vAlign w:val="center"/>
          </w:tcPr>
          <w:p w14:paraId="15595202"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61</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EABD02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872</w:t>
            </w:r>
          </w:p>
        </w:tc>
      </w:tr>
      <w:tr w:rsidR="00533926" w:rsidRPr="00AA5833" w14:paraId="2838ACB9" w14:textId="77777777" w:rsidTr="00533926">
        <w:trPr>
          <w:trHeight w:val="525"/>
          <w:jc w:val="center"/>
        </w:trPr>
        <w:tc>
          <w:tcPr>
            <w:tcW w:w="411" w:type="dxa"/>
            <w:tcBorders>
              <w:top w:val="nil"/>
              <w:left w:val="single" w:sz="8" w:space="0" w:color="auto"/>
              <w:bottom w:val="single" w:sz="8" w:space="0" w:color="auto"/>
              <w:right w:val="single" w:sz="8" w:space="0" w:color="auto"/>
            </w:tcBorders>
            <w:shd w:val="clear" w:color="000000" w:fill="D9D9D9"/>
            <w:vAlign w:val="center"/>
            <w:hideMark/>
          </w:tcPr>
          <w:p w14:paraId="2785611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18.</w:t>
            </w:r>
          </w:p>
        </w:tc>
        <w:tc>
          <w:tcPr>
            <w:tcW w:w="2264" w:type="dxa"/>
            <w:tcBorders>
              <w:top w:val="single" w:sz="4" w:space="0" w:color="auto"/>
              <w:left w:val="nil"/>
              <w:bottom w:val="single" w:sz="8" w:space="0" w:color="auto"/>
              <w:right w:val="single" w:sz="8" w:space="0" w:color="auto"/>
            </w:tcBorders>
            <w:shd w:val="clear" w:color="000000" w:fill="D9D9D9"/>
            <w:vAlign w:val="center"/>
            <w:hideMark/>
          </w:tcPr>
          <w:p w14:paraId="42E98EA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Индивидуални обучения/консултации</w:t>
            </w:r>
          </w:p>
        </w:tc>
        <w:tc>
          <w:tcPr>
            <w:tcW w:w="1029" w:type="dxa"/>
            <w:tcBorders>
              <w:top w:val="single" w:sz="4" w:space="0" w:color="auto"/>
              <w:left w:val="single" w:sz="4" w:space="0" w:color="auto"/>
              <w:bottom w:val="single" w:sz="8" w:space="0" w:color="auto"/>
              <w:right w:val="single" w:sz="8" w:space="0" w:color="auto"/>
            </w:tcBorders>
            <w:shd w:val="clear" w:color="000000" w:fill="FFFFFF"/>
            <w:vAlign w:val="center"/>
          </w:tcPr>
          <w:p w14:paraId="1511C54E"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1054</w:t>
            </w:r>
          </w:p>
        </w:tc>
        <w:tc>
          <w:tcPr>
            <w:tcW w:w="964" w:type="dxa"/>
            <w:gridSpan w:val="2"/>
            <w:tcBorders>
              <w:top w:val="single" w:sz="4" w:space="0" w:color="auto"/>
              <w:left w:val="nil"/>
              <w:bottom w:val="single" w:sz="8" w:space="0" w:color="auto"/>
              <w:right w:val="single" w:sz="8" w:space="0" w:color="auto"/>
            </w:tcBorders>
            <w:shd w:val="clear" w:color="000000" w:fill="FFFFFF"/>
            <w:vAlign w:val="center"/>
          </w:tcPr>
          <w:p w14:paraId="65CAFCC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1054</w:t>
            </w:r>
          </w:p>
        </w:tc>
        <w:tc>
          <w:tcPr>
            <w:tcW w:w="867" w:type="dxa"/>
            <w:tcBorders>
              <w:top w:val="single" w:sz="4" w:space="0" w:color="auto"/>
              <w:left w:val="nil"/>
              <w:bottom w:val="single" w:sz="8" w:space="0" w:color="auto"/>
              <w:right w:val="single" w:sz="8" w:space="0" w:color="auto"/>
            </w:tcBorders>
            <w:shd w:val="clear" w:color="000000" w:fill="FFFFFF"/>
            <w:vAlign w:val="center"/>
          </w:tcPr>
          <w:p w14:paraId="374F538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272</w:t>
            </w:r>
          </w:p>
        </w:tc>
        <w:tc>
          <w:tcPr>
            <w:tcW w:w="1087" w:type="dxa"/>
            <w:gridSpan w:val="2"/>
            <w:tcBorders>
              <w:top w:val="single" w:sz="4" w:space="0" w:color="auto"/>
              <w:left w:val="nil"/>
              <w:bottom w:val="single" w:sz="8" w:space="0" w:color="auto"/>
              <w:right w:val="single" w:sz="8" w:space="0" w:color="auto"/>
            </w:tcBorders>
            <w:shd w:val="clear" w:color="000000" w:fill="FFFFFF"/>
            <w:vAlign w:val="center"/>
          </w:tcPr>
          <w:p w14:paraId="79442C9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272</w:t>
            </w:r>
          </w:p>
        </w:tc>
        <w:tc>
          <w:tcPr>
            <w:tcW w:w="764" w:type="dxa"/>
            <w:tcBorders>
              <w:top w:val="single" w:sz="4" w:space="0" w:color="auto"/>
              <w:left w:val="nil"/>
              <w:bottom w:val="single" w:sz="8" w:space="0" w:color="auto"/>
              <w:right w:val="single" w:sz="8" w:space="0" w:color="auto"/>
            </w:tcBorders>
            <w:shd w:val="clear" w:color="000000" w:fill="FFFFFF"/>
            <w:vAlign w:val="center"/>
          </w:tcPr>
          <w:p w14:paraId="476FB928"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249</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241F09C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249</w:t>
            </w:r>
          </w:p>
        </w:tc>
        <w:tc>
          <w:tcPr>
            <w:tcW w:w="1088" w:type="dxa"/>
            <w:tcBorders>
              <w:top w:val="single" w:sz="4" w:space="0" w:color="auto"/>
              <w:left w:val="nil"/>
              <w:bottom w:val="single" w:sz="8" w:space="0" w:color="auto"/>
              <w:right w:val="single" w:sz="8" w:space="0" w:color="auto"/>
            </w:tcBorders>
            <w:shd w:val="clear" w:color="000000" w:fill="FFFFFF"/>
            <w:vAlign w:val="center"/>
          </w:tcPr>
          <w:p w14:paraId="55C6CD6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485</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46C254B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485</w:t>
            </w:r>
          </w:p>
        </w:tc>
      </w:tr>
      <w:tr w:rsidR="00533926" w:rsidRPr="00AA5833" w14:paraId="3E528E72" w14:textId="77777777" w:rsidTr="00533926">
        <w:trPr>
          <w:trHeight w:val="405"/>
          <w:jc w:val="center"/>
        </w:trPr>
        <w:tc>
          <w:tcPr>
            <w:tcW w:w="10628" w:type="dxa"/>
            <w:gridSpan w:val="14"/>
            <w:tcBorders>
              <w:top w:val="nil"/>
              <w:left w:val="single" w:sz="8" w:space="0" w:color="auto"/>
              <w:bottom w:val="single" w:sz="4" w:space="0" w:color="auto"/>
              <w:right w:val="single" w:sz="8" w:space="0" w:color="auto"/>
            </w:tcBorders>
            <w:shd w:val="clear" w:color="auto" w:fill="auto"/>
            <w:vAlign w:val="center"/>
            <w:hideMark/>
          </w:tcPr>
          <w:p w14:paraId="2147108C"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Cs/>
                <w:sz w:val="20"/>
                <w:szCs w:val="20"/>
                <w:lang w:eastAsia="bg-BG"/>
              </w:rPr>
              <w:t xml:space="preserve">         </w:t>
            </w:r>
            <w:r w:rsidRPr="00AA5833">
              <w:rPr>
                <w:rFonts w:ascii="Times New Roman" w:eastAsia="Times New Roman" w:hAnsi="Times New Roman" w:cs="Times New Roman"/>
                <w:b/>
                <w:bCs/>
                <w:sz w:val="20"/>
                <w:szCs w:val="20"/>
                <w:lang w:eastAsia="bg-BG"/>
              </w:rPr>
              <w:t>ДРУГИ ДЕЙНОСТИ:</w:t>
            </w:r>
          </w:p>
        </w:tc>
      </w:tr>
      <w:tr w:rsidR="00533926" w:rsidRPr="00AA5833" w14:paraId="54AE5489" w14:textId="77777777" w:rsidTr="00533926">
        <w:trPr>
          <w:trHeight w:val="555"/>
          <w:jc w:val="center"/>
        </w:trPr>
        <w:tc>
          <w:tcPr>
            <w:tcW w:w="4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2F7F1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19</w:t>
            </w:r>
          </w:p>
        </w:tc>
        <w:tc>
          <w:tcPr>
            <w:tcW w:w="22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2C2AE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Масови прояви</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14:paraId="6E763EE0"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20</w:t>
            </w:r>
          </w:p>
        </w:tc>
        <w:tc>
          <w:tcPr>
            <w:tcW w:w="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956FBA1"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2741</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tcPr>
          <w:p w14:paraId="29002AD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16</w:t>
            </w:r>
          </w:p>
        </w:tc>
        <w:tc>
          <w:tcPr>
            <w:tcW w:w="108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77CA9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2510</w:t>
            </w:r>
          </w:p>
        </w:tc>
        <w:tc>
          <w:tcPr>
            <w:tcW w:w="764" w:type="dxa"/>
            <w:tcBorders>
              <w:top w:val="single" w:sz="4" w:space="0" w:color="auto"/>
              <w:left w:val="single" w:sz="4" w:space="0" w:color="auto"/>
              <w:bottom w:val="single" w:sz="4" w:space="0" w:color="auto"/>
              <w:right w:val="single" w:sz="4" w:space="0" w:color="auto"/>
            </w:tcBorders>
            <w:shd w:val="clear" w:color="000000" w:fill="FFFFFF"/>
            <w:vAlign w:val="center"/>
          </w:tcPr>
          <w:p w14:paraId="3CA449A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A9EE4D"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3740</w:t>
            </w:r>
          </w:p>
        </w:tc>
        <w:tc>
          <w:tcPr>
            <w:tcW w:w="1088" w:type="dxa"/>
            <w:tcBorders>
              <w:top w:val="single" w:sz="4" w:space="0" w:color="auto"/>
              <w:left w:val="single" w:sz="4" w:space="0" w:color="auto"/>
              <w:bottom w:val="single" w:sz="4" w:space="0" w:color="auto"/>
              <w:right w:val="single" w:sz="4" w:space="0" w:color="auto"/>
            </w:tcBorders>
            <w:shd w:val="clear" w:color="000000" w:fill="FFFFFF"/>
            <w:vAlign w:val="center"/>
          </w:tcPr>
          <w:p w14:paraId="6327ABA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42</w:t>
            </w:r>
          </w:p>
        </w:tc>
        <w:tc>
          <w:tcPr>
            <w:tcW w:w="107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F121E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3696</w:t>
            </w:r>
          </w:p>
        </w:tc>
      </w:tr>
      <w:tr w:rsidR="00533926" w:rsidRPr="00AA5833" w14:paraId="48831F1D" w14:textId="77777777" w:rsidTr="00533926">
        <w:trPr>
          <w:trHeight w:val="480"/>
          <w:jc w:val="center"/>
        </w:trPr>
        <w:tc>
          <w:tcPr>
            <w:tcW w:w="411"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3EEDFFC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20</w:t>
            </w:r>
          </w:p>
        </w:tc>
        <w:tc>
          <w:tcPr>
            <w:tcW w:w="2264" w:type="dxa"/>
            <w:tcBorders>
              <w:top w:val="single" w:sz="4" w:space="0" w:color="auto"/>
              <w:left w:val="nil"/>
              <w:bottom w:val="single" w:sz="8" w:space="0" w:color="auto"/>
              <w:right w:val="single" w:sz="8" w:space="0" w:color="auto"/>
            </w:tcBorders>
            <w:shd w:val="clear" w:color="000000" w:fill="D9D9D9"/>
            <w:vAlign w:val="center"/>
            <w:hideMark/>
          </w:tcPr>
          <w:p w14:paraId="4B799635"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Проучвания</w:t>
            </w:r>
          </w:p>
        </w:tc>
        <w:tc>
          <w:tcPr>
            <w:tcW w:w="1029" w:type="dxa"/>
            <w:tcBorders>
              <w:top w:val="single" w:sz="4" w:space="0" w:color="auto"/>
              <w:left w:val="single" w:sz="4" w:space="0" w:color="auto"/>
              <w:bottom w:val="single" w:sz="8" w:space="0" w:color="auto"/>
              <w:right w:val="single" w:sz="8" w:space="0" w:color="auto"/>
            </w:tcBorders>
            <w:shd w:val="clear" w:color="000000" w:fill="FFFFFF"/>
            <w:vAlign w:val="center"/>
          </w:tcPr>
          <w:p w14:paraId="12845C3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w:t>
            </w:r>
          </w:p>
        </w:tc>
        <w:tc>
          <w:tcPr>
            <w:tcW w:w="964" w:type="dxa"/>
            <w:gridSpan w:val="2"/>
            <w:tcBorders>
              <w:top w:val="single" w:sz="4" w:space="0" w:color="auto"/>
              <w:left w:val="nil"/>
              <w:bottom w:val="single" w:sz="8" w:space="0" w:color="auto"/>
              <w:right w:val="single" w:sz="8" w:space="0" w:color="auto"/>
            </w:tcBorders>
            <w:shd w:val="clear" w:color="000000" w:fill="FFFFFF"/>
            <w:vAlign w:val="center"/>
          </w:tcPr>
          <w:p w14:paraId="7AD1EE69"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78</w:t>
            </w:r>
          </w:p>
        </w:tc>
        <w:tc>
          <w:tcPr>
            <w:tcW w:w="867" w:type="dxa"/>
            <w:tcBorders>
              <w:top w:val="single" w:sz="4" w:space="0" w:color="auto"/>
              <w:left w:val="nil"/>
              <w:bottom w:val="single" w:sz="8" w:space="0" w:color="auto"/>
              <w:right w:val="single" w:sz="8" w:space="0" w:color="auto"/>
            </w:tcBorders>
            <w:shd w:val="clear" w:color="000000" w:fill="FFFFFF"/>
            <w:vAlign w:val="center"/>
          </w:tcPr>
          <w:p w14:paraId="62B422D6"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087" w:type="dxa"/>
            <w:gridSpan w:val="2"/>
            <w:tcBorders>
              <w:top w:val="single" w:sz="4" w:space="0" w:color="auto"/>
              <w:left w:val="nil"/>
              <w:bottom w:val="single" w:sz="8" w:space="0" w:color="auto"/>
              <w:right w:val="single" w:sz="8" w:space="0" w:color="auto"/>
            </w:tcBorders>
            <w:shd w:val="clear" w:color="000000" w:fill="FFFFFF"/>
            <w:vAlign w:val="center"/>
          </w:tcPr>
          <w:p w14:paraId="33A94CC7"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4670</w:t>
            </w:r>
          </w:p>
        </w:tc>
        <w:tc>
          <w:tcPr>
            <w:tcW w:w="764" w:type="dxa"/>
            <w:tcBorders>
              <w:top w:val="single" w:sz="4" w:space="0" w:color="auto"/>
              <w:left w:val="nil"/>
              <w:bottom w:val="single" w:sz="8" w:space="0" w:color="auto"/>
              <w:right w:val="single" w:sz="8" w:space="0" w:color="auto"/>
            </w:tcBorders>
            <w:shd w:val="clear" w:color="000000" w:fill="FFFFFF"/>
            <w:vAlign w:val="center"/>
          </w:tcPr>
          <w:p w14:paraId="00F32A6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2</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0BADE55F"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3078</w:t>
            </w:r>
          </w:p>
        </w:tc>
        <w:tc>
          <w:tcPr>
            <w:tcW w:w="1088" w:type="dxa"/>
            <w:tcBorders>
              <w:top w:val="single" w:sz="4" w:space="0" w:color="auto"/>
              <w:left w:val="nil"/>
              <w:bottom w:val="single" w:sz="8" w:space="0" w:color="auto"/>
              <w:right w:val="single" w:sz="8" w:space="0" w:color="auto"/>
            </w:tcBorders>
            <w:shd w:val="clear" w:color="000000" w:fill="FFFFFF"/>
            <w:vAlign w:val="center"/>
          </w:tcPr>
          <w:p w14:paraId="294512FB"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17</w:t>
            </w:r>
          </w:p>
        </w:tc>
        <w:tc>
          <w:tcPr>
            <w:tcW w:w="1077" w:type="dxa"/>
            <w:gridSpan w:val="2"/>
            <w:tcBorders>
              <w:top w:val="single" w:sz="4" w:space="0" w:color="auto"/>
              <w:left w:val="nil"/>
              <w:bottom w:val="single" w:sz="8" w:space="0" w:color="auto"/>
              <w:right w:val="single" w:sz="8" w:space="0" w:color="auto"/>
            </w:tcBorders>
            <w:shd w:val="clear" w:color="000000" w:fill="FFFFFF"/>
            <w:vAlign w:val="center"/>
          </w:tcPr>
          <w:p w14:paraId="59F5DF44" w14:textId="77777777" w:rsidR="00533926" w:rsidRPr="00AA5833" w:rsidRDefault="00533926" w:rsidP="00533926">
            <w:pPr>
              <w:spacing w:after="0" w:line="240" w:lineRule="auto"/>
              <w:rPr>
                <w:rFonts w:ascii="Times New Roman" w:eastAsia="Times New Roman" w:hAnsi="Times New Roman" w:cs="Times New Roman"/>
                <w:sz w:val="20"/>
                <w:szCs w:val="20"/>
                <w:lang w:eastAsia="bg-BG"/>
              </w:rPr>
            </w:pPr>
            <w:r w:rsidRPr="00AA5833">
              <w:rPr>
                <w:rFonts w:ascii="Times New Roman" w:eastAsia="Times New Roman" w:hAnsi="Times New Roman" w:cs="Times New Roman"/>
                <w:sz w:val="20"/>
                <w:szCs w:val="20"/>
                <w:lang w:eastAsia="bg-BG"/>
              </w:rPr>
              <w:t>596</w:t>
            </w:r>
          </w:p>
        </w:tc>
      </w:tr>
    </w:tbl>
    <w:p w14:paraId="694D70CD"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5AED5D6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Изграждане на капацитет и умения за консултиране и подкрепа у медицински и немедицински специалисти</w:t>
      </w:r>
    </w:p>
    <w:p w14:paraId="5F2659EB"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Дейностите, свързани с изграждането на капацитет и умения за консултиране и подкрепа на медицинските специалисти в болничната и извънболничната помощ, се развиват в рамките на програмата, но липсата на средства се отразява на броя на мероприятията. Въпреки всичко, през годината са проведени 27 курса с 1007 участници и 2389 индивидуални обучения и консултации за разпространението на хроничните болести, факторите на риска за тях, развиването на умения за прилагане на добра профилактична и терапевтична практика. </w:t>
      </w:r>
    </w:p>
    <w:p w14:paraId="5D546A1B"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Голяма е активността на медицинските специалисти от детските заведения и училищата. През 2024 г. с тях са проведени 5 курса и 47 семинара с общо 1875 участници, а 1495 от тях са били на индивидуално обучение или консултация по въпроси, свързани с превенцията на ХНБ и рисковите за тяхното възникване фактори – тютюнопушене, прекомерна употреба на алкохол, ниска физическа активност, нездравословно хранене (Таблица 3).</w:t>
      </w:r>
    </w:p>
    <w:p w14:paraId="0A777091"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23262D97"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Таблица 3. Обучителна дейност на медицински и немедицински специалисти и партньори по НППХНБ през 2024 г.</w:t>
      </w:r>
    </w:p>
    <w:p w14:paraId="0AAFB53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tbl>
      <w:tblPr>
        <w:tblW w:w="10008" w:type="dxa"/>
        <w:jc w:val="center"/>
        <w:tblLayout w:type="fixed"/>
        <w:tblCellMar>
          <w:left w:w="70" w:type="dxa"/>
          <w:right w:w="70" w:type="dxa"/>
        </w:tblCellMar>
        <w:tblLook w:val="04A0" w:firstRow="1" w:lastRow="0" w:firstColumn="1" w:lastColumn="0" w:noHBand="0" w:noVBand="1"/>
      </w:tblPr>
      <w:tblGrid>
        <w:gridCol w:w="425"/>
        <w:gridCol w:w="1133"/>
        <w:gridCol w:w="632"/>
        <w:gridCol w:w="1114"/>
        <w:gridCol w:w="599"/>
        <w:gridCol w:w="1077"/>
        <w:gridCol w:w="599"/>
        <w:gridCol w:w="1077"/>
        <w:gridCol w:w="599"/>
        <w:gridCol w:w="1077"/>
        <w:gridCol w:w="599"/>
        <w:gridCol w:w="1077"/>
      </w:tblGrid>
      <w:tr w:rsidR="00533926" w:rsidRPr="00AA5833" w14:paraId="41C0AA59" w14:textId="77777777" w:rsidTr="00533926">
        <w:trPr>
          <w:trHeight w:val="552"/>
          <w:jc w:val="center"/>
        </w:trPr>
        <w:tc>
          <w:tcPr>
            <w:tcW w:w="4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C739F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w:t>
            </w:r>
          </w:p>
        </w:tc>
        <w:tc>
          <w:tcPr>
            <w:tcW w:w="1133" w:type="dxa"/>
            <w:tcBorders>
              <w:top w:val="single" w:sz="4" w:space="0" w:color="auto"/>
              <w:left w:val="nil"/>
              <w:bottom w:val="single" w:sz="4" w:space="0" w:color="auto"/>
              <w:right w:val="single" w:sz="4" w:space="0" w:color="auto"/>
            </w:tcBorders>
            <w:shd w:val="clear" w:color="000000" w:fill="F2F2F2"/>
            <w:vAlign w:val="center"/>
            <w:hideMark/>
          </w:tcPr>
          <w:p w14:paraId="2307D422"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Дейности</w:t>
            </w:r>
          </w:p>
        </w:tc>
        <w:tc>
          <w:tcPr>
            <w:tcW w:w="1746" w:type="dxa"/>
            <w:gridSpan w:val="2"/>
            <w:tcBorders>
              <w:top w:val="single" w:sz="4" w:space="0" w:color="auto"/>
              <w:left w:val="nil"/>
              <w:bottom w:val="single" w:sz="4" w:space="0" w:color="auto"/>
              <w:right w:val="single" w:sz="4" w:space="0" w:color="auto"/>
            </w:tcBorders>
            <w:shd w:val="clear" w:color="000000" w:fill="F2F2F2"/>
            <w:vAlign w:val="center"/>
            <w:hideMark/>
          </w:tcPr>
          <w:p w14:paraId="7E61EB8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Медицински специалисти от болничната и извънболничната помощ</w:t>
            </w:r>
          </w:p>
          <w:p w14:paraId="0D9659D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676" w:type="dxa"/>
            <w:gridSpan w:val="2"/>
            <w:tcBorders>
              <w:top w:val="single" w:sz="4" w:space="0" w:color="auto"/>
              <w:left w:val="nil"/>
              <w:bottom w:val="single" w:sz="4" w:space="0" w:color="auto"/>
              <w:right w:val="single" w:sz="4" w:space="0" w:color="auto"/>
            </w:tcBorders>
            <w:shd w:val="clear" w:color="000000" w:fill="F2F2F2"/>
            <w:vAlign w:val="center"/>
            <w:hideMark/>
          </w:tcPr>
          <w:p w14:paraId="5C0149D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lastRenderedPageBreak/>
              <w:t>Медицински специалисти от детските заведения и училищата</w:t>
            </w:r>
          </w:p>
          <w:p w14:paraId="387BD5C4"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1676" w:type="dxa"/>
            <w:gridSpan w:val="2"/>
            <w:tcBorders>
              <w:top w:val="single" w:sz="4" w:space="0" w:color="auto"/>
              <w:left w:val="nil"/>
              <w:bottom w:val="single" w:sz="4" w:space="0" w:color="auto"/>
              <w:right w:val="single" w:sz="4" w:space="0" w:color="auto"/>
            </w:tcBorders>
            <w:shd w:val="clear" w:color="000000" w:fill="F2F2F2"/>
            <w:vAlign w:val="center"/>
            <w:hideMark/>
          </w:tcPr>
          <w:p w14:paraId="01C48D4F"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lastRenderedPageBreak/>
              <w:t>Специалисти от РЗИ</w:t>
            </w:r>
          </w:p>
        </w:tc>
        <w:tc>
          <w:tcPr>
            <w:tcW w:w="1676" w:type="dxa"/>
            <w:gridSpan w:val="2"/>
            <w:tcBorders>
              <w:top w:val="single" w:sz="4" w:space="0" w:color="auto"/>
              <w:left w:val="nil"/>
              <w:bottom w:val="single" w:sz="4" w:space="0" w:color="auto"/>
              <w:right w:val="single" w:sz="4" w:space="0" w:color="auto"/>
            </w:tcBorders>
            <w:shd w:val="clear" w:color="000000" w:fill="F2F2F2"/>
            <w:vAlign w:val="center"/>
            <w:hideMark/>
          </w:tcPr>
          <w:p w14:paraId="6C6DBFA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Немедицински специалисти и партньори</w:t>
            </w:r>
          </w:p>
        </w:tc>
        <w:tc>
          <w:tcPr>
            <w:tcW w:w="1676" w:type="dxa"/>
            <w:gridSpan w:val="2"/>
            <w:tcBorders>
              <w:top w:val="single" w:sz="4" w:space="0" w:color="auto"/>
              <w:left w:val="nil"/>
              <w:bottom w:val="single" w:sz="4" w:space="0" w:color="auto"/>
              <w:right w:val="single" w:sz="4" w:space="0" w:color="auto"/>
            </w:tcBorders>
            <w:shd w:val="clear" w:color="000000" w:fill="F2F2F2"/>
            <w:vAlign w:val="center"/>
            <w:hideMark/>
          </w:tcPr>
          <w:p w14:paraId="495E4D1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Общо</w:t>
            </w:r>
          </w:p>
        </w:tc>
      </w:tr>
      <w:tr w:rsidR="00533926" w:rsidRPr="00AA5833" w14:paraId="7A554B4F" w14:textId="77777777" w:rsidTr="00533926">
        <w:trPr>
          <w:trHeight w:val="756"/>
          <w:jc w:val="center"/>
        </w:trPr>
        <w:tc>
          <w:tcPr>
            <w:tcW w:w="425" w:type="dxa"/>
            <w:tcBorders>
              <w:top w:val="nil"/>
              <w:left w:val="single" w:sz="4" w:space="0" w:color="auto"/>
              <w:bottom w:val="single" w:sz="4" w:space="0" w:color="auto"/>
              <w:right w:val="single" w:sz="4" w:space="0" w:color="auto"/>
            </w:tcBorders>
            <w:shd w:val="clear" w:color="000000" w:fill="F2F2F2"/>
            <w:vAlign w:val="center"/>
            <w:hideMark/>
          </w:tcPr>
          <w:p w14:paraId="1753F240"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0"/>
                <w:szCs w:val="20"/>
                <w:lang w:eastAsia="bg-BG"/>
              </w:rPr>
              <w:t> </w:t>
            </w:r>
          </w:p>
        </w:tc>
        <w:tc>
          <w:tcPr>
            <w:tcW w:w="1133" w:type="dxa"/>
            <w:tcBorders>
              <w:top w:val="nil"/>
              <w:left w:val="nil"/>
              <w:bottom w:val="single" w:sz="4" w:space="0" w:color="auto"/>
              <w:right w:val="single" w:sz="4" w:space="0" w:color="auto"/>
            </w:tcBorders>
            <w:shd w:val="clear" w:color="000000" w:fill="F2F2F2"/>
            <w:vAlign w:val="center"/>
            <w:hideMark/>
          </w:tcPr>
          <w:p w14:paraId="0A81338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 </w:t>
            </w:r>
          </w:p>
        </w:tc>
        <w:tc>
          <w:tcPr>
            <w:tcW w:w="632" w:type="dxa"/>
            <w:tcBorders>
              <w:top w:val="nil"/>
              <w:left w:val="nil"/>
              <w:bottom w:val="single" w:sz="4" w:space="0" w:color="auto"/>
              <w:right w:val="single" w:sz="4" w:space="0" w:color="auto"/>
            </w:tcBorders>
            <w:shd w:val="clear" w:color="000000" w:fill="F2F2F2"/>
            <w:vAlign w:val="center"/>
            <w:hideMark/>
          </w:tcPr>
          <w:p w14:paraId="19A2975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114" w:type="dxa"/>
            <w:tcBorders>
              <w:top w:val="nil"/>
              <w:left w:val="nil"/>
              <w:bottom w:val="single" w:sz="4" w:space="0" w:color="auto"/>
              <w:right w:val="single" w:sz="4" w:space="0" w:color="auto"/>
            </w:tcBorders>
            <w:shd w:val="clear" w:color="000000" w:fill="F2F2F2"/>
            <w:vAlign w:val="center"/>
            <w:hideMark/>
          </w:tcPr>
          <w:p w14:paraId="0D93A6AA"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599" w:type="dxa"/>
            <w:tcBorders>
              <w:top w:val="nil"/>
              <w:left w:val="nil"/>
              <w:bottom w:val="single" w:sz="4" w:space="0" w:color="auto"/>
              <w:right w:val="single" w:sz="4" w:space="0" w:color="auto"/>
            </w:tcBorders>
            <w:shd w:val="clear" w:color="000000" w:fill="F2F2F2"/>
            <w:vAlign w:val="center"/>
            <w:hideMark/>
          </w:tcPr>
          <w:p w14:paraId="746D8FFC"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tcBorders>
              <w:top w:val="nil"/>
              <w:left w:val="nil"/>
              <w:bottom w:val="single" w:sz="4" w:space="0" w:color="auto"/>
              <w:right w:val="single" w:sz="4" w:space="0" w:color="auto"/>
            </w:tcBorders>
            <w:shd w:val="clear" w:color="000000" w:fill="F2F2F2"/>
            <w:vAlign w:val="center"/>
            <w:hideMark/>
          </w:tcPr>
          <w:p w14:paraId="2A39BAA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599" w:type="dxa"/>
            <w:tcBorders>
              <w:top w:val="nil"/>
              <w:left w:val="nil"/>
              <w:bottom w:val="single" w:sz="4" w:space="0" w:color="auto"/>
              <w:right w:val="single" w:sz="4" w:space="0" w:color="auto"/>
            </w:tcBorders>
            <w:shd w:val="clear" w:color="000000" w:fill="F2F2F2"/>
            <w:vAlign w:val="center"/>
            <w:hideMark/>
          </w:tcPr>
          <w:p w14:paraId="03BA2EC7"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tcBorders>
              <w:top w:val="nil"/>
              <w:left w:val="nil"/>
              <w:bottom w:val="single" w:sz="4" w:space="0" w:color="auto"/>
              <w:right w:val="single" w:sz="4" w:space="0" w:color="auto"/>
            </w:tcBorders>
            <w:shd w:val="clear" w:color="000000" w:fill="F2F2F2"/>
            <w:vAlign w:val="center"/>
            <w:hideMark/>
          </w:tcPr>
          <w:p w14:paraId="18A12BD0"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599" w:type="dxa"/>
            <w:tcBorders>
              <w:top w:val="nil"/>
              <w:left w:val="nil"/>
              <w:bottom w:val="single" w:sz="4" w:space="0" w:color="auto"/>
              <w:right w:val="single" w:sz="4" w:space="0" w:color="auto"/>
            </w:tcBorders>
            <w:shd w:val="clear" w:color="000000" w:fill="F2F2F2"/>
            <w:vAlign w:val="center"/>
            <w:hideMark/>
          </w:tcPr>
          <w:p w14:paraId="7A1A81C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tcBorders>
              <w:top w:val="nil"/>
              <w:left w:val="nil"/>
              <w:bottom w:val="single" w:sz="4" w:space="0" w:color="auto"/>
              <w:right w:val="single" w:sz="4" w:space="0" w:color="auto"/>
            </w:tcBorders>
            <w:shd w:val="clear" w:color="000000" w:fill="F2F2F2"/>
            <w:vAlign w:val="center"/>
            <w:hideMark/>
          </w:tcPr>
          <w:p w14:paraId="65F1D0D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c>
          <w:tcPr>
            <w:tcW w:w="599" w:type="dxa"/>
            <w:tcBorders>
              <w:top w:val="nil"/>
              <w:left w:val="nil"/>
              <w:bottom w:val="single" w:sz="4" w:space="0" w:color="auto"/>
              <w:right w:val="single" w:sz="4" w:space="0" w:color="auto"/>
            </w:tcBorders>
            <w:shd w:val="clear" w:color="000000" w:fill="F2F2F2"/>
            <w:vAlign w:val="center"/>
            <w:hideMark/>
          </w:tcPr>
          <w:p w14:paraId="08E5934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w:t>
            </w:r>
          </w:p>
        </w:tc>
        <w:tc>
          <w:tcPr>
            <w:tcW w:w="1077" w:type="dxa"/>
            <w:tcBorders>
              <w:top w:val="nil"/>
              <w:left w:val="nil"/>
              <w:bottom w:val="single" w:sz="4" w:space="0" w:color="auto"/>
              <w:right w:val="single" w:sz="4" w:space="0" w:color="auto"/>
            </w:tcBorders>
            <w:shd w:val="clear" w:color="000000" w:fill="F2F2F2"/>
            <w:vAlign w:val="center"/>
            <w:hideMark/>
          </w:tcPr>
          <w:p w14:paraId="6A4F2BEE"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Брой обхванати лица</w:t>
            </w:r>
          </w:p>
        </w:tc>
      </w:tr>
      <w:tr w:rsidR="00533926" w:rsidRPr="00AA5833" w14:paraId="2468F5F8" w14:textId="77777777" w:rsidTr="00533926">
        <w:trPr>
          <w:trHeight w:val="393"/>
          <w:jc w:val="center"/>
        </w:trPr>
        <w:tc>
          <w:tcPr>
            <w:tcW w:w="425" w:type="dxa"/>
            <w:tcBorders>
              <w:top w:val="nil"/>
              <w:left w:val="single" w:sz="4" w:space="0" w:color="auto"/>
              <w:bottom w:val="single" w:sz="4" w:space="0" w:color="auto"/>
              <w:right w:val="single" w:sz="4" w:space="0" w:color="auto"/>
            </w:tcBorders>
            <w:shd w:val="clear" w:color="000000" w:fill="F2F2F2"/>
            <w:vAlign w:val="center"/>
            <w:hideMark/>
          </w:tcPr>
          <w:p w14:paraId="35370D96"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1.</w:t>
            </w:r>
          </w:p>
        </w:tc>
        <w:tc>
          <w:tcPr>
            <w:tcW w:w="1133" w:type="dxa"/>
            <w:tcBorders>
              <w:top w:val="nil"/>
              <w:left w:val="nil"/>
              <w:bottom w:val="single" w:sz="4" w:space="0" w:color="auto"/>
              <w:right w:val="single" w:sz="4" w:space="0" w:color="auto"/>
            </w:tcBorders>
            <w:shd w:val="clear" w:color="000000" w:fill="F2F2F2"/>
            <w:vAlign w:val="center"/>
            <w:hideMark/>
          </w:tcPr>
          <w:p w14:paraId="1C10FEF3"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Курсове</w:t>
            </w:r>
          </w:p>
          <w:p w14:paraId="5311606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p>
        </w:tc>
        <w:tc>
          <w:tcPr>
            <w:tcW w:w="632" w:type="dxa"/>
            <w:tcBorders>
              <w:top w:val="nil"/>
              <w:left w:val="nil"/>
              <w:bottom w:val="single" w:sz="4" w:space="0" w:color="auto"/>
              <w:right w:val="single" w:sz="4" w:space="0" w:color="auto"/>
            </w:tcBorders>
            <w:shd w:val="clear" w:color="000000" w:fill="FFFFFF"/>
            <w:vAlign w:val="center"/>
            <w:hideMark/>
          </w:tcPr>
          <w:p w14:paraId="5CAB5A9A"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 0</w:t>
            </w:r>
          </w:p>
        </w:tc>
        <w:tc>
          <w:tcPr>
            <w:tcW w:w="1114" w:type="dxa"/>
            <w:tcBorders>
              <w:top w:val="nil"/>
              <w:left w:val="nil"/>
              <w:bottom w:val="single" w:sz="4" w:space="0" w:color="auto"/>
              <w:right w:val="single" w:sz="4" w:space="0" w:color="auto"/>
            </w:tcBorders>
            <w:shd w:val="clear" w:color="000000" w:fill="FFFFFF"/>
            <w:vAlign w:val="center"/>
            <w:hideMark/>
          </w:tcPr>
          <w:p w14:paraId="34BFBF55"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0</w:t>
            </w:r>
          </w:p>
        </w:tc>
        <w:tc>
          <w:tcPr>
            <w:tcW w:w="599" w:type="dxa"/>
            <w:tcBorders>
              <w:top w:val="nil"/>
              <w:left w:val="nil"/>
              <w:bottom w:val="single" w:sz="4" w:space="0" w:color="auto"/>
              <w:right w:val="single" w:sz="4" w:space="0" w:color="auto"/>
            </w:tcBorders>
            <w:shd w:val="clear" w:color="000000" w:fill="FFFFFF"/>
            <w:vAlign w:val="center"/>
            <w:hideMark/>
          </w:tcPr>
          <w:p w14:paraId="3B1BDD3F"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5</w:t>
            </w:r>
          </w:p>
        </w:tc>
        <w:tc>
          <w:tcPr>
            <w:tcW w:w="1077" w:type="dxa"/>
            <w:tcBorders>
              <w:top w:val="nil"/>
              <w:left w:val="nil"/>
              <w:bottom w:val="single" w:sz="4" w:space="0" w:color="auto"/>
              <w:right w:val="single" w:sz="4" w:space="0" w:color="auto"/>
            </w:tcBorders>
            <w:shd w:val="clear" w:color="000000" w:fill="FFFFFF"/>
            <w:vAlign w:val="center"/>
            <w:hideMark/>
          </w:tcPr>
          <w:p w14:paraId="37038AA9"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466</w:t>
            </w:r>
          </w:p>
        </w:tc>
        <w:tc>
          <w:tcPr>
            <w:tcW w:w="599" w:type="dxa"/>
            <w:tcBorders>
              <w:top w:val="nil"/>
              <w:left w:val="nil"/>
              <w:bottom w:val="single" w:sz="4" w:space="0" w:color="auto"/>
              <w:right w:val="single" w:sz="4" w:space="0" w:color="auto"/>
            </w:tcBorders>
            <w:shd w:val="clear" w:color="000000" w:fill="FFFFFF"/>
            <w:vAlign w:val="center"/>
            <w:hideMark/>
          </w:tcPr>
          <w:p w14:paraId="1DEB47E5"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10</w:t>
            </w:r>
          </w:p>
        </w:tc>
        <w:tc>
          <w:tcPr>
            <w:tcW w:w="1077" w:type="dxa"/>
            <w:tcBorders>
              <w:top w:val="nil"/>
              <w:left w:val="nil"/>
              <w:bottom w:val="single" w:sz="4" w:space="0" w:color="auto"/>
              <w:right w:val="single" w:sz="4" w:space="0" w:color="auto"/>
            </w:tcBorders>
            <w:shd w:val="clear" w:color="000000" w:fill="FFFFFF"/>
            <w:vAlign w:val="center"/>
            <w:hideMark/>
          </w:tcPr>
          <w:p w14:paraId="6631CF24"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434</w:t>
            </w:r>
          </w:p>
        </w:tc>
        <w:tc>
          <w:tcPr>
            <w:tcW w:w="599" w:type="dxa"/>
            <w:tcBorders>
              <w:top w:val="nil"/>
              <w:left w:val="nil"/>
              <w:bottom w:val="single" w:sz="4" w:space="0" w:color="auto"/>
              <w:right w:val="single" w:sz="4" w:space="0" w:color="auto"/>
            </w:tcBorders>
            <w:shd w:val="clear" w:color="000000" w:fill="FFFFFF"/>
            <w:vAlign w:val="center"/>
            <w:hideMark/>
          </w:tcPr>
          <w:p w14:paraId="1FE485B3"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12</w:t>
            </w:r>
          </w:p>
        </w:tc>
        <w:tc>
          <w:tcPr>
            <w:tcW w:w="1077" w:type="dxa"/>
            <w:tcBorders>
              <w:top w:val="nil"/>
              <w:left w:val="nil"/>
              <w:bottom w:val="single" w:sz="4" w:space="0" w:color="auto"/>
              <w:right w:val="single" w:sz="4" w:space="0" w:color="auto"/>
            </w:tcBorders>
            <w:shd w:val="clear" w:color="000000" w:fill="FFFFFF"/>
            <w:vAlign w:val="center"/>
            <w:hideMark/>
          </w:tcPr>
          <w:p w14:paraId="1CE9F3E7"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107</w:t>
            </w:r>
          </w:p>
        </w:tc>
        <w:tc>
          <w:tcPr>
            <w:tcW w:w="599" w:type="dxa"/>
            <w:tcBorders>
              <w:top w:val="nil"/>
              <w:left w:val="nil"/>
              <w:bottom w:val="single" w:sz="4" w:space="0" w:color="auto"/>
              <w:right w:val="single" w:sz="4" w:space="0" w:color="auto"/>
            </w:tcBorders>
            <w:shd w:val="clear" w:color="000000" w:fill="FFFFFF"/>
            <w:vAlign w:val="center"/>
          </w:tcPr>
          <w:p w14:paraId="563EB085"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27</w:t>
            </w:r>
          </w:p>
        </w:tc>
        <w:tc>
          <w:tcPr>
            <w:tcW w:w="1077" w:type="dxa"/>
            <w:tcBorders>
              <w:top w:val="nil"/>
              <w:left w:val="nil"/>
              <w:bottom w:val="single" w:sz="4" w:space="0" w:color="auto"/>
              <w:right w:val="single" w:sz="4" w:space="0" w:color="auto"/>
            </w:tcBorders>
            <w:shd w:val="clear" w:color="000000" w:fill="FFFFFF"/>
            <w:vAlign w:val="center"/>
          </w:tcPr>
          <w:p w14:paraId="3E06C2B9"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1007</w:t>
            </w:r>
          </w:p>
        </w:tc>
      </w:tr>
      <w:tr w:rsidR="00533926" w:rsidRPr="00AA5833" w14:paraId="4D7A127E" w14:textId="77777777" w:rsidTr="00533926">
        <w:trPr>
          <w:trHeight w:val="552"/>
          <w:jc w:val="center"/>
        </w:trPr>
        <w:tc>
          <w:tcPr>
            <w:tcW w:w="425" w:type="dxa"/>
            <w:tcBorders>
              <w:top w:val="nil"/>
              <w:left w:val="single" w:sz="4" w:space="0" w:color="auto"/>
              <w:bottom w:val="single" w:sz="4" w:space="0" w:color="auto"/>
              <w:right w:val="single" w:sz="4" w:space="0" w:color="auto"/>
            </w:tcBorders>
            <w:shd w:val="clear" w:color="000000" w:fill="F2F2F2"/>
            <w:vAlign w:val="center"/>
            <w:hideMark/>
          </w:tcPr>
          <w:p w14:paraId="69B0FEDD"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2.</w:t>
            </w:r>
          </w:p>
        </w:tc>
        <w:tc>
          <w:tcPr>
            <w:tcW w:w="1133" w:type="dxa"/>
            <w:tcBorders>
              <w:top w:val="nil"/>
              <w:left w:val="nil"/>
              <w:bottom w:val="single" w:sz="4" w:space="0" w:color="auto"/>
              <w:right w:val="single" w:sz="4" w:space="0" w:color="auto"/>
            </w:tcBorders>
            <w:shd w:val="clear" w:color="000000" w:fill="F2F2F2"/>
            <w:vAlign w:val="center"/>
            <w:hideMark/>
          </w:tcPr>
          <w:p w14:paraId="462E40F9"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Семинари</w:t>
            </w:r>
          </w:p>
        </w:tc>
        <w:tc>
          <w:tcPr>
            <w:tcW w:w="632" w:type="dxa"/>
            <w:tcBorders>
              <w:top w:val="nil"/>
              <w:left w:val="nil"/>
              <w:bottom w:val="single" w:sz="4" w:space="0" w:color="auto"/>
              <w:right w:val="single" w:sz="4" w:space="0" w:color="auto"/>
            </w:tcBorders>
            <w:shd w:val="clear" w:color="000000" w:fill="FFFFFF"/>
            <w:vAlign w:val="center"/>
            <w:hideMark/>
          </w:tcPr>
          <w:p w14:paraId="777F5E61"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3</w:t>
            </w:r>
          </w:p>
        </w:tc>
        <w:tc>
          <w:tcPr>
            <w:tcW w:w="1114" w:type="dxa"/>
            <w:tcBorders>
              <w:top w:val="nil"/>
              <w:left w:val="nil"/>
              <w:bottom w:val="single" w:sz="4" w:space="0" w:color="auto"/>
              <w:right w:val="single" w:sz="4" w:space="0" w:color="auto"/>
            </w:tcBorders>
            <w:shd w:val="clear" w:color="000000" w:fill="FFFFFF"/>
            <w:vAlign w:val="center"/>
            <w:hideMark/>
          </w:tcPr>
          <w:p w14:paraId="6C54ABD7"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133</w:t>
            </w:r>
          </w:p>
        </w:tc>
        <w:tc>
          <w:tcPr>
            <w:tcW w:w="599" w:type="dxa"/>
            <w:tcBorders>
              <w:top w:val="nil"/>
              <w:left w:val="nil"/>
              <w:bottom w:val="single" w:sz="4" w:space="0" w:color="auto"/>
              <w:right w:val="single" w:sz="4" w:space="0" w:color="auto"/>
            </w:tcBorders>
            <w:shd w:val="clear" w:color="000000" w:fill="FFFFFF"/>
            <w:vAlign w:val="center"/>
            <w:hideMark/>
          </w:tcPr>
          <w:p w14:paraId="07515A02"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47</w:t>
            </w:r>
          </w:p>
        </w:tc>
        <w:tc>
          <w:tcPr>
            <w:tcW w:w="1077" w:type="dxa"/>
            <w:tcBorders>
              <w:top w:val="nil"/>
              <w:left w:val="nil"/>
              <w:bottom w:val="single" w:sz="4" w:space="0" w:color="auto"/>
              <w:right w:val="single" w:sz="4" w:space="0" w:color="auto"/>
            </w:tcBorders>
            <w:shd w:val="clear" w:color="000000" w:fill="FFFFFF"/>
            <w:vAlign w:val="center"/>
            <w:hideMark/>
          </w:tcPr>
          <w:p w14:paraId="56F6BECA"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1409</w:t>
            </w:r>
          </w:p>
        </w:tc>
        <w:tc>
          <w:tcPr>
            <w:tcW w:w="599" w:type="dxa"/>
            <w:tcBorders>
              <w:top w:val="nil"/>
              <w:left w:val="nil"/>
              <w:bottom w:val="single" w:sz="4" w:space="0" w:color="auto"/>
              <w:right w:val="single" w:sz="4" w:space="0" w:color="auto"/>
            </w:tcBorders>
            <w:shd w:val="clear" w:color="000000" w:fill="FFFFFF"/>
            <w:vAlign w:val="center"/>
            <w:hideMark/>
          </w:tcPr>
          <w:p w14:paraId="530230D6"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14</w:t>
            </w:r>
          </w:p>
        </w:tc>
        <w:tc>
          <w:tcPr>
            <w:tcW w:w="1077" w:type="dxa"/>
            <w:tcBorders>
              <w:top w:val="nil"/>
              <w:left w:val="nil"/>
              <w:bottom w:val="single" w:sz="4" w:space="0" w:color="auto"/>
              <w:right w:val="single" w:sz="4" w:space="0" w:color="auto"/>
            </w:tcBorders>
            <w:shd w:val="clear" w:color="000000" w:fill="FFFFFF"/>
            <w:vAlign w:val="center"/>
            <w:hideMark/>
          </w:tcPr>
          <w:p w14:paraId="16185956"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270</w:t>
            </w:r>
          </w:p>
        </w:tc>
        <w:tc>
          <w:tcPr>
            <w:tcW w:w="599" w:type="dxa"/>
            <w:tcBorders>
              <w:top w:val="nil"/>
              <w:left w:val="nil"/>
              <w:bottom w:val="single" w:sz="4" w:space="0" w:color="auto"/>
              <w:right w:val="single" w:sz="4" w:space="0" w:color="auto"/>
            </w:tcBorders>
            <w:shd w:val="clear" w:color="000000" w:fill="FFFFFF"/>
            <w:vAlign w:val="center"/>
            <w:hideMark/>
          </w:tcPr>
          <w:p w14:paraId="3F27F8AE"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63</w:t>
            </w:r>
          </w:p>
        </w:tc>
        <w:tc>
          <w:tcPr>
            <w:tcW w:w="1077" w:type="dxa"/>
            <w:tcBorders>
              <w:top w:val="nil"/>
              <w:left w:val="nil"/>
              <w:bottom w:val="single" w:sz="4" w:space="0" w:color="auto"/>
              <w:right w:val="single" w:sz="4" w:space="0" w:color="auto"/>
            </w:tcBorders>
            <w:shd w:val="clear" w:color="000000" w:fill="FFFFFF"/>
            <w:vAlign w:val="center"/>
            <w:hideMark/>
          </w:tcPr>
          <w:p w14:paraId="7B7C0D24"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1089</w:t>
            </w:r>
          </w:p>
        </w:tc>
        <w:tc>
          <w:tcPr>
            <w:tcW w:w="599" w:type="dxa"/>
            <w:tcBorders>
              <w:top w:val="nil"/>
              <w:left w:val="nil"/>
              <w:bottom w:val="single" w:sz="4" w:space="0" w:color="auto"/>
              <w:right w:val="single" w:sz="4" w:space="0" w:color="auto"/>
            </w:tcBorders>
            <w:shd w:val="clear" w:color="000000" w:fill="FFFFFF"/>
            <w:vAlign w:val="center"/>
          </w:tcPr>
          <w:p w14:paraId="6111076D"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127</w:t>
            </w:r>
          </w:p>
        </w:tc>
        <w:tc>
          <w:tcPr>
            <w:tcW w:w="1077" w:type="dxa"/>
            <w:tcBorders>
              <w:top w:val="nil"/>
              <w:left w:val="nil"/>
              <w:bottom w:val="single" w:sz="4" w:space="0" w:color="auto"/>
              <w:right w:val="single" w:sz="4" w:space="0" w:color="auto"/>
            </w:tcBorders>
            <w:shd w:val="clear" w:color="000000" w:fill="FFFFFF"/>
            <w:vAlign w:val="center"/>
          </w:tcPr>
          <w:p w14:paraId="6556C96C"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2901</w:t>
            </w:r>
          </w:p>
        </w:tc>
      </w:tr>
      <w:tr w:rsidR="00533926" w:rsidRPr="00AA5833" w14:paraId="0AF3BB42" w14:textId="77777777" w:rsidTr="00533926">
        <w:trPr>
          <w:trHeight w:val="729"/>
          <w:jc w:val="center"/>
        </w:trPr>
        <w:tc>
          <w:tcPr>
            <w:tcW w:w="425" w:type="dxa"/>
            <w:tcBorders>
              <w:top w:val="nil"/>
              <w:left w:val="single" w:sz="4" w:space="0" w:color="auto"/>
              <w:bottom w:val="single" w:sz="4" w:space="0" w:color="auto"/>
              <w:right w:val="single" w:sz="4" w:space="0" w:color="auto"/>
            </w:tcBorders>
            <w:shd w:val="clear" w:color="000000" w:fill="F2F2F2"/>
            <w:vAlign w:val="center"/>
            <w:hideMark/>
          </w:tcPr>
          <w:p w14:paraId="5F2458F1"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3.</w:t>
            </w:r>
          </w:p>
        </w:tc>
        <w:tc>
          <w:tcPr>
            <w:tcW w:w="1133" w:type="dxa"/>
            <w:tcBorders>
              <w:top w:val="nil"/>
              <w:left w:val="nil"/>
              <w:bottom w:val="single" w:sz="4" w:space="0" w:color="auto"/>
              <w:right w:val="single" w:sz="4" w:space="0" w:color="auto"/>
            </w:tcBorders>
            <w:shd w:val="clear" w:color="000000" w:fill="F2F2F2"/>
            <w:vAlign w:val="center"/>
            <w:hideMark/>
          </w:tcPr>
          <w:p w14:paraId="10750858" w14:textId="77777777" w:rsidR="00533926" w:rsidRPr="00AA5833" w:rsidRDefault="00533926" w:rsidP="00533926">
            <w:pPr>
              <w:spacing w:after="0" w:line="240" w:lineRule="auto"/>
              <w:rPr>
                <w:rFonts w:ascii="Times New Roman" w:eastAsia="Times New Roman" w:hAnsi="Times New Roman" w:cs="Times New Roman"/>
                <w:b/>
                <w:bCs/>
                <w:sz w:val="20"/>
                <w:szCs w:val="20"/>
                <w:lang w:eastAsia="bg-BG"/>
              </w:rPr>
            </w:pPr>
            <w:r w:rsidRPr="00AA5833">
              <w:rPr>
                <w:rFonts w:ascii="Times New Roman" w:eastAsia="Times New Roman" w:hAnsi="Times New Roman" w:cs="Times New Roman"/>
                <w:b/>
                <w:bCs/>
                <w:sz w:val="20"/>
                <w:szCs w:val="20"/>
                <w:lang w:eastAsia="bg-BG"/>
              </w:rPr>
              <w:t>Индивидуално обучение</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14:paraId="74CDD5EE"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265</w:t>
            </w:r>
          </w:p>
        </w:tc>
        <w:tc>
          <w:tcPr>
            <w:tcW w:w="1114" w:type="dxa"/>
            <w:tcBorders>
              <w:top w:val="nil"/>
              <w:left w:val="nil"/>
              <w:bottom w:val="single" w:sz="4" w:space="0" w:color="auto"/>
              <w:right w:val="single" w:sz="4" w:space="0" w:color="auto"/>
            </w:tcBorders>
            <w:shd w:val="clear" w:color="000000" w:fill="FFFFFF"/>
            <w:vAlign w:val="center"/>
            <w:hideMark/>
          </w:tcPr>
          <w:p w14:paraId="179513FC"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265</w:t>
            </w:r>
          </w:p>
        </w:tc>
        <w:tc>
          <w:tcPr>
            <w:tcW w:w="599" w:type="dxa"/>
            <w:tcBorders>
              <w:top w:val="nil"/>
              <w:left w:val="nil"/>
              <w:bottom w:val="single" w:sz="4" w:space="0" w:color="auto"/>
              <w:right w:val="single" w:sz="4" w:space="0" w:color="auto"/>
            </w:tcBorders>
            <w:shd w:val="clear" w:color="000000" w:fill="FFFFFF"/>
            <w:vAlign w:val="center"/>
            <w:hideMark/>
          </w:tcPr>
          <w:p w14:paraId="4D2C5C39"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1495</w:t>
            </w:r>
          </w:p>
        </w:tc>
        <w:tc>
          <w:tcPr>
            <w:tcW w:w="1077" w:type="dxa"/>
            <w:tcBorders>
              <w:top w:val="nil"/>
              <w:left w:val="nil"/>
              <w:bottom w:val="single" w:sz="4" w:space="0" w:color="auto"/>
              <w:right w:val="single" w:sz="4" w:space="0" w:color="auto"/>
            </w:tcBorders>
            <w:shd w:val="clear" w:color="000000" w:fill="FFFFFF"/>
            <w:vAlign w:val="center"/>
            <w:hideMark/>
          </w:tcPr>
          <w:p w14:paraId="39DAE0F5"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1495</w:t>
            </w:r>
          </w:p>
        </w:tc>
        <w:tc>
          <w:tcPr>
            <w:tcW w:w="599" w:type="dxa"/>
            <w:tcBorders>
              <w:top w:val="nil"/>
              <w:left w:val="nil"/>
              <w:bottom w:val="single" w:sz="4" w:space="0" w:color="auto"/>
              <w:right w:val="single" w:sz="4" w:space="0" w:color="auto"/>
            </w:tcBorders>
            <w:shd w:val="clear" w:color="000000" w:fill="FFFFFF"/>
            <w:vAlign w:val="center"/>
            <w:hideMark/>
          </w:tcPr>
          <w:p w14:paraId="1CF4E036"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182</w:t>
            </w:r>
          </w:p>
        </w:tc>
        <w:tc>
          <w:tcPr>
            <w:tcW w:w="1077" w:type="dxa"/>
            <w:tcBorders>
              <w:top w:val="nil"/>
              <w:left w:val="nil"/>
              <w:bottom w:val="single" w:sz="4" w:space="0" w:color="auto"/>
              <w:right w:val="single" w:sz="4" w:space="0" w:color="auto"/>
            </w:tcBorders>
            <w:shd w:val="clear" w:color="000000" w:fill="FFFFFF"/>
            <w:vAlign w:val="center"/>
            <w:hideMark/>
          </w:tcPr>
          <w:p w14:paraId="794A3CD9"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182</w:t>
            </w:r>
          </w:p>
        </w:tc>
        <w:tc>
          <w:tcPr>
            <w:tcW w:w="599" w:type="dxa"/>
            <w:tcBorders>
              <w:top w:val="nil"/>
              <w:left w:val="nil"/>
              <w:bottom w:val="single" w:sz="4" w:space="0" w:color="auto"/>
              <w:right w:val="single" w:sz="4" w:space="0" w:color="auto"/>
            </w:tcBorders>
            <w:shd w:val="clear" w:color="000000" w:fill="FFFFFF"/>
            <w:vAlign w:val="center"/>
            <w:hideMark/>
          </w:tcPr>
          <w:p w14:paraId="300D4ABE"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447</w:t>
            </w:r>
          </w:p>
        </w:tc>
        <w:tc>
          <w:tcPr>
            <w:tcW w:w="1077" w:type="dxa"/>
            <w:tcBorders>
              <w:top w:val="nil"/>
              <w:left w:val="nil"/>
              <w:bottom w:val="single" w:sz="4" w:space="0" w:color="auto"/>
              <w:right w:val="single" w:sz="4" w:space="0" w:color="auto"/>
            </w:tcBorders>
            <w:shd w:val="clear" w:color="000000" w:fill="FFFFFF"/>
            <w:vAlign w:val="center"/>
            <w:hideMark/>
          </w:tcPr>
          <w:p w14:paraId="08F922E2"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447</w:t>
            </w:r>
          </w:p>
        </w:tc>
        <w:tc>
          <w:tcPr>
            <w:tcW w:w="599" w:type="dxa"/>
            <w:tcBorders>
              <w:top w:val="nil"/>
              <w:left w:val="nil"/>
              <w:bottom w:val="single" w:sz="4" w:space="0" w:color="auto"/>
              <w:right w:val="single" w:sz="4" w:space="0" w:color="auto"/>
            </w:tcBorders>
            <w:shd w:val="clear" w:color="000000" w:fill="FFFFFF"/>
            <w:vAlign w:val="center"/>
          </w:tcPr>
          <w:p w14:paraId="58BBF2FE"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2389</w:t>
            </w:r>
          </w:p>
        </w:tc>
        <w:tc>
          <w:tcPr>
            <w:tcW w:w="1077" w:type="dxa"/>
            <w:tcBorders>
              <w:top w:val="nil"/>
              <w:left w:val="nil"/>
              <w:bottom w:val="single" w:sz="4" w:space="0" w:color="auto"/>
              <w:right w:val="single" w:sz="4" w:space="0" w:color="auto"/>
            </w:tcBorders>
            <w:shd w:val="clear" w:color="000000" w:fill="FFFFFF"/>
            <w:vAlign w:val="center"/>
          </w:tcPr>
          <w:p w14:paraId="3D65F1A2" w14:textId="77777777" w:rsidR="00533926" w:rsidRPr="00AA5833" w:rsidRDefault="00533926" w:rsidP="00533926">
            <w:pPr>
              <w:spacing w:after="0" w:line="240" w:lineRule="auto"/>
              <w:rPr>
                <w:rFonts w:ascii="Times New Roman" w:eastAsia="Times New Roman" w:hAnsi="Times New Roman" w:cs="Times New Roman"/>
                <w:bCs/>
                <w:sz w:val="20"/>
                <w:szCs w:val="20"/>
                <w:lang w:eastAsia="bg-BG"/>
              </w:rPr>
            </w:pPr>
            <w:r w:rsidRPr="00AA5833">
              <w:rPr>
                <w:rFonts w:ascii="Times New Roman" w:eastAsia="Times New Roman" w:hAnsi="Times New Roman" w:cs="Times New Roman"/>
                <w:bCs/>
                <w:sz w:val="20"/>
                <w:szCs w:val="20"/>
                <w:lang w:eastAsia="bg-BG"/>
              </w:rPr>
              <w:t>2389</w:t>
            </w:r>
          </w:p>
        </w:tc>
      </w:tr>
    </w:tbl>
    <w:p w14:paraId="43637991"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5A3B780E"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Реализиране на дейности, насочени към ранно откриване на водещите хронични незаразни болести</w:t>
      </w:r>
    </w:p>
    <w:p w14:paraId="36799CC2"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Хроничните незаразни болести са главна причина за умиранията и инвалидността в света. По данни на СЗО те са причина за смъртта на 41 милиона души годишно, което съставлява 71% от всички смъртни случаи. Към групата на хроничните незаразни болести СЗО включва основно болестите на органите на кръвообращението, злокачествените новообразувания, хроничната обструктивна белодробна болест, диабета, психичните болести, болестите на мускулно-скелетната система и травмите, като особено внимание се отделя на първите четири групи болести, с които се свързват 80% от случаите на преждевременна смърт.</w:t>
      </w:r>
    </w:p>
    <w:p w14:paraId="727F98FD"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Предвид важността на проблема и на основание чл. 25, ал. 4 от Закона за администрацията и чл. 5, т. 3 от Устройствения правилник на Министерството на здравеопазването във връзка с изпълнението на дейностите за 2024 г. по Националната програма за превенция на хроничните незаразни болести 2021 – 2025 г., приета с РМС №552/28.07.2021 г., изм. и доп. с РМС №379/31.05.2024 г., изм. и доп. с РМС №379/31.05.2024 г. Министерство на здравеопазването възлага реализиране на дейности, насочени към ранното откриване на водещи ХНБ. Провеждането на профилактичните скринингови прегледи се осъществи чрез избор на лечебни заведения по Закона за обществените поръчки.</w:t>
      </w:r>
    </w:p>
    <w:p w14:paraId="241D0BF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Създадена е организация за провеждане на скрининга в партньорство със средствата за масова информация – в регионалните интернет и ТВ-медии, радиоизлъчване и цифрови публикации. На интернет страницата на регионалните здравни инспекции е публикувана информация за предстоящите дейности. Със съдействието на административния капацитет по места инициативата е популяризирана във всички населени места.</w:t>
      </w:r>
    </w:p>
    <w:p w14:paraId="095FAA9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361F2EE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Дейности, насочени към ранно откриване на онкологични заболявания, организиране и провеждане на скрининг за рак на гърдата, рак на маточната шийка, рак на дебелото и правото черво и рак на простатата</w:t>
      </w:r>
    </w:p>
    <w:p w14:paraId="65563C09"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Рак на гърдата</w:t>
      </w:r>
    </w:p>
    <w:p w14:paraId="384A1E5B"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Със Заповед №РД-01-551/29.07.2024 г. министърът на здравеопазването възлага на  директорите на РЗИ – Ловеч, РЗИ – Монтана, РЗИ – Сливен и РЗИ – Ямбол да организират и проведат популационен скрининг за рак на гърдата, дейности от раздел III от Работната програма по Приложение №1 от Националната програма за превенция на хроничните незаразни болести 2021 – 2025 г., съответно по т. 2.1.3 – Извършване на профилактични прегледи от специалист мамолог и мамография на жени от 30 до 69 години, независимо от здравноосигурителния им статус и фамилна обремененост, избор </w:t>
      </w:r>
      <w:r w:rsidRPr="00AA5833">
        <w:rPr>
          <w:rFonts w:ascii="Times New Roman" w:eastAsia="Times New Roman" w:hAnsi="Times New Roman" w:cs="Times New Roman"/>
          <w:sz w:val="24"/>
          <w:szCs w:val="24"/>
          <w:lang w:eastAsia="bg-BG"/>
        </w:rPr>
        <w:lastRenderedPageBreak/>
        <w:t xml:space="preserve">за лечебно заведение, с което да се сключи договор за извършване на съответните дейности. </w:t>
      </w:r>
    </w:p>
    <w:p w14:paraId="0E7B50EB"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482 прегледа с необходимите изследвания, по утвърдената нормативна уредба.</w:t>
      </w:r>
    </w:p>
    <w:p w14:paraId="2BDC024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Рак на маточната шийка</w:t>
      </w:r>
    </w:p>
    <w:p w14:paraId="324FBBB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 Решение №379/31.05.2024 г. на Министерския съвет е увеличен бюджетът на Националната програма за превенция на хроничните незаразни болести 2021 – 2025 г. (приета с Решение №552 на Министерски съвет от 2021 г.), за провеждане на скрининг за злокачествени новообразувания на шийката на матката и провеждане на скринингови кампании за злокачествени новообразувания на шийката на матката сред групи от здравото население, които да бъдат организирани от НЗОК, МЗ и РЗИ.</w:t>
      </w:r>
    </w:p>
    <w:p w14:paraId="37E0A96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Със Заповед №РД-01-550/29.07.2024 г. на министъра на здравеопазването се възлага на директорите на РЗИ – Благоевград, РЗИ – Бургас, РЗИ – Варна, РЗИ – Видин, РЗИ – Враца, РЗИ – Велико Търново, РЗИ – Габрово, РЗИ – Добрич, РЗИ – Кърджали, РЗИ – Кюстендил, РЗИ – Ловеч, РЗИ – Монтана, РЗИ – Пазарджик, РЗИ – Перник, РЗИ – Плевен, РЗИ – Пловдив, РЗИ – Русе, РЗИ – Разград, РЗИ – Сливен, РЗИ – Силистра, РЗИ – Смолян, Столична РЗИ, РЗИ – Софийска област, РЗИ – Стара Загора, РЗИ – Търговище, РЗИ – Шумен, РЗИ – Хасково и РЗИ – Ямбол да организират избор на лечебно заведение за  изпълнението на следните дейности по Националната програма за превенция на хроничните незаразни болести 2021 – 2025 г.:</w:t>
      </w:r>
    </w:p>
    <w:p w14:paraId="40D0ADE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Провеждане на скринингови кампании за злокачествени новообразувания на маточната шийка сред групи от здравото население (по дейност т. 2.2.5. от раздел III от Работната програма, Приложение №1 от НППХНБ) – прегледи в избраното лечебно заведение или с 4-те налични АГ мобилни медицински кабинети на жени от лекар със специалност „Акушерство и гинекология“ с взимане и изпращане на материал за цитонамазка и последващо интерпретиране на резултата от специалист по клинична патология с класификация по Папаниколау, съгласно цените по договор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20ACB26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 обхвата на Скрининга влизат здравноосигурени и здравнонеосигурени жени на възраст 20 – 29 г. и 40 – 49 г., както и здравнонеосигурени жени на възраст 30 – 39 години. </w:t>
      </w:r>
    </w:p>
    <w:p w14:paraId="1C446BA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16 586 прегледа с необходимите изследвания по утвърдената нормативна уредба.</w:t>
      </w:r>
    </w:p>
    <w:p w14:paraId="07E226BB"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Рак на дебелото и правото черво </w:t>
      </w:r>
    </w:p>
    <w:p w14:paraId="09F4979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Със Заповед №РД-01-552/29.07.2024 на министъра на здравеопазването се възлага на директорите на РЗИ – Благоевград, РЗИ – Бургас, РЗИ – Видин, РЗИ – Добрич, РЗИ – Стара Загора и РЗИ – Търговище да организират избор на лечебно заведение за провеждане на скринингови кампании за злокачествени новообразувания на ректосигмоидалната област сред групи от здравото население (дейност по т. 2.3.4. от раздел III от Работната програма, Приложение №1 от НППХНБ) – прегледи от лекар със специалност „Гастроентерология“ или „Хирургия“ и тест за окултни кръвоизливи, съгласно цените по договор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07687CE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979 прегледа с необходимите изследвания, по утвърдената нормативна уредба.</w:t>
      </w:r>
    </w:p>
    <w:p w14:paraId="4E8BBBB3"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Рак на простатата</w:t>
      </w:r>
    </w:p>
    <w:p w14:paraId="61AC9472"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Със Заповед №РД-01-553/29.07.2024 г. на министъра на здравеопазването се възлага на директорите на РЗИ – Габрово, РЗИ – Монтана, РЗИ – Пазарджик, РЗИ –  Перник, РЗИ – Разград и РЗИ – Смолян да организират избор на лечебно заведение за:  </w:t>
      </w:r>
    </w:p>
    <w:p w14:paraId="34C7D220"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Провеждане на скринингови кампании за злокачествени новообразувания на простата сред групи от здравото население (дейност по т. 2.4.4. от раздел III от Работната програма, Приложение № 1 от НППХНБ) – прегледи от лекар със специалност „Урология“ или „Хирургия“ и тест за PSA – общ и свободен на мъже, съгласно цените по договор №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70D4E10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623 прегледа с необходимите изследвания, по утвърдената нормативна уредба.</w:t>
      </w:r>
    </w:p>
    <w:p w14:paraId="31C8B2DD"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7B82977B"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Дейности, насочени към ранно откриване на сърдечно-съдови заболявания</w:t>
      </w:r>
    </w:p>
    <w:p w14:paraId="5BFA49A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Профилактиката на сърдечно-съдовите заболявания е важна за ранното им откриване и своевременното лечение, с цел подобряване на прогнозата и намаляване на смъртността и инвалидността. Предвид важността на проблема със Заповед №РД-01-548/29.07.2024 г. на министъра на здравеопазването се възлага на директорите на РЗИ –  Благоевград, РЗИ – Бургас, РЗИ – Варна, РЗИ – Видин, РЗИ – Враца, РЗИ – Велико Търново, РЗИ – Габрово, РЗИ – Добрич, РЗИ – Кърджали, РЗИ – Кюстендил, РЗИ –  Пазарджик, РЗИ – Перник, РЗИ – Плевен, РЗИ – Пловдив, РЗИ – Русе, РЗИ – Разград, РЗИ – Сливен, РЗИ – Силистра, РЗИ – Смолян, Столична РЗИ, РЗИ – Софийска област, РЗИ – Стара Загора, РЗИ – Търговище, РЗИ – Шумен, РЗИ – Хасково и РЗИ – Ямбол да организират избор на лечебно заведение за изпълнението на следните дейности от Националната програма за превенция на хроничните незаразни болести 2021 – 2025 г.:</w:t>
      </w:r>
    </w:p>
    <w:p w14:paraId="2BE8BB87"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Провеждане на скринингови кампании за сърдечносъдови заболявания сред групи от здравото население (дейност по т. 1.1.7. от раздел III от Работната програма Приложение №1 от НППХНБ) – прегледи от лекар със специалност „Кардиолог“ или „Вътрешни болести“, съгласно цените по договор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1A6EE96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3567 прегледа с необходимите изследвания, по утвърдената нормативна уредба.</w:t>
      </w:r>
    </w:p>
    <w:p w14:paraId="2BFE146D"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4D626FEA"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Дейности, насочени към ранно откриване на диабет</w:t>
      </w:r>
    </w:p>
    <w:p w14:paraId="546C477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Със Заповед №РД-01-547/29.07.2024 г. на министъра на здравеопазването се възлага на директорите на РЗИ – Благоевград, РЗИ – Бургас, РЗИ – Варна, РЗИ – Видин, РЗИ – Враца, РЗИ – Велико Търново, РЗИ – Габрово, РЗИ – Добрич, РЗИ – Кърджали, РЗИ – Кюстендил, РЗИ – Ловеч, РЗИ – Монтана, РЗИ – Пазарджик, РЗИ – Перник, РЗИ – Плевен, РЗИ – Пловдив, РЗИ – Русе, РЗИ – Разград, РЗИ – Сливен, РЗИ – Силистра, РЗИ – Смолян, Столична РЗИ, РЗИ – Софийска област, РЗИ – Стара Загора, РЗИ –  Търговище, РЗИ – Шумен, РЗИ – Хасково и РЗИ – Ямбол да организират избор на лечебно заведение за провеждане на скринингови кампании за диабет тип 2 сред групи от здравото население (дейност по т. 3.4. от раздел III от Работната програма, Приложение №1 от НППХНБ) – прегледи от лекар със специалност „Ендокринология“ или „Вътрешни болести“, съгласно цените по договор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58FD6EF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Проведени са 3331 прегледа с необходимите изследвания, по утвърдената нормативна уредба.</w:t>
      </w:r>
    </w:p>
    <w:p w14:paraId="0D96434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589F12C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ab/>
        <w:t>Дейности, насочени към ранно откриване на хронични белодробни болести</w:t>
      </w:r>
    </w:p>
    <w:p w14:paraId="69A0CB1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 основание чл. 25, ал. 4 от Закона за администрацията и чл. 5, т. 3 от Устройствения правилник на Министерството на здравеопазването във връзка с изпълнението на дейностите за 2024 г. по Националната програма за превенция на хроничните незаразни болести 2021 – 2025 г., приета с РМС №552/28.07.2021 г., изм. и доп. с РМС №379/31.05.2024 г. се възлага на директорите на РЗИ – Благоевград, РЗИ –  Бургас, РЗИ – Варна, РЗИ – Велико Търново, РЗИ – Габрово, РЗИ – Добрич, РЗИ – Кърджали, РЗИ – Кюстендил, РЗИ – Ловеч, РЗИ – Монтана, РЗИ – Пазарджик, РЗИ – Перник, РЗИ – Плевен, РЗИ – Пловдив, РЗИ – Русе, РЗИ – Разград, РЗИ – Сливен, РЗИ –  Силистра, РЗИ – Смолян, Столична РЗИ, РЗИ – Софийска област, РЗИ – Стара Загора, РЗИ – Търговище, РЗИ – Шумен, РЗИ – Хасково и РЗИ – Ямбол, да организират избор на лечебно заведение за изпълнението на дейности през 2024 г. от Националната програма за превенция на хроничните незаразни болести 2021 – 2025 г.:</w:t>
      </w:r>
    </w:p>
    <w:p w14:paraId="589C06E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Организиране на скринингови кампании за белодробни болести сред групи от здравото население (дейност по т. 4.8. от раздел III от Работната програма, Приложение №1 от НППХНБ) – прегледи от лекар със специалност „Пневмология и фтизиатрия“ или „Вътрешни болести“, съгласно цените по договор №РД-НС-01-2-1/20.02.2024 г.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 г.</w:t>
      </w:r>
    </w:p>
    <w:p w14:paraId="74C2763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 са 3613 прегледа с необходимите изследвания по утвърдената нормативна уредба.</w:t>
      </w:r>
    </w:p>
    <w:p w14:paraId="633DAD5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5030A805"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Мониторинг и оценка </w:t>
      </w:r>
    </w:p>
    <w:p w14:paraId="75AA9C7C"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годината, в рамките на кампании и инициативи по места, са извършени анализи на факторите на риска за възникване на хронични незаразни болести (тютюнопушене, злоупотреба с алкохол, нездравословно хранене и ниска физическа активност), а също и анализи от проведени измервания на количеството на въглероден окис в издишан въздух; тегло; ръст; кръвна захар и други. Общо за 2024 г. са проведени 41 проучвания с 15 565 обхванати деца и възрастни.</w:t>
      </w:r>
    </w:p>
    <w:p w14:paraId="2D4224A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2024 г., въз основа на подадените от медицинските специалисти от здравните кабинети обобщени данни от профилактичните прегледи (извършени от ОПЛ), са изготвени и анализи за здравословното състояние на децата и учениците през учебната 2023/2024 г. Същите са предоставени на МЗ и областните администрации за информиране и предприемане на съответни мерки.</w:t>
      </w:r>
      <w:r w:rsidRPr="00AA5833">
        <w:rPr>
          <w:rFonts w:ascii="Times New Roman" w:eastAsia="Times New Roman" w:hAnsi="Times New Roman" w:cs="Times New Roman"/>
          <w:sz w:val="24"/>
          <w:szCs w:val="24"/>
          <w:lang w:eastAsia="bg-BG"/>
        </w:rPr>
        <w:tab/>
      </w:r>
    </w:p>
    <w:p w14:paraId="5D83F76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AB6E5C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45993E4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2F7453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4.6.2. Провеждане на профилактични прегледи, изследвания, лечение и диспансеризация на военнослужещите и цивилните служители от Министерство на отбраната във Военномедицинска академия</w:t>
      </w:r>
    </w:p>
    <w:p w14:paraId="03265E5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1FEEF66"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Министерството на отбраната, съвместно с Военномедицинска академия (ВМА), придава особено значение и извършва дейности по осигуряване на здравна грижа за военнослужещите и цивилните служители. От бюджета на МО се планират и разходват средства за всички дейности на ВМА, в т.ч. и годишните профилактични прегледи и изследвания. В допълнение към националната здравна система, МО поставя акцент </w:t>
      </w:r>
      <w:r w:rsidRPr="00AA5833">
        <w:rPr>
          <w:rFonts w:ascii="Times New Roman" w:hAnsi="Times New Roman" w:cs="Times New Roman"/>
          <w:sz w:val="24"/>
          <w:szCs w:val="24"/>
        </w:rPr>
        <w:lastRenderedPageBreak/>
        <w:t xml:space="preserve">върху здравословното състояние на военнослужещите и служителите от отбранителната система на страната. Всеки получава съответната здравна помощ и консултация при необходимост. </w:t>
      </w:r>
    </w:p>
    <w:p w14:paraId="5C32FF30"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Във ВМА е изградена административна система и модерен диагностично-лечебен комплекс с център Многопрофилна болница за активно лечение – София и регионални болнични филиали в Пловдив, Варна, Плевен и Сливен, както и санаториални бази в Банкя и Хисаря. Чрез системата се осъществява профилактично-превантивно здравно обслужване, високоспециализирана медицинска помощ и се подобрява процеса на профилактичните дейности и навременен мониторинг на здравния статус. Подпомага се процеса на ранно диагностициране на онкологичните заболявания чрез различните клиники на ВМА. Всичко това води до повишаване на здравната култура и до подобряване нивото и качеството на здравните услуги.  </w:t>
      </w:r>
    </w:p>
    <w:p w14:paraId="2B74AAD5"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Като цяло заболеваемостта на служителите в МО отговаря на социално значимите заболявания, идентифицирани в цялата страна.</w:t>
      </w:r>
    </w:p>
    <w:p w14:paraId="35CA716A"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326DC6A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386AB1A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702E74B0" w14:textId="77777777" w:rsidR="00533926" w:rsidRPr="00AA5833" w:rsidRDefault="00533926" w:rsidP="00533926">
      <w:pPr>
        <w:spacing w:after="0" w:line="240" w:lineRule="auto"/>
        <w:jc w:val="both"/>
        <w:rPr>
          <w:rFonts w:ascii="Times New Roman" w:hAnsi="Times New Roman" w:cs="Times New Roman"/>
          <w:sz w:val="24"/>
          <w:szCs w:val="24"/>
          <w:lang w:eastAsia="bg-BG"/>
        </w:rPr>
      </w:pPr>
    </w:p>
    <w:p w14:paraId="413F6B0A" w14:textId="77777777" w:rsidR="00533926" w:rsidRPr="00AA5833" w:rsidRDefault="00533926" w:rsidP="00533926">
      <w:pPr>
        <w:spacing w:after="0" w:line="240" w:lineRule="auto"/>
        <w:jc w:val="both"/>
        <w:rPr>
          <w:rFonts w:ascii="Times New Roman" w:hAnsi="Times New Roman" w:cs="Times New Roman"/>
          <w:b/>
          <w:sz w:val="24"/>
          <w:szCs w:val="24"/>
          <w:lang w:eastAsia="bg-BG"/>
        </w:rPr>
      </w:pPr>
      <w:r w:rsidRPr="00AA5833">
        <w:rPr>
          <w:rFonts w:ascii="Times New Roman" w:hAnsi="Times New Roman" w:cs="Times New Roman"/>
          <w:b/>
          <w:sz w:val="24"/>
          <w:szCs w:val="24"/>
          <w:lang w:eastAsia="bg-BG"/>
        </w:rPr>
        <w:t>4.6.3. Завишаване на честотата на официалния контрол на обекти за производство, преработка и дистрибуция на храни, осъществяван от БАБХ, при възникване на пандемии и епидемиологични заболявания</w:t>
      </w:r>
    </w:p>
    <w:p w14:paraId="38FA3613"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71F94FC4" w14:textId="77777777" w:rsidR="00533926" w:rsidRPr="00AA5833" w:rsidRDefault="00533926" w:rsidP="00533926">
      <w:pPr>
        <w:spacing w:after="0" w:line="240" w:lineRule="auto"/>
        <w:jc w:val="both"/>
        <w:outlineLvl w:val="0"/>
        <w:rPr>
          <w:rFonts w:ascii="Times New Roman" w:hAnsi="Times New Roman" w:cs="Times New Roman"/>
          <w:sz w:val="24"/>
          <w:szCs w:val="24"/>
        </w:rPr>
      </w:pPr>
      <w:r w:rsidRPr="00AA5833">
        <w:rPr>
          <w:rFonts w:ascii="Times New Roman" w:hAnsi="Times New Roman" w:cs="Times New Roman"/>
          <w:sz w:val="24"/>
          <w:szCs w:val="24"/>
        </w:rPr>
        <w:tab/>
        <w:t xml:space="preserve">Предвид липсата на сериозни рискове за общественото здраве от епидемичен характер през 2024 г. не са предприемани действия за завишаване на честотата на официалния контрол по хранителната верига. </w:t>
      </w:r>
    </w:p>
    <w:p w14:paraId="0475FC61" w14:textId="77777777" w:rsidR="00533926" w:rsidRPr="00AA5833" w:rsidRDefault="00533926" w:rsidP="00533926">
      <w:pPr>
        <w:spacing w:after="0" w:line="240" w:lineRule="auto"/>
        <w:jc w:val="both"/>
        <w:outlineLvl w:val="0"/>
        <w:rPr>
          <w:rFonts w:ascii="Times New Roman" w:hAnsi="Times New Roman" w:cs="Times New Roman"/>
          <w:sz w:val="24"/>
          <w:szCs w:val="24"/>
        </w:rPr>
      </w:pPr>
    </w:p>
    <w:p w14:paraId="3D5FD78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20DD0C8C" w14:textId="77777777" w:rsidR="00533926" w:rsidRPr="00AA5833" w:rsidRDefault="00533926" w:rsidP="00533926">
      <w:pPr>
        <w:spacing w:after="0" w:line="240" w:lineRule="auto"/>
        <w:jc w:val="both"/>
        <w:outlineLvl w:val="0"/>
        <w:rPr>
          <w:rFonts w:ascii="Times New Roman" w:hAnsi="Times New Roman" w:cs="Times New Roman"/>
          <w:sz w:val="24"/>
          <w:szCs w:val="24"/>
        </w:rPr>
      </w:pPr>
    </w:p>
    <w:p w14:paraId="5B3725E8"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r w:rsidRPr="00AA5833">
        <w:rPr>
          <w:rFonts w:ascii="Times New Roman" w:hAnsi="Times New Roman" w:cs="Times New Roman"/>
          <w:b/>
          <w:bCs/>
          <w:sz w:val="24"/>
          <w:szCs w:val="24"/>
        </w:rPr>
        <w:t>4.6.4. Провеждане на обучения на различни групи от населението по първа долекарска помощ (ПДП): кандидат водачи на МПС; служители на фирми и ведомства; учители, детегледачи, родители на деца до 8-год. възраст; служители на МВР</w:t>
      </w:r>
    </w:p>
    <w:p w14:paraId="6DB62752"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000F602A"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Опазване живота и здравето на българското население винаги е била приоритетна задача на БЧК. За намаляване на жертвите от различните видове травматизъм е необходимо хората да знаят как да се предпазват и как да си помогнат, ако се случи инцидент.  </w:t>
      </w:r>
    </w:p>
    <w:p w14:paraId="68E8E9F8" w14:textId="77777777" w:rsidR="00533926" w:rsidRPr="00AA5833" w:rsidRDefault="00533926" w:rsidP="00533926">
      <w:pPr>
        <w:spacing w:after="0" w:line="240" w:lineRule="auto"/>
        <w:ind w:firstLine="709"/>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При различните видове травматизъм, значима роля играе навременно и правилно оказаната първа долекарска помощ (ПДП), която минимизира последиците и подобрява шансовете за спасяване на човешки животи. Затова основният стремеж на БЧК е непрекъснато да разширява обхвата на обучените по първа долекарска помощ. Това допринася и за подобряване на индивидуалната и колективна устойчивост на населението. </w:t>
      </w:r>
    </w:p>
    <w:p w14:paraId="4A64D092" w14:textId="77777777" w:rsidR="00533926" w:rsidRPr="00AA5833" w:rsidRDefault="00533926" w:rsidP="00533926">
      <w:pPr>
        <w:spacing w:after="0" w:line="240" w:lineRule="auto"/>
        <w:ind w:firstLine="709"/>
        <w:jc w:val="both"/>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rPr>
        <w:t xml:space="preserve">През 2024 г. БЧК  успя да обучи по ПДП  </w:t>
      </w:r>
      <w:r w:rsidRPr="00AA5833">
        <w:rPr>
          <w:rFonts w:ascii="Times New Roman" w:eastAsia="Calibri" w:hAnsi="Times New Roman" w:cs="Times New Roman"/>
          <w:bCs/>
          <w:sz w:val="24"/>
          <w:szCs w:val="24"/>
        </w:rPr>
        <w:t>65 173 бъдещи водачи на МПС, при планирани 63 000</w:t>
      </w:r>
      <w:r w:rsidRPr="00AA5833">
        <w:rPr>
          <w:rFonts w:ascii="Times New Roman" w:eastAsia="Calibri" w:hAnsi="Times New Roman" w:cs="Times New Roman"/>
          <w:sz w:val="24"/>
          <w:szCs w:val="24"/>
        </w:rPr>
        <w:t xml:space="preserve">. </w:t>
      </w:r>
      <w:r w:rsidRPr="00AA5833">
        <w:rPr>
          <w:rFonts w:ascii="Times New Roman" w:eastAsia="Calibri" w:hAnsi="Times New Roman" w:cs="Times New Roman"/>
          <w:sz w:val="24"/>
          <w:szCs w:val="24"/>
          <w:lang w:eastAsia="bg-BG"/>
        </w:rPr>
        <w:t>Обучението по първа долекарска помощ на работното място бе предназначено за работници и служители от производствени предприятия, фирми, учреждения и ведомства. През 2024 г. БЧК успя да обучи 4767 служители по първа помощ на работното място, при планирани 4000, и 342 учители, детегледачи  и родители на деца до 8-годишна възраст при планирани 300.</w:t>
      </w:r>
    </w:p>
    <w:p w14:paraId="18A253B9"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lang w:eastAsia="bg-BG"/>
        </w:rPr>
        <w:lastRenderedPageBreak/>
        <w:tab/>
      </w:r>
      <w:r w:rsidRPr="00AA5833">
        <w:rPr>
          <w:rFonts w:ascii="Times New Roman" w:eastAsia="Calibri" w:hAnsi="Times New Roman" w:cs="Times New Roman"/>
          <w:bCs/>
          <w:sz w:val="24"/>
          <w:szCs w:val="24"/>
        </w:rPr>
        <w:t xml:space="preserve">Повече от двадесет години БЧК ежегодно провежда по два едноседмични курса за 60 </w:t>
      </w:r>
      <w:r w:rsidRPr="00AA5833">
        <w:rPr>
          <w:rFonts w:ascii="Times New Roman" w:eastAsia="Calibri" w:hAnsi="Times New Roman" w:cs="Times New Roman"/>
          <w:sz w:val="24"/>
          <w:szCs w:val="24"/>
        </w:rPr>
        <w:t xml:space="preserve">пътни полицаи от страната. </w:t>
      </w:r>
      <w:r w:rsidRPr="00AA5833">
        <w:rPr>
          <w:rFonts w:ascii="Times New Roman" w:eastAsia="Calibri" w:hAnsi="Times New Roman" w:cs="Times New Roman"/>
          <w:bCs/>
          <w:sz w:val="24"/>
          <w:szCs w:val="24"/>
        </w:rPr>
        <w:t>Освен тях организацията организира и опреснителни курсове по първа помощ за служители на пътна полици.</w:t>
      </w:r>
      <w:r w:rsidRPr="00AA5833">
        <w:rPr>
          <w:rFonts w:ascii="Times New Roman" w:eastAsia="Calibri" w:hAnsi="Times New Roman" w:cs="Times New Roman"/>
          <w:b/>
          <w:bCs/>
          <w:sz w:val="24"/>
          <w:szCs w:val="24"/>
        </w:rPr>
        <w:t xml:space="preserve"> </w:t>
      </w:r>
      <w:r w:rsidRPr="00AA5833">
        <w:rPr>
          <w:rFonts w:ascii="Times New Roman" w:eastAsia="Calibri" w:hAnsi="Times New Roman" w:cs="Times New Roman"/>
          <w:sz w:val="24"/>
          <w:szCs w:val="24"/>
        </w:rPr>
        <w:t xml:space="preserve">Общо за годината са обучени </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320</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пътни полицаи, при планирани 300.</w:t>
      </w:r>
    </w:p>
    <w:p w14:paraId="26729C27"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С подготовката на по-широк кръг от населението по първа долекарска помощ, БЧК помага за опазване живота и здравето на повече хора и ги подготвя да реагират адекватно в случаи на бедствия и аварии от различен характер.</w:t>
      </w:r>
    </w:p>
    <w:p w14:paraId="15DD43A3" w14:textId="77777777" w:rsidR="00533926" w:rsidRDefault="00533926" w:rsidP="00533926">
      <w:pPr>
        <w:spacing w:after="0" w:line="240" w:lineRule="auto"/>
        <w:jc w:val="both"/>
        <w:rPr>
          <w:rFonts w:ascii="Times New Roman" w:hAnsi="Times New Roman" w:cs="Times New Roman"/>
          <w:sz w:val="24"/>
          <w:szCs w:val="24"/>
          <w:lang w:eastAsia="bg-BG"/>
        </w:rPr>
      </w:pPr>
    </w:p>
    <w:p w14:paraId="647871EB" w14:textId="77777777" w:rsidR="002E676E" w:rsidRPr="00AA5833" w:rsidRDefault="002E676E" w:rsidP="00533926">
      <w:pPr>
        <w:spacing w:after="0" w:line="240" w:lineRule="auto"/>
        <w:jc w:val="both"/>
        <w:rPr>
          <w:rFonts w:ascii="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3FA95A44"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BB73CED"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4.7. </w:t>
            </w:r>
            <w:r w:rsidRPr="00AA5833">
              <w:rPr>
                <w:rFonts w:ascii="Times New Roman" w:eastAsia="Times New Roman" w:hAnsi="Times New Roman" w:cs="Times New Roman"/>
                <w:b/>
                <w:bCs/>
                <w:color w:val="000000"/>
                <w:sz w:val="24"/>
                <w:szCs w:val="24"/>
                <w:lang w:eastAsia="bg-BG"/>
              </w:rPr>
              <w:t>Инвестиране във високи технологии в сферата на здравеопазването за гарантиране на по-висока ефективност и ефикасност на здравните грижи</w:t>
            </w:r>
          </w:p>
        </w:tc>
      </w:tr>
    </w:tbl>
    <w:p w14:paraId="5EF8BA71" w14:textId="77777777" w:rsidR="00533926" w:rsidRPr="00AA5833" w:rsidRDefault="00533926" w:rsidP="00533926">
      <w:pPr>
        <w:spacing w:after="0" w:line="240" w:lineRule="auto"/>
        <w:rPr>
          <w:rFonts w:ascii="Times New Roman" w:hAnsi="Times New Roman" w:cs="Times New Roman"/>
          <w:sz w:val="24"/>
          <w:szCs w:val="24"/>
        </w:rPr>
      </w:pPr>
    </w:p>
    <w:p w14:paraId="071575CB"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5D54A012" w14:textId="77777777" w:rsidR="00533926" w:rsidRPr="00AA5833" w:rsidRDefault="00533926" w:rsidP="00533926">
      <w:pPr>
        <w:spacing w:after="0" w:line="240" w:lineRule="auto"/>
        <w:rPr>
          <w:rFonts w:ascii="Times New Roman" w:hAnsi="Times New Roman" w:cs="Times New Roman"/>
          <w:sz w:val="24"/>
          <w:szCs w:val="24"/>
        </w:rPr>
      </w:pPr>
    </w:p>
    <w:p w14:paraId="128DBCA4" w14:textId="77777777" w:rsidR="00533926" w:rsidRPr="00AA5833" w:rsidRDefault="00533926" w:rsidP="00533926">
      <w:pPr>
        <w:autoSpaceDE w:val="0"/>
        <w:autoSpaceDN w:val="0"/>
        <w:adjustRightInd w:val="0"/>
        <w:spacing w:after="0" w:line="240" w:lineRule="auto"/>
        <w:ind w:left="1416" w:hanging="1416"/>
        <w:rPr>
          <w:rFonts w:ascii="Times New Roman" w:hAnsi="Times New Roman" w:cs="Times New Roman"/>
          <w:b/>
          <w:color w:val="000000"/>
          <w:sz w:val="24"/>
          <w:szCs w:val="24"/>
        </w:rPr>
      </w:pPr>
      <w:r w:rsidRPr="00AA5833">
        <w:rPr>
          <w:rFonts w:ascii="Times New Roman" w:eastAsia="Calibri" w:hAnsi="Times New Roman" w:cs="Times New Roman"/>
          <w:b/>
          <w:sz w:val="24"/>
          <w:szCs w:val="24"/>
        </w:rPr>
        <w:t>4.7.1.</w:t>
      </w:r>
      <w:r w:rsidRPr="00AA5833">
        <w:rPr>
          <w:rFonts w:ascii="Times New Roman" w:hAnsi="Times New Roman" w:cs="Times New Roman"/>
          <w:color w:val="FF0000"/>
          <w:sz w:val="24"/>
          <w:szCs w:val="24"/>
        </w:rPr>
        <w:t xml:space="preserve"> </w:t>
      </w:r>
      <w:r w:rsidRPr="00AA5833">
        <w:rPr>
          <w:rFonts w:ascii="Times New Roman" w:hAnsi="Times New Roman" w:cs="Times New Roman"/>
          <w:b/>
          <w:color w:val="000000"/>
          <w:sz w:val="24"/>
          <w:szCs w:val="24"/>
        </w:rPr>
        <w:t>В извънболничната медицинска помощ</w:t>
      </w:r>
    </w:p>
    <w:p w14:paraId="628A9AD8" w14:textId="77777777" w:rsidR="00533926" w:rsidRPr="00AA5833" w:rsidRDefault="00533926" w:rsidP="00533926">
      <w:pPr>
        <w:autoSpaceDE w:val="0"/>
        <w:autoSpaceDN w:val="0"/>
        <w:adjustRightInd w:val="0"/>
        <w:spacing w:after="0" w:line="240" w:lineRule="auto"/>
        <w:ind w:left="1416" w:hanging="1416"/>
        <w:rPr>
          <w:rFonts w:ascii="Times New Roman" w:hAnsi="Times New Roman" w:cs="Times New Roman"/>
          <w:b/>
          <w:color w:val="000000"/>
          <w:sz w:val="24"/>
          <w:szCs w:val="24"/>
        </w:rPr>
      </w:pPr>
    </w:p>
    <w:p w14:paraId="7A63444E"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Заплатените средства през 2024 г. за високоспециализирани дейности на изпълнители на СИМП са на стойност </w:t>
      </w:r>
      <w:r w:rsidRPr="00AA5833">
        <w:rPr>
          <w:rFonts w:ascii="Times New Roman" w:eastAsia="Times New Roman" w:hAnsi="Times New Roman" w:cs="Times New Roman"/>
          <w:b/>
          <w:sz w:val="24"/>
          <w:szCs w:val="24"/>
          <w:lang w:eastAsia="bg-BG"/>
        </w:rPr>
        <w:t xml:space="preserve">18 421,4 хил. лв., </w:t>
      </w:r>
      <w:r w:rsidRPr="00AA5833">
        <w:rPr>
          <w:rFonts w:ascii="Times New Roman" w:eastAsia="Times New Roman" w:hAnsi="Times New Roman" w:cs="Times New Roman"/>
          <w:sz w:val="24"/>
          <w:szCs w:val="24"/>
          <w:lang w:eastAsia="bg-BG"/>
        </w:rPr>
        <w:t>а за високоспециализирани медико-диагностични изследвания на изпълнители на МДД</w:t>
      </w:r>
      <w:r w:rsidRPr="00AA5833">
        <w:rPr>
          <w:rFonts w:ascii="Times New Roman" w:eastAsia="Times New Roman" w:hAnsi="Times New Roman" w:cs="Times New Roman"/>
          <w:b/>
          <w:sz w:val="24"/>
          <w:szCs w:val="24"/>
          <w:lang w:eastAsia="bg-BG"/>
        </w:rPr>
        <w:t xml:space="preserve"> – 136 072,8 хил. лв. за 3 492 274 бр. изследвания.</w:t>
      </w:r>
    </w:p>
    <w:p w14:paraId="4D405D7F"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За най-скъпоструващото изследване в извънболничната медицинска помощ – ядрено-магнитният резонанс (ЯМР), са заплатени </w:t>
      </w:r>
      <w:r w:rsidRPr="00AA5833">
        <w:rPr>
          <w:rFonts w:ascii="Times New Roman" w:eastAsia="Times New Roman" w:hAnsi="Times New Roman" w:cs="Times New Roman"/>
          <w:b/>
          <w:sz w:val="24"/>
          <w:szCs w:val="24"/>
          <w:lang w:eastAsia="bg-BG"/>
        </w:rPr>
        <w:t xml:space="preserve">34 120 759 лв. </w:t>
      </w:r>
    </w:p>
    <w:p w14:paraId="394FA009"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p>
    <w:p w14:paraId="3EBB5D6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34F9F92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74D724E0" w14:textId="77777777" w:rsidR="00533926" w:rsidRPr="00AA5833" w:rsidRDefault="00533926" w:rsidP="00533926">
      <w:pPr>
        <w:autoSpaceDE w:val="0"/>
        <w:autoSpaceDN w:val="0"/>
        <w:adjustRightInd w:val="0"/>
        <w:spacing w:after="0" w:line="240" w:lineRule="auto"/>
        <w:rPr>
          <w:rFonts w:ascii="Times New Roman" w:hAnsi="Times New Roman" w:cs="Times New Roman"/>
          <w:b/>
          <w:color w:val="000000"/>
          <w:sz w:val="24"/>
          <w:szCs w:val="24"/>
        </w:rPr>
      </w:pPr>
      <w:r w:rsidRPr="00AA5833">
        <w:rPr>
          <w:rFonts w:ascii="Times New Roman" w:eastAsia="Times New Roman" w:hAnsi="Times New Roman" w:cs="Times New Roman"/>
          <w:b/>
          <w:sz w:val="24"/>
          <w:szCs w:val="24"/>
        </w:rPr>
        <w:t xml:space="preserve">4.7.2. </w:t>
      </w:r>
      <w:r w:rsidRPr="00AA5833">
        <w:rPr>
          <w:rFonts w:ascii="Times New Roman" w:hAnsi="Times New Roman" w:cs="Times New Roman"/>
          <w:b/>
          <w:color w:val="000000"/>
          <w:sz w:val="24"/>
          <w:szCs w:val="24"/>
        </w:rPr>
        <w:t>В болничната медицинска помощ</w:t>
      </w:r>
    </w:p>
    <w:p w14:paraId="7CAEA6EC" w14:textId="77777777" w:rsidR="00533926" w:rsidRPr="00AA5833" w:rsidRDefault="00533926" w:rsidP="00533926">
      <w:pPr>
        <w:autoSpaceDE w:val="0"/>
        <w:autoSpaceDN w:val="0"/>
        <w:adjustRightInd w:val="0"/>
        <w:spacing w:after="0" w:line="240" w:lineRule="auto"/>
        <w:rPr>
          <w:rFonts w:ascii="Times New Roman" w:hAnsi="Times New Roman" w:cs="Times New Roman"/>
          <w:b/>
          <w:color w:val="000000"/>
          <w:sz w:val="24"/>
          <w:szCs w:val="24"/>
        </w:rPr>
      </w:pPr>
    </w:p>
    <w:p w14:paraId="5346AE2F" w14:textId="77777777" w:rsidR="00533926" w:rsidRPr="00AA5833" w:rsidRDefault="00533926" w:rsidP="00533926">
      <w:pPr>
        <w:spacing w:after="0" w:line="240" w:lineRule="auto"/>
        <w:ind w:firstLine="567"/>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За високоспециализирана диагностика за позитронно-емисионна томография с компютърна томография (ПЕТ/КТ) (РЕТ/СТ) и роботизирана радиохирургия за онкологични и неонкологични заболявания в условията на болничната медицинска помощ от бюджета на НЗОК през 2024 г. са заплатени </w:t>
      </w:r>
      <w:r w:rsidRPr="00AA5833">
        <w:rPr>
          <w:rFonts w:ascii="Times New Roman" w:eastAsia="Times New Roman" w:hAnsi="Times New Roman" w:cs="Times New Roman"/>
          <w:b/>
          <w:sz w:val="24"/>
          <w:szCs w:val="24"/>
          <w:lang w:eastAsia="bg-BG"/>
        </w:rPr>
        <w:t>84 005,9 хил. лв.</w:t>
      </w:r>
    </w:p>
    <w:p w14:paraId="5995240E" w14:textId="77777777" w:rsidR="00533926" w:rsidRPr="00AA5833" w:rsidRDefault="00533926" w:rsidP="00533926">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74E9E742"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499504E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4.8. Подобряване на контрола по отношение на трудовото законодателството, условията на труд и в областта на заетостта</w:t>
            </w:r>
          </w:p>
        </w:tc>
      </w:tr>
    </w:tbl>
    <w:p w14:paraId="4C59CAE8"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p>
    <w:p w14:paraId="2BCA10E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01F759F8"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p>
    <w:p w14:paraId="09432FB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4.8.1. Прилагане на изискванията за здравословни и безопасни условия на труд в Министерство на отбраната, структурите на пряко подчинение на министъра на отбраната и Българската армия</w:t>
      </w:r>
    </w:p>
    <w:p w14:paraId="718AA1A0"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p w14:paraId="6E676AA7"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В изпълнение на МЗ №ОХ-480/16.05.2024 г. МО организира провеждане на специализирано техническо обучение за придобиване или потвърждаване на квалификационна група по електробезопасност на военнослужещите и цивилните служители от Министерството на отбраната (МО), структурите на пряко подчинение на министъра на отбраната и Българската армия (БА). Обучението се проведе съгласно изискванията на Правилника за безопасност и здраве при работа по електрообзавеждането с напрежение до 1000 V и Правилника за безопасност и здраве при работа в електрически уредби на електрически и топлофикационни централи и по електрически мрежи.</w:t>
      </w:r>
    </w:p>
    <w:p w14:paraId="10737D2F"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lastRenderedPageBreak/>
        <w:t>На основание МЗ №ОХ-864/17.09.2024 г., МО в съответствие с изискванията на Наредба №РД-07-2 от 2009 г. и Наредба №4 от 1998 г., организира провеждането на ежегодното обучение на</w:t>
      </w:r>
      <w:r w:rsidRPr="00AA5833">
        <w:rPr>
          <w:rFonts w:ascii="Times New Roman" w:hAnsi="Times New Roman" w:cs="Times New Roman"/>
          <w:b/>
          <w:sz w:val="24"/>
          <w:szCs w:val="24"/>
        </w:rPr>
        <w:t xml:space="preserve"> 561 </w:t>
      </w:r>
      <w:r w:rsidRPr="00AA5833">
        <w:rPr>
          <w:rFonts w:ascii="Times New Roman" w:hAnsi="Times New Roman" w:cs="Times New Roman"/>
          <w:sz w:val="24"/>
          <w:szCs w:val="24"/>
        </w:rPr>
        <w:t>длъжностни лица по безопасност и здраве при работа и на представители на комитетите и групите по условия на труд от МО, структурите на пряко подчинение на министъра на отбраната и БА.</w:t>
      </w:r>
    </w:p>
    <w:p w14:paraId="399638EF"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С МЗ №ОХ-1021/31.10.2024 г. МО организира провеждането на семинари на командирите на военни формирования, началниците на структури на пряко подчинение на министъра на отбраната и БА за запознаване с измененията в нормативните и административните актове, регламентиращи отговорностите им по осигуряване на здравословни и безопасни условия на труд.</w:t>
      </w:r>
    </w:p>
    <w:p w14:paraId="5312FFE4" w14:textId="77777777" w:rsidR="00533926" w:rsidRPr="00AA5833" w:rsidRDefault="00533926" w:rsidP="00533926">
      <w:pPr>
        <w:spacing w:after="0" w:line="240" w:lineRule="auto"/>
        <w:ind w:firstLine="720"/>
        <w:jc w:val="both"/>
        <w:rPr>
          <w:rFonts w:ascii="Times New Roman" w:hAnsi="Times New Roman" w:cs="Times New Roman"/>
          <w:sz w:val="24"/>
          <w:szCs w:val="24"/>
        </w:rPr>
      </w:pPr>
    </w:p>
    <w:p w14:paraId="1AEFAA3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7761D86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FB781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4.8.2. Извършване на проверки за спазване на здравословни и безопасни условия на труд</w:t>
      </w:r>
    </w:p>
    <w:p w14:paraId="3DECC0E9"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p w14:paraId="3EB178CC"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В Министерството на отбраната е създаден и действа Съвет по условия на труд (СУТ-МО). Съветът обсъжда и анализира състоянието и дейността по осигуряване на здравословни и безопасни условия на труд в МО, структурите на пряко подчинение на министъра на отбраната и БА, като предлага решения на министъра на отбраната, свързани с тяхното подобряване. </w:t>
      </w:r>
    </w:p>
    <w:p w14:paraId="3973EEE5"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СУТ-МО е съставен от равен брой участници представляващи МО, структурите на пряко подчинение на министъра на отбраната и БА от една страна, и Федерацията на независимите синдикати от отбраната ,,Българска армия” (ФНСО ,,БА”) към Конфедерация на независимите синдикати в България и Националния синдикат ,,Отбрана” (НС ,,Отбрана”) към Конфедерация на труда ,,Подкрепа” от друга страна.</w:t>
      </w:r>
    </w:p>
    <w:p w14:paraId="2FA0974B"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2024 г. МО е организирало провеждането на две заседания на СУТ-МО, през месеците март и септември. </w:t>
      </w:r>
    </w:p>
    <w:p w14:paraId="3ED8D264"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Членовете на СУТ-МО участват в проверките по безопасност и здраве. През 2024 година са извършени проверки в 6 военни формирования от БА и структури на МО.</w:t>
      </w:r>
    </w:p>
    <w:p w14:paraId="1F0C1E5F"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За лични предпазни средства и специално работно облекло, за подобряване на условията на труд, за подпомагане на конкретни военни формирования и структури за преодоляване на проблеми по безопасността, които са констатирани по време на проверките по безопасност и здраве при работа от членове на Съвета по условия на труд в МО, са предоставени финансови средства в размер на </w:t>
      </w:r>
      <w:r w:rsidRPr="00AA5833">
        <w:rPr>
          <w:rFonts w:ascii="Times New Roman" w:hAnsi="Times New Roman" w:cs="Times New Roman"/>
          <w:b/>
          <w:sz w:val="24"/>
          <w:szCs w:val="24"/>
        </w:rPr>
        <w:t xml:space="preserve">357 000 лв. </w:t>
      </w:r>
      <w:r w:rsidRPr="00AA5833">
        <w:rPr>
          <w:rFonts w:ascii="Times New Roman" w:hAnsi="Times New Roman" w:cs="Times New Roman"/>
          <w:sz w:val="24"/>
          <w:szCs w:val="24"/>
        </w:rPr>
        <w:t>от подпрограмата за осигуряване на здравословни и безопасни условия на труд в МО.</w:t>
      </w:r>
    </w:p>
    <w:p w14:paraId="2EF5E666"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p w14:paraId="2A94A04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„ГЛАВНА ИНСПЕКЦИЯ ПО ТРУДА“ МИНИСТЕРСТВО НА ОТБРАНАТА</w:t>
      </w:r>
    </w:p>
    <w:p w14:paraId="22D4EF93"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p w14:paraId="5DF7ADF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4.8.3. Извършване на проверки за спазване на трудовото законодателство, здравословни и безопасни условия на труд и в областта на заетостта </w:t>
      </w:r>
    </w:p>
    <w:p w14:paraId="01D90B1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E8A18BC"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 xml:space="preserve">          През 2024 г. от контролните органи на Агенцията са извършени общо 49 858 бр. проверки, с което е постигнат планираният брой инспекции за годината. С цел проследяване ефективността на контролната дейност, е извършен последващ контрол относно изпълнението на повече от половината от дадените задължителни предписания, което показва висока степен на ефективност на контролната дейност.</w:t>
      </w:r>
    </w:p>
    <w:p w14:paraId="12E3DFC9"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lastRenderedPageBreak/>
        <w:t xml:space="preserve">           През 2024 г. са проверени 41 863 бр. предприятия, от които 4458 бр. за първи път. Освен увеличения обхват на контрола, приоритет е даден и на контрола в предприятия, останали извън полезрението на Агенцията до момента. </w:t>
      </w:r>
    </w:p>
    <w:p w14:paraId="4B0CD366"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 xml:space="preserve">          В резултат на извършените проверки през 2024 г. са констатирани общо 201 672 бр. нарушения по спазване изискванията на трудовото законодателство, здравословните и безопасни условия на труд и в областта на заетостта. Разпределението на нарушенията по основни групи е, както следва:</w:t>
      </w:r>
    </w:p>
    <w:p w14:paraId="4616BE6E" w14:textId="77777777" w:rsidR="00533926" w:rsidRPr="00AA5833" w:rsidRDefault="00533926" w:rsidP="002A598C">
      <w:pPr>
        <w:numPr>
          <w:ilvl w:val="0"/>
          <w:numId w:val="73"/>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нарушения на нормативните изисквания за здравословни и безопасни условия на труд – 105 761 бр.; </w:t>
      </w:r>
    </w:p>
    <w:p w14:paraId="71945BA6" w14:textId="77777777" w:rsidR="00533926" w:rsidRPr="00AA5833" w:rsidRDefault="00533926" w:rsidP="002A598C">
      <w:pPr>
        <w:numPr>
          <w:ilvl w:val="0"/>
          <w:numId w:val="73"/>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нарушения на нормативните изисквания, регламентиращи трудовите правоотношения – 95 793 бр.; </w:t>
      </w:r>
    </w:p>
    <w:p w14:paraId="638CD967" w14:textId="77777777" w:rsidR="00533926" w:rsidRPr="00AA5833" w:rsidRDefault="00533926" w:rsidP="002A598C">
      <w:pPr>
        <w:numPr>
          <w:ilvl w:val="0"/>
          <w:numId w:val="73"/>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нарушения на нормите в областта на насърчаване на заетостта – 118 бр.</w:t>
      </w:r>
    </w:p>
    <w:p w14:paraId="2D7D260D"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ab/>
        <w:t>Констатираните нарушения на изискванията за осигуряване на здравословни и безопасни условия на труд през 2024 г. са разпределени, както следва:</w:t>
      </w:r>
    </w:p>
    <w:p w14:paraId="35298E33" w14:textId="77777777" w:rsidR="00533926" w:rsidRPr="00AA5833" w:rsidRDefault="00533926" w:rsidP="002A598C">
      <w:pPr>
        <w:numPr>
          <w:ilvl w:val="0"/>
          <w:numId w:val="74"/>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нарушения на нормите, свързани с организацията и управлението на дейността за осигуряване на здраве и безопасност при работа – 66 481 бр.;</w:t>
      </w:r>
    </w:p>
    <w:p w14:paraId="16410D53" w14:textId="77777777" w:rsidR="00533926" w:rsidRPr="00AA5833" w:rsidRDefault="00533926" w:rsidP="002A598C">
      <w:pPr>
        <w:numPr>
          <w:ilvl w:val="0"/>
          <w:numId w:val="74"/>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нарушения на нормите по обезопасеност на работното оборудване и технологичните процеси – 26 184 бр. и</w:t>
      </w:r>
    </w:p>
    <w:p w14:paraId="58A8F7FA" w14:textId="77777777" w:rsidR="00533926" w:rsidRPr="00AA5833" w:rsidRDefault="00533926" w:rsidP="002A598C">
      <w:pPr>
        <w:numPr>
          <w:ilvl w:val="0"/>
          <w:numId w:val="74"/>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нарушения на нормите по хигиена на труда – 13 096 бр. </w:t>
      </w:r>
    </w:p>
    <w:p w14:paraId="653E0EF4"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ab/>
        <w:t xml:space="preserve">Разпределението на нарушенията в областта на трудовите правоотношения по групи е, както следва: </w:t>
      </w:r>
    </w:p>
    <w:p w14:paraId="18D09E61" w14:textId="77777777" w:rsidR="00533926" w:rsidRPr="00AA5833" w:rsidRDefault="00533926" w:rsidP="002A598C">
      <w:pPr>
        <w:numPr>
          <w:ilvl w:val="0"/>
          <w:numId w:val="76"/>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по заплащането на труда – 21 531 бр.; </w:t>
      </w:r>
    </w:p>
    <w:p w14:paraId="1658ACC2" w14:textId="77777777" w:rsidR="00533926" w:rsidRPr="00AA5833" w:rsidRDefault="00533926" w:rsidP="002A598C">
      <w:pPr>
        <w:numPr>
          <w:ilvl w:val="0"/>
          <w:numId w:val="76"/>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по възникване на трудови правоотношения – 12 503 бр.; </w:t>
      </w:r>
    </w:p>
    <w:p w14:paraId="62E846D2" w14:textId="77777777" w:rsidR="00533926" w:rsidRPr="00AA5833" w:rsidRDefault="00533926" w:rsidP="002A598C">
      <w:pPr>
        <w:numPr>
          <w:ilvl w:val="0"/>
          <w:numId w:val="76"/>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по работно време – 12 502 бр.; </w:t>
      </w:r>
    </w:p>
    <w:p w14:paraId="03F1D6E9" w14:textId="77777777" w:rsidR="00533926" w:rsidRPr="00AA5833" w:rsidRDefault="00533926" w:rsidP="002A598C">
      <w:pPr>
        <w:numPr>
          <w:ilvl w:val="0"/>
          <w:numId w:val="76"/>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по предоставяне на документи – 8927 бр.; </w:t>
      </w:r>
    </w:p>
    <w:p w14:paraId="6FCE5C58" w14:textId="77777777" w:rsidR="00533926" w:rsidRPr="00AA5833" w:rsidRDefault="00533926" w:rsidP="002A598C">
      <w:pPr>
        <w:numPr>
          <w:ilvl w:val="0"/>
          <w:numId w:val="76"/>
        </w:numPr>
        <w:tabs>
          <w:tab w:val="left" w:pos="709"/>
          <w:tab w:val="left" w:pos="1200"/>
          <w:tab w:val="left" w:pos="1300"/>
        </w:tabs>
        <w:spacing w:after="0" w:line="240" w:lineRule="auto"/>
        <w:contextualSpacing/>
        <w:jc w:val="both"/>
        <w:textAlignment w:val="center"/>
        <w:rPr>
          <w:rFonts w:ascii="Times New Roman" w:hAnsi="Times New Roman"/>
          <w:sz w:val="24"/>
          <w:szCs w:val="24"/>
        </w:rPr>
      </w:pPr>
      <w:r w:rsidRPr="00AA5833">
        <w:rPr>
          <w:rFonts w:ascii="Times New Roman" w:hAnsi="Times New Roman"/>
          <w:sz w:val="24"/>
          <w:szCs w:val="24"/>
        </w:rPr>
        <w:t xml:space="preserve">по почивките и отпуските – 7200 бр. </w:t>
      </w:r>
    </w:p>
    <w:p w14:paraId="5AB9828B"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 xml:space="preserve">          За отстраняване на констатираните нарушения, контролните органи на ИА ГИТ са</w:t>
      </w:r>
    </w:p>
    <w:p w14:paraId="19D201F7"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приложили 193 796 бр. принудителни административни мерки (ПАМ), от които 188 717 бр. (97%) представляват задължителни за изпълнение предписания. Освен тях са приложени и следните ПАМ:</w:t>
      </w:r>
    </w:p>
    <w:p w14:paraId="28A210B0" w14:textId="77777777" w:rsidR="00533926" w:rsidRPr="00AA5833" w:rsidRDefault="00533926" w:rsidP="002A598C">
      <w:pPr>
        <w:numPr>
          <w:ilvl w:val="0"/>
          <w:numId w:val="75"/>
        </w:numPr>
        <w:spacing w:after="0" w:line="240" w:lineRule="auto"/>
        <w:ind w:firstLine="360"/>
        <w:contextualSpacing/>
        <w:jc w:val="both"/>
        <w:textAlignment w:val="center"/>
        <w:rPr>
          <w:rFonts w:ascii="Times New Roman" w:hAnsi="Times New Roman"/>
          <w:sz w:val="24"/>
          <w:szCs w:val="24"/>
        </w:rPr>
      </w:pPr>
      <w:r w:rsidRPr="00AA5833">
        <w:rPr>
          <w:rFonts w:ascii="Times New Roman" w:hAnsi="Times New Roman"/>
          <w:sz w:val="24"/>
          <w:szCs w:val="24"/>
        </w:rPr>
        <w:t xml:space="preserve">спрени машини, съоръжения, работни места и участъци – 692 бр.;  </w:t>
      </w:r>
    </w:p>
    <w:p w14:paraId="6C66ED00" w14:textId="77777777" w:rsidR="00533926" w:rsidRPr="00AA5833" w:rsidRDefault="00533926" w:rsidP="002A598C">
      <w:pPr>
        <w:numPr>
          <w:ilvl w:val="0"/>
          <w:numId w:val="75"/>
        </w:numPr>
        <w:spacing w:after="0" w:line="240" w:lineRule="auto"/>
        <w:ind w:firstLine="360"/>
        <w:contextualSpacing/>
        <w:jc w:val="both"/>
        <w:textAlignment w:val="center"/>
        <w:rPr>
          <w:rFonts w:ascii="Times New Roman" w:hAnsi="Times New Roman"/>
          <w:sz w:val="24"/>
          <w:szCs w:val="24"/>
        </w:rPr>
      </w:pPr>
      <w:r w:rsidRPr="00AA5833">
        <w:rPr>
          <w:rFonts w:ascii="Times New Roman" w:hAnsi="Times New Roman"/>
          <w:sz w:val="24"/>
          <w:szCs w:val="24"/>
        </w:rPr>
        <w:t xml:space="preserve">отстранени от работа служители поради липса на изискващата се квалификация или незапознати с правилата за здравословни и безопасни условия на труд – 103 бр.; </w:t>
      </w:r>
    </w:p>
    <w:p w14:paraId="439F1AA0" w14:textId="77777777" w:rsidR="00533926" w:rsidRPr="00AA5833" w:rsidRDefault="00533926" w:rsidP="002A598C">
      <w:pPr>
        <w:numPr>
          <w:ilvl w:val="0"/>
          <w:numId w:val="75"/>
        </w:numPr>
        <w:spacing w:after="0" w:line="240" w:lineRule="auto"/>
        <w:ind w:firstLine="360"/>
        <w:contextualSpacing/>
        <w:jc w:val="both"/>
        <w:textAlignment w:val="center"/>
        <w:rPr>
          <w:rFonts w:ascii="Times New Roman" w:hAnsi="Times New Roman"/>
          <w:sz w:val="24"/>
          <w:szCs w:val="24"/>
        </w:rPr>
      </w:pPr>
      <w:r w:rsidRPr="00AA5833">
        <w:rPr>
          <w:rFonts w:ascii="Times New Roman" w:hAnsi="Times New Roman"/>
          <w:sz w:val="24"/>
          <w:szCs w:val="24"/>
        </w:rPr>
        <w:t xml:space="preserve">въведен специален режим за безопасна работа при възникнала сериозна и непосредствена опасност за живота и здравето на работещите и при невъзможност за спиране на работата на опасните машини – 21 бр.; </w:t>
      </w:r>
    </w:p>
    <w:p w14:paraId="49CD4F41" w14:textId="77777777" w:rsidR="00533926" w:rsidRPr="00AA5833" w:rsidRDefault="00533926" w:rsidP="002A598C">
      <w:pPr>
        <w:numPr>
          <w:ilvl w:val="0"/>
          <w:numId w:val="75"/>
        </w:numPr>
        <w:spacing w:after="0" w:line="240" w:lineRule="auto"/>
        <w:ind w:firstLine="360"/>
        <w:contextualSpacing/>
        <w:jc w:val="both"/>
        <w:textAlignment w:val="center"/>
        <w:rPr>
          <w:rFonts w:ascii="Times New Roman" w:hAnsi="Times New Roman"/>
          <w:sz w:val="24"/>
          <w:szCs w:val="24"/>
        </w:rPr>
      </w:pPr>
      <w:r w:rsidRPr="00AA5833">
        <w:rPr>
          <w:rFonts w:ascii="Times New Roman" w:hAnsi="Times New Roman"/>
          <w:sz w:val="24"/>
          <w:szCs w:val="24"/>
        </w:rPr>
        <w:t>спрени незаконни решения или нареждания на работодатели – 18 бр.</w:t>
      </w:r>
    </w:p>
    <w:p w14:paraId="6466565D"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 xml:space="preserve">          Общият брой на съставените актове за нарушения по спазване изискванията на трудовото законодателство, здравословните и безопасни условия на труд и в областта на заетостта през 2024 г. е 9928. Издадените наказателни постановления и одобрени споразумения през годината са 7972 бр. </w:t>
      </w:r>
    </w:p>
    <w:p w14:paraId="450C2140" w14:textId="77777777" w:rsidR="00533926" w:rsidRPr="00AA5833" w:rsidRDefault="00533926" w:rsidP="00533926">
      <w:pPr>
        <w:tabs>
          <w:tab w:val="left" w:pos="709"/>
          <w:tab w:val="left" w:pos="1200"/>
          <w:tab w:val="left" w:pos="1300"/>
        </w:tabs>
        <w:spacing w:after="0" w:line="240" w:lineRule="auto"/>
        <w:jc w:val="both"/>
        <w:textAlignment w:val="center"/>
        <w:rPr>
          <w:rFonts w:ascii="Times New Roman" w:hAnsi="Times New Roman"/>
          <w:sz w:val="24"/>
          <w:szCs w:val="24"/>
        </w:rPr>
      </w:pPr>
      <w:r w:rsidRPr="00AA5833">
        <w:rPr>
          <w:rFonts w:ascii="Times New Roman" w:hAnsi="Times New Roman"/>
          <w:sz w:val="24"/>
          <w:szCs w:val="24"/>
        </w:rPr>
        <w:t xml:space="preserve">         Мярката е реализирана на национално ниво в рамките на утвърдения бюджет. В резултат от реализирането на мярката е постигнато повишаване на ефективността на контрола за спазване на трудовото законодателство, здравословните и безопасни условия на труд и в областта на заетостта.</w:t>
      </w:r>
    </w:p>
    <w:p w14:paraId="7D646A90"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46318725"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1059201C" w14:textId="77777777" w:rsidR="00533926" w:rsidRPr="00AA5833" w:rsidRDefault="00533926" w:rsidP="00533926">
            <w:pPr>
              <w:spacing w:after="0" w:line="240" w:lineRule="auto"/>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color w:val="000000"/>
                <w:sz w:val="24"/>
                <w:szCs w:val="24"/>
                <w:lang w:eastAsia="bg-BG"/>
              </w:rPr>
              <w:t>4.9.</w:t>
            </w:r>
            <w:r w:rsidRPr="00AA5833">
              <w:rPr>
                <w:rFonts w:ascii="Times New Roman" w:eastAsia="Times New Roman" w:hAnsi="Times New Roman" w:cs="Times New Roman"/>
                <w:color w:val="000000"/>
                <w:sz w:val="24"/>
                <w:szCs w:val="24"/>
                <w:lang w:eastAsia="bg-BG"/>
              </w:rPr>
              <w:t xml:space="preserve"> </w:t>
            </w:r>
            <w:r w:rsidRPr="00AA5833">
              <w:rPr>
                <w:rFonts w:ascii="Times New Roman" w:eastAsia="Times New Roman" w:hAnsi="Times New Roman" w:cs="Times New Roman"/>
                <w:b/>
                <w:bCs/>
                <w:color w:val="000000"/>
                <w:sz w:val="24"/>
                <w:szCs w:val="24"/>
                <w:lang w:eastAsia="bg-BG"/>
              </w:rPr>
              <w:t>Подобряване на чистотата на природната (вода, въздух, почви) и околната среда</w:t>
            </w:r>
          </w:p>
        </w:tc>
      </w:tr>
    </w:tbl>
    <w:p w14:paraId="751A806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1756CBF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14BC5007" w14:textId="77777777" w:rsidR="00533926" w:rsidRPr="00AA5833" w:rsidRDefault="00533926" w:rsidP="00533926">
            <w:pPr>
              <w:shd w:val="clear" w:color="auto" w:fill="FFFF99"/>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bCs/>
                <w:sz w:val="24"/>
                <w:szCs w:val="24"/>
                <w:lang w:eastAsia="bg-BG"/>
              </w:rPr>
              <w:lastRenderedPageBreak/>
              <w:t xml:space="preserve">4.9.1. </w:t>
            </w:r>
            <w:r w:rsidRPr="00AA5833">
              <w:rPr>
                <w:rFonts w:ascii="Times New Roman" w:eastAsia="Times New Roman" w:hAnsi="Times New Roman" w:cs="Times New Roman"/>
                <w:b/>
                <w:bCs/>
                <w:color w:val="000000"/>
                <w:sz w:val="24"/>
                <w:szCs w:val="24"/>
                <w:lang w:eastAsia="bg-BG"/>
              </w:rPr>
              <w:t xml:space="preserve">Обезопасяване на опасни за здравето източници на замърсяване – сметища, производства, отпадъчни води и др. </w:t>
            </w:r>
          </w:p>
        </w:tc>
      </w:tr>
    </w:tbl>
    <w:p w14:paraId="77DBE878"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4A723BB4"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r w:rsidRPr="00AA5833">
        <w:rPr>
          <w:rFonts w:ascii="Times New Roman" w:eastAsia="Times New Roman" w:hAnsi="Times New Roman" w:cs="Times New Roman"/>
          <w:b/>
          <w:caps/>
          <w:color w:val="0000FF"/>
          <w:sz w:val="24"/>
          <w:szCs w:val="24"/>
        </w:rPr>
        <w:t>общини, В</w:t>
      </w:r>
      <w:r w:rsidRPr="00AA5833">
        <w:rPr>
          <w:rFonts w:ascii="Times New Roman" w:eastAsia="Times New Roman" w:hAnsi="Times New Roman" w:cs="Times New Roman"/>
          <w:b/>
          <w:color w:val="0000FF"/>
          <w:sz w:val="24"/>
          <w:szCs w:val="24"/>
        </w:rPr>
        <w:t>и</w:t>
      </w:r>
      <w:r w:rsidRPr="00AA5833">
        <w:rPr>
          <w:rFonts w:ascii="Times New Roman" w:eastAsia="Times New Roman" w:hAnsi="Times New Roman" w:cs="Times New Roman"/>
          <w:b/>
          <w:caps/>
          <w:color w:val="0000FF"/>
          <w:sz w:val="24"/>
          <w:szCs w:val="24"/>
        </w:rPr>
        <w:t>К оператори, В</w:t>
      </w:r>
      <w:r w:rsidRPr="00AA5833">
        <w:rPr>
          <w:rFonts w:ascii="Times New Roman" w:eastAsia="Times New Roman" w:hAnsi="Times New Roman" w:cs="Times New Roman"/>
          <w:b/>
          <w:color w:val="0000FF"/>
          <w:sz w:val="24"/>
          <w:szCs w:val="24"/>
        </w:rPr>
        <w:t>и</w:t>
      </w:r>
      <w:r w:rsidRPr="00AA5833">
        <w:rPr>
          <w:rFonts w:ascii="Times New Roman" w:eastAsia="Times New Roman" w:hAnsi="Times New Roman" w:cs="Times New Roman"/>
          <w:b/>
          <w:caps/>
          <w:color w:val="0000FF"/>
          <w:sz w:val="24"/>
          <w:szCs w:val="24"/>
        </w:rPr>
        <w:t xml:space="preserve">К асоциации </w:t>
      </w:r>
    </w:p>
    <w:p w14:paraId="1B6948D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14:paraId="311B97BA"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4.9.1.1. Подкрепа за осигуряването на достъп до вода и на устойчивото управление на водите</w:t>
      </w:r>
    </w:p>
    <w:p w14:paraId="0A98829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17D63099"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приоритет 1 „Води“ на Програма „Околна среда 2021 – 2027 г.“ (ПОС 2021 –2027 г.) до края на 2024 г. са обявени 4 покани за предоставяне на безвъзмездна финансова помощ (БФП) в размер на над 1.339 млрд. лв. (95.7% от бюджета по приоритета). Финансират се дейности по изграждане/реконструкция на ВиК инфраструктура и модернизиране на органите на държавния здравен контрол за осъществяване на мониторинг на качеството на питейните води. В изпълнение са 6 договора.</w:t>
      </w:r>
    </w:p>
    <w:p w14:paraId="0F132657"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приоритетна ос 1 „Води“ на Оперативна програма „Околна среда 2014 – 2020 г.“ (ОПОС 2014-2020 г.) до края на 2024 г. са финализирани 43 договора/заповеди за предоставяне на БФП в размер на над 1.5 млрд. лв. (97% от бюджета по оста). Разплатените средства са близо 1.45 млрд. лв. или почти 94% от бюджета по оста. Верификацията на плащанията по ОПОС 2014 – 2020 г. продължава до 31 май 2025 г.</w:t>
      </w:r>
    </w:p>
    <w:p w14:paraId="6CB29964"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Програмният период по ОПОС 2014 – 2020 г. приключва с:</w:t>
      </w:r>
    </w:p>
    <w:p w14:paraId="1AB37D9A" w14:textId="77777777" w:rsidR="00533926" w:rsidRPr="00AA5833" w:rsidRDefault="00533926" w:rsidP="002A598C">
      <w:pPr>
        <w:numPr>
          <w:ilvl w:val="0"/>
          <w:numId w:val="37"/>
        </w:numPr>
        <w:autoSpaceDE w:val="0"/>
        <w:autoSpaceDN w:val="0"/>
        <w:adjustRightInd w:val="0"/>
        <w:spacing w:after="0" w:line="240" w:lineRule="auto"/>
        <w:ind w:left="0" w:firstLine="993"/>
        <w:contextualSpacing/>
        <w:jc w:val="both"/>
        <w:rPr>
          <w:rFonts w:ascii="Times New Roman" w:hAnsi="Times New Roman" w:cs="Times New Roman"/>
          <w:sz w:val="24"/>
          <w:szCs w:val="24"/>
        </w:rPr>
      </w:pPr>
      <w:r w:rsidRPr="00AA5833">
        <w:rPr>
          <w:rFonts w:ascii="Times New Roman" w:hAnsi="Times New Roman" w:cs="Times New Roman"/>
          <w:sz w:val="24"/>
          <w:szCs w:val="24"/>
        </w:rPr>
        <w:t>1 508 135 допълнителен брой жители с достъп до подобрено водоснабдяване, при целева стойност 1 400 000;</w:t>
      </w:r>
    </w:p>
    <w:p w14:paraId="72E6428D" w14:textId="77777777" w:rsidR="00533926" w:rsidRPr="00AA5833" w:rsidRDefault="00533926" w:rsidP="002A598C">
      <w:pPr>
        <w:numPr>
          <w:ilvl w:val="0"/>
          <w:numId w:val="37"/>
        </w:numPr>
        <w:autoSpaceDE w:val="0"/>
        <w:autoSpaceDN w:val="0"/>
        <w:adjustRightInd w:val="0"/>
        <w:spacing w:after="0" w:line="240" w:lineRule="auto"/>
        <w:ind w:left="0" w:firstLine="993"/>
        <w:contextualSpacing/>
        <w:jc w:val="both"/>
        <w:rPr>
          <w:rFonts w:ascii="Times New Roman" w:hAnsi="Times New Roman" w:cs="Times New Roman"/>
          <w:sz w:val="24"/>
          <w:szCs w:val="24"/>
        </w:rPr>
      </w:pPr>
      <w:r w:rsidRPr="00AA5833">
        <w:rPr>
          <w:rFonts w:ascii="Times New Roman" w:hAnsi="Times New Roman" w:cs="Times New Roman"/>
          <w:sz w:val="24"/>
          <w:szCs w:val="24"/>
        </w:rPr>
        <w:t>1 311 426 допълнителен брой жители с достъп до подобрено пречистване на отпадъчните води, при целева стойност 1 180 000;</w:t>
      </w:r>
    </w:p>
    <w:p w14:paraId="0694119D" w14:textId="77777777" w:rsidR="00533926" w:rsidRPr="00AA5833" w:rsidRDefault="00533926" w:rsidP="002A598C">
      <w:pPr>
        <w:numPr>
          <w:ilvl w:val="0"/>
          <w:numId w:val="37"/>
        </w:numPr>
        <w:autoSpaceDE w:val="0"/>
        <w:autoSpaceDN w:val="0"/>
        <w:adjustRightInd w:val="0"/>
        <w:spacing w:after="0" w:line="240" w:lineRule="auto"/>
        <w:ind w:left="0" w:firstLine="993"/>
        <w:contextualSpacing/>
        <w:jc w:val="both"/>
        <w:rPr>
          <w:rFonts w:ascii="Times New Roman" w:hAnsi="Times New Roman" w:cs="Times New Roman"/>
          <w:sz w:val="24"/>
          <w:szCs w:val="24"/>
        </w:rPr>
      </w:pPr>
      <w:r w:rsidRPr="00AA5833">
        <w:rPr>
          <w:rFonts w:ascii="Times New Roman" w:hAnsi="Times New Roman" w:cs="Times New Roman"/>
          <w:sz w:val="24"/>
          <w:szCs w:val="24"/>
        </w:rPr>
        <w:t>24 бр. изградени, рехабилитирани или реконструирани ПСОВ, при целева стойност 25.</w:t>
      </w:r>
    </w:p>
    <w:p w14:paraId="79746735"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Със средства, постъпили като погасяване на стари задължения от такси, натрупани от ВиК дружествата, платени чрез  „Български ВиК холдинг“ ЕАД, е приключено изпълнението на 4 договора на обща стойност 10 400 055.94 лв. в 3 общини: Долна Баня, Ихтиман и Ябланица. Изградени са общо около 12.52 км водопроводна мрежа, като броят на жителите, които ще се ползват от проектите, е около 7598.</w:t>
      </w:r>
    </w:p>
    <w:p w14:paraId="01A85EC8"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Със средства от Предприятието за управление на дейностите по опазване на околната среда (ПУДООС) през 2024 г. окончателно е осъществено изграждането на малки водоснабдителни обекти по 8 договора на обща стойност 10 526 205.48 лв. в 8 общини: Царево, Бойчиновци, Горна Оряховица, Раднево, Антон, Стрелча, Лесичово и Болярово. Изградени са приблизително 17.81 км водопровод, като броят на жителите, които ще се ползват от проектите, е 5133. </w:t>
      </w:r>
    </w:p>
    <w:p w14:paraId="3348E251"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отчетния период със средства от ПУДООС е приключено изпълнението на проекти за изграждането на колектори и канализации по 5 договора на обща стойност 9 958 439.37 лв. в 4 общини: Марица, Аксаково, Раковски и Провадия. Изградената за 2024 година канализационна мрежа е приблизително 5.51 км, като броят на жителите, които ще се ползват от проектите, е приблизително 12 100.</w:t>
      </w:r>
    </w:p>
    <w:p w14:paraId="0E1F1818"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59EC0774"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общини</w:t>
      </w:r>
    </w:p>
    <w:p w14:paraId="4EE6CE36" w14:textId="77777777" w:rsidR="00533926" w:rsidRPr="00AA5833" w:rsidRDefault="00533926" w:rsidP="00533926">
      <w:pPr>
        <w:spacing w:after="0" w:line="240" w:lineRule="auto"/>
        <w:jc w:val="center"/>
        <w:rPr>
          <w:rFonts w:eastAsia="Times New Roman" w:cs="Times New Roman"/>
          <w:b/>
          <w:caps/>
          <w:color w:val="0000FF"/>
          <w:sz w:val="24"/>
          <w:szCs w:val="24"/>
        </w:rPr>
      </w:pPr>
    </w:p>
    <w:p w14:paraId="0781C05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4.9.1.2. Насърчаване на прехода към кръгова и основаваща се на ефективно използване на ресурсите икономика </w:t>
      </w:r>
    </w:p>
    <w:p w14:paraId="17BC9177" w14:textId="77777777" w:rsidR="00533926" w:rsidRPr="00AA5833" w:rsidRDefault="00533926" w:rsidP="00533926">
      <w:pPr>
        <w:spacing w:after="0" w:line="240" w:lineRule="auto"/>
        <w:jc w:val="both"/>
        <w:rPr>
          <w:rFonts w:ascii="Times New Roman" w:hAnsi="Times New Roman" w:cs="Times New Roman"/>
          <w:color w:val="000000"/>
          <w:sz w:val="24"/>
          <w:szCs w:val="24"/>
        </w:rPr>
      </w:pPr>
    </w:p>
    <w:p w14:paraId="38253D20"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По приоритет 2 „Отпадъци“ на ПОС 2021 – 2027 г. до края на 2024 г. са обявени 6 покани за предоставяне на БФП в размер на над 434.4 млн. лв. (71% от бюджета по приоритета). Четири от тези покани (на обща стойност от малко над 287 млн. лв.) са обявени по цел „Насърчаване на прехода към кръгова и основаваща се на ефективно използване на ресурсите икономика“. Финансират се мерки за изграждане, разширяване и/или надграждане на общински/ регионални системи за разделно събиране и рециклиране на биоразградими отпадъци.</w:t>
      </w:r>
    </w:p>
    <w:p w14:paraId="07A6C5A0" w14:textId="77777777" w:rsidR="00533926"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23F84C2A" w14:textId="77777777" w:rsidR="002E676E" w:rsidRPr="00AA5833" w:rsidRDefault="002E676E"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078EB437"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ascii="Times New Roman Bold" w:eastAsia="Times New Roman" w:hAnsi="Times New Roman Bold" w:cs="Times New Roman"/>
          <w:b/>
          <w:caps/>
          <w:color w:val="0000FF"/>
          <w:sz w:val="24"/>
          <w:szCs w:val="24"/>
        </w:rPr>
        <w:t xml:space="preserve">МИНИСТЕРСТВО НА ОКОЛНАТА СРЕДА И ВОДИТЕ, общини </w:t>
      </w:r>
    </w:p>
    <w:p w14:paraId="08A4440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20D17950"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4.9.1.3. Подобряване на защитата и опазването на природата, биологичното разнообразие и екологосъобразната инфраструктура, включително в градските райони, и намаляване на всички форми на замърсяване</w:t>
      </w:r>
    </w:p>
    <w:p w14:paraId="1F27A637" w14:textId="77777777" w:rsidR="00533926" w:rsidRPr="00AA5833" w:rsidRDefault="00533926" w:rsidP="00533926">
      <w:pPr>
        <w:spacing w:after="0" w:line="240" w:lineRule="auto"/>
        <w:jc w:val="both"/>
        <w:rPr>
          <w:rFonts w:ascii="Times New Roman" w:hAnsi="Times New Roman" w:cs="Times New Roman"/>
          <w:color w:val="000000"/>
          <w:sz w:val="24"/>
          <w:szCs w:val="24"/>
        </w:rPr>
      </w:pPr>
    </w:p>
    <w:p w14:paraId="4F204FA4" w14:textId="77777777" w:rsidR="00533926" w:rsidRPr="00AA5833" w:rsidRDefault="00533926" w:rsidP="00533926">
      <w:pPr>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В рамките на приоритет 2 „Отпадъци“ на ПОС 2021 – 2027 г. до края на 2024 г. са обявени 6 покани за предоставяне на БФП в размер на над 434.4 млн. лв. (71% от бюджета по приоритета). Две от тези покани (на обща стойност 147.4 млн. лв.) са обявени по цел „Подобряване на защитата и опазването на природата, биологичното разнообразие и екологосъобразната инфраструктура, включително в градските райони, и намаляване на всички форми на замърсяване“. Средства се предоставят единствено за дейности по рекултивация на депа и/или осигуряване на безопасност на съществуващи депа, без увеличаване на техния капацитет.</w:t>
      </w:r>
    </w:p>
    <w:p w14:paraId="259C213E" w14:textId="77777777" w:rsidR="00533926" w:rsidRPr="00AA5833" w:rsidRDefault="00533926" w:rsidP="00533926">
      <w:pPr>
        <w:spacing w:after="0" w:line="240" w:lineRule="auto"/>
        <w:ind w:firstLine="708"/>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В рамките на приоритетна ос 2 „Отпадъци“ на ОПОС 2014-2020 г. до края на 2024 година са финализирани 144 договора за предоставяне на БФП в размер на над 414.7 млн. лв. (102% от бюджета). Разплатени са над 403.6 млн. лв. или над 99% от бюджета по оста. Верификацията на плащанията по ОПОС 2014 – 2020 г. продължава до 31 май 2025 г.</w:t>
      </w:r>
    </w:p>
    <w:p w14:paraId="71B4191E" w14:textId="77777777" w:rsidR="00533926" w:rsidRPr="00AA5833" w:rsidRDefault="00533926" w:rsidP="00533926">
      <w:pPr>
        <w:spacing w:after="0" w:line="240" w:lineRule="auto"/>
        <w:ind w:firstLine="708"/>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Програмният период по ОПОС 2014-2020 г. приключва с:</w:t>
      </w:r>
    </w:p>
    <w:p w14:paraId="25348CAF" w14:textId="77777777" w:rsidR="00533926" w:rsidRPr="00AA5833" w:rsidRDefault="00533926" w:rsidP="002A598C">
      <w:pPr>
        <w:numPr>
          <w:ilvl w:val="0"/>
          <w:numId w:val="37"/>
        </w:numPr>
        <w:autoSpaceDE w:val="0"/>
        <w:autoSpaceDN w:val="0"/>
        <w:adjustRightInd w:val="0"/>
        <w:spacing w:after="0" w:line="240" w:lineRule="auto"/>
        <w:ind w:left="1276" w:hanging="283"/>
        <w:contextualSpacing/>
        <w:jc w:val="both"/>
        <w:rPr>
          <w:rFonts w:ascii="Times New Roman" w:hAnsi="Times New Roman" w:cs="Times New Roman"/>
          <w:sz w:val="24"/>
          <w:szCs w:val="24"/>
        </w:rPr>
      </w:pPr>
      <w:r w:rsidRPr="00AA5833">
        <w:rPr>
          <w:rFonts w:ascii="Times New Roman" w:hAnsi="Times New Roman" w:cs="Times New Roman"/>
          <w:sz w:val="24"/>
          <w:szCs w:val="24"/>
        </w:rPr>
        <w:t>497 862 т/г. намалено количество депонирани битови отпадъци, при целева стойност 540 000 т/г.;</w:t>
      </w:r>
    </w:p>
    <w:p w14:paraId="6C05E7EB" w14:textId="77777777" w:rsidR="00533926" w:rsidRPr="00AA5833" w:rsidRDefault="00533926" w:rsidP="002A598C">
      <w:pPr>
        <w:numPr>
          <w:ilvl w:val="0"/>
          <w:numId w:val="37"/>
        </w:numPr>
        <w:autoSpaceDE w:val="0"/>
        <w:autoSpaceDN w:val="0"/>
        <w:adjustRightInd w:val="0"/>
        <w:spacing w:after="0" w:line="240" w:lineRule="auto"/>
        <w:ind w:left="1276" w:hanging="283"/>
        <w:contextualSpacing/>
        <w:jc w:val="both"/>
        <w:rPr>
          <w:rFonts w:ascii="Times New Roman" w:hAnsi="Times New Roman" w:cs="Times New Roman"/>
          <w:sz w:val="24"/>
          <w:szCs w:val="24"/>
        </w:rPr>
      </w:pPr>
      <w:r w:rsidRPr="00AA5833">
        <w:rPr>
          <w:rFonts w:ascii="Times New Roman" w:hAnsi="Times New Roman" w:cs="Times New Roman"/>
          <w:sz w:val="24"/>
          <w:szCs w:val="24"/>
        </w:rPr>
        <w:t>завършена техническа рекултивация на 87 депа, при целева стойност 57;</w:t>
      </w:r>
    </w:p>
    <w:p w14:paraId="399F141D" w14:textId="77777777" w:rsidR="00533926" w:rsidRPr="00AA5833" w:rsidRDefault="00533926" w:rsidP="002A598C">
      <w:pPr>
        <w:numPr>
          <w:ilvl w:val="0"/>
          <w:numId w:val="37"/>
        </w:numPr>
        <w:autoSpaceDE w:val="0"/>
        <w:autoSpaceDN w:val="0"/>
        <w:adjustRightInd w:val="0"/>
        <w:spacing w:after="0" w:line="240" w:lineRule="auto"/>
        <w:ind w:left="1276" w:hanging="283"/>
        <w:contextualSpacing/>
        <w:jc w:val="both"/>
        <w:rPr>
          <w:rFonts w:ascii="Times New Roman" w:hAnsi="Times New Roman" w:cs="Times New Roman"/>
          <w:sz w:val="24"/>
          <w:szCs w:val="24"/>
        </w:rPr>
      </w:pPr>
      <w:r w:rsidRPr="00AA5833">
        <w:rPr>
          <w:rFonts w:ascii="Times New Roman" w:hAnsi="Times New Roman" w:cs="Times New Roman"/>
          <w:sz w:val="24"/>
          <w:szCs w:val="24"/>
        </w:rPr>
        <w:t>193 790 т/г. допълнителен капацитет за рециклиране на отпадъци, при целева стойност 240 000.</w:t>
      </w:r>
    </w:p>
    <w:p w14:paraId="26D36C30" w14:textId="77777777" w:rsidR="00533926" w:rsidRPr="00AA5833" w:rsidRDefault="00533926" w:rsidP="00533926">
      <w:pPr>
        <w:spacing w:after="0" w:line="240" w:lineRule="auto"/>
        <w:ind w:firstLine="708"/>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През 2024 г. със средства от ПУДООС е завършена техническата рекултивация на 3 депа в 3 общини: Стрелча, Тетевен и Димитровград, като общата стойност на договорите е 1 543 204.77 лв.</w:t>
      </w:r>
    </w:p>
    <w:p w14:paraId="17EA2423"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0C791D1F" w14:textId="77777777" w:rsidR="00533926" w:rsidRPr="00AA5833" w:rsidRDefault="00533926" w:rsidP="00533926">
      <w:pPr>
        <w:autoSpaceDE w:val="0"/>
        <w:autoSpaceDN w:val="0"/>
        <w:adjustRightInd w:val="0"/>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ОБЩИНИ</w:t>
      </w:r>
    </w:p>
    <w:p w14:paraId="1D5EEFE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14:paraId="5E2628E3"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4.9.1.4. Изграждане на регионални съоръжения за третиране на отпадъците</w:t>
      </w:r>
    </w:p>
    <w:p w14:paraId="78FB809A"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r>
    </w:p>
    <w:p w14:paraId="6381829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През 2024 г. няма приключили договори в ПУДООС.</w:t>
      </w:r>
    </w:p>
    <w:p w14:paraId="7A7CA5CF" w14:textId="77777777" w:rsidR="00533926" w:rsidRPr="00AA5833" w:rsidRDefault="00533926" w:rsidP="00533926">
      <w:pPr>
        <w:spacing w:after="0" w:line="240" w:lineRule="auto"/>
        <w:jc w:val="center"/>
        <w:rPr>
          <w:rFonts w:ascii="Times New Roman" w:eastAsia="Times New Roman" w:hAnsi="Times New Roman" w:cs="Times New Roman"/>
          <w:b/>
          <w:sz w:val="24"/>
          <w:szCs w:val="24"/>
          <w:lang w:eastAsia="bg-BG"/>
        </w:rPr>
      </w:pPr>
    </w:p>
    <w:p w14:paraId="1AF2022B"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eastAsia="Times New Roman" w:cs="Times New Roman"/>
          <w:b/>
          <w:sz w:val="24"/>
          <w:szCs w:val="24"/>
          <w:lang w:eastAsia="bg-BG"/>
        </w:rPr>
        <w:tab/>
      </w: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общини,  областни администрации, АПИ, МРРБ, МВР</w:t>
      </w:r>
    </w:p>
    <w:p w14:paraId="5149EAC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1BC0FF9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4.9.1.5. Насърчаване на адаптирането към изменението на климата, предотвратяването на риска от бедствия и устойчивостта, като се вземат предвид екосистемни подходи</w:t>
      </w:r>
    </w:p>
    <w:p w14:paraId="5619B372" w14:textId="77777777" w:rsidR="00533926" w:rsidRPr="00AA5833" w:rsidRDefault="00533926" w:rsidP="00533926">
      <w:pPr>
        <w:tabs>
          <w:tab w:val="left" w:pos="3960"/>
        </w:tabs>
        <w:autoSpaceDE w:val="0"/>
        <w:autoSpaceDN w:val="0"/>
        <w:adjustRightInd w:val="0"/>
        <w:spacing w:after="0" w:line="240" w:lineRule="auto"/>
        <w:jc w:val="both"/>
        <w:rPr>
          <w:rFonts w:eastAsia="Times New Roman" w:cs="Times New Roman"/>
          <w:sz w:val="24"/>
          <w:szCs w:val="24"/>
          <w:lang w:eastAsia="bg-BG"/>
        </w:rPr>
      </w:pPr>
    </w:p>
    <w:p w14:paraId="3305FEB9" w14:textId="77777777" w:rsidR="00533926" w:rsidRPr="00AA5833" w:rsidRDefault="00533926" w:rsidP="00533926">
      <w:pPr>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Към края на 2024 г. по приоритет 4 „Риск и изменение на климата“ на ПОС 2021-2027 г. са обявени 5 процедури за предоставяне на БФП на обща стойност 282.8 млн. лв. или 64% от бюджета по приоритета. Финансират се мерки за превенция и защита при неблагоприятни геодинамични процеси; обезпечаване наземния капацитет за борба с горски пожари и подготовка на населението; разширяване на обхвата на Системата за ранно предупреждение и актуализация на Плановете за управление на риска от наводнения. В изпълнение са 5 договора.</w:t>
      </w:r>
    </w:p>
    <w:p w14:paraId="0809BEAD" w14:textId="77777777" w:rsidR="00533926" w:rsidRPr="00AA5833" w:rsidRDefault="00533926" w:rsidP="00533926">
      <w:pPr>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В рамките на приоритетна ос 4 „Превенция и управление на риска от наводнения и свлачища“ на ОПОС 2014-2020 г. до края на 2024 г. са финализирани 18 договора/заповеди с обща стойност на БФП – приблизително 158 млн. лв. (97.3% от бюджета по оста). Разплатените средства са над 156 млн. лв. или близо 97.2% от бюджета по оста. Верификацията на плащанията по ОПОС 2014-2020 г. продължава до 31 май 2025 г.</w:t>
      </w:r>
    </w:p>
    <w:p w14:paraId="78E4A08D" w14:textId="77777777" w:rsidR="00533926" w:rsidRPr="00AA5833" w:rsidRDefault="00533926" w:rsidP="00533926">
      <w:pPr>
        <w:tabs>
          <w:tab w:val="left" w:pos="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Програмният период по ОПОС 2014-2020 г. приключва с:</w:t>
      </w:r>
    </w:p>
    <w:p w14:paraId="75F039C8" w14:textId="77777777" w:rsidR="00533926" w:rsidRPr="00AA5833" w:rsidRDefault="00533926" w:rsidP="002A598C">
      <w:pPr>
        <w:numPr>
          <w:ilvl w:val="0"/>
          <w:numId w:val="37"/>
        </w:numPr>
        <w:autoSpaceDE w:val="0"/>
        <w:autoSpaceDN w:val="0"/>
        <w:adjustRightInd w:val="0"/>
        <w:spacing w:after="0" w:line="240" w:lineRule="auto"/>
        <w:ind w:left="1276" w:hanging="283"/>
        <w:contextualSpacing/>
        <w:jc w:val="both"/>
        <w:rPr>
          <w:rFonts w:ascii="Times New Roman" w:hAnsi="Times New Roman" w:cs="Times New Roman"/>
          <w:sz w:val="24"/>
          <w:szCs w:val="24"/>
        </w:rPr>
      </w:pPr>
      <w:r w:rsidRPr="00AA5833">
        <w:rPr>
          <w:rFonts w:ascii="Times New Roman" w:hAnsi="Times New Roman" w:cs="Times New Roman"/>
          <w:sz w:val="24"/>
          <w:szCs w:val="24"/>
        </w:rPr>
        <w:t>2 129 939 бр. жители, които се ползват от мерки за защита от наводнения, при целева стойност 2 750 000;</w:t>
      </w:r>
    </w:p>
    <w:p w14:paraId="1BE5918A" w14:textId="77777777" w:rsidR="00533926" w:rsidRPr="00AA5833" w:rsidRDefault="00533926" w:rsidP="002A598C">
      <w:pPr>
        <w:numPr>
          <w:ilvl w:val="0"/>
          <w:numId w:val="37"/>
        </w:numPr>
        <w:autoSpaceDE w:val="0"/>
        <w:autoSpaceDN w:val="0"/>
        <w:adjustRightInd w:val="0"/>
        <w:spacing w:after="0" w:line="240" w:lineRule="auto"/>
        <w:ind w:left="1276" w:hanging="283"/>
        <w:contextualSpacing/>
        <w:jc w:val="both"/>
        <w:rPr>
          <w:rFonts w:ascii="Times New Roman" w:hAnsi="Times New Roman" w:cs="Times New Roman"/>
          <w:sz w:val="24"/>
          <w:szCs w:val="24"/>
        </w:rPr>
      </w:pPr>
      <w:r w:rsidRPr="00AA5833">
        <w:rPr>
          <w:rFonts w:ascii="Times New Roman" w:hAnsi="Times New Roman" w:cs="Times New Roman"/>
          <w:sz w:val="24"/>
          <w:szCs w:val="24"/>
        </w:rPr>
        <w:t>97.51 ха укрепени свлачища, при целева стойност 80.</w:t>
      </w:r>
    </w:p>
    <w:p w14:paraId="510D138E" w14:textId="77777777" w:rsidR="00533926" w:rsidRPr="00AA5833" w:rsidRDefault="00533926" w:rsidP="00533926">
      <w:pPr>
        <w:tabs>
          <w:tab w:val="left" w:pos="3960"/>
        </w:tabs>
        <w:autoSpaceDE w:val="0"/>
        <w:autoSpaceDN w:val="0"/>
        <w:adjustRightInd w:val="0"/>
        <w:spacing w:after="0" w:line="240" w:lineRule="auto"/>
        <w:rPr>
          <w:rFonts w:ascii="Times New Roman" w:eastAsia="Times New Roman" w:hAnsi="Times New Roman" w:cs="Times New Roman"/>
          <w:b/>
          <w:sz w:val="24"/>
          <w:szCs w:val="24"/>
          <w:lang w:eastAsia="bg-BG"/>
        </w:rPr>
      </w:pPr>
    </w:p>
    <w:p w14:paraId="7DB3FFCE" w14:textId="77777777" w:rsidR="00533926" w:rsidRPr="00AA5833" w:rsidRDefault="00533926" w:rsidP="00533926">
      <w:pPr>
        <w:autoSpaceDE w:val="0"/>
        <w:autoSpaceDN w:val="0"/>
        <w:adjustRightInd w:val="0"/>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ОБЩИНИ</w:t>
      </w:r>
    </w:p>
    <w:p w14:paraId="7D697E2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14:paraId="5319121B"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4.9.1.6. Подобряване на защитата и опазването на природата, биологичното разнообразие и екологосъобразната инфраструктура, включително в градските райони, и намаляване на всички форми на замърсяване</w:t>
      </w:r>
    </w:p>
    <w:p w14:paraId="03D8665C"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1FDB9504"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До края на 2024 г. в рамките на приоритет 5 „Въздух“ на ПОС 2021-2027 г. са обявени 9 покани за кандидатстване за БФП на обща стойност от близо 725 млн. лв. или 93.7% от бюджета по приоритета. Финансират се дейности за подобряване качеството на атмосферния въздух (КАВ) чрез намаляване наднормените нива на фини прахови частици; подобряване на мониторинга на КАВ; справяне с вторичното разпрашаване – зелена инфраструктура в градска среда и създаване на Национална мрежа на експерти по качество на атмосферния въздух и изготвяне на национални стратегически документи в сектор „Въздух“. В изпълнение са 23 договора.</w:t>
      </w:r>
    </w:p>
    <w:p w14:paraId="45F079C4"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рамките на приоритетна ос 5 „Подобряване качеството на атмосферния въздух“ на ОПОС 2014-2020 г. са финализирани общо 42 договора/заповеди за БФП в размер на приблизително 581 млн. лв. (99% от бюджета). Разплатените средства са 580 млн. лв. или близо 99% от бюджета по оста. Верификацията на плащанията по ОПОС 2014-2020 г. продължава до 31 май 2025 г.</w:t>
      </w:r>
    </w:p>
    <w:p w14:paraId="357C40B3"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Програмният период по ОПОС 2014-2020 г. приключва с 3 387 423 лица, обхванати от мерките за намаляване на количествата на ФПЧ</w:t>
      </w:r>
      <w:r w:rsidRPr="00AA5833">
        <w:rPr>
          <w:rFonts w:ascii="Times New Roman" w:eastAsia="Times New Roman" w:hAnsi="Times New Roman" w:cs="Times New Roman"/>
          <w:sz w:val="24"/>
          <w:szCs w:val="24"/>
          <w:vertAlign w:val="subscript"/>
          <w:lang w:eastAsia="bg-BG"/>
        </w:rPr>
        <w:t>10</w:t>
      </w:r>
      <w:r w:rsidRPr="00AA5833">
        <w:rPr>
          <w:rFonts w:ascii="Times New Roman" w:eastAsia="Times New Roman" w:hAnsi="Times New Roman" w:cs="Times New Roman"/>
          <w:sz w:val="24"/>
          <w:szCs w:val="24"/>
          <w:lang w:eastAsia="bg-BG"/>
        </w:rPr>
        <w:t xml:space="preserve"> и NOх, при целева стойност 3 000 000.</w:t>
      </w:r>
    </w:p>
    <w:p w14:paraId="7ACAED76"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p>
    <w:p w14:paraId="5604D149"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ИАОС, РИОСВ</w:t>
      </w:r>
      <w:r w:rsidRPr="00AA5833">
        <w:rPr>
          <w:rFonts w:eastAsia="Times New Roman" w:cs="Times New Roman"/>
          <w:b/>
          <w:caps/>
          <w:color w:val="0000FF"/>
          <w:sz w:val="24"/>
          <w:szCs w:val="24"/>
        </w:rPr>
        <w:t xml:space="preserve"> </w:t>
      </w:r>
    </w:p>
    <w:p w14:paraId="11DDBC7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02938D4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0"/>
          <w:szCs w:val="20"/>
        </w:rPr>
      </w:pPr>
      <w:r w:rsidRPr="00AA5833">
        <w:rPr>
          <w:rFonts w:ascii="Times New Roman" w:eastAsia="Times New Roman" w:hAnsi="Times New Roman" w:cs="Times New Roman"/>
          <w:b/>
          <w:sz w:val="24"/>
          <w:szCs w:val="24"/>
          <w:lang w:eastAsia="bg-BG"/>
        </w:rPr>
        <w:t>4.9.1.7. Извършване на текуща оценка на качеството на атмосферния въздух (КАВ) и контрол на емисиите на вредни вещества от неподвижни източници на емисии</w:t>
      </w:r>
    </w:p>
    <w:p w14:paraId="71A090A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37DAFE30"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Националната система за наблюдение и контрол осигурява оценка на качеството на атмосферния въздух (КАВ), която се извършва чрез 30 автоматични измервателни станции (АИС), 5 автоматични ДОАС системи (работещи на оптичен принцип), 9 пункта с ръчно пробонабиране и последващ лабораторен анализ, както и 4 АИС за мониторинг </w:t>
      </w:r>
      <w:r w:rsidRPr="00AA5833">
        <w:rPr>
          <w:rFonts w:ascii="Times New Roman" w:eastAsia="Times New Roman" w:hAnsi="Times New Roman" w:cs="Times New Roman"/>
          <w:sz w:val="24"/>
          <w:szCs w:val="24"/>
          <w:lang w:eastAsia="bg-BG"/>
        </w:rPr>
        <w:lastRenderedPageBreak/>
        <w:t>на качеството на атмосферния въздух в горски екосистеми – КФС „Рожен”, „Юндола”, „Витиня” и „Старо Оряхово”. Осигурена е постоянна техническа и комуникационна поддръжка на системата, което дава възможност за непрекъснат мониторинг и информация за качеството на атмосферния въздух в реално време.</w:t>
      </w:r>
    </w:p>
    <w:p w14:paraId="675650FA"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Регионалните инспекции по околната среда и водите (РИОСВ) и Изпълнителната агенция по околна среда (ИАОС) планират и осъществяват контролни проверки на неподвижни източници на емисии. През 2024 г. от 15-те РИОСВ са извършени 1624 проверки по Закона за чистотата на атмосферния въздух на предприятия/обекти на територията на цялата страна, като продължава прилагането на засилен ежемесечен контрол от РИОСВ на големите горивни инсталации, оказващи въздействие върху качеството на въздуха по отношение на нивата на серен диоксид в гр. Гълъбово</w:t>
      </w:r>
      <w:r w:rsidRPr="00AA5833">
        <w:t xml:space="preserve"> </w:t>
      </w:r>
      <w:r w:rsidRPr="00AA5833">
        <w:rPr>
          <w:rFonts w:ascii="Times New Roman" w:eastAsia="Times New Roman" w:hAnsi="Times New Roman" w:cs="Times New Roman"/>
          <w:sz w:val="24"/>
          <w:szCs w:val="24"/>
          <w:lang w:eastAsia="bg-BG"/>
        </w:rPr>
        <w:t>и гр. Димитровград. От ИАОС, съгласно утвърден от министъра на околната среда и водите график, през годината са извършени контролни измервания на емисии от неподвижни източници на 59 обекта със 122 пробовземни точки и индикативни измервания за контрол на КАВ с мобилни автоматични станции в 18 населени места по 51 денонощия ефективен мониторинг.</w:t>
      </w:r>
    </w:p>
    <w:p w14:paraId="756D62FB"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Осигурена е представителна информация за качеството на атмосферния въздух и е предоставен достъп на обществеността до информация за превишаване на праговите стойности по отношение на основните замърсители. Ежедневно, на интернет страниците на ИАОС и МОСВ се публикуват бюлетини за качеството на атмосферния въздух. Информацията се обобщава и публикува в тримесечни и в годишни бюлетини. На интернет страницата на ИАОС се предоставят данни за КАВ от Националната система за контрол качеството на атмосферния въздух в реално време: </w:t>
      </w:r>
      <w:hyperlink r:id="rId38" w:history="1">
        <w:r w:rsidRPr="00AA5833">
          <w:rPr>
            <w:rFonts w:ascii="Times New Roman" w:eastAsia="Times New Roman" w:hAnsi="Times New Roman" w:cs="Times New Roman"/>
            <w:color w:val="0563C1" w:themeColor="hyperlink"/>
            <w:sz w:val="24"/>
            <w:szCs w:val="24"/>
            <w:u w:val="single"/>
            <w:lang w:eastAsia="bg-BG"/>
          </w:rPr>
          <w:t>http://eea.government.bg/kav</w:t>
        </w:r>
      </w:hyperlink>
      <w:r w:rsidRPr="00AA5833">
        <w:rPr>
          <w:rFonts w:ascii="Times New Roman" w:eastAsia="Times New Roman" w:hAnsi="Times New Roman" w:cs="Times New Roman"/>
          <w:sz w:val="24"/>
          <w:szCs w:val="24"/>
          <w:lang w:eastAsia="bg-BG"/>
        </w:rPr>
        <w:t>.</w:t>
      </w:r>
    </w:p>
    <w:p w14:paraId="007B2110"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p>
    <w:p w14:paraId="0EB00941"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ОКОЛНАТА СРЕДА И ВОДИТЕ, ИАОС, РИОСВ</w:t>
      </w:r>
      <w:r w:rsidRPr="00AA5833">
        <w:rPr>
          <w:rFonts w:eastAsia="Times New Roman" w:cs="Times New Roman"/>
          <w:b/>
          <w:caps/>
          <w:color w:val="0000FF"/>
          <w:sz w:val="24"/>
          <w:szCs w:val="24"/>
        </w:rPr>
        <w:t xml:space="preserve"> </w:t>
      </w:r>
    </w:p>
    <w:p w14:paraId="125FBD1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7DE4C17F"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4.9.1.8. Извършване на текуща оценка на състоянието на почвите в рамките на мониторинговата мрежа за почвен мониторинг – I ниво (широкомащабен мониторинг) и II ниво (вкисляване и засоляване)</w:t>
      </w:r>
    </w:p>
    <w:p w14:paraId="4BE033E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73346328" w14:textId="77777777" w:rsidR="00533926" w:rsidRPr="00AA5833" w:rsidRDefault="00533926" w:rsidP="0053392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Оптимизирани са националните мрежи за наблюдение и контрол на състоянието на почвите, утвърдени от изпълнителния директор на</w:t>
      </w:r>
      <w:r w:rsidRPr="00AA5833">
        <w:t xml:space="preserve"> </w:t>
      </w:r>
      <w:r w:rsidRPr="00AA5833">
        <w:rPr>
          <w:rFonts w:ascii="Times New Roman" w:hAnsi="Times New Roman" w:cs="Times New Roman"/>
          <w:color w:val="000000"/>
          <w:sz w:val="24"/>
          <w:szCs w:val="24"/>
        </w:rPr>
        <w:t>Изпълнителна агенция по околна среда (ИАОС). Изпълнена е Годишната програма за 2024 г. за почвен мониторинг и са пробонабрани 124 пункта по І ниво и 57 пункта (вкисляване) и 12 пункта (засоляване) по ІІ ниво. Пробонабрани са, съответно, 744 проби по І ниво и 456 проби (вкисляване) и 288 проби (засоляване) по ІІ ниво.</w:t>
      </w:r>
    </w:p>
    <w:p w14:paraId="3BCCFCDA"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0A9854D7"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420D12D5" w14:textId="77777777" w:rsidR="00533926" w:rsidRPr="00AA5833" w:rsidRDefault="00533926" w:rsidP="00533926">
            <w:pPr>
              <w:shd w:val="clear" w:color="auto" w:fill="FFFF99"/>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bCs/>
                <w:sz w:val="24"/>
                <w:szCs w:val="24"/>
                <w:lang w:eastAsia="bg-BG"/>
              </w:rPr>
              <w:t>4.9.2. Развитие на Националната система за мониторинг на околната среда (НСМОС)</w:t>
            </w:r>
          </w:p>
        </w:tc>
      </w:tr>
    </w:tbl>
    <w:p w14:paraId="10FB7F52" w14:textId="77777777" w:rsidR="00533926" w:rsidRPr="00AA5833" w:rsidRDefault="00533926" w:rsidP="00533926">
      <w:pPr>
        <w:spacing w:after="0" w:line="240" w:lineRule="auto"/>
        <w:ind w:firstLine="709"/>
        <w:contextualSpacing/>
        <w:jc w:val="both"/>
        <w:rPr>
          <w:rFonts w:ascii="Times New Roman" w:eastAsia="Times New Roman" w:hAnsi="Times New Roman" w:cs="Times New Roman"/>
          <w:color w:val="FF0000"/>
          <w:sz w:val="24"/>
          <w:szCs w:val="24"/>
          <w:lang w:eastAsia="bg-BG"/>
        </w:rPr>
      </w:pPr>
    </w:p>
    <w:p w14:paraId="1B501DA5"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r w:rsidRPr="00AA5833">
        <w:rPr>
          <w:rFonts w:ascii="Times New Roman" w:eastAsia="Times New Roman" w:hAnsi="Times New Roman" w:cs="Times New Roman"/>
          <w:b/>
          <w:caps/>
          <w:color w:val="0000FF"/>
          <w:sz w:val="24"/>
          <w:szCs w:val="24"/>
        </w:rPr>
        <w:t>ИЗПЪЛНИТЕЛНА АГЕНЦИЯ ПО ОКОЛНА СРЕДА</w:t>
      </w:r>
    </w:p>
    <w:p w14:paraId="6B8E06E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42AB9C1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4.9.2.1. Осигуряване на достоверна и достатъчна по обхват информация за състоянието на околната среда </w:t>
      </w:r>
    </w:p>
    <w:p w14:paraId="4C9005FB"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4C42500A" w14:textId="77777777" w:rsidR="00533926" w:rsidRPr="00AA5833" w:rsidRDefault="00533926" w:rsidP="00533926">
      <w:pPr>
        <w:spacing w:after="0" w:line="240" w:lineRule="auto"/>
        <w:ind w:firstLine="709"/>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Ежедневно се обновява информацията на интернет страницата на ИАОС, изготвят се и се публикуват ежедневни бюлетини за качеството на атмосферния въздух и радиационната обстановка в страната, които са реализирани като уеб-приложения. Изготвени са тримесечни бюлетини за състоянието на околната среда, Национален </w:t>
      </w:r>
      <w:r w:rsidRPr="00AA5833">
        <w:rPr>
          <w:rFonts w:ascii="Times New Roman" w:eastAsia="Times New Roman" w:hAnsi="Times New Roman" w:cs="Times New Roman"/>
          <w:sz w:val="24"/>
          <w:szCs w:val="24"/>
          <w:lang w:eastAsia="bg-BG"/>
        </w:rPr>
        <w:lastRenderedPageBreak/>
        <w:t>доклад за състоянието и опазването на околната среда, 2024 г., и други специализирани доклади, до които е осигурен публичен достъп. Актуализирани са ГИС приложенията, предоставящи услуги за пространствени данни. На Портала за отворени данни се публикува публична информация в отворен формат.</w:t>
      </w:r>
    </w:p>
    <w:p w14:paraId="27057204" w14:textId="77777777" w:rsidR="00533926" w:rsidRPr="00AA5833" w:rsidRDefault="00533926" w:rsidP="00533926">
      <w:pPr>
        <w:spacing w:after="0" w:line="240" w:lineRule="auto"/>
        <w:ind w:firstLine="709"/>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отчетния период са поддържани 20 информационни системи за подсистемите на Националната система за мониторинг на околната среда (НСМОС). Информационните системи с публичен достъп са 12 на брой.</w:t>
      </w:r>
    </w:p>
    <w:p w14:paraId="16F3C9E3" w14:textId="77777777" w:rsidR="00533926" w:rsidRPr="00AA5833" w:rsidRDefault="00533926" w:rsidP="00533926">
      <w:pPr>
        <w:spacing w:after="0" w:line="240" w:lineRule="auto"/>
        <w:ind w:firstLine="709"/>
        <w:contextualSpacing/>
        <w:jc w:val="both"/>
        <w:rPr>
          <w:rFonts w:ascii="Times New Roman" w:eastAsia="Times New Roman" w:hAnsi="Times New Roman" w:cs="Times New Roman"/>
          <w:color w:val="FF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66658A14"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2194D96A" w14:textId="77777777" w:rsidR="00533926" w:rsidRPr="00AA5833" w:rsidRDefault="00533926" w:rsidP="00533926">
            <w:pPr>
              <w:shd w:val="clear" w:color="auto" w:fill="FFFF99"/>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4.9.3. Намаляване емисиите на парникови газове чрез финансираните от Националния доверителен екофонд (НДЕФ) програми</w:t>
            </w:r>
          </w:p>
        </w:tc>
      </w:tr>
    </w:tbl>
    <w:p w14:paraId="606F018C" w14:textId="77777777" w:rsidR="00533926" w:rsidRPr="00AA5833" w:rsidRDefault="00533926" w:rsidP="00533926">
      <w:pPr>
        <w:spacing w:after="0" w:line="240" w:lineRule="auto"/>
        <w:jc w:val="both"/>
        <w:rPr>
          <w:rFonts w:ascii="Times New Roman" w:hAnsi="Times New Roman" w:cs="Times New Roman"/>
          <w:sz w:val="24"/>
          <w:szCs w:val="24"/>
        </w:rPr>
      </w:pPr>
    </w:p>
    <w:p w14:paraId="1D9B415C" w14:textId="77777777" w:rsidR="00533926" w:rsidRPr="00AA5833" w:rsidRDefault="00533926" w:rsidP="00533926">
      <w:pPr>
        <w:spacing w:after="0" w:line="240" w:lineRule="auto"/>
        <w:jc w:val="center"/>
        <w:rPr>
          <w:rFonts w:ascii="Times New Roman" w:eastAsia="Times New Roman" w:hAnsi="Times New Roman" w:cs="Times New Roman"/>
          <w:b/>
          <w:caps/>
          <w:color w:val="0000FF"/>
          <w:sz w:val="24"/>
          <w:szCs w:val="24"/>
        </w:rPr>
      </w:pPr>
      <w:r w:rsidRPr="00AA5833">
        <w:rPr>
          <w:rFonts w:ascii="Times New Roman" w:eastAsia="Times New Roman" w:hAnsi="Times New Roman" w:cs="Times New Roman"/>
          <w:b/>
          <w:caps/>
          <w:color w:val="0000FF"/>
          <w:sz w:val="24"/>
          <w:szCs w:val="24"/>
        </w:rPr>
        <w:t xml:space="preserve">НАЦИОНАЛЕН ДОВЕРИТЕЛЕН ЕКОФОНД, общини </w:t>
      </w:r>
    </w:p>
    <w:p w14:paraId="682736AB" w14:textId="77777777" w:rsidR="00533926" w:rsidRPr="00AA5833" w:rsidRDefault="00533926" w:rsidP="00533926">
      <w:pPr>
        <w:spacing w:after="0" w:line="240" w:lineRule="auto"/>
        <w:jc w:val="center"/>
        <w:rPr>
          <w:rFonts w:eastAsia="Times New Roman" w:cs="Times New Roman"/>
          <w:b/>
          <w:caps/>
          <w:color w:val="0000FF"/>
          <w:sz w:val="24"/>
          <w:szCs w:val="24"/>
        </w:rPr>
      </w:pPr>
    </w:p>
    <w:p w14:paraId="43692C91"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4.9.3.1. Изпълнение на проекти за енергийна ефективност (Инвестиционна програма за климата, Схема „Енергийна ефективност“, Подпрограма „Енергийна ефективност на общинските училища и детски градини“) </w:t>
      </w:r>
    </w:p>
    <w:p w14:paraId="34DF867A"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7E36BAF3"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рамките на Инвестиционната програма за климата (ИПК), Схема „Енергийна ефективност“ са реализирани 5 публични проекта за енергийна ефективност с обща стойност на субсидията от НДЕФ в размер на 4.06 млн. лв. и съфинансиране от общините в размер на 1.89 млн. лв. Извършено е саниране на 1 ДКЦ (ДКЦ-Габрово), 1 общинска административна сграда в гр. Братя Даскалови, 1 читалище („Йордан Йовков – 1870 година“, гр. Добрич) и 3 училища (СУ „Отец Паисий“ и СУ „Н. Велчев“, гр. Самоков, и  СУ „П. Р. Славейков“, гр. Велико Търново). Пряко или косвено от проектите са облагодетелствани 294 779 жители и са създадени 163 временни работни места. В резултат на реализираните проекти са спестени 47 190 т СО</w:t>
      </w:r>
      <w:r w:rsidRPr="00AA5833">
        <w:rPr>
          <w:rFonts w:ascii="Times New Roman" w:eastAsia="Times New Roman" w:hAnsi="Times New Roman" w:cs="Times New Roman"/>
          <w:sz w:val="24"/>
          <w:szCs w:val="24"/>
          <w:vertAlign w:val="subscript"/>
          <w:lang w:eastAsia="bg-BG"/>
        </w:rPr>
        <w:t>2</w:t>
      </w:r>
      <w:r w:rsidRPr="00AA5833">
        <w:rPr>
          <w:rFonts w:ascii="Times New Roman" w:eastAsia="Times New Roman" w:hAnsi="Times New Roman" w:cs="Times New Roman"/>
          <w:sz w:val="24"/>
          <w:szCs w:val="24"/>
          <w:lang w:eastAsia="bg-BG"/>
        </w:rPr>
        <w:t xml:space="preserve"> за 30-годишен период. Спестената топлинна енергия е 1 783 305 kWh (на годишна база).</w:t>
      </w:r>
    </w:p>
    <w:p w14:paraId="14AF0B2B"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Средствата за финансиране на проекти по Подпрограма „Енергийна ефективност на общинските училища и детски градини” постъпват в съответствие със Споразумението за продажба на Годишно разпределено количество емисии (Annual emissions allocations – AEAs) между Република България и Федерална република Германия. През отчетната 2024 г. е завършено изпълнението на 2 проекта: „Повишаване на енергийната ефективност/основен ремонт и изграждане на ФЕЦ на ДГ „Здравец“, гр. Момчилград“ и „Въвеждане на мерки за енергийна ефективност на ОУ „Христо Ботев“, кв. Сарафово, гр. Бургас“. Пряко или косвено от изпълнените проекти са облагодетелствани 15 039 жители и са създадени 26 временни работни места. В резултат на реализираните проекти са спестени 3 967 т СО</w:t>
      </w:r>
      <w:r w:rsidRPr="00AA5833">
        <w:rPr>
          <w:rFonts w:ascii="Times New Roman" w:eastAsia="Times New Roman" w:hAnsi="Times New Roman" w:cs="Times New Roman"/>
          <w:sz w:val="24"/>
          <w:szCs w:val="24"/>
          <w:vertAlign w:val="subscript"/>
          <w:lang w:eastAsia="bg-BG"/>
        </w:rPr>
        <w:t>2</w:t>
      </w:r>
      <w:r w:rsidRPr="00AA5833">
        <w:rPr>
          <w:rFonts w:ascii="Times New Roman" w:eastAsia="Times New Roman" w:hAnsi="Times New Roman" w:cs="Times New Roman"/>
          <w:sz w:val="24"/>
          <w:szCs w:val="24"/>
          <w:lang w:eastAsia="bg-BG"/>
        </w:rPr>
        <w:t xml:space="preserve"> за 30-годишен период. Спестената топлинна енергия е 698 276 kWh (на годишна база).</w:t>
      </w:r>
    </w:p>
    <w:p w14:paraId="1A4C3316" w14:textId="77777777" w:rsidR="00533926" w:rsidRPr="00AA5833" w:rsidRDefault="00533926" w:rsidP="00533926">
      <w:pPr>
        <w:spacing w:after="0" w:line="240" w:lineRule="auto"/>
        <w:jc w:val="both"/>
        <w:rPr>
          <w:rFonts w:ascii="Times New Roman" w:hAnsi="Times New Roman" w:cs="Times New Roman"/>
          <w:sz w:val="24"/>
          <w:szCs w:val="24"/>
        </w:rPr>
      </w:pPr>
    </w:p>
    <w:p w14:paraId="78508AE3" w14:textId="77777777" w:rsidR="00533926" w:rsidRPr="00AA5833" w:rsidRDefault="00533926" w:rsidP="00533926">
      <w:pPr>
        <w:spacing w:after="0" w:line="240" w:lineRule="auto"/>
        <w:jc w:val="center"/>
        <w:rPr>
          <w:rFonts w:ascii="Times New Roman" w:hAnsi="Times New Roman" w:cs="Times New Roman"/>
          <w:color w:val="000000"/>
          <w:sz w:val="20"/>
          <w:szCs w:val="20"/>
        </w:rPr>
      </w:pPr>
      <w:r w:rsidRPr="00AA5833">
        <w:rPr>
          <w:rFonts w:ascii="Times New Roman" w:eastAsia="Times New Roman" w:hAnsi="Times New Roman" w:cs="Times New Roman"/>
          <w:b/>
          <w:caps/>
          <w:color w:val="0000FF"/>
          <w:sz w:val="24"/>
          <w:szCs w:val="24"/>
        </w:rPr>
        <w:t>НАЦИОНАЛЕН ДОВЕРИТЕЛЕН ЕКОФОНД</w:t>
      </w:r>
      <w:r w:rsidRPr="00AA5833">
        <w:rPr>
          <w:rFonts w:ascii="Times New Roman Bold" w:eastAsia="Times New Roman" w:hAnsi="Times New Roman Bold" w:cs="Times New Roman"/>
          <w:b/>
          <w:caps/>
          <w:color w:val="0000FF"/>
          <w:sz w:val="24"/>
          <w:szCs w:val="24"/>
        </w:rPr>
        <w:t>, общини, държавни институции</w:t>
      </w:r>
      <w:r w:rsidRPr="00AA5833">
        <w:rPr>
          <w:rFonts w:ascii="Times New Roman" w:hAnsi="Times New Roman" w:cs="Times New Roman"/>
          <w:color w:val="000000"/>
          <w:sz w:val="20"/>
          <w:szCs w:val="20"/>
        </w:rPr>
        <w:t xml:space="preserve"> </w:t>
      </w:r>
    </w:p>
    <w:p w14:paraId="44ED13A3" w14:textId="77777777" w:rsidR="00533926" w:rsidRPr="00AA5833" w:rsidRDefault="00533926" w:rsidP="00533926">
      <w:pPr>
        <w:spacing w:after="0" w:line="240" w:lineRule="auto"/>
        <w:jc w:val="both"/>
        <w:rPr>
          <w:rFonts w:eastAsia="Times New Roman" w:cs="Times New Roman"/>
          <w:color w:val="000000"/>
          <w:sz w:val="24"/>
          <w:szCs w:val="24"/>
          <w:lang w:eastAsia="bg-BG"/>
        </w:rPr>
      </w:pPr>
    </w:p>
    <w:p w14:paraId="561720B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4.9.3.2. Схема за насърчаване използването на електромобили (Инвестиционна програма за климата)</w:t>
      </w:r>
    </w:p>
    <w:p w14:paraId="504EF7C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00846B55"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по ИПК продължава реализирането на Схемата за насърчаване използването на електромобили от публичните институции. Закупени са 23 превозни средства: 19 изцяло електрически превозни средства (ЕПС), кат. М1 или N1, 3 изцяло ЕПС, кат. L7e, и 1 изцяло ЕПС, кат. М1 (ванове 7+1; 6+1 места), като финансовото </w:t>
      </w:r>
      <w:r w:rsidRPr="00AA5833">
        <w:rPr>
          <w:rFonts w:ascii="Times New Roman" w:eastAsia="Times New Roman" w:hAnsi="Times New Roman" w:cs="Times New Roman"/>
          <w:sz w:val="24"/>
          <w:szCs w:val="24"/>
          <w:lang w:eastAsia="bg-BG"/>
        </w:rPr>
        <w:lastRenderedPageBreak/>
        <w:t xml:space="preserve">участие на НДЕФ е в размер на 474 хил. лв. Пряко или косвено са облагодетелствани над 1.5 млн. жители. </w:t>
      </w:r>
    </w:p>
    <w:p w14:paraId="73164DC7"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резултат от изпълнението на мярката, на годишна база са спестени 73 258 кг емисии на CO</w:t>
      </w:r>
      <w:r w:rsidRPr="00AA5833">
        <w:rPr>
          <w:rFonts w:ascii="Times New Roman" w:eastAsia="Times New Roman" w:hAnsi="Times New Roman" w:cs="Times New Roman"/>
          <w:sz w:val="24"/>
          <w:szCs w:val="24"/>
          <w:vertAlign w:val="subscript"/>
          <w:lang w:eastAsia="bg-BG"/>
        </w:rPr>
        <w:t>2</w:t>
      </w:r>
      <w:r w:rsidRPr="00AA5833">
        <w:rPr>
          <w:rFonts w:ascii="Times New Roman" w:eastAsia="Times New Roman" w:hAnsi="Times New Roman" w:cs="Times New Roman"/>
          <w:sz w:val="24"/>
          <w:szCs w:val="24"/>
          <w:lang w:eastAsia="bg-BG"/>
        </w:rPr>
        <w:t>, 152.3 кг емисии на NOх, 45 кг емисии на прахови частици, 304.8 кг емисии на CO. Спестените горива на годишна база са 8.45 хил. л бензин и 33.36 хил. л дизел.</w:t>
      </w:r>
    </w:p>
    <w:p w14:paraId="39B2CA73" w14:textId="77777777" w:rsidR="00533926"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1B0D663C" w14:textId="77777777" w:rsidR="002E676E" w:rsidRDefault="002E676E"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6C17D812" w14:textId="77777777" w:rsidR="002E676E" w:rsidRPr="00AA5833" w:rsidRDefault="002E676E"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69C9274B"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w:eastAsia="Times New Roman" w:hAnsi="Times New Roman" w:cs="Times New Roman"/>
          <w:b/>
          <w:caps/>
          <w:color w:val="0000FF"/>
          <w:sz w:val="24"/>
          <w:szCs w:val="24"/>
        </w:rPr>
        <w:t>НАЦИОНАЛЕН ДОВЕРИТЕЛЕН ЕКОФОНД</w:t>
      </w:r>
      <w:r w:rsidRPr="00AA5833">
        <w:rPr>
          <w:rFonts w:ascii="Times New Roman Bold" w:eastAsia="Times New Roman" w:hAnsi="Times New Roman Bold" w:cs="Times New Roman"/>
          <w:b/>
          <w:caps/>
          <w:color w:val="0000FF"/>
          <w:sz w:val="24"/>
          <w:szCs w:val="24"/>
        </w:rPr>
        <w:t>, общини</w:t>
      </w:r>
    </w:p>
    <w:p w14:paraId="64F552B8"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ascii="Times New Roman Bold" w:eastAsia="Times New Roman" w:hAnsi="Times New Roman Bold" w:cs="Times New Roman"/>
          <w:b/>
          <w:caps/>
          <w:color w:val="0000FF"/>
          <w:sz w:val="24"/>
          <w:szCs w:val="24"/>
        </w:rPr>
        <w:t xml:space="preserve"> </w:t>
      </w:r>
    </w:p>
    <w:p w14:paraId="32733AF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4.9.3.3. Оползотворяване на топлинната енергия на минералните води и като резултат – директно или индиректно намаляване на емисиите на парникови газове, чрез безвъзмездно предоставяне на средства за финансиране на част от ремонтните дейности/ разширяване/ изграждане на инфраструктура – общинска собственост, водещи до подобряване и повишаване на ефективното използване на ресурсите от минерални води</w:t>
      </w:r>
    </w:p>
    <w:p w14:paraId="09A981E1"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14:paraId="46E8430B"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Прилагането на Инвестиционна програма „Минерални води“ (ИПМВ) като постоянно действаща програма за финансиране на проекти стартира през 2022 г., когато с решение на УС на Фонда са осигурени необходимите средства за прием на проектни предложения.</w:t>
      </w:r>
    </w:p>
    <w:p w14:paraId="5760E093"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отчетния период е извършен цялостен анализ на ИПМВ, включително на резултатите от финансираните до момента проекти и на необходимостта от актуализиране на Оперативното ръководство по програмата (Протокол № 138/16.07.2024 г.). В резултат на това и след актуализация на Оперативното ръководство са одобрени за финансиране още 3 проекта (на Община Сапарева Баня, Община Свищов и Община Ракитово).</w:t>
      </w:r>
    </w:p>
    <w:p w14:paraId="3A94509A"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Публикувана е и нова покана за набиране на проектни предложения със срок до 10.04.2025 г. </w:t>
      </w:r>
    </w:p>
    <w:p w14:paraId="66E4FEAE"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Към края на 2024 г. в процес на подготовка за изпълнение са 6 проекта (на Община Гърмен, Община Минерални бани, обл. Хасково, Община Петрич, Община Сапарева Баня, Община Свищов и Община Ракитово). Очакванията са от реализацията на тези проекти да се облагодетелстват около 102 хил. жители.</w:t>
      </w:r>
    </w:p>
    <w:p w14:paraId="7A0B5823" w14:textId="77777777" w:rsidR="00533926" w:rsidRPr="00AA5833" w:rsidRDefault="00533926" w:rsidP="00533926">
      <w:pPr>
        <w:spacing w:after="0" w:line="240" w:lineRule="auto"/>
        <w:jc w:val="both"/>
        <w:rPr>
          <w:rFonts w:ascii="Times New Roman" w:hAnsi="Times New Roman" w:cs="Times New Roman"/>
          <w:sz w:val="24"/>
          <w:szCs w:val="24"/>
        </w:rPr>
      </w:pPr>
    </w:p>
    <w:p w14:paraId="20412B61"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ascii="Times New Roman Bold" w:eastAsia="Times New Roman" w:hAnsi="Times New Roman Bold" w:cs="Times New Roman"/>
          <w:b/>
          <w:caps/>
          <w:color w:val="0000FF"/>
          <w:sz w:val="24"/>
          <w:szCs w:val="24"/>
        </w:rPr>
        <w:t>НДЕФ, общини, ДЪРЖАВНИ ИНСТИТУЦИИ, НПО, БАН</w:t>
      </w:r>
    </w:p>
    <w:p w14:paraId="7F29FB08"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ascii="Times New Roman Bold" w:eastAsia="Times New Roman" w:hAnsi="Times New Roman Bold" w:cs="Times New Roman"/>
          <w:b/>
          <w:caps/>
          <w:color w:val="0000FF"/>
          <w:sz w:val="24"/>
          <w:szCs w:val="24"/>
        </w:rPr>
        <w:t xml:space="preserve"> </w:t>
      </w:r>
    </w:p>
    <w:p w14:paraId="08905719"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4.9.3.4. Изпълнение на проекти по Програма „Микропроекти“, водещи до директно или индиректно намаляване на емисиите на парникови газове или адаптация към климатичните промени и/или изпълнение на дейности, свързани със смекчаването и адаптацията към климатичните промени</w:t>
      </w:r>
    </w:p>
    <w:p w14:paraId="246A10DB"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14:paraId="141572EF"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Средствата за финансиране на проекти по Програма „Микропроекти за климата” постъпват в съответствие със Споразумението за прехвърляне на годишно разпределено количество емисии между Република България и Република Малта и на базата на Решение № 175 на Министерския съвет от 29.03.2017 г. </w:t>
      </w:r>
    </w:p>
    <w:p w14:paraId="15E6F858" w14:textId="77777777" w:rsidR="00533926" w:rsidRPr="00AA5833" w:rsidRDefault="00533926" w:rsidP="0053392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AA5833">
        <w:rPr>
          <w:rFonts w:ascii="Times New Roman" w:eastAsia="Calibri" w:hAnsi="Times New Roman" w:cs="Times New Roman"/>
          <w:color w:val="000000"/>
          <w:sz w:val="24"/>
          <w:szCs w:val="24"/>
        </w:rPr>
        <w:t xml:space="preserve">В рамките на програмата се изпълняват следните два вида проекти: </w:t>
      </w:r>
    </w:p>
    <w:p w14:paraId="58D20050" w14:textId="77777777" w:rsidR="00533926" w:rsidRPr="00AA5833" w:rsidRDefault="00533926" w:rsidP="002A598C">
      <w:pPr>
        <w:numPr>
          <w:ilvl w:val="0"/>
          <w:numId w:val="38"/>
        </w:numPr>
        <w:autoSpaceDE w:val="0"/>
        <w:autoSpaceDN w:val="0"/>
        <w:adjustRightInd w:val="0"/>
        <w:spacing w:after="0" w:line="240" w:lineRule="auto"/>
        <w:ind w:hanging="294"/>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малки инфраструктурни проекти (доставка на апаратура, изграждане на малка инфраструктура), водещи до директно или индиректно намаляване на емисиите на парникови газове или адаптация към климатичните промени;</w:t>
      </w:r>
    </w:p>
    <w:p w14:paraId="0B62EDAF" w14:textId="77777777" w:rsidR="00533926" w:rsidRPr="00AA5833" w:rsidRDefault="00533926" w:rsidP="002A598C">
      <w:pPr>
        <w:numPr>
          <w:ilvl w:val="0"/>
          <w:numId w:val="38"/>
        </w:numPr>
        <w:autoSpaceDE w:val="0"/>
        <w:autoSpaceDN w:val="0"/>
        <w:adjustRightInd w:val="0"/>
        <w:spacing w:after="0" w:line="240" w:lineRule="auto"/>
        <w:ind w:hanging="294"/>
        <w:contextualSpacing/>
        <w:jc w:val="both"/>
        <w:rPr>
          <w:rFonts w:ascii="Times New Roman" w:hAnsi="Times New Roman"/>
          <w:sz w:val="24"/>
          <w:szCs w:val="24"/>
        </w:rPr>
      </w:pPr>
      <w:r w:rsidRPr="00AA5833">
        <w:rPr>
          <w:rFonts w:ascii="Times New Roman" w:hAnsi="Times New Roman"/>
          <w:sz w:val="24"/>
          <w:szCs w:val="24"/>
        </w:rPr>
        <w:lastRenderedPageBreak/>
        <w:t>дейности, свързани със смекчаването и адаптацията към климатичните промени (разработване на стратегии/програми/доклади/анализи, образователни проекти, събития, публикации, научни изследвания и проучвания и др.).</w:t>
      </w:r>
    </w:p>
    <w:p w14:paraId="6D450646"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отчетната 2024 г. са завършени 8 проекта, като финансовата подкрепа от НДЕФ е в размер на 392.4 хил. лв. Шест от проектите са за изграждане на малка инфраструктура (внедряване на системи за сграден електро-енергиен мениджмънт, изграждане на фотоволтаични системи за собствено потребление, създаване на споделени зелени пространства). Два проекта са за разработване на дейности, свързани със смекчаването и адаптацията към климатичните промени („Мерки за повишаване на обществената информираност и включване на дейности, свързани със смекчаването и адаптацията към климатичните промени в Община Бургас“ и „Провеждане на образователни дейности, свързани със смекчаването и адаптацията към климатичните промени, чрез които да обучи 1080 младежи на възраст 14÷28 години от различни краища на България“, МанЕко). От реализацията на тези проекти пряко или косвено са облагодетелствани около 404 хил. жители.</w:t>
      </w:r>
    </w:p>
    <w:p w14:paraId="0C0E9203" w14:textId="77777777" w:rsidR="00533926" w:rsidRPr="00AA5833" w:rsidRDefault="00533926" w:rsidP="00533926">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07DF5256"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260423D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bCs/>
                <w:color w:val="000000"/>
                <w:sz w:val="24"/>
                <w:szCs w:val="24"/>
              </w:rPr>
              <w:t xml:space="preserve">4.9.4. Ползване на природни ресурси от защитени територии – национални паркове </w:t>
            </w:r>
          </w:p>
        </w:tc>
      </w:tr>
    </w:tbl>
    <w:p w14:paraId="1D666A50" w14:textId="77777777" w:rsidR="00533926" w:rsidRPr="00AA5833" w:rsidRDefault="00533926" w:rsidP="00533926">
      <w:pPr>
        <w:spacing w:after="0" w:line="240" w:lineRule="auto"/>
        <w:jc w:val="both"/>
        <w:rPr>
          <w:rFonts w:cs="Times New Roman"/>
          <w:sz w:val="24"/>
          <w:szCs w:val="24"/>
        </w:rPr>
      </w:pPr>
    </w:p>
    <w:p w14:paraId="7D0933F5"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 xml:space="preserve">ОКОЛНАТА СРЕДА И ВОДИТЕ, </w:t>
      </w:r>
    </w:p>
    <w:p w14:paraId="651B4758"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r w:rsidRPr="00AA5833">
        <w:rPr>
          <w:rFonts w:ascii="Times New Roman Bold" w:eastAsia="Times New Roman" w:hAnsi="Times New Roman Bold" w:cs="Times New Roman"/>
          <w:b/>
          <w:caps/>
          <w:color w:val="0000FF"/>
          <w:sz w:val="24"/>
          <w:szCs w:val="24"/>
        </w:rPr>
        <w:t xml:space="preserve">дирекции на националните паркове (ДНП) </w:t>
      </w:r>
    </w:p>
    <w:p w14:paraId="628CF939" w14:textId="77777777" w:rsidR="00533926" w:rsidRPr="00AA5833" w:rsidRDefault="00533926" w:rsidP="00533926">
      <w:pPr>
        <w:spacing w:after="0" w:line="240" w:lineRule="auto"/>
        <w:jc w:val="center"/>
        <w:rPr>
          <w:rFonts w:ascii="Times New Roman Bold" w:eastAsia="Times New Roman" w:hAnsi="Times New Roman Bold" w:cs="Times New Roman"/>
          <w:b/>
          <w:caps/>
          <w:color w:val="0000FF"/>
          <w:sz w:val="24"/>
          <w:szCs w:val="24"/>
        </w:rPr>
      </w:pPr>
    </w:p>
    <w:p w14:paraId="5541DC05"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4.9.4.1. Осъществяване на поддържащи и възстановителни дейности в горите на националните паркове със съпътстващо ползване на дървесина от местното население </w:t>
      </w:r>
    </w:p>
    <w:p w14:paraId="5AA27D43"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26AC5E31"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Осигурена е възможност за местното население от прилежащите територии на националните паркове („Рила“, „Пирин“ и „Централен Балкан“) частично да задоволява нуждите си от дървесина срещу заплащане на такса. Издадени са разрешителни за ползване на дървесина в рамките на поддържащите и възстановителните дейности в горите, разположени в националните паркове, на 765 домакинства.</w:t>
      </w:r>
    </w:p>
    <w:p w14:paraId="3DA63207" w14:textId="77777777" w:rsidR="00533926" w:rsidRPr="00AA5833" w:rsidRDefault="00533926" w:rsidP="0053392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p>
    <w:p w14:paraId="2BDA012C"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 xml:space="preserve">ОКОЛНАТА СРЕДА И ВОДИТЕ, ДНП </w:t>
      </w:r>
    </w:p>
    <w:p w14:paraId="656BCB86" w14:textId="77777777" w:rsidR="00533926" w:rsidRPr="00AA5833" w:rsidRDefault="00533926" w:rsidP="00533926">
      <w:pPr>
        <w:spacing w:after="0" w:line="240" w:lineRule="auto"/>
        <w:jc w:val="center"/>
        <w:rPr>
          <w:rFonts w:ascii="Times New Roman" w:eastAsia="Times New Roman" w:hAnsi="Times New Roman" w:cs="Times New Roman"/>
          <w:color w:val="000000"/>
          <w:sz w:val="24"/>
          <w:szCs w:val="24"/>
          <w:lang w:eastAsia="bg-BG"/>
        </w:rPr>
      </w:pPr>
    </w:p>
    <w:p w14:paraId="736BCC03"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4.9.4.2. Ползване на недървесни горски продукти – гъби, билки от лечебни растения и диворастящи плодове, в националните паркове</w:t>
      </w:r>
    </w:p>
    <w:p w14:paraId="097E845B"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p w14:paraId="55A854E0" w14:textId="77777777" w:rsidR="00533926" w:rsidRPr="00AA5833" w:rsidRDefault="00533926" w:rsidP="00533926">
      <w:pPr>
        <w:spacing w:after="0" w:line="240" w:lineRule="auto"/>
        <w:ind w:firstLine="708"/>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Осигурена е възможност за местното население от прилежащите територии на трите национални парка да ползва природни ресурси срещу заплащане на такса. Издадени са 78 разрешителни за събиране с търговски цели на гъби и диворастящи плодове в територията на националните паркове.</w:t>
      </w:r>
    </w:p>
    <w:p w14:paraId="35CCE99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112A4C5B" w14:textId="77777777" w:rsidR="00533926" w:rsidRPr="00AA5833" w:rsidRDefault="00533926" w:rsidP="00533926">
      <w:pPr>
        <w:spacing w:after="0" w:line="240" w:lineRule="auto"/>
        <w:jc w:val="center"/>
        <w:rPr>
          <w:rFonts w:eastAsia="Times New Roman" w:cs="Times New Roman"/>
          <w:b/>
          <w:caps/>
          <w:color w:val="0000FF"/>
          <w:sz w:val="24"/>
          <w:szCs w:val="24"/>
        </w:rPr>
      </w:pPr>
      <w:r w:rsidRPr="00AA5833">
        <w:rPr>
          <w:rFonts w:ascii="Times New Roman Bold" w:eastAsia="Times New Roman" w:hAnsi="Times New Roman Bold" w:cs="Times New Roman"/>
          <w:b/>
          <w:caps/>
          <w:color w:val="0000FF"/>
          <w:sz w:val="24"/>
          <w:szCs w:val="24"/>
        </w:rPr>
        <w:t>Министерство на</w:t>
      </w:r>
      <w:r w:rsidRPr="00AA5833">
        <w:rPr>
          <w:rFonts w:eastAsia="Times New Roman" w:cs="Times New Roman"/>
          <w:b/>
          <w:caps/>
          <w:color w:val="0000FF"/>
          <w:sz w:val="24"/>
          <w:szCs w:val="24"/>
        </w:rPr>
        <w:t xml:space="preserve"> </w:t>
      </w:r>
      <w:r w:rsidRPr="00AA5833">
        <w:rPr>
          <w:rFonts w:ascii="Times New Roman Bold" w:eastAsia="Times New Roman" w:hAnsi="Times New Roman Bold" w:cs="Times New Roman"/>
          <w:b/>
          <w:caps/>
          <w:color w:val="0000FF"/>
          <w:sz w:val="24"/>
          <w:szCs w:val="24"/>
        </w:rPr>
        <w:t xml:space="preserve">ОКОЛНАТА СРЕДА И ВОДИТЕ, ДНП </w:t>
      </w:r>
    </w:p>
    <w:p w14:paraId="1EBFF443" w14:textId="77777777" w:rsidR="00533926" w:rsidRPr="00AA5833" w:rsidRDefault="00533926" w:rsidP="00533926">
      <w:pPr>
        <w:spacing w:after="0" w:line="240" w:lineRule="auto"/>
        <w:jc w:val="center"/>
        <w:rPr>
          <w:rFonts w:ascii="Times New Roman" w:eastAsia="Times New Roman" w:hAnsi="Times New Roman" w:cs="Times New Roman"/>
          <w:color w:val="000000"/>
          <w:sz w:val="24"/>
          <w:szCs w:val="24"/>
          <w:lang w:eastAsia="bg-BG"/>
        </w:rPr>
      </w:pPr>
    </w:p>
    <w:p w14:paraId="450A6078"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4.9.4.3. Предоставяне на пасищни площи за паша на домашни животни</w:t>
      </w:r>
    </w:p>
    <w:p w14:paraId="3A23A2ED"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p w14:paraId="042E34F2" w14:textId="77777777" w:rsidR="00533926" w:rsidRPr="00AA5833" w:rsidRDefault="00533926" w:rsidP="00533926">
      <w:pPr>
        <w:spacing w:after="0" w:line="240" w:lineRule="auto"/>
        <w:ind w:firstLine="708"/>
        <w:jc w:val="both"/>
        <w:rPr>
          <w:rFonts w:ascii="Times New Roman" w:eastAsia="Times New Roman" w:hAnsi="Times New Roman" w:cs="Times New Roman"/>
          <w:color w:val="000000"/>
          <w:sz w:val="24"/>
          <w:szCs w:val="24"/>
          <w:lang w:eastAsia="bg-BG"/>
        </w:rPr>
      </w:pPr>
      <w:r w:rsidRPr="00AA5833">
        <w:rPr>
          <w:rFonts w:ascii="Times New Roman" w:eastAsia="Times New Roman" w:hAnsi="Times New Roman" w:cs="Times New Roman"/>
          <w:color w:val="000000"/>
          <w:sz w:val="24"/>
          <w:szCs w:val="24"/>
          <w:lang w:eastAsia="bg-BG"/>
        </w:rPr>
        <w:t>Осигурена е възможност за местното население да ползва пасищни площи от националните паркове за паша на домашни животни срещу заплащане на такса. Издадени са 490 разрешителни за предоставяне на пасищни площи за паша на домашни животни на 490 физически и юридически лица.</w:t>
      </w:r>
    </w:p>
    <w:p w14:paraId="7BB1C907" w14:textId="77777777" w:rsidR="00533926" w:rsidRPr="00AA5833" w:rsidRDefault="00533926" w:rsidP="00533926">
      <w:pPr>
        <w:spacing w:after="0" w:line="240" w:lineRule="auto"/>
        <w:jc w:val="both"/>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5DAB4B40"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FFFF99"/>
          </w:tcPr>
          <w:p w14:paraId="6E7A1CAF"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bCs/>
                <w:color w:val="000000"/>
                <w:sz w:val="24"/>
                <w:szCs w:val="24"/>
              </w:rPr>
              <w:t>4.10. Подобряване на качеството и чистотата на храните</w:t>
            </w:r>
          </w:p>
        </w:tc>
      </w:tr>
    </w:tbl>
    <w:p w14:paraId="0F72C2D3"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40A8D3B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27CE329A"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2C77F6BE" w14:textId="77777777" w:rsidR="00533926" w:rsidRPr="00AA5833" w:rsidRDefault="00533926" w:rsidP="00533926">
      <w:pPr>
        <w:spacing w:after="0" w:line="240" w:lineRule="auto"/>
        <w:jc w:val="both"/>
        <w:outlineLvl w:val="0"/>
        <w:rPr>
          <w:rFonts w:ascii="Times New Roman" w:hAnsi="Times New Roman" w:cs="Times New Roman"/>
          <w:b/>
          <w:sz w:val="24"/>
          <w:szCs w:val="24"/>
        </w:rPr>
      </w:pPr>
      <w:r w:rsidRPr="00AA5833">
        <w:rPr>
          <w:rFonts w:ascii="Times New Roman" w:hAnsi="Times New Roman" w:cs="Times New Roman"/>
          <w:b/>
          <w:sz w:val="24"/>
          <w:szCs w:val="24"/>
        </w:rPr>
        <w:t>4.10.1. Разработване, координиране и прилагане на държавни политики в областта на безопасността и качеството на храните</w:t>
      </w:r>
    </w:p>
    <w:p w14:paraId="1141A4BA" w14:textId="77777777" w:rsidR="00533926" w:rsidRPr="00AA5833" w:rsidRDefault="00533926" w:rsidP="00533926">
      <w:pPr>
        <w:spacing w:after="0" w:line="240" w:lineRule="auto"/>
        <w:jc w:val="both"/>
        <w:outlineLvl w:val="0"/>
        <w:rPr>
          <w:rFonts w:ascii="Times New Roman" w:hAnsi="Times New Roman" w:cs="Times New Roman"/>
          <w:b/>
          <w:sz w:val="24"/>
          <w:szCs w:val="24"/>
        </w:rPr>
      </w:pPr>
    </w:p>
    <w:p w14:paraId="1E5934E9" w14:textId="77777777" w:rsidR="00533926" w:rsidRPr="00AA5833" w:rsidRDefault="00533926" w:rsidP="00533926">
      <w:pPr>
        <w:tabs>
          <w:tab w:val="left" w:pos="180"/>
          <w:tab w:val="left" w:pos="1134"/>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През 2024 г. са изготвени проекти на закони и подзаконови нормативни актове в областта на безопасността на храните, които имат за цел постигане на високо ниво на защита на здравето на потребителите чрез предлагане на пазара на качествени и безопасни храни и подобряване на пазарния достъп на малки и местни производители:</w:t>
      </w:r>
    </w:p>
    <w:p w14:paraId="5F4F911B"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Постановление №51 на Министерския съвет от 2024 г. за изменение и допълнение на Наредбата за изискванията към използването на екстракционни разтворители при производството на храни и хранителни съставки;</w:t>
      </w:r>
    </w:p>
    <w:p w14:paraId="0A7E9712"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Наредба за условията и реда за вземане на проби и лабораторно изпитване на храни;</w:t>
      </w:r>
    </w:p>
    <w:p w14:paraId="35765459"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Наредба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детските градини, както и към храни, предлагани при организирани мероприятия за деца и ученици;</w:t>
      </w:r>
    </w:p>
    <w:p w14:paraId="178EA6C3"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План за действие за прилагането на Регламент за изпълнение (ЕС) 2019/627 по отношение на живи двучерупчести мекотели, живи бодлокожи, живи мантийни и живи морски коремоноги, които се хранят чрез филтриране на водата;</w:t>
      </w:r>
    </w:p>
    <w:p w14:paraId="56A044CE"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 xml:space="preserve">Със заповед на министъра на земеделието и храните са определени зоните за развъждане на черупкови организми в крайбрежните морски води, съответно зоните за отглеждане на аквакултури, определени с Плана за управление на речните басейни в Черноморски район за басейново управление на водите (2016–2021 г.), респективно Морския пространствен план на Република България (2021–2035 г.), като райони за производство и за повторно полагане на живи двучерупчести мекотели, живи бодлокожи, живи мантийни и живи морски коремоноги, които се хранят чрез филтриране на водата. </w:t>
      </w:r>
    </w:p>
    <w:p w14:paraId="5D7C74FE" w14:textId="77777777" w:rsidR="00533926" w:rsidRPr="00AA5833" w:rsidRDefault="00533926" w:rsidP="00533926">
      <w:pPr>
        <w:overflowPunct w:val="0"/>
        <w:autoSpaceDE w:val="0"/>
        <w:autoSpaceDN w:val="0"/>
        <w:adjustRightInd w:val="0"/>
        <w:spacing w:after="0" w:line="240" w:lineRule="auto"/>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ab/>
        <w:t>Предприети са действия, допринасящи за защита на човешкото здраве и интересите на потребителите по отношение на храните, включително традиционните продукти, както и за ефективното функциониране на вътрешния пазар:</w:t>
      </w:r>
    </w:p>
    <w:p w14:paraId="0AA10C2B"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Проведени са три заседания на Националния съвет по храните с участието на браншовите организации в областта на храните;</w:t>
      </w:r>
    </w:p>
    <w:p w14:paraId="5F5C8391"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Инициирана е процедура в рамките на Техническия комитет на Българския институт за стандартизация за изменение на БДС 12:2010 „Българско кисело мляко“ и национален стандарт БДС 15:2010 „Българско бяло саламурено сирене“; публикувани са изменения на двата стандарта;</w:t>
      </w:r>
    </w:p>
    <w:p w14:paraId="7B30497C"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 xml:space="preserve">В изпълнение на чл. 119, т. 5 от Закона за храните е изготвен и приет Годишен доклад за състоянието на сектор „Храни“ в България за периода 2021-2022 година. </w:t>
      </w:r>
    </w:p>
    <w:p w14:paraId="068004E6" w14:textId="77777777" w:rsidR="00533926" w:rsidRPr="00AA5833" w:rsidRDefault="00533926" w:rsidP="00533926">
      <w:pPr>
        <w:overflowPunct w:val="0"/>
        <w:autoSpaceDE w:val="0"/>
        <w:autoSpaceDN w:val="0"/>
        <w:adjustRightInd w:val="0"/>
        <w:spacing w:after="0" w:line="240" w:lineRule="auto"/>
        <w:ind w:left="360"/>
        <w:contextualSpacing/>
        <w:jc w:val="both"/>
        <w:textAlignment w:val="baseline"/>
        <w:rPr>
          <w:rFonts w:ascii="Times New Roman" w:hAnsi="Times New Roman" w:cs="Times New Roman"/>
          <w:sz w:val="24"/>
          <w:szCs w:val="24"/>
        </w:rPr>
      </w:pPr>
    </w:p>
    <w:p w14:paraId="78489FE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152C460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5E8748F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070818E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4.10.2. Поддържане на система за официален контрол при производството, преработката и дистрибуцията на храни, материали и предмети, предназначени за контакт с храни</w:t>
      </w:r>
    </w:p>
    <w:p w14:paraId="5CB1487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834D2B2" w14:textId="77777777" w:rsidR="00533926" w:rsidRPr="00AA5833" w:rsidRDefault="00533926" w:rsidP="00533926">
      <w:pPr>
        <w:autoSpaceDN w:val="0"/>
        <w:spacing w:after="0" w:line="240" w:lineRule="auto"/>
        <w:ind w:firstLine="709"/>
        <w:contextualSpacing/>
        <w:jc w:val="both"/>
        <w:rPr>
          <w:rFonts w:ascii="Times New Roman" w:eastAsia="Calibri" w:hAnsi="Times New Roman" w:cs="Times New Roman"/>
          <w:color w:val="FF0000"/>
          <w:sz w:val="24"/>
          <w:szCs w:val="24"/>
        </w:rPr>
      </w:pPr>
      <w:r w:rsidRPr="00AA5833">
        <w:rPr>
          <w:rFonts w:ascii="Times New Roman" w:eastAsia="Calibri" w:hAnsi="Times New Roman" w:cs="Times New Roman"/>
          <w:bCs/>
          <w:sz w:val="24"/>
          <w:szCs w:val="24"/>
        </w:rPr>
        <w:t>Българската агенция по безопасност на храните провежда ефективен контрол с цел проверка за спазване на изискванията на действащото законодателство за осигуряване на безопасност на храните по цялата хранителна верига, което се доказва с получените резултати от извършения официален контрол.</w:t>
      </w:r>
    </w:p>
    <w:p w14:paraId="3D83C09E"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eastAsia="Calibri" w:hAnsi="Times New Roman" w:cs="Times New Roman"/>
          <w:bCs/>
          <w:sz w:val="24"/>
          <w:szCs w:val="24"/>
        </w:rPr>
        <w:t xml:space="preserve">През 2024 г. </w:t>
      </w:r>
      <w:r w:rsidRPr="00AA5833">
        <w:rPr>
          <w:rFonts w:ascii="Times New Roman" w:hAnsi="Times New Roman" w:cs="Times New Roman"/>
          <w:sz w:val="24"/>
          <w:szCs w:val="24"/>
        </w:rPr>
        <w:t xml:space="preserve">инспекторите от отдел „Контрол на храните” при </w:t>
      </w:r>
      <w:r w:rsidRPr="00AA5833">
        <w:rPr>
          <w:rFonts w:ascii="Times New Roman" w:eastAsia="Calibri" w:hAnsi="Times New Roman" w:cs="Times New Roman"/>
          <w:bCs/>
          <w:sz w:val="24"/>
          <w:szCs w:val="24"/>
        </w:rPr>
        <w:t xml:space="preserve">Областните дирекции по безопасност на храните </w:t>
      </w:r>
      <w:r w:rsidRPr="00AA5833">
        <w:rPr>
          <w:rFonts w:ascii="Times New Roman" w:hAnsi="Times New Roman" w:cs="Times New Roman"/>
          <w:sz w:val="24"/>
          <w:szCs w:val="24"/>
        </w:rPr>
        <w:t>са извършили планови проверки, тематични проверки и проверки по заповеди на изпълнителния директор на обекти за производство, търговия на едро и дребно с храни и заведенията за обществено хранене в страната</w:t>
      </w:r>
      <w:r w:rsidRPr="00AA5833">
        <w:rPr>
          <w:rFonts w:ascii="Times New Roman" w:eastAsia="Calibri" w:hAnsi="Times New Roman" w:cs="Times New Roman"/>
          <w:bCs/>
          <w:sz w:val="24"/>
          <w:szCs w:val="24"/>
        </w:rPr>
        <w:t xml:space="preserve">. </w:t>
      </w:r>
      <w:r w:rsidRPr="00AA5833">
        <w:rPr>
          <w:rFonts w:ascii="Times New Roman" w:eastAsia="Calibri" w:hAnsi="Times New Roman" w:cs="Times New Roman"/>
          <w:bCs/>
          <w:sz w:val="24"/>
          <w:szCs w:val="24"/>
        </w:rPr>
        <w:tab/>
      </w:r>
      <w:r w:rsidRPr="00AA5833">
        <w:rPr>
          <w:rFonts w:ascii="Times New Roman" w:hAnsi="Times New Roman" w:cs="Times New Roman"/>
          <w:bCs/>
          <w:sz w:val="24"/>
          <w:szCs w:val="24"/>
        </w:rPr>
        <w:t>Обобщените данни сочат следното:</w:t>
      </w:r>
    </w:p>
    <w:p w14:paraId="028151F5"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Общ брой извършени проверки – 163 888;</w:t>
      </w:r>
    </w:p>
    <w:p w14:paraId="3631CE57"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 xml:space="preserve">Брой издадени предписания – 8 112; </w:t>
      </w:r>
    </w:p>
    <w:p w14:paraId="2FC5AB23"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 xml:space="preserve">Брой съставени Актове за установяване на административно нарушение – 1 942; </w:t>
      </w:r>
    </w:p>
    <w:p w14:paraId="4D432BCA"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Възбранени и насочени за унищожаване храни от животински и неживотински произход в предприятия, складове и обекти за търговия на едро и дребно, заведения за обществено хранене - 381 тона;</w:t>
      </w:r>
    </w:p>
    <w:p w14:paraId="24F3C890"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Унищожени напитки – 32 хил. литра;</w:t>
      </w:r>
    </w:p>
    <w:p w14:paraId="37621088"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Възбранени и насочени за унищожаване яйца с изтекъл срок на годност, неправилно етикетирани, без документи за произход – 202 053 бр.;</w:t>
      </w:r>
    </w:p>
    <w:p w14:paraId="4821118A"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 xml:space="preserve">Във връзка с огнища на болестта Инфлуенца по птиците, в изпълнение на заповеди на изпълнителния директор на БАБХ, е организирано извършване на проследимост на добитото месо и снесените яйца и в резултат на предприетите действия са спрени от реализация общо 2 421 283 броя яйца и 105 т птиче месо (от кокошеви или водоплаващи птици). Двадесет и пет тона от установените при проследяване на добито месо и субпродукти от птици с доказана високопатогенна инфлуенца по птиците са преработени в месни продукти, преминали необходимата термична обработка за обезвреждане на вируса. </w:t>
      </w:r>
    </w:p>
    <w:p w14:paraId="37AAB6B2"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Общ брой затворени обекти/обекти с временно преустановена дейност – 204;</w:t>
      </w:r>
    </w:p>
    <w:p w14:paraId="2B2FA328"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Цялостната оценка на контролната дейност показва, че основният приоритет при провеждане на официалният контрол на храните за постигане на високо ниво на защита здравето на потребителите е изпълнен въпреки срещаните трудности, свързани с осигуряване на достатъчно средства, недостатъчно съвременно материално-техническо оборудване и липсата на достатъчно административен капацитет. </w:t>
      </w:r>
    </w:p>
    <w:p w14:paraId="5D92FCDD"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6AFB812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4D95967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7EBA5E85"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4EC907D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4.10.3. Поддържане на официални регистри на обектите за производство, преработка и дистрибуция на храни, хранителни добавки и материали и предмети, предназначени за контакт с храни</w:t>
      </w:r>
    </w:p>
    <w:p w14:paraId="113F39FF"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p w14:paraId="41A0B285"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 xml:space="preserve">Българската агенция по безопасност на храните упражнява контрол върху електронните национални регистри, като изготвя и поддържа списъци на обектите под контрол на БАБХ, съгласно чл. 24 от Закона за храните. </w:t>
      </w:r>
    </w:p>
    <w:p w14:paraId="4CED6BB6"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lastRenderedPageBreak/>
        <w:t>През 2024 г. обектите и транспортните средства, попадащи в обхвата на официалния контрол, съгласно регистрите и списъците, поддържани от БАБХ, са общо 217 904 бр., разпределени както следва:</w:t>
      </w:r>
    </w:p>
    <w:p w14:paraId="4B4A0553"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Обекти за производство, съхранение и търговия на едро с храни – 10 097 бр.;</w:t>
      </w:r>
    </w:p>
    <w:p w14:paraId="71BB23AE"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Обекти за търговия на дребно с храни и заведения за обществено хранене – 168 875 бр.;</w:t>
      </w:r>
    </w:p>
    <w:p w14:paraId="3354C4F2"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Транспортни средства за превоз на храни, подлежащи на регистрация, съгласно Закона за храните – 32 553 бр.;</w:t>
      </w:r>
    </w:p>
    <w:p w14:paraId="56143FC5"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Бизнесоператори, които извършват търговия с храни от разстояние – 1 499 бр.;</w:t>
      </w:r>
    </w:p>
    <w:p w14:paraId="61DF49D2"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Риболовни съдове, извършващи улов на риба – 4 470 бр.;</w:t>
      </w:r>
    </w:p>
    <w:p w14:paraId="4E1FF4A6"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Обекти за първично производство на гъби и пунктове за изкупуване на диворастящи гъби и/или горски плодове – 408 бр.;</w:t>
      </w:r>
    </w:p>
    <w:p w14:paraId="3AF96BB5" w14:textId="77777777" w:rsidR="00533926" w:rsidRPr="00AA5833" w:rsidRDefault="00533926" w:rsidP="002A598C">
      <w:pPr>
        <w:numPr>
          <w:ilvl w:val="0"/>
          <w:numId w:val="28"/>
        </w:numPr>
        <w:overflowPunct w:val="0"/>
        <w:autoSpaceDE w:val="0"/>
        <w:autoSpaceDN w:val="0"/>
        <w:adjustRightInd w:val="0"/>
        <w:spacing w:after="0" w:line="240" w:lineRule="auto"/>
        <w:ind w:left="0" w:firstLine="360"/>
        <w:contextualSpacing/>
        <w:jc w:val="both"/>
        <w:textAlignment w:val="baseline"/>
        <w:rPr>
          <w:rFonts w:ascii="Times New Roman" w:hAnsi="Times New Roman" w:cs="Times New Roman"/>
          <w:sz w:val="24"/>
          <w:szCs w:val="24"/>
        </w:rPr>
      </w:pPr>
      <w:r w:rsidRPr="00AA5833">
        <w:rPr>
          <w:rFonts w:ascii="Times New Roman" w:hAnsi="Times New Roman" w:cs="Times New Roman"/>
          <w:sz w:val="24"/>
          <w:szCs w:val="24"/>
        </w:rPr>
        <w:t>Оператори на хранителни банки – 2 бр.</w:t>
      </w:r>
    </w:p>
    <w:p w14:paraId="0DA5CBB5"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В Националния регистър на подадените уведомления за пускане на пазара на хранителни добавки и храни, предназначени за употреба при интензивно мускулно натоварване са подадени 64 616 уведомления.</w:t>
      </w:r>
    </w:p>
    <w:p w14:paraId="2C84A723" w14:textId="77777777" w:rsidR="00533926" w:rsidRPr="00AA5833" w:rsidRDefault="00533926" w:rsidP="00533926">
      <w:pPr>
        <w:spacing w:after="0" w:line="240" w:lineRule="auto"/>
        <w:ind w:firstLine="709"/>
        <w:jc w:val="both"/>
        <w:outlineLvl w:val="0"/>
        <w:rPr>
          <w:rFonts w:ascii="Times New Roman" w:hAnsi="Times New Roman" w:cs="Times New Roman"/>
          <w:b/>
          <w:bCs/>
          <w:i/>
          <w:sz w:val="24"/>
          <w:szCs w:val="24"/>
        </w:rPr>
      </w:pPr>
    </w:p>
    <w:p w14:paraId="780CAF0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19A353B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29CE9753" w14:textId="77777777" w:rsidR="00533926" w:rsidRPr="00AA5833" w:rsidRDefault="00533926" w:rsidP="00533926">
      <w:pPr>
        <w:spacing w:after="0" w:line="240" w:lineRule="auto"/>
        <w:ind w:firstLine="709"/>
        <w:jc w:val="both"/>
        <w:outlineLvl w:val="0"/>
        <w:rPr>
          <w:rFonts w:ascii="Times New Roman" w:hAnsi="Times New Roman" w:cs="Times New Roman"/>
          <w:b/>
          <w:bCs/>
          <w:i/>
          <w:sz w:val="24"/>
          <w:szCs w:val="24"/>
        </w:rPr>
      </w:pPr>
    </w:p>
    <w:p w14:paraId="759025D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4.10.4. Функциониране на компетентна контактна точка по системата за бързо съобщаване за храни и фуражи RASFF </w:t>
      </w:r>
    </w:p>
    <w:p w14:paraId="36079486"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5BD9AB2D"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През 2024 г. са предприети действия, свързани с функциите на Единното звено за контакт на Република България по Системата за бързо предупреждение за храни и фуражи (RASFF), по 155 входящи уведомления, в това число: за несъответствие – 61, за информация за насочване на вниманието – 5, за информация, която изисква последващи действия – 48, за предупреждение – 40 и за отхвърляне на граница – 1. Създадени са 11 изходящи уведомления, от които за несъответствие – 7, и за информация за насочване на вниманието – 4. Отправено е едно запитване относно прилагането на законодателството.</w:t>
      </w:r>
    </w:p>
    <w:p w14:paraId="4888B6A9" w14:textId="77777777" w:rsidR="00533926" w:rsidRPr="00AA5833" w:rsidRDefault="00533926" w:rsidP="00533926">
      <w:pPr>
        <w:spacing w:after="0" w:line="240" w:lineRule="auto"/>
        <w:ind w:firstLine="709"/>
        <w:contextualSpacing/>
        <w:jc w:val="both"/>
        <w:rPr>
          <w:rFonts w:ascii="Times New Roman" w:hAnsi="Times New Roman" w:cs="Times New Roman"/>
          <w:sz w:val="24"/>
          <w:szCs w:val="24"/>
        </w:rPr>
      </w:pPr>
      <w:r w:rsidRPr="00AA5833">
        <w:rPr>
          <w:rFonts w:ascii="Times New Roman" w:hAnsi="Times New Roman" w:cs="Times New Roman"/>
          <w:sz w:val="24"/>
          <w:szCs w:val="24"/>
        </w:rPr>
        <w:t>Чрез интернет-страницата на БАБХ потребителите се информират своевременно за наличието на храни на пазара, които се разпространяват на българския пазар и са обект на нотификация.</w:t>
      </w:r>
    </w:p>
    <w:p w14:paraId="3FD45F04" w14:textId="77777777" w:rsidR="00533926" w:rsidRPr="00AA5833" w:rsidRDefault="00533926" w:rsidP="00533926">
      <w:pPr>
        <w:spacing w:after="0" w:line="240" w:lineRule="auto"/>
        <w:ind w:firstLine="709"/>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Нарастването на случаите на измами с храни на ниво ЕС изисква адекватни и навременни мерки за оптимизиране на системата за контрол и своевременно укрепване на нейната способност да оценява на ранен етап потенциалната уязвимост от измами в различни части от веригата на доставка на храни  и способността на националните органи да откриват и предотвратяват потенциални измами.  </w:t>
      </w:r>
    </w:p>
    <w:p w14:paraId="514DEC53"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r w:rsidRPr="00AA5833">
        <w:rPr>
          <w:rFonts w:ascii="Times New Roman" w:hAnsi="Times New Roman" w:cs="Times New Roman"/>
          <w:sz w:val="24"/>
          <w:szCs w:val="24"/>
        </w:rPr>
        <w:t>През 2024 г. БАБХ продължава участието си в организираната от Европол и Интерпол международна операция OPSON, насочена срещу разпространението на фалшифицирани и неотговарящи на стандартите хранителни продукти и напитки.</w:t>
      </w:r>
    </w:p>
    <w:p w14:paraId="35701E1F" w14:textId="77777777" w:rsidR="00533926" w:rsidRPr="00AA5833" w:rsidRDefault="00533926" w:rsidP="00533926">
      <w:pPr>
        <w:spacing w:after="0" w:line="240" w:lineRule="auto"/>
        <w:ind w:firstLine="709"/>
        <w:jc w:val="both"/>
        <w:outlineLvl w:val="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2248F819"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2940494E"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Направление 5 – Разработване на адекватна миграционна (външна и вътрешна) и имиграционна политика</w:t>
            </w:r>
          </w:p>
        </w:tc>
      </w:tr>
    </w:tbl>
    <w:p w14:paraId="6462AADA" w14:textId="77777777" w:rsidR="00533926" w:rsidRPr="00AA5833" w:rsidRDefault="00533926" w:rsidP="00533926">
      <w:pPr>
        <w:spacing w:after="0" w:line="240" w:lineRule="auto"/>
        <w:jc w:val="both"/>
        <w:rPr>
          <w:rFonts w:ascii="Times New Roman" w:hAnsi="Times New Roman" w:cs="Times New Roman"/>
          <w:sz w:val="24"/>
          <w:szCs w:val="24"/>
        </w:rPr>
      </w:pPr>
    </w:p>
    <w:p w14:paraId="384149E2"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МИНИСТЕРСТВО НА ИНОВАЦИИТЕ И РАСТЕЖА</w:t>
      </w:r>
    </w:p>
    <w:p w14:paraId="3BBC3107" w14:textId="77777777" w:rsidR="00533926" w:rsidRPr="00AA5833" w:rsidRDefault="00533926" w:rsidP="00533926">
      <w:pPr>
        <w:spacing w:after="0" w:line="240" w:lineRule="auto"/>
        <w:jc w:val="both"/>
        <w:rPr>
          <w:rFonts w:ascii="Times New Roman" w:hAnsi="Times New Roman" w:cs="Times New Roman"/>
          <w:sz w:val="24"/>
          <w:szCs w:val="24"/>
        </w:rPr>
      </w:pPr>
    </w:p>
    <w:p w14:paraId="3DB1AFC9"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Чрез изпълнението на иновационната политика за икономическо развитие и стимулиране на иновациите и конкурентоспособността на българските предприятия, </w:t>
      </w:r>
      <w:r w:rsidRPr="00AA5833">
        <w:rPr>
          <w:rFonts w:ascii="Times New Roman" w:hAnsi="Times New Roman" w:cs="Times New Roman"/>
          <w:sz w:val="24"/>
          <w:szCs w:val="24"/>
        </w:rPr>
        <w:lastRenderedPageBreak/>
        <w:t xml:space="preserve">Министерството на иновациите и растежа (МИР) подпомага реализирането на клъстерни, секторни и регионални политики за насърчаване на предприемаческата активност и привличане на инвестиции. През 2024 г. МИР продължи своята работа по изпълнението на </w:t>
      </w:r>
      <w:r w:rsidRPr="00AA5833">
        <w:rPr>
          <w:rFonts w:ascii="Times New Roman" w:hAnsi="Times New Roman" w:cs="Times New Roman"/>
          <w:b/>
          <w:sz w:val="24"/>
          <w:szCs w:val="24"/>
        </w:rPr>
        <w:t>Иновационната стратегия за интелигентна специализация 2021-2027</w:t>
      </w:r>
      <w:r w:rsidRPr="00AA5833">
        <w:rPr>
          <w:rFonts w:ascii="Times New Roman" w:hAnsi="Times New Roman" w:cs="Times New Roman"/>
          <w:sz w:val="24"/>
          <w:szCs w:val="24"/>
        </w:rPr>
        <w:t xml:space="preserve"> (ИСИС), която представлява рамка за реализирането на националната иновационна политика с визия за превръщането на България в иновативна, интелигентна, зелена, цифрова и свързана страна чрез нова обща иновационна политика за взаимодействие между науката и бизнеса. </w:t>
      </w:r>
    </w:p>
    <w:p w14:paraId="64B18E7B"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На базата на утвърдения през 2023 г. План за изпълнение на ИСИС за периода 2023-2024 година, през настоящата година предстои да се състави нов работен план на ИСИС за периода 2025-2027 г., както и актуализация и допълване на включените в него мерки изпълнявани от отговорните институции в рамките на междуинституционалния координационен механизъм на изпълнението и проследяването на напредъка по ИСИС. Заложените специфични индикатори за изпълнение ще позволят да се проследи в каква степен всяка от заложените дейности е допринесла към постигането на релевантните за нея стратегически и оперативни цели на ИСИС. Целият комплекс от мерки е насочен към създаването на по-благоприятна среда за развитието на бизнеса, предприемаческата активност и цялостното иновационно представяне на страната. </w:t>
      </w:r>
    </w:p>
    <w:p w14:paraId="0AB3E412"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През 2025 г. предстои изготвянето на Междинен мониторингов доклад за напредъка, включващ анализ и оценка на изпълнението на Стратегията по отношение на приоритетните тематични области, степента на постигане на целите и процеса на управление за периода 2021-2024 г.</w:t>
      </w:r>
    </w:p>
    <w:p w14:paraId="324142C8"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С промените в Закона за чужденците в Република в България (ЗЧРБ) и по-специално със създадения чл. 24п от ЗЧРБ в нашето законодателство се въведе възможността за предоставяне на разрешение за продължително пребиваване на чужденци, които притежават издадено от Министерството на иновациите и растежа (МИР) удостоверение за високотехнологичен и/или иновативен проект, наречен „Стартъп виза“. В тази връзка, МИР изготви подзаконовата нормативна рамка за въвеждане на „Стартъп виза“, част от Националния план за възстановяване и устойчивост на Република България, етап от изпълнението на Реформа 11 „Разрастване България“, целяща подобряване на икономиката, чрез подпомагане изграждането на индустрии с висока добавена стойност.</w:t>
      </w:r>
    </w:p>
    <w:p w14:paraId="0CABCDFF"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Наредбата за условията и реда за издаване, удължаване и отнемане на удостоверение за високотехнологичен и/или иновативен проект, наречен „Стартъп виза“ (Наредбата) е приета с ПМС №318/7 октомври 2022 г. и е обнародвана в ДВ, бр. 82, от 14 октомври 2022 г.</w:t>
      </w:r>
    </w:p>
    <w:p w14:paraId="360A7339"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Стартъп визата представлява регулаторен и административен механизъм за привличане на чуждестранни предприемачи, които да развиват високотехнологичен и/или иновативен бизнес в страната, чрез привличане на рентабилни проекти, основани на съвременни високи технологии, технологичен трансфер и внедряване в бизнеса на продукти на най-нови научни открития, модели, методи и практики, защитени с права на интелектуална собственост, които да дадат тласък за развитие на националната иновационна екосистема, а оттам – и на националната икономика да премине от „прохождащ“ (emerging) към „умерен“ иноватор. </w:t>
      </w:r>
    </w:p>
    <w:p w14:paraId="49F3256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На основание чл. 11, ал. 1 от Наредбата е създадена и се поддържа електронната база данни: Регистър на подадените заявления за издаване на удостоверение за високотехнологичен и/или иновативен проект и Регистър на издадените от МИР Удостоверения, които периодично се актуализират.</w:t>
      </w:r>
    </w:p>
    <w:p w14:paraId="0FEEB624"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От началото на стартиране на дейността по предоставяне на административните услуги по издаване/удължаване на удостоверение за високотехнологичен и/или </w:t>
      </w:r>
      <w:r w:rsidRPr="00AA5833">
        <w:rPr>
          <w:rFonts w:ascii="Times New Roman" w:hAnsi="Times New Roman" w:cs="Times New Roman"/>
          <w:sz w:val="24"/>
          <w:szCs w:val="24"/>
        </w:rPr>
        <w:lastRenderedPageBreak/>
        <w:t xml:space="preserve">иновативен проект „Стартъп виза“ (месец февруари 2023 г.) до м. декември 2024 г., вкл. в МИР са постъпили общо 18 заявления за издаване на удостоверение за високотехнологичен и/или иновативен проект. От тях към 31.12.2024 г. са издадени общо 11 Удостоверения „Стартъп виза“, 6 Решения за отказ за издаване на удостоверение и 1 заявление е в процес на разглеждане от Експертен съвет. </w:t>
      </w:r>
    </w:p>
    <w:p w14:paraId="53CE2EC3"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През отчетния период 01.01.2024 г. – 31.12.2024 г. в Системата за управление на националните инвестиции (СУНИ) са постъпили общо за годината 9 заявления за издаване на удостоверение за високотехнологичен и/или иновативен проект, оценени от отделни Експертни съвети. В резултат от извършените оценки са:</w:t>
      </w:r>
    </w:p>
    <w:p w14:paraId="27E4C4B6" w14:textId="77777777" w:rsidR="00533926" w:rsidRPr="00AA5833" w:rsidRDefault="00533926" w:rsidP="002A598C">
      <w:pPr>
        <w:numPr>
          <w:ilvl w:val="0"/>
          <w:numId w:val="28"/>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издадени 7 Решения за издаване на удостоверение за високотехнологичен и/или иновативен проект, наречен „Стартъп виза“;</w:t>
      </w:r>
    </w:p>
    <w:p w14:paraId="0E5B33BE" w14:textId="77777777" w:rsidR="00533926" w:rsidRPr="00AA5833" w:rsidRDefault="00533926" w:rsidP="002A598C">
      <w:pPr>
        <w:numPr>
          <w:ilvl w:val="0"/>
          <w:numId w:val="28"/>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издадени 3 Решения за отказ от издаване на удостоверение „Стартъп виза“;</w:t>
      </w:r>
    </w:p>
    <w:p w14:paraId="5BDCA749" w14:textId="77777777" w:rsidR="00533926" w:rsidRPr="00AA5833" w:rsidRDefault="00533926" w:rsidP="002A598C">
      <w:pPr>
        <w:numPr>
          <w:ilvl w:val="0"/>
          <w:numId w:val="28"/>
        </w:numPr>
        <w:spacing w:after="0" w:line="240" w:lineRule="auto"/>
        <w:ind w:left="0"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едно Заявление за издаване на удостоверение за високотехнологичен и/или иновативен проект е в процес на разглеждане.</w:t>
      </w:r>
    </w:p>
    <w:p w14:paraId="3B0A7C41"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Също така през 2024 г. са постъпили и 3 Заявления за удължаване на издадени през 2023 г. удостоверения „Стартъп виза“, като същите са удължени с още две години.</w:t>
      </w:r>
    </w:p>
    <w:p w14:paraId="1C4D9033"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 отговор на засиления интерес от страна на различни високотехнологични компании да преместят свои служители в България, през лятото на 2022 г. МИР създаде механизъм за съдействие за бърза обработка и издаване на „</w:t>
      </w:r>
      <w:r w:rsidRPr="00AA5833">
        <w:rPr>
          <w:rFonts w:ascii="Times New Roman" w:hAnsi="Times New Roman" w:cs="Times New Roman"/>
          <w:b/>
          <w:sz w:val="24"/>
          <w:szCs w:val="24"/>
        </w:rPr>
        <w:t>Синя карта</w:t>
      </w:r>
      <w:r w:rsidRPr="00AA5833">
        <w:rPr>
          <w:rFonts w:ascii="Times New Roman" w:hAnsi="Times New Roman" w:cs="Times New Roman"/>
          <w:sz w:val="24"/>
          <w:szCs w:val="24"/>
        </w:rPr>
        <w:t xml:space="preserve">“ (разрешение за продължително пребиваване и работа за срок до 5 години, предназначено за висококвалифицирани специалисти от държави извън ЕС) за намаляване на времетраенето за издаване на разрешение в срок до 4 седмици. Новата „бърза писта“ се прилага за заявяване на групи от минимум 10 служители и е предназначена за компании, които целят релокиране на офиси и техните служители в България. През 2024 г. към МИР са се обърнали </w:t>
      </w:r>
      <w:r w:rsidRPr="00AA5833">
        <w:rPr>
          <w:rFonts w:ascii="Times New Roman" w:hAnsi="Times New Roman" w:cs="Times New Roman"/>
          <w:b/>
          <w:sz w:val="24"/>
          <w:szCs w:val="24"/>
        </w:rPr>
        <w:t>498</w:t>
      </w:r>
      <w:r w:rsidRPr="00AA5833">
        <w:rPr>
          <w:rFonts w:ascii="Times New Roman" w:hAnsi="Times New Roman" w:cs="Times New Roman"/>
          <w:sz w:val="24"/>
          <w:szCs w:val="24"/>
        </w:rPr>
        <w:t xml:space="preserve"> кандидати за „Синя карта“, на които министерството е съдействало в рамките на своите компетенции. </w:t>
      </w:r>
    </w:p>
    <w:p w14:paraId="66A1AC0C" w14:textId="77777777" w:rsidR="00533926" w:rsidRPr="00AA5833" w:rsidRDefault="00533926" w:rsidP="00533926">
      <w:pPr>
        <w:spacing w:after="0" w:line="240" w:lineRule="auto"/>
        <w:jc w:val="both"/>
        <w:rPr>
          <w:rFonts w:ascii="Times New Roman"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646388C1"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352390D" w14:textId="77777777" w:rsidR="00533926" w:rsidRPr="00AA5833" w:rsidRDefault="00533926" w:rsidP="002A598C">
            <w:pPr>
              <w:numPr>
                <w:ilvl w:val="1"/>
                <w:numId w:val="26"/>
              </w:numPr>
              <w:spacing w:after="0" w:line="240" w:lineRule="auto"/>
              <w:contextualSpacing/>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 Усъвършенстване на отчитането на вътрешната и външната миграция</w:t>
            </w:r>
          </w:p>
        </w:tc>
      </w:tr>
    </w:tbl>
    <w:p w14:paraId="59823691" w14:textId="77777777" w:rsidR="00533926" w:rsidRPr="00AA5833" w:rsidRDefault="00533926" w:rsidP="00533926">
      <w:pPr>
        <w:tabs>
          <w:tab w:val="left" w:pos="1467"/>
        </w:tabs>
        <w:autoSpaceDE w:val="0"/>
        <w:autoSpaceDN w:val="0"/>
        <w:adjustRightInd w:val="0"/>
        <w:spacing w:after="0" w:line="240" w:lineRule="auto"/>
        <w:rPr>
          <w:rFonts w:ascii="Times New Roman" w:eastAsia="Times New Roman" w:hAnsi="Times New Roman" w:cs="Times New Roman"/>
          <w:b/>
          <w:bCs/>
          <w:caps/>
          <w:color w:val="0000FF"/>
          <w:sz w:val="24"/>
          <w:szCs w:val="24"/>
          <w:lang w:eastAsia="bg-BG"/>
        </w:rPr>
      </w:pPr>
    </w:p>
    <w:p w14:paraId="73744C7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институт за икономически изследвания – бан</w:t>
      </w:r>
    </w:p>
    <w:p w14:paraId="4FA556E1" w14:textId="77777777" w:rsidR="00533926" w:rsidRPr="00AA5833" w:rsidRDefault="00533926" w:rsidP="00533926">
      <w:pPr>
        <w:tabs>
          <w:tab w:val="left" w:pos="1467"/>
        </w:tabs>
        <w:autoSpaceDE w:val="0"/>
        <w:autoSpaceDN w:val="0"/>
        <w:adjustRightInd w:val="0"/>
        <w:spacing w:after="0" w:line="240" w:lineRule="auto"/>
        <w:rPr>
          <w:rFonts w:ascii="Times New Roman" w:eastAsia="Times New Roman" w:hAnsi="Times New Roman" w:cs="Times New Roman"/>
          <w:b/>
          <w:bCs/>
          <w:caps/>
          <w:color w:val="0000FF"/>
          <w:sz w:val="24"/>
          <w:szCs w:val="24"/>
          <w:lang w:eastAsia="bg-BG"/>
        </w:rPr>
      </w:pPr>
    </w:p>
    <w:p w14:paraId="1502C8B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5.1.1. Разработване на научно-приложен проект: „Българската миграция в началото на ХХI век – детерминанти, квалификация, устойчивост на завръщането“ </w:t>
      </w:r>
    </w:p>
    <w:p w14:paraId="26D9BE5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A67BE24"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Проект „Българската миграция в началото на ХХI век – детерминанти, квалификация, устойчивост на завръщането” се финансира от бюджетната субсидия на БАН, поради което разходите не могат да бъдат конкретизирани, тъй като финансирането не е проектно. </w:t>
      </w:r>
    </w:p>
    <w:p w14:paraId="48F616D6"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Направена е оценка на потенциалната и фактическа миграция от България и на</w:t>
      </w:r>
      <w:r w:rsidRPr="00AA5833">
        <w:rPr>
          <w:rFonts w:ascii="Times New Roman" w:hAnsi="Times New Roman" w:cs="Times New Roman"/>
          <w:sz w:val="24"/>
          <w:szCs w:val="24"/>
        </w:rPr>
        <w:t xml:space="preserve"> </w:t>
      </w:r>
      <w:r w:rsidRPr="00AA5833">
        <w:rPr>
          <w:rFonts w:ascii="Times New Roman" w:eastAsia="Calibri" w:hAnsi="Times New Roman" w:cs="Times New Roman"/>
          <w:sz w:val="24"/>
          <w:szCs w:val="24"/>
        </w:rPr>
        <w:t>устойчивостта на процесите на завръщане на мигрантите. Разграничени са типовете потенциални и фактически мигранти и е идентифициран техният демографски и социално-икономически профил, както и функционирането на мигрантските мрежи на българската общност в Испания.</w:t>
      </w:r>
    </w:p>
    <w:p w14:paraId="23D6EC95"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Идентифицирани са демографския и социално-икономически профили на българската общност в Швейцария.</w:t>
      </w:r>
    </w:p>
    <w:p w14:paraId="073EC5A2"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Направена е оценка на образователната и квалификационната структура на българските мигранти въз основа на данни от ОИСР. Извършен е сравнителен анализ на населението в страната и на пребиваващите българи зад граница по образователна степен.</w:t>
      </w:r>
    </w:p>
    <w:p w14:paraId="0E307F7E"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Оценена е устойчивостта на процесите на завръщане на мигрантите и на тяхната конкурентоспособност по време на престоя им в чужбина и след завръщането им в страната. Извършена е оценка на трансферното поведение на мигрантите в чужбина и на предприемаческата им дейност след тяхното завръщане.</w:t>
      </w:r>
    </w:p>
    <w:p w14:paraId="7597BB9E" w14:textId="77777777" w:rsidR="00533926" w:rsidRPr="00AA5833" w:rsidRDefault="00533926" w:rsidP="00533926">
      <w:pPr>
        <w:tabs>
          <w:tab w:val="left" w:pos="1467"/>
        </w:tabs>
        <w:autoSpaceDE w:val="0"/>
        <w:autoSpaceDN w:val="0"/>
        <w:adjustRightInd w:val="0"/>
        <w:spacing w:after="0" w:line="240" w:lineRule="auto"/>
        <w:rPr>
          <w:rFonts w:ascii="Times New Roman" w:eastAsia="Times New Roman" w:hAnsi="Times New Roman" w:cs="Times New Roman"/>
          <w:b/>
          <w:bCs/>
          <w:caps/>
          <w:color w:val="0000FF"/>
          <w:sz w:val="24"/>
          <w:szCs w:val="24"/>
          <w:lang w:eastAsia="bg-BG"/>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533926" w:rsidRPr="00AA5833" w14:paraId="471C1447" w14:textId="77777777" w:rsidTr="00533926">
        <w:trPr>
          <w:trHeight w:val="249"/>
        </w:trPr>
        <w:tc>
          <w:tcPr>
            <w:tcW w:w="9067" w:type="dxa"/>
            <w:shd w:val="clear" w:color="auto" w:fill="FFFF99"/>
          </w:tcPr>
          <w:p w14:paraId="59059B1A" w14:textId="77777777" w:rsidR="00533926" w:rsidRPr="00AA5833" w:rsidRDefault="00533926" w:rsidP="00533926">
            <w:pPr>
              <w:spacing w:after="0" w:line="240" w:lineRule="auto"/>
              <w:rPr>
                <w:rFonts w:ascii="Times New Roman" w:hAnsi="Times New Roman" w:cs="Times New Roman"/>
                <w:b/>
                <w:sz w:val="24"/>
                <w:szCs w:val="24"/>
                <w:lang w:eastAsia="bg-BG"/>
              </w:rPr>
            </w:pPr>
            <w:r w:rsidRPr="00AA5833">
              <w:rPr>
                <w:rFonts w:ascii="Times New Roman" w:hAnsi="Times New Roman" w:cs="Times New Roman"/>
                <w:b/>
                <w:sz w:val="24"/>
                <w:szCs w:val="24"/>
                <w:lang w:eastAsia="bg-BG"/>
              </w:rPr>
              <w:t>5.2. Развитие на имиграционна политика за привличане на българи, живеещи в чужбина</w:t>
            </w:r>
          </w:p>
        </w:tc>
      </w:tr>
    </w:tbl>
    <w:p w14:paraId="1B42CDD9"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6CDFC071"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ЗА БЪЛГАРИТЕ В ЧУЖБИНА</w:t>
      </w:r>
    </w:p>
    <w:p w14:paraId="5EE69B3F"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FDEA4D1"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5.2.1. Удостоверяване на български произход</w:t>
      </w:r>
    </w:p>
    <w:p w14:paraId="2B65B31A"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7794C9BA" w14:textId="77777777" w:rsidR="00533926" w:rsidRPr="00AA5833" w:rsidRDefault="00533926" w:rsidP="00533926">
      <w:pPr>
        <w:spacing w:after="0" w:line="240" w:lineRule="auto"/>
        <w:ind w:left="12"/>
        <w:jc w:val="both"/>
        <w:rPr>
          <w:rFonts w:ascii="Times New Roman" w:hAnsi="Times New Roman" w:cs="Times New Roman"/>
          <w:sz w:val="24"/>
          <w:szCs w:val="24"/>
        </w:rPr>
      </w:pPr>
      <w:r w:rsidRPr="00AA5833">
        <w:rPr>
          <w:rFonts w:ascii="Times New Roman" w:hAnsi="Times New Roman" w:cs="Times New Roman"/>
          <w:sz w:val="24"/>
          <w:szCs w:val="24"/>
        </w:rPr>
        <w:tab/>
        <w:t xml:space="preserve">Изпълнителната агенция за българите в чужбина (ИАБЧ) работи последователно в това отношение и постигна значителни резултати, като през цялата 2024 г. са издадени общо </w:t>
      </w:r>
      <w:r w:rsidRPr="00AA5833">
        <w:rPr>
          <w:rFonts w:ascii="Times New Roman" w:hAnsi="Times New Roman" w:cs="Times New Roman"/>
          <w:color w:val="000000"/>
          <w:sz w:val="24"/>
          <w:szCs w:val="24"/>
        </w:rPr>
        <w:t>1556</w:t>
      </w:r>
      <w:r w:rsidRPr="00AA5833">
        <w:rPr>
          <w:rFonts w:ascii="Times New Roman" w:hAnsi="Times New Roman" w:cs="Times New Roman"/>
          <w:sz w:val="24"/>
          <w:szCs w:val="24"/>
        </w:rPr>
        <w:t xml:space="preserve"> удостоверения за български произход на </w:t>
      </w:r>
      <w:r w:rsidRPr="00AA5833">
        <w:rPr>
          <w:rFonts w:ascii="Times New Roman" w:hAnsi="Times New Roman" w:cs="Times New Roman"/>
          <w:color w:val="000000"/>
          <w:sz w:val="24"/>
          <w:szCs w:val="24"/>
        </w:rPr>
        <w:t>наши сънародници от Сърбия, Украйна, Руска Федерация, Република Северна Македония, Албания, Република Молдова и др.</w:t>
      </w:r>
    </w:p>
    <w:p w14:paraId="220BEA3F" w14:textId="77777777" w:rsidR="00533926" w:rsidRPr="00AA5833" w:rsidRDefault="00533926" w:rsidP="00533926">
      <w:pPr>
        <w:spacing w:after="0" w:line="240" w:lineRule="auto"/>
        <w:ind w:left="12"/>
        <w:jc w:val="both"/>
        <w:rPr>
          <w:rFonts w:ascii="Times New Roman" w:hAnsi="Times New Roman" w:cs="Times New Roman"/>
          <w:sz w:val="24"/>
          <w:szCs w:val="24"/>
        </w:rPr>
      </w:pPr>
      <w:r w:rsidRPr="00AA5833">
        <w:rPr>
          <w:rFonts w:ascii="Times New Roman" w:hAnsi="Times New Roman" w:cs="Times New Roman"/>
          <w:sz w:val="24"/>
          <w:szCs w:val="24"/>
        </w:rPr>
        <w:tab/>
        <w:t>Заявления за издаване на удостоверение за български произход през 2024 г. е имало възможност да се подават както в ЦАО, така и през Системата за сигурно електронно връчване.</w:t>
      </w:r>
    </w:p>
    <w:p w14:paraId="3E262829"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3184246"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8DF8C5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5.3. Въвеждане на специални мерки и дейности, насочени към етническите българи, живеещи извън територията на страната</w:t>
            </w:r>
          </w:p>
        </w:tc>
      </w:tr>
    </w:tbl>
    <w:p w14:paraId="24B32849" w14:textId="77777777" w:rsidR="00533926" w:rsidRPr="00AA5833" w:rsidRDefault="00533926" w:rsidP="00533926">
      <w:pPr>
        <w:spacing w:after="0" w:line="240" w:lineRule="auto"/>
        <w:jc w:val="both"/>
        <w:rPr>
          <w:rFonts w:ascii="Times New Roman" w:hAnsi="Times New Roman" w:cs="Times New Roman"/>
          <w:sz w:val="24"/>
          <w:szCs w:val="24"/>
        </w:rPr>
      </w:pPr>
    </w:p>
    <w:p w14:paraId="081D3C7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ОБРАЗОВАНИЕТО И НАУКАТА</w:t>
      </w:r>
    </w:p>
    <w:p w14:paraId="64A60ADB" w14:textId="77777777" w:rsidR="00533926" w:rsidRPr="00AA5833" w:rsidRDefault="00533926" w:rsidP="00533926">
      <w:pPr>
        <w:spacing w:after="0" w:line="240" w:lineRule="auto"/>
        <w:jc w:val="both"/>
        <w:rPr>
          <w:rFonts w:ascii="Times New Roman" w:hAnsi="Times New Roman" w:cs="Times New Roman"/>
          <w:sz w:val="24"/>
          <w:szCs w:val="24"/>
        </w:rPr>
      </w:pPr>
    </w:p>
    <w:p w14:paraId="50FB5B0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5.3.1. Утвърждаване броя на местата по държавни висши училища (ДВУ) за кандидат-студенти от българските общности зад граница с цел успешна бъдеща професионална реализация в България </w:t>
      </w:r>
    </w:p>
    <w:p w14:paraId="55E03C30"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p>
    <w:p w14:paraId="1671E810"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учебната 2024/2025 година са утвърдени 1970 места за прием на студенти – чуждестранни граждани от българска народност и 40 места за обучение на докторанти по ПМС №103/1993 г., както и 300 места за прием на студенти – граждани на Република Северна Македония и 5 места за обучение на докторанти по ПМС №228/1997 г.</w:t>
      </w:r>
    </w:p>
    <w:p w14:paraId="2AE0737F"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 пета поредна година кандидатстването се извърши чрез електронна платформа, предоставяща възможност за онлайн кандидатстване в български държавни висши училища, съгласно реда и условията на ПМС №103/1993 г. и ПМС №228/1997 г., която заработи през 2020 година. </w:t>
      </w:r>
    </w:p>
    <w:p w14:paraId="7FBBA620"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Всички кандидати за обучение след завършено средно образование положиха онлайн задължителния Общообразователен тест, съдържащ въпроси по български език, литература и история на България. Кандидатите за специалностите „Медицина“, „Дентална медицина“ и „Фармация“ положиха и допълнителен Специализиран тест с въпроси по биология и химия.</w:t>
      </w:r>
    </w:p>
    <w:p w14:paraId="5CE11568"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Кандидатите за обучение след завършено висше образование, докторантура и следдипломна специализация кандидатстваха за прием по документи.</w:t>
      </w:r>
    </w:p>
    <w:p w14:paraId="41FF1351"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Общият брой кандидат-студенти по реда на двете постановления (ПМС №103/1993 г. и ПМС №228/1997 г.) е 1559 души. Броят на класираните кандидати е 1240. </w:t>
      </w:r>
    </w:p>
    <w:p w14:paraId="7194F0C6"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има въздействие на международно и на национално ниво.</w:t>
      </w:r>
    </w:p>
    <w:p w14:paraId="79E5E0C6" w14:textId="77777777" w:rsidR="00533926" w:rsidRPr="00AA5833" w:rsidRDefault="00533926" w:rsidP="00533926">
      <w:pPr>
        <w:tabs>
          <w:tab w:val="left" w:pos="900"/>
        </w:tabs>
        <w:spacing w:after="0" w:line="240" w:lineRule="auto"/>
        <w:ind w:firstLine="720"/>
        <w:jc w:val="both"/>
        <w:rPr>
          <w:rFonts w:ascii="Times New Roman" w:eastAsia="Times New Roman" w:hAnsi="Times New Roman" w:cs="Times New Roman"/>
          <w:sz w:val="24"/>
          <w:szCs w:val="24"/>
          <w:lang w:eastAsia="bg-BG"/>
        </w:rPr>
      </w:pPr>
    </w:p>
    <w:p w14:paraId="02ED0E1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ОБРАЗОВАНИЕТО И НАУКАТА</w:t>
      </w:r>
    </w:p>
    <w:p w14:paraId="5B4202B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0E6FCE9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5.3.2. Създаване на условия за подпомагане на обучението, организирано в чужбина по български език и литература, история и география на България и на допълнителни училищни дейности за съхраняване на националното самосъзнание, култура и традиции </w:t>
      </w:r>
    </w:p>
    <w:p w14:paraId="7255AE6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C118C8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МОН осъществява финансово, организационно и методическо подпомагане и мониторинг на българските неделни училища (БНУ) в чужбина. </w:t>
      </w:r>
    </w:p>
    <w:p w14:paraId="2849C7E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учебната 2024/2025 г. се подпомагат 395 БНУ – 266 по ПМС №90 от 29.05.2018 г. за българските неделни училища в чужбина, и 129 БНУ по Национална програма „Роден език и култура зад граница“ (НП РЕКГ). Увеличен е броят държави и населени места, в които функционират български неделни училища.</w:t>
      </w:r>
    </w:p>
    <w:p w14:paraId="3187AC9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Увеличен е броят децата, учениците и кандидат-студентите, които изучават български език, история и география на България – през учебната 2024/2025 г. те са </w:t>
      </w:r>
      <w:r w:rsidRPr="00AA5833">
        <w:rPr>
          <w:rFonts w:ascii="Times New Roman" w:hAnsi="Times New Roman" w:cs="Times New Roman"/>
          <w:color w:val="000000"/>
          <w:sz w:val="24"/>
          <w:szCs w:val="24"/>
        </w:rPr>
        <w:br/>
        <w:t xml:space="preserve">39 558.  </w:t>
      </w:r>
    </w:p>
    <w:p w14:paraId="3CF5AA8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Засилен е интересът сред българите в чужбина към съхраняване на българското национално самосъзнание, култура и традиции – 20 764 деца и ученици се обучават в  допълнителни училищни дейности, свързани с тях.</w:t>
      </w:r>
    </w:p>
    <w:p w14:paraId="379BA5F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Общият размер на средствата, предоставени от бюджета на МОН на БНУ по ПМС №90 и по НП РЕКГ за учебната 2024/2025 година е 17 123 900 лв. </w:t>
      </w:r>
    </w:p>
    <w:p w14:paraId="693A623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Мярката има въздействие на национално и на международно ниво.</w:t>
      </w:r>
    </w:p>
    <w:p w14:paraId="7FD703B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6B6699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ОБРАЗОВАНИЕТО И НАУКАТА</w:t>
      </w:r>
    </w:p>
    <w:p w14:paraId="4EFE4F5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D36124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5.3.3. Провеждане на информационна кампания за популяризиране на българското висше образование и улесняване на достъпа за кандидатстване на лица от българска народност, живеещи в чужбина, за обучение в български висши училища съгласно ПМС 103/1993 г. и ПМС 228/1997 г. </w:t>
      </w:r>
    </w:p>
    <w:p w14:paraId="6E67C93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E9F2F4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Информационните кампании се провеждат в периода февруари – април на всяка календарна година. Информационна кампания е проведена в Република Северна Македония, Република Сърбия, Република Албания, Република Косово, Румъния, Украйна (онлайн), Република Молдова (онлайн). Кампаниите се провеждат в сътрудничество с представителите на българските консулства в съответните държави и на местните български дружества, като целта е кандидатите за обучение в български висши училища да бъдат запознати подробно с възможностите, които им предоставят  ПМС №103/1993 г. и ПМС №228/1997 г.</w:t>
      </w:r>
    </w:p>
    <w:p w14:paraId="5BE4963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Мярката има въздействие на национално и на международно ниво.</w:t>
      </w:r>
    </w:p>
    <w:p w14:paraId="6B63D8B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7E577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ЗА БЪЛГАРИТЕ В ЧУЖБИНА</w:t>
      </w:r>
    </w:p>
    <w:p w14:paraId="39EE993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177DDB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Представители на Изпълнителната агенция за българите в чужбина се включиха активно в провеждането на информационна кампания по Национална програма „Популяризиране на висшето образование и улесняване на достъпа за кандидатстване на лица от българска народност, живеещи в чужбина, за обучение в българските висши училища“ съгласно ПМС №103/1993 г. съвместно с представители на МОН.</w:t>
      </w:r>
    </w:p>
    <w:p w14:paraId="3E81AB6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2024 г. бяха проведени редица срещи на живо с кандидат-студенти в Албания, Косово, Сърбия и Северна Македония. Информационните кампании в Молдова и Украйна бяха проведени онлайн.</w:t>
      </w:r>
    </w:p>
    <w:p w14:paraId="0F99FDF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ab/>
        <w:t>Агенцията обработи над 1000 подадени кандидатури на кандидат-студенти по ПМС №103/1993 г.</w:t>
      </w:r>
    </w:p>
    <w:p w14:paraId="21B0BB4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40C943E"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ВЪНШНИТЕ РАБОТИ</w:t>
      </w:r>
    </w:p>
    <w:p w14:paraId="419FCA0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2A15DDD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Министерството на външните работи (МВнР) и българските дипломатически и консулски представителства (ДКП) развиват успешно сътрудничество за оказване на съдействие по компетентност за подпомагане на българските общности  в чужбина и  българските неделни училища, за организиране и провеждане на чествания на бележити дати и годишнини, подпомагане на образователната и културна дейност, повишаване на осведомеността и културата на учениците, съхраняване на българското национално самосъзнание, език, култура и традиции.</w:t>
      </w:r>
    </w:p>
    <w:p w14:paraId="23EC212D" w14:textId="77777777" w:rsidR="00533926" w:rsidRPr="00AA5833" w:rsidRDefault="00533926" w:rsidP="00533926">
      <w:pPr>
        <w:spacing w:after="0" w:line="240" w:lineRule="auto"/>
        <w:jc w:val="both"/>
        <w:rPr>
          <w:rFonts w:ascii="Times New Roman" w:hAnsi="Times New Roman" w:cs="Times New Roman"/>
          <w:sz w:val="24"/>
          <w:szCs w:val="24"/>
        </w:rPr>
      </w:pPr>
    </w:p>
    <w:p w14:paraId="34C18B4C"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5.3.4. Реализиране на проекти, които да бъдат финансирани в рамките на средствата, предвидени в приетата с РМС №259 от 16 април 2020 г. Програма за подкрепа на организации на български общности в Република Албания, Република Сърбия, Република Косово, Украйна и Република Молдова и на граждани на Република Северна Македония с българско самосъзнание</w:t>
      </w:r>
    </w:p>
    <w:p w14:paraId="0009B52F" w14:textId="77777777" w:rsidR="00533926" w:rsidRPr="00AA5833" w:rsidRDefault="00533926" w:rsidP="00533926">
      <w:pPr>
        <w:spacing w:after="0" w:line="240" w:lineRule="auto"/>
        <w:jc w:val="both"/>
        <w:rPr>
          <w:rFonts w:ascii="Times New Roman" w:hAnsi="Times New Roman" w:cs="Times New Roman"/>
          <w:sz w:val="24"/>
          <w:szCs w:val="24"/>
        </w:rPr>
      </w:pPr>
    </w:p>
    <w:p w14:paraId="0F7885FF" w14:textId="77777777" w:rsidR="00533926" w:rsidRPr="00AA5833" w:rsidRDefault="00533926" w:rsidP="00533926">
      <w:pPr>
        <w:spacing w:after="0" w:line="240" w:lineRule="auto"/>
        <w:jc w:val="both"/>
        <w:rPr>
          <w:rFonts w:ascii="Times New Roman" w:hAnsi="Times New Roman" w:cs="Times New Roman"/>
          <w:i/>
          <w:color w:val="0070C0"/>
          <w:sz w:val="24"/>
          <w:szCs w:val="24"/>
          <w:lang w:eastAsia="bg-BG"/>
        </w:rPr>
      </w:pPr>
      <w:bookmarkStart w:id="6" w:name="_Hlk201245176"/>
      <w:r w:rsidRPr="00AA5833">
        <w:rPr>
          <w:rFonts w:ascii="Times New Roman" w:hAnsi="Times New Roman" w:cs="Times New Roman"/>
          <w:b/>
          <w:color w:val="0070C0"/>
          <w:sz w:val="24"/>
          <w:szCs w:val="24"/>
        </w:rPr>
        <w:tab/>
      </w:r>
      <w:r w:rsidRPr="00AA5833">
        <w:rPr>
          <w:rFonts w:ascii="Times New Roman" w:hAnsi="Times New Roman" w:cs="Times New Roman"/>
          <w:b/>
          <w:sz w:val="24"/>
          <w:szCs w:val="24"/>
        </w:rPr>
        <w:t>За региона на дирекция „Източна Европа и Централна Азия“</w:t>
      </w:r>
      <w:r w:rsidRPr="00AA5833">
        <w:rPr>
          <w:rFonts w:ascii="Times New Roman" w:hAnsi="Times New Roman" w:cs="Times New Roman"/>
          <w:sz w:val="24"/>
          <w:szCs w:val="24"/>
        </w:rPr>
        <w:t xml:space="preserve"> </w:t>
      </w:r>
    </w:p>
    <w:p w14:paraId="1DB94AC7" w14:textId="77777777" w:rsidR="00533926" w:rsidRPr="00AA5833" w:rsidRDefault="00533926" w:rsidP="00533926">
      <w:pPr>
        <w:spacing w:after="0" w:line="240" w:lineRule="auto"/>
        <w:jc w:val="both"/>
        <w:rPr>
          <w:rFonts w:ascii="Times New Roman" w:hAnsi="Times New Roman" w:cs="Times New Roman"/>
          <w:color w:val="0070C0"/>
          <w:sz w:val="24"/>
          <w:szCs w:val="24"/>
          <w:lang w:eastAsia="bg-BG"/>
        </w:rPr>
      </w:pPr>
      <w:r w:rsidRPr="00AA5833">
        <w:rPr>
          <w:rFonts w:ascii="Times New Roman" w:hAnsi="Times New Roman" w:cs="Times New Roman"/>
          <w:sz w:val="24"/>
          <w:szCs w:val="24"/>
        </w:rPr>
        <w:tab/>
        <w:t>През 2024 г. посолството на Република България в Молдова и Генералното консулство на Република България в Одеса продължиха активното си участие в реализирането на Програмата за подкрепа на организации на български общности в Република Албания, Република Сърбия, Република Косово, Украйна и Република Молдова и на граждани на Република Северна Македония с българско самосъзнание (по-надолу „Програмата“), приета с Решение №259 на Министерския съвет от 16 април 2020 г. и изпълнението на ПМС №68 от 29.03.2024 г.</w:t>
      </w:r>
      <w:r w:rsidRPr="00AA5833">
        <w:rPr>
          <w:rFonts w:ascii="Times New Roman" w:hAnsi="Times New Roman" w:cs="Times New Roman"/>
          <w:i/>
          <w:color w:val="0070C0"/>
          <w:sz w:val="24"/>
          <w:szCs w:val="24"/>
          <w:lang w:eastAsia="bg-BG"/>
        </w:rPr>
        <w:t xml:space="preserve"> </w:t>
      </w:r>
    </w:p>
    <w:p w14:paraId="68766BD5" w14:textId="77777777" w:rsidR="00533926" w:rsidRPr="00AA5833" w:rsidRDefault="00533926" w:rsidP="00533926">
      <w:pPr>
        <w:spacing w:after="0" w:line="240" w:lineRule="auto"/>
        <w:jc w:val="both"/>
        <w:rPr>
          <w:rFonts w:ascii="Times New Roman" w:hAnsi="Times New Roman" w:cs="Times New Roman"/>
          <w:i/>
          <w:color w:val="0070C0"/>
          <w:sz w:val="24"/>
          <w:szCs w:val="24"/>
          <w:lang w:eastAsia="bg-BG"/>
        </w:rPr>
      </w:pPr>
      <w:r w:rsidRPr="00AA5833">
        <w:rPr>
          <w:rFonts w:ascii="Times New Roman" w:hAnsi="Times New Roman" w:cs="Times New Roman"/>
          <w:sz w:val="24"/>
          <w:szCs w:val="24"/>
        </w:rPr>
        <w:tab/>
        <w:t>От одобрените допълнителни разходи по бюджета на МВнР в размер на 2 100 000 лева за финансиране по Програмата на проекти на българските общности в Република Албания, Република Сърбия, Република Косово, Украйна и Република Молдова, както и на проекти на граждани на Република Северна Македония с българско самосъзнание, за реализирането на проекти в страните от ресора на дирекция „Източна Европа и Централна Азия“ е определенa индикативна сума от 500 000 лева. От посочената сума са използвани средства в размер на 379 869 хиляди лева за довършването на застрашен проект – изграждане на Хранителен блок в Теоретичния лицей в гр. Твърдица, Република Молдова. С останалите средства са реализирани 3 проекта – 1 в Република Молдова на стойност 49 167 лв., и 2 в Украйна на обща стойност 70 000 лв., подадени чрез Генералното консулство на Република България в Одеса.</w:t>
      </w:r>
    </w:p>
    <w:p w14:paraId="2213B335"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Впоследствие, след разпределянето на средствата по одобрените за финансиране проектни предложения по Програмата в резерв останаха неусвоени средства в размер на 89 507 лева. В резултат на добра и своевременна координация между дирекция „Източна Европа и Централна Азия“ на МВнР, посолството на Република България в Кишинев и организациите на българската общност, са реализирани още шест допълнително подадени проектни предложения на обща стойност 54 961,02 лева.</w:t>
      </w:r>
    </w:p>
    <w:bookmarkEnd w:id="6"/>
    <w:p w14:paraId="68CEB02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На 26.03.2024 г. в рамките на Деветото заседание на Междуправителствената българско-молдовска комисия за икономическо сътрудничество е подписано Споразумение за трансформацията на Тараклийския държавен университет „Григорий Цамблак“ в Република Молдова в поделение (филиал) на Русенския университет „Ангел Кънчев“. Предприети са редица законодателни и административни стъпки, които </w:t>
      </w:r>
      <w:r w:rsidRPr="00AA5833">
        <w:rPr>
          <w:rFonts w:ascii="Times New Roman" w:hAnsi="Times New Roman" w:cs="Times New Roman"/>
          <w:sz w:val="24"/>
          <w:szCs w:val="24"/>
        </w:rPr>
        <w:lastRenderedPageBreak/>
        <w:t>доведоха до успешно приключване на процеса на трансформацията и изпълнението на подписаното споразумение.</w:t>
      </w:r>
    </w:p>
    <w:p w14:paraId="5C488EF9"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През 2024 г. българските дипломатически и консулски представителства в Република Молдова и Украйна продължиха да оказват необходимото съдействие на МОН за провеждането на кандидат-студентски информационни кампании за популяризиране на възможностите за обучение на представители на българските общности в двете държави в български държавни висши училища. </w:t>
      </w:r>
    </w:p>
    <w:p w14:paraId="66A1D93F" w14:textId="77777777" w:rsidR="00533926" w:rsidRPr="00AA5833" w:rsidRDefault="00533926" w:rsidP="00533926">
      <w:pPr>
        <w:spacing w:after="0" w:line="240" w:lineRule="auto"/>
        <w:jc w:val="both"/>
        <w:rPr>
          <w:rFonts w:ascii="Times New Roman" w:hAnsi="Times New Roman" w:cs="Times New Roman"/>
          <w:sz w:val="24"/>
          <w:szCs w:val="24"/>
        </w:rPr>
      </w:pPr>
    </w:p>
    <w:p w14:paraId="6A182A37"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b/>
          <w:bCs/>
          <w:color w:val="0070C0"/>
          <w:sz w:val="24"/>
          <w:szCs w:val="24"/>
        </w:rPr>
      </w:pPr>
      <w:r w:rsidRPr="00AA5833">
        <w:rPr>
          <w:rFonts w:ascii="Times New Roman" w:eastAsia="Calibri" w:hAnsi="Times New Roman" w:cs="Times New Roman"/>
          <w:b/>
          <w:bCs/>
          <w:color w:val="0070C0"/>
          <w:sz w:val="24"/>
          <w:szCs w:val="24"/>
        </w:rPr>
        <w:tab/>
      </w:r>
      <w:r w:rsidRPr="00AA5833">
        <w:rPr>
          <w:rFonts w:ascii="Times New Roman" w:eastAsia="Calibri" w:hAnsi="Times New Roman" w:cs="Times New Roman"/>
          <w:b/>
          <w:bCs/>
          <w:sz w:val="24"/>
          <w:szCs w:val="24"/>
        </w:rPr>
        <w:t xml:space="preserve">За региона на дирекция „ Югоизточна Европа“ </w:t>
      </w:r>
    </w:p>
    <w:p w14:paraId="3C186223"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color w:val="000000"/>
          <w:sz w:val="24"/>
          <w:szCs w:val="24"/>
        </w:rPr>
      </w:pPr>
      <w:r w:rsidRPr="00AA5833">
        <w:rPr>
          <w:rFonts w:ascii="Times New Roman" w:eastAsia="Calibri" w:hAnsi="Times New Roman" w:cs="Times New Roman"/>
          <w:color w:val="000000"/>
          <w:sz w:val="24"/>
          <w:szCs w:val="24"/>
        </w:rPr>
        <w:tab/>
        <w:t>През 2024 г. в региона на Западните Балкани продължи успешното изпълнение на Програмата за подкрепа на организации на български общности в Република Албания, Република Сърбия, Република Косово, Украйна и Република Молдова и на граждани на Република Северна Македония с българско самосъзнание, като за поредна година средствата за нейното реализиране бяха увеличени и достигнаха 2 100 000 лв., което е над два пъти повече от отпуснатите през предходната година.</w:t>
      </w:r>
    </w:p>
    <w:p w14:paraId="0E79B09C"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color w:val="000000"/>
          <w:sz w:val="24"/>
          <w:szCs w:val="24"/>
        </w:rPr>
      </w:pPr>
      <w:r w:rsidRPr="00AA5833">
        <w:rPr>
          <w:rFonts w:ascii="Times New Roman" w:eastAsia="Calibri" w:hAnsi="Times New Roman" w:cs="Times New Roman"/>
          <w:color w:val="000000"/>
          <w:sz w:val="24"/>
          <w:szCs w:val="24"/>
        </w:rPr>
        <w:tab/>
        <w:t xml:space="preserve">За 2024 г. бяха подадени над 70 проектни предложения от четирите държави, като финансиране получиха 63 от тях на обща стойност 1 557 904 лв. </w:t>
      </w:r>
    </w:p>
    <w:p w14:paraId="6D79069E"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Успешното изпълнение на Програмата, която е основният инструмент за подпомагане на функционирането на сдружения и организации на българските общности в страните от Западните Балкани, доведе до укрепване на организационната и административна дейност на дружествата и до повишаване на техния интерес към реализиране на проекти, които да допринасят за запазване и утвърждаване на българския дух и традиции. Предвид успеха на Програмата и с оглед на факта, че нейният срок на действие</w:t>
      </w:r>
      <w:r w:rsidRPr="00AA5833">
        <w:rPr>
          <w:rFonts w:ascii="Times New Roman" w:eastAsia="Calibri" w:hAnsi="Times New Roman" w:cs="Times New Roman"/>
          <w:color w:val="000000"/>
          <w:sz w:val="24"/>
          <w:szCs w:val="24"/>
        </w:rPr>
        <w:t xml:space="preserve"> изтече в края на 2024 г., беше иницииран процес на съгласуване и приемане на нова програма за следващ петгодишен период 2025-2029 г.</w:t>
      </w:r>
      <w:r w:rsidRPr="00AA5833">
        <w:rPr>
          <w:rFonts w:ascii="Times New Roman" w:eastAsia="Calibri" w:hAnsi="Times New Roman" w:cs="Times New Roman"/>
          <w:sz w:val="24"/>
          <w:szCs w:val="24"/>
        </w:rPr>
        <w:t xml:space="preserve"> МВнР, както и ДКП ще продължат да оказват всестранна подкрепа на организациите и сдруженията на българските общности в Западните Балкани с цел защита на техните права и утвърждаване на българския дух, език и култура.</w:t>
      </w:r>
    </w:p>
    <w:p w14:paraId="56FFD33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F56832E"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ВЪНШНИТЕ РАБОТИ</w:t>
      </w:r>
    </w:p>
    <w:p w14:paraId="24F336E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18E28C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5.3.5. Подпомагане на дейността на българските общности и неделни училища чрез оказване на съдействие по компетентност от страна на МВнР и българските дипломатически и представителства</w:t>
      </w:r>
    </w:p>
    <w:p w14:paraId="65BFA44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40EEC6D"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 xml:space="preserve">За региона на дирекция „Азия, Австралия и Океания“ </w:t>
      </w:r>
    </w:p>
    <w:p w14:paraId="4B90CBE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 </w:t>
      </w:r>
      <w:r w:rsidRPr="00AA5833">
        <w:rPr>
          <w:rFonts w:ascii="Times New Roman" w:hAnsi="Times New Roman" w:cs="Times New Roman"/>
          <w:color w:val="000000"/>
          <w:sz w:val="24"/>
          <w:szCs w:val="24"/>
        </w:rPr>
        <w:tab/>
        <w:t xml:space="preserve">Дирекция „Азия, Австралия и Океания“ и посолствата на България от наблюдавания регион работят целенасочено за насърчаване и подкрепа на дейността на българските неделни училища, които функционират към посолствата и организациите на българската общност в Китай, Австралия, Нова Зеландия и Япония. </w:t>
      </w:r>
    </w:p>
    <w:p w14:paraId="0CEACFC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През 2024 г. посолствата са поддържали регулярен контакт с училищните настоятелства на българските неделни училища. Посланикът на Република България в Канбера е провел срещи с училищните ръководства и учители в българските неделни училища в Сидни, Мелбърн, Аделаида, Пърт, както и с ръководствата на българските дружества в тези градове. През 2024 г. е чествана 75-годишнина от основаването на Българското културно-просветно дружество в Аделаида (Австралия), на която посланикът в Австралия е връчил почетна грамота от Изпълнителния директор на Изпълнителна агенция за българите в чужбина. Посолството в Канбера поддържа онлайн контакт с организациите на българите в Нова Зеландия. </w:t>
      </w:r>
    </w:p>
    <w:p w14:paraId="2732F3D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ab/>
        <w:t xml:space="preserve">Понастоящем в Българско неделно училище „Васил Левски“ към посолството в Токио се обучават 21 деца, като занятията се провеждат два пъти месечно. С активната подкрепа и съдействие на посолството в Токио, през март 2024 г. е учредена първата българска организация в регион Кансай (Япония) – читалище „Кокиче“. </w:t>
      </w:r>
    </w:p>
    <w:p w14:paraId="68C16F6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 време на организирана от посолството в Джакарта среща на президента Румен Радев с българската общност в Сингапур, в рамките на неговото посещение в страната през октомври 2024 г., са обсъдени възможностите за разкриване на неделно училище в Сингапур, каквото желание имат сънародниците ни там. </w:t>
      </w:r>
    </w:p>
    <w:p w14:paraId="5FDC66C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Дипломатическите ни представителства оказват съдействие за укрепване на сътрудничеството между български и чуждестранни университети от региона, за развитие на българистиката в Китай, Япония, Индия и Република Корея. </w:t>
      </w:r>
    </w:p>
    <w:p w14:paraId="2560241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74550527" w14:textId="77777777" w:rsidR="00533926" w:rsidRPr="00AA5833" w:rsidRDefault="00533926" w:rsidP="00533926">
      <w:pPr>
        <w:spacing w:after="0" w:line="240" w:lineRule="auto"/>
        <w:rPr>
          <w:rFonts w:ascii="Times New Roman" w:eastAsia="Calibri" w:hAnsi="Times New Roman" w:cs="Times New Roman"/>
          <w:b/>
          <w:sz w:val="24"/>
          <w:szCs w:val="24"/>
        </w:rPr>
      </w:pPr>
      <w:r w:rsidRPr="00AA5833">
        <w:rPr>
          <w:rFonts w:ascii="Times New Roman" w:eastAsia="Calibri" w:hAnsi="Times New Roman" w:cs="Times New Roman"/>
          <w:b/>
          <w:sz w:val="24"/>
          <w:szCs w:val="24"/>
        </w:rPr>
        <w:t>За региона на дирекция „Америка“</w:t>
      </w:r>
    </w:p>
    <w:p w14:paraId="7CB3ACF7" w14:textId="77777777" w:rsidR="00533926" w:rsidRPr="00AA5833" w:rsidRDefault="00533926" w:rsidP="00533926">
      <w:pPr>
        <w:spacing w:after="0" w:line="240" w:lineRule="auto"/>
        <w:jc w:val="both"/>
        <w:rPr>
          <w:rFonts w:ascii="Times New Roman" w:eastAsia="Calibri" w:hAnsi="Times New Roman" w:cs="Times New Roman"/>
          <w:b/>
          <w:bCs/>
          <w:sz w:val="24"/>
          <w:szCs w:val="24"/>
        </w:rPr>
      </w:pPr>
      <w:r w:rsidRPr="00AA5833">
        <w:rPr>
          <w:rFonts w:ascii="Times New Roman" w:eastAsia="Calibri" w:hAnsi="Times New Roman" w:cs="Times New Roman"/>
          <w:b/>
          <w:sz w:val="24"/>
          <w:szCs w:val="24"/>
        </w:rPr>
        <w:t>Северна Америка</w:t>
      </w:r>
    </w:p>
    <w:p w14:paraId="13FF6D0E"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 xml:space="preserve">САЩ </w:t>
      </w:r>
    </w:p>
    <w:p w14:paraId="49076629" w14:textId="77777777" w:rsidR="00533926" w:rsidRPr="00AA5833" w:rsidRDefault="00533926" w:rsidP="00533926">
      <w:pPr>
        <w:spacing w:after="0" w:line="240" w:lineRule="auto"/>
        <w:jc w:val="both"/>
        <w:rPr>
          <w:rFonts w:ascii="Times New Roman" w:eastAsia="Aptos" w:hAnsi="Times New Roman" w:cs="Times New Roman"/>
          <w:kern w:val="2"/>
          <w:sz w:val="24"/>
          <w:szCs w:val="24"/>
          <w14:ligatures w14:val="standardContextual"/>
        </w:rPr>
      </w:pPr>
      <w:r w:rsidRPr="00AA5833">
        <w:rPr>
          <w:rFonts w:ascii="Times New Roman" w:eastAsia="Aptos" w:hAnsi="Times New Roman" w:cs="Times New Roman"/>
          <w:kern w:val="2"/>
          <w:sz w:val="24"/>
          <w:szCs w:val="24"/>
          <w14:ligatures w14:val="standardContextual"/>
        </w:rPr>
        <w:tab/>
        <w:t xml:space="preserve">Сред приоритетите в дейността на </w:t>
      </w:r>
      <w:r w:rsidRPr="00AA5833">
        <w:rPr>
          <w:rFonts w:ascii="Times New Roman" w:eastAsia="Aptos" w:hAnsi="Times New Roman" w:cs="Times New Roman"/>
          <w:b/>
          <w:kern w:val="2"/>
          <w:sz w:val="24"/>
          <w:szCs w:val="24"/>
          <w14:ligatures w14:val="standardContextual"/>
        </w:rPr>
        <w:t>Посолството на Република България във Вашингтон</w:t>
      </w:r>
      <w:r w:rsidRPr="00AA5833">
        <w:rPr>
          <w:rFonts w:ascii="Times New Roman" w:eastAsia="Aptos" w:hAnsi="Times New Roman" w:cs="Times New Roman"/>
          <w:kern w:val="2"/>
          <w:sz w:val="24"/>
          <w:szCs w:val="24"/>
          <w14:ligatures w14:val="standardContextual"/>
        </w:rPr>
        <w:t xml:space="preserve"> е подкрепата за българската общност и неделните училища чрез поддържане на активен диалог и координация, съдействие по компетентност, включването им в инициативи на мисията, както и чрез участие на представители на посолството в чествания на национални и традиционни български празници. През 2024 г. в посолството бяха организирани редица срещи с представители на образователните и културни центрове от консулския окръг, включително Клуба на българските професионалисти и Центъра на българската общност, за обсъждане на съвместни инициативи и възможности за по-тясно сътрудничество в изпълнение на общата мисия – съхраняване и предаване на българското културно наследство зад граница. </w:t>
      </w:r>
    </w:p>
    <w:p w14:paraId="3BE715F3" w14:textId="77777777" w:rsidR="00533926" w:rsidRPr="00AA5833" w:rsidRDefault="00533926" w:rsidP="00533926">
      <w:pPr>
        <w:spacing w:after="0" w:line="240" w:lineRule="auto"/>
        <w:jc w:val="both"/>
        <w:rPr>
          <w:rFonts w:ascii="Times New Roman" w:eastAsia="Aptos" w:hAnsi="Times New Roman" w:cs="Times New Roman"/>
          <w:kern w:val="2"/>
          <w:sz w:val="24"/>
          <w:szCs w:val="24"/>
          <w14:ligatures w14:val="standardContextual"/>
        </w:rPr>
      </w:pPr>
      <w:r w:rsidRPr="00AA5833">
        <w:rPr>
          <w:rFonts w:ascii="Times New Roman" w:eastAsia="Aptos" w:hAnsi="Times New Roman" w:cs="Times New Roman"/>
          <w:kern w:val="2"/>
          <w:sz w:val="24"/>
          <w:szCs w:val="24"/>
          <w14:ligatures w14:val="standardContextual"/>
        </w:rPr>
        <w:tab/>
        <w:t>На територията на консулския окръг на посолството функционират 14 български неделни училища (БНУ), регистрирани към МОН. Те развиват активна образователна и културна дейност и полагат целенасочени усилия за съхраняване на българския език, култура, национално самосъзнание и традиции. Благодарение на последователната си работа през годините, тези училища се утвърдиха като естествени духовни и културни центрове на българската общност в САЩ.</w:t>
      </w:r>
    </w:p>
    <w:p w14:paraId="2B41EA10" w14:textId="77777777" w:rsidR="00533926" w:rsidRPr="00AA5833" w:rsidRDefault="00533926" w:rsidP="00533926">
      <w:pPr>
        <w:spacing w:after="0" w:line="240" w:lineRule="auto"/>
        <w:jc w:val="both"/>
        <w:rPr>
          <w:rFonts w:ascii="Times New Roman" w:eastAsia="Aptos" w:hAnsi="Times New Roman" w:cs="Times New Roman"/>
          <w:kern w:val="2"/>
          <w:sz w:val="24"/>
          <w:szCs w:val="24"/>
          <w14:ligatures w14:val="standardContextual"/>
        </w:rPr>
      </w:pPr>
      <w:r w:rsidRPr="00AA5833">
        <w:rPr>
          <w:rFonts w:ascii="Times New Roman" w:eastAsia="Aptos" w:hAnsi="Times New Roman" w:cs="Times New Roman"/>
          <w:kern w:val="2"/>
          <w:sz w:val="24"/>
          <w:szCs w:val="24"/>
          <w14:ligatures w14:val="standardContextual"/>
        </w:rPr>
        <w:tab/>
        <w:t xml:space="preserve">По-значими събития през 2024 г. са участието на министъра на външните работи Иван Кондов в отбелязването на 10-годишнината от създаването на Българското неделно училище „Христо Ботев“; участието на ученици от Българския образователен и културен център „Св. Климент Охридски“ в ежегодния Европейски детски фестивал в библиотека „Мартин Лутър Кинг“ по инициатива на Делегацията на ЕС във Вашингтон; танцов спектакъл в Националната катедрала във Вашингтон на детската танцова група „Здравец“ и фолклорният ансамбъл „Жерава“ към БОКЦ „Св. Климент Охридски“ като част от програмата на 85-ото издание на международното цветно изложение „Flower Mart“; представяне на танцова програма от представители на българските неделни училища от района на Вашингтон като специални гости на честването на Националния празник на България в Библиотеката на Конгреса на САЩ и в рамките на „Деня на отворените врати“ в българското посолство. </w:t>
      </w:r>
    </w:p>
    <w:p w14:paraId="1ABD390A" w14:textId="77777777" w:rsidR="00533926" w:rsidRPr="00AA5833" w:rsidRDefault="00533926" w:rsidP="00533926">
      <w:pPr>
        <w:tabs>
          <w:tab w:val="left" w:pos="0"/>
        </w:tabs>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В консулския окръг на </w:t>
      </w:r>
      <w:r w:rsidRPr="00AA5833">
        <w:rPr>
          <w:rFonts w:ascii="Times New Roman" w:eastAsia="Calibri" w:hAnsi="Times New Roman" w:cs="Times New Roman"/>
          <w:b/>
          <w:sz w:val="24"/>
          <w:szCs w:val="24"/>
        </w:rPr>
        <w:t>Генералното консулство на Република България в Ню Йорк</w:t>
      </w:r>
      <w:r w:rsidRPr="00AA5833">
        <w:rPr>
          <w:rFonts w:ascii="Times New Roman" w:eastAsia="Calibri" w:hAnsi="Times New Roman" w:cs="Times New Roman"/>
          <w:sz w:val="24"/>
          <w:szCs w:val="24"/>
        </w:rPr>
        <w:t xml:space="preserve"> функционират 12 неделни училища. През септември 2024 г. бе открито за първи път и българско неделно училище в щата Роуд Айлънд „Български гласчета”. Всички училища, с изключение на две, са обхванати от финансовите инструменти на МОН.</w:t>
      </w:r>
      <w:r w:rsidRPr="00AA5833">
        <w:rPr>
          <w:rFonts w:ascii="Times New Roman" w:eastAsia="Calibri" w:hAnsi="Times New Roman" w:cs="Times New Roman"/>
          <w:sz w:val="24"/>
          <w:szCs w:val="24"/>
        </w:rPr>
        <w:tab/>
        <w:t xml:space="preserve">Генералното консулство в Ню Йорк активно подкрепя всички образователни инициативи на територията на консулския окръг. Специално внимание в работата на ГК-Ню Йорк бе отделено на началото и приключването на учебната година в българските </w:t>
      </w:r>
      <w:r w:rsidRPr="00AA5833">
        <w:rPr>
          <w:rFonts w:ascii="Times New Roman" w:eastAsia="Calibri" w:hAnsi="Times New Roman" w:cs="Times New Roman"/>
          <w:sz w:val="24"/>
          <w:szCs w:val="24"/>
        </w:rPr>
        <w:lastRenderedPageBreak/>
        <w:t>неделни училища в североизточната част на САЩ. Осъществяван бе редовен контакт с всички български училища в Ню Йорк и голяма част от тези в останалите щати в консулския окръг. Генералното консулство подкрепяше и популяризираше организирането в български неделни училища на тест по български език и литература със Софийския университет „Св. Климент Охридски” за придобиване на сертификат за двуезичност (</w:t>
      </w:r>
      <w:r w:rsidRPr="00AA5833">
        <w:rPr>
          <w:rFonts w:ascii="Times New Roman" w:eastAsia="Calibri" w:hAnsi="Times New Roman" w:cs="Times New Roman"/>
          <w:i/>
          <w:sz w:val="24"/>
          <w:szCs w:val="24"/>
        </w:rPr>
        <w:t>Seal of Biliteracy</w:t>
      </w:r>
      <w:r w:rsidRPr="00AA5833">
        <w:rPr>
          <w:rFonts w:ascii="Times New Roman" w:eastAsia="Calibri" w:hAnsi="Times New Roman" w:cs="Times New Roman"/>
          <w:sz w:val="24"/>
          <w:szCs w:val="24"/>
        </w:rPr>
        <w:t>), който има международна валидност. ГК-Ню Йорк активно се включи и в популяризирането на езикови курсове по български език за възрастни, включително към Университета в Питсбърг, както и към българските училища в консулския окръг.</w:t>
      </w:r>
    </w:p>
    <w:p w14:paraId="6841E436" w14:textId="77777777" w:rsidR="00533926" w:rsidRPr="00AA5833" w:rsidRDefault="00533926" w:rsidP="00533926">
      <w:pPr>
        <w:tabs>
          <w:tab w:val="left" w:pos="0"/>
        </w:tabs>
        <w:spacing w:after="0" w:line="240" w:lineRule="auto"/>
        <w:contextualSpacing/>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color w:val="000000"/>
          <w:sz w:val="24"/>
          <w:szCs w:val="24"/>
          <w:lang w:eastAsia="bg-BG"/>
        </w:rPr>
        <w:tab/>
        <w:t>П</w:t>
      </w:r>
      <w:r w:rsidRPr="00AA5833">
        <w:rPr>
          <w:rFonts w:ascii="Times New Roman" w:eastAsia="Times New Roman" w:hAnsi="Times New Roman" w:cs="Times New Roman"/>
          <w:color w:val="000000" w:themeColor="text1"/>
          <w:sz w:val="24"/>
          <w:szCs w:val="24"/>
          <w:lang w:eastAsia="bg-BG"/>
        </w:rPr>
        <w:t xml:space="preserve">рез 2024 г. броят на БНУ в консулския окръг на </w:t>
      </w:r>
      <w:r w:rsidRPr="00AA5833">
        <w:rPr>
          <w:rFonts w:ascii="Times New Roman" w:eastAsia="Times New Roman" w:hAnsi="Times New Roman" w:cs="Times New Roman"/>
          <w:b/>
          <w:color w:val="000000" w:themeColor="text1"/>
          <w:sz w:val="24"/>
          <w:szCs w:val="24"/>
          <w:lang w:eastAsia="bg-BG"/>
        </w:rPr>
        <w:t>Генералното консулство на Република България в Чикаго</w:t>
      </w:r>
      <w:r w:rsidRPr="00AA5833">
        <w:rPr>
          <w:rFonts w:ascii="Times New Roman" w:eastAsia="Times New Roman" w:hAnsi="Times New Roman" w:cs="Times New Roman"/>
          <w:color w:val="000000" w:themeColor="text1"/>
          <w:sz w:val="24"/>
          <w:szCs w:val="24"/>
          <w:lang w:eastAsia="bg-BG"/>
        </w:rPr>
        <w:t xml:space="preserve"> е 13 , като всички училища са регистрирани към МОН, съгласно условията на ПМС №90/29.05.2018 г. или по програмата „Роден език и култура зад граница“. </w:t>
      </w:r>
    </w:p>
    <w:p w14:paraId="42DCD292" w14:textId="77777777" w:rsidR="00533926" w:rsidRPr="00AA5833" w:rsidRDefault="00533926" w:rsidP="00533926">
      <w:pPr>
        <w:tabs>
          <w:tab w:val="left" w:pos="0"/>
        </w:tabs>
        <w:spacing w:after="0" w:line="240" w:lineRule="auto"/>
        <w:contextualSpacing/>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color w:val="000000" w:themeColor="text1"/>
          <w:sz w:val="24"/>
          <w:szCs w:val="24"/>
          <w:lang w:eastAsia="bg-BG"/>
        </w:rPr>
        <w:tab/>
        <w:t xml:space="preserve">БНУ има още в Детройт (Мичиган), Минеаполис-Сент Пол (Минесота), Сейнт Луис (Мисури), Синсинати (Охайо) и Кълъмбъс (Охайо). Всички училища функционират съгласно законодателството на САЩ и изискванията на Министерството на образованието и науката на Република България. </w:t>
      </w:r>
    </w:p>
    <w:p w14:paraId="2C86F48C" w14:textId="77777777" w:rsidR="00533926" w:rsidRPr="00AA5833" w:rsidRDefault="00533926" w:rsidP="00533926">
      <w:pPr>
        <w:tabs>
          <w:tab w:val="left" w:pos="0"/>
        </w:tabs>
        <w:spacing w:after="0" w:line="240" w:lineRule="auto"/>
        <w:contextualSpacing/>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color w:val="000000" w:themeColor="text1"/>
          <w:sz w:val="24"/>
          <w:szCs w:val="24"/>
          <w:lang w:eastAsia="bg-BG"/>
        </w:rPr>
        <w:tab/>
        <w:t>ГК-Чикаго участва активно в живота на българските неделни училища в Средния Запад на САЩ. Това става посредством организиране на периодични работни срещи с директорите на училищата, участие в срещи с родителските активи, срещи с педагогическите състави на училищата, участия в прояви. Генералният консул присъства, при възможност, на всички събития, на които е поканен. Запазва се и расте и</w:t>
      </w:r>
      <w:r w:rsidRPr="00AA5833">
        <w:rPr>
          <w:rFonts w:ascii="Times New Roman" w:hAnsi="Times New Roman" w:cs="Times New Roman"/>
          <w:sz w:val="24"/>
          <w:szCs w:val="24"/>
          <w:lang w:eastAsia="bg-BG"/>
        </w:rPr>
        <w:t>нтересът от страна на български ученици към участие в програмата „Печат за двуезичност” (</w:t>
      </w:r>
      <w:r w:rsidRPr="00AA5833">
        <w:rPr>
          <w:rFonts w:ascii="Times New Roman" w:hAnsi="Times New Roman" w:cs="Times New Roman"/>
          <w:i/>
          <w:sz w:val="24"/>
          <w:szCs w:val="24"/>
          <w:lang w:eastAsia="bg-BG"/>
        </w:rPr>
        <w:t>Seal of Biliteracy</w:t>
      </w:r>
      <w:r w:rsidRPr="00AA5833">
        <w:rPr>
          <w:rFonts w:ascii="Times New Roman" w:hAnsi="Times New Roman" w:cs="Times New Roman"/>
          <w:sz w:val="24"/>
          <w:szCs w:val="24"/>
          <w:lang w:eastAsia="bg-BG"/>
        </w:rPr>
        <w:t>), завършваща с полагане на изпит за владеене на български език.</w:t>
      </w:r>
    </w:p>
    <w:p w14:paraId="5060599A" w14:textId="77777777" w:rsidR="00533926" w:rsidRPr="00AA5833" w:rsidRDefault="00533926" w:rsidP="00533926">
      <w:pPr>
        <w:tabs>
          <w:tab w:val="left" w:pos="0"/>
        </w:tabs>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Към 31.12.2024 г. на територията на консулския окръг на </w:t>
      </w:r>
      <w:r w:rsidRPr="00AA5833">
        <w:rPr>
          <w:rFonts w:ascii="Times New Roman" w:eastAsia="Calibri" w:hAnsi="Times New Roman" w:cs="Times New Roman"/>
          <w:b/>
          <w:sz w:val="24"/>
          <w:szCs w:val="24"/>
        </w:rPr>
        <w:t>Генералното консулство на Република България в Лос Анджелис</w:t>
      </w:r>
      <w:r w:rsidRPr="00AA5833">
        <w:rPr>
          <w:rFonts w:ascii="Times New Roman" w:eastAsia="Calibri" w:hAnsi="Times New Roman" w:cs="Times New Roman"/>
          <w:sz w:val="24"/>
          <w:szCs w:val="24"/>
        </w:rPr>
        <w:t xml:space="preserve"> съществуват 10 български неделни училища, в градовете Лос Анджелис, Сан Диего, Сакраменто, Ървайн, Лас Вегас, Финикс, Сънивейл, Конкорд и Сиатъл. По-голямата част от тях се финансират по ПМС №90 от 2018 г. В градовете Сънивейл и Конкорд функционират клонове на едно и също учебно заведение „Хан Аспарух“. </w:t>
      </w:r>
    </w:p>
    <w:p w14:paraId="1B5A525F" w14:textId="77777777" w:rsidR="00533926" w:rsidRPr="00AA5833" w:rsidRDefault="00533926" w:rsidP="00533926">
      <w:pPr>
        <w:tabs>
          <w:tab w:val="left" w:pos="0"/>
        </w:tabs>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изминалия отчетен период беше открито едно ново учебно заведение на територията на консулския окръг на ГК-Лос Анджелис – начално училище „Българче“, гр. Лас Вегас. През годината генералният консул в Лос Анджелис участваше в различни събития, включително откриване на учебната година, връчване на удостоверения за завършен клас, провеждане на коледни и други тържества.</w:t>
      </w:r>
    </w:p>
    <w:p w14:paraId="7316CFCA" w14:textId="77777777" w:rsidR="00533926" w:rsidRPr="00AA5833" w:rsidRDefault="00533926" w:rsidP="00533926">
      <w:pPr>
        <w:tabs>
          <w:tab w:val="left" w:pos="0"/>
        </w:tabs>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Канада</w:t>
      </w:r>
    </w:p>
    <w:p w14:paraId="4D2E6AF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 xml:space="preserve">В консулския окръг на </w:t>
      </w:r>
      <w:r w:rsidRPr="00AA5833">
        <w:rPr>
          <w:rFonts w:ascii="Times New Roman" w:hAnsi="Times New Roman" w:cs="Times New Roman"/>
          <w:b/>
          <w:bCs/>
          <w:sz w:val="24"/>
          <w:szCs w:val="24"/>
        </w:rPr>
        <w:t>Посолството на Република България в Отава</w:t>
      </w:r>
      <w:r w:rsidRPr="00AA5833">
        <w:rPr>
          <w:rFonts w:ascii="Times New Roman" w:hAnsi="Times New Roman" w:cs="Times New Roman"/>
          <w:bCs/>
          <w:sz w:val="24"/>
          <w:szCs w:val="24"/>
        </w:rPr>
        <w:t xml:space="preserve"> попадат три неделни училища. Посолството полага усилия за сътрудничество с тях и за подпомагане на всички техни проекти и родолюбиви инициативи, целящи запазването на културната и националната идентичност на младото поколение и на връзките му с България, поддържането на българския дух, популяризирането на езика, историята и културата на България, както и на дейностите, свързани със съхраняване на българския фолклор. Продължава успешното сътрудничество между ДП-Отава, МОН и ИАБЧ. </w:t>
      </w:r>
    </w:p>
    <w:p w14:paraId="08C9BBC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 xml:space="preserve">ДП-Отава се включи активно в отбелязването на важни празнични дати по случай Рождество Христово, Нова година, 24 май и други. Посолството даде своя принос във връзка с разпространението на информация и набиране на кандидатури от страна на български организации относно осъществяване на програми на МОН и ИАБЧ за насърчаване и подпомагане на българските организации и медии извън страната в </w:t>
      </w:r>
      <w:r w:rsidRPr="00AA5833">
        <w:rPr>
          <w:rFonts w:ascii="Times New Roman" w:hAnsi="Times New Roman" w:cs="Times New Roman"/>
          <w:bCs/>
          <w:sz w:val="24"/>
          <w:szCs w:val="24"/>
        </w:rPr>
        <w:lastRenderedPageBreak/>
        <w:t>поддържането и развитието на българската култура и език, в отбелязването на различни празници.</w:t>
      </w:r>
    </w:p>
    <w:p w14:paraId="3E35906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 xml:space="preserve">През учебната 2024-2025 г. на територията на консулския окръг на </w:t>
      </w:r>
      <w:r w:rsidRPr="00AA5833">
        <w:rPr>
          <w:rFonts w:ascii="Times New Roman" w:hAnsi="Times New Roman" w:cs="Times New Roman"/>
          <w:b/>
          <w:bCs/>
          <w:sz w:val="24"/>
          <w:szCs w:val="24"/>
        </w:rPr>
        <w:t>Генералното консулство на Република България в Торонто</w:t>
      </w:r>
      <w:r w:rsidRPr="00AA5833">
        <w:rPr>
          <w:rFonts w:ascii="Times New Roman" w:hAnsi="Times New Roman" w:cs="Times New Roman"/>
          <w:bCs/>
          <w:sz w:val="24"/>
          <w:szCs w:val="24"/>
        </w:rPr>
        <w:t xml:space="preserve"> функционираха общо пет регистрирани от МОН български неделни училища, както и 3 класа в рамките на канадската образователна система - </w:t>
      </w:r>
      <w:r w:rsidRPr="00AA5833">
        <w:rPr>
          <w:rFonts w:ascii="Times New Roman" w:hAnsi="Times New Roman" w:cs="Times New Roman"/>
          <w:bCs/>
          <w:i/>
          <w:sz w:val="24"/>
          <w:szCs w:val="24"/>
        </w:rPr>
        <w:t>Toronto District School Board</w:t>
      </w:r>
      <w:r w:rsidRPr="00AA5833">
        <w:rPr>
          <w:rFonts w:ascii="Times New Roman" w:hAnsi="Times New Roman" w:cs="Times New Roman"/>
          <w:bCs/>
          <w:sz w:val="24"/>
          <w:szCs w:val="24"/>
        </w:rPr>
        <w:t xml:space="preserve"> и </w:t>
      </w:r>
      <w:r w:rsidRPr="00AA5833">
        <w:rPr>
          <w:rFonts w:ascii="Times New Roman" w:hAnsi="Times New Roman" w:cs="Times New Roman"/>
          <w:bCs/>
          <w:i/>
          <w:sz w:val="24"/>
          <w:szCs w:val="24"/>
        </w:rPr>
        <w:t>Peel District School Board</w:t>
      </w:r>
      <w:r w:rsidRPr="00AA5833">
        <w:rPr>
          <w:rFonts w:ascii="Times New Roman" w:hAnsi="Times New Roman" w:cs="Times New Roman"/>
          <w:bCs/>
          <w:sz w:val="24"/>
          <w:szCs w:val="24"/>
        </w:rPr>
        <w:t xml:space="preserve">, съответно в Торонто и Мисисага. </w:t>
      </w:r>
    </w:p>
    <w:p w14:paraId="27F22B8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Екипът на ГК-Торонто участва редовно във всички събития, свързани с българските неделни училища както в района на Голямо Торонто, така и в района на Ванкувър и провинция Британска Колумбия и Калгари, провинция Албърта.</w:t>
      </w:r>
    </w:p>
    <w:p w14:paraId="107C4E3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ГК-Торонто редовно провежда срещи с представители на българските училища в Канада и активно се ангажира с увеличаване на популярността на българския език сред различните групи, които могат да бъдат записани за обучение. Продължава активната работа на ГК-Торонто във връзка с признаването на българския език като кредитен на територията на провинция Британска Колумбия и Албърта.</w:t>
      </w:r>
    </w:p>
    <w:p w14:paraId="0BD1064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ab/>
        <w:t>Латинска Америка</w:t>
      </w:r>
    </w:p>
    <w:p w14:paraId="6CEA55B0"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ab/>
        <w:t xml:space="preserve">В </w:t>
      </w:r>
      <w:r w:rsidRPr="00AA5833">
        <w:rPr>
          <w:rFonts w:ascii="Times New Roman" w:eastAsia="Calibri" w:hAnsi="Times New Roman" w:cs="Times New Roman"/>
          <w:b/>
          <w:sz w:val="24"/>
          <w:szCs w:val="24"/>
          <w:lang w:eastAsia="bg-BG"/>
        </w:rPr>
        <w:t>Република Аржентина</w:t>
      </w:r>
      <w:r w:rsidRPr="00AA5833">
        <w:rPr>
          <w:rFonts w:ascii="Times New Roman" w:eastAsia="Calibri" w:hAnsi="Times New Roman" w:cs="Times New Roman"/>
          <w:sz w:val="24"/>
          <w:szCs w:val="24"/>
          <w:lang w:eastAsia="bg-BG"/>
        </w:rPr>
        <w:t xml:space="preserve"> и останалите държави на акредитация на посолството на Република България в Буенос Айрес няма функциониращи български неделни училища.</w:t>
      </w:r>
    </w:p>
    <w:p w14:paraId="74E62BDB"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ab/>
        <w:t>Традиционната българска диаспора е съсредоточена основно в Аржентина, като се наблюдава изключителна активност и динамика в дейността на българските културни дружества, около които е организиран културният живот на българската общност и които с подкрепата на българското посолство развиват самодейност и редовно отбелязват традиционните български празници с фолклорни инициативи и събития, съхраняващи българското им самосъзнание.  Наред с усилията за поддържане на българските народни традиции, мнозинството от представителите на българската общност не владеят български език. Независимо от това се наблюдава стремеж от тяхна страна към опознаване на българските им корени и изучаване на родния език.</w:t>
      </w:r>
    </w:p>
    <w:p w14:paraId="3D2D788E"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ab/>
        <w:t>Посолството активно си сътрудничи с българските културни дружества в гр. Буенос Айрес, Берисо, Пресиденсия Роке Саенс Пеня, Комодоро Ривадавия и Лас Бреняс по отношение на редица инициативи и културни събития, целящи съхраняване на българския дух и култура.</w:t>
      </w:r>
    </w:p>
    <w:p w14:paraId="1476AD24" w14:textId="77777777" w:rsidR="00533926" w:rsidRPr="00AA5833" w:rsidRDefault="00533926" w:rsidP="00533926">
      <w:pPr>
        <w:tabs>
          <w:tab w:val="left" w:pos="90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Посолството във </w:t>
      </w:r>
      <w:r w:rsidRPr="00AA5833">
        <w:rPr>
          <w:rFonts w:ascii="Times New Roman" w:eastAsia="Times New Roman" w:hAnsi="Times New Roman" w:cs="Times New Roman"/>
          <w:b/>
          <w:sz w:val="24"/>
          <w:szCs w:val="24"/>
          <w:lang w:eastAsia="bg-BG"/>
        </w:rPr>
        <w:t>Федеративна република</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b/>
          <w:sz w:val="24"/>
          <w:szCs w:val="24"/>
          <w:lang w:eastAsia="bg-BG"/>
        </w:rPr>
        <w:t>Бразилия</w:t>
      </w:r>
      <w:r w:rsidRPr="00AA5833">
        <w:rPr>
          <w:rFonts w:ascii="Times New Roman" w:eastAsia="Times New Roman" w:hAnsi="Times New Roman" w:cs="Times New Roman"/>
          <w:sz w:val="24"/>
          <w:szCs w:val="24"/>
          <w:lang w:eastAsia="bg-BG"/>
        </w:rPr>
        <w:t xml:space="preserve"> активно подпомагаше дейността на българското неделно училище в Сао Пауло, оказваше му съдействие от разнороден характер – административен, протоколен, финансов (при организиране на съвместни събития) и др., и се включваше в организирани от него събития. Училището има сключен договор с посолството за безвъзмездно ползване на имот, собственост на българската държава. Представител на българското посолство се включваше в организирани от училището събития. През 2024 г. училището и посолството тържествено отбелязаха 15-годишнината от създаването му.</w:t>
      </w:r>
    </w:p>
    <w:p w14:paraId="27DCF17B" w14:textId="77777777" w:rsidR="00533926" w:rsidRPr="00AA5833" w:rsidRDefault="00533926" w:rsidP="00533926">
      <w:pPr>
        <w:tabs>
          <w:tab w:val="left" w:pos="90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В </w:t>
      </w:r>
      <w:r w:rsidRPr="00AA5833">
        <w:rPr>
          <w:rFonts w:ascii="Times New Roman" w:eastAsia="Times New Roman" w:hAnsi="Times New Roman" w:cs="Times New Roman"/>
          <w:b/>
          <w:sz w:val="24"/>
          <w:szCs w:val="24"/>
          <w:lang w:eastAsia="bg-BG"/>
        </w:rPr>
        <w:t>Република Куба</w:t>
      </w:r>
      <w:r w:rsidRPr="00AA5833">
        <w:rPr>
          <w:rFonts w:ascii="Times New Roman" w:eastAsia="Times New Roman" w:hAnsi="Times New Roman" w:cs="Times New Roman"/>
          <w:sz w:val="24"/>
          <w:szCs w:val="24"/>
          <w:lang w:eastAsia="bg-BG"/>
        </w:rPr>
        <w:t xml:space="preserve"> и държавите, покривани от посолството на Република България в Хавана, няма български неделни училища. Посолството редовно информира заинтересованите български граждани в страните на акредитация за възможностите да записват децата си за онлайн обучение по български език, география и история на България към български училища, отговарящи на изискванията на МОН. През учебната 2024 – 2025 г. </w:t>
      </w:r>
      <w:r w:rsidRPr="00AA5833">
        <w:rPr>
          <w:rFonts w:ascii="Times New Roman" w:eastAsia="Times New Roman" w:hAnsi="Times New Roman" w:cs="Times New Roman"/>
          <w:bCs/>
          <w:sz w:val="24"/>
          <w:szCs w:val="24"/>
          <w:lang w:eastAsia="bg-BG"/>
        </w:rPr>
        <w:t xml:space="preserve">три български деца изучават български език във виртуалните класове на БНУ „Иван Вазов“ в Париж. </w:t>
      </w:r>
      <w:r w:rsidRPr="00AA5833">
        <w:rPr>
          <w:rFonts w:ascii="Times New Roman" w:eastAsia="Calibri" w:hAnsi="Times New Roman" w:cs="Times New Roman"/>
          <w:sz w:val="24"/>
          <w:szCs w:val="24"/>
          <w:lang w:eastAsia="bg-BG"/>
        </w:rPr>
        <w:t xml:space="preserve">Посолството в Хавана се стреми да поддържа активни контакти с българските общности и в другите държави на акредитация. Много добро ниво на сътрудничество е постигнато по отношение на българите в Доминиканската република, за което допринася отличното взаимодействие с почетния консул на България </w:t>
      </w:r>
      <w:r w:rsidRPr="00AA5833">
        <w:rPr>
          <w:rFonts w:ascii="Times New Roman" w:eastAsia="Calibri" w:hAnsi="Times New Roman" w:cs="Times New Roman"/>
          <w:sz w:val="24"/>
          <w:szCs w:val="24"/>
          <w:lang w:eastAsia="bg-BG"/>
        </w:rPr>
        <w:lastRenderedPageBreak/>
        <w:t xml:space="preserve">в страната. Посолството полага усилия за подпомагане на всички проекти и родолюбиви инициативи, целящи запазването на културната и националната им идентичност и на връзките им с България. </w:t>
      </w:r>
    </w:p>
    <w:p w14:paraId="6228C663"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ab/>
        <w:t xml:space="preserve">На територията на </w:t>
      </w:r>
      <w:r w:rsidRPr="00AA5833">
        <w:rPr>
          <w:rFonts w:ascii="Times New Roman" w:eastAsia="Calibri" w:hAnsi="Times New Roman" w:cs="Times New Roman"/>
          <w:b/>
          <w:sz w:val="24"/>
          <w:szCs w:val="24"/>
          <w:lang w:eastAsia="bg-BG"/>
        </w:rPr>
        <w:t>Мексиканските съединени щати</w:t>
      </w:r>
      <w:r w:rsidRPr="00AA5833">
        <w:rPr>
          <w:rFonts w:ascii="Times New Roman" w:eastAsia="Calibri" w:hAnsi="Times New Roman" w:cs="Times New Roman"/>
          <w:sz w:val="24"/>
          <w:szCs w:val="24"/>
          <w:lang w:eastAsia="bg-BG"/>
        </w:rPr>
        <w:t xml:space="preserve"> и в страните от Централна Америка няма регистрирани български неделни училища. В столицата Мексико има училище с изучаване на български език „Родна реч“, което функционира на частни начала. Създадено е през 2017 г. с цел запазване и разширяване на обхвата на обучението по български език, поддържане на българско самосъзнание и опознаване на българската култура, като предлага уроци по български език за различни нива и групи. Всяка година посолството, съвместно с училище „Родна реч“, организира редица инициативи за отбелязване на български празници и значими исторически събития с децата и техните семейства от българската общност. Посолството оказва разностранно съдействие на училището – финансово и материално (при организиране на съвместни събития), логистично, протоколно, организационно и др., и спомага за популяризиране на дейността му сред българската общност в Мексико и страните от Централна Америка. През 2024 г. посолството в Мексико дари на училището над 20 детски книги на български език от чуждестранни и български автори, подходящи за различните възрастови групи.</w:t>
      </w:r>
    </w:p>
    <w:p w14:paraId="514FA17A"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lang w:eastAsia="bg-BG"/>
        </w:rPr>
      </w:pPr>
    </w:p>
    <w:p w14:paraId="76F2932B" w14:textId="77777777" w:rsidR="00533926" w:rsidRPr="00AA5833" w:rsidRDefault="00533926" w:rsidP="00533926">
      <w:pPr>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 xml:space="preserve">За региона на дирекция „ Близък Изток и Африка“ </w:t>
      </w:r>
    </w:p>
    <w:p w14:paraId="5304CE4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 xml:space="preserve">Израел </w:t>
      </w:r>
    </w:p>
    <w:p w14:paraId="7A699AB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 повод наближаването на 1 март – Деня на Баба Марта, на 23 февруари българското посолство, съвместно с Българския културен център в Израел, организираха в сградата на посолството в Тел Авив ателие за изработване на мартеници. В инициативата участваха деца от българското училище в Тел Авив и от българската еврейска общност в Израел, които бяха запознати с многовековната традиция на мартеницата и начина на нейното изработване. </w:t>
      </w:r>
    </w:p>
    <w:p w14:paraId="4060FEB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 случай националния празник на България – 3 март, посолството организира образователна среща за българските деца в Израел. На тях най-малките граждани на нашата страна, живеещи в еврейската държава, имаха възможност да се запознаят с историята и традициите ни. В една от залите на посолството военният аташе разказа, показвайки карти и много изображения, за хода на войната, довела до освобождението на България преди 146 години. </w:t>
      </w:r>
    </w:p>
    <w:p w14:paraId="6417F70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 повод Деня на народните будители – 1 ноември, в българското посолство в Тел Авив се проведе среща с представители на българската общност в страната. По време на събитието гостите бяха запознати с делото на Петър Берон – баща на съвременното българско образование, чийто „Рибен буквар“ отбеляза своята 200-годишнина през 2024 г. Прочетени бяха също така откъси от преведени на иврит произведения на писателя Чудомир. По инициатива на българското посолство в Тел Авив, два от най-успешните български филми от последните години бяха показани пред широка публика в Тел Авив. На 27 ноември в Синематеката на столицата се проведе прожекция на филма „Петя на моята Петя“ (2021 г.), заслужил високата оценка на местната публика и провокирал сериозен интерес към историята за живота на българската поетеса Петя Дубарова. Дни по-късно, на 8 декември 2024 г., филмът „Анна“ (2022 г.) на режисьора Боримир Илков-Бонo очаквано заслужи аплодисментите на зрителите, влизайки в неофициалната селекция на Филмовия фестивал за солидарност и човешки права (Solidarity Human Rights Film Festival), провел се в Тел Авив през декември 2024 г. Всяка от двете прожекции събра по около 200 зрители, сред които представители на българската общност и дипломатическия корпус, приятели на България, киномани и членове на Синематеката на Тел Авив. На 14 декември посланик Славена Гергова бе специален гост на традиционно провежданата от българската еврейска общност в Израел т.нар. </w:t>
      </w:r>
      <w:r w:rsidRPr="00AA5833">
        <w:rPr>
          <w:rFonts w:ascii="Times New Roman" w:hAnsi="Times New Roman" w:cs="Times New Roman"/>
          <w:color w:val="000000"/>
          <w:sz w:val="24"/>
          <w:szCs w:val="24"/>
        </w:rPr>
        <w:lastRenderedPageBreak/>
        <w:t xml:space="preserve">„културна събота“, на която тя сподели впечатленията си от Израел, познанията си за страната и приоритетите на България за двустранните българо-израелски отношения. </w:t>
      </w:r>
    </w:p>
    <w:p w14:paraId="066DF91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През 2024 г. посолството продължи да оказва подкрепа за дейността на Българското училище в Тел Авив, чиято учебна година за 2024-2025 г. бе открита на 15 септември, след едногодишно прекъсване поради избухналата на 7 октомври война между Израел и Хамас. Заместник-ръководителят на мисията Юлиан Якимов поздрави децата в българското училище по радостния повод. Посланик Гергова взе участие в тържеството, организирано в Българското училище в Тел Авив по повод 24 май – Ден на светите братя Кирил и Методий, на българската азбука, просвета и култура и на славянската книжовност. В събитието взеха участие бивши и настоящи ученици на училището, както и други деца от българската общност в Израел. На 18 декември, съвместно с Българския културен център в Израел, в българското училище в Тел Авив бе организирано събитие за изработване на традиционните български сурвачки. </w:t>
      </w:r>
    </w:p>
    <w:p w14:paraId="43F94D0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Сирия </w:t>
      </w:r>
    </w:p>
    <w:p w14:paraId="4E0DF54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Разкрит беше конкретен потенциал чрез работата с неправителствени организации в рамките на културен клъстер към посолството, с което те биха могли да се включат самостоятелно или съвместно в проекти на местни неправителствени структури, както и Сирианската православна църква. Извършена беше и специализирана дейност по създаване и поддържане на списък с българските граждани и членове на семействата им, които бяха засегнати от ескалацията, довела до смяната на държавното управление, и възникналата необходимост от тяхна доброволна евакуация. </w:t>
      </w:r>
    </w:p>
    <w:p w14:paraId="0888049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Ливан </w:t>
      </w:r>
    </w:p>
    <w:p w14:paraId="6525774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Посолството на Република България продължи да поддържа постоянна готовност да оказва необходимото съдействие по консулска линия на българските граждани на територията на Ливан и Сирия, като след 29.09.2024 г. същото се изрази в извеждане на пребиваващите в страната българи, чрез осигуряването на безопасен начин за достигане на територията на България. </w:t>
      </w:r>
    </w:p>
    <w:p w14:paraId="695E289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През първата половина от отчетната година продължи и обучението по роден език в Българското училище „Иван Вазов“ към посолството. Тази дейност не можеше да бъде продължена за учебната 2024-2025 г. по обективни причини, свързани със заболяване на титулярния преподавател и особено с крайното влошаване на средата за сигурност в приемащата държава, непозволяващо нормалното провеждане на учебни занятия. Процесът по извеждане на български граждани от Ливан също представляваше естествена причина за временно преустановяване на учебния процес. </w:t>
      </w:r>
    </w:p>
    <w:p w14:paraId="5C476F4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Йордания </w:t>
      </w:r>
    </w:p>
    <w:p w14:paraId="3B8616B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Неделното училище целенасочено и успешно функционира и развива своята самостоятелност в обучителните си дейности, като съставът на посолството, начело с посланика регулярно и активно подпомага процеса по реализиране на разнообразните му дейности и инициативи. През годината учениците, учителите и родителите активно участваха в различни творчески конкурси, рецитали, прожектиране на филми, украсяване на елха, Коледна работилница 2024 г. и други. В часовете на клуб „Родолюбие“ учениците изучаваха народни песни и танци, символика и природни и фолклорни области. </w:t>
      </w:r>
    </w:p>
    <w:p w14:paraId="222275B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Египет </w:t>
      </w:r>
    </w:p>
    <w:p w14:paraId="1F0A1A3D"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Посолството на Република България в Кайро отбеляза Националния празник 3-ти март и 146-та годишнина от Освобождението на страната ни с официален прием. На събитието присъстваха над 200 гости, сред които високопоставени представители на египетското правителство и Министерството на външните работи на Египет, ръководители на дипломатически мисии, представители на египетските академични и културни среди, на египетския и българския бизнес, на медиите и българските общности </w:t>
      </w:r>
      <w:r w:rsidRPr="00AA5833">
        <w:rPr>
          <w:rFonts w:ascii="Times New Roman" w:eastAsia="Calibri" w:hAnsi="Times New Roman" w:cs="Times New Roman"/>
          <w:sz w:val="24"/>
          <w:szCs w:val="24"/>
        </w:rPr>
        <w:lastRenderedPageBreak/>
        <w:t xml:space="preserve">в Египет и Судан. На 24 май 2024 г. в Посолството на Република България в Кайро беше тържествено отбелязан Денят на светите братя Кирил и Методий, на българската азбука, просвета и култура и на славянската книжовност. Участие в събитието взеха представители на българската общност в Египет и Судан, техните семейства и приятели на България. На 19 декември 2024 г. в Посолството на Република България в Кайро се проведе традиционното коледно парти, което посетиха представители на българските общности в Египет и Судан. В приветствието си посланик Деян Катрачев благодари на българите в двете африкански държави и членовете на техните семейства за поддържаната силна връзка с посолството, като ги увери, че винаги могат да разчитат на подкрепата на мисията както в добри, така и в кризисни времена и обстоятелства. </w:t>
      </w:r>
    </w:p>
    <w:p w14:paraId="619D5134"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През периода ДП-Кайро изпълни успешно проект по план-програма с дейности на МВнР и на българските ДКП в чужбина в областта на публичната, културната и дигиталната дипломация и стратегическите комуникации за 2024 г., свързан с инсталиране на дигитален екран до входа на Посолството за прожектиране на рекламни видео и фотоматериали, на които се презентират предоставени от БНТ видеоклипове, популяризиращи българската култура, национален бит и ценности. В началото на ноември 2024 г. посланик Катрачев прие в посолството представителки на българската общност в Египет за обсъждане на възможностите за възстановяване дейността на българското неделно училище „Св. Св. Кирил и Методий“, функционирало до 2016 г. Направен бе преглед на изискванията за осъществяване на дейност и условията за изготвяне на предложение за вписване в списъка на българските неделни училища в чужбина. Посланик Катрачев потвърди още веднъж готовността на посолството за оказване на подкрепа за възстановяване на дейността на училището, като изясни възможностите на мисията в тази връзка. Договорено бе да бъдат предприети по-нататъшни стъпки за изпълнение на изискванията, необходими за стартиране на процедура по кандидатстване. </w:t>
      </w:r>
    </w:p>
    <w:p w14:paraId="6B4116D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Мароко </w:t>
      </w:r>
    </w:p>
    <w:p w14:paraId="3B157BD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Учебните дейности на БНУ „Родолюбие“ се провеждат в помещенията на ДП Рабат, както и в сградата към посолството в Казабланка. От страна на посолството е оказвано съдействие на ръководството на училището за успешното и безпроблемно протичане на учебния процес. Бяха дадени препоръки за активно прилагане на присъствената форма на обучение на учениците. </w:t>
      </w:r>
    </w:p>
    <w:p w14:paraId="423BA8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Тунис </w:t>
      </w:r>
    </w:p>
    <w:p w14:paraId="05B8B9C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Оказвана бе ефективна защита на интересите на българските граждани на територията на Тунизийската република, като бяха поддържани тесни контакти с българската общност. </w:t>
      </w:r>
    </w:p>
    <w:p w14:paraId="1ABC0E3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На фейсбук страницата на посолството редовно бе публикувана информация за дейността на мисията, важни съобщения за българската общност като провеждането на парламентарните избори, честването на празници, успехи на български спортисти, писатели и др. </w:t>
      </w:r>
    </w:p>
    <w:p w14:paraId="3B7B192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На 4 март 2024 г. посланик Веселин Дянков даде прием в посолството в Тунис по случай Националния празник на България. На събитието присъстваха над 150 гости – посланици и дипломати, представители на тунизийските бизнес среди и българската общност. </w:t>
      </w:r>
    </w:p>
    <w:p w14:paraId="7C816CB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Алжир </w:t>
      </w:r>
    </w:p>
    <w:p w14:paraId="0C35CB55"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Посолството поддържа активни контакти с българската общност в Алжир. Осигурява възможност за провеждане на редовни срещи на дружеството „Райна Княгиня”, на които се предоставя информация за значими събития в България и за промени в българското законодателство, засягащи техните правни интереси. Срещите се организират и по конкретни поводи, така че да способства за запазване и развитие на </w:t>
      </w:r>
      <w:r w:rsidRPr="00AA5833">
        <w:rPr>
          <w:rFonts w:ascii="Times New Roman" w:eastAsia="Calibri" w:hAnsi="Times New Roman" w:cs="Times New Roman"/>
          <w:sz w:val="24"/>
          <w:szCs w:val="24"/>
        </w:rPr>
        <w:lastRenderedPageBreak/>
        <w:t xml:space="preserve">българската идентичност, култура и духовни ценности, През годината Дружеството на българските гражданки „Райна Княгиня“ проведе две от своите сбирки в салона на посолството – на 14 януари 2024 г. по повод Бабин ден (21 януари) и на 14 декември 2024 година – предпразнична коледна среща. </w:t>
      </w:r>
    </w:p>
    <w:p w14:paraId="06C63DB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Саудитска Арабия </w:t>
      </w:r>
    </w:p>
    <w:p w14:paraId="7E3B6EE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Общността включва предимно високо квалифицирани работници и специалисти от България, които работят в различни сфери на саудитската икономика, вкл. на ръководни позиции в местни компании. Създадени са групи в Уатсап и във Фейсбук, където по-голямата част от българската общност участва и където ДП Рияд разпространява важна информация от интерес на нашите съграждани. </w:t>
      </w:r>
    </w:p>
    <w:p w14:paraId="491A555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Българската общност е основен елемент в събитията, организирани от Посолството. Общността бе поканена на честванията на 3-ти март, както и бе организирана традиционната среща-коктейл с нея по повод 24 май, коледните и новогодишни празници. </w:t>
      </w:r>
    </w:p>
    <w:p w14:paraId="1248676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Обединени арабски емирства </w:t>
      </w:r>
    </w:p>
    <w:p w14:paraId="7EB2FBB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През отчетната година беше оказвано постоянно съдействие и подкрепа на дейността на училище „Камбана“ в Абу Даби и училище „Българче“ в Дубай, както и на Клуба за автентичен фолклор „Здравец“ в Дубай. По случай Националния празник на Република България, на 3 март 2024 г., в балната зала на Jumeirah Creekside Hotel в Дубай, беше организиран, съвместно от ГК – Дубай и П – Абу Даби, прием с културна програма, изложба и коктейл за българската общност в ОАЕ. През м. май м. г. П – Абу Даби и ГК – Дубай организираха „Дни на българската просвета в ОАЕ“, посветени на отбелязването на 24-ти май – Ден на светите братя Кирил и Методий, на славянската писменост и българската просвета и култура. На 15 юни 2024 г. с благословението на Негово Светейшество Йоан X, патриарх на Антиохия и целия Изток, и по решение на Св. Синод на Българската православна църква – Българска Патриаршия (БПЦ-БП), Пловдивският митрополит Николай и Западно- и Средноевропейският митрополит Антоний отслужиха литургия на български език в Дубай. На 26 септември м. г. Посолството и Училище „Камбана“ взеха участие с български щанд в традиционното отбелязване на Европейския ден на езиците, който през 2024 г. отново се проведе в Испанското училище в Абу Даби. На 19 октомври 2024 г. с благословението на Негово Светейшество Йоан X, патриарх на Антиохия и целия Изток, и по решение на Св. Синод на Българската православна църква – Българска Патриаршия (БПЦ-БП), Пловдивският митрополит Николай, Западно- и Средноевропейският митрополит Антоний и Сливенският митрополит Арсений отслужиха литургия на български език по повод патронния празник на Българската православна община в ОАЕ – Св. Иван Рилски Чудотворец. Богослужението се проведе в храма на Антиохийската патриаршия „Св. Благовещение” в Дубай.  На 1 ноември 2024 година, по повод Деня на народните будители, ГК – Дубай, съвместно с П – Абу Даби, организира първата за региона на Близкия Изток премиера на книгата „Истории от ръчния багаж” на български журналист Георги Милков. </w:t>
      </w:r>
    </w:p>
    <w:p w14:paraId="336F382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Кувейт </w:t>
      </w:r>
    </w:p>
    <w:p w14:paraId="4CCB0611"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Посолството запази своята роля на свързващо звено на сънародниците ни с България, като се стремеше своевременно и според възможностите си да откликва на техните нужди и проблеми. Посолството винаги е било на разположение на българската общност за организиране на културни мероприятия, чествания по повод българските празници и др. Занятията на Българското неделно училище „Св. Св. Кирил и Методий” към посолството на Република България в Кувейт, в което през учебната 2023/24 г. се обучаваха 28 деца, винаги са се провеждали в сградата на посолството. Тази година училището прие един нов клас с първокласници от осем ученика. </w:t>
      </w:r>
    </w:p>
    <w:p w14:paraId="23B48D59"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b/>
          <w:bCs/>
          <w:sz w:val="24"/>
          <w:szCs w:val="24"/>
        </w:rPr>
        <w:tab/>
        <w:t xml:space="preserve">Катар </w:t>
      </w:r>
    </w:p>
    <w:p w14:paraId="609F5AA2"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ab/>
        <w:t xml:space="preserve">Поддържаха се постоянни контакти с представители на българската общност в Катар, която към настоящия момент остава в рамките на около 300 души, от които около 50 са непълнолетни български граждани. За тази цел продължи да се използва и наличната база данни с координати на българите в Катар. Предвид недостатъчния брой ученици, както и трудности при намиране на хабилитирани учители за провеждане на учебните занятия, ДП – Доха оказва съдействие на желаещите да се присъединят към вече функциониращите неделни училища в страни от региона. Бяха организирани, редица събития от публичен характер, с участието на представители на българската общност в Доха, като традиционната среща-коктейл по случай Националния празник на страната 3 март в сградата на посолството, по време на която почетни гости бяха български атлети участници в световното първенство по водни спортове. </w:t>
      </w:r>
    </w:p>
    <w:p w14:paraId="5C64E7BE" w14:textId="77777777" w:rsidR="0053701C" w:rsidRDefault="00533926" w:rsidP="00533926">
      <w:pPr>
        <w:autoSpaceDE w:val="0"/>
        <w:autoSpaceDN w:val="0"/>
        <w:adjustRightInd w:val="0"/>
        <w:spacing w:after="0" w:line="240" w:lineRule="auto"/>
        <w:jc w:val="both"/>
        <w:rPr>
          <w:rFonts w:ascii="Times New Roman" w:hAnsi="Times New Roman" w:cs="Times New Roman"/>
          <w:b/>
          <w:bCs/>
          <w:color w:val="000000"/>
          <w:sz w:val="24"/>
          <w:szCs w:val="24"/>
        </w:rPr>
      </w:pPr>
      <w:r w:rsidRPr="00AA5833">
        <w:rPr>
          <w:rFonts w:ascii="Times New Roman" w:hAnsi="Times New Roman" w:cs="Times New Roman"/>
          <w:b/>
          <w:bCs/>
          <w:color w:val="000000"/>
          <w:sz w:val="24"/>
          <w:szCs w:val="24"/>
        </w:rPr>
        <w:tab/>
      </w:r>
    </w:p>
    <w:p w14:paraId="261B5DA2" w14:textId="77777777" w:rsidR="00533926" w:rsidRPr="00AA5833" w:rsidRDefault="00533926" w:rsidP="0053701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 xml:space="preserve">Нигерия </w:t>
      </w:r>
    </w:p>
    <w:p w14:paraId="02E3E22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Връзката с българските общности се поддържа по следните начини: (1) организиране на събития при пътуванията на извънредния и пълномощен посланик до съответните градове, като такива събития бяха организирани в Лагос (май 2024 г.), в Кацина (април 2024 г.) и в Акра (юни 2024 г.); (2) създадените групи (чрез онлайн апликации) за съответните общности, чрез които се обменя в реално време информация за консулски процедури, обстановката на сигурност в някои райони на приемащата държава и др.; (3) продължаване в сътрудничество с Националната библиотека „Св. Св. Кирил и Методий“ и МВнР на развитието на библиотеката за литература на български език към Посолството в Абуджа. </w:t>
      </w:r>
    </w:p>
    <w:p w14:paraId="7B66AA0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Южна Африка </w:t>
      </w:r>
    </w:p>
    <w:p w14:paraId="2C95EEE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Посолството продължи да работи активно с представителите на българските общности в РЮА и страните на акредитация. Изградените близки отношения с ръководствата на Сдружението на българите в РЮА и българското неделно училище „Слънчо“ дават плодотворен резултат. Подпомагани бяха инициативи, насочени към поддържане на знанията по български език, съхранението на националните традиции, обичаи, култура и идентичност. Посолството установи контакт с новото ръководство на Изпълнителната агенция за българите в чужбина за осигуряване на книги, компакт дискове и др. пособия за обучението по български език в неделното училище. През отчетния период бе реализирана значима културна инициатива за популяризирането на българското изкуство в Република Южна Африка. На 4 октомври 2024 г. в Националната библиотека на Южна Африка беше открита карикатурната изложба „Нашият общ свят – усмихнати послания от България“. Събитието се осъществи съвместно с Музея „Дом на хумора и сатирата“ в гр. Габрово и Националната библиотека на Южна Африка в рамките на проект за публична дипломация. След успешното представяне в Националната библиотека изложбата бе репликирана сред българската общност в Република Южна Африка и изложена в Българския културен център в Мидранд. </w:t>
      </w:r>
    </w:p>
    <w:p w14:paraId="0EFA86A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ab/>
        <w:t xml:space="preserve">Етиопия </w:t>
      </w:r>
    </w:p>
    <w:p w14:paraId="3C0CAF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На територията на Етиопия в момента със статут за продължително пребиваване живеят общо трима български граждани. От тях двама живеят в Адис Абеба, а един в южната част на страната. Управляващият посолството е установил връзка с всеки един от тях, като по случай 3 март и 22 септември – Ден на независимостта, в посолството бяха организирани срещи с българските граждани.</w:t>
      </w:r>
    </w:p>
    <w:p w14:paraId="4DA64AA4"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p>
    <w:p w14:paraId="7F8A5961" w14:textId="77777777" w:rsidR="00533926" w:rsidRPr="00AA5833" w:rsidRDefault="00533926" w:rsidP="00533926">
      <w:pPr>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За региона на дирекция „Двустранно европейско сътрудничество“</w:t>
      </w:r>
    </w:p>
    <w:p w14:paraId="7993DC57"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Подпомагането на дейността на БНУ и активното насърчаване на откриването на нови български училища, продължава да бъде един от постоянните приоритети, залегнали в дейността на ДКП. Усилията в това направление намират израз в </w:t>
      </w:r>
      <w:r w:rsidRPr="00AA5833">
        <w:rPr>
          <w:rFonts w:ascii="Times New Roman" w:eastAsia="Calibri" w:hAnsi="Times New Roman" w:cs="Times New Roman"/>
          <w:sz w:val="24"/>
          <w:szCs w:val="24"/>
        </w:rPr>
        <w:lastRenderedPageBreak/>
        <w:t xml:space="preserve">поддържането на постоянни контакти с организации и сдружения на българите в чужбина и в организирането на събития и инициативи в областта на културата и образованието в подкрепа и с участието на българските общности. Налице е активно взаимодействие на ДКП с МОН, ИАБЧ и други институции с отношение към обезпечаването и подобряването на условията за работа на БНУ. </w:t>
      </w:r>
    </w:p>
    <w:p w14:paraId="3878EA6B"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bCs/>
          <w:color w:val="000000"/>
          <w:sz w:val="24"/>
          <w:szCs w:val="24"/>
          <w:u w:color="000000"/>
        </w:rPr>
        <w:tab/>
        <w:t xml:space="preserve">През 2024 г. мисиите ни полагаха усилия за различни форми на подпомагане на българската общност. </w:t>
      </w:r>
      <w:r w:rsidRPr="00AA5833">
        <w:rPr>
          <w:rFonts w:ascii="Times New Roman" w:eastAsia="Calibri" w:hAnsi="Times New Roman" w:cs="Times New Roman"/>
          <w:sz w:val="24"/>
          <w:szCs w:val="24"/>
        </w:rPr>
        <w:t>Оказваха съдействие за намиране на подходящи помещения за провеждане на учебни и извън учебни занятия, вкл. отбелязване на празници, в БНУ, в т.ч. и предоставяха помещения за безвъзмездно ползване, според възможностите на ДП и КП.</w:t>
      </w:r>
      <w:r w:rsidRPr="00AA5833">
        <w:rPr>
          <w:rFonts w:ascii="Times New Roman" w:eastAsia="Calibri" w:hAnsi="Times New Roman" w:cs="Times New Roman"/>
          <w:bCs/>
          <w:color w:val="000000"/>
          <w:sz w:val="24"/>
          <w:szCs w:val="24"/>
          <w:u w:color="000000"/>
        </w:rPr>
        <w:t xml:space="preserve"> </w:t>
      </w:r>
      <w:r w:rsidRPr="00AA5833">
        <w:rPr>
          <w:rFonts w:ascii="Times New Roman" w:eastAsia="Calibri" w:hAnsi="Times New Roman" w:cs="Times New Roman"/>
          <w:bCs/>
          <w:sz w:val="24"/>
          <w:szCs w:val="24"/>
        </w:rPr>
        <w:t>Осведомяваха ръководствата на училищата за възможностите за кандидатстване за финансиране на дейността им от Министерството на образованието и науката, на предпоставките за признаване на етап от образованието в чужбина от Инспектората по образование към МОН, на възможностите за полагане на матури за средно образование в България, както и възможностите за продължаване на образованието в български висши учебни заведения.</w:t>
      </w:r>
      <w:r w:rsidRPr="00AA5833">
        <w:rPr>
          <w:rFonts w:ascii="Times New Roman" w:eastAsia="Calibri" w:hAnsi="Times New Roman" w:cs="Times New Roman"/>
          <w:bCs/>
          <w:color w:val="000000"/>
          <w:sz w:val="24"/>
          <w:szCs w:val="24"/>
          <w:u w:color="000000"/>
        </w:rPr>
        <w:t xml:space="preserve"> </w:t>
      </w:r>
      <w:r w:rsidRPr="00AA5833">
        <w:rPr>
          <w:rFonts w:ascii="Times New Roman" w:eastAsia="Calibri" w:hAnsi="Times New Roman" w:cs="Times New Roman"/>
          <w:sz w:val="24"/>
          <w:szCs w:val="24"/>
        </w:rPr>
        <w:t xml:space="preserve">Участваха в инициативи и проекти – при откриване/закриване на учебни години, проекти в сферата на културата, образованието, за поддържане на български обичаи и традиции, в църковни служби и др. </w:t>
      </w:r>
      <w:r w:rsidRPr="00AA5833">
        <w:rPr>
          <w:rFonts w:ascii="Times New Roman" w:eastAsia="Calibri" w:hAnsi="Times New Roman" w:cs="Times New Roman"/>
          <w:bCs/>
          <w:sz w:val="24"/>
          <w:szCs w:val="24"/>
        </w:rPr>
        <w:t>Предоставяха дарения или координираха получените дарения за нуждите на БНУ. Организираха и провеждаха чествания на бележити дати и годишнини за съхраняване на българското национално самосъзнание и идентичност.</w:t>
      </w:r>
    </w:p>
    <w:p w14:paraId="11C5EB9B" w14:textId="77777777" w:rsidR="00533926" w:rsidRPr="00AA5833" w:rsidRDefault="00533926" w:rsidP="00533926">
      <w:pPr>
        <w:spacing w:after="0" w:line="240" w:lineRule="auto"/>
        <w:jc w:val="both"/>
        <w:rPr>
          <w:rFonts w:ascii="Times New Roman" w:eastAsia="Calibri" w:hAnsi="Times New Roman" w:cs="Times New Roman"/>
          <w:b/>
          <w:color w:val="000000"/>
          <w:sz w:val="24"/>
          <w:szCs w:val="24"/>
        </w:rPr>
      </w:pPr>
      <w:r w:rsidRPr="00AA5833">
        <w:rPr>
          <w:rFonts w:ascii="Times New Roman" w:hAnsi="Times New Roman" w:cs="Times New Roman"/>
          <w:sz w:val="24"/>
          <w:szCs w:val="24"/>
        </w:rPr>
        <w:tab/>
      </w:r>
      <w:r w:rsidRPr="00AA5833">
        <w:rPr>
          <w:rFonts w:ascii="Times New Roman" w:eastAsia="Calibri" w:hAnsi="Times New Roman" w:cs="Times New Roman"/>
          <w:b/>
          <w:color w:val="000000"/>
          <w:sz w:val="24"/>
          <w:szCs w:val="24"/>
        </w:rPr>
        <w:t>Австрия</w:t>
      </w:r>
    </w:p>
    <w:p w14:paraId="70EC5FE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На тържествена церемония през 2024 г. посланикът дари на българското училище „Св. св. Кирил и Методий“ компютърна техника от МВнР, която да подпомогне обучителния процес. Посолството положи значителни усилия, насочени към  съхраняване на Българския лекторат към Института по славистика във Виенския университет и издигането на неговия авторитет. Наградата за най-добър студент по българистика, целяща увеличаване на популярността на специалността бе възобновена през 2024 г. от Посолството. Дипломатическата мисия съдейства за участието на фолклорен ансамбъл „Китка“, Виена и детския състав на фолклорна група „Пендари Виена“ на тържеството на откритата сцена на една от най-посещаваните улици във Виена по повод на Деня на Европа през май. За поредна година българи от цяла Австрия се събраха през май на виенския площад „Карлсплац“ за превърналото се в традиция „Голямо българско хоро“, в което участие взеха фолклорна група „Пендари Виена“, фолклорният състав „На Хорото-Грац“, както българи и гости на австрийската столица. В началото на декември във Виена се проведе юбилейното Десето издание на международната студентска интердисциплинарна конференция по българистика за бакалаври, магистри и докторанти, организирано от Българския културен институт „Дом Витгенщайн“, със съдействието на посолството. Конференцията бе открита от г-жа Илияна Йотова, вицепрезидент на Република България. В рамките на посещението си, вицепрезидентът проведе среща с директорите на българските училища в Австрия.</w:t>
      </w:r>
    </w:p>
    <w:p w14:paraId="37278BB7"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Белгия</w:t>
      </w:r>
    </w:p>
    <w:p w14:paraId="0327B5E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Учредяване на Българска православна мисия „Св. Злата Мъгленска“ в гр. Антверпен, реализирано по инициатива на сдружение „Извор“; Провеждане на Международен фестивал на мартеницата, организиран от Българската културна асоциация с участието на България, Румъния и Молдова, подкрепен от българското посолство. България бе домакин на изданието за 2024 г. на Шестия фестивал на българската книга, организиран от Българската културна асоциация в Белгия в сътрудничество с издателство ICU и с подкрепата на посолството на Република България – ежегодно събитие, което предоставя платформа за съвременни български автори и стимулира четивната култура сред диаспората;</w:t>
      </w:r>
    </w:p>
    <w:p w14:paraId="2579871B"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Празничен концерт „Мост между култури“, посветен на 24 май. Събитието бе част от проекта „Reconnection“ на белгийския пианист и композитор Даниел Верстапен и включваше съвместни изпълнения с българската певица Нина Николина, солистката на Брюкселската филхармония Марина Барская и хоровете „Булгапея“ и „Фуриоза“. Концертът, организиран с подкрепата на посолството и Българската културна асоциация „Вълшебния глас“. Културни прояви и литературни събития с участието на български автори, сред които Светлозара Кабакчиева, Рене Карабаш, проф. Мари Врина-Николов, както и среща-дискусия с проф. Христо Пимпирев относно българското участие в антарктическите научни изследвания. В рамките на дейностите, насочени към българската общност в Люксембург, в сътрудничество с клуб „Гайда“ и Българо-Люксембургското сдружение „d’Bréck“ бе открита изложба от 30 рисунки и представена едноименната книга-фотоалбум „Деца на въображението“, дело на българския художник и автор Греди Асса, в които оживяват образите на велики български творци като Владимир Димитров-Майстора, Дечко Узунов, Иван Вукадинов, Жорж Папазов, Жул Паскин и други.</w:t>
      </w:r>
    </w:p>
    <w:p w14:paraId="4240CEC8" w14:textId="77777777" w:rsidR="00533926" w:rsidRPr="00AA5833" w:rsidRDefault="00533926" w:rsidP="00533926">
      <w:pPr>
        <w:spacing w:after="0" w:line="240" w:lineRule="auto"/>
        <w:jc w:val="both"/>
        <w:rPr>
          <w:rFonts w:ascii="Times New Roman" w:eastAsia="Calibri" w:hAnsi="Times New Roman" w:cs="Times New Roman"/>
          <w:b/>
          <w:color w:val="000000"/>
          <w:sz w:val="24"/>
          <w:szCs w:val="24"/>
        </w:rPr>
      </w:pPr>
      <w:r w:rsidRPr="00AA5833">
        <w:rPr>
          <w:rFonts w:ascii="Times New Roman" w:eastAsia="Calibri" w:hAnsi="Times New Roman" w:cs="Times New Roman"/>
          <w:b/>
          <w:color w:val="000000"/>
          <w:sz w:val="24"/>
          <w:szCs w:val="24"/>
        </w:rPr>
        <w:tab/>
        <w:t>Германия</w:t>
      </w:r>
    </w:p>
    <w:p w14:paraId="4B49B36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Посолство - Берлин</w:t>
      </w:r>
    </w:p>
    <w:p w14:paraId="65758EE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През 2024 г. беше развивано успешно координирано сътрудничество на ДКП на Република България в Германия с немските институции за оказване на съдействие по компетентност за подпомагане на българските общности на немска територия, в т.ч. проследяване на демографската и политическа ситуация в Германия, изготвяне на справки, обзори, информационни материали по отношение на пазара на труда и трудовата заетост, равнището на безработица, броя на получателите на социални помощи, тенденциите на развитие на миграционните процеси към Германия и др. (бел.: през последните години се наблюдава засилен интерес на българската диаспора за завръщане в Родината). Беше предоставяна информация и съдействие по запитвания, свързани с проблеми по завръщане на български граждани в България – по пенсионни, образователни, данъчни, трудови и здравноосигурителни и др. въпроси. В отговор на увеличения интерес СТСВ-Берлин, в сътрудничество с ГК – Мюнхен и Консултативния център „Справедлива мобилност“ за Бавария организира и проведе информационни дни за български граждани в провинция Бавария, на 13 и 14  септември 2024 г. Подобни информационни дни и кариерни форуми, целящи да подпомогнат завръщането на българи в Родината, са планирани за следващите години в консулските окръзи Берлин, Франкфурт на Майн и Дюселдорф. Бе развивано успешно сътрудничество с местните български общности за подпомагане на интеграцията на българските граждани в Германия, но и отстояването на правата им и запазването на тяхната културна идентичност. (Бел: През 2024 г. в ДП Берлин бяха проведени множество срещи с представители на културни, спортни, образователни организации и сдружения, консултантски организации, социални работници, педагози и психолози, бяха организирани множество съвместни мероприятия. Ръководният състав и дипломатическите служители на Посолството извършиха редица посещения на български общности по места). Разглеждаха се с особено внимание постъпили сигнали за дискриминация на български общности или представяне на българските граждани в немските медии в негативна светлина. Така например в края на 2024 г. беше осъществено  съвместно посещение в град Дуисбург във връзка с решаване на социални и трудови проблеми на български граждани в региона. Подобни срещи през 2025 г. са планирани и за общините Гелзенкирхен, Мюнхен, Офенбах, Манхайм, Хамбург и др. Беше поощрявано самоорганизирането и сдружаването на българските граждани, там където има желание за това, с цел по-ефективно отстояване на интересите им пред местните власти.</w:t>
      </w:r>
    </w:p>
    <w:p w14:paraId="69F8FFA0"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ab/>
        <w:t>Генерално консулство - Франкфурт</w:t>
      </w:r>
    </w:p>
    <w:p w14:paraId="10737BB0"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През 2024 г. учениците от БНУ редовно участваха в конкурси и състезания, организирани от МК и ИАБЧ, както и в благотворителни инициативи на ГК и българските дружества като „Коледа в кутия“ и „Прегърни доброто“. Под патронажа на генералния консул на 8 юни 2024 г. в Кобленц се проведе VIII-ият Международен конкурс по четене на български език в чужбина „Аз Буки Веди“ за ученици от 1 и 2 клас. В него участваха 37 деца от 15 неделни училища в Германия, Англия, Италия и Франция, като победителите получиха грамоти и награди от Генералното консулство във Франкфурт. Тържествено бе отбелязана 15-ата годишнина от създаването на българското неделно училище „Аз Буки Веди“ в Кьолн. Генералният консул отличи с почетни грамоти за заслуги в областта на образованието ръководителя на училището и двама от първите му преподаватели. Грамоти за издигане авторитета на България получиха и ученици в 9 и 10 клас на училище „Васил Левски“ – Саарбрюкен за заснемане на филма „Българските следи в Саарланд – академични истории за малки и големи“ по програмата на МОН „Неразказаните истории на българите“. Българските училища получиха книги за своите библиотеки, предоставени от българските изложители на Франкфуртския панаир на книгата. С координацията на мисията ни бе проведена среща в края на ноември 2024 г. на представители на ИАБЧ с представители на българските дружества и ръководителите на училища от консулския окръг. В открит диалог бяха обсъдени множество въпроси и споделен опит. </w:t>
      </w:r>
    </w:p>
    <w:p w14:paraId="395CCB4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ab/>
        <w:t>Генерално консулство - Мюнхен</w:t>
      </w:r>
    </w:p>
    <w:p w14:paraId="37EE5EE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През изминалия отчетен период бяха организирани информационни дни, в рамките на които гражданите получиха консултация относно права и задължения на пазара на труда, прилагане на правилата за координиране на схемите за социална сигурност по отношение на парични обезщетения за безработица и пенсии за старост, командировани работници, здравно осигуряване, социално подпомагане и др. През септември 2024 г. по инициатива на ГК-Мюнхен бе организирана среща на всички български училища в Бавария и Баден-Вюртемберг, на която бяха връчени дарения за всяко училище от страна на ГК. Целта на срещата бе осъществяване на  обмен на опит, установяване на добри контакти и  мрежа между училищата в консулския окръг.</w:t>
      </w:r>
    </w:p>
    <w:p w14:paraId="4EBC4333"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lang w:eastAsia="bg-BG"/>
        </w:rPr>
        <w:tab/>
        <w:t>Унгария</w:t>
      </w:r>
    </w:p>
    <w:p w14:paraId="276ACF99" w14:textId="77777777" w:rsidR="00533926" w:rsidRPr="00AA5833" w:rsidRDefault="00533926" w:rsidP="00533926">
      <w:pPr>
        <w:spacing w:after="0" w:line="240" w:lineRule="auto"/>
        <w:contextualSpacing/>
        <w:jc w:val="both"/>
        <w:rPr>
          <w:rFonts w:ascii="Times New Roman" w:hAnsi="Times New Roman" w:cs="Times New Roman"/>
          <w:sz w:val="24"/>
          <w:szCs w:val="24"/>
          <w:lang w:eastAsia="bg-BG"/>
        </w:rPr>
      </w:pPr>
      <w:r w:rsidRPr="00AA5833">
        <w:rPr>
          <w:rFonts w:ascii="Times New Roman" w:hAnsi="Times New Roman" w:cs="Times New Roman"/>
          <w:sz w:val="24"/>
          <w:szCs w:val="24"/>
          <w:lang w:eastAsia="bg-BG"/>
        </w:rPr>
        <w:tab/>
        <w:t xml:space="preserve">През май 2024 г. в Унгария бе открит нов Български образователен и културен център. Посолството оказа съдействие за провеждане на съвместна българо-унгарска културна проява, превърнала се в традиция – Национален конкурс за българска и унгарска поезия в Шумен. </w:t>
      </w:r>
    </w:p>
    <w:p w14:paraId="47AAF2C7"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bCs/>
          <w:sz w:val="24"/>
          <w:szCs w:val="24"/>
        </w:rPr>
        <w:tab/>
        <w:t xml:space="preserve">Чехия </w:t>
      </w:r>
    </w:p>
    <w:p w14:paraId="0430A01A" w14:textId="77777777" w:rsidR="00533926" w:rsidRPr="00AA5833" w:rsidRDefault="00533926" w:rsidP="00533926">
      <w:pPr>
        <w:spacing w:after="0" w:line="240" w:lineRule="auto"/>
        <w:ind w:right="20"/>
        <w:jc w:val="both"/>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ab/>
        <w:t>През 2024 г. Посолството подкрепи провеждането на 24-то издание на мултиетническия фестивал „Цветна планета“, като в неговите рамки се провежда и фестивал „Цветен регион“, посветен на официално признатите от Чешката държава общности, живеещи в областта Усти над Лабе.</w:t>
      </w:r>
    </w:p>
    <w:p w14:paraId="587AB6D2" w14:textId="77777777" w:rsidR="00533926" w:rsidRPr="00AA5833" w:rsidRDefault="00533926" w:rsidP="00533926">
      <w:pPr>
        <w:spacing w:after="0" w:line="240" w:lineRule="auto"/>
        <w:ind w:right="20"/>
        <w:jc w:val="both"/>
        <w:rPr>
          <w:rFonts w:ascii="Times New Roman" w:hAnsi="Times New Roman" w:cs="Times New Roman"/>
          <w:sz w:val="24"/>
          <w:szCs w:val="24"/>
        </w:rPr>
      </w:pPr>
      <w:r w:rsidRPr="00AA5833">
        <w:rPr>
          <w:rFonts w:ascii="Times New Roman" w:eastAsia="Calibri" w:hAnsi="Times New Roman" w:cs="Times New Roman"/>
          <w:sz w:val="24"/>
          <w:szCs w:val="24"/>
          <w:lang w:eastAsia="bg-BG"/>
        </w:rPr>
        <w:tab/>
        <w:t xml:space="preserve">Под патронажа на българския посланик Данчо Мичев и с подкрепата на местната управа през 2024 г. в Прага бе осъществен проектът „Българската следа в Прага – Будители”. В рамките на  проекта са поставяни информационни табла под табелите на улиците, носещи български имена в пражкия квартал „Модржани”. </w:t>
      </w:r>
    </w:p>
    <w:p w14:paraId="76C48B06" w14:textId="77777777" w:rsidR="00533926" w:rsidRPr="00AA5833" w:rsidRDefault="00533926" w:rsidP="00533926">
      <w:pPr>
        <w:shd w:val="clear" w:color="auto" w:fill="FFFFFF"/>
        <w:spacing w:after="0" w:line="240" w:lineRule="auto"/>
        <w:rPr>
          <w:rFonts w:ascii="Times New Roman" w:hAnsi="Times New Roman" w:cs="Times New Roman"/>
          <w:sz w:val="24"/>
          <w:szCs w:val="24"/>
        </w:rPr>
      </w:pPr>
      <w:r w:rsidRPr="00AA5833">
        <w:rPr>
          <w:rFonts w:ascii="Times New Roman" w:hAnsi="Times New Roman" w:cs="Times New Roman"/>
          <w:b/>
          <w:sz w:val="24"/>
          <w:szCs w:val="24"/>
        </w:rPr>
        <w:tab/>
        <w:t>Словакия</w:t>
      </w:r>
    </w:p>
    <w:p w14:paraId="6D16653B"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eastAsia="Calibri" w:hAnsi="Times New Roman" w:cs="Times New Roman"/>
          <w:sz w:val="24"/>
          <w:szCs w:val="24"/>
        </w:rPr>
        <w:tab/>
        <w:t xml:space="preserve">През 2024 г. бе подписана петгодишна Програма за сътрудничество  между Министерството на образованието и науката на Република България и Министерството на образованието, изследванията, развитието и младежта на Словашката република.  </w:t>
      </w:r>
      <w:r w:rsidRPr="00AA5833">
        <w:rPr>
          <w:rFonts w:ascii="Times New Roman" w:hAnsi="Times New Roman" w:cs="Times New Roman"/>
          <w:sz w:val="24"/>
          <w:szCs w:val="24"/>
        </w:rPr>
        <w:t xml:space="preserve">В съответствие с подписания документ, двете страни ще обменят ежегодно студенти, </w:t>
      </w:r>
      <w:r w:rsidRPr="00AA5833">
        <w:rPr>
          <w:rFonts w:ascii="Times New Roman" w:hAnsi="Times New Roman" w:cs="Times New Roman"/>
          <w:sz w:val="24"/>
          <w:szCs w:val="24"/>
        </w:rPr>
        <w:lastRenderedPageBreak/>
        <w:t>докторанти, изследователи и преподаватели, ще подкрепят преподаването на словашки език и литература и на български език и литература в своите висши учебни заведения.</w:t>
      </w:r>
    </w:p>
    <w:p w14:paraId="0F36729C" w14:textId="77777777" w:rsidR="00533926" w:rsidRPr="00AA5833" w:rsidRDefault="00533926" w:rsidP="00533926">
      <w:pPr>
        <w:shd w:val="clear" w:color="auto" w:fill="FFFFFF"/>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ab/>
        <w:t>Дания</w:t>
      </w:r>
    </w:p>
    <w:p w14:paraId="36D78CFC" w14:textId="77777777" w:rsidR="00533926" w:rsidRPr="00AA5833" w:rsidRDefault="00533926" w:rsidP="00533926">
      <w:pPr>
        <w:autoSpaceDN w:val="0"/>
        <w:spacing w:after="0" w:line="240" w:lineRule="auto"/>
        <w:jc w:val="both"/>
        <w:rPr>
          <w:rFonts w:ascii="Times New Roman" w:eastAsia="Calibri" w:hAnsi="Times New Roman" w:cs="Times New Roman"/>
          <w:bCs/>
          <w:iCs/>
          <w:sz w:val="24"/>
          <w:szCs w:val="24"/>
        </w:rPr>
      </w:pPr>
      <w:r w:rsidRPr="00AA5833">
        <w:rPr>
          <w:rFonts w:ascii="Times New Roman" w:eastAsia="Calibri" w:hAnsi="Times New Roman" w:cs="Times New Roman"/>
          <w:bCs/>
          <w:iCs/>
          <w:sz w:val="24"/>
          <w:szCs w:val="24"/>
        </w:rPr>
        <w:tab/>
        <w:t xml:space="preserve">Действащите на територията на Дания български училища са НПО-та с финансиране по програми на ЕС или на съответните датски общини. Нито от едно от тях не се финансира по програми от България поради целите на обучението и невъзможността да се покрият критериите по ПМС за неделните училища зад граница. В тази връзка, Посолството инициира среща между българската общност и представители на ИАБЧ. Акцентът на срещата беше предоставянето на информация на ръководителите и учителите относно конкретни възможности за кандидатстване по програми, напр. „Роден език и култура зад граница“ на МОН. Дипломатическата мисия се старае своевременно да информира чрез своите комуникационни канали представителите на българската диаспора относно различни национални програми, проекти и конкурси по линия на МОН, МК и ИАБЧ. За по-добра координация при провеждане на културни мероприятия, обмен на опит и информация, Посолството създаде група в WhatsApp, която включва всички представители на българските училища, дружества и фолклорни формации в Дания. Посолството силно подкрепя старанието и усърдието на училищата и организациите да съхраняват българските традиции и обичаи, поддържането на връзките с родината и популяризирането на българското културно наследство сред младото поколение. Мисията се включва активно в разпространяването на предстоящи културни и музикални събития, като оказва логистично съдействие на гостуващите български артисти и музиканти.  </w:t>
      </w:r>
    </w:p>
    <w:p w14:paraId="06486FE0" w14:textId="77777777" w:rsidR="00533926" w:rsidRPr="00AA5833" w:rsidRDefault="00533926" w:rsidP="00533926">
      <w:pPr>
        <w:shd w:val="clear" w:color="auto" w:fill="FFFFFF"/>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ab/>
        <w:t>Ирландия</w:t>
      </w:r>
    </w:p>
    <w:p w14:paraId="23F88D1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Работата с българската общност в Ирландия през 2024 г. продължи да се осъществява главно чрез Българския образователен и културен център в Ирландия (БОКЦИ), Българска асоциация за образование „Райна Княгиня“, дружество с нестопанска цел „Васил Левски“ от град Шанън и неделните български училища в Ирландия, които са пет /четири училища и един клон на училище/ - „Азбука” в Дъблин, „Райна Княгиня“ в Дъблин и Корк, „Васил Левски“ в Шанън, „Христо Ботев“ в Тюламор. Българският посланик и консулът участваха както в общите събрания и тези на родителите, така и в организираните от училищата тържества и празнични събития. Със съдействие и подкрепа от страна на посолството, лекторатът по български език, литература и култура към университета Тринити Колидж Дъблин (TCD), успешно продължи работата си и през учебната 2024/25 г.</w:t>
      </w:r>
    </w:p>
    <w:p w14:paraId="11486A7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През 2024 г. се реализира четвъртото издание на Наградата на посланика на Република България в Ирландия за ученици и студенти от българската общност в страната. Темата за 2024 г. беше „Бъди посланик на България – страната, която…“ – формат на конкурса беше есе или текст, придружен с визуална презентация. През отчетния период дипломатическата мисия организираше редовно културни събития по различни поводи, основната цел на които бе не само съхранение на българските културни и образователни традиции, но и популяризиране на българската култура и литературно творчество. Реализирани бяха множество събития с различни групи от общността, като водещото бе разбирането, че посолството и българите в Ирландия могат да бъдат партньори в организирането на голяма част от събитията. Голяма подкрепа в тази посока оказа дирекция СКПД в МВнР чрез програмата за публична, културна и дигитална дипломация и стратегически комуникации за 2024 г. По линия на тази програма бяха успешно реализирани четири големи проекта. Много добро съдействие през годината оказваше ИАБЧ и Културният институт към МВнР. Част от организираните мероприятия на посолството бяха лекции, изнесени от посланика на Република България в Ирландия по повод Международния ден за възпоменание на жертвите на Холокоста, дискусия по </w:t>
      </w:r>
      <w:r w:rsidRPr="00AA5833">
        <w:rPr>
          <w:rFonts w:ascii="Times New Roman" w:eastAsia="Times New Roman" w:hAnsi="Times New Roman" w:cs="Times New Roman"/>
          <w:bCs/>
          <w:sz w:val="24"/>
          <w:szCs w:val="24"/>
          <w:lang w:eastAsia="bg-BG"/>
        </w:rPr>
        <w:lastRenderedPageBreak/>
        <w:t xml:space="preserve">повод Международния ден, посветен на момичетата в областта на информационните и комуникационните технологии, концерти на български изпълнители, сред които квартет „Славей”, интерактивни музикални лекции на певиците Десислава Добрева и Десислава Христова, среща-разговор със световноизвестния български писател Георги Господинов, носител на множество награди, включително на Международен Букър за 2023 г., излъчване на документалния филми „105 минути София – историята на града” и среща със създателите му Камен Воденичаров и Георги Милков, представяне на инсталации на модерно изкуство на българските творци д-р Ники Колиър и Тодор Геров в рамките на Вечерта на културата и отворените врати в Дъблин през м. септември. През 2024 г. посолството оказа съдействие на ИАБЧ и две български училища в Ирландия от Дъблин, Корк и Шанън за подготовка и презентиране на първата двуезична българо-ирландска книга.  </w:t>
      </w:r>
    </w:p>
    <w:p w14:paraId="222A28C9"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За първи път бяха проведени консултации по трудово-социални въпроси за българите в Ирландия с активното съдействие на СТСВ към посолството в Лондон, акредитирана и за Ирландия. Работните посещения и срещите с ирландските партньори, както и с представители на Европейския орган по труда, значително подпомогна последващото обработване на исканията и разрешаването на сложни казуси, което подобри достъпа на българските граждани до техните права. Организирането на информационен ден за българските граждани бе високо оценено. Предоставена бе и информация за кариерни възможности при тяхно завръщане в България.  </w:t>
      </w:r>
    </w:p>
    <w:p w14:paraId="466B65A9" w14:textId="77777777" w:rsidR="00533926" w:rsidRPr="00AA5833" w:rsidRDefault="00533926" w:rsidP="00533926">
      <w:pPr>
        <w:shd w:val="clear" w:color="auto" w:fill="FFFFFF"/>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ab/>
        <w:t>Полша</w:t>
      </w:r>
    </w:p>
    <w:p w14:paraId="2127D88B" w14:textId="77777777" w:rsidR="00533926" w:rsidRPr="00AA5833" w:rsidRDefault="00533926" w:rsidP="00533926">
      <w:pPr>
        <w:spacing w:after="0" w:line="240" w:lineRule="auto"/>
        <w:contextualSpacing/>
        <w:jc w:val="both"/>
        <w:rPr>
          <w:rFonts w:ascii="Times New Roman" w:eastAsia="Times New Roman" w:hAnsi="Times New Roman" w:cs="Times New Roman"/>
          <w:color w:val="000000" w:themeColor="text1"/>
          <w:sz w:val="24"/>
          <w:szCs w:val="24"/>
          <w:lang w:eastAsia="bg-BG"/>
        </w:rPr>
      </w:pPr>
      <w:r w:rsidRPr="00AA5833">
        <w:rPr>
          <w:rFonts w:ascii="Times New Roman" w:eastAsia="Calibri" w:hAnsi="Times New Roman" w:cs="Times New Roman"/>
          <w:sz w:val="24"/>
          <w:szCs w:val="24"/>
        </w:rPr>
        <w:tab/>
        <w:t xml:space="preserve">Посолството поддържа активни контакти, подкрепя инициативи на българската общност. Във фокуса на този аспект от дейността на посолството е съдействието и последователната подкрепа за неделното училище „Дора Габе“ във Варшава и филиала му в Краков /осигурени бяха от посолството и дарени на училището в двата града компютърни конфигурации през 2024 г.; предоставени бяха книги и учебни помагала за училището, а за учениците – провеждането на традиционния  конкурс за творби на тема, свързана с България с награда от посланика на Република България в Полша; включването им за участие в честванията на Националния празник, на 24 май и др. </w:t>
      </w:r>
      <w:r w:rsidRPr="00AA5833">
        <w:rPr>
          <w:rFonts w:ascii="Times New Roman" w:eastAsia="Times New Roman" w:hAnsi="Times New Roman" w:cs="Times New Roman"/>
          <w:color w:val="000000" w:themeColor="text1"/>
          <w:sz w:val="24"/>
          <w:szCs w:val="24"/>
          <w:lang w:eastAsia="bg-BG"/>
        </w:rPr>
        <w:t xml:space="preserve">Контактите на Посолството с българската общност бяха осъществявани предимно в населените места с компактна маса българи и функциониращи дружества. В Полша са регистрирани: дружеството „Христо Ботев” – Варшава, дружество към неделното училище „Дора Габе“ във Варшава и в Краков, както и дружествата „Приятели на България“ и „Св.св. Кирил и Методий“ във Вроцлав. Отчитайки новите реалности, следва да се отбележи, че по-младите представители на българската общност са активни предимно в социалните мрежи, където създават групи по градове, комуникират посредством тях и нерядко провеждат срещи на живо по различни поводи и празници. В най-популярната платформа Фейсбук съществуват групи на българите в Полша, във Варшава – 2 групи, Краков и Вроцлав. </w:t>
      </w:r>
    </w:p>
    <w:p w14:paraId="10AAFF4D" w14:textId="77777777" w:rsidR="00533926" w:rsidRPr="00AA5833" w:rsidRDefault="00533926" w:rsidP="00533926">
      <w:pPr>
        <w:spacing w:after="0" w:line="240" w:lineRule="auto"/>
        <w:jc w:val="both"/>
        <w:rPr>
          <w:rFonts w:ascii="Times New Roman" w:eastAsia="Times New Roman" w:hAnsi="Times New Roman" w:cs="Times New Roman"/>
          <w:color w:val="000000" w:themeColor="text1"/>
          <w:sz w:val="24"/>
          <w:szCs w:val="24"/>
          <w:lang w:eastAsia="bg-BG"/>
        </w:rPr>
      </w:pPr>
      <w:r w:rsidRPr="00AA5833">
        <w:rPr>
          <w:rFonts w:ascii="Times New Roman" w:eastAsia="Times New Roman" w:hAnsi="Times New Roman" w:cs="Times New Roman"/>
          <w:color w:val="000000" w:themeColor="text1"/>
          <w:sz w:val="24"/>
          <w:szCs w:val="24"/>
          <w:lang w:eastAsia="bg-BG"/>
        </w:rPr>
        <w:tab/>
        <w:t>Посолството участва редовно в проявите, организирани или провеждани с участието на двата танцови ансамбъла, функциониращи на територията на Полша: „Иглика“ – Краков (с над 80-членен състав от три генерации полски граждани) и „Булгарика“</w:t>
      </w:r>
      <w:r w:rsidRPr="00AA5833">
        <w:rPr>
          <w:rFonts w:ascii="Times New Roman" w:eastAsia="Times New Roman" w:hAnsi="Times New Roman" w:cs="Times New Roman"/>
          <w:b/>
          <w:color w:val="000000" w:themeColor="text1"/>
          <w:sz w:val="24"/>
          <w:szCs w:val="24"/>
          <w:lang w:eastAsia="bg-BG"/>
        </w:rPr>
        <w:t xml:space="preserve"> –</w:t>
      </w:r>
      <w:r w:rsidRPr="00AA5833">
        <w:rPr>
          <w:rFonts w:ascii="Times New Roman" w:eastAsia="Times New Roman" w:hAnsi="Times New Roman" w:cs="Times New Roman"/>
          <w:color w:val="000000" w:themeColor="text1"/>
          <w:sz w:val="24"/>
          <w:szCs w:val="24"/>
          <w:lang w:eastAsia="bg-BG"/>
        </w:rPr>
        <w:t xml:space="preserve"> Варшава. Също така тези групи се канят в организираните от посолството, БКИ и Националното туристическо представителство във Варшава за участие в различни прояви, като например: Коледния благотворителен базар на дипломатическите представителства – Варшава; туристически и др. представяния на България в Полша. </w:t>
      </w:r>
      <w:r w:rsidRPr="00AA5833">
        <w:rPr>
          <w:rFonts w:ascii="Times New Roman" w:eastAsia="Calibri" w:hAnsi="Times New Roman" w:cs="Times New Roman"/>
          <w:color w:val="000000" w:themeColor="text1"/>
          <w:sz w:val="24"/>
          <w:szCs w:val="24"/>
        </w:rPr>
        <w:t>Връзката на Посолството с българските общности на територията на Полша е поддържана и в рамките на организирани от Посолството и Българския културен институт събития, които се радват на значителен успех и посещаемост.</w:t>
      </w:r>
    </w:p>
    <w:p w14:paraId="0B10E64C" w14:textId="77777777" w:rsidR="00533926" w:rsidRPr="00AA5833" w:rsidRDefault="00533926" w:rsidP="00533926">
      <w:pPr>
        <w:shd w:val="clear" w:color="auto" w:fill="FFFFFF"/>
        <w:spacing w:after="0" w:line="240" w:lineRule="auto"/>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ab/>
        <w:t>Португалия</w:t>
      </w:r>
    </w:p>
    <w:p w14:paraId="225FA35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ab/>
        <w:t>През 2024 г. Посолството продължи активно да подпомага Португалско-българската асоциация „Св. св. Кирил и Методий“ и ръководеното от нея неделно училище, вкл. предоставяйки за безвъзмездно ползване помещение в посолския комплекс за провеждане на учебните занятия и извънкласните дейности. Представители на мисията редовно присъстваха на организираните от неделното училище тържества. Продължена бе практиката отбелязването на Деня на светите братя Кирил и Методий, на българската азбука, просвета и култура и славянската книжовност да бъде съвместно организирано с Португалско-българската асоциация и отворено за всички представители на българската общност в Португалия. През отчетната година Посолството оказа ценно съдействие за подготовката и успешното реализиране на участието на вицепрезидента Илияна Йотова в инициирания от Португалско-българската асоциация „Св. Св. Кирил и Методий“ и Министерството на образованието и науката форум „Иновативни методи и материали за преподаване на история и география на България“ (Лисабон, 13-15 март 2024 г.). Проявата, под патронажа на вицепрезидента, събра учители от български неделни училища от 15 държави. Същевременно, през годината бе поставен акцент и върху инициативи с фокус върху засилване на информираността и укрепване на връзките и сплотяване на българската общност в Португалия. През отчетната година Посолството създаде свой профил във „Фейсбук“, който бързо се утвърди като ефективен канал за диалог с представителите на българската общност, осигуряващ редовна информация за културни събития с българска тематика или изяви на български творци в Португалия. Израз на стремежа на Посолството за предоставянето на практически консултации по важни за общността въпроси бе проведената на 15 юни 2024 г. първа информационна среща по трудови и социални въпроси за българската общност с участието на представители на Министерството на труда и социалната политика и Националния осигурителен институт.</w:t>
      </w:r>
    </w:p>
    <w:p w14:paraId="4A0AF1A3"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eastAsia="Times New Roman" w:hAnsi="Times New Roman" w:cs="Times New Roman"/>
          <w:b/>
          <w:sz w:val="24"/>
          <w:szCs w:val="24"/>
          <w:lang w:eastAsia="bg-BG"/>
        </w:rPr>
        <w:tab/>
      </w:r>
      <w:r w:rsidRPr="00AA5833">
        <w:rPr>
          <w:rFonts w:ascii="Times New Roman" w:hAnsi="Times New Roman" w:cs="Times New Roman"/>
          <w:b/>
          <w:sz w:val="24"/>
          <w:szCs w:val="24"/>
        </w:rPr>
        <w:t xml:space="preserve">Испания </w:t>
      </w:r>
    </w:p>
    <w:p w14:paraId="20E4E5AA" w14:textId="77777777" w:rsidR="00533926" w:rsidRPr="00AA5833" w:rsidRDefault="00533926" w:rsidP="00533926">
      <w:pPr>
        <w:spacing w:after="0" w:line="240" w:lineRule="auto"/>
        <w:jc w:val="both"/>
        <w:rPr>
          <w:rFonts w:ascii="Times New Roman" w:hAnsi="Times New Roman" w:cs="Times New Roman"/>
          <w:b/>
          <w:color w:val="000000" w:themeColor="text1"/>
          <w:sz w:val="24"/>
          <w:szCs w:val="24"/>
        </w:rPr>
      </w:pPr>
      <w:r w:rsidRPr="00AA5833">
        <w:rPr>
          <w:rFonts w:ascii="Times New Roman" w:hAnsi="Times New Roman" w:cs="Times New Roman"/>
          <w:b/>
          <w:color w:val="000000" w:themeColor="text1"/>
          <w:sz w:val="24"/>
          <w:szCs w:val="24"/>
        </w:rPr>
        <w:tab/>
        <w:t>Посолство на Република България в Мадрид:</w:t>
      </w:r>
    </w:p>
    <w:p w14:paraId="084B705F"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ab/>
        <w:t>През изминалата година броят на Българските неделни училища в Испания продължи да бъде най-високият в ЕС. Работата с българската общност зае централно място сред дейностите на посолството. Бяха организирани различни чествания и фолклорни фестивали, които посолството подкрепи по съответния начин. Посолството оказваше съдействие на българските граждани и фирми, както и на граждани и предприятия от Испания. Общо постъпилите сигнали по трудови и социални въпроси от нашите сънародници през 2024 г. са 723 (при 536 през 2023 г.). Бяха проведени 4 информационно-консултативни дни на територията на Испания, по време на които българските граждани бяха запознати с нормативното законодателство по отношение на видовете пенсии, обезщетения, болнични, здравноосигурителни права в Република България и в Кралство Испания, в  т.ч. по Европейските регламенти за координация на системите за социална сигурност.</w:t>
      </w:r>
    </w:p>
    <w:p w14:paraId="5122962C" w14:textId="77777777" w:rsidR="00533926" w:rsidRPr="00AA5833" w:rsidRDefault="00533926" w:rsidP="00533926">
      <w:pPr>
        <w:spacing w:after="0" w:line="240" w:lineRule="auto"/>
        <w:jc w:val="both"/>
        <w:rPr>
          <w:rFonts w:ascii="Times New Roman" w:hAnsi="Times New Roman" w:cs="Times New Roman"/>
          <w:iCs/>
          <w:color w:val="000000" w:themeColor="text1"/>
          <w:sz w:val="24"/>
          <w:szCs w:val="24"/>
        </w:rPr>
      </w:pPr>
      <w:r w:rsidRPr="00AA5833">
        <w:rPr>
          <w:rFonts w:ascii="Times New Roman" w:hAnsi="Times New Roman" w:cs="Times New Roman"/>
          <w:iCs/>
          <w:color w:val="000000" w:themeColor="text1"/>
          <w:sz w:val="24"/>
          <w:szCs w:val="24"/>
        </w:rPr>
        <w:tab/>
        <w:t>В дейността на Консулската служба (КС) през 2024 г. се наблюдаваше тенденция към нарастване на броя на българските граждани без средства за прибиране в родината,  както и на голям брой български граждани (пълнолетни и непълнолетни) в испански болници и приюти, като много от тях често бяха без лични документи, без средства, без семейна подкрепа и др. И през 2024 г. продължиха проблемите с български деца, намиращи се в испански социални служби и домове. КС-Мадрид оказа многократно съдействие за преминаването на български кораби и самолети през испански териториални води и въздушното пространство на страната. Показателен в това отношение е случаят с българския изследователски кораб „Св. Св. Кирил и Методий“, който имаше някои логистични проблеми, свързани с акостирането му в испанско пристанище.</w:t>
      </w:r>
    </w:p>
    <w:p w14:paraId="36E7EF86"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lastRenderedPageBreak/>
        <w:tab/>
        <w:t>За първи път на територията на Испания, по инициатива на български граждани в гр. Малага бе открит паметник на светите братя Кирил и Методий. Събитието получи широк отзвук сред българските общности по цял свят, като в него взеха участие посланикът и изпълнителният директор на ИАБЧ.</w:t>
      </w:r>
    </w:p>
    <w:p w14:paraId="7ADCC3D7" w14:textId="77777777" w:rsidR="00533926" w:rsidRPr="00AA5833" w:rsidRDefault="00533926" w:rsidP="00533926">
      <w:pPr>
        <w:spacing w:after="0" w:line="240" w:lineRule="auto"/>
        <w:jc w:val="both"/>
        <w:rPr>
          <w:rFonts w:ascii="Times New Roman" w:hAnsi="Times New Roman" w:cs="Times New Roman"/>
          <w:b/>
          <w:color w:val="000000" w:themeColor="text1"/>
          <w:sz w:val="24"/>
          <w:szCs w:val="24"/>
        </w:rPr>
      </w:pPr>
      <w:r w:rsidRPr="00AA5833">
        <w:rPr>
          <w:rFonts w:ascii="Times New Roman" w:hAnsi="Times New Roman" w:cs="Times New Roman"/>
          <w:b/>
          <w:color w:val="000000" w:themeColor="text1"/>
          <w:sz w:val="24"/>
          <w:szCs w:val="24"/>
        </w:rPr>
        <w:tab/>
        <w:t>Генерално консулство на Република България в Барселона:</w:t>
      </w:r>
    </w:p>
    <w:p w14:paraId="0251F8FC"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ab/>
        <w:t xml:space="preserve">На територията на консулския окръг на ГК-Барселона (Автономна област Каталуня и Автономна област Арагон, Кралство Испания) функционират общо 6 български асоциации. Към тях дейност развиват 5 български неделни училища и 5 фолклорни състава. В гр. Барселона функционира и основаният от писателя Красимир Дамянов български център за култура „АртХост“. Генералното консулство на Република България в Барселона реализира проект за детско авторско видео „България през моите очи“, осъществен в рамките на План-програмата с дейности на МВнР и на българските дипломатически и консулски представителства в чужбина в областта на публичната, културната и дигиталната дипломация и стратегическите комуникации за 2024 г. В инициативата се включиха множество българчета, живеещи в Испания, които представиха страната ни със свои авторски видеа в социалните мрежи. </w:t>
      </w:r>
    </w:p>
    <w:p w14:paraId="1DC981FD"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ab/>
        <w:t>С цел представяне на българската култура, през м. март 2024 г. ГК-Барселона организира изложба на българските артисти Вежди Рашидов и Захари Каменов, която беше посетена от значителен брой български граждани. През м. септември 2024 г. Генералното консулство, съвместно с Университета по библиотекознание и информационни технологии, представи изложба по повод 200 години от написването на „Рибния буквар“, която предизвика значителен интерес сред българската общност. По повод Деня на съединението – 6 септември, ГК-Барселона организира среща на българите в Каталуня и Арагон с вицепрезидента г-жа Илияна Йотова. В рамките на м. октомври Генералното консулство подпомогна провеждането на ежегодния български фолклорен фестивал „България днес и завинаги“, на който присъстваха над 400 наши сънародници. Съгласно приоритетите, залегнали в Плана за 2024 г., ГК-Барселона активно си сътрудничи с българската общност по места за провеждане на изборите за народни представители (9 юни и 27 октомври 2024 г.) и членове на Европейския парламент от Република България (27 октомври 2024 г.), което даде възможност на сънародниците ни да упражнят правото си на глас. Генералното консулство счита, че добър начин за насърчаване на млади българи да се завърнат в България е популяризирането на възможностите за придобиване на висше образование у нас. Възможна дейност по това направление е реализирането от страна на МОН, чрез дипломатическите и консулски представителства, както и чрез българските асоциации и неделни училища, на кампания, чрез която да бъдат представени възможностите за записване в български ВУЗ на деца, български граждани, завършили средното си образование в чужбина, както и презентирането на България като привлекателна дестинация за висше образование. Подобна мярка би спомогнала и за реализацията на тези млади българи на българския трудов пазар.</w:t>
      </w:r>
    </w:p>
    <w:p w14:paraId="568C815B"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b/>
          <w:color w:val="000000" w:themeColor="text1"/>
          <w:sz w:val="24"/>
          <w:szCs w:val="24"/>
        </w:rPr>
        <w:tab/>
        <w:t>Генерално консулство във Валенсия</w:t>
      </w:r>
      <w:r w:rsidRPr="00AA5833">
        <w:rPr>
          <w:rFonts w:ascii="Times New Roman" w:hAnsi="Times New Roman" w:cs="Times New Roman"/>
          <w:color w:val="000000" w:themeColor="text1"/>
          <w:sz w:val="24"/>
          <w:szCs w:val="24"/>
        </w:rPr>
        <w:t>:</w:t>
      </w:r>
    </w:p>
    <w:p w14:paraId="674B649C" w14:textId="77777777" w:rsidR="00533926" w:rsidRPr="00AA5833" w:rsidRDefault="00533926" w:rsidP="00533926">
      <w:pPr>
        <w:spacing w:after="0" w:line="240" w:lineRule="auto"/>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ab/>
        <w:t>Дейностите и специални мерки, насочени към етническите българи, живеещи в рамките на консулския окръг на ГК-Валенсия са насочени към решаването на проблемите и съдбите на отнетите към момента 46 български деца от семействата им, съгласно резолюции на местната Агенция за закрила на детето и социалните служби и връщането им в България, както и използването на кампании, които да информират родителите и да ги запознават с правната рамка и стандартите за грижа за децата в държавата, в която пребивават, както и с възможностите за съдействие от страна на българските власти при възникване на случаи, при които гражданите влизат в отношение със социалните органи на съответната държава.</w:t>
      </w:r>
    </w:p>
    <w:p w14:paraId="525FABBB"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lastRenderedPageBreak/>
        <w:tab/>
        <w:t>Италия</w:t>
      </w:r>
    </w:p>
    <w:p w14:paraId="3B4C16D3"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Посолство - Рим</w:t>
      </w:r>
    </w:p>
    <w:p w14:paraId="71147A16" w14:textId="77777777" w:rsidR="00533926" w:rsidRPr="00AA5833" w:rsidRDefault="00533926" w:rsidP="00533926">
      <w:pPr>
        <w:tabs>
          <w:tab w:val="left" w:pos="0"/>
        </w:tabs>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Дейностите бяха насочени към подпомагане на образователната и културната дейност на асоциации и организации, както и на български творци, живеещи в Италия. Посолството поддържа много добро сътрудничество с организациите на българи на територията на Италия и действащите към тях български неделни училища. Подпомага асоциациите, вкл. чрез разпространяване на различни техни информационни материали и културни инициативи, които се провеждат под патронажа на посолството. Множество прояви на българските сдружения се провеждат в салоните и със съдействието на посолството. Представители на българската общност са редовно канени на различни културни прояви като ежегодния фестивал на българското кино, изложби, представяния на книги на български автори, театрални постановки на гостуващи български актьори, концерти на танцови ансамбли и др. Посолството подкрепя и подпомага културни инициативи на български художници, които живеят и творят в Италия. </w:t>
      </w:r>
    </w:p>
    <w:p w14:paraId="399C8B3D"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 xml:space="preserve">Генерално консулство в Милано: </w:t>
      </w:r>
    </w:p>
    <w:p w14:paraId="459676B5" w14:textId="77777777" w:rsidR="00533926" w:rsidRPr="00AA5833" w:rsidRDefault="00533926" w:rsidP="00533926">
      <w:pPr>
        <w:tabs>
          <w:tab w:val="left" w:pos="0"/>
        </w:tabs>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Дейността на Консулството през 2024 г. беше богата на културни инициативи и включваше организиране, участие и предоставяне на патронаж за културни събития, чествания на български празници, организиране на срещи, дискусии и изложби, насочени към укрепване на връзката на сънародниците ни с българската история, език и традиции. Особено внимание беше отделено на включването на младите хора, студентите и децата в процеса на съхранение на националната идентичност. Генералното консулство в Милано съвместно с българската общност организира и участва в редица културни събития, сред които се открояват Шествието на буквите на площад Дуомо по повод отбелязването на Деня на Светите братя Кирил и Методий, на българската азбука, просвета и култура и на славянската книжовност; тържествено отбелязване на годишнини на Васил Левски, Пейо Яворов, Пенчо Славейков; филмови прожекции, театрални спектакли; честване на Деня на народните будители, както и коледен концерт със широк отзвук сред българската диаспора. През 2024 г. българските творци художникът Алцек Мишев и художникът-иконописец Емил Цеински по инициатива на генералния консул Ана Паскалева бяха удостоени с почетни грамоти на министъра на външните работи на Република България, г-н Иван Кондов, за цялостно творчество и изключителен принос за утвърждаването на българската култура в Италия. Генералното консулство отбелязва като конкретно затруднение липсата на целево финансиране за културни инициативи, което значително ограничава възможностите за по-широко и устойчиво организиране на събития, насочени към съхраняването на националната идентичност. В тази връзка, предлага да се разгледа възможността за целево отпускане на допълнителни финансови средства, предназначени за подкрепа на културни прояви с дългосрочен обществен ефект.</w:t>
      </w:r>
    </w:p>
    <w:p w14:paraId="3854C589"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Норвегия</w:t>
      </w:r>
    </w:p>
    <w:p w14:paraId="272AF30F"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b/>
          <w:sz w:val="24"/>
          <w:szCs w:val="24"/>
        </w:rPr>
        <w:tab/>
      </w:r>
      <w:r w:rsidRPr="00AA5833">
        <w:rPr>
          <w:rFonts w:ascii="Times New Roman" w:eastAsia="Calibri" w:hAnsi="Times New Roman" w:cs="Times New Roman"/>
          <w:sz w:val="24"/>
          <w:szCs w:val="24"/>
        </w:rPr>
        <w:t>В Кралство Норвегия са регистрирани 7 организации на българската общност. Четири от тях са в Осло</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 xml:space="preserve"> Българо-норвежко дружество за приятелство, Българска православна църковна община „Св. св. Кирил и Методий”, българско неделно училище „Родна реч”, български самодеен танцов състав „И-ха“. Също така в Ставангер е регистрирано  Българско културно дружество в област Руголанд и Българо-норвежко дружество „Дан Колов“, а в Трондхайм – Българско дружество в Трьонделаг. Посолството поддържа регулярна връзка с ръководството на българските организации с мисията да съдейства за съхранение на националния дух, културата и традициите сред българската общност в Норвегия. Включително, за периода 2024 г. до момента: бе организирана работна среща с ръководствата на българските организации в резиденцията на българския посланик с цел стиковане на програмите и набелязване на </w:t>
      </w:r>
      <w:r w:rsidRPr="00AA5833">
        <w:rPr>
          <w:rFonts w:ascii="Times New Roman" w:eastAsia="Calibri" w:hAnsi="Times New Roman" w:cs="Times New Roman"/>
          <w:sz w:val="24"/>
          <w:szCs w:val="24"/>
        </w:rPr>
        <w:lastRenderedPageBreak/>
        <w:t>общи инициативи, посланик Десислава Иванова проведе няколко срещи с представители на българската общност в Ставангер и Трондхайм за подпомагане на дейността им и др. Посолството подкрепи участието на</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Българо-норвежкото дружество в Трьонделаг</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в традиционния в град Трондхайм Фестивал на езиците и култура, като за целта изпрати рекламни брошури за забележителностите на България и възможностите на българския туризъм, както и сувенири с логото на България. Съвместно с българското дружество в Трондхайм през есента на 2025 г. е планирана да бъде показана изложбата на ДКИ „България и мозайките“, популяризираща богатото културно-историческо наследство на страната ни. Същата изложба бе показана за първи път в чужбина от Посолство-Осло в град Ставангер през май 2024 г., като привлече вниманието на българската общност в региона и културния елит на норвежкия град.</w:t>
      </w:r>
    </w:p>
    <w:p w14:paraId="35BB5B92"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БНУ в Осло продължава да използва предоставения му през 2024 г. втори апартамент</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в жилищния блок на Посолството с цел подпомагане разширяването на училищната база и нови възможности за привличане на повече български деца в училището. През учебната 2024/2025 г. в БНУ „Родна реч“ в Осло са записани повече от 100 български деца, като за първи път има два първи класа. Посолството се включи във всички мероприятия на училището в Осло, включително на 24 май 2025 г. по инициатива на българския посланик след края на тържеството на БНУ под звуците на „Върви, народе възродени“, всички деца, родители и гости излязоха в двора на жилищния комплекс на Посолството с плакат на светите братя и с венец от цветя. Те бяха поставени под експонирания по-рано от Посолството за трайно ползване постер на БТА с кирилските букви. Посланик Десислава Иванова два пъти посети филиала на БНУ в Ставангер,</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като  на коледното му тържество за децата от посолството бяха предоставени дребни подаръци – сувенири с българското лого, за отличното им демонстриране на българските традиции и култура по време на тържеството.</w:t>
      </w:r>
    </w:p>
    <w:p w14:paraId="6FB4B0B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Освен за работата с БНУ в Осло и Ставангер, през 2024 г. бяха реализирани още следните, поддържащи българския дух и инициативи, прояви: 15 доброволци от българската общност подпомогнаха посолството в организирането на традиционния прием за Националния празник на България на 1 март 2024 г. Културната програма на приема включваше изпълнения на пианиста Кирил Кутин, танцовия ансамбъл „И-ха“ и цигуларя Владимир Стоянов. За Баба Марта в Посолството заедно с БНУ бе организирана работилница за мартеници.</w:t>
      </w:r>
    </w:p>
    <w:p w14:paraId="01EBB9DE" w14:textId="77777777" w:rsidR="00533926" w:rsidRPr="00AA5833" w:rsidRDefault="00533926" w:rsidP="00533926">
      <w:pPr>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ab/>
        <w:t xml:space="preserve">Франция </w:t>
      </w:r>
    </w:p>
    <w:p w14:paraId="4B46306C"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Основен приоритет в работата на Посолството на България във Франция е поддържането на устойчив контакт и развитието на открит диалог и сътрудничество с българската общност във Франция. Това взаимодействие се изгражда както в индивидуални контакти, така и чрез подкрепа на дейността на българските и на смесените българо-френски културни, научни, информационни и благотворителни сдружения с оглед съхраняване на българските култура, дух, ценности и език, както и предаването им на младото поколение. Формите на сдружаване и активност на българските общности във Франция са различни и многобройни: културно-просветни асоциации, български православна църковни общини и български  неделни училища. </w:t>
      </w:r>
    </w:p>
    <w:p w14:paraId="5EBC709B"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Посолството има за цел да достига до максимален брой българи във Франция и да осигурява възможно най-широк достъп до консулска услуга. Организират се протоколни събития и културни прояви, вкл. такива специално насочени  към различни целеви групи: ученици и студенти, бизнес и браншови организации, интелектуалци и културни дейци, широка общественост. Посолството предоставя информация за своята дейност на сайта, Фейсбук страницата, по електронна поща и телефон.</w:t>
      </w:r>
    </w:p>
    <w:p w14:paraId="7E38E530"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ab/>
        <w:t xml:space="preserve">Генерално консулство на Република България в Лион </w:t>
      </w:r>
    </w:p>
    <w:p w14:paraId="67BD5E71" w14:textId="77777777" w:rsidR="00533926" w:rsidRPr="00AA5833" w:rsidRDefault="00533926" w:rsidP="00533926">
      <w:pPr>
        <w:spacing w:after="0" w:line="240" w:lineRule="auto"/>
        <w:jc w:val="both"/>
        <w:rPr>
          <w:rFonts w:ascii="Times New Roman" w:eastAsia="Calibri" w:hAnsi="Times New Roman" w:cs="Times New Roman"/>
          <w:sz w:val="24"/>
          <w:szCs w:val="24"/>
        </w:rPr>
      </w:pPr>
      <w:bookmarkStart w:id="7" w:name="_Hlk200447722"/>
      <w:r w:rsidRPr="00AA5833">
        <w:rPr>
          <w:rFonts w:ascii="Times New Roman" w:eastAsia="Calibri" w:hAnsi="Times New Roman" w:cs="Times New Roman"/>
          <w:bCs/>
          <w:sz w:val="24"/>
          <w:szCs w:val="24"/>
        </w:rPr>
        <w:lastRenderedPageBreak/>
        <w:tab/>
        <w:t>Генералното консулство на Република България в гр. Лион, Френска република</w:t>
      </w:r>
      <w:bookmarkEnd w:id="7"/>
      <w:r w:rsidRPr="00AA5833">
        <w:rPr>
          <w:rFonts w:ascii="Times New Roman" w:eastAsia="Calibri" w:hAnsi="Times New Roman" w:cs="Times New Roman"/>
          <w:bCs/>
          <w:sz w:val="24"/>
          <w:szCs w:val="24"/>
        </w:rPr>
        <w:t xml:space="preserve">, бе създадено през лятото на 2024 г. и започна работа на 2 септември 2024 г. </w:t>
      </w:r>
      <w:r w:rsidRPr="00AA5833">
        <w:rPr>
          <w:rFonts w:ascii="Times New Roman" w:eastAsia="Calibri" w:hAnsi="Times New Roman" w:cs="Times New Roman"/>
          <w:sz w:val="24"/>
          <w:szCs w:val="24"/>
        </w:rPr>
        <w:t>Консулската служба активно взаимодейства със социални и здрави учреждения във Франция и съдейства за снабдяване на настанени в тях български граждани с документи за гражданското им състояние, с оглед регламентиране на техния статут и получаване на права съгласно френската здравно-осигурителна и социална система. През 2024 г. Консулската служба оказваше съдействие на български граждани на територията на Франция, включително в почивни и празнични дни – за издаване на документи за самоличност, за установяване на контакт със семействата им, за установяване на контакт с болнични заведения, социални и здравни институции във Франция и в България. В посочения период ГК-Лион установи активни контакти с организациите, представляващи българските граждани, живеещи на територията на консулския окръг, сред които регистрираната по местното право Асоциация с идеална цел „Culture et langue bulgares – patrimoine d’Europe“, която ръководи българското неделно училище „Иван Вазов” в гр. Лион. Освен ръководството и управлението на българското училище в Лион, Асоциацията си поставя за цел да разпространява и популяризира българската култура и традиции във Франция. През декември 2024 г. ГК-Лион бе домакин на коледна работилница, в която български деца с много усърдие и вдъхновение твориха коледни картички. Поддържат се активни контакти с ръководството на танцовата формация „От извора“, създадена през 2011 г. в Лион и имаща за цел популяризиране и разпространение на българските народни песни, танци, обичаи и народно творчество. Формацията има многобройни участия на международната сцена и участва в множество културни мероприятия с други танцови състави, концерти, празници на музиката, спектакли и фестивали. Формацията е инициатор на събора „На Мегдана на Другата България”, събитие, което през годините се превърна в най-очакваното място за среща на българските фолклорни състави в чужбина. Основният фокус в работата с българската общност беше именно съдействие при подготовката и провеждането на десетата годишнина на събора на българите в чужбина, в периода от 6 до 8 юни 2025 г., с над 4000 участници от български фолклорни състави от целия свят.</w:t>
      </w:r>
    </w:p>
    <w:p w14:paraId="66DD0691"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Финландия</w:t>
      </w:r>
    </w:p>
    <w:p w14:paraId="4851C9A2"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Наред с работата с Българското неделно училище „АБВ“ във Финландия, през 2024 г. посолството в Хелзинки положи конкретни усилия за осъществяване на съдействие за реализацията във финландската столица на голям творчески проект на интердисциплинарен артист от български произход. Същата е бесарабска българска от Одеска област, която живее и твори в Украйна, Рим, Ню Йорк и Лондон. Идеята беше изцяло на българското посолство, като с оглед предмета на творческия проект и за постигане на повече видимост, вкл. в контекста на войната в Украйна, целта включваше съвместна организация по нейното реализиране с посолството на Украйна във Финландия. Въпреки положените от нас усилия и с ясното виждане, че по обективни причини подобно начинание изисква дълъг времеви хоризонт, стъпките в тази посока останаха на етап текущо взаимодействие с украинското посолство. Беше инициирана идеята за посещение във Финландия на г-жа Райна Манджукова, изпълнителен директор на ИАБЧ. Същата бе реализирана с посещението на г-жа Манджукова във връзка с отбелязването на празника 24 май в посолството през настоящата 2025 г., в рамките на което бяха проведени нейни срещи с представители на Дружество на българите „Клуб България“ и Финландско-българското дружество за приятелство, както и с членове на Управителния съвет и учители от Българското неделно училище „АБВ”. </w:t>
      </w:r>
    </w:p>
    <w:p w14:paraId="04B12758"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Швеция</w:t>
      </w:r>
    </w:p>
    <w:p w14:paraId="1B3F0621" w14:textId="77777777" w:rsidR="00533926" w:rsidRPr="00AA5833" w:rsidRDefault="00533926" w:rsidP="00533926">
      <w:pPr>
        <w:spacing w:after="0" w:line="240" w:lineRule="auto"/>
        <w:jc w:val="both"/>
        <w:rPr>
          <w:rFonts w:ascii="Times New Roman" w:hAnsi="Times New Roman" w:cs="Times New Roman"/>
          <w:iCs/>
          <w:color w:val="000000"/>
          <w:sz w:val="24"/>
          <w:szCs w:val="24"/>
        </w:rPr>
      </w:pPr>
      <w:r w:rsidRPr="00AA5833">
        <w:rPr>
          <w:rFonts w:ascii="Times New Roman" w:hAnsi="Times New Roman" w:cs="Times New Roman"/>
          <w:iCs/>
          <w:color w:val="000000"/>
          <w:sz w:val="24"/>
          <w:szCs w:val="24"/>
        </w:rPr>
        <w:tab/>
        <w:t xml:space="preserve">Българското посолство в Швеция продължава да играе водеща роля в съхраняването и утвърждаването на българската културна и национална идентичност </w:t>
      </w:r>
      <w:r w:rsidRPr="00AA5833">
        <w:rPr>
          <w:rFonts w:ascii="Times New Roman" w:hAnsi="Times New Roman" w:cs="Times New Roman"/>
          <w:iCs/>
          <w:color w:val="000000"/>
          <w:sz w:val="24"/>
          <w:szCs w:val="24"/>
        </w:rPr>
        <w:lastRenderedPageBreak/>
        <w:t xml:space="preserve">сред сънародниците ни в страната. Българското посолство в Швеция е активен партньор, застъпник и културен мост за българската общност. Чрез своята последователна подкрепа, то допринася съществено за утвърждаването на българското присъствие в Швеция, укрепването на националната идентичност и разширяването на културните връзки между двете държави. Значим е приносът на мисията към развитието на образователните и културни инициативи на българската диаспора в цяла Швеция. </w:t>
      </w:r>
      <w:r w:rsidRPr="00AA5833">
        <w:rPr>
          <w:rFonts w:ascii="Times New Roman" w:hAnsi="Times New Roman" w:cs="Times New Roman"/>
          <w:bCs/>
          <w:color w:val="000000"/>
          <w:sz w:val="24"/>
          <w:szCs w:val="24"/>
        </w:rPr>
        <w:t>Посолството е установило ползотворно сътрудничество с екипа на ИАБЧ, които предоставят ценни съвети на структурите на българската общност в Швеция. През 2024 година се осъществи визита в Швеция на ИАБЧ във връзка с отбелязването на 110 години от установяването на двустранни отношения между България и Швеция и 40-та годишнина на Българската църковна община (БЦО) в Малмьо.</w:t>
      </w:r>
      <w:r w:rsidRPr="00AA5833">
        <w:rPr>
          <w:rFonts w:ascii="Times New Roman" w:hAnsi="Times New Roman" w:cs="Times New Roman"/>
          <w:color w:val="000000"/>
          <w:sz w:val="24"/>
          <w:szCs w:val="24"/>
        </w:rPr>
        <w:t xml:space="preserve"> По предложение на посолството бяха връчени почетни награди на църковното настоятелство на БЦО и детско-юношеската група от председателя на ИАБЧ г-жа Райна Манджуковa. По време на срещите бяха обсъдени конкретни идеи за изпълнение на съвместни инициативи в сътрудничество с МОН, МК и ИАБЧ.</w:t>
      </w:r>
      <w:r w:rsidRPr="00AA5833">
        <w:rPr>
          <w:rFonts w:ascii="Times New Roman" w:hAnsi="Times New Roman" w:cs="Times New Roman"/>
          <w:iCs/>
          <w:color w:val="000000"/>
          <w:sz w:val="24"/>
          <w:szCs w:val="24"/>
        </w:rPr>
        <w:t xml:space="preserve"> </w:t>
      </w:r>
      <w:r w:rsidRPr="00AA5833">
        <w:rPr>
          <w:rFonts w:ascii="Times New Roman" w:hAnsi="Times New Roman" w:cs="Times New Roman"/>
          <w:bCs/>
          <w:iCs/>
          <w:color w:val="000000"/>
          <w:sz w:val="24"/>
          <w:szCs w:val="24"/>
        </w:rPr>
        <w:t>От следващата учебна година (2025/2026) училището вече ще разполага и със свой нов дом – пространство, в което децата имат възможност да се обучават на български език, история, култура и традиции в уютна и вдъхновяваща среда</w:t>
      </w:r>
      <w:r w:rsidRPr="00AA5833">
        <w:rPr>
          <w:rFonts w:ascii="Times New Roman" w:hAnsi="Times New Roman" w:cs="Times New Roman"/>
          <w:iCs/>
          <w:color w:val="000000"/>
          <w:sz w:val="24"/>
          <w:szCs w:val="24"/>
        </w:rPr>
        <w:t xml:space="preserve">. Това е важна крачка към създаването на стабилна и устойчива образователна среда зад граница, която не само насърчава езиковото и културното обучение, но и подпомага изграждането на самосъзнание и принадлежност към българската нация. </w:t>
      </w:r>
      <w:r w:rsidRPr="00AA5833">
        <w:rPr>
          <w:rFonts w:ascii="Times New Roman" w:hAnsi="Times New Roman" w:cs="Times New Roman"/>
          <w:bCs/>
          <w:iCs/>
          <w:color w:val="000000"/>
          <w:sz w:val="24"/>
          <w:szCs w:val="24"/>
        </w:rPr>
        <w:t xml:space="preserve">Това стана възможно благодарение и на активната намеса на посолството, включително чрез директна кореспонденция от посланика с ръководството на образователната институция, предоставила мястото за занятия, както и до представители на най-голямата учебна асоциация в Швеция – Arbetarnas Bildningsförbund (ABF). </w:t>
      </w:r>
      <w:r w:rsidRPr="00AA5833">
        <w:rPr>
          <w:rFonts w:ascii="Times New Roman" w:hAnsi="Times New Roman" w:cs="Times New Roman"/>
          <w:color w:val="000000"/>
          <w:sz w:val="24"/>
          <w:szCs w:val="24"/>
        </w:rPr>
        <w:t xml:space="preserve">Посолството за поредна година беше домакин на коледното тържество на училището, съчетано с празнична програма на малките възпитаници. </w:t>
      </w:r>
      <w:r w:rsidRPr="00AA5833">
        <w:rPr>
          <w:rFonts w:ascii="Times New Roman" w:hAnsi="Times New Roman" w:cs="Times New Roman"/>
          <w:bCs/>
          <w:color w:val="000000"/>
          <w:sz w:val="24"/>
          <w:szCs w:val="24"/>
        </w:rPr>
        <w:t>По случай пролетния празник „Баба Марта“ Първо Българско училище в Стокхолм организира работилница за изработване на мартеници, в която участие взе посланикът и служители от посолството</w:t>
      </w:r>
    </w:p>
    <w:p w14:paraId="5BDAEB71" w14:textId="77777777" w:rsidR="00533926" w:rsidRPr="00AA5833" w:rsidRDefault="00533926" w:rsidP="00533926">
      <w:pPr>
        <w:spacing w:after="0" w:line="240" w:lineRule="auto"/>
        <w:jc w:val="both"/>
        <w:rPr>
          <w:rFonts w:ascii="Times New Roman" w:hAnsi="Times New Roman" w:cs="Times New Roman"/>
          <w:b/>
          <w:bCs/>
          <w:color w:val="000000"/>
          <w:sz w:val="24"/>
          <w:szCs w:val="24"/>
        </w:rPr>
      </w:pPr>
      <w:r w:rsidRPr="00AA5833">
        <w:rPr>
          <w:rFonts w:ascii="Times New Roman" w:hAnsi="Times New Roman" w:cs="Times New Roman"/>
          <w:b/>
          <w:bCs/>
          <w:color w:val="000000"/>
          <w:sz w:val="24"/>
          <w:szCs w:val="24"/>
        </w:rPr>
        <w:tab/>
        <w:t>Някои изводи от срещи с представители на диаспората:</w:t>
      </w:r>
    </w:p>
    <w:p w14:paraId="78872484" w14:textId="77777777" w:rsidR="00533926" w:rsidRPr="00AA5833" w:rsidRDefault="00533926" w:rsidP="002A598C">
      <w:pPr>
        <w:numPr>
          <w:ilvl w:val="0"/>
          <w:numId w:val="54"/>
        </w:numPr>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Необходимо е съдействие и насоки относно местни, български и европейски програми за финансиране – </w:t>
      </w:r>
      <w:r w:rsidRPr="00AA5833">
        <w:rPr>
          <w:rFonts w:ascii="Times New Roman" w:hAnsi="Times New Roman" w:cs="Times New Roman"/>
          <w:bCs/>
          <w:color w:val="000000"/>
          <w:sz w:val="24"/>
          <w:szCs w:val="24"/>
        </w:rPr>
        <w:t>посолството подкрепя с информация дружествата, в рамките на своите компетенции</w:t>
      </w:r>
      <w:r w:rsidRPr="00AA5833">
        <w:rPr>
          <w:rFonts w:ascii="Times New Roman" w:hAnsi="Times New Roman" w:cs="Times New Roman"/>
          <w:color w:val="000000"/>
          <w:sz w:val="24"/>
          <w:szCs w:val="24"/>
        </w:rPr>
        <w:t>;</w:t>
      </w:r>
    </w:p>
    <w:p w14:paraId="7390CD51" w14:textId="77777777" w:rsidR="00533926" w:rsidRPr="00AA5833" w:rsidRDefault="00533926" w:rsidP="002A598C">
      <w:pPr>
        <w:numPr>
          <w:ilvl w:val="0"/>
          <w:numId w:val="54"/>
        </w:numPr>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Има недостиг на материали за преподаване на български език и учебни помагала, както и желание за подкрепа при закупуването на народни носии и др.;</w:t>
      </w:r>
    </w:p>
    <w:p w14:paraId="152195E3" w14:textId="77777777" w:rsidR="00533926" w:rsidRPr="00AA5833" w:rsidRDefault="00533926" w:rsidP="002A598C">
      <w:pPr>
        <w:numPr>
          <w:ilvl w:val="0"/>
          <w:numId w:val="54"/>
        </w:numPr>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Налице е нужда от административна подкрепа при организиране на събития на общността по места чрез популяризиране чрез официални канали на организациите на българите – посолството дава бяха насоки как да бъдат ползвани социалните мрежи на дружествата, като набляга на значението на дигиталната комуникация.</w:t>
      </w:r>
    </w:p>
    <w:p w14:paraId="447FE9E0" w14:textId="77777777" w:rsidR="00533926" w:rsidRPr="00AA5833" w:rsidRDefault="00533926" w:rsidP="00533926">
      <w:pPr>
        <w:spacing w:after="0" w:line="240" w:lineRule="auto"/>
        <w:jc w:val="both"/>
        <w:rPr>
          <w:rFonts w:ascii="Times New Roman" w:eastAsia="Times New Roman" w:hAnsi="Times New Roman" w:cs="Times New Roman"/>
          <w:b/>
          <w:color w:val="0070C0"/>
          <w:sz w:val="24"/>
          <w:szCs w:val="24"/>
        </w:rPr>
      </w:pPr>
      <w:bookmarkStart w:id="8" w:name="_Hlk201678064"/>
    </w:p>
    <w:p w14:paraId="7A3C09FE" w14:textId="77777777" w:rsidR="00533926" w:rsidRPr="00AA5833" w:rsidRDefault="00533926" w:rsidP="00533926">
      <w:pPr>
        <w:spacing w:after="0" w:line="240" w:lineRule="auto"/>
        <w:jc w:val="both"/>
        <w:rPr>
          <w:rFonts w:ascii="Times New Roman" w:eastAsia="Times New Roman" w:hAnsi="Times New Roman" w:cs="Times New Roman"/>
          <w:i/>
          <w:sz w:val="24"/>
          <w:szCs w:val="24"/>
          <w:lang w:eastAsia="bg-BG"/>
        </w:rPr>
      </w:pPr>
      <w:r w:rsidRPr="00AA5833">
        <w:rPr>
          <w:rFonts w:ascii="Times New Roman" w:eastAsia="Times New Roman" w:hAnsi="Times New Roman" w:cs="Times New Roman"/>
          <w:b/>
          <w:sz w:val="24"/>
          <w:szCs w:val="24"/>
        </w:rPr>
        <w:t>За региона на дирекция „Източна Европа и Централна Азия“</w:t>
      </w:r>
      <w:r w:rsidRPr="00AA5833">
        <w:rPr>
          <w:rFonts w:ascii="Times New Roman" w:eastAsia="Times New Roman" w:hAnsi="Times New Roman" w:cs="Times New Roman"/>
          <w:sz w:val="24"/>
          <w:szCs w:val="24"/>
        </w:rPr>
        <w:t xml:space="preserve"> </w:t>
      </w:r>
      <w:bookmarkEnd w:id="8"/>
    </w:p>
    <w:p w14:paraId="6C584A62" w14:textId="77777777" w:rsidR="00533926" w:rsidRPr="00AA5833" w:rsidRDefault="00533926" w:rsidP="00533926">
      <w:pPr>
        <w:spacing w:after="0" w:line="240" w:lineRule="auto"/>
        <w:jc w:val="both"/>
        <w:rPr>
          <w:rFonts w:ascii="Times New Roman" w:eastAsia="Times New Roman" w:hAnsi="Times New Roman" w:cs="Times New Roman"/>
          <w:i/>
          <w:color w:val="0070C0"/>
          <w:sz w:val="24"/>
          <w:szCs w:val="24"/>
          <w:lang w:eastAsia="bg-BG"/>
        </w:rPr>
      </w:pPr>
      <w:r w:rsidRPr="00AA5833">
        <w:rPr>
          <w:rFonts w:ascii="Times New Roman" w:eastAsia="Times New Roman" w:hAnsi="Times New Roman" w:cs="Times New Roman"/>
          <w:sz w:val="24"/>
          <w:szCs w:val="24"/>
          <w:lang w:eastAsia="bg-BG"/>
        </w:rPr>
        <w:tab/>
        <w:t>През 2024 г. българските дипломатически и консулски представителства в Република Молдова, Украйна и Руската федерация продължиха да оказват необходимото съдействие и подпомагаха активно българските неделни училища, доколкото условията в Украйна и Русия позволяваха това.</w:t>
      </w:r>
      <w:r w:rsidRPr="00AA5833">
        <w:rPr>
          <w:rFonts w:ascii="Times New Roman" w:eastAsia="Times New Roman" w:hAnsi="Times New Roman" w:cs="Times New Roman"/>
          <w:color w:val="000000"/>
          <w:sz w:val="24"/>
          <w:szCs w:val="24"/>
          <w:lang w:eastAsia="bg-BG"/>
        </w:rPr>
        <w:t xml:space="preserve"> Съществува значителен потенциал за увеличаване на интереса към изучаване на български език, особено в Молдова и Украйна, който все още не е реализиран в пълна степен. МВнР и българските дипломатически представителства продължават да изпълняват своя ангажимент за активна работа в това направление.</w:t>
      </w:r>
    </w:p>
    <w:p w14:paraId="122A8E3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ab/>
        <w:t>В същото време следва да бъде подчертано, че от началото на пълномащабната руска военна агресия срещу Украйна, над 30 000 българи, главно от Запорожка област на Украйна, т.нар. таврийски българи, живеят под временна руска окупация. Основните права на тези българи са системно ограничавани, включително и тяхното право да изучават български език. В нарушение на международното право, изучаването на български език е забранено в държавните училища в окупираните територии. Българските неделни училища в градовете Мелитопол и Бердянск, финансирани от българската държава, са принудени да прекратят присъственото си обучение, а реномираният българо-украински лицей в гр. Приморск, който в близкото минало бе една от водещите образователни институции с преподаване на български език в Украйна, е закрит, отново под натиск на окупаторите.</w:t>
      </w:r>
    </w:p>
    <w:p w14:paraId="059E63CB" w14:textId="77777777" w:rsidR="00533926" w:rsidRPr="00AA5833" w:rsidRDefault="00533926" w:rsidP="00533926">
      <w:pPr>
        <w:spacing w:after="0" w:line="240" w:lineRule="auto"/>
        <w:jc w:val="both"/>
        <w:rPr>
          <w:rFonts w:ascii="Times New Roman" w:hAnsi="Times New Roman" w:cs="Times New Roman"/>
          <w:b/>
          <w:bCs/>
          <w:color w:val="0070C0"/>
          <w:sz w:val="24"/>
          <w:szCs w:val="24"/>
        </w:rPr>
      </w:pPr>
    </w:p>
    <w:p w14:paraId="286722BD"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b/>
          <w:bCs/>
          <w:sz w:val="24"/>
          <w:szCs w:val="24"/>
        </w:rPr>
      </w:pPr>
      <w:bookmarkStart w:id="9" w:name="_Hlk201678123"/>
      <w:r w:rsidRPr="00AA5833">
        <w:rPr>
          <w:rFonts w:ascii="Times New Roman" w:eastAsia="Calibri" w:hAnsi="Times New Roman" w:cs="Times New Roman"/>
          <w:b/>
          <w:bCs/>
          <w:sz w:val="24"/>
          <w:szCs w:val="24"/>
        </w:rPr>
        <w:t xml:space="preserve">За региона на дирекция „ Югоизточна Европа“ </w:t>
      </w:r>
      <w:bookmarkEnd w:id="9"/>
    </w:p>
    <w:p w14:paraId="17AC64C9"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color w:val="000000"/>
          <w:sz w:val="24"/>
          <w:szCs w:val="24"/>
        </w:rPr>
      </w:pPr>
      <w:r w:rsidRPr="00AA5833">
        <w:rPr>
          <w:rFonts w:ascii="Times New Roman" w:eastAsia="Calibri" w:hAnsi="Times New Roman" w:cs="Times New Roman"/>
          <w:color w:val="000000"/>
          <w:sz w:val="24"/>
          <w:szCs w:val="24"/>
        </w:rPr>
        <w:tab/>
        <w:t xml:space="preserve">И през 2024 г. продължи тясното взаимодействие между ДКП и Българските неделни училища. Българските дипломатически мисии, в рамките на своите компетенции, оказваха всестранно съдействие както на организациите, кандидатстващи за финансиране, така и на МОН в процеса на набиране на проекти и последващото им отчитане. </w:t>
      </w:r>
    </w:p>
    <w:p w14:paraId="4BA3285E"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color w:val="000000"/>
          <w:sz w:val="24"/>
          <w:szCs w:val="24"/>
        </w:rPr>
      </w:pPr>
      <w:r w:rsidRPr="00AA5833">
        <w:rPr>
          <w:rFonts w:ascii="Times New Roman" w:eastAsia="Calibri" w:hAnsi="Times New Roman" w:cs="Times New Roman"/>
          <w:color w:val="000000"/>
          <w:sz w:val="24"/>
          <w:szCs w:val="24"/>
        </w:rPr>
        <w:tab/>
        <w:t xml:space="preserve">Доброто взаимодействие между всички заинтересовани страни следва да бъде запазено и доразвито, тъй като в страните от Западните Балкани съществува значителен потенциал за увеличаване на интереса към изучаване на български език. </w:t>
      </w:r>
    </w:p>
    <w:p w14:paraId="4D50849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За съжаление, към настоящия момент, той не може да бъде развит в пълна степен поради политиката на някои държави, което налага засилване на ангажираността и активността от страна на България в защита на правата на българските общности.</w:t>
      </w:r>
    </w:p>
    <w:p w14:paraId="24FAE0DB"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4791092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ЗА БЪЛГАРИТЕ В ЧУЖБИНА</w:t>
      </w:r>
    </w:p>
    <w:p w14:paraId="2218DD9C"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2EFA653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5.3.6. Проучване на нагласите на българските емигранти за завръщане в България</w:t>
      </w:r>
    </w:p>
    <w:p w14:paraId="570ABE8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23B69E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Работата за мотивиране на сънародниците ни да се завръщат в България е също във фокуса на агенцията. В тази връзка е установено сътрудничество с фондация „</w:t>
      </w:r>
      <w:r w:rsidRPr="00AA5833">
        <w:rPr>
          <w:rFonts w:ascii="Times New Roman" w:hAnsi="Times New Roman" w:cs="Times New Roman"/>
          <w:bCs/>
          <w:sz w:val="24"/>
          <w:szCs w:val="24"/>
        </w:rPr>
        <w:t xml:space="preserve">Bulgaria Wants You“, „ДНК“ и НПО „ЗАВРЪЩАНЕ В БЪЛГАРИЯ“, с които са обединени усилия върху подготвянето на цялостна кампания за проучване на нагласата и готовността на сънародниците ни в чужбина отново да изберат България за свой дом и място за професионална реализация. </w:t>
      </w:r>
    </w:p>
    <w:p w14:paraId="4C5A933E"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49CF809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ИЗПЪЛНИТЕЛНА АГЕНЦИЯ ЗА БЪЛГАРИТЕ В ЧУЖБИНА</w:t>
      </w:r>
    </w:p>
    <w:p w14:paraId="3884531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77411A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5.3.7. Участие в разработване на политика за завръщане на етнически българи</w:t>
      </w:r>
    </w:p>
    <w:p w14:paraId="4AD57F38" w14:textId="77777777" w:rsidR="00533926" w:rsidRPr="00AA5833" w:rsidRDefault="00533926" w:rsidP="00533926">
      <w:pPr>
        <w:spacing w:after="0" w:line="240" w:lineRule="auto"/>
        <w:ind w:left="-12" w:firstLine="12"/>
        <w:jc w:val="both"/>
        <w:rPr>
          <w:rFonts w:ascii="Times New Roman" w:hAnsi="Times New Roman" w:cs="Times New Roman"/>
          <w:sz w:val="24"/>
          <w:szCs w:val="24"/>
        </w:rPr>
      </w:pPr>
    </w:p>
    <w:p w14:paraId="7B7E5B7C" w14:textId="77777777" w:rsidR="00533926" w:rsidRPr="00AA5833" w:rsidRDefault="00533926" w:rsidP="00533926">
      <w:pPr>
        <w:spacing w:after="0" w:line="240" w:lineRule="auto"/>
        <w:ind w:left="-12" w:firstLine="12"/>
        <w:jc w:val="both"/>
        <w:rPr>
          <w:rFonts w:ascii="Times New Roman" w:hAnsi="Times New Roman" w:cs="Times New Roman"/>
          <w:sz w:val="24"/>
          <w:szCs w:val="24"/>
        </w:rPr>
      </w:pPr>
      <w:r w:rsidRPr="00AA5833">
        <w:rPr>
          <w:rFonts w:ascii="Times New Roman" w:hAnsi="Times New Roman" w:cs="Times New Roman"/>
          <w:sz w:val="24"/>
          <w:szCs w:val="24"/>
        </w:rPr>
        <w:tab/>
        <w:t>Изпълнителната агенция за българите в чужбина е участник в редица процеси в политиката за завръщане на българите от етнически произход в България. В изпълнение</w:t>
      </w:r>
      <w:r w:rsidR="006237BB">
        <w:rPr>
          <w:rFonts w:ascii="Times New Roman" w:hAnsi="Times New Roman" w:cs="Times New Roman"/>
          <w:sz w:val="24"/>
          <w:szCs w:val="24"/>
        </w:rPr>
        <w:t xml:space="preserve"> на тези политики през 2024 г. с</w:t>
      </w:r>
      <w:r w:rsidRPr="00AA5833">
        <w:rPr>
          <w:rFonts w:ascii="Times New Roman" w:hAnsi="Times New Roman" w:cs="Times New Roman"/>
          <w:sz w:val="24"/>
          <w:szCs w:val="24"/>
        </w:rPr>
        <w:t>а проведени редица срещи с представители на Дирекция „Миграция“ на МВР, представители на Дирекция „Консулски отношения“ на МВнР, представители на ДАНС, с цел оптимизиране на процедурата по удостоверяване на българския произход на лица от българска народност, живеещи в чужбина, включително за приемане в български висши училища съгласно ПМС №103/1993 г. ИАБЧ счита, че точно тези лица имат потенциал за трайно установяване на живот в България и да спомогнат за облекчаването на демографската криза.</w:t>
      </w:r>
    </w:p>
    <w:p w14:paraId="3988A393" w14:textId="77777777" w:rsidR="00533926" w:rsidRPr="00AA5833" w:rsidRDefault="00533926" w:rsidP="00533926">
      <w:pPr>
        <w:spacing w:after="0" w:line="240" w:lineRule="auto"/>
        <w:ind w:left="-12"/>
        <w:jc w:val="both"/>
        <w:rPr>
          <w:rFonts w:ascii="Times New Roman" w:hAnsi="Times New Roman" w:cs="Times New Roman"/>
          <w:b/>
          <w:sz w:val="24"/>
          <w:szCs w:val="24"/>
        </w:rPr>
      </w:pPr>
      <w:r w:rsidRPr="00AA5833">
        <w:rPr>
          <w:rFonts w:ascii="Times New Roman" w:hAnsi="Times New Roman" w:cs="Times New Roman"/>
          <w:sz w:val="24"/>
          <w:szCs w:val="24"/>
        </w:rPr>
        <w:lastRenderedPageBreak/>
        <w:tab/>
      </w:r>
      <w:r w:rsidRPr="00AA5833">
        <w:rPr>
          <w:rFonts w:ascii="Times New Roman" w:hAnsi="Times New Roman" w:cs="Times New Roman"/>
          <w:sz w:val="24"/>
          <w:szCs w:val="24"/>
        </w:rPr>
        <w:tab/>
        <w:t>Изпълнителната агенция за българите в чужбина е инициатор на провеждането на традиционна работна среща с представители на българските висши училища, в които се обучават студенти с български произход от историческите български общности, с цел синхронизиране на действията за облекчаване на процесите по включване на сънародниците ни в чужбина в социалния, обществен и културен живот в България, което е предпоставка за трайно установяване в България и подпомагане на решаването на въпроса с демографската криза на територията на Република България.</w:t>
      </w:r>
    </w:p>
    <w:p w14:paraId="49F81E3C" w14:textId="77777777" w:rsidR="00533926" w:rsidRPr="00AA5833" w:rsidRDefault="00533926" w:rsidP="00533926">
      <w:pPr>
        <w:spacing w:after="0" w:line="240" w:lineRule="auto"/>
        <w:jc w:val="both"/>
        <w:outlineLvl w:val="1"/>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В отговор на належащата нужда от преодоляване на кризата на работната ръка в България, от една страна, и желанието да работят в страната ни българи от чужбина – от друга, е организирана </w:t>
      </w:r>
      <w:r w:rsidRPr="00AA5833">
        <w:rPr>
          <w:rFonts w:ascii="Times New Roman" w:eastAsia="Times New Roman" w:hAnsi="Times New Roman" w:cs="Times New Roman"/>
          <w:bCs/>
          <w:iCs/>
          <w:sz w:val="24"/>
          <w:szCs w:val="24"/>
          <w:lang w:eastAsia="bg-BG"/>
        </w:rPr>
        <w:t>работна среща</w:t>
      </w:r>
      <w:r w:rsidRPr="00AA5833">
        <w:rPr>
          <w:rFonts w:ascii="Times New Roman" w:eastAsia="Times New Roman" w:hAnsi="Times New Roman" w:cs="Times New Roman"/>
          <w:bCs/>
          <w:i/>
          <w:iCs/>
          <w:sz w:val="24"/>
          <w:szCs w:val="24"/>
          <w:lang w:eastAsia="bg-BG"/>
        </w:rPr>
        <w:t xml:space="preserve"> </w:t>
      </w:r>
      <w:r w:rsidRPr="00AA5833">
        <w:rPr>
          <w:rFonts w:ascii="Times New Roman" w:eastAsia="Times New Roman" w:hAnsi="Times New Roman" w:cs="Times New Roman"/>
          <w:bCs/>
          <w:iCs/>
          <w:sz w:val="24"/>
          <w:szCs w:val="24"/>
          <w:lang w:eastAsia="bg-BG"/>
        </w:rPr>
        <w:t>„Пазарът на труда в България и българите в чужбина“</w:t>
      </w:r>
      <w:r w:rsidRPr="00AA5833">
        <w:rPr>
          <w:rFonts w:ascii="Times New Roman" w:eastAsia="Times New Roman" w:hAnsi="Times New Roman" w:cs="Times New Roman"/>
          <w:bCs/>
          <w:sz w:val="24"/>
          <w:szCs w:val="24"/>
          <w:lang w:eastAsia="bg-BG"/>
        </w:rPr>
        <w:t xml:space="preserve"> с участието на неправителствени организации, ангажирани с въпроса за включване в пазара на труда в България на българи от чужбина, и представители на държавни институции, уреждащи административната страна на въпроса – Дирекция „Миграция“ (МВР), Дирекция „Консулски отношения“ (МВнР), Агенция по заетостта (МТСП) и ДАНС.</w:t>
      </w:r>
    </w:p>
    <w:p w14:paraId="4EACC9D9" w14:textId="77777777" w:rsidR="00533926" w:rsidRPr="00AA5833" w:rsidRDefault="00533926" w:rsidP="00533926">
      <w:pPr>
        <w:spacing w:after="0" w:line="240" w:lineRule="auto"/>
        <w:jc w:val="both"/>
        <w:outlineLvl w:val="1"/>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
          <w:bCs/>
          <w:sz w:val="24"/>
          <w:szCs w:val="24"/>
          <w:lang w:eastAsia="bg-BG"/>
        </w:rPr>
        <w:tab/>
      </w:r>
      <w:r w:rsidRPr="00AA5833">
        <w:rPr>
          <w:rFonts w:ascii="Times New Roman" w:eastAsia="Times New Roman" w:hAnsi="Times New Roman" w:cs="Times New Roman"/>
          <w:bCs/>
          <w:sz w:val="24"/>
          <w:szCs w:val="24"/>
          <w:lang w:eastAsia="bg-BG"/>
        </w:rPr>
        <w:t>През 2024 г. Изпълнителната агенция за българите в чужбина активно взаимодейства с институциите в България в отговор на сигнали, оплаквания и молби на лица от етнически български произход, за решаване на различни административни затруднения и проблеми, свързани с българско гражданство, разрешение за постоянно пребиваване, взаимодействие с банки, регионално управление на образованието и др.</w:t>
      </w:r>
    </w:p>
    <w:p w14:paraId="55C872CE" w14:textId="77777777" w:rsidR="00533926" w:rsidRPr="00AA5833" w:rsidRDefault="00533926" w:rsidP="00533926">
      <w:pPr>
        <w:spacing w:after="0" w:line="240" w:lineRule="auto"/>
        <w:jc w:val="both"/>
        <w:outlineLvl w:val="1"/>
        <w:rPr>
          <w:rFonts w:ascii="Times New Roman" w:eastAsia="Times New Roman" w:hAnsi="Times New Roman" w:cs="Times New Roman"/>
          <w:bCs/>
          <w:sz w:val="24"/>
          <w:szCs w:val="24"/>
          <w:lang w:eastAsia="bg-BG"/>
        </w:rPr>
      </w:pPr>
    </w:p>
    <w:p w14:paraId="05E93509" w14:textId="77777777" w:rsidR="00533926" w:rsidRPr="00AA5833" w:rsidRDefault="00533926" w:rsidP="00533926">
      <w:pPr>
        <w:spacing w:after="0" w:line="240" w:lineRule="auto"/>
        <w:jc w:val="center"/>
        <w:outlineLvl w:val="1"/>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ИЗПЪЛНИТЕЛНА АГЕНЦИЯ ЗА БЪЛГАРИТЕ В ЧУЖБИНА</w:t>
      </w:r>
    </w:p>
    <w:p w14:paraId="5EA458D5" w14:textId="77777777" w:rsidR="00533926" w:rsidRPr="00AA5833" w:rsidRDefault="00533926" w:rsidP="00533926">
      <w:pPr>
        <w:spacing w:after="0" w:line="240" w:lineRule="auto"/>
        <w:jc w:val="center"/>
        <w:outlineLvl w:val="1"/>
        <w:rPr>
          <w:rFonts w:ascii="Times New Roman" w:eastAsia="Times New Roman" w:hAnsi="Times New Roman" w:cs="Times New Roman"/>
          <w:b/>
          <w:bCs/>
          <w:sz w:val="24"/>
          <w:szCs w:val="24"/>
          <w:lang w:eastAsia="bg-BG"/>
        </w:rPr>
      </w:pPr>
    </w:p>
    <w:p w14:paraId="61F0D6E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5.3.8. Активизиране и разширяване сферите на сътрудничеството с диаспорите от български емигранти в чужбина.</w:t>
      </w:r>
    </w:p>
    <w:p w14:paraId="6F71D2A7" w14:textId="77777777" w:rsidR="00533926" w:rsidRPr="00AA5833" w:rsidRDefault="00533926" w:rsidP="00533926">
      <w:pPr>
        <w:spacing w:after="0" w:line="240" w:lineRule="auto"/>
        <w:jc w:val="both"/>
        <w:rPr>
          <w:rFonts w:ascii="Times New Roman" w:hAnsi="Times New Roman" w:cs="Times New Roman"/>
          <w:sz w:val="24"/>
          <w:szCs w:val="24"/>
        </w:rPr>
      </w:pPr>
    </w:p>
    <w:p w14:paraId="7CAB5656" w14:textId="77777777" w:rsidR="00533926" w:rsidRPr="00AA5833" w:rsidRDefault="00533926" w:rsidP="00533926">
      <w:pPr>
        <w:spacing w:after="0" w:line="240" w:lineRule="auto"/>
        <w:jc w:val="both"/>
        <w:rPr>
          <w:rFonts w:ascii="Times New Roman" w:hAnsi="Times New Roman" w:cs="Times New Roman"/>
          <w:b/>
          <w:bCs/>
          <w:iCs/>
          <w:sz w:val="24"/>
          <w:szCs w:val="24"/>
        </w:rPr>
      </w:pPr>
      <w:r w:rsidRPr="00AA5833">
        <w:rPr>
          <w:rFonts w:ascii="Times New Roman" w:hAnsi="Times New Roman" w:cs="Times New Roman"/>
          <w:b/>
          <w:bCs/>
          <w:iCs/>
          <w:sz w:val="24"/>
          <w:szCs w:val="24"/>
        </w:rPr>
        <w:t>Посещения на българските общности в чужбина:</w:t>
      </w:r>
    </w:p>
    <w:p w14:paraId="541C233E" w14:textId="77777777" w:rsidR="00533926" w:rsidRPr="00AA5833" w:rsidRDefault="00533926" w:rsidP="00533926">
      <w:pPr>
        <w:spacing w:after="0" w:line="240" w:lineRule="auto"/>
        <w:jc w:val="both"/>
        <w:rPr>
          <w:rFonts w:ascii="Times New Roman" w:hAnsi="Times New Roman" w:cs="Times New Roman"/>
          <w:bCs/>
          <w:iCs/>
          <w:sz w:val="24"/>
          <w:szCs w:val="24"/>
        </w:rPr>
      </w:pPr>
      <w:r w:rsidRPr="00AA5833">
        <w:rPr>
          <w:rFonts w:ascii="Times New Roman" w:hAnsi="Times New Roman" w:cs="Times New Roman"/>
          <w:sz w:val="24"/>
          <w:szCs w:val="24"/>
        </w:rPr>
        <w:tab/>
        <w:t>Значителна роля за изпълнението на тази задача имат посещенията на ръководители и служители на Агенцията при сънародниците ни в различни страни. Практиката е те да се осъществяват или по покана на български организации, обикновено във връзка с някакво значимо събитие, или по преценка на посланика на България в съответната страна. Сред тези посещения могат да се откроят такива в Брюксел, Молдова, Украйна, Р</w:t>
      </w:r>
      <w:r w:rsidRPr="00AA5833">
        <w:rPr>
          <w:rFonts w:ascii="Times New Roman" w:hAnsi="Times New Roman" w:cs="Times New Roman"/>
          <w:bCs/>
          <w:iCs/>
          <w:sz w:val="24"/>
          <w:szCs w:val="24"/>
        </w:rPr>
        <w:t>епублика Северна Македония, Сърбия, Швеция, Дания, Германия, Великобритания, Испания, Италия, Германия, Румъния, Армения,  Нидерландия, САЩ, Ирландия, Унгария.</w:t>
      </w:r>
    </w:p>
    <w:p w14:paraId="5680E10E" w14:textId="77777777" w:rsidR="00533926" w:rsidRPr="00AA5833" w:rsidRDefault="00533926" w:rsidP="00533926">
      <w:pPr>
        <w:spacing w:after="0" w:line="240" w:lineRule="auto"/>
        <w:jc w:val="both"/>
        <w:rPr>
          <w:rFonts w:ascii="Times New Roman" w:hAnsi="Times New Roman" w:cs="Times New Roman"/>
          <w:b/>
          <w:bCs/>
          <w:iCs/>
          <w:sz w:val="24"/>
          <w:szCs w:val="24"/>
        </w:rPr>
      </w:pPr>
      <w:r w:rsidRPr="00AA5833">
        <w:rPr>
          <w:rFonts w:ascii="Times New Roman" w:hAnsi="Times New Roman" w:cs="Times New Roman"/>
          <w:b/>
          <w:bCs/>
          <w:iCs/>
          <w:sz w:val="24"/>
          <w:szCs w:val="24"/>
        </w:rPr>
        <w:t>Срещи с българи от чужбина в България:</w:t>
      </w:r>
    </w:p>
    <w:p w14:paraId="2946C6A1"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Cs/>
          <w:iCs/>
          <w:sz w:val="24"/>
          <w:szCs w:val="24"/>
        </w:rPr>
        <w:tab/>
      </w:r>
      <w:r w:rsidRPr="00AA5833">
        <w:rPr>
          <w:rFonts w:ascii="Times New Roman" w:hAnsi="Times New Roman" w:cs="Times New Roman"/>
          <w:sz w:val="24"/>
          <w:szCs w:val="24"/>
        </w:rPr>
        <w:t xml:space="preserve">Освен всекидневната работа на експерти по актуализация на наличните данни, голяма част от дейността е свързана и с иницииране и провеждане на срещи с българи от различни краища на света, които идват в България. Срещите се провеждат в Агенцията, понякога с участието на ръководството, понякога само от експерти – референти за даден регион – и/или в присъствието на директора на дирекция „Български общности и информационна дейност”. </w:t>
      </w:r>
      <w:r w:rsidRPr="00AA5833">
        <w:rPr>
          <w:rFonts w:ascii="Times New Roman" w:hAnsi="Times New Roman" w:cs="Times New Roman"/>
          <w:bCs/>
          <w:iCs/>
          <w:sz w:val="24"/>
          <w:szCs w:val="24"/>
        </w:rPr>
        <w:t>В рамките на календарната година са проведени срещи с над 70 представители на български дружества, организации и училища от различни държави, включително далечните САЩ, Австралия, Аржентина</w:t>
      </w:r>
      <w:r w:rsidRPr="00AA5833">
        <w:rPr>
          <w:rFonts w:ascii="Times New Roman" w:hAnsi="Times New Roman" w:cs="Times New Roman"/>
          <w:sz w:val="24"/>
          <w:szCs w:val="24"/>
        </w:rPr>
        <w:t xml:space="preserve">. </w:t>
      </w:r>
    </w:p>
    <w:p w14:paraId="1B3EE19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При всички посещения на българските общности в чужбина, както и по време на срещите с българи, завърнали се временно или постоянно в страната, Изпълнителната агенция за българите в чужбина не само поставя фокус върху теми, свързани с партньорства, културни и образователни инициативи и съхраняване на националната идентичност, но също така се обсъждат възможностите, предизвикателствата и мотивационните фактори, които биха улеснили процеса на реинтеграция на българите, </w:t>
      </w:r>
      <w:r w:rsidRPr="00AA5833">
        <w:rPr>
          <w:rFonts w:ascii="Times New Roman" w:hAnsi="Times New Roman" w:cs="Times New Roman"/>
          <w:sz w:val="24"/>
          <w:szCs w:val="24"/>
        </w:rPr>
        <w:lastRenderedPageBreak/>
        <w:t>живеещи в чужбина, включително необходимостта от институционална координация, информационна подкрепа и дългосрочна държавна стратегия за обратна миграция. Тези разговори формират основа за бъдещи политики и мерки, насочени към създаване на благоприятна среда за реинтеграция на българите от чужбина.</w:t>
      </w:r>
    </w:p>
    <w:p w14:paraId="5660FBD3" w14:textId="77777777" w:rsidR="00533926" w:rsidRPr="00AA5833" w:rsidRDefault="00533926" w:rsidP="00533926">
      <w:pPr>
        <w:spacing w:after="0" w:line="240" w:lineRule="auto"/>
        <w:jc w:val="both"/>
        <w:rPr>
          <w:rFonts w:ascii="Times New Roman"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485132FE"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1A9C0A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5.4. Развитие на административен капацитет и провеждане на обществени дебати относно оценка на въздействието и ролята на миграциите за социално-икономическото развитие на страната</w:t>
            </w:r>
          </w:p>
        </w:tc>
      </w:tr>
    </w:tbl>
    <w:p w14:paraId="6E1E1010"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50146A8C"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25B3532"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5.5. Периодичен преглед на съществуващото законодателство, създаване и поддържане на единна нормативна база, регулираща миграционните проблеми</w:t>
            </w:r>
          </w:p>
        </w:tc>
      </w:tr>
    </w:tbl>
    <w:p w14:paraId="3A485D38"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291DC2E8"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52CF77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5.6. Подобряване на информационното осигуряване и създаване на административен регистър за мигранти и имигранти</w:t>
            </w:r>
          </w:p>
        </w:tc>
      </w:tr>
    </w:tbl>
    <w:p w14:paraId="75CB06BC"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08CE4CF1"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6D6A69BA"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2666FCE8"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5.6.1. Поддържане на електронната платформа за онлайн кандидатстване за приемане за обучение на студенти и докторанти във висшите училища в РБ по реда на ПМС №103/1993 г. и ПМС №228/1997 г.</w:t>
      </w:r>
    </w:p>
    <w:p w14:paraId="58011F54"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3E1BCB8F"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Мярката се изпълнява чрез дейности по национална програма „Популяризиране на българското висше образование и кандидатстване на лица от българска народност, живеещи в чужбина, за обучение в български висши училища“. През 2023 г. е сключено Споразумение с №Д01-126/29.05.2023 г. между Министерството на образованието и науката и Института по математика и информатика към БАН за предоставяне на научна консултация с предмет „Надграждане на електронната платформа за кандидатстване на лица от българска народност, живеещи в чужбина, за обучение в български висши училища“. Споразумението е със срок за изпълнение до 01.12.2025 г. и предвижда изпълнението на следните седем дейности в общо пет етапа:</w:t>
      </w:r>
    </w:p>
    <w:p w14:paraId="4B5CF1F5"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1 – Създаване на подробен работен план и актуализиран времеви график за периода на изпълнение на консултацията, в който следва да се конкретизират сроковете за изпълнение на всяка дейност и поддейност. Дейността включва и ежегодно изготвяне на план-график за провеждане на съответната кандидат-студентска кампания.</w:t>
      </w:r>
    </w:p>
    <w:p w14:paraId="47BB2902"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2 – Проверка на работоспособността на текущата система и отстраняване на констатирани от Министерството и установени при проверката уязвимости в системата.</w:t>
      </w:r>
    </w:p>
    <w:p w14:paraId="722105DE"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3 – Изграждане на нов „Информационен модул“.</w:t>
      </w:r>
    </w:p>
    <w:p w14:paraId="77EB152C"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4 – Доусъвършенстване на втори модул „Кандидат-студентска кампания“.</w:t>
      </w:r>
    </w:p>
    <w:p w14:paraId="10983F2F"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5 – Изграждане на модул „Кандидатстудентски изпити“.</w:t>
      </w:r>
    </w:p>
    <w:p w14:paraId="3BBCADD7"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6 – Изграждане на нова административна функционалност „План-прием“.</w:t>
      </w:r>
    </w:p>
    <w:p w14:paraId="5065DAAF" w14:textId="77777777" w:rsidR="00533926" w:rsidRPr="00AA5833" w:rsidRDefault="00533926" w:rsidP="002A598C">
      <w:pPr>
        <w:numPr>
          <w:ilvl w:val="0"/>
          <w:numId w:val="8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Дейност 7 – Модул за управление на съдържанието, поддръжка и информационно осигуряване на системата.</w:t>
      </w:r>
    </w:p>
    <w:p w14:paraId="6E8353A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Към момента са изпълнени, отчетени и приети първите два етапа от изпълнение на Споразумението. През 2024 г. се изпълняват дейностите от третия етап.</w:t>
      </w:r>
    </w:p>
    <w:p w14:paraId="3F2CEC9C"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има въздействие на национално и на международно ниво.</w:t>
      </w:r>
    </w:p>
    <w:p w14:paraId="397DE654"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2DF9ED33"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ИЗПЪЛНИТЕЛНА АГЕНЦИЯ ЗА БЪЛГАРИТЕ В ЧУЖБИНА</w:t>
      </w:r>
    </w:p>
    <w:p w14:paraId="680D7858" w14:textId="77777777" w:rsidR="00533926" w:rsidRPr="00AA5833" w:rsidRDefault="00533926" w:rsidP="00533926">
      <w:pPr>
        <w:spacing w:after="0" w:line="240" w:lineRule="auto"/>
        <w:jc w:val="center"/>
        <w:rPr>
          <w:rFonts w:ascii="Times New Roman" w:eastAsia="Calibri" w:hAnsi="Times New Roman" w:cs="Times New Roman"/>
          <w:b/>
          <w:sz w:val="24"/>
          <w:szCs w:val="24"/>
        </w:rPr>
      </w:pPr>
    </w:p>
    <w:p w14:paraId="67CEB85C"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5.6.2. Поддържане регистъра на ИАБЧ. Актуализиране на информацията</w:t>
      </w:r>
    </w:p>
    <w:p w14:paraId="00838CF3"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51C2EC7D"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2024 г. регистърът за организациите на българите зад граница, поддържан от Изпълнителната агенция за българите в чужбина, е актуализиран регулярно.</w:t>
      </w:r>
    </w:p>
    <w:p w14:paraId="3DF769AD"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Регистърът се обновява на седмична база, с цел актуалност на посочените организации.</w:t>
      </w:r>
      <w:bookmarkStart w:id="10" w:name="_Hlk156208809"/>
      <w:r w:rsidRPr="00AA5833">
        <w:rPr>
          <w:rFonts w:ascii="Times New Roman" w:eastAsia="Calibri" w:hAnsi="Times New Roman" w:cs="Times New Roman"/>
          <w:sz w:val="24"/>
          <w:szCs w:val="24"/>
        </w:rPr>
        <w:t xml:space="preserve"> Към настоящия момент се поддържа активна комуникация със следните дружества и организации в 52 държави по света:</w:t>
      </w:r>
    </w:p>
    <w:bookmarkEnd w:id="10"/>
    <w:p w14:paraId="579DF739"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Дружества – 311 (2023 – 290); Електронни медии – 60 (2023 – 65), Културни формации – 50 (2023 – 43), Младежки организации – 21 (2023 – 3) , Училища – 314 (2023 – 303) , Фолклорни състави – 184 (2023 – 141), Църковни общини – 69 (2023 – 63), Печатни медии – 1922 (2023 – 22).</w:t>
      </w:r>
    </w:p>
    <w:p w14:paraId="62223CB1"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567F3D39"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ИЗПЪЛНИТЕЛНА АГЕНЦИЯ ЗА БЪЛГАРИТЕ В ЧУЖБИНА</w:t>
      </w:r>
    </w:p>
    <w:p w14:paraId="6A5C9543"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p>
    <w:p w14:paraId="7CD71835"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5.6.3. Създаване и поддържане на регистър на младежи от българските общности в чужбина и завършили образование в чужбина</w:t>
      </w:r>
    </w:p>
    <w:p w14:paraId="62C8A688"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6A9A438"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През 2024 г. Изпълнителната агенция за българите в чужбина разработи  информационен портал „103 стъпки към успеха“, който да събира информация за всички българи от чужбина, обучавали се по ПМС №103/1993. Целта на този портал е да служи като централизирана база данни за проследяване на образователния път и професионална реализация в България на младежи от българските общности с оглед нагласите да продължат своето професионални и лично развитие в България. Тези усилия на ИАБЧ допринасят за по-добрата интеграция на младежи от чужбина в образователната и културна среда в България.</w:t>
      </w:r>
    </w:p>
    <w:p w14:paraId="750DD900"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sz w:val="24"/>
          <w:szCs w:val="24"/>
        </w:rPr>
        <w:tab/>
        <w:t>Перспективата пред Агенцията е през 2025 г., в тясно сътрудничество с МОН и висшите учебни заведения в България, да бъде стартиран целенасочен процес по събиране и систематизиране на данни, включително и с ретроспективен обхват – от влизането в сила на ПМС №103/1993.</w:t>
      </w:r>
    </w:p>
    <w:p w14:paraId="2F4ABAFB"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60F3EAE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088770D8"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F00C88A"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5.6.4. Поддържане на база данни (електронен регистър) на граждани на трети страни (ГТС), на които са предоставени социални консултации и услуги от БЧК</w:t>
      </w:r>
    </w:p>
    <w:p w14:paraId="6C1A2734"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25EE443"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Бежанско-мигрантската служба на Българския Червен кръст поддържа електронен регистър на граждани на трети страни (ГТС), на които са предоставени социални консултации и услуги. </w:t>
      </w:r>
    </w:p>
    <w:p w14:paraId="4D67A73F"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Чрез базата данни може да се проследи броят на предоставените услуги, както и броят на обхванатите лица. Електронен регистър се поддържа и в част от областните съвети на БЧК в страната, както и в НС на БЧК в София, Център за подкрепа на бежански общности „Компас“, Интеграционно-информационния център за бежанци на БЧК и в Бюрото за информация и услуги за ГТС. Той съдържа информация относно възрастта, страната на произход, правния статус на ГТС, които са консултирани, както и специфични уязвимости на лицата и мерките за подкрепа, предприети от страна на БЧК. </w:t>
      </w:r>
    </w:p>
    <w:p w14:paraId="1C87EB9D"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Достъпът до този регистър е органичен само до обучени служители на БЧК, като се спазват всички приложими правила и принципи за защита на личните данни. </w:t>
      </w:r>
    </w:p>
    <w:p w14:paraId="2566A3B4"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FDE0CDD"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DA2F6AC"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5.7. </w:t>
            </w:r>
            <w:r w:rsidRPr="00AA5833">
              <w:rPr>
                <w:rFonts w:ascii="Times New Roman" w:eastAsia="Times New Roman" w:hAnsi="Times New Roman" w:cs="Times New Roman"/>
                <w:b/>
                <w:color w:val="000000"/>
                <w:sz w:val="24"/>
                <w:szCs w:val="24"/>
                <w:lang w:eastAsia="bg-BG"/>
              </w:rPr>
              <w:t>Създаване на условия за културна и социална интеграция на имигранти и членове на техните семейства в българското общество</w:t>
            </w:r>
          </w:p>
        </w:tc>
      </w:tr>
    </w:tbl>
    <w:p w14:paraId="24A02ED0"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3030A1B4"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54B83C73"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5.7.1. Приемане на документи и провеждане на конкурси за приемане на студенти, докторанти и специализанти от българска народност, живеещи извън Република България за обучение и специализация по реда на ПМС №103/1993 г. и ПМС №228/1997 г.</w:t>
      </w:r>
    </w:p>
    <w:p w14:paraId="3AF3DB40"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p>
    <w:p w14:paraId="382EE710"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Ежегодно в изпълнение на ПМС №103/1993 г. и ПМС №228/1997 г., Министерството на образованието и науката организира и провежда кандидат-студентска кампания за прием на студенти, докторанти и специализанти. През 2024 г. е организирана и проведена кампанията за учебната 2024-2025 година, като общият брой на кандидатите по двете постановления е следният:</w:t>
      </w:r>
    </w:p>
    <w:p w14:paraId="7A632F38" w14:textId="77777777" w:rsidR="00533926" w:rsidRPr="00AA5833" w:rsidRDefault="00533926" w:rsidP="002A598C">
      <w:pPr>
        <w:numPr>
          <w:ilvl w:val="0"/>
          <w:numId w:val="83"/>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1425 кандидати за обучение след завършено средно образование – 1248 кандидати по ПМС №103/1993 г. и 177 кандидати по ПМС №228/1997 г.;</w:t>
      </w:r>
    </w:p>
    <w:p w14:paraId="4A177273" w14:textId="77777777" w:rsidR="00533926" w:rsidRPr="00AA5833" w:rsidRDefault="00533926" w:rsidP="002A598C">
      <w:pPr>
        <w:numPr>
          <w:ilvl w:val="0"/>
          <w:numId w:val="83"/>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134 кандидати за обучение след завършено висше образование – 129 кандидати по ПМС №103/1993 г. и 5 кандидати по ПМС №228/1997 г.;</w:t>
      </w:r>
    </w:p>
    <w:p w14:paraId="008E9068" w14:textId="77777777" w:rsidR="00533926" w:rsidRPr="00AA5833" w:rsidRDefault="00533926" w:rsidP="002A598C">
      <w:pPr>
        <w:numPr>
          <w:ilvl w:val="0"/>
          <w:numId w:val="83"/>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27 кандидати за обучение в ОНС „доктор“ – всички по ПМС №103/1993 г.;</w:t>
      </w:r>
    </w:p>
    <w:p w14:paraId="78468519" w14:textId="77777777" w:rsidR="00533926" w:rsidRPr="00AA5833" w:rsidRDefault="00533926" w:rsidP="002A598C">
      <w:pPr>
        <w:numPr>
          <w:ilvl w:val="0"/>
          <w:numId w:val="83"/>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20 кандидати за следдипломна специализация – всички по ПМС №103/1993 г.</w:t>
      </w:r>
    </w:p>
    <w:p w14:paraId="446D0D70"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Съгласно утвърдените от министъра на образованието и науката Правила за приемане на студенти, докторанти и специализанти за обучение в български държавни висши училища съгласно Постановление №103/1993 г. на Министерския съвет за осъществяване на образователна дейност сред българите в чужбина и Постановление №228/1997 г. на Министерския съвет за приемане на граждани на Република Северна Македония за студенти в държавните висши училища на Република България през учебната 2024 – 2025 година, за кандидат-студентите бяха направени две класирания въз основа на формирания им състезателен бал, а кандидатите за обучение в ОНС „доктор“ и за следдипломна специализация бяха класирани от Постоянната междуведомствена комисия по въпросите на образователната дейност сред българите в чужбина чрез конкурс по документи.</w:t>
      </w:r>
    </w:p>
    <w:p w14:paraId="26A962B9"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Мярката има въздействие на национално и на международно ниво.</w:t>
      </w:r>
    </w:p>
    <w:p w14:paraId="4B3D0F4D"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0080CA61"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ИЗПЪЛНИТЕЛНА АГЕНЦИЯ ЗА БЪЛГАРИТЕ В ЧУЖБИНА</w:t>
      </w:r>
    </w:p>
    <w:p w14:paraId="67E090B3"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2D1C1C5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За поредна година Изпълнителната агенция за българите в чужбина успешно изпълни ангажимента си за установяване на съответствието на кандидатите с условията за кандидатстване, а именно, установяване на български произход. В рамките на кампанията в платформата бяха отворени 1460 профила на кандидат-студенти, от които 1346 бяха одобрени за продължаване на процедурата.</w:t>
      </w:r>
    </w:p>
    <w:p w14:paraId="2A77F778"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575D837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39897A5F"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6A2857F0"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5.7.2. Организиране на информационни сесии за граждани на трети страни (ГТС)</w:t>
      </w:r>
    </w:p>
    <w:p w14:paraId="28C292B1"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B82577B"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През 2024 г. Бежанско-мигрантската служба на БЧК проведе общо 66 информационни сесии за ГТС, както следва:</w:t>
      </w:r>
    </w:p>
    <w:p w14:paraId="6262F8F3"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36 за техните права и задължения в България;</w:t>
      </w:r>
    </w:p>
    <w:p w14:paraId="09F5785E"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8 за достъп до образование;</w:t>
      </w:r>
    </w:p>
    <w:p w14:paraId="29176BD1"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1 за вредата от тютюнопушене;</w:t>
      </w:r>
    </w:p>
    <w:p w14:paraId="028FF736"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10 за лична и битова хигиена;</w:t>
      </w:r>
    </w:p>
    <w:p w14:paraId="680B94A0"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1 за насърчаване на здравето на жените;</w:t>
      </w:r>
    </w:p>
    <w:p w14:paraId="1F51BF4E"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7 по възстановяване на семейни връзки;</w:t>
      </w:r>
    </w:p>
    <w:p w14:paraId="1E24E383"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2 по култура, празници и обичаи;</w:t>
      </w:r>
    </w:p>
    <w:p w14:paraId="0838D9B5" w14:textId="77777777" w:rsidR="00533926" w:rsidRPr="00AA5833" w:rsidRDefault="00533926" w:rsidP="002A598C">
      <w:pPr>
        <w:numPr>
          <w:ilvl w:val="0"/>
          <w:numId w:val="81"/>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1 за превенция на насилието и механизмите за справяне с него.</w:t>
      </w:r>
    </w:p>
    <w:p w14:paraId="0804A25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Информационните сесии се провеждат от обучени социални работници на БЧК, които владеят съответните езици на ГТС. Това предоставя възможност на бенефициентите да получат полезна информация на достъпен за тях език, на теми, които са от ключово значение за тяхната интеграция в българското общество. </w:t>
      </w:r>
    </w:p>
    <w:p w14:paraId="34D39B53" w14:textId="77777777" w:rsidR="00533926" w:rsidRDefault="00533926" w:rsidP="00533926">
      <w:pPr>
        <w:spacing w:after="0" w:line="240" w:lineRule="auto"/>
        <w:jc w:val="both"/>
        <w:rPr>
          <w:rFonts w:ascii="Times New Roman" w:eastAsia="Calibri" w:hAnsi="Times New Roman" w:cs="Times New Roman"/>
          <w:b/>
          <w:sz w:val="24"/>
          <w:szCs w:val="24"/>
        </w:rPr>
      </w:pPr>
    </w:p>
    <w:p w14:paraId="34FA84D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09C6DCBD"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2D0EEDB7"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5.7.3. Изпълнение на интеграционни мерки за подпомагане социалното включване на граждани на трети страни (ГТС)</w:t>
      </w:r>
    </w:p>
    <w:p w14:paraId="30C26205"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2C3719CF"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Организирането на обучение по български език е сред ключовите интеграционни мерки на Бежанско-мигрантската служба на БЧК и през 2024 г. то се утвърди като една от най-търсените видове подкрепа. </w:t>
      </w:r>
    </w:p>
    <w:p w14:paraId="58E5D25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През отчетния период 1 498 лица с временна и международна закрила участваха в 60 курса, като 1 202 от тях успешно положиха финалните изпити за ниво А1, А2, В1 и В2 и получиха сертификат, който удостоверява техните езикови познания. Курсовете по български език се провеждаха по предварително одобрена методика, разработена специално за целевата група, като учителите по български език, които предоставят тази услуга, са специално обучени за работа с ГТС. </w:t>
      </w:r>
    </w:p>
    <w:p w14:paraId="03C26F81"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Екипите, включващи социални работници и координатори на Бежанско-мигрантската служба на Българския Червен кръст продължиха активно да подкрепят интеграцията на граждани на трети страни и през 2024 г., предоставяйки консултации и информационно съдействие в градовете Бургас, Варна, Добрич, Пловдив, Русе, Стара Загора и София. Този вид подпомагане с фокус върху здравеопазване, образование, заетост, настаняване и т.н. достигна до повече от 67 400 души, търсещи или получили закрила.</w:t>
      </w:r>
    </w:p>
    <w:p w14:paraId="553C67ED" w14:textId="77777777" w:rsidR="00533926" w:rsidRPr="00AA5833" w:rsidRDefault="00533926" w:rsidP="00533926">
      <w:pPr>
        <w:spacing w:after="0" w:line="240" w:lineRule="auto"/>
        <w:jc w:val="both"/>
        <w:rPr>
          <w:rFonts w:ascii="Times New Roman" w:eastAsia="Calibri"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8C5FCD1"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96BD48E"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5.8. Регламентиране на процедури за легализирането на образованието и придобитите професии на имигрантите</w:t>
            </w:r>
          </w:p>
        </w:tc>
      </w:tr>
    </w:tbl>
    <w:p w14:paraId="2E809E5E"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488E50D4"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74837B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sz w:val="24"/>
                <w:szCs w:val="24"/>
              </w:rPr>
              <w:t xml:space="preserve">5.9. </w:t>
            </w:r>
            <w:r w:rsidRPr="00AA5833">
              <w:rPr>
                <w:rFonts w:ascii="Times New Roman" w:eastAsia="Times New Roman" w:hAnsi="Times New Roman" w:cs="Times New Roman"/>
                <w:b/>
                <w:color w:val="000000"/>
                <w:sz w:val="24"/>
                <w:szCs w:val="24"/>
              </w:rPr>
              <w:t>Провеждане на информационни кампании сред населението за запознаване с нравите, обичаите и културата, а също и с проблемите на имигрантските общности, пребиваващи на територията на страната</w:t>
            </w:r>
          </w:p>
        </w:tc>
      </w:tr>
    </w:tbl>
    <w:p w14:paraId="16BFBDB1" w14:textId="77777777" w:rsidR="00533926" w:rsidRPr="00AA5833" w:rsidRDefault="00533926" w:rsidP="00533926">
      <w:pPr>
        <w:spacing w:after="0" w:line="240" w:lineRule="auto"/>
        <w:ind w:firstLine="709"/>
        <w:jc w:val="both"/>
        <w:rPr>
          <w:rFonts w:ascii="Times New Roman" w:eastAsia="Times New Roman" w:hAnsi="Times New Roman" w:cs="Times New Roman"/>
          <w:color w:val="FF0000"/>
          <w:sz w:val="24"/>
          <w:szCs w:val="24"/>
          <w:lang w:eastAsia="bg-BG"/>
        </w:rPr>
      </w:pPr>
    </w:p>
    <w:p w14:paraId="54DCFF9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3D476C2D" w14:textId="77777777" w:rsidR="00533926" w:rsidRPr="00AA5833" w:rsidRDefault="00533926" w:rsidP="00533926">
      <w:pPr>
        <w:spacing w:after="0" w:line="240" w:lineRule="auto"/>
        <w:ind w:firstLine="709"/>
        <w:jc w:val="both"/>
        <w:rPr>
          <w:rFonts w:ascii="Times New Roman" w:eastAsia="Times New Roman" w:hAnsi="Times New Roman" w:cs="Times New Roman"/>
          <w:color w:val="FF0000"/>
          <w:sz w:val="24"/>
          <w:szCs w:val="24"/>
          <w:lang w:eastAsia="bg-BG"/>
        </w:rPr>
      </w:pPr>
    </w:p>
    <w:p w14:paraId="780DC606"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5.9.1. Организиране на съвместни инициативи на граждани на трети страни (ГТС) с български граждани</w:t>
      </w:r>
    </w:p>
    <w:p w14:paraId="4372BF8D" w14:textId="77777777" w:rsidR="00533926" w:rsidRPr="00AA5833" w:rsidRDefault="00533926" w:rsidP="00533926">
      <w:pPr>
        <w:spacing w:after="0" w:line="240" w:lineRule="auto"/>
        <w:ind w:firstLine="709"/>
        <w:jc w:val="both"/>
        <w:rPr>
          <w:rFonts w:ascii="Times New Roman" w:eastAsia="Times New Roman" w:hAnsi="Times New Roman" w:cs="Times New Roman"/>
          <w:color w:val="FF0000"/>
          <w:sz w:val="24"/>
          <w:szCs w:val="24"/>
          <w:lang w:eastAsia="bg-BG"/>
        </w:rPr>
      </w:pPr>
    </w:p>
    <w:p w14:paraId="242B694E"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През 2024 г. бяха организирани 3 междукултурни събития и 16 арт прояви, образователно-развлекателни дейности, както и посещения на музеи и концерти, в които се включиха представители на бежанските общности в България и на българското </w:t>
      </w:r>
      <w:r w:rsidRPr="00AA5833">
        <w:rPr>
          <w:rFonts w:ascii="Times New Roman" w:eastAsia="Times New Roman" w:hAnsi="Times New Roman" w:cs="Times New Roman"/>
          <w:bCs/>
          <w:sz w:val="24"/>
          <w:szCs w:val="24"/>
          <w:lang w:eastAsia="bg-BG"/>
        </w:rPr>
        <w:lastRenderedPageBreak/>
        <w:t xml:space="preserve">общество. Чрез такъв тип мероприятия бе отбелязан Световният ден на бежанеца – 20 юни, Международният ден на толерантността – 16 ноември, а също така се осъществиха различни инициативи, отбелязващи традиционни празници и обичаи в България, с цел изграждане на мостове между различните общности, стимулиране на открития диалог и поощряване на уважение към многообразието сред различните етноси и групи. </w:t>
      </w:r>
    </w:p>
    <w:p w14:paraId="30738A16"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hAnsi="Times New Roman" w:cs="Times New Roman"/>
          <w:sz w:val="24"/>
          <w:szCs w:val="24"/>
        </w:rPr>
        <w:t>Пребиваващи в България бежанци посетиха и Националното състезание за възрастни хора, организирано от БЧК. Те се включиха активно в него, като на специално обособен пункт разказаха за своя бит и култура и почерпиха българските участници с характерни за своите държави специалитети.</w:t>
      </w:r>
    </w:p>
    <w:p w14:paraId="5B854309" w14:textId="77777777" w:rsidR="00533926" w:rsidRDefault="00533926" w:rsidP="00533926">
      <w:pPr>
        <w:spacing w:after="0" w:line="240" w:lineRule="auto"/>
        <w:ind w:firstLine="709"/>
        <w:jc w:val="both"/>
        <w:rPr>
          <w:rFonts w:ascii="Times New Roman" w:eastAsia="Times New Roman" w:hAnsi="Times New Roman" w:cs="Times New Roman"/>
          <w:color w:val="FF0000"/>
          <w:sz w:val="24"/>
          <w:szCs w:val="24"/>
          <w:lang w:eastAsia="bg-BG"/>
        </w:rPr>
      </w:pPr>
    </w:p>
    <w:p w14:paraId="22699054" w14:textId="77777777" w:rsidR="00D67600" w:rsidRDefault="00D67600" w:rsidP="00533926">
      <w:pPr>
        <w:spacing w:after="0" w:line="240" w:lineRule="auto"/>
        <w:ind w:firstLine="709"/>
        <w:jc w:val="both"/>
        <w:rPr>
          <w:rFonts w:ascii="Times New Roman" w:eastAsia="Times New Roman" w:hAnsi="Times New Roman" w:cs="Times New Roman"/>
          <w:color w:val="FF0000"/>
          <w:sz w:val="24"/>
          <w:szCs w:val="24"/>
          <w:lang w:eastAsia="bg-BG"/>
        </w:rPr>
      </w:pPr>
    </w:p>
    <w:p w14:paraId="46D2BB1C" w14:textId="77777777" w:rsidR="00D67600" w:rsidRPr="00AA5833" w:rsidRDefault="00D67600" w:rsidP="00533926">
      <w:pPr>
        <w:spacing w:after="0" w:line="240" w:lineRule="auto"/>
        <w:ind w:firstLine="709"/>
        <w:jc w:val="both"/>
        <w:rPr>
          <w:rFonts w:ascii="Times New Roman" w:eastAsia="Times New Roman" w:hAnsi="Times New Roman" w:cs="Times New Roman"/>
          <w:color w:val="FF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33926" w:rsidRPr="00AA5833" w14:paraId="2CF4CEFA" w14:textId="77777777" w:rsidTr="00533926">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1D60FDC9"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color w:val="000000" w:themeColor="text1"/>
                <w:sz w:val="24"/>
                <w:szCs w:val="24"/>
                <w:highlight w:val="red"/>
              </w:rPr>
              <w:br w:type="page"/>
            </w:r>
            <w:r w:rsidRPr="00AA5833">
              <w:rPr>
                <w:rFonts w:ascii="Times New Roman" w:eastAsia="Times New Roman" w:hAnsi="Times New Roman" w:cs="Times New Roman"/>
                <w:b/>
                <w:sz w:val="24"/>
                <w:szCs w:val="24"/>
              </w:rPr>
              <w:t>Направление 6 – Значително намаляване на броя на емигриращите млади хора в репродуктивна възраст</w:t>
            </w:r>
          </w:p>
        </w:tc>
      </w:tr>
    </w:tbl>
    <w:p w14:paraId="46B5272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highlight w:val="red"/>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409E91CD"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EAD122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6.1. Осигуряване на заетост и намаляване на безработицата сред младите хора</w:t>
            </w:r>
          </w:p>
        </w:tc>
      </w:tr>
    </w:tbl>
    <w:p w14:paraId="1E4C3653" w14:textId="77777777" w:rsidR="00533926" w:rsidRPr="00AA5833" w:rsidRDefault="00533926" w:rsidP="00533926">
      <w:pPr>
        <w:tabs>
          <w:tab w:val="left" w:pos="709"/>
        </w:tabs>
        <w:spacing w:after="0" w:line="240" w:lineRule="auto"/>
        <w:jc w:val="both"/>
        <w:rPr>
          <w:rFonts w:ascii="Times New Roman" w:eastAsia="Times New Roman" w:hAnsi="Times New Roman" w:cs="Times New Roman"/>
          <w:color w:val="000000"/>
          <w:sz w:val="24"/>
          <w:szCs w:val="24"/>
          <w:lang w:eastAsia="bg-BG"/>
        </w:rPr>
      </w:pPr>
    </w:p>
    <w:p w14:paraId="6CCCC14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061EAFD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624B5FE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0AB1A9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6.1.1. Национална програма „Старт на кариерата”</w:t>
      </w:r>
    </w:p>
    <w:p w14:paraId="3F285F2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AD874BB" w14:textId="77777777" w:rsidR="00533926" w:rsidRPr="00AA5833" w:rsidRDefault="00533926" w:rsidP="00533926">
      <w:pPr>
        <w:tabs>
          <w:tab w:val="left" w:pos="709"/>
        </w:tabs>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Стажуването помага на младите хора, завършили висше образование в прехода от образование към заетост чрез осигуряване практическо обучение на работното място. По този начин младите хора придобиват опит, който е важен за първите стъпки на пазара на труда. Придобиването на начален професионален опит е важно условие за включването на пазара на труда на младите хора. </w:t>
      </w:r>
      <w:r w:rsidRPr="00AA5833">
        <w:rPr>
          <w:rFonts w:ascii="Times New Roman" w:eastAsia="Times New Roman" w:hAnsi="Times New Roman" w:cs="Times New Roman"/>
          <w:b/>
          <w:sz w:val="24"/>
          <w:szCs w:val="24"/>
          <w:lang w:eastAsia="bg-BG"/>
        </w:rPr>
        <w:t>Програмата „Старт на кариерата”</w:t>
      </w:r>
      <w:r w:rsidRPr="00AA5833">
        <w:rPr>
          <w:rFonts w:ascii="Times New Roman" w:eastAsia="Times New Roman" w:hAnsi="Times New Roman" w:cs="Times New Roman"/>
          <w:sz w:val="24"/>
          <w:szCs w:val="24"/>
          <w:lang w:eastAsia="bg-BG"/>
        </w:rPr>
        <w:t xml:space="preserve"> е пряко насочена към групата на младежите до 29-год. възраст и цели да бъдат осигурени възможности за придобиване на професионален опит в публичната администрация на безработни младежи, завършили висше образование и без трудов стаж по него, с цел улесняване на прехода между образование и заетост.</w:t>
      </w:r>
    </w:p>
    <w:p w14:paraId="2D02E30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eastAsia="Times New Roman" w:hAnsi="Times New Roman" w:cs="Times New Roman"/>
          <w:sz w:val="24"/>
          <w:szCs w:val="24"/>
          <w:lang w:eastAsia="bg-BG"/>
        </w:rPr>
        <w:tab/>
        <w:t>Съгласно Националния план за действие по заетостта през 2024 г. със средствата от държавния бюджет за активна политика на пазара на труда са финансирани разходите на работодателите за труд за период от 12 месеца. През 2024 г. в заетост са включени 147 младежи. Изразходваните средства от държавния бюджет са в размер на 416 118 лв.</w:t>
      </w:r>
    </w:p>
    <w:p w14:paraId="62CC6D1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782EF1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551C15D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317F69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FEFA53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6.1.2.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 </w:t>
      </w:r>
    </w:p>
    <w:p w14:paraId="27A1431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976740" w14:textId="77777777" w:rsidR="00533926" w:rsidRPr="00AA5833" w:rsidRDefault="00533926" w:rsidP="00533926">
      <w:pPr>
        <w:tabs>
          <w:tab w:val="left" w:pos="709"/>
        </w:tabs>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Една от групите в неравностойно положение на пазара на труда, дефинирани в §1, т.4а от Допълнителните разпоредби на Закона за насърчаване на заетостта, които приоритетно се насочват към програми и мерки за обучение и заетост, обхваща </w:t>
      </w:r>
      <w:r w:rsidRPr="00AA5833">
        <w:rPr>
          <w:rFonts w:ascii="Times New Roman" w:eastAsia="Times New Roman" w:hAnsi="Times New Roman" w:cs="Times New Roman"/>
          <w:b/>
          <w:sz w:val="24"/>
          <w:szCs w:val="24"/>
          <w:lang w:eastAsia="bg-BG"/>
        </w:rPr>
        <w:t>безработните младежи до 29-годишна възраст (вкл.).</w:t>
      </w:r>
      <w:r w:rsidRPr="00AA5833">
        <w:rPr>
          <w:rFonts w:ascii="Times New Roman" w:eastAsia="Times New Roman" w:hAnsi="Times New Roman" w:cs="Times New Roman"/>
          <w:sz w:val="24"/>
          <w:szCs w:val="24"/>
          <w:lang w:eastAsia="bg-BG"/>
        </w:rPr>
        <w:t xml:space="preserve"> Те са целева група и по насърчителната мярка, регламентирана в разпоредбата на чл. 36 от Закона за насърчаване на заетостта, която се финансира със средства от държавния бюджет. Мярката обединява </w:t>
      </w:r>
      <w:r w:rsidRPr="00AA5833">
        <w:rPr>
          <w:rFonts w:ascii="Times New Roman" w:eastAsia="Times New Roman" w:hAnsi="Times New Roman" w:cs="Times New Roman"/>
          <w:sz w:val="24"/>
          <w:szCs w:val="24"/>
          <w:lang w:eastAsia="bg-BG"/>
        </w:rPr>
        <w:lastRenderedPageBreak/>
        <w:t>стимули за работодатели, които осигуряват заетост на лица от неравнопоставените групи на пазара на труда, възможности за обучение за надграждане на знания и умения и подпомагане от ментор за адаптация към трудовия процес. През 2024 г. по условията на насърчителната мярка е осигурена заетост на 148 безработни младежи до 29-годишна възраст. Изразходваните средства от държавния бюджет са в размер на 473 784 лв.</w:t>
      </w:r>
    </w:p>
    <w:p w14:paraId="7B60EE4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0A2B0C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ПО ЗАЕТОСТТА</w:t>
      </w:r>
    </w:p>
    <w:p w14:paraId="0C63992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3F854F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6.1.3. Реализиране на дейности по Проект „Младежка заетост+“</w:t>
      </w:r>
    </w:p>
    <w:p w14:paraId="48E0B77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6FEA1B8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Чрез проекта се цели предоставяне на възможност за стажуване, обучение по време на работа при работодател, осигуряване на заетост или включване в обучение за придобиване на „меки“ умения на най-малко 15 200 младежи до 29-годишна възраст включително. През 2024 г. продължава приемът на заявки, както и сключването на договори с работодатели по трите компонента на проекта - стажуване, обучение и заетост. </w:t>
      </w:r>
    </w:p>
    <w:p w14:paraId="032DF936" w14:textId="77777777" w:rsidR="00533926" w:rsidRPr="00AA5833" w:rsidRDefault="00533926" w:rsidP="00533926">
      <w:pPr>
        <w:tabs>
          <w:tab w:val="left" w:pos="709"/>
        </w:tabs>
        <w:spacing w:after="0" w:line="240" w:lineRule="auto"/>
        <w:jc w:val="both"/>
        <w:rPr>
          <w:rFonts w:ascii="Times New Roman" w:eastAsia="Calibri" w:hAnsi="Times New Roman" w:cs="Times New Roman"/>
          <w:sz w:val="24"/>
          <w:szCs w:val="24"/>
        </w:rPr>
      </w:pPr>
      <w:r w:rsidRPr="00AA5833">
        <w:rPr>
          <w:rFonts w:ascii="Times New Roman" w:eastAsia="Times New Roman" w:hAnsi="Times New Roman" w:cs="Times New Roman"/>
          <w:sz w:val="24"/>
          <w:szCs w:val="24"/>
          <w:lang w:eastAsia="bg-BG"/>
        </w:rPr>
        <w:tab/>
        <w:t>През 2024 г. в изпълнение на проекта са сключени 3 168 договора на стойност 85 891 109 лв. и са включени в заетост 5 335 безработни младежи, от които за стажуване 237 лица,  за обучение – 41 лица и за заетост – 5 057. Изплатени са средства в размер на 20 451 013,59 лв.</w:t>
      </w:r>
    </w:p>
    <w:p w14:paraId="15BE3BE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3E0CB1A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080784D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3802903" w14:textId="77777777" w:rsidR="00533926" w:rsidRPr="00AA5833" w:rsidRDefault="00533926" w:rsidP="00533926">
      <w:pPr>
        <w:spacing w:after="0" w:line="240" w:lineRule="auto"/>
        <w:jc w:val="both"/>
        <w:outlineLvl w:val="0"/>
        <w:rPr>
          <w:rFonts w:ascii="Times New Roman" w:eastAsia="PMingLiU" w:hAnsi="Times New Roman" w:cs="Times New Roman"/>
          <w:b/>
          <w:sz w:val="24"/>
          <w:szCs w:val="24"/>
        </w:rPr>
      </w:pPr>
      <w:r w:rsidRPr="00AA5833">
        <w:rPr>
          <w:rFonts w:ascii="Times New Roman" w:eastAsia="PMingLiU" w:hAnsi="Times New Roman" w:cs="Times New Roman"/>
          <w:b/>
          <w:sz w:val="24"/>
          <w:szCs w:val="24"/>
        </w:rPr>
        <w:t>6.1.4. Стартова помощ за установяване на млади земеделски стопани в селското стопанство</w:t>
      </w:r>
    </w:p>
    <w:p w14:paraId="06B22A11" w14:textId="77777777" w:rsidR="00533926" w:rsidRPr="00AA5833" w:rsidRDefault="00533926" w:rsidP="00533926">
      <w:pPr>
        <w:spacing w:after="0" w:line="240" w:lineRule="auto"/>
        <w:jc w:val="both"/>
        <w:outlineLvl w:val="0"/>
        <w:rPr>
          <w:rFonts w:ascii="Times New Roman" w:eastAsia="PMingLiU" w:hAnsi="Times New Roman" w:cs="Times New Roman"/>
          <w:b/>
          <w:sz w:val="24"/>
          <w:szCs w:val="24"/>
        </w:rPr>
      </w:pPr>
    </w:p>
    <w:p w14:paraId="7C0476B5"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 xml:space="preserve">В периода ноември 2024 г. – януари 2025 г. е проведен прием на заявления за подпомагане по интервенция „II.Д.1. Стартова помощ за установяване на млади земеделски стопани в селското стопанство“ от Стратегически план за развитие на земеделието и селските райони на Република България за периода 2023-2027 г. (СПРЗСР 2023-2027 г.), като общият размер на безвъзмездната финансова помощ е в размер на 176 млн. лева. Целта на подкрепата е привличане на млади земеделски стопани, насърчаване на заетостта и икономическото и социално развитие в селските райони. В периода на прием са подадени 1 094 заявления за подпомагане с размер на заявената финансова помощ 85,6 млн. лева, като финансовото подпомагане за един проект, подаден от млад земеделски стопанин, е в размер на левовата равностойност на 40 000 евро, или 78 233 лева. </w:t>
      </w:r>
    </w:p>
    <w:p w14:paraId="524B0838" w14:textId="77777777" w:rsidR="00533926" w:rsidRPr="00AA5833" w:rsidRDefault="00533926" w:rsidP="00533926">
      <w:pPr>
        <w:spacing w:after="0" w:line="240" w:lineRule="auto"/>
        <w:ind w:firstLine="708"/>
        <w:jc w:val="both"/>
        <w:rPr>
          <w:rFonts w:ascii="Times New Roman" w:hAnsi="Times New Roman" w:cs="Times New Roman"/>
          <w:sz w:val="24"/>
          <w:szCs w:val="24"/>
        </w:rPr>
      </w:pPr>
    </w:p>
    <w:p w14:paraId="23873FF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r w:rsidRPr="00AA5833">
        <w:rPr>
          <w:rFonts w:ascii="Times New Roman" w:eastAsia="Times New Roman" w:hAnsi="Times New Roman" w:cs="Times New Roman"/>
          <w:b/>
          <w:color w:val="0000FF"/>
          <w:sz w:val="24"/>
          <w:szCs w:val="24"/>
          <w:lang w:eastAsia="bg-BG"/>
        </w:rPr>
        <w:t>МИНИСТЕРСТВО НА ТРАНСПОРТА И СЪОБЩЕНИЯТА</w:t>
      </w:r>
    </w:p>
    <w:p w14:paraId="16AD7E4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НАЦИОНАЛНА КОМПАНИЯ „ЖЕЛЕЗОПЪТНА ИНФРАСТРУКТУРА“ (НКЖИ)</w:t>
      </w:r>
    </w:p>
    <w:p w14:paraId="18D1852B" w14:textId="77777777" w:rsidR="00533926" w:rsidRPr="00AA5833" w:rsidRDefault="00533926" w:rsidP="00533926">
      <w:pPr>
        <w:spacing w:after="0" w:line="240" w:lineRule="auto"/>
        <w:jc w:val="center"/>
        <w:rPr>
          <w:rFonts w:ascii="Times New Roman" w:hAnsi="Times New Roman" w:cs="Times New Roman"/>
          <w:color w:val="FF0000"/>
          <w:sz w:val="24"/>
          <w:szCs w:val="24"/>
        </w:rPr>
      </w:pPr>
    </w:p>
    <w:p w14:paraId="38EE7845" w14:textId="77777777" w:rsidR="00533926" w:rsidRPr="00AA5833" w:rsidRDefault="00533926" w:rsidP="00533926">
      <w:pPr>
        <w:tabs>
          <w:tab w:val="left" w:pos="709"/>
        </w:tabs>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6.1.5. Взаимодействие с образователните институции – сключване на договори с висшите училища и професионалните гимназии по жп транспорт за провеждане на стажове и практики на студентите и учениците и последващото им назначаване на работа чрез Стажантска програма, Стипендиантска програма и Програма за развитие на кадрите чрез обучение на млади специалисти във ВУЗ</w:t>
      </w:r>
    </w:p>
    <w:p w14:paraId="2F88CB01" w14:textId="77777777" w:rsidR="00533926" w:rsidRPr="00AA5833" w:rsidRDefault="00533926" w:rsidP="00533926">
      <w:pPr>
        <w:tabs>
          <w:tab w:val="left" w:pos="709"/>
        </w:tabs>
        <w:spacing w:after="0" w:line="240" w:lineRule="auto"/>
        <w:jc w:val="both"/>
        <w:rPr>
          <w:rFonts w:ascii="Times New Roman" w:eastAsia="Times New Roman" w:hAnsi="Times New Roman" w:cs="Times New Roman"/>
          <w:b/>
          <w:color w:val="000000"/>
          <w:sz w:val="24"/>
          <w:szCs w:val="24"/>
          <w:lang w:eastAsia="bg-BG"/>
        </w:rPr>
      </w:pPr>
    </w:p>
    <w:p w14:paraId="2DE0BA55" w14:textId="77777777" w:rsidR="00533926" w:rsidRPr="00AA5833" w:rsidRDefault="00533926" w:rsidP="00533926">
      <w:pPr>
        <w:spacing w:after="0" w:line="240" w:lineRule="auto"/>
        <w:ind w:firstLine="709"/>
        <w:jc w:val="both"/>
        <w:rPr>
          <w:rFonts w:ascii="Times New Roman" w:eastAsia="Times New Roman" w:hAnsi="Times New Roman" w:cs="Times New Roman"/>
          <w:color w:val="000000" w:themeColor="text1"/>
          <w:sz w:val="24"/>
          <w:szCs w:val="24"/>
        </w:rPr>
      </w:pPr>
      <w:r w:rsidRPr="00AA5833">
        <w:rPr>
          <w:rFonts w:ascii="Times New Roman" w:eastAsia="Times New Roman" w:hAnsi="Times New Roman" w:cs="Times New Roman"/>
          <w:color w:val="000000" w:themeColor="text1"/>
          <w:sz w:val="24"/>
          <w:szCs w:val="24"/>
        </w:rPr>
        <w:t xml:space="preserve">НКЖИ има сключени договори за сътрудничество с 8 висши учебни заведения в градовете София, Велико Търново и Бургас и 10 професионални гимназии в София, Горна Оряховица, Карлово, Димитровград, Пловдив и Костенец, където се изучават </w:t>
      </w:r>
      <w:r w:rsidRPr="00AA5833">
        <w:rPr>
          <w:rFonts w:ascii="Times New Roman" w:eastAsia="Times New Roman" w:hAnsi="Times New Roman" w:cs="Times New Roman"/>
          <w:color w:val="000000" w:themeColor="text1"/>
          <w:sz w:val="24"/>
          <w:szCs w:val="24"/>
        </w:rPr>
        <w:lastRenderedPageBreak/>
        <w:t xml:space="preserve">специалности, пряко свързани с дейността на компанията. Чрез разписаните договори се дава възможност </w:t>
      </w:r>
      <w:r w:rsidRPr="00AA5833">
        <w:rPr>
          <w:rFonts w:ascii="Times New Roman" w:eastAsia="Times New Roman" w:hAnsi="Times New Roman" w:cs="Times New Roman"/>
          <w:sz w:val="24"/>
          <w:szCs w:val="24"/>
        </w:rPr>
        <w:t>да се осъществяват срещи с учениците и студентите както на територията на учебните заведения, в които се обучават, така и в реална работна среда в предприятието</w:t>
      </w:r>
      <w:r w:rsidRPr="00AA5833">
        <w:rPr>
          <w:rFonts w:ascii="Times New Roman" w:eastAsia="Times New Roman" w:hAnsi="Times New Roman" w:cs="Times New Roman"/>
          <w:color w:val="000000"/>
          <w:sz w:val="24"/>
          <w:szCs w:val="24"/>
        </w:rPr>
        <w:t xml:space="preserve">. </w:t>
      </w:r>
      <w:r w:rsidRPr="00AA5833">
        <w:rPr>
          <w:rFonts w:ascii="Times New Roman" w:eastAsia="Times New Roman" w:hAnsi="Times New Roman" w:cs="Times New Roman"/>
          <w:color w:val="000000" w:themeColor="text1"/>
          <w:sz w:val="24"/>
          <w:szCs w:val="24"/>
        </w:rPr>
        <w:t>Компанията има сключени и споразумения за партньорство с професионалните гимназии по жп транспорт в гр. Карлово и гр. Горна Оряховица за организиране и реализиране на обучение чрез работа (дуална система на обучение). През годината са проведени 6 бр. кариерни форуми за презентиране на компанията като работодател за търсене и наемане на млади хора.</w:t>
      </w:r>
      <w:r w:rsidRPr="00AA5833">
        <w:rPr>
          <w:rFonts w:ascii="Times New Roman" w:hAnsi="Times New Roman" w:cs="Times New Roman"/>
          <w:sz w:val="24"/>
          <w:szCs w:val="24"/>
        </w:rPr>
        <w:t xml:space="preserve"> </w:t>
      </w:r>
      <w:r w:rsidRPr="00AA5833">
        <w:rPr>
          <w:rFonts w:ascii="Times New Roman" w:eastAsia="Times New Roman" w:hAnsi="Times New Roman" w:cs="Times New Roman"/>
          <w:color w:val="000000" w:themeColor="text1"/>
          <w:sz w:val="24"/>
          <w:szCs w:val="24"/>
        </w:rPr>
        <w:t xml:space="preserve">Компанията е участвала в много и различни на брой форуми, стажове, кариерни събития, изложения и младежки трудови борси. </w:t>
      </w:r>
    </w:p>
    <w:p w14:paraId="215927F9" w14:textId="77777777" w:rsidR="00533926" w:rsidRPr="00AA5833" w:rsidRDefault="00533926" w:rsidP="00533926">
      <w:pPr>
        <w:spacing w:after="0" w:line="240" w:lineRule="auto"/>
        <w:ind w:firstLine="709"/>
        <w:jc w:val="both"/>
        <w:rPr>
          <w:rFonts w:ascii="Times New Roman" w:eastAsia="Times New Roman" w:hAnsi="Times New Roman" w:cs="Times New Roman"/>
          <w:color w:val="000000" w:themeColor="text1"/>
          <w:sz w:val="24"/>
          <w:szCs w:val="24"/>
        </w:rPr>
      </w:pPr>
      <w:r w:rsidRPr="00AA5833">
        <w:rPr>
          <w:rFonts w:ascii="Times New Roman" w:eastAsia="Times New Roman" w:hAnsi="Times New Roman" w:cs="Times New Roman"/>
          <w:color w:val="000000" w:themeColor="text1"/>
          <w:sz w:val="24"/>
          <w:szCs w:val="24"/>
        </w:rPr>
        <w:t xml:space="preserve">НКЖИ насърчава ученето през целия живот и активните дейности по професионално обучение – ежегодни обучения за повишаване на професионалната квалификация и придобиване на нова квалификация за развиване на умения за работа с новите технологии и др. </w:t>
      </w:r>
    </w:p>
    <w:p w14:paraId="745F2DCE"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AA5833">
        <w:rPr>
          <w:rFonts w:ascii="Times New Roman" w:eastAsia="Times New Roman" w:hAnsi="Times New Roman" w:cs="Times New Roman"/>
          <w:color w:val="000000" w:themeColor="text1"/>
          <w:sz w:val="24"/>
          <w:szCs w:val="24"/>
        </w:rPr>
        <w:t>Провеждат се ежегодни обучения за повишаване на професионалната квалификация и придобиване на нова такава, на база утвърдена годишна програма.</w:t>
      </w:r>
    </w:p>
    <w:p w14:paraId="026D3A71"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AA5833">
        <w:rPr>
          <w:rFonts w:ascii="Times New Roman" w:eastAsia="Times New Roman" w:hAnsi="Times New Roman" w:cs="Times New Roman"/>
          <w:color w:val="000000" w:themeColor="text1"/>
          <w:sz w:val="24"/>
          <w:szCs w:val="24"/>
        </w:rPr>
        <w:t>Към 31.12.2024 г. списъчният състав на персонала в НКЖИ е 10 386 бр., като броят на сключените договори за сътрудничество е 20 бр., а броят на наетия персонал – 912 бр. Броят на обучените по отделните направления на база утвърдената годишна програма на НКЖИ е както следва:</w:t>
      </w:r>
    </w:p>
    <w:p w14:paraId="3367A53E"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Придобиване на степен на професионална квалификация – 79 бр.</w:t>
      </w:r>
    </w:p>
    <w:p w14:paraId="2A3B0B1A"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Придобиване на квалификация по част от професия – 89 бр.</w:t>
      </w:r>
    </w:p>
    <w:p w14:paraId="3625AB2E"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Придобиване на професионална квалификация и правоспособност – 183 бр.</w:t>
      </w:r>
    </w:p>
    <w:p w14:paraId="5E24C92B"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Придобиване на правоспособност – 190 бр.</w:t>
      </w:r>
    </w:p>
    <w:p w14:paraId="44465F12"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Разширяване и актуализиране на професионалната квалификация – 391 бр.</w:t>
      </w:r>
    </w:p>
    <w:p w14:paraId="5ABA1752" w14:textId="77777777" w:rsidR="00533926" w:rsidRPr="00AA5833" w:rsidRDefault="00533926" w:rsidP="002A598C">
      <w:pPr>
        <w:numPr>
          <w:ilvl w:val="0"/>
          <w:numId w:val="77"/>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Периодично обучение по нормативни документи – 5 434 бр.</w:t>
      </w:r>
    </w:p>
    <w:p w14:paraId="301D8034" w14:textId="77777777" w:rsidR="00533926" w:rsidRPr="00AA5833" w:rsidRDefault="00533926" w:rsidP="0053392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A5833">
        <w:rPr>
          <w:rFonts w:ascii="Times New Roman" w:eastAsia="Times New Roman" w:hAnsi="Times New Roman" w:cs="Times New Roman"/>
          <w:color w:val="000000" w:themeColor="text1"/>
          <w:sz w:val="24"/>
          <w:szCs w:val="24"/>
        </w:rPr>
        <w:tab/>
        <w:t>Общият брой на обучените курсисти е 6 366 бр.</w:t>
      </w:r>
    </w:p>
    <w:p w14:paraId="76CC157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0E5F85FE" w14:textId="77777777" w:rsidR="00533926" w:rsidRPr="002E676E" w:rsidRDefault="00533926" w:rsidP="00533926">
      <w:pPr>
        <w:autoSpaceDE w:val="0"/>
        <w:autoSpaceDN w:val="0"/>
        <w:adjustRightInd w:val="0"/>
        <w:spacing w:after="0" w:line="240" w:lineRule="auto"/>
        <w:jc w:val="center"/>
        <w:rPr>
          <w:rFonts w:ascii="Times New Roman" w:hAnsi="Times New Roman" w:cs="Times New Roman"/>
          <w:color w:val="000000"/>
          <w:sz w:val="20"/>
          <w:szCs w:val="20"/>
        </w:rPr>
      </w:pPr>
      <w:r w:rsidRPr="002E676E">
        <w:rPr>
          <w:rFonts w:ascii="Times New Roman" w:hAnsi="Times New Roman" w:cs="Times New Roman"/>
          <w:b/>
          <w:color w:val="0000FF"/>
          <w:sz w:val="24"/>
          <w:szCs w:val="24"/>
        </w:rPr>
        <w:t xml:space="preserve">КОНФЕДЕРАЦИЯ НА НЕЗАВИСИМИТЕ СИНДИКАТИ В БЪЛГАРИЯ </w:t>
      </w:r>
    </w:p>
    <w:p w14:paraId="01A41128" w14:textId="77777777" w:rsidR="00533926" w:rsidRPr="002E676E" w:rsidRDefault="00533926" w:rsidP="00533926">
      <w:pPr>
        <w:autoSpaceDE w:val="0"/>
        <w:autoSpaceDN w:val="0"/>
        <w:adjustRightInd w:val="0"/>
        <w:spacing w:after="0" w:line="240" w:lineRule="auto"/>
        <w:jc w:val="both"/>
        <w:rPr>
          <w:rFonts w:ascii="Times New Roman" w:hAnsi="Times New Roman" w:cs="Times New Roman"/>
          <w:color w:val="000000"/>
          <w:sz w:val="20"/>
          <w:szCs w:val="20"/>
        </w:rPr>
      </w:pPr>
    </w:p>
    <w:p w14:paraId="0E32E1A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2E676E">
        <w:rPr>
          <w:rFonts w:ascii="Times New Roman" w:hAnsi="Times New Roman" w:cs="Times New Roman"/>
          <w:b/>
          <w:color w:val="000000"/>
          <w:sz w:val="24"/>
          <w:szCs w:val="24"/>
        </w:rPr>
        <w:t>6.1.6. Кампания „Моето първо работно място“</w:t>
      </w:r>
      <w:r w:rsidRPr="00AA5833">
        <w:rPr>
          <w:rFonts w:ascii="Times New Roman" w:hAnsi="Times New Roman" w:cs="Times New Roman"/>
          <w:b/>
          <w:color w:val="000000"/>
          <w:sz w:val="24"/>
          <w:szCs w:val="24"/>
        </w:rPr>
        <w:t xml:space="preserve"> </w:t>
      </w:r>
    </w:p>
    <w:p w14:paraId="5106BCD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73359D9"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A88A51F"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bCs/>
                <w:color w:val="000000"/>
                <w:sz w:val="24"/>
                <w:szCs w:val="24"/>
                <w:lang w:eastAsia="bg-BG"/>
              </w:rPr>
              <w:t xml:space="preserve">6.2. Подобряване на условията на труд, заплащането и качеството на заетостта </w:t>
            </w:r>
          </w:p>
        </w:tc>
      </w:tr>
    </w:tbl>
    <w:p w14:paraId="480AAD8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5CAFE9C2"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63A7AFE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33136D5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6.2.1. Включване на млади преподаватели, докторанти и постдокторанти в национални и международни научни програми/проекти</w:t>
      </w:r>
    </w:p>
    <w:p w14:paraId="0B5635D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55D2CE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iCs/>
          <w:color w:val="000000"/>
          <w:sz w:val="24"/>
          <w:szCs w:val="24"/>
        </w:rPr>
      </w:pPr>
      <w:r w:rsidRPr="00AA5833">
        <w:rPr>
          <w:rFonts w:ascii="Times New Roman" w:hAnsi="Times New Roman" w:cs="Times New Roman"/>
          <w:iCs/>
          <w:color w:val="000000"/>
          <w:sz w:val="24"/>
          <w:szCs w:val="24"/>
        </w:rPr>
        <w:tab/>
        <w:t xml:space="preserve">За насърчаване участието на младите учени и постдокторанти в научноизследователска дейност Фонд „Научни изследвания“ (ФНИ) провежда конкурси за финансиране на проекти за фундаментални научни изследвания на млади учени и постдокторанти, насочени към подкрепа на нестопанска научна дейност и придобиване на нови знания. Финансират се проекти в различни научни области: биологически, физически, химически, медицински, селскостопански, математически, технически, обществени науки, хуманитарни науки и науки за земята. </w:t>
      </w:r>
    </w:p>
    <w:p w14:paraId="6290C76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iCs/>
          <w:color w:val="000000"/>
          <w:sz w:val="24"/>
          <w:szCs w:val="24"/>
        </w:rPr>
      </w:pPr>
      <w:r w:rsidRPr="00AA5833">
        <w:rPr>
          <w:rFonts w:ascii="Times New Roman" w:hAnsi="Times New Roman" w:cs="Times New Roman"/>
          <w:iCs/>
          <w:color w:val="000000"/>
          <w:sz w:val="24"/>
          <w:szCs w:val="24"/>
        </w:rPr>
        <w:tab/>
        <w:t xml:space="preserve">Провеждат се конкурси за млади учени по Рамковата програма за научни изследвания и иновации на ЕС „Хоризонт Европа“, дейност „Мария-Склодовска Кюри“. Целите на конкурсите за млади учени в дейностите „Мария Склодовска-Кюри“ са: увеличаване броя на успешните проекти с българско участие и увеличаване броя на </w:t>
      </w:r>
      <w:r w:rsidRPr="00AA5833">
        <w:rPr>
          <w:rFonts w:ascii="Times New Roman" w:hAnsi="Times New Roman" w:cs="Times New Roman"/>
          <w:iCs/>
          <w:color w:val="000000"/>
          <w:sz w:val="24"/>
          <w:szCs w:val="24"/>
        </w:rPr>
        <w:lastRenderedPageBreak/>
        <w:t>успешните български кандидати; активно участие в европейските и международни научни организации, което подпомага обмена на учени и знания; възможност за достъп до най-съвременните научни съоръжения; организиране и участие в специалните програми и инструменти на Хоризонт Европа. Обучението и кариерното развитие по дейностите „Мария Склодовска-Кюри“ спомага за формирането на водещи изследователи. Предлага се подкрепа на млади и опитни изследователи с цел подпомагане на тяхната кариера и умения чрез обучение или назначения за определени периоди в друга държава или в частния сектор. Това им осигурява нови познания и опит, които им позволяват да достигнат пълния си потенциал. За отчетния период подписаните договори за финансираните на проекти са 8 бр. Общия бюджет по дейност „Мария-Склодовска Кюри“ за България през 2024 г. е в размер на 1 492 792,96 евро.</w:t>
      </w:r>
    </w:p>
    <w:p w14:paraId="673D9AD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iCs/>
          <w:color w:val="000000"/>
          <w:sz w:val="24"/>
          <w:szCs w:val="24"/>
        </w:rPr>
      </w:pPr>
      <w:r w:rsidRPr="00AA5833">
        <w:rPr>
          <w:rFonts w:ascii="Times New Roman" w:hAnsi="Times New Roman" w:cs="Times New Roman"/>
          <w:iCs/>
          <w:color w:val="000000"/>
          <w:sz w:val="24"/>
          <w:szCs w:val="24"/>
        </w:rPr>
        <w:tab/>
        <w:t>Мярката има въздействие на национално и на международно ниво.</w:t>
      </w:r>
    </w:p>
    <w:p w14:paraId="4169482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7F02B0A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540BDE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6.2.2. Осигуряване на възможности за спорт на военнослужещите, служителите, курсантите и преподавателите от Министерство на отбраната, структурите на пряко подчинение на министъра на отбраната и Българската армия</w:t>
      </w:r>
    </w:p>
    <w:p w14:paraId="3FC1434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43E826F"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Спортната дейност, провеждана в Българската армия е регламентирана и съобразена със Закона за отбраната и въоръжените сили на Република България, Закона за физическото възпитание и спорт и Ръководството по физическата подготовка и организиране на спортната дейност във въоръжените сили на Република България и заповед на министъра на отбраната относно организиране и провеждане на държавните военни шампионати (ДВШ) през 2024 г. Насочена е към запазване и укрепване на здравословното състояние на военнослужещите и цивилните служители, както и за повишаване на физическата подготовка и професионална работоспособност.</w:t>
      </w:r>
    </w:p>
    <w:p w14:paraId="1D1ECA65"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В изпълнение на горецитираната заповед са проведени 8</w:t>
      </w:r>
      <w:r w:rsidRPr="00AA5833">
        <w:rPr>
          <w:rFonts w:ascii="Times New Roman" w:hAnsi="Times New Roman" w:cs="Times New Roman"/>
          <w:b/>
          <w:sz w:val="24"/>
          <w:szCs w:val="24"/>
        </w:rPr>
        <w:t xml:space="preserve"> </w:t>
      </w:r>
      <w:r w:rsidRPr="00AA5833">
        <w:rPr>
          <w:rFonts w:ascii="Times New Roman" w:hAnsi="Times New Roman" w:cs="Times New Roman"/>
          <w:sz w:val="24"/>
          <w:szCs w:val="24"/>
        </w:rPr>
        <w:t xml:space="preserve">държавни военни шампионата в страната по спортовете военен многобой, тактическа стрелба, ориентиране, дуелна и щафетна стрелба, стрелба с пистолет, волейбол и футбол. </w:t>
      </w:r>
    </w:p>
    <w:p w14:paraId="41475816"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В спортните мероприятия участваха 13 отбора и над 1 300 военнослужещи от Министерството на отбраната, структурите на пряко подчинение на министъра на отбраната и Българската армия. Те са излъчени от звената рота, батальон, полк, бригада, вид въоръжена сила и структура.</w:t>
      </w:r>
    </w:p>
    <w:p w14:paraId="690B2433"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Спортната дейност в Министерството на отбраната се подпомага и от Националната военна спортна федерация (НВСФ). Под егидата на НВСФ се проведоха 11 държавни военни първенства.</w:t>
      </w:r>
    </w:p>
    <w:p w14:paraId="6B789B0E"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Във всички военно-приложни шампионати и първенства, както и в спортните тренировки, при подготовката за тях, се изграждат и развиват физически качества, формиращи и усъвършенстващи военно-приложни умения. В процеса на учебно-бойната дейност те допринасят за подобряване професионалната ефективност и работоспособност на личния състав.</w:t>
      </w:r>
    </w:p>
    <w:p w14:paraId="0CE162D2"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Българската армия е пълноправен член на Международния съвет за военен спорт (CISM). Във връзка с това представителните отбори на въоръжените сили са взели участие в 4 световни и регионални военни първенства.  </w:t>
      </w:r>
    </w:p>
    <w:p w14:paraId="3D98DA2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8D60A07"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BF59EB3"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6.3. Осигуряване на равен достъп до качествено образование и възможности за учене през целия живот</w:t>
            </w:r>
          </w:p>
        </w:tc>
      </w:tr>
    </w:tbl>
    <w:p w14:paraId="164B6F95" w14:textId="77777777" w:rsidR="00533926" w:rsidRPr="00AA5833" w:rsidRDefault="00533926" w:rsidP="00533926">
      <w:pPr>
        <w:spacing w:after="0" w:line="240" w:lineRule="auto"/>
        <w:jc w:val="center"/>
        <w:rPr>
          <w:rFonts w:ascii="Times New Roman" w:eastAsia="Times New Roman" w:hAnsi="Times New Roman" w:cs="Times New Roman"/>
          <w:b/>
          <w:bCs/>
          <w:color w:val="FF0000"/>
          <w:sz w:val="24"/>
          <w:szCs w:val="24"/>
          <w:lang w:eastAsia="bg-BG"/>
        </w:rPr>
      </w:pPr>
    </w:p>
    <w:p w14:paraId="67047414"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30E61203"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054DC267"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lastRenderedPageBreak/>
        <w:t>6.3.1. Организиране и провеждане на ежегоден национален конкурс „Млади таланти“</w:t>
      </w:r>
    </w:p>
    <w:p w14:paraId="13279D92"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71D4ADB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Министерството на образованието и науката е организатор на Национален конкурс „Млади таланти”. Той се провежда от 1999 г. и представлява възможност за насърчаване на младите хора – ученици и студенти, притежаващи потенциал и проявяващи интерес към наука и към провеждането на научни изследвания и иновации. Конкурсът е част от инициативите на Министерството на образованието и науката за стимулиране и подпомагане развитието на младите научни таланти в страната. Регламентът за участие в националния конкурс предвижда подготовката на научноизследователски и иновативни проекти в категориите: „Биология“, „Химия“, „Информатика“, „Инженерни науки“, „Материалознание“, „Математика“, „Медицина“, „Физика“, „Социални и хуманитарни науки“ и „Екология“. 26 - ят Национален конкурс „Млади таланти“ се проведе в периода 17-19 април 2024 г. През 2024 г. постъпиха рекорден брой проекти – 42, от които право да се състезават получиха 37.</w:t>
      </w:r>
    </w:p>
    <w:p w14:paraId="071886B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Мярката има въздействие на национално ниво.</w:t>
      </w:r>
    </w:p>
    <w:p w14:paraId="52F4060C"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7698DAB7"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610B8EF2" w14:textId="77777777" w:rsidR="00533926" w:rsidRPr="00AA5833" w:rsidRDefault="00533926" w:rsidP="00533926">
      <w:pPr>
        <w:spacing w:after="0" w:line="240" w:lineRule="auto"/>
        <w:jc w:val="center"/>
        <w:rPr>
          <w:rFonts w:ascii="Times New Roman" w:eastAsia="Times New Roman" w:hAnsi="Times New Roman" w:cs="Times New Roman"/>
          <w:b/>
          <w:bCs/>
          <w:sz w:val="24"/>
          <w:szCs w:val="24"/>
          <w:lang w:eastAsia="bg-BG"/>
        </w:rPr>
      </w:pPr>
    </w:p>
    <w:p w14:paraId="1377CC7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6.3.2. Организиране участието на млади учени в Ежегодния Европейски конкурс за млади учени (EUCYS) и в Европейското младежко научно изложение EXPO Science Europe 2024 г. </w:t>
      </w:r>
    </w:p>
    <w:p w14:paraId="75EC5A1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0749AC55"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Европейският конкурс за млади учени (EUCYS) е най-престижният научен конкурс за младежи на възраст между 14 и 20 години в сферата на науките и технологиите, инженерството и математиката, създаден по инициатива на Европейската комисия (ЕК). EUCYS се финансира по Рамковата програма за научни изследвания и иновации на ЕС „Хоризонт Европа“ по направлението „Разширяване на участието и укрепване на европейското научноизследователско пространство“. Програмата е част от по-широка инициатива за укрепване на връзките между науката и обществото, насърчаване на отговорните научни изследвания и иновации, и постигане на напредък в европейското научноизследователско пространство. България участва от 1997 г., като учениците, конкуриращи се за европейските отличия, първо преминават през Националния конкурс „Млади таланти“, организиран от Министерството на образованието и науката.</w:t>
      </w:r>
    </w:p>
    <w:p w14:paraId="3064E95C"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В 35-ото издание на </w:t>
      </w:r>
      <w:bookmarkStart w:id="11" w:name="_Hlk195021494"/>
      <w:r w:rsidRPr="00AA5833">
        <w:rPr>
          <w:rFonts w:ascii="Times New Roman" w:eastAsia="Times New Roman" w:hAnsi="Times New Roman" w:cs="Times New Roman"/>
          <w:bCs/>
          <w:sz w:val="24"/>
          <w:szCs w:val="24"/>
          <w:lang w:eastAsia="bg-BG"/>
        </w:rPr>
        <w:t>конкурса EUCYS</w:t>
      </w:r>
      <w:bookmarkEnd w:id="11"/>
      <w:r w:rsidRPr="00AA5833">
        <w:rPr>
          <w:rFonts w:ascii="Times New Roman" w:eastAsia="Times New Roman" w:hAnsi="Times New Roman" w:cs="Times New Roman"/>
          <w:bCs/>
          <w:sz w:val="24"/>
          <w:szCs w:val="24"/>
          <w:lang w:eastAsia="bg-BG"/>
        </w:rPr>
        <w:t>, което се проведе в Полша през 2024 г. участваха около 146 млади учени от почти 37 държави, които представиха 94 проекта в широк спектър от области на науката – от биология до математика и социални науки. Печелившите проекти си поделиха общо 62 000 евро парични награди, включително четири първи награди от 7 000 евро, четири 2-ри награди от 5 000 евро, четири 3-ти награди от 3 500 евро и престижни посещения в най-важните изследователски организации в Европа като Европейската организация за ядрени изследвания (CERN), ESA, ESO, EU XFEL, Eurofusion, EMBL, ILL и ESRF, както и до CBE, CNIC и Световното изложение в Осака. България беше представена от класираните на първите три места ученици в 26-ото издание на Националния конкурс „Млади таланти”. Те бяха изпратени да представляват България на Европейския конкурс за млади учени през м. септември, домакинстван от град Катовице, Полша. През 2024 г. България направи едно от най-успешните си представяния в историята на конкурса EUCYS. Тримата ни участници завоюваха общо четири награди.</w:t>
      </w:r>
      <w:r w:rsidRPr="00AA5833">
        <w:rPr>
          <w:rFonts w:ascii="Times New Roman" w:hAnsi="Times New Roman" w:cs="Times New Roman"/>
          <w:sz w:val="24"/>
          <w:szCs w:val="24"/>
        </w:rPr>
        <w:t xml:space="preserve"> Проектът </w:t>
      </w:r>
      <w:r w:rsidRPr="00AA5833">
        <w:rPr>
          <w:rFonts w:ascii="Times New Roman" w:eastAsia="Times New Roman" w:hAnsi="Times New Roman" w:cs="Times New Roman"/>
          <w:bCs/>
          <w:sz w:val="24"/>
          <w:szCs w:val="24"/>
          <w:lang w:eastAsia="bg-BG"/>
        </w:rPr>
        <w:t xml:space="preserve">„Теоретично и експериментално изследване на корабни следи“ (област физика), който представя експериментално и теоретично </w:t>
      </w:r>
      <w:r w:rsidRPr="00AA5833">
        <w:rPr>
          <w:rFonts w:ascii="Times New Roman" w:eastAsia="Times New Roman" w:hAnsi="Times New Roman" w:cs="Times New Roman"/>
          <w:bCs/>
          <w:sz w:val="24"/>
          <w:szCs w:val="24"/>
          <w:lang w:eastAsia="bg-BG"/>
        </w:rPr>
        <w:lastRenderedPageBreak/>
        <w:t>изследване на ъглите на вълните, които оставят движещи се плавателни съдове, взе първа награда на конкурса, придружена със 7 000 евро и наградата на Стокхолмския младежки научен семинар. Също така проектът получи и наградата на Regeneron ISEF, където ще участва май месец 2025 г., в Кълъмбъс, Охайо. Вторият проект, „Енергии в деформирани равнинни решетки. Геометрично разглеждане“ (област математика), който се занимава с изключително актуалната тематика за разпознаване на синтетични методи, генерирани от алгоритми за машинно обучение, получи наградата на Европейската космическа агенция и ще посети нейните лаборатории. Три други проекта представиха България на EXPO Science Europe (Европейското научно младежко изложение), което се проведе в гр. Сараево, Босна и Херцеговина през юли 2024 г.</w:t>
      </w:r>
    </w:p>
    <w:p w14:paraId="2A5935E8" w14:textId="77777777" w:rsidR="00533926" w:rsidRPr="00AA5833" w:rsidRDefault="00533926" w:rsidP="00533926">
      <w:pPr>
        <w:tabs>
          <w:tab w:val="left" w:pos="5960"/>
        </w:tabs>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Мярката има въздействие на европейско ниво.</w:t>
      </w:r>
      <w:r w:rsidRPr="00AA5833">
        <w:rPr>
          <w:rFonts w:ascii="Times New Roman" w:eastAsia="Times New Roman" w:hAnsi="Times New Roman" w:cs="Times New Roman"/>
          <w:bCs/>
          <w:sz w:val="24"/>
          <w:szCs w:val="24"/>
          <w:lang w:eastAsia="bg-BG"/>
        </w:rPr>
        <w:tab/>
      </w:r>
    </w:p>
    <w:p w14:paraId="3B75C3B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2FE16945"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75903B3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393D24F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6.3.3. Наредба за условията и реда за планиране, разпределение и разходване на средствата, отпускани от държавния бюджет за присъщата на ДВУ научна и художественотворческа дейност </w:t>
      </w:r>
    </w:p>
    <w:p w14:paraId="79C107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7D3A60AF"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До 31.03.2024 г. 33-те държавните висши училища (ДВУ) са представили в МОН годишните си отчети за 2023 г. по изпълнението на бюджетните средства за наука, които се разпределят по Наредбата за условията и реда за оценката, планирането,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След проверка на отчетите са предоставени на ДВУ 70% от разчетените за целта средства. Средствата се предоставят за сметка на трансфера от държавния бюджет за ДВУ.</w:t>
      </w:r>
    </w:p>
    <w:p w14:paraId="439C1DAC"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През м. юли 2024 г. ДВУ са представили в МОН 6-месечните си отчети за 2024 г. в изпълнение на Наредбата, като през м. септември е финансиран остатъкът от 30% от одобрените им средства. Със средствата  по Наредбата се финансират научни проекти в областите на науката и изкуствата, в които съответното ДВУ подготвя студенти и докторанти. През 2024 г. в проектите са участвали 2112 докторанти.</w:t>
      </w:r>
    </w:p>
    <w:p w14:paraId="572B3250"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Мярката има въздействие на национално ниво.</w:t>
      </w:r>
    </w:p>
    <w:p w14:paraId="2F36174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4928E8EC"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417C7A8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5F7664B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6.3.4. Конкурси за млади учени и постдокторанти на Фонд „Научни изследвания“ (ФНИ) </w:t>
      </w:r>
    </w:p>
    <w:p w14:paraId="5C03879E"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През 2024 г. за девета поредна година ФНИ проведе конкурс за финансирането на проекти за фундаментални научни изследвания на млади учени и постдокторанти, насочен към стимулиране на научните изследвания на следващо поколение учени, в съответствие с Националната стратегия за развитие на научните изследвания в Република България 2017 – 2030. Целта на конкурса е да допринесе за изпълнението на следните цели на Стратегията:</w:t>
      </w:r>
    </w:p>
    <w:p w14:paraId="0E7693E4" w14:textId="77777777" w:rsidR="00533926" w:rsidRPr="00AA5833" w:rsidRDefault="00533926" w:rsidP="002A598C">
      <w:pPr>
        <w:numPr>
          <w:ilvl w:val="1"/>
          <w:numId w:val="84"/>
        </w:numPr>
        <w:spacing w:after="0" w:line="240" w:lineRule="auto"/>
        <w:ind w:firstLine="426"/>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Осигуряване на висока квалификация и ефективно кариерно развитие на учените, основано на високо ниво на научните изследвания;</w:t>
      </w:r>
    </w:p>
    <w:p w14:paraId="76143CFC" w14:textId="77777777" w:rsidR="00533926" w:rsidRPr="00AA5833" w:rsidRDefault="00533926" w:rsidP="002A598C">
      <w:pPr>
        <w:numPr>
          <w:ilvl w:val="1"/>
          <w:numId w:val="84"/>
        </w:numPr>
        <w:spacing w:after="0" w:line="240" w:lineRule="auto"/>
        <w:ind w:firstLine="426"/>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Устойчиво възстановяване на международните позиции на страната по количество и качество на международно видимата научна продукция;</w:t>
      </w:r>
    </w:p>
    <w:p w14:paraId="0174815E" w14:textId="77777777" w:rsidR="00533926" w:rsidRPr="00AA5833" w:rsidRDefault="00533926" w:rsidP="002A598C">
      <w:pPr>
        <w:numPr>
          <w:ilvl w:val="1"/>
          <w:numId w:val="84"/>
        </w:numPr>
        <w:spacing w:after="0" w:line="240" w:lineRule="auto"/>
        <w:ind w:firstLine="426"/>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Разширяване на участието на българската научна общност в европейското изследователско пространство и разширяване на международното научно сътрудничество;</w:t>
      </w:r>
    </w:p>
    <w:p w14:paraId="6D93A353" w14:textId="77777777" w:rsidR="00533926" w:rsidRPr="00AA5833" w:rsidRDefault="00533926" w:rsidP="002A598C">
      <w:pPr>
        <w:numPr>
          <w:ilvl w:val="1"/>
          <w:numId w:val="84"/>
        </w:numPr>
        <w:spacing w:after="0" w:line="240" w:lineRule="auto"/>
        <w:ind w:firstLine="426"/>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Повишаване на количеството и качеството на научните изследвания, свързани с проблеми от регионално и национално значение.</w:t>
      </w:r>
    </w:p>
    <w:p w14:paraId="53ED9F7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Прогнозният общ бюджет на „Конкурса за финансиране на научни изследвания на млади учени и постдокторанти – 2024“ е в размер на 1 500 000 лв.</w:t>
      </w:r>
    </w:p>
    <w:p w14:paraId="5E0C58D9"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В периода общо са одобрени за финансиране 32 проекта в областите: биологически науки – 6, медицински науки – 3, науки за земята – 2, обществени науки – 4, хуманитарни науки – 2, физически науки – 1, химически науки – 4, селскостопански науки – 5, и технически науки – 5 на обща стойност 1 560 200 лв., като в област математика и информатика няма финансирани проекти за периода.</w:t>
      </w:r>
    </w:p>
    <w:p w14:paraId="1AB95FE4"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Мярката има въздействие на национално ниво.</w:t>
      </w:r>
    </w:p>
    <w:p w14:paraId="54A06640" w14:textId="77777777" w:rsidR="0053701C" w:rsidRDefault="0053701C" w:rsidP="00533926">
      <w:pPr>
        <w:spacing w:after="0" w:line="240" w:lineRule="auto"/>
        <w:jc w:val="center"/>
        <w:rPr>
          <w:rFonts w:ascii="Times New Roman" w:hAnsi="Times New Roman" w:cs="Times New Roman"/>
          <w:b/>
          <w:color w:val="0000FF"/>
          <w:sz w:val="24"/>
          <w:szCs w:val="24"/>
        </w:rPr>
      </w:pPr>
    </w:p>
    <w:p w14:paraId="287F7679" w14:textId="77777777" w:rsidR="0053701C" w:rsidRDefault="0053701C" w:rsidP="00533926">
      <w:pPr>
        <w:spacing w:after="0" w:line="240" w:lineRule="auto"/>
        <w:jc w:val="center"/>
        <w:rPr>
          <w:rFonts w:ascii="Times New Roman" w:hAnsi="Times New Roman" w:cs="Times New Roman"/>
          <w:b/>
          <w:color w:val="0000FF"/>
          <w:sz w:val="24"/>
          <w:szCs w:val="24"/>
        </w:rPr>
      </w:pPr>
    </w:p>
    <w:p w14:paraId="3CF0D5E6"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7E4ABF8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14A1A7B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6.3.5. Конкурси по дейностите „Мария Склодовска-Кюри“ (MSCA) по Рамкова програма на ЕС „Хоризонт Европа“ </w:t>
      </w:r>
    </w:p>
    <w:p w14:paraId="18AC921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2F6E52EE"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За реализиране на мярката се провеждат конкурси за млади учени в Рамковата програма за научни изследвания и иновации на ЕС „Хоризонт Европа“, дейност „Мария-Склодовска Кюри“. </w:t>
      </w:r>
    </w:p>
    <w:p w14:paraId="3670399F"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Целите на конкурсите за млади учени в дейностите „Мария Склодовска-Кюри“ са: увеличаване броя на успешните проекти с българско участие и увеличаване броя на успешните български кандидати; активно участие в европейските и международни научни организации, което подпомага обмена на учени и знания; възможност за достъп до най-съвременните научни съоръжения; организиране и участие в специалните програми и инструменти на Хоризонт Европа. Обучението и кариерното развитие по дейностите „Мария Склодовска-Кюри“ спомага за формирането на водещи изследователи. Предлага се подкрепа на млади и опитни изследователи с цел подпомагане на тяхната кариера и умения чрез обучение или назначения за определени периоди в друга държава или в частния сектор. Това им осигурява нови познания и опит, които им позволяват да достигнат пълния си потенциал.</w:t>
      </w:r>
    </w:p>
    <w:p w14:paraId="0A5F5558"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За отчетния период подписаните договори за финансираните на проекти по следните схеми, които предлага MSCA са 8 бр. </w:t>
      </w:r>
    </w:p>
    <w:p w14:paraId="0659B683"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През 2024 г. по конкурс Staff Exchanges (Обмен на персонал), който насърчава иновативното международно, междусекторно и интердисциплинарно сътрудничество в научните изследвания и иновациите чрез обмен на персонал, са подписани договори за финансиране с 3 бенефициента с общ бюджет 542 800 евро и 1 асоцииран партньор, който няма бюджет. Схемата насърчава култура на креативност и предприемачество и помага да се превърнат идеите в иновативни продукти, услуги или процеси. Отворена е за изследователски, технически, административен и управленски персонал.</w:t>
      </w:r>
    </w:p>
    <w:p w14:paraId="3ABB7324"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По конкурса Doctoral Networks (Докторантски мрежи), който има за цел да обучава креативни докторанти с интерес в предприемачеството, способни да се справят с настоящите и бъдещите предизвикателства през 2024 г. са привлечени 4 бенефициента с общ бюджет 829 180,80 евро и 4 асоциирани партньори, които нямат бюджет. Докторантските мрежи се очаква да повишат привлекателността на докторантското обучение в Европа. Те ще осигурят на изследователите правилната комбинация от умения, свързани с научните изследвания и меки умения и ще им осигурят подобрени перспективи за кариера както в академичния, така и в неакадемичния сектор чрез международна, интердисциплинарна и междусекторна мобилност, а по конкурса </w:t>
      </w:r>
      <w:r w:rsidRPr="00AA5833">
        <w:rPr>
          <w:rFonts w:ascii="Times New Roman" w:eastAsia="Times New Roman" w:hAnsi="Times New Roman" w:cs="Times New Roman"/>
          <w:bCs/>
          <w:sz w:val="24"/>
          <w:szCs w:val="24"/>
          <w:lang w:eastAsia="bg-BG"/>
        </w:rPr>
        <w:lastRenderedPageBreak/>
        <w:t>Postdoctoral Fellowships (Постдокторски стипендии) има участие на 1 координатор от българска стара с бюджет 120 812,16 евро.</w:t>
      </w:r>
    </w:p>
    <w:p w14:paraId="443D04B8"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Общият бюджет по дейност „Мария-Склодовска Кюри“ за България през 2024 г. е в размер на 1 492 792,96 евро.</w:t>
      </w:r>
    </w:p>
    <w:p w14:paraId="73EADC1C" w14:textId="77777777" w:rsidR="00533926" w:rsidRPr="00AA5833" w:rsidRDefault="00533926" w:rsidP="00533926">
      <w:pPr>
        <w:spacing w:after="0" w:line="240" w:lineRule="auto"/>
        <w:ind w:firstLine="72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Мярката обхваща млади учени като целева група и има въздействие на европейско ниво.</w:t>
      </w:r>
    </w:p>
    <w:p w14:paraId="140B132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07E9EE06"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345D1A8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72CF3EF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6.3.6. Организиране и провеждане на ежегоден конкурс и церемония за награди „Питагор“ </w:t>
      </w:r>
    </w:p>
    <w:p w14:paraId="13AED9E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35EB376F"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Наградите за наука „Питагор“ са една от основните дейности в Националната стратегия за развитие на научните изследвания в Република България 2017 – 2030 за стимулиране на учените към значими научни постижения и реализация на резултатите от фундаменталните и приложни научни изследвания. Мярката има за цел стимулиране на докторанти, млади и утвърдени учени. </w:t>
      </w:r>
    </w:p>
    <w:p w14:paraId="1BBA6B1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 2003 г. Министерството на образованието и науката връчва отличия на учени, научни колективи и организации за постижения в областта на науката и технологиите, определени от авторитетно жури, съставено от предишни носители на наградата. В зависимост от категорията кандидатите в конкурса за 2024 г. предоставиха обща справка за научните си резултати с акцент върху последните 5 години за категория за утвърден учен и последните 3 години за категория за млад учен. За голямата награда „Питагор“ за цялостен научен принос справката за научните постижения е с акцент върху резултатите през последните 10 години.</w:t>
      </w:r>
    </w:p>
    <w:p w14:paraId="59AB8CC0"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Наградите „Питагор“ на Министерството на образованието и науката за 2024 година бяха връчени на тържествена церемония, която се проведе на 17 май в хотел София Балкан Палас и бяха организирани в следните категории:</w:t>
      </w:r>
    </w:p>
    <w:p w14:paraId="25438675"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Голяма награда „Питагор“ за цялостен научен принос;</w:t>
      </w:r>
    </w:p>
    <w:p w14:paraId="2A89EEC7"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утвърден учен в областта на природните и инженерните науки;</w:t>
      </w:r>
    </w:p>
    <w:p w14:paraId="089A0B95"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млад учен в областта на природните и инженерните науки;</w:t>
      </w:r>
    </w:p>
    <w:p w14:paraId="18BB0AF4"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утвърден учен в областта на науките за живота и медицината;</w:t>
      </w:r>
    </w:p>
    <w:p w14:paraId="5A9FF27A"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млад учен в областта на науките за живота и медицината;</w:t>
      </w:r>
    </w:p>
    <w:p w14:paraId="4526293B"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утвърден учен в областта на социалните и хуманитарните науки;</w:t>
      </w:r>
    </w:p>
    <w:p w14:paraId="6408A063"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Награда „Питагор“ за млад учен в областта на социалните и хуманитарните науки;</w:t>
      </w:r>
    </w:p>
    <w:p w14:paraId="39FDDBA5" w14:textId="77777777" w:rsidR="00533926" w:rsidRPr="00AA5833" w:rsidRDefault="00533926" w:rsidP="002A598C">
      <w:pPr>
        <w:numPr>
          <w:ilvl w:val="1"/>
          <w:numId w:val="84"/>
        </w:numPr>
        <w:spacing w:after="0" w:line="240" w:lineRule="auto"/>
        <w:ind w:left="993" w:hanging="284"/>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Специална награда „Питагор“ за комуникация на наука.</w:t>
      </w:r>
    </w:p>
    <w:p w14:paraId="5AE00F13"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изданието на наградите за наука „Питагор” 2024 кандидатстваха 45 учени, от които 10 са отличени в отделните 8 категории.</w:t>
      </w:r>
    </w:p>
    <w:p w14:paraId="60AF2657"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има въздействие на национално ниво.</w:t>
      </w:r>
      <w:r w:rsidRPr="00AA5833">
        <w:rPr>
          <w:rFonts w:ascii="Times New Roman" w:eastAsia="Times New Roman" w:hAnsi="Times New Roman" w:cs="Times New Roman"/>
          <w:sz w:val="24"/>
          <w:szCs w:val="24"/>
          <w:lang w:eastAsia="bg-BG"/>
        </w:rPr>
        <w:tab/>
      </w:r>
    </w:p>
    <w:p w14:paraId="3A5EBAA9" w14:textId="77777777" w:rsidR="00533926" w:rsidRPr="00AA5833" w:rsidRDefault="00533926" w:rsidP="00533926">
      <w:pPr>
        <w:spacing w:after="0" w:line="240" w:lineRule="auto"/>
        <w:ind w:firstLine="720"/>
        <w:jc w:val="both"/>
        <w:rPr>
          <w:rFonts w:ascii="Times New Roman" w:eastAsia="Times New Roman" w:hAnsi="Times New Roman" w:cs="Times New Roman"/>
          <w:i/>
          <w:sz w:val="24"/>
          <w:szCs w:val="24"/>
          <w:lang w:eastAsia="bg-BG"/>
        </w:rPr>
      </w:pPr>
    </w:p>
    <w:p w14:paraId="5F2BC42D"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2D11E9E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23484BC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6.3.7. Изпълнение на Национална програма „Млади учени и постдокторанти - 2“</w:t>
      </w:r>
    </w:p>
    <w:p w14:paraId="278F852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47F4190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bookmarkStart w:id="12" w:name="_Hlk169622832"/>
      <w:r w:rsidRPr="00AA5833">
        <w:rPr>
          <w:rFonts w:ascii="Times New Roman" w:hAnsi="Times New Roman" w:cs="Times New Roman"/>
          <w:sz w:val="24"/>
          <w:szCs w:val="24"/>
        </w:rPr>
        <w:lastRenderedPageBreak/>
        <w:tab/>
        <w:t>Националната програма „Млади учени и постдокторанти - 2“ е продължение на една добра практика – първото нейно издание Национална програма „Млади учени и постдокторанти“. Тя е одобрена с Решение №206/07.04.2022 г. на Министерския съвет с общ бюджет от 15 млн. лв., разпределен както следва за двата ѝ етапа на изпълнение: I етап, 18 месеца, 2022 г. – 2023 г. – 7,5 млн. лв.; II етап, 18 месеца, 2024 г. – 2025 г. – 7,5 млн. лв. Средствата са разпределени между 25 държавни висши училища, Българската академия на науките, Селскостопанската академия, Военномедицинската академия, Националния център по заразни и паразитни болести и Националния институт по метеорология и хидрология.</w:t>
      </w:r>
    </w:p>
    <w:p w14:paraId="7A714F6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„Млади учени и постдокторанти – 2“ е разделена на два модула. По първия се привличат и назначават млади учени, които нямат договор за работа с конкретно висше училище или научна организация. Могат да бъдат подкрепяни и вече назначени асистенти, главни асистенти и докторанти, включително в задочна и самостоятелна форма на обучение, до 10 години след придобиване на първа образователно-квалификационна степен „магистър“.</w:t>
      </w:r>
    </w:p>
    <w:p w14:paraId="67FEFF4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Вторият модул „Постдокторанти“ е предназначен за учени с образователна и научна степен „доктор“ от българско или чуждестранно висше училище или научна организация, придобита преди не повече от пет години. Те кандидатстват за финансова подкрепа с проектно предложение по актуална научна тема. Проектът трябва да бъде на високо научно ниво, да има детайлна програма и подробен финансов план. С предимство се класират постдокторанти, които не работят в конкретно висше училище или научна организация.</w:t>
      </w:r>
    </w:p>
    <w:bookmarkEnd w:id="12"/>
    <w:p w14:paraId="3C94F65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Програмата е инструмент за стимулиране интереса на младите хора към научноизследователска дейност и подпомагане развитието на тяхната кариера. С нея се цели увеличаване броя на младите хора, занимаващи се с научна дейност и задържането им в България след придобиване на образователно-квалификационна степен „Магистър“ и образователна и научна степен „Доктор“, както и  реинтеграция и реализация на млади и перспективни учени, завършили в чужбина, и насърчаване на изследователската им дейност в България.</w:t>
      </w:r>
    </w:p>
    <w:p w14:paraId="39BAC7B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За първия етап на изпълнението ѝ (юли 2022 г. – декември 2023 г). със сумата в размер на 7 500 000 лв. са подкрепени 479 млади учени и са финансирани 342 гранта за постдокторанти в 25-те държавни висши училища, Българската академия на науките, Селскостопанската академия, Военномедицинската академия, Националния център по заразни и паразитни болести и Националния институт по метеорология и хидрология. </w:t>
      </w:r>
    </w:p>
    <w:p w14:paraId="4D8B763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Мярката има въздействие на национално и международно ниво.</w:t>
      </w:r>
      <w:r w:rsidRPr="00AA5833">
        <w:rPr>
          <w:rFonts w:ascii="Times New Roman" w:hAnsi="Times New Roman" w:cs="Times New Roman"/>
          <w:sz w:val="24"/>
          <w:szCs w:val="24"/>
        </w:rPr>
        <w:tab/>
      </w:r>
    </w:p>
    <w:p w14:paraId="7A43F10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1B837955"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1DD2843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3027707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6.3.8. Изпълнение на Национална научна програма „Петър Берон. Наука и иновации с Европа“ (ПЕТЪР БЕРОН И НИЕ)</w:t>
      </w:r>
    </w:p>
    <w:p w14:paraId="7411BB4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674A61E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Общата цел на програмата е да ускори реинтеграцията и кариерното развитие в български висши училища (в т.ч. и военно-образователни институции) и научни организации на перспективни учени с международно признати научни резултати (Experienced researchers). Програмата стимулира развитието на изследователския потенциал в България като необходима фундаментална стъпка за създаването на устойчива научна и иновационна среда и за развитието на конкурентна високотехнологична икономика в България. Програмата се изпълнява от Фонд „Научни изследвания“ (ФНИ), средствата се предоставят от централния бюджет.</w:t>
      </w:r>
    </w:p>
    <w:p w14:paraId="2B9B4705"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През 2024 г. не е провеждан конкурс по ННП „Петър Берон и НИЕ“, тъй като последната година, в която има финансиране по нея е 2023 г. През 2024 г. са постъпили доклади за напредъка от проектите по ННП „Петър Берон и НИЕ“ през 2022 г. и шест окончателни отчета по програмата от 2021 г. Амбициите на МОН са чрез следващо издание на програмата през 2025 г. да продължи стимулирането и развитието на изследователския потенциал.</w:t>
      </w:r>
    </w:p>
    <w:p w14:paraId="7F004BB3"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има въздействие на национално и европейско ниво.</w:t>
      </w:r>
    </w:p>
    <w:p w14:paraId="49651DC5" w14:textId="77777777" w:rsidR="00533926"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4733DF4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2C08FF3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703457D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6.3.9. Подпомагане на висшето военно образование и образованието за военноинвалидите и военнопострадалите, в т.ч. и децата на военнослужещите, загинали при или по повод изпълнение на военната служба</w:t>
      </w:r>
    </w:p>
    <w:p w14:paraId="231BCCE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7C9040BC" w14:textId="77777777" w:rsidR="00533926" w:rsidRPr="00AA5833" w:rsidRDefault="00533926" w:rsidP="00533926">
      <w:pPr>
        <w:widowControl w:val="0"/>
        <w:tabs>
          <w:tab w:val="left" w:pos="0"/>
        </w:tabs>
        <w:autoSpaceDE w:val="0"/>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Военно-образователната система подготвя кадри за нуждите на въоръжените сили, системата за национална сигурност и националното стопанство, съобразно развитието на военното дело чрез широко прилагане на информационните технологии, симулации и изграждане на съвременни WEB-базирани среди. </w:t>
      </w:r>
    </w:p>
    <w:p w14:paraId="45105A71" w14:textId="77777777" w:rsidR="00533926" w:rsidRPr="00AA5833" w:rsidRDefault="00533926" w:rsidP="00533926">
      <w:pPr>
        <w:widowControl w:val="0"/>
        <w:tabs>
          <w:tab w:val="left" w:pos="0"/>
        </w:tabs>
        <w:autoSpaceDE w:val="0"/>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За подпомагане на висшето военно образование са осигурени финансови средства за обучение на курсанти и кадети за учебната 2023/2024 година в размер на </w:t>
      </w:r>
      <w:r w:rsidRPr="00AA5833">
        <w:rPr>
          <w:rFonts w:ascii="Times New Roman" w:hAnsi="Times New Roman" w:cs="Times New Roman"/>
          <w:b/>
          <w:sz w:val="24"/>
          <w:szCs w:val="24"/>
        </w:rPr>
        <w:t>8 800 000 лв.</w:t>
      </w:r>
      <w:r w:rsidRPr="00AA5833">
        <w:rPr>
          <w:rFonts w:ascii="Times New Roman" w:hAnsi="Times New Roman" w:cs="Times New Roman"/>
          <w:sz w:val="24"/>
          <w:szCs w:val="24"/>
        </w:rPr>
        <w:t xml:space="preserve"> Завършилите военното си образование са обучавани в редовна и задочна форма на обучение.</w:t>
      </w:r>
    </w:p>
    <w:p w14:paraId="1F6A7B7E" w14:textId="77777777" w:rsidR="00533926" w:rsidRPr="00AA5833" w:rsidRDefault="00533926" w:rsidP="00533926">
      <w:pPr>
        <w:widowControl w:val="0"/>
        <w:tabs>
          <w:tab w:val="left" w:pos="0"/>
        </w:tabs>
        <w:autoSpaceDE w:val="0"/>
        <w:spacing w:after="0" w:line="240" w:lineRule="auto"/>
        <w:ind w:firstLine="720"/>
        <w:jc w:val="both"/>
        <w:rPr>
          <w:rFonts w:ascii="Times New Roman" w:hAnsi="Times New Roman" w:cs="Times New Roman"/>
          <w:sz w:val="24"/>
          <w:szCs w:val="24"/>
        </w:rPr>
      </w:pPr>
    </w:p>
    <w:p w14:paraId="53104D77"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3378AD0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379243A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6.3.10. Финансиране на обучението, включително и защитата на дисертационен труд на докторантите, обучавани за нуждите на Министерството на отбраната, структурите на пряко подчинение на министъра на отбраната и Българската армия </w:t>
      </w:r>
    </w:p>
    <w:p w14:paraId="013B19C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sz w:val="24"/>
          <w:szCs w:val="24"/>
        </w:rPr>
      </w:pPr>
    </w:p>
    <w:p w14:paraId="53594155" w14:textId="77777777" w:rsidR="00533926" w:rsidRPr="00AA5833" w:rsidRDefault="00533926" w:rsidP="00533926">
      <w:pPr>
        <w:widowControl w:val="0"/>
        <w:tabs>
          <w:tab w:val="left" w:pos="0"/>
        </w:tabs>
        <w:autoSpaceDE w:val="0"/>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За защита на дисертационни трудове за придобиване на научна степен „доктор на науките“ и образователна и научна степен „доктор“ (редовна, задочна и самостоятелна форма на обучение) във военните академии, висшите военни училища и научни организации през 2024 година е осигурено финансиране в размер на </w:t>
      </w:r>
      <w:r w:rsidRPr="00AA5833">
        <w:rPr>
          <w:rFonts w:ascii="Times New Roman" w:hAnsi="Times New Roman" w:cs="Times New Roman"/>
          <w:b/>
          <w:sz w:val="24"/>
          <w:szCs w:val="24"/>
        </w:rPr>
        <w:t>34 651 лв</w:t>
      </w:r>
      <w:r w:rsidRPr="00AA5833">
        <w:rPr>
          <w:rFonts w:ascii="Times New Roman" w:hAnsi="Times New Roman" w:cs="Times New Roman"/>
          <w:sz w:val="24"/>
          <w:szCs w:val="24"/>
        </w:rPr>
        <w:t xml:space="preserve">. </w:t>
      </w:r>
    </w:p>
    <w:p w14:paraId="222C49C0" w14:textId="77777777" w:rsidR="00533926" w:rsidRPr="00AA5833" w:rsidRDefault="00533926" w:rsidP="00533926">
      <w:pPr>
        <w:spacing w:after="0" w:line="240" w:lineRule="auto"/>
        <w:jc w:val="center"/>
        <w:rPr>
          <w:rFonts w:ascii="Times New Roman" w:eastAsia="Times New Roman" w:hAnsi="Times New Roman" w:cs="Times New Roman"/>
          <w:b/>
          <w:bCs/>
          <w:color w:val="FF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533926" w:rsidRPr="00AA5833" w14:paraId="2195686A"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81610F6"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6.4. Създаване на възможности за облекчения при кредитиране за закупуване на жилища, обзавеждане и подобряване на жилищните условия</w:t>
            </w:r>
          </w:p>
        </w:tc>
      </w:tr>
    </w:tbl>
    <w:p w14:paraId="7BD36313" w14:textId="77777777" w:rsidR="00533926" w:rsidRPr="00AA5833" w:rsidRDefault="00533926" w:rsidP="00533926">
      <w:pPr>
        <w:spacing w:after="0" w:line="240" w:lineRule="auto"/>
        <w:jc w:val="both"/>
        <w:rPr>
          <w:rFonts w:ascii="Times New Roman" w:hAnsi="Times New Roman" w:cs="Times New Roman"/>
          <w:sz w:val="24"/>
          <w:szCs w:val="24"/>
        </w:rPr>
      </w:pPr>
    </w:p>
    <w:p w14:paraId="778CD56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ФИНАНСИТЕ</w:t>
      </w:r>
    </w:p>
    <w:p w14:paraId="70E4847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09B9FF2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6.4.1. Данъчно облекчение за млади семейства, регламентирано в чл.22а от Закона за данъците върху доходите на физическите лица (ЗДДФЛ)</w:t>
      </w:r>
    </w:p>
    <w:p w14:paraId="3F7D564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662B71B" w14:textId="77777777" w:rsidR="00533926" w:rsidRPr="00AA5833" w:rsidRDefault="00533926" w:rsidP="00533926">
      <w:pPr>
        <w:spacing w:after="0" w:line="240" w:lineRule="auto"/>
        <w:ind w:firstLine="709"/>
        <w:jc w:val="both"/>
        <w:rPr>
          <w:rFonts w:ascii="Times New Roman" w:hAnsi="Times New Roman"/>
          <w:sz w:val="24"/>
          <w:szCs w:val="24"/>
          <w:lang w:eastAsia="bg-BG"/>
        </w:rPr>
      </w:pPr>
      <w:r w:rsidRPr="00AA5833">
        <w:rPr>
          <w:rFonts w:ascii="Times New Roman" w:hAnsi="Times New Roman"/>
          <w:sz w:val="24"/>
          <w:szCs w:val="24"/>
          <w:lang w:eastAsia="bg-BG"/>
        </w:rPr>
        <w:t>Данъчното облекчение има социална цел и е насочено към подпомагането на млади семейства. Облекчението се изразява в намаляване на годишната данъчна основа на данъчно задълженото лице до 35-годишна възраст с направените през годината лихвени плащания по първите 100 000 лева от главницата по ипотечен кредит за закупуване на жилище, когато ипотекираното жилище е единствено за семейството, по ред и при условия, регламентирани в закона. Данъчното облекчение се ползва с деклариране на обстоятелствата, свързани с него, в годишната данъчна декларация, както и при условие, че не се ползва от другия съпруг.</w:t>
      </w:r>
    </w:p>
    <w:p w14:paraId="54176930" w14:textId="77777777" w:rsidR="00823B9A" w:rsidRPr="00AA5833" w:rsidRDefault="00823B9A" w:rsidP="00533926">
      <w:pPr>
        <w:spacing w:after="0" w:line="240" w:lineRule="auto"/>
        <w:ind w:firstLine="709"/>
        <w:jc w:val="both"/>
        <w:rPr>
          <w:rFonts w:ascii="Times New Roman" w:hAnsi="Times New Roman"/>
          <w:sz w:val="24"/>
          <w:szCs w:val="24"/>
          <w:lang w:eastAsia="bg-BG"/>
        </w:rPr>
      </w:pPr>
      <w:r w:rsidRPr="00823B9A">
        <w:rPr>
          <w:rFonts w:ascii="Times New Roman" w:hAnsi="Times New Roman"/>
          <w:sz w:val="24"/>
          <w:szCs w:val="24"/>
          <w:lang w:eastAsia="bg-BG"/>
        </w:rPr>
        <w:lastRenderedPageBreak/>
        <w:t>През 2024 г. броят на лицата, ползвали данъчното облекчение за млади семейства е 3 852 души, а размерът на данъчния разход е 1 002 734 лева.</w:t>
      </w:r>
    </w:p>
    <w:p w14:paraId="212B433C" w14:textId="77777777" w:rsidR="00533926" w:rsidRPr="00AA5833" w:rsidRDefault="00533926" w:rsidP="00533926">
      <w:pPr>
        <w:spacing w:after="0" w:line="240" w:lineRule="auto"/>
        <w:ind w:firstLine="709"/>
        <w:jc w:val="both"/>
        <w:rPr>
          <w:rFonts w:ascii="Times New Roman" w:hAnsi="Times New Roman"/>
          <w:sz w:val="24"/>
          <w:szCs w:val="24"/>
          <w:lang w:eastAsia="bg-BG"/>
        </w:rPr>
      </w:pPr>
    </w:p>
    <w:p w14:paraId="13BF24C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26F185F6" w14:textId="77777777" w:rsidR="00533926" w:rsidRPr="00AA5833" w:rsidRDefault="00533926" w:rsidP="00533926">
      <w:pPr>
        <w:spacing w:after="0" w:line="240" w:lineRule="auto"/>
        <w:ind w:firstLine="709"/>
        <w:jc w:val="both"/>
        <w:rPr>
          <w:rFonts w:ascii="Times New Roman" w:hAnsi="Times New Roman"/>
          <w:sz w:val="24"/>
          <w:szCs w:val="24"/>
          <w:lang w:eastAsia="bg-BG"/>
        </w:rPr>
      </w:pPr>
    </w:p>
    <w:p w14:paraId="1AACE84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6.4.2. Осигуряване настаняването във ведомствени жилища и общежития за военнослужещите и служителите на Министерство на отбраната, структурите на пряко подчинение на министъра на отбраната и Българската армия</w:t>
      </w:r>
    </w:p>
    <w:p w14:paraId="76582204" w14:textId="77777777" w:rsidR="00533926" w:rsidRPr="00AA5833" w:rsidRDefault="00533926" w:rsidP="00533926">
      <w:pPr>
        <w:spacing w:after="0" w:line="240" w:lineRule="auto"/>
        <w:jc w:val="both"/>
        <w:rPr>
          <w:rFonts w:ascii="Times New Roman" w:hAnsi="Times New Roman" w:cs="Times New Roman"/>
          <w:sz w:val="24"/>
          <w:szCs w:val="24"/>
        </w:rPr>
      </w:pPr>
    </w:p>
    <w:p w14:paraId="2E1DEA11"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В Министерството на отбраната е създадена система за картотекиране на военнослужещите и цивилните служители от администрацията на Министерството на отбраната, структурите на пряко подчинение на министъра на отбраната и Българската армия. Настаняването е в жилища, ателиета, гаражи и жилищни помещения в общежития от фонда на Министерството на отбраната и в управление на Изпълнителна агенция „Военни клубове и военно-почивно дело“. </w:t>
      </w:r>
    </w:p>
    <w:p w14:paraId="4CA95655"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2024 г. с над </w:t>
      </w:r>
      <w:r w:rsidRPr="00AA5833">
        <w:rPr>
          <w:rFonts w:ascii="Times New Roman" w:hAnsi="Times New Roman" w:cs="Times New Roman"/>
          <w:b/>
          <w:sz w:val="24"/>
          <w:szCs w:val="24"/>
        </w:rPr>
        <w:t>4 000 000</w:t>
      </w:r>
      <w:r w:rsidRPr="00AA5833">
        <w:rPr>
          <w:rFonts w:ascii="Times New Roman" w:hAnsi="Times New Roman" w:cs="Times New Roman"/>
          <w:sz w:val="24"/>
          <w:szCs w:val="24"/>
        </w:rPr>
        <w:t xml:space="preserve"> </w:t>
      </w:r>
      <w:r w:rsidRPr="00AA5833">
        <w:rPr>
          <w:rFonts w:ascii="Times New Roman" w:hAnsi="Times New Roman" w:cs="Times New Roman"/>
          <w:b/>
          <w:sz w:val="24"/>
          <w:szCs w:val="24"/>
        </w:rPr>
        <w:t>лева</w:t>
      </w:r>
      <w:r w:rsidRPr="00AA5833">
        <w:rPr>
          <w:rFonts w:ascii="Times New Roman" w:hAnsi="Times New Roman" w:cs="Times New Roman"/>
          <w:sz w:val="24"/>
          <w:szCs w:val="24"/>
        </w:rPr>
        <w:t xml:space="preserve"> са компенсирани военнослужещи и цивилни служители при преместване от различни гарнизони и са подпомогнати  семействата им, живеещи на свободен наем, при липса на собствено жилище. </w:t>
      </w:r>
    </w:p>
    <w:p w14:paraId="1761D1A6"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2024 г. в жилища собственост на Министерството на отбраната на територията на страната са настанени </w:t>
      </w:r>
      <w:r w:rsidRPr="00AA5833">
        <w:rPr>
          <w:rFonts w:ascii="Times New Roman" w:hAnsi="Times New Roman" w:cs="Times New Roman"/>
          <w:b/>
          <w:sz w:val="24"/>
          <w:szCs w:val="24"/>
        </w:rPr>
        <w:t>127</w:t>
      </w:r>
      <w:r w:rsidRPr="00AA5833">
        <w:rPr>
          <w:rFonts w:ascii="Times New Roman" w:hAnsi="Times New Roman" w:cs="Times New Roman"/>
          <w:sz w:val="24"/>
          <w:szCs w:val="24"/>
        </w:rPr>
        <w:t xml:space="preserve"> военнослужещи и цивилни служители, а </w:t>
      </w:r>
      <w:r w:rsidRPr="00AA5833">
        <w:rPr>
          <w:rFonts w:ascii="Times New Roman" w:hAnsi="Times New Roman" w:cs="Times New Roman"/>
          <w:b/>
          <w:sz w:val="24"/>
          <w:szCs w:val="24"/>
        </w:rPr>
        <w:t>126</w:t>
      </w:r>
      <w:r w:rsidRPr="00AA5833">
        <w:rPr>
          <w:rFonts w:ascii="Times New Roman" w:hAnsi="Times New Roman" w:cs="Times New Roman"/>
          <w:sz w:val="24"/>
          <w:szCs w:val="24"/>
        </w:rPr>
        <w:t xml:space="preserve"> военнослужещи и цивилни служители са настанени в общежития. </w:t>
      </w:r>
    </w:p>
    <w:p w14:paraId="1EB48DD2"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Картотекираните за 2024 г. са </w:t>
      </w:r>
      <w:r w:rsidRPr="00AA5833">
        <w:rPr>
          <w:rFonts w:ascii="Times New Roman" w:hAnsi="Times New Roman" w:cs="Times New Roman"/>
          <w:b/>
          <w:sz w:val="24"/>
          <w:szCs w:val="24"/>
        </w:rPr>
        <w:t>2688</w:t>
      </w:r>
      <w:r w:rsidRPr="00AA5833">
        <w:rPr>
          <w:rFonts w:ascii="Times New Roman" w:hAnsi="Times New Roman" w:cs="Times New Roman"/>
          <w:sz w:val="24"/>
          <w:szCs w:val="24"/>
        </w:rPr>
        <w:t xml:space="preserve"> нуждаещи се, което е показател за запазване тенденцията към нарастване броя на настанените в жилища и общежития собственост на Министерството на отбраната.</w:t>
      </w:r>
    </w:p>
    <w:p w14:paraId="0FB173D4" w14:textId="77777777" w:rsidR="00533926" w:rsidRPr="00AA5833" w:rsidRDefault="00533926" w:rsidP="00533926">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533926" w:rsidRPr="00AA5833" w14:paraId="370682CA"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5B54AE2"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6.5. Създаване на условия за преодоляване на бедността и социалната изолация сред младежите в неравностойно положение</w:t>
            </w:r>
          </w:p>
        </w:tc>
      </w:tr>
    </w:tbl>
    <w:p w14:paraId="0FD44C30" w14:textId="77777777" w:rsidR="00533926" w:rsidRPr="00AA5833" w:rsidRDefault="00533926" w:rsidP="00533926">
      <w:pPr>
        <w:spacing w:after="0" w:line="240" w:lineRule="auto"/>
        <w:ind w:firstLine="709"/>
        <w:jc w:val="center"/>
        <w:rPr>
          <w:rFonts w:ascii="Times New Roman" w:eastAsia="Times New Roman" w:hAnsi="Times New Roman" w:cs="Times New Roman"/>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533926" w:rsidRPr="00AA5833" w14:paraId="4418B6A7"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E7B87E1"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6.6. Създаване на условия за пълноценно социално развитие на младите хора (вкл. създаване на семейство, отглеждане и възпитание на деца и активно участие в гражданското общество)</w:t>
            </w:r>
          </w:p>
        </w:tc>
      </w:tr>
    </w:tbl>
    <w:p w14:paraId="0323FE7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16E4B308"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МИНИСТЕРСТВО НА МЛАДЕЖТА И СПОРТА</w:t>
      </w:r>
    </w:p>
    <w:p w14:paraId="5EB4F10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5E908AF0"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6.6.1. Осигуряване на дейности за насърчаване на социално отговорно поведение чрез проекти, реализирани по Национална програма за изпълнение на младежки дейности по чл.10 а от Закона за хазарта (2023-2025)</w:t>
      </w:r>
    </w:p>
    <w:p w14:paraId="6A2F05C2"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28FCC4E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Осигурените средства за реализиране на Програмата през 2024 г. са в размер на 7 700 000 лева.</w:t>
      </w:r>
    </w:p>
    <w:p w14:paraId="0419F10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През месец април 2024 г. е обявена процедура за набиране на проектни предложения със срок за кандидатстване 30.04.2024 г. по следните ключови области:</w:t>
      </w:r>
    </w:p>
    <w:p w14:paraId="7240C56D" w14:textId="77777777" w:rsidR="00533926" w:rsidRPr="00AA5833" w:rsidRDefault="00533926" w:rsidP="002A598C">
      <w:pPr>
        <w:numPr>
          <w:ilvl w:val="0"/>
          <w:numId w:val="80"/>
        </w:numPr>
        <w:spacing w:after="0" w:line="240" w:lineRule="auto"/>
        <w:contextualSpacing/>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Ключова област 1: ,,Младежки дейности и младежка работа“</w:t>
      </w:r>
    </w:p>
    <w:p w14:paraId="39E2DAA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Приоритетите на Ключова област 1 „Младежки дейности и младежка работа“ са стимулирането на инициативност, самостоятелност, активно гражданско съзнание, доброволчески дух и творчество у младите хора, съобразно отчетени обществени нужди или личните интереси на инициаторите на проекта, развитието на капацитета и повишаването на заетостта на младежките работници на местно, регионално и национално ниво, повишаване на качеството на младежката работа и подобряване на свързаността на „общността на практикуващите“. Проектните дейности следва да бъдат </w:t>
      </w:r>
      <w:r w:rsidRPr="00AA5833">
        <w:rPr>
          <w:rFonts w:ascii="Times New Roman" w:eastAsia="Times New Roman" w:hAnsi="Times New Roman" w:cs="Times New Roman"/>
          <w:sz w:val="24"/>
          <w:szCs w:val="24"/>
          <w:lang w:eastAsia="bg-BG"/>
        </w:rPr>
        <w:lastRenderedPageBreak/>
        <w:t>насочени към активиране участието на младите хора (15-29 г.) в различни видове младежки инициативи, включително доброволчески, на територията на тяхното населено място или община, като опазване на културното наследство, творчески, социални, спортни, както и инициативи, свързани с гражданска защита, околна среда, развиване на личностни умения и компетенции, развитие на активно гражданско съзнание, приспособяване на младежки пространства, предаване на основни ценности на младите хора като уважение към човешкото достойнство, равенството, човешките права, търпимостта и липсата на дискриминация и др. Приоритетно се стимулират младежки дейности, включващи креативни решения и конкретика при характеризирането на място, участници, ползватели и крайни продукти или придобито неформално образование.</w:t>
      </w:r>
    </w:p>
    <w:p w14:paraId="4EEB6D2B" w14:textId="77777777" w:rsidR="00533926" w:rsidRPr="00AA5833" w:rsidRDefault="00533926" w:rsidP="002A598C">
      <w:pPr>
        <w:numPr>
          <w:ilvl w:val="0"/>
          <w:numId w:val="80"/>
        </w:numPr>
        <w:spacing w:after="0" w:line="240" w:lineRule="auto"/>
        <w:contextualSpacing/>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Ключова област 2: ,,Младежки инициативи и кампании“</w:t>
      </w:r>
    </w:p>
    <w:p w14:paraId="38C7FA6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Приоритет на Ключова област 2 „Младежки инициативи и кампании“ е насочване на вниманието на младите хора и обществеността към предизвикателствата за решаване в обществото и стимулиране към определени действия за намиране на решения във връзка с належащи нужди от социален, екологичен и др. характер, чрез иновативни и креативни комуникационни методи на реализация, които водят до дълготраен ефект. </w:t>
      </w:r>
    </w:p>
    <w:p w14:paraId="6ADE8EA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По тази Ключова област се осигурява подкрепа за организиране и провеждане на национални инициативи и кампании на млади хора, свързани с теми от изключителна важност за съвременното общество, като превенции на рисковото поведение и различните форми на зависимости, опазване на околната среда, стимулиране на здравословния и природощадящ начин на живот, опазване и разпространяване на културно-историческото наследство, насочване на общественото мнение към злободневни проблеми и др. Инициативите или кампаниите, следва да имат информативен и образователен характер, да са постигнати с атрактивни методи, имащи за цел насочване, респективно задаване на посока към определени действия за изпълнение на важна за дадена социална група хора, природата (флора и фауна) или негативна тенденция. Видовете младежките кампании могат да бъдат информационни, застъпнически, социални, екологични и др.</w:t>
      </w:r>
    </w:p>
    <w:p w14:paraId="77133D7C" w14:textId="77777777" w:rsidR="00533926" w:rsidRPr="00AA5833" w:rsidRDefault="00533926" w:rsidP="002A598C">
      <w:pPr>
        <w:numPr>
          <w:ilvl w:val="0"/>
          <w:numId w:val="80"/>
        </w:numPr>
        <w:spacing w:after="0" w:line="240" w:lineRule="auto"/>
        <w:contextualSpacing/>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Ключова област 3: ,,Равен достъп до младежи от малки населени места“</w:t>
      </w:r>
    </w:p>
    <w:p w14:paraId="382AAD77"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Приоритет на Ключова област 3 „Равен достъп до младежки дейности за млади хора от малки населени места“ е предоставяне на равен достъп до младежки дейности и услуги за личностно и професионално развитие на младите хора в малките населени места. </w:t>
      </w:r>
    </w:p>
    <w:p w14:paraId="584D8BF7"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По тази Ключова област се подкрепят проекти за включването на млади хора от малки населени места, включително млади хора с по-малки възможности. Дейностите следва да са свързани с тяхното личностно и кариерно израстване или да са такива, разработени спрямо техните нужди и интереси. Също така се подкрепят дейности, с участието в които младите хора ще могат да допринесат за развитието на общността и населеното място, в което живеят. Проектните предложения в тази ключова област могат да включват младежки дейности за насърчаване на неформалното обучение за разширяване на знанията, опита и уменията на младежите за приобщаването им към ценностите на гражданското общество, науката, културата, изкуството, предприемачеството, здравословния начин на живот, спорта, безопасността на движението по пътищата, инициативи, допринасящи за развитие на местните общности и за предотвратяване на противообществените прояви на младежите. За целите на тази програма, малки населени места са такива, с население до 10 000 души.</w:t>
      </w:r>
    </w:p>
    <w:p w14:paraId="31FF657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По процедурата постъпиха 103 проектни предложения като в резултат на извършена административна и качествена оценка, бяха одобрени за финансиране 37 проекта на обща стойност 2 702 736, 41 лева. Оставащият финансов ресурс по Национална програма за изпълнение на младежки дейности по чл.10а от Закона за </w:t>
      </w:r>
      <w:r w:rsidRPr="00AA5833">
        <w:rPr>
          <w:rFonts w:ascii="Times New Roman" w:eastAsia="Times New Roman" w:hAnsi="Times New Roman" w:cs="Times New Roman"/>
          <w:sz w:val="24"/>
          <w:szCs w:val="24"/>
          <w:lang w:eastAsia="bg-BG"/>
        </w:rPr>
        <w:lastRenderedPageBreak/>
        <w:t>хазарта за 2024 г. бе на обща стойност – 3 983 398,00 (три милиона деветстотин осемдесет и три хиляди триста деветдесет и осем лева.) лв. В тази връзка Министерството на младежта и спорта обяви втора процедура за набиране на проектни предложения по Програмата за 2024 г. със срок за кандидатстване 02.10.2024 г. по следните ключови области:</w:t>
      </w:r>
    </w:p>
    <w:p w14:paraId="2DE52F53" w14:textId="77777777" w:rsidR="00533926" w:rsidRPr="00AA5833" w:rsidRDefault="00533926" w:rsidP="002A598C">
      <w:pPr>
        <w:numPr>
          <w:ilvl w:val="0"/>
          <w:numId w:val="79"/>
        </w:num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Ключова област 1: ,,Младежки дейности и младежка работа“</w:t>
      </w:r>
    </w:p>
    <w:p w14:paraId="4C553E7F" w14:textId="77777777" w:rsidR="00533926" w:rsidRPr="00AA5833" w:rsidRDefault="00533926" w:rsidP="002A598C">
      <w:pPr>
        <w:numPr>
          <w:ilvl w:val="0"/>
          <w:numId w:val="79"/>
        </w:num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Ключова област 2: ,,Младежки инициативи и кампании“</w:t>
      </w:r>
    </w:p>
    <w:p w14:paraId="7D4B6294" w14:textId="77777777" w:rsidR="00533926" w:rsidRPr="00AA5833" w:rsidRDefault="00533926" w:rsidP="002A598C">
      <w:pPr>
        <w:numPr>
          <w:ilvl w:val="0"/>
          <w:numId w:val="79"/>
        </w:num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Ключова област 3: ,,Равен достъп до младежи от малки населени места“</w:t>
      </w:r>
    </w:p>
    <w:p w14:paraId="5011BCCE"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Постъпиха 102 проектни предложения, като се сключиха договори за финансиране с 40 организации на обща стойност 3 931 722,63 лева. </w:t>
      </w:r>
    </w:p>
    <w:p w14:paraId="5384FA2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2F7EC4A0"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МИНИСТЕРСТВО НА МЛАДЕЖТА И СПОРТА</w:t>
      </w:r>
    </w:p>
    <w:p w14:paraId="2D4A090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0C489E9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6.6.2. Осигуряване на възможности за включване в дейности и инициативи за придобиване на социални умения и компетентности, насърчаване на гражданската активност, толерантността и личностното израстване по Национална програма за младежта (2021–2025)</w:t>
      </w:r>
    </w:p>
    <w:p w14:paraId="58F8F34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99BE4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             През 2024 г. по Национална програма за младежта (2021-2025) са разгледани 26 отчета на бенефициери, реализирали проекти по Програмата през 2023 г.  В следствие на извършен преглед на съдържателните и финансови отчети и приложените документи към тях, както и на извършена преценка за целесъобразност и ефективност и законосъобразност на извършените разходи от Експертната комисия, са извършени окончателни плащания на 23 организации, като на 3 организации са определени суми за възстановяване съгласно направените констатации. По Процедурата са обхванати 5316 лица, от които 901 лица от групата Neet’s. </w:t>
      </w:r>
      <w:r w:rsidRPr="00AA5833">
        <w:rPr>
          <w:rFonts w:ascii="Times New Roman" w:hAnsi="Times New Roman" w:cs="Times New Roman"/>
          <w:bCs/>
          <w:color w:val="000000"/>
          <w:sz w:val="24"/>
          <w:szCs w:val="24"/>
        </w:rPr>
        <w:t>Общо достигнати лица чрез информационни кампании в социалните мрежи са 287 232.</w:t>
      </w:r>
    </w:p>
    <w:p w14:paraId="6224F78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70FC0187"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00CC99"/>
            <w:hideMark/>
          </w:tcPr>
          <w:p w14:paraId="3F38615D"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Б. Приоритет ІІ. Преодоляване на негативните последици от остаряването на населението и подобряване на качествените характеристики на човешкия капитал</w:t>
            </w:r>
          </w:p>
        </w:tc>
      </w:tr>
    </w:tbl>
    <w:p w14:paraId="0ED38298"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5E6CEAF"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6345C015"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Направление 7 – Възприемане на комплексен междусекторен подход за активен и продуктивен живот на възрастните хора в добро здраве. Адаптиране на социалните системи към демографските промени и остаряването на населението – пазар на труда, пенсионна система, социално подпомагане и грижи, здравеопазване, образование, култура и др. </w:t>
            </w:r>
          </w:p>
        </w:tc>
      </w:tr>
    </w:tbl>
    <w:p w14:paraId="0293B604"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533926" w:rsidRPr="00AA5833" w14:paraId="46B0521C"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7BA71E5"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7.1. Изпълнение на Националната стратегия за активен живот на възрастните хора в България (2019-2030 г.)</w:t>
            </w:r>
          </w:p>
        </w:tc>
      </w:tr>
    </w:tbl>
    <w:p w14:paraId="754AC693"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2C2A96C1"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0B0DD67"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7.1.1. Адаптиране на пазара на труда към остаряването на населението и към необходимостта от повишаване на качеството на живот на възрастните хора.</w:t>
            </w:r>
          </w:p>
        </w:tc>
      </w:tr>
    </w:tbl>
    <w:p w14:paraId="78E637E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32FAEE2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5F8E732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АГЕНЦИЯ ПО ЗАЕТОСТТА </w:t>
      </w:r>
    </w:p>
    <w:p w14:paraId="76E39E9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1547EC63"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7.1.1.1. Реализиране на Национална програма „Помощ за пенсиониране”</w:t>
      </w:r>
    </w:p>
    <w:p w14:paraId="03444A3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6DE0C97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ab/>
        <w:t>Националната програма „Помощ за пенсиониране” осигурява подкрепа при прехода от безработица към работа и пенсиониране при по-възрастните. През 2024 г. за първи път със средства от държавния бюджет са финансирани и дължимите вноски за сметка на работодателя за фонд „Безработица“, в допълнение към разходите за трудови възнаграждения, допълнителни плащания по трудовото законодателство и осигурително законодателство. Тази стъпка осигурява възможност за подкрепа на лица, които въпреки участието си в програмата не могат да се пенсионират или да започнат работа. По този начин се урежда тяхното право да получават обезщетение за безработица. Целевата група обхваща безработни лица над 60 г., които се наемат на пълно и непълно работно време. Периодът на субсидиране на заетостта е от 3 до 24 месеца. През 2024 г. по програмата е осигурена заетост на 1 222 лица, от които 478 са нововключени. Изразходваните средства от държавния бюджет са в размер на 8 136 914 лв.</w:t>
      </w:r>
    </w:p>
    <w:p w14:paraId="639CF89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17FA02C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АГЕНЦИЯ ПО ЗАЕТОСТТА </w:t>
      </w:r>
    </w:p>
    <w:p w14:paraId="6D49C6D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425EF110"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7.1.1.2.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w:t>
      </w:r>
    </w:p>
    <w:p w14:paraId="4F52D87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38481FE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Една от групите в неравностойно положение на пазара на труда, дефинирани в §1, т. 4а от Допълнителните разпоредби на Закона за насърчаване на заетостта, които приоритетно се насочват към програми и мерки за обучение и заетост, обхваща </w:t>
      </w:r>
      <w:r w:rsidRPr="00AA5833">
        <w:rPr>
          <w:rFonts w:ascii="Times New Roman" w:eastAsia="Times New Roman" w:hAnsi="Times New Roman" w:cs="Times New Roman"/>
          <w:b/>
          <w:sz w:val="24"/>
          <w:szCs w:val="24"/>
          <w:lang w:eastAsia="bg-BG"/>
        </w:rPr>
        <w:t>безработни лица над 55 години</w:t>
      </w:r>
      <w:r w:rsidRPr="00AA5833">
        <w:rPr>
          <w:rFonts w:ascii="Times New Roman" w:eastAsia="Times New Roman" w:hAnsi="Times New Roman" w:cs="Times New Roman"/>
          <w:sz w:val="24"/>
          <w:szCs w:val="24"/>
          <w:lang w:eastAsia="bg-BG"/>
        </w:rPr>
        <w:t>. Те са целева група и по насърчителната мярка, регламентирана в разпоредбата на чл. 36 от Закона за насърчаване на заетостта, която се финансира със средства от държавния бюджет. Мярката обединява стимули за работодатели, които осигуряват заетост на лица от неравнопоставените групи на пазара на труда, възможности за обучение за надграждане на знания и умения и подпомагане от ментор за адаптация към трудовия процес. През 2024 г. в заетост по условията на мярката са включени 288 безработни лица над 55-годишна възраст. Изразходваните средства от държавния бюджет са в размер на 1 009 982 лв.</w:t>
      </w:r>
    </w:p>
    <w:p w14:paraId="41FCE1B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1D6C32E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5AE98056"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color w:val="0000FF"/>
          <w:sz w:val="24"/>
          <w:szCs w:val="24"/>
          <w:lang w:eastAsia="bg-BG"/>
        </w:rPr>
      </w:pPr>
    </w:p>
    <w:p w14:paraId="4AED5AD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7.1.1.3. Стартова помощ за установяване на нови земеделски стопани в селското стопанство </w:t>
      </w:r>
    </w:p>
    <w:p w14:paraId="0EC24CF6"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4F0F39F4"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В периода ноември 2024 г. – февруари 2025 г. е проведен прием на заявления за подпомагане по интервенция „II.Д.3. Стартова помощ за установяване на нови земеделски стопани в селското стопанство“ от СПРЗСР 2023-2027 г., като общият размер на безвъзмездната финансова помощ е в размер на 39,1 млн. лева. Очакваните резултати от интервенцията са увеличаване броя на нови земеделски стопани с цел осигуряване на устойчиво развитие и улесняване на структурните промени в земеделието, както и насърчаване на заетостта, разкриване на работни места и запазване на вече съществуващите работни места.</w:t>
      </w:r>
      <w:r w:rsidRPr="00AA5833">
        <w:rPr>
          <w:rFonts w:ascii="Times New Roman" w:hAnsi="Times New Roman" w:cs="Times New Roman"/>
          <w:color w:val="333333"/>
          <w:sz w:val="24"/>
          <w:szCs w:val="24"/>
        </w:rPr>
        <w:t xml:space="preserve"> </w:t>
      </w:r>
      <w:r w:rsidRPr="00AA5833">
        <w:rPr>
          <w:rFonts w:ascii="Times New Roman" w:hAnsi="Times New Roman" w:cs="Times New Roman"/>
          <w:sz w:val="24"/>
          <w:szCs w:val="24"/>
        </w:rPr>
        <w:t xml:space="preserve">В периода на прием са подадени 652 заявления за подпомагане с размер на заявената финансова помощ 38,3 млн. лева, като финансовата подпомагане за един проект, подаден от млад земеделски стопанин, е в размер на левовата равностойност на 30 000 евро, или 58 675 лева.  </w:t>
      </w:r>
    </w:p>
    <w:p w14:paraId="162F358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2C249D56" w14:textId="77777777" w:rsidR="00533926" w:rsidRPr="002E676E"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2E676E">
        <w:rPr>
          <w:rFonts w:ascii="Times New Roman" w:eastAsia="Times New Roman" w:hAnsi="Times New Roman" w:cs="Times New Roman"/>
          <w:b/>
          <w:color w:val="0000FF"/>
          <w:sz w:val="24"/>
          <w:szCs w:val="24"/>
          <w:lang w:eastAsia="bg-BG"/>
        </w:rPr>
        <w:t xml:space="preserve">ИНСТИТУТ ЗА ИЗСЛЕДВАНЕ НА НАСЕЛЕНИЕТО И ЧОВЕКА – БАН </w:t>
      </w:r>
    </w:p>
    <w:p w14:paraId="13B4AF4E" w14:textId="77777777" w:rsidR="00533926" w:rsidRPr="002E676E"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15B60C9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2E676E">
        <w:rPr>
          <w:rFonts w:ascii="Times New Roman" w:hAnsi="Times New Roman" w:cs="Times New Roman"/>
          <w:b/>
          <w:color w:val="000000"/>
          <w:sz w:val="24"/>
          <w:szCs w:val="24"/>
        </w:rPr>
        <w:t>7.1.1.4. Проект „Регионални проблеми в разпределението на трудовите ресурси по общини в началото на 21-ви век“ (2001–2021), 2022, ръководител доц. Н. Цеков</w:t>
      </w:r>
      <w:r w:rsidRPr="00AA5833">
        <w:rPr>
          <w:rFonts w:ascii="Times New Roman" w:hAnsi="Times New Roman" w:cs="Times New Roman"/>
          <w:b/>
          <w:color w:val="000000"/>
          <w:sz w:val="24"/>
          <w:szCs w:val="24"/>
        </w:rPr>
        <w:t xml:space="preserve"> </w:t>
      </w:r>
    </w:p>
    <w:p w14:paraId="040ED59B" w14:textId="77777777" w:rsidR="00BB5132" w:rsidRPr="00AA5833" w:rsidRDefault="00BB5132"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825445E" w14:textId="77777777" w:rsidR="00BB5132" w:rsidRPr="00AA5833" w:rsidRDefault="00BB5132" w:rsidP="00BB5132">
      <w:pPr>
        <w:spacing w:after="0" w:line="240" w:lineRule="auto"/>
        <w:ind w:firstLine="708"/>
        <w:jc w:val="both"/>
        <w:rPr>
          <w:rFonts w:ascii="Times New Roman" w:eastAsia="Times New Roman" w:hAnsi="Times New Roman" w:cs="Times New Roman"/>
          <w:color w:val="26282A"/>
          <w:sz w:val="24"/>
          <w:szCs w:val="24"/>
          <w:lang w:eastAsia="bg-BG"/>
        </w:rPr>
      </w:pPr>
      <w:r w:rsidRPr="00AA5833">
        <w:rPr>
          <w:rFonts w:ascii="Times New Roman" w:eastAsia="Times New Roman" w:hAnsi="Times New Roman" w:cs="Times New Roman"/>
          <w:color w:val="26282A"/>
          <w:sz w:val="24"/>
          <w:szCs w:val="24"/>
          <w:lang w:eastAsia="bg-BG"/>
        </w:rPr>
        <w:t>Във връзка с Отчета на демографската стратегия за 2024 г. по проекта са направени изчисления и прогнози за неравномерното разпределение на населението и трудовите ресурси по общини, което е свързано с различията в регионалната демографска ситуация по територията на страната, силно вариращия  по години и райони интензитет на миграцията на младо и трудоспособно население към малкото на брой центрове на растеж - София, Пловдив, Варна, Ст.Загора, Габрово, Русе, Козлодуй, Созопол, както и в няколко общини, намиращи се в съседство. В тази връзка е извършен мониторинг на процеса на демографско опустиняване, свързан с появата, разширението и сливането на ядрата на т.нар. демографски пустини върху територията на България - селищни землища, в които гъстотата на население е паднала под 10 д./кв.км. Тези землища /ЕКАТТЕ по класификацията на НСИ/, са нараснали от 1100 през 2001 г. до 1900 към м.юли 2025 г. Заемат през 2001 г. 24,9 % от цялата площ на страната, а през 2025 г. този дял рязко нараства до 40,0 %. Предлаганите мерки за смекчаване на този крайно негативен за населението, трудовите ресурси и регионалното социално-икономическо развитие на България процес на демографското ѝ опустиняване, са свързани преди всичко с признаването на статута на засегнатите територии като приоритетен при разпределянето на отпусканите на страната финансови ресурси по Програмата за развитие на селските райони като част от Общата селскостопанска политика на ЕС. Сред проектите за развитие на тези райони на първо място излиза състоянието на третокласната и четвъртокласната пътна мрежа и водоснабдяването, Понастоящем в почти напълно обезлюдените райони на България целогодишно на безводие и тежък воден режим са обречени около 167 хил. д., което от своя страна е предпоставка за разрастването на обхвата на летните горски пожари и пълния разпад на местните селищни мрежи върху  обширни опустинени територии.</w:t>
      </w:r>
    </w:p>
    <w:p w14:paraId="58BCB8AB" w14:textId="77777777" w:rsidR="00BB5132" w:rsidRPr="00AA5833" w:rsidRDefault="00BB5132" w:rsidP="00BB5132">
      <w:pPr>
        <w:spacing w:after="0" w:line="240" w:lineRule="auto"/>
        <w:jc w:val="both"/>
        <w:rPr>
          <w:rFonts w:ascii="Times New Roman" w:eastAsia="Times New Roman" w:hAnsi="Times New Roman" w:cs="Times New Roman"/>
          <w:sz w:val="24"/>
          <w:szCs w:val="24"/>
          <w:lang w:eastAsia="bg-BG"/>
        </w:rPr>
      </w:pPr>
    </w:p>
    <w:p w14:paraId="5B054EE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5C78F82"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5B0415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 xml:space="preserve">7.1.2. </w:t>
            </w:r>
            <w:r w:rsidRPr="00AA5833">
              <w:rPr>
                <w:rFonts w:ascii="Times New Roman" w:eastAsia="Times New Roman" w:hAnsi="Times New Roman" w:cs="Times New Roman"/>
                <w:b/>
                <w:bCs/>
                <w:color w:val="000000"/>
                <w:sz w:val="24"/>
                <w:szCs w:val="24"/>
              </w:rPr>
              <w:t>Адаптиране на социално-осигурителната система към остаряването на населението и към необходимостта от повишаване на качеството на живот на възрастните хора</w:t>
            </w:r>
          </w:p>
        </w:tc>
      </w:tr>
    </w:tbl>
    <w:p w14:paraId="53D92D17"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p>
    <w:p w14:paraId="4DA3B46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НАЦИОНАЛЕН ОСИГУРИТЕЛЕН ИНСТИТУТ</w:t>
      </w:r>
    </w:p>
    <w:p w14:paraId="1C4CC69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486B22F0" w14:textId="77777777" w:rsidR="00533926" w:rsidRPr="00AA5833" w:rsidRDefault="00533926" w:rsidP="00533926">
      <w:pPr>
        <w:spacing w:after="0" w:line="240" w:lineRule="auto"/>
        <w:ind w:left="1701" w:hanging="1701"/>
        <w:jc w:val="both"/>
        <w:rPr>
          <w:rFonts w:ascii="Times New Roman" w:hAnsi="Times New Roman"/>
          <w:b/>
          <w:sz w:val="24"/>
          <w:szCs w:val="24"/>
        </w:rPr>
      </w:pPr>
      <w:r w:rsidRPr="00AA5833">
        <w:rPr>
          <w:rFonts w:ascii="Times New Roman" w:hAnsi="Times New Roman"/>
          <w:b/>
          <w:sz w:val="24"/>
          <w:szCs w:val="24"/>
        </w:rPr>
        <w:t>7.1.2.1. Пенсии по Кодекса за социално осигуряване</w:t>
      </w:r>
    </w:p>
    <w:p w14:paraId="51281EBD" w14:textId="77777777" w:rsidR="00533926" w:rsidRPr="00AA5833" w:rsidRDefault="00533926" w:rsidP="00533926">
      <w:pPr>
        <w:spacing w:after="0" w:line="240" w:lineRule="auto"/>
        <w:ind w:firstLine="709"/>
        <w:jc w:val="both"/>
        <w:rPr>
          <w:rFonts w:ascii="Times New Roman" w:eastAsia="Times New Roman" w:hAnsi="Times New Roman"/>
          <w:kern w:val="24"/>
          <w:sz w:val="24"/>
          <w:szCs w:val="24"/>
          <w:lang w:eastAsia="zh-CN"/>
        </w:rPr>
      </w:pPr>
    </w:p>
    <w:p w14:paraId="0B30126E" w14:textId="77777777" w:rsidR="00533926" w:rsidRPr="00AA5833" w:rsidRDefault="00533926" w:rsidP="00533926">
      <w:pPr>
        <w:spacing w:after="0" w:line="240" w:lineRule="auto"/>
        <w:jc w:val="both"/>
        <w:rPr>
          <w:rFonts w:ascii="Times New Roman" w:eastAsia="Times New Roman" w:hAnsi="Times New Roman"/>
          <w:bCs/>
          <w:sz w:val="24"/>
          <w:szCs w:val="24"/>
        </w:rPr>
      </w:pPr>
      <w:r w:rsidRPr="00AA5833">
        <w:rPr>
          <w:rFonts w:ascii="Times New Roman" w:eastAsia="Times New Roman" w:hAnsi="Times New Roman"/>
          <w:bCs/>
          <w:sz w:val="24"/>
          <w:szCs w:val="24"/>
        </w:rPr>
        <w:tab/>
        <w:t>Промени в условията за придобиване право на пенсия и в размерите на пенсиите през 2024 година:</w:t>
      </w:r>
    </w:p>
    <w:p w14:paraId="4E3FAA4D"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Условията за придобиване право на пенсия за осигурителен стаж и възраст през 2024 г. по чл. 68, ал. 1 от КСО се промениха, на база заложеното постепенно нарастване на възрастта и осигурителния стаж и са както следва:</w:t>
      </w:r>
    </w:p>
    <w:p w14:paraId="7B75297B" w14:textId="77777777" w:rsidR="00533926" w:rsidRPr="00AA5833" w:rsidRDefault="00533926" w:rsidP="002A598C">
      <w:pPr>
        <w:numPr>
          <w:ilvl w:val="0"/>
          <w:numId w:val="35"/>
        </w:numPr>
        <w:spacing w:after="0" w:line="240" w:lineRule="auto"/>
        <w:jc w:val="both"/>
        <w:rPr>
          <w:rFonts w:ascii="Times New Roman" w:hAnsi="Times New Roman"/>
          <w:sz w:val="24"/>
          <w:szCs w:val="24"/>
        </w:rPr>
      </w:pPr>
      <w:r w:rsidRPr="00AA5833">
        <w:rPr>
          <w:rFonts w:ascii="Times New Roman" w:hAnsi="Times New Roman"/>
          <w:bCs/>
          <w:sz w:val="24"/>
          <w:szCs w:val="24"/>
        </w:rPr>
        <w:t>Мъже</w:t>
      </w:r>
      <w:r w:rsidRPr="00AA5833">
        <w:rPr>
          <w:rFonts w:ascii="Times New Roman" w:hAnsi="Times New Roman"/>
          <w:sz w:val="24"/>
          <w:szCs w:val="24"/>
        </w:rPr>
        <w:t xml:space="preserve"> – навършена възраст 64 години и 7 месеца и 39 години</w:t>
      </w:r>
      <w:r w:rsidRPr="00AA5833">
        <w:t xml:space="preserve"> </w:t>
      </w:r>
      <w:r w:rsidRPr="00AA5833">
        <w:rPr>
          <w:rFonts w:ascii="Times New Roman" w:hAnsi="Times New Roman"/>
          <w:sz w:val="24"/>
          <w:szCs w:val="24"/>
        </w:rPr>
        <w:t>и 6 месеца осигурителен стаж;</w:t>
      </w:r>
    </w:p>
    <w:p w14:paraId="58C547E5" w14:textId="77777777" w:rsidR="00533926" w:rsidRPr="00AA5833" w:rsidRDefault="00533926" w:rsidP="002A598C">
      <w:pPr>
        <w:numPr>
          <w:ilvl w:val="0"/>
          <w:numId w:val="35"/>
        </w:numPr>
        <w:spacing w:after="0" w:line="240" w:lineRule="auto"/>
        <w:jc w:val="both"/>
        <w:rPr>
          <w:rFonts w:ascii="Times New Roman" w:hAnsi="Times New Roman"/>
          <w:sz w:val="24"/>
          <w:szCs w:val="24"/>
        </w:rPr>
      </w:pPr>
      <w:r w:rsidRPr="00AA5833">
        <w:rPr>
          <w:rFonts w:ascii="Times New Roman" w:hAnsi="Times New Roman"/>
          <w:bCs/>
          <w:sz w:val="24"/>
          <w:szCs w:val="24"/>
        </w:rPr>
        <w:t>Жени</w:t>
      </w:r>
      <w:r w:rsidRPr="00AA5833">
        <w:rPr>
          <w:rFonts w:ascii="Times New Roman" w:hAnsi="Times New Roman"/>
          <w:sz w:val="24"/>
          <w:szCs w:val="24"/>
        </w:rPr>
        <w:t xml:space="preserve"> – навършена възраст 62 години и 2 месеца и 36 години и 6 месеца осигурителен стаж.</w:t>
      </w:r>
    </w:p>
    <w:p w14:paraId="236411E8"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 xml:space="preserve">През 2024 г. необходимата възраст за придобиване право на пенсия при наличие на 15 години действителен осигурителен стаж на основание </w:t>
      </w:r>
      <w:r w:rsidRPr="00AA5833">
        <w:rPr>
          <w:rFonts w:ascii="Times New Roman" w:eastAsia="Times New Roman" w:hAnsi="Times New Roman"/>
          <w:bCs/>
          <w:sz w:val="24"/>
          <w:szCs w:val="24"/>
          <w:lang w:eastAsia="zh-CN"/>
        </w:rPr>
        <w:t>чл. 68, ал. 3 от КСО</w:t>
      </w:r>
      <w:r w:rsidRPr="00AA5833">
        <w:rPr>
          <w:rFonts w:ascii="Times New Roman" w:eastAsia="Times New Roman" w:hAnsi="Times New Roman"/>
          <w:sz w:val="24"/>
          <w:szCs w:val="24"/>
          <w:lang w:eastAsia="zh-CN"/>
        </w:rPr>
        <w:t xml:space="preserve"> е 67 години за жените и мъжете.</w:t>
      </w:r>
    </w:p>
    <w:p w14:paraId="510FB278"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lastRenderedPageBreak/>
        <w:tab/>
        <w:t xml:space="preserve">На основание чл. 68а </w:t>
      </w:r>
      <w:r w:rsidRPr="00AA5833">
        <w:rPr>
          <w:rFonts w:ascii="Times New Roman" w:eastAsia="Times New Roman" w:hAnsi="Times New Roman"/>
          <w:bCs/>
          <w:sz w:val="24"/>
          <w:szCs w:val="24"/>
          <w:lang w:eastAsia="zh-CN"/>
        </w:rPr>
        <w:t>от КСО,</w:t>
      </w:r>
      <w:r w:rsidRPr="00AA5833">
        <w:rPr>
          <w:rFonts w:ascii="Times New Roman" w:eastAsia="Times New Roman" w:hAnsi="Times New Roman"/>
          <w:sz w:val="24"/>
          <w:szCs w:val="24"/>
          <w:lang w:eastAsia="zh-CN"/>
        </w:rPr>
        <w:t xml:space="preserve"> лицата</w:t>
      </w:r>
      <w:r w:rsidRPr="00AA5833">
        <w:rPr>
          <w:rFonts w:ascii="Times New Roman" w:eastAsia="Times New Roman" w:hAnsi="Times New Roman"/>
          <w:bCs/>
          <w:sz w:val="24"/>
          <w:szCs w:val="24"/>
          <w:lang w:eastAsia="zh-CN"/>
        </w:rPr>
        <w:t>, които имат изискуемия осигурителен стаж по чл. 68, ал. 2 от КСО, могат по тяхно желание да се пенсионират до една година по-рано от възрастта им по чл. 68, ал. 1.</w:t>
      </w:r>
    </w:p>
    <w:p w14:paraId="623E807B"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Необходимата възраст за придобиване право на пенсия по чл. 69 от КСО се повиши с два месеца – 54 години и 2 месеца за пенсия по чл. 69, ал. 1, 2, 3, 5, 5а и 6 и 44 години и 2 месеца за пенсия по чл. 69, ал. 4 и 7 от КСО.</w:t>
      </w:r>
    </w:p>
    <w:p w14:paraId="12D3D530"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Необходимата възраст за придобиване право на пенсия по чл. 69а от КСО се повиши с два месеца и е 44 години и 2 месеца.</w:t>
      </w:r>
    </w:p>
    <w:p w14:paraId="63A6587E"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Необходимата възраст за придобиване право на пенсия по чл. 69б, ал. 1, 2 и 3 от КСО за мъжете се повиши с два месеца, изискуемата възраст по чл. 69б, ал. 1 и 2 от КСО за жените се повиши с четири месеца, а по чл. 69б, ал. 3 с 2 месеца и е:</w:t>
      </w:r>
    </w:p>
    <w:p w14:paraId="7F9DD39A" w14:textId="77777777" w:rsidR="00533926" w:rsidRPr="00AA5833" w:rsidRDefault="00533926" w:rsidP="002A598C">
      <w:pPr>
        <w:numPr>
          <w:ilvl w:val="0"/>
          <w:numId w:val="35"/>
        </w:numPr>
        <w:spacing w:after="0" w:line="240" w:lineRule="auto"/>
        <w:jc w:val="both"/>
        <w:rPr>
          <w:rFonts w:ascii="Times New Roman" w:hAnsi="Times New Roman"/>
          <w:sz w:val="24"/>
          <w:szCs w:val="24"/>
        </w:rPr>
      </w:pPr>
      <w:r w:rsidRPr="00AA5833">
        <w:rPr>
          <w:rFonts w:ascii="Times New Roman" w:hAnsi="Times New Roman"/>
          <w:bCs/>
          <w:sz w:val="24"/>
          <w:szCs w:val="24"/>
        </w:rPr>
        <w:t>Мъже</w:t>
      </w:r>
      <w:r w:rsidRPr="00AA5833">
        <w:rPr>
          <w:rFonts w:ascii="Times New Roman" w:eastAsia="Times New Roman" w:hAnsi="Times New Roman"/>
          <w:sz w:val="24"/>
          <w:szCs w:val="24"/>
          <w:lang w:eastAsia="zh-CN"/>
        </w:rPr>
        <w:t xml:space="preserve"> – </w:t>
      </w:r>
      <w:r w:rsidRPr="00AA5833">
        <w:rPr>
          <w:rFonts w:ascii="Times New Roman" w:hAnsi="Times New Roman"/>
          <w:sz w:val="24"/>
          <w:szCs w:val="24"/>
        </w:rPr>
        <w:t>54 години и 2 месеца, жени – 50 години и 8 месеца, за лицата с придобит осигурителен стаж в условията на първа категория труд;</w:t>
      </w:r>
    </w:p>
    <w:p w14:paraId="64CBC87C" w14:textId="77777777" w:rsidR="00533926" w:rsidRPr="00AA5833" w:rsidRDefault="00533926" w:rsidP="002A598C">
      <w:pPr>
        <w:numPr>
          <w:ilvl w:val="0"/>
          <w:numId w:val="35"/>
        </w:numPr>
        <w:spacing w:after="0" w:line="240" w:lineRule="auto"/>
        <w:jc w:val="both"/>
        <w:rPr>
          <w:rFonts w:ascii="Times New Roman" w:hAnsi="Times New Roman"/>
          <w:sz w:val="24"/>
          <w:szCs w:val="24"/>
        </w:rPr>
      </w:pPr>
      <w:r w:rsidRPr="00AA5833">
        <w:rPr>
          <w:rFonts w:ascii="Times New Roman" w:hAnsi="Times New Roman"/>
          <w:bCs/>
          <w:sz w:val="24"/>
          <w:szCs w:val="24"/>
        </w:rPr>
        <w:t>Мъже</w:t>
      </w:r>
      <w:r w:rsidRPr="00AA5833">
        <w:rPr>
          <w:rFonts w:ascii="Times New Roman" w:eastAsia="Times New Roman" w:hAnsi="Times New Roman"/>
          <w:sz w:val="24"/>
          <w:szCs w:val="24"/>
          <w:lang w:eastAsia="zh-CN"/>
        </w:rPr>
        <w:t xml:space="preserve"> – </w:t>
      </w:r>
      <w:r w:rsidRPr="00AA5833">
        <w:rPr>
          <w:rFonts w:ascii="Times New Roman" w:hAnsi="Times New Roman"/>
          <w:sz w:val="24"/>
          <w:szCs w:val="24"/>
        </w:rPr>
        <w:t xml:space="preserve">59 години и 2 месеца, жени – 55 години и 8 месеца, за лицата с придобит осигурителен стаж в условията на втора категория труд; </w:t>
      </w:r>
    </w:p>
    <w:p w14:paraId="78D71B87" w14:textId="77777777" w:rsidR="00533926" w:rsidRPr="00AA5833" w:rsidRDefault="00533926" w:rsidP="002A598C">
      <w:pPr>
        <w:numPr>
          <w:ilvl w:val="0"/>
          <w:numId w:val="35"/>
        </w:numPr>
        <w:spacing w:after="0" w:line="240" w:lineRule="auto"/>
        <w:jc w:val="both"/>
        <w:rPr>
          <w:rFonts w:ascii="Times New Roman" w:hAnsi="Times New Roman"/>
          <w:sz w:val="24"/>
          <w:szCs w:val="24"/>
        </w:rPr>
      </w:pPr>
      <w:r w:rsidRPr="00AA5833">
        <w:rPr>
          <w:rFonts w:ascii="Times New Roman" w:hAnsi="Times New Roman"/>
          <w:bCs/>
          <w:sz w:val="24"/>
          <w:szCs w:val="24"/>
        </w:rPr>
        <w:t>Мъже</w:t>
      </w:r>
      <w:r w:rsidRPr="00AA5833">
        <w:rPr>
          <w:rFonts w:ascii="Times New Roman" w:eastAsia="Times New Roman" w:hAnsi="Times New Roman"/>
          <w:sz w:val="24"/>
          <w:szCs w:val="24"/>
          <w:lang w:eastAsia="zh-CN"/>
        </w:rPr>
        <w:t xml:space="preserve"> – </w:t>
      </w:r>
      <w:r w:rsidRPr="00AA5833">
        <w:rPr>
          <w:rFonts w:ascii="Times New Roman" w:hAnsi="Times New Roman"/>
          <w:sz w:val="24"/>
          <w:szCs w:val="24"/>
        </w:rPr>
        <w:t xml:space="preserve">53 години и 6 месеца, а за жените – 48 години и 6 месеца, за лицата с придобит осигурителен стаж в условията на подземен труд. </w:t>
      </w:r>
    </w:p>
    <w:p w14:paraId="6F480C1E"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 xml:space="preserve">Необходимата възраст за учителите за придобиване право на срочна пенсия за ранно пенсиониране в намален размер по чл. 69в, ал. 1 от КСО за мъжете се повиши с един месец и е 61 години и 7 месеца, а за жените се повиши с два месеца и 59 години и 2 месеца. </w:t>
      </w:r>
    </w:p>
    <w:p w14:paraId="3A05C153"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През 2024 г. бяха реализирани следните политики по отношение на размерите на пенсиите:</w:t>
      </w:r>
    </w:p>
    <w:p w14:paraId="09D672AF" w14:textId="77777777" w:rsidR="00533926" w:rsidRPr="00AA5833" w:rsidRDefault="00533926" w:rsidP="002A598C">
      <w:pPr>
        <w:numPr>
          <w:ilvl w:val="0"/>
          <w:numId w:val="36"/>
        </w:numPr>
        <w:spacing w:after="0" w:line="240" w:lineRule="auto"/>
        <w:ind w:left="-142" w:firstLine="852"/>
        <w:contextualSpacing/>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 xml:space="preserve">От 1 юли 2024 г. размерът на всички пенсии за трудова дейност, отпуснати с начална дата до 31 декември 2023 г., бе увеличен с 11 на сто. </w:t>
      </w:r>
    </w:p>
    <w:p w14:paraId="02FA5BC6" w14:textId="77777777" w:rsidR="00533926" w:rsidRPr="00AA5833" w:rsidRDefault="00533926" w:rsidP="002A598C">
      <w:pPr>
        <w:numPr>
          <w:ilvl w:val="0"/>
          <w:numId w:val="36"/>
        </w:numPr>
        <w:spacing w:after="0" w:line="240" w:lineRule="auto"/>
        <w:ind w:left="-142" w:firstLine="852"/>
        <w:contextualSpacing/>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Минималният размер на пенсията за осигурителен стаж и възраст по чл. 68, ал. 1 от КСО от 1 юли 2024 г. бе увеличен от 523,04 лв. на 580,57 лв. (с 11 на сто), както и размерите на всички пенсии за трудова дейност обвързани с него.</w:t>
      </w:r>
    </w:p>
    <w:p w14:paraId="599F773F" w14:textId="77777777" w:rsidR="00533926" w:rsidRPr="00AA5833" w:rsidRDefault="00533926" w:rsidP="00533926">
      <w:pPr>
        <w:tabs>
          <w:tab w:val="left" w:pos="709"/>
        </w:tabs>
        <w:spacing w:after="0" w:line="240" w:lineRule="auto"/>
        <w:jc w:val="both"/>
        <w:rPr>
          <w:rFonts w:ascii="Times New Roman" w:hAnsi="Times New Roman"/>
          <w:sz w:val="24"/>
          <w:szCs w:val="24"/>
        </w:rPr>
      </w:pPr>
      <w:r w:rsidRPr="00AA5833">
        <w:rPr>
          <w:rFonts w:ascii="Times New Roman" w:eastAsia="Times New Roman" w:hAnsi="Times New Roman"/>
          <w:sz w:val="24"/>
          <w:szCs w:val="24"/>
          <w:lang w:eastAsia="zh-CN"/>
        </w:rPr>
        <w:tab/>
        <w:t>Минималните</w:t>
      </w:r>
      <w:r w:rsidRPr="00AA5833">
        <w:rPr>
          <w:rFonts w:ascii="Times New Roman" w:hAnsi="Times New Roman"/>
          <w:sz w:val="24"/>
          <w:szCs w:val="24"/>
        </w:rPr>
        <w:t xml:space="preserve"> размери на пенсиите за трудова дейност през 2024 г., които се определят в процент от минималния размер на пенсията за осигурителен стаж и възраст по чл. 68, ал. 1 от КСО са показани в следващата таблица:</w:t>
      </w:r>
    </w:p>
    <w:p w14:paraId="55AE8E32" w14:textId="77777777" w:rsidR="00533926" w:rsidRPr="00AA5833" w:rsidRDefault="00533926" w:rsidP="00533926">
      <w:pPr>
        <w:spacing w:after="0" w:line="240" w:lineRule="auto"/>
        <w:ind w:firstLine="709"/>
        <w:jc w:val="both"/>
        <w:rPr>
          <w:rFonts w:ascii="Times New Roman" w:eastAsia="Times New Roman" w:hAnsi="Times New Roman"/>
          <w:sz w:val="24"/>
          <w:szCs w:val="24"/>
          <w:lang w:eastAsia="zh-CN"/>
        </w:rPr>
      </w:pPr>
    </w:p>
    <w:p w14:paraId="2491EAA2" w14:textId="77777777" w:rsidR="00533926" w:rsidRPr="00AA5833" w:rsidRDefault="00533926" w:rsidP="00533926">
      <w:pPr>
        <w:spacing w:after="60" w:line="240" w:lineRule="auto"/>
        <w:ind w:left="284" w:right="282"/>
        <w:jc w:val="both"/>
        <w:rPr>
          <w:rFonts w:ascii="Times New Roman" w:eastAsia="Times New Roman" w:hAnsi="Times New Roman"/>
          <w:b/>
          <w:sz w:val="24"/>
          <w:szCs w:val="24"/>
          <w:lang w:eastAsia="zh-CN"/>
        </w:rPr>
      </w:pPr>
      <w:r w:rsidRPr="00AA5833">
        <w:rPr>
          <w:rFonts w:ascii="Times New Roman" w:eastAsia="Times New Roman" w:hAnsi="Times New Roman"/>
          <w:b/>
          <w:sz w:val="24"/>
          <w:szCs w:val="24"/>
          <w:lang w:eastAsia="zh-CN"/>
        </w:rPr>
        <w:t>Минимални размери на пенсиите за трудова дейност, които зависят от размера на минималната пенсия за осигурителен стаж и възраст (ОСВ) през 2024 г.</w:t>
      </w:r>
    </w:p>
    <w:tbl>
      <w:tblPr>
        <w:tblW w:w="9137" w:type="dxa"/>
        <w:jc w:val="center"/>
        <w:tblCellMar>
          <w:left w:w="70" w:type="dxa"/>
          <w:right w:w="70" w:type="dxa"/>
        </w:tblCellMar>
        <w:tblLook w:val="04A0" w:firstRow="1" w:lastRow="0" w:firstColumn="1" w:lastColumn="0" w:noHBand="0" w:noVBand="1"/>
      </w:tblPr>
      <w:tblGrid>
        <w:gridCol w:w="4952"/>
        <w:gridCol w:w="2268"/>
        <w:gridCol w:w="1917"/>
      </w:tblGrid>
      <w:tr w:rsidR="00533926" w:rsidRPr="00AA5833" w14:paraId="609428FC" w14:textId="77777777" w:rsidTr="00533926">
        <w:trPr>
          <w:trHeight w:val="450"/>
          <w:jc w:val="center"/>
        </w:trPr>
        <w:tc>
          <w:tcPr>
            <w:tcW w:w="49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E313DC" w14:textId="77777777" w:rsidR="00533926" w:rsidRPr="00AA5833" w:rsidRDefault="00533926" w:rsidP="00533926">
            <w:pPr>
              <w:spacing w:after="0" w:line="240" w:lineRule="auto"/>
              <w:jc w:val="center"/>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ПЕНСИИ ЗА ТРУДОВА ДЕЙНОСТ</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7D8B93" w14:textId="77777777" w:rsidR="00533926" w:rsidRPr="00AA5833" w:rsidRDefault="00533926" w:rsidP="00533926">
            <w:pPr>
              <w:spacing w:after="0" w:line="240" w:lineRule="auto"/>
              <w:jc w:val="center"/>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Минимален размер от 01.01.2024 г. до 30.06.2024 г.</w:t>
            </w:r>
          </w:p>
        </w:tc>
        <w:tc>
          <w:tcPr>
            <w:tcW w:w="19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0907F" w14:textId="77777777" w:rsidR="00533926" w:rsidRPr="00AA5833" w:rsidRDefault="00533926" w:rsidP="00533926">
            <w:pPr>
              <w:spacing w:after="0" w:line="240" w:lineRule="auto"/>
              <w:jc w:val="center"/>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 xml:space="preserve">Минимален размер от 01.07.2024 г. </w:t>
            </w:r>
          </w:p>
        </w:tc>
      </w:tr>
      <w:tr w:rsidR="00533926" w:rsidRPr="00AA5833" w14:paraId="2A47BD86" w14:textId="77777777" w:rsidTr="00533926">
        <w:trPr>
          <w:trHeight w:val="450"/>
          <w:jc w:val="center"/>
        </w:trPr>
        <w:tc>
          <w:tcPr>
            <w:tcW w:w="4952" w:type="dxa"/>
            <w:vMerge/>
            <w:tcBorders>
              <w:top w:val="single" w:sz="8" w:space="0" w:color="auto"/>
              <w:left w:val="single" w:sz="8" w:space="0" w:color="auto"/>
              <w:bottom w:val="single" w:sz="4" w:space="0" w:color="auto"/>
              <w:right w:val="single" w:sz="8" w:space="0" w:color="auto"/>
            </w:tcBorders>
            <w:vAlign w:val="center"/>
            <w:hideMark/>
          </w:tcPr>
          <w:p w14:paraId="2EF52503" w14:textId="77777777" w:rsidR="00533926" w:rsidRPr="00AA5833" w:rsidRDefault="00533926" w:rsidP="00533926">
            <w:pPr>
              <w:spacing w:after="0" w:line="240" w:lineRule="auto"/>
              <w:rPr>
                <w:rFonts w:ascii="Times New Roman" w:eastAsia="Times New Roman" w:hAnsi="Times New Roman"/>
                <w:b/>
                <w:bCs/>
                <w:sz w:val="18"/>
                <w:szCs w:val="18"/>
                <w:lang w:eastAsia="bg-BG"/>
              </w:rPr>
            </w:pPr>
          </w:p>
        </w:tc>
        <w:tc>
          <w:tcPr>
            <w:tcW w:w="2268" w:type="dxa"/>
            <w:vMerge/>
            <w:tcBorders>
              <w:top w:val="single" w:sz="8" w:space="0" w:color="auto"/>
              <w:left w:val="single" w:sz="8" w:space="0" w:color="auto"/>
              <w:bottom w:val="single" w:sz="4" w:space="0" w:color="auto"/>
              <w:right w:val="single" w:sz="8" w:space="0" w:color="auto"/>
            </w:tcBorders>
            <w:vAlign w:val="center"/>
            <w:hideMark/>
          </w:tcPr>
          <w:p w14:paraId="0D99B949" w14:textId="77777777" w:rsidR="00533926" w:rsidRPr="00AA5833" w:rsidRDefault="00533926" w:rsidP="00533926">
            <w:pPr>
              <w:spacing w:after="0" w:line="240" w:lineRule="auto"/>
              <w:rPr>
                <w:rFonts w:ascii="Times New Roman" w:eastAsia="Times New Roman" w:hAnsi="Times New Roman"/>
                <w:b/>
                <w:bCs/>
                <w:sz w:val="18"/>
                <w:szCs w:val="18"/>
                <w:lang w:eastAsia="bg-BG"/>
              </w:rPr>
            </w:pPr>
          </w:p>
        </w:tc>
        <w:tc>
          <w:tcPr>
            <w:tcW w:w="1917" w:type="dxa"/>
            <w:vMerge/>
            <w:tcBorders>
              <w:top w:val="single" w:sz="8" w:space="0" w:color="auto"/>
              <w:left w:val="single" w:sz="8" w:space="0" w:color="auto"/>
              <w:bottom w:val="single" w:sz="4" w:space="0" w:color="auto"/>
              <w:right w:val="single" w:sz="8" w:space="0" w:color="auto"/>
            </w:tcBorders>
            <w:vAlign w:val="center"/>
            <w:hideMark/>
          </w:tcPr>
          <w:p w14:paraId="5D65ED26" w14:textId="77777777" w:rsidR="00533926" w:rsidRPr="00AA5833" w:rsidRDefault="00533926" w:rsidP="00533926">
            <w:pPr>
              <w:spacing w:after="0" w:line="240" w:lineRule="auto"/>
              <w:rPr>
                <w:rFonts w:ascii="Times New Roman" w:eastAsia="Times New Roman" w:hAnsi="Times New Roman"/>
                <w:b/>
                <w:bCs/>
                <w:sz w:val="18"/>
                <w:szCs w:val="18"/>
                <w:lang w:eastAsia="bg-BG"/>
              </w:rPr>
            </w:pPr>
          </w:p>
        </w:tc>
      </w:tr>
      <w:tr w:rsidR="00533926" w:rsidRPr="00AA5833" w14:paraId="6FC76AE9" w14:textId="77777777" w:rsidTr="00533926">
        <w:trPr>
          <w:trHeight w:val="250"/>
          <w:jc w:val="center"/>
        </w:trPr>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E74AE" w14:textId="77777777" w:rsidR="00533926" w:rsidRPr="00AA5833" w:rsidRDefault="00533926" w:rsidP="00533926">
            <w:pPr>
              <w:spacing w:after="0" w:line="240" w:lineRule="auto"/>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1. Лична пенсия за осигурителен стаж и възраст - чл. 68 КСО: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EF721"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B5E24"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r>
      <w:tr w:rsidR="00533926" w:rsidRPr="00AA5833" w14:paraId="211C91FB" w14:textId="77777777" w:rsidTr="00533926">
        <w:trPr>
          <w:trHeight w:val="250"/>
          <w:jc w:val="center"/>
        </w:trPr>
        <w:tc>
          <w:tcPr>
            <w:tcW w:w="4952" w:type="dxa"/>
            <w:tcBorders>
              <w:top w:val="single" w:sz="4" w:space="0" w:color="auto"/>
              <w:left w:val="single" w:sz="8" w:space="0" w:color="auto"/>
              <w:bottom w:val="nil"/>
              <w:right w:val="single" w:sz="8" w:space="0" w:color="auto"/>
            </w:tcBorders>
            <w:shd w:val="clear" w:color="auto" w:fill="auto"/>
            <w:vAlign w:val="center"/>
            <w:hideMark/>
          </w:tcPr>
          <w:p w14:paraId="505D6055" w14:textId="77777777" w:rsidR="00533926" w:rsidRPr="00AA5833" w:rsidRDefault="00533926" w:rsidP="00533926">
            <w:pPr>
              <w:spacing w:after="0" w:line="240" w:lineRule="auto"/>
              <w:rPr>
                <w:rFonts w:ascii="Times New Roman" w:hAnsi="Times New Roman"/>
                <w:sz w:val="18"/>
                <w:szCs w:val="18"/>
              </w:rPr>
            </w:pPr>
            <w:r w:rsidRPr="00AA5833">
              <w:rPr>
                <w:rFonts w:ascii="Times New Roman" w:hAnsi="Times New Roman"/>
                <w:sz w:val="18"/>
                <w:szCs w:val="18"/>
              </w:rPr>
              <w:t>- по чл. 68, ал. 1 (минимална пенсия за ОСВ)</w:t>
            </w:r>
          </w:p>
        </w:tc>
        <w:tc>
          <w:tcPr>
            <w:tcW w:w="2268" w:type="dxa"/>
            <w:tcBorders>
              <w:top w:val="single" w:sz="4" w:space="0" w:color="auto"/>
              <w:left w:val="single" w:sz="8" w:space="0" w:color="auto"/>
              <w:bottom w:val="nil"/>
              <w:right w:val="single" w:sz="8" w:space="0" w:color="auto"/>
            </w:tcBorders>
            <w:shd w:val="clear" w:color="auto" w:fill="auto"/>
            <w:vAlign w:val="center"/>
            <w:hideMark/>
          </w:tcPr>
          <w:p w14:paraId="2945881A"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523,04 лв.</w:t>
            </w:r>
          </w:p>
        </w:tc>
        <w:tc>
          <w:tcPr>
            <w:tcW w:w="1917" w:type="dxa"/>
            <w:tcBorders>
              <w:top w:val="single" w:sz="4" w:space="0" w:color="auto"/>
              <w:left w:val="single" w:sz="8" w:space="0" w:color="auto"/>
              <w:bottom w:val="nil"/>
              <w:right w:val="single" w:sz="8" w:space="0" w:color="auto"/>
            </w:tcBorders>
            <w:shd w:val="clear" w:color="auto" w:fill="auto"/>
          </w:tcPr>
          <w:p w14:paraId="6B832482"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580,57 лв.</w:t>
            </w:r>
          </w:p>
        </w:tc>
      </w:tr>
      <w:tr w:rsidR="00533926" w:rsidRPr="00AA5833" w14:paraId="7FC3943F" w14:textId="77777777" w:rsidTr="00533926">
        <w:trPr>
          <w:trHeight w:val="250"/>
          <w:jc w:val="center"/>
        </w:trPr>
        <w:tc>
          <w:tcPr>
            <w:tcW w:w="4952" w:type="dxa"/>
            <w:tcBorders>
              <w:top w:val="nil"/>
              <w:left w:val="single" w:sz="8" w:space="0" w:color="auto"/>
              <w:bottom w:val="nil"/>
              <w:right w:val="single" w:sz="8" w:space="0" w:color="auto"/>
            </w:tcBorders>
            <w:shd w:val="clear" w:color="auto" w:fill="auto"/>
            <w:vAlign w:val="center"/>
            <w:hideMark/>
          </w:tcPr>
          <w:p w14:paraId="6018FC4F" w14:textId="77777777" w:rsidR="00533926" w:rsidRPr="00AA5833" w:rsidRDefault="00533926" w:rsidP="00533926">
            <w:pPr>
              <w:spacing w:after="0" w:line="240" w:lineRule="auto"/>
              <w:rPr>
                <w:rFonts w:ascii="Times New Roman" w:hAnsi="Times New Roman"/>
                <w:sz w:val="18"/>
                <w:szCs w:val="18"/>
              </w:rPr>
            </w:pPr>
            <w:r w:rsidRPr="00AA5833">
              <w:rPr>
                <w:rFonts w:ascii="Times New Roman" w:hAnsi="Times New Roman"/>
                <w:sz w:val="18"/>
                <w:szCs w:val="18"/>
              </w:rPr>
              <w:t>- по чл. 68а, 69, 69а, 69б и 69в (минимална пенсия за ОСВ)</w:t>
            </w:r>
          </w:p>
        </w:tc>
        <w:tc>
          <w:tcPr>
            <w:tcW w:w="2268" w:type="dxa"/>
            <w:tcBorders>
              <w:top w:val="nil"/>
              <w:left w:val="single" w:sz="8" w:space="0" w:color="auto"/>
              <w:bottom w:val="nil"/>
              <w:right w:val="single" w:sz="8" w:space="0" w:color="auto"/>
            </w:tcBorders>
            <w:shd w:val="clear" w:color="auto" w:fill="auto"/>
            <w:vAlign w:val="center"/>
            <w:hideMark/>
          </w:tcPr>
          <w:p w14:paraId="39945065"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523,04 лв.</w:t>
            </w:r>
          </w:p>
        </w:tc>
        <w:tc>
          <w:tcPr>
            <w:tcW w:w="1917" w:type="dxa"/>
            <w:tcBorders>
              <w:top w:val="nil"/>
              <w:left w:val="single" w:sz="8" w:space="0" w:color="auto"/>
              <w:bottom w:val="nil"/>
              <w:right w:val="single" w:sz="8" w:space="0" w:color="auto"/>
            </w:tcBorders>
            <w:shd w:val="clear" w:color="auto" w:fill="auto"/>
          </w:tcPr>
          <w:p w14:paraId="09DD0989"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580,57 лв.</w:t>
            </w:r>
          </w:p>
        </w:tc>
      </w:tr>
      <w:tr w:rsidR="00533926" w:rsidRPr="00AA5833" w14:paraId="7EF0648A" w14:textId="77777777" w:rsidTr="00533926">
        <w:trPr>
          <w:trHeight w:val="264"/>
          <w:jc w:val="center"/>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D1B4008" w14:textId="77777777" w:rsidR="00533926" w:rsidRPr="00AA5833" w:rsidRDefault="00533926" w:rsidP="00533926">
            <w:pPr>
              <w:spacing w:after="0" w:line="240" w:lineRule="auto"/>
              <w:rPr>
                <w:rFonts w:ascii="Times New Roman" w:hAnsi="Times New Roman"/>
                <w:sz w:val="18"/>
                <w:szCs w:val="18"/>
              </w:rPr>
            </w:pPr>
            <w:r w:rsidRPr="00AA5833">
              <w:rPr>
                <w:rFonts w:ascii="Times New Roman" w:hAnsi="Times New Roman"/>
                <w:sz w:val="18"/>
                <w:szCs w:val="18"/>
              </w:rPr>
              <w:t>- по чл. 68, ал. 3 - (85% от мин. пенсия за ОСВ)</w:t>
            </w:r>
          </w:p>
        </w:tc>
        <w:tc>
          <w:tcPr>
            <w:tcW w:w="2268" w:type="dxa"/>
            <w:tcBorders>
              <w:top w:val="nil"/>
              <w:left w:val="single" w:sz="8" w:space="0" w:color="auto"/>
              <w:bottom w:val="single" w:sz="8" w:space="0" w:color="auto"/>
              <w:right w:val="single" w:sz="8" w:space="0" w:color="auto"/>
            </w:tcBorders>
            <w:shd w:val="clear" w:color="auto" w:fill="auto"/>
            <w:vAlign w:val="center"/>
            <w:hideMark/>
          </w:tcPr>
          <w:p w14:paraId="69743238"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444,58 лв.</w:t>
            </w:r>
          </w:p>
        </w:tc>
        <w:tc>
          <w:tcPr>
            <w:tcW w:w="1917" w:type="dxa"/>
            <w:tcBorders>
              <w:top w:val="nil"/>
              <w:left w:val="single" w:sz="8" w:space="0" w:color="auto"/>
              <w:bottom w:val="single" w:sz="8" w:space="0" w:color="auto"/>
              <w:right w:val="single" w:sz="8" w:space="0" w:color="auto"/>
            </w:tcBorders>
            <w:shd w:val="clear" w:color="auto" w:fill="auto"/>
          </w:tcPr>
          <w:p w14:paraId="29B77AD7"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493,48 лв.</w:t>
            </w:r>
          </w:p>
        </w:tc>
      </w:tr>
      <w:tr w:rsidR="00533926" w:rsidRPr="00AA5833" w14:paraId="339FD401" w14:textId="77777777" w:rsidTr="00533926">
        <w:trPr>
          <w:trHeight w:val="452"/>
          <w:jc w:val="center"/>
        </w:trPr>
        <w:tc>
          <w:tcPr>
            <w:tcW w:w="4952" w:type="dxa"/>
            <w:tcBorders>
              <w:top w:val="nil"/>
              <w:left w:val="single" w:sz="8" w:space="0" w:color="auto"/>
              <w:bottom w:val="nil"/>
              <w:right w:val="single" w:sz="8" w:space="0" w:color="auto"/>
            </w:tcBorders>
            <w:shd w:val="clear" w:color="auto" w:fill="auto"/>
            <w:vAlign w:val="center"/>
            <w:hideMark/>
          </w:tcPr>
          <w:p w14:paraId="674E0B8D" w14:textId="77777777" w:rsidR="00533926" w:rsidRPr="00AA5833" w:rsidRDefault="00533926" w:rsidP="00533926">
            <w:pPr>
              <w:spacing w:after="0" w:line="240" w:lineRule="auto"/>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2. Лична пенсия за инвалидност поради общо заболяване - чл. 74 КСО, при трайно намалена работоспособност (ТНР):</w:t>
            </w:r>
          </w:p>
        </w:tc>
        <w:tc>
          <w:tcPr>
            <w:tcW w:w="2268" w:type="dxa"/>
            <w:tcBorders>
              <w:left w:val="nil"/>
              <w:bottom w:val="nil"/>
              <w:right w:val="single" w:sz="8" w:space="0" w:color="auto"/>
            </w:tcBorders>
            <w:shd w:val="clear" w:color="auto" w:fill="auto"/>
            <w:vAlign w:val="center"/>
            <w:hideMark/>
          </w:tcPr>
          <w:p w14:paraId="381DFF28"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c>
          <w:tcPr>
            <w:tcW w:w="1917" w:type="dxa"/>
            <w:tcBorders>
              <w:top w:val="nil"/>
              <w:left w:val="nil"/>
              <w:bottom w:val="nil"/>
              <w:right w:val="single" w:sz="8" w:space="0" w:color="auto"/>
            </w:tcBorders>
            <w:shd w:val="clear" w:color="auto" w:fill="auto"/>
            <w:vAlign w:val="center"/>
            <w:hideMark/>
          </w:tcPr>
          <w:p w14:paraId="71D280B0"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r>
      <w:tr w:rsidR="00533926" w:rsidRPr="00AA5833" w14:paraId="610CCE83" w14:textId="77777777" w:rsidTr="00533926">
        <w:trPr>
          <w:trHeight w:val="250"/>
          <w:jc w:val="center"/>
        </w:trPr>
        <w:tc>
          <w:tcPr>
            <w:tcW w:w="4952" w:type="dxa"/>
            <w:tcBorders>
              <w:top w:val="nil"/>
              <w:left w:val="single" w:sz="8" w:space="0" w:color="auto"/>
              <w:bottom w:val="single" w:sz="4" w:space="0" w:color="auto"/>
              <w:right w:val="single" w:sz="8" w:space="0" w:color="auto"/>
            </w:tcBorders>
            <w:shd w:val="clear" w:color="auto" w:fill="auto"/>
            <w:vAlign w:val="center"/>
            <w:hideMark/>
          </w:tcPr>
          <w:p w14:paraId="1594EBC7"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 над 90 на сто ТНР - (115% от мин. пенсия за ОСВ);</w:t>
            </w:r>
          </w:p>
        </w:tc>
        <w:tc>
          <w:tcPr>
            <w:tcW w:w="2268" w:type="dxa"/>
            <w:tcBorders>
              <w:top w:val="nil"/>
              <w:left w:val="nil"/>
              <w:bottom w:val="single" w:sz="4" w:space="0" w:color="auto"/>
              <w:right w:val="single" w:sz="6" w:space="0" w:color="auto"/>
            </w:tcBorders>
            <w:shd w:val="clear" w:color="auto" w:fill="auto"/>
            <w:hideMark/>
          </w:tcPr>
          <w:p w14:paraId="0D25FABA"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601,50 лв.</w:t>
            </w:r>
          </w:p>
        </w:tc>
        <w:tc>
          <w:tcPr>
            <w:tcW w:w="1917" w:type="dxa"/>
            <w:tcBorders>
              <w:top w:val="nil"/>
              <w:left w:val="nil"/>
              <w:bottom w:val="single" w:sz="4" w:space="0" w:color="auto"/>
              <w:right w:val="single" w:sz="8" w:space="0" w:color="auto"/>
            </w:tcBorders>
            <w:shd w:val="clear" w:color="auto" w:fill="auto"/>
          </w:tcPr>
          <w:p w14:paraId="0510655A"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667,66 лв.</w:t>
            </w:r>
          </w:p>
        </w:tc>
      </w:tr>
      <w:tr w:rsidR="00533926" w:rsidRPr="00AA5833" w14:paraId="737F5CBD" w14:textId="77777777" w:rsidTr="00533926">
        <w:trPr>
          <w:trHeight w:val="250"/>
          <w:jc w:val="center"/>
        </w:trPr>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B66DC"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 от 71 до 90 на сто ТНР - (105% от мин. пенсия за ОСВ);</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485D5A6"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549,19 лв.</w:t>
            </w:r>
          </w:p>
        </w:tc>
        <w:tc>
          <w:tcPr>
            <w:tcW w:w="1917" w:type="dxa"/>
            <w:tcBorders>
              <w:top w:val="single" w:sz="4" w:space="0" w:color="auto"/>
              <w:left w:val="single" w:sz="4" w:space="0" w:color="auto"/>
              <w:bottom w:val="single" w:sz="4" w:space="0" w:color="auto"/>
              <w:right w:val="single" w:sz="4" w:space="0" w:color="auto"/>
            </w:tcBorders>
            <w:shd w:val="clear" w:color="auto" w:fill="auto"/>
          </w:tcPr>
          <w:p w14:paraId="3D61FEF9"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609,60 лв.</w:t>
            </w:r>
          </w:p>
        </w:tc>
      </w:tr>
      <w:tr w:rsidR="00533926" w:rsidRPr="00AA5833" w14:paraId="2D5B4746" w14:textId="77777777" w:rsidTr="00533926">
        <w:trPr>
          <w:trHeight w:val="264"/>
          <w:jc w:val="center"/>
        </w:trPr>
        <w:tc>
          <w:tcPr>
            <w:tcW w:w="495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815A708"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 от 50 до 70,99 на сто ТНР - (85% от мин. пенсия за ОСВ)</w:t>
            </w:r>
          </w:p>
        </w:tc>
        <w:tc>
          <w:tcPr>
            <w:tcW w:w="2268" w:type="dxa"/>
            <w:tcBorders>
              <w:top w:val="single" w:sz="4" w:space="0" w:color="auto"/>
              <w:left w:val="nil"/>
              <w:bottom w:val="single" w:sz="8" w:space="0" w:color="auto"/>
              <w:right w:val="single" w:sz="6" w:space="0" w:color="auto"/>
            </w:tcBorders>
            <w:shd w:val="clear" w:color="auto" w:fill="auto"/>
            <w:hideMark/>
          </w:tcPr>
          <w:p w14:paraId="71B5DF28"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444,58 лв.</w:t>
            </w:r>
          </w:p>
        </w:tc>
        <w:tc>
          <w:tcPr>
            <w:tcW w:w="1917" w:type="dxa"/>
            <w:tcBorders>
              <w:top w:val="single" w:sz="4" w:space="0" w:color="auto"/>
              <w:left w:val="nil"/>
              <w:bottom w:val="single" w:sz="8" w:space="0" w:color="auto"/>
              <w:right w:val="single" w:sz="8" w:space="0" w:color="auto"/>
            </w:tcBorders>
            <w:shd w:val="clear" w:color="auto" w:fill="auto"/>
          </w:tcPr>
          <w:p w14:paraId="693EE81B"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493,48 лв.</w:t>
            </w:r>
          </w:p>
        </w:tc>
      </w:tr>
      <w:tr w:rsidR="00533926" w:rsidRPr="00AA5833" w14:paraId="49C2156B" w14:textId="77777777" w:rsidTr="00533926">
        <w:trPr>
          <w:trHeight w:val="678"/>
          <w:jc w:val="center"/>
        </w:trPr>
        <w:tc>
          <w:tcPr>
            <w:tcW w:w="4952" w:type="dxa"/>
            <w:tcBorders>
              <w:top w:val="nil"/>
              <w:left w:val="single" w:sz="8" w:space="0" w:color="auto"/>
              <w:bottom w:val="nil"/>
              <w:right w:val="single" w:sz="8" w:space="0" w:color="auto"/>
            </w:tcBorders>
            <w:shd w:val="clear" w:color="auto" w:fill="auto"/>
            <w:vAlign w:val="center"/>
            <w:hideMark/>
          </w:tcPr>
          <w:p w14:paraId="21CA1EC0" w14:textId="77777777" w:rsidR="00533926" w:rsidRPr="00AA5833" w:rsidRDefault="00533926" w:rsidP="00533926">
            <w:pPr>
              <w:spacing w:after="0" w:line="240" w:lineRule="auto"/>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3. Лична пенсия за инвалидност поради трудова злополука и професионална болест - чл. 79 КСО, при трайно намалена работоспособност/вид и степен на увреждане (ТНР):</w:t>
            </w:r>
          </w:p>
        </w:tc>
        <w:tc>
          <w:tcPr>
            <w:tcW w:w="2268" w:type="dxa"/>
            <w:tcBorders>
              <w:top w:val="nil"/>
              <w:left w:val="nil"/>
              <w:bottom w:val="nil"/>
              <w:right w:val="single" w:sz="8" w:space="0" w:color="auto"/>
            </w:tcBorders>
            <w:shd w:val="clear" w:color="auto" w:fill="auto"/>
            <w:vAlign w:val="center"/>
            <w:hideMark/>
          </w:tcPr>
          <w:p w14:paraId="620A68D1"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c>
          <w:tcPr>
            <w:tcW w:w="1917" w:type="dxa"/>
            <w:tcBorders>
              <w:top w:val="nil"/>
              <w:left w:val="nil"/>
              <w:bottom w:val="nil"/>
              <w:right w:val="single" w:sz="8" w:space="0" w:color="auto"/>
            </w:tcBorders>
            <w:shd w:val="clear" w:color="auto" w:fill="auto"/>
            <w:vAlign w:val="center"/>
            <w:hideMark/>
          </w:tcPr>
          <w:p w14:paraId="4463F530"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p>
        </w:tc>
      </w:tr>
      <w:tr w:rsidR="00533926" w:rsidRPr="00AA5833" w14:paraId="67B788AE" w14:textId="77777777" w:rsidTr="00533926">
        <w:trPr>
          <w:trHeight w:val="250"/>
          <w:jc w:val="center"/>
        </w:trPr>
        <w:tc>
          <w:tcPr>
            <w:tcW w:w="4952" w:type="dxa"/>
            <w:tcBorders>
              <w:top w:val="nil"/>
              <w:left w:val="single" w:sz="8" w:space="0" w:color="auto"/>
              <w:bottom w:val="nil"/>
              <w:right w:val="single" w:sz="8" w:space="0" w:color="auto"/>
            </w:tcBorders>
            <w:shd w:val="clear" w:color="auto" w:fill="auto"/>
            <w:vAlign w:val="center"/>
            <w:hideMark/>
          </w:tcPr>
          <w:p w14:paraId="35BC81B0"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lastRenderedPageBreak/>
              <w:t>- над 90 на сто ТНР - (125% от мин. пенсия за ОСВ)</w:t>
            </w:r>
          </w:p>
        </w:tc>
        <w:tc>
          <w:tcPr>
            <w:tcW w:w="2268" w:type="dxa"/>
            <w:tcBorders>
              <w:top w:val="nil"/>
              <w:left w:val="single" w:sz="8" w:space="0" w:color="auto"/>
              <w:bottom w:val="nil"/>
              <w:right w:val="single" w:sz="8" w:space="0" w:color="auto"/>
            </w:tcBorders>
            <w:shd w:val="clear" w:color="auto" w:fill="auto"/>
            <w:hideMark/>
          </w:tcPr>
          <w:p w14:paraId="1BC81249"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653,80 лв.</w:t>
            </w:r>
          </w:p>
        </w:tc>
        <w:tc>
          <w:tcPr>
            <w:tcW w:w="1917" w:type="dxa"/>
            <w:tcBorders>
              <w:top w:val="nil"/>
              <w:left w:val="single" w:sz="8" w:space="0" w:color="auto"/>
              <w:bottom w:val="nil"/>
              <w:right w:val="single" w:sz="8" w:space="0" w:color="auto"/>
            </w:tcBorders>
            <w:shd w:val="clear" w:color="auto" w:fill="auto"/>
            <w:hideMark/>
          </w:tcPr>
          <w:p w14:paraId="657229B9"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725,71 лв.</w:t>
            </w:r>
          </w:p>
        </w:tc>
      </w:tr>
      <w:tr w:rsidR="00533926" w:rsidRPr="00AA5833" w14:paraId="0564E86A" w14:textId="77777777" w:rsidTr="00533926">
        <w:trPr>
          <w:trHeight w:val="250"/>
          <w:jc w:val="center"/>
        </w:trPr>
        <w:tc>
          <w:tcPr>
            <w:tcW w:w="4952" w:type="dxa"/>
            <w:tcBorders>
              <w:top w:val="nil"/>
              <w:left w:val="single" w:sz="8" w:space="0" w:color="auto"/>
              <w:bottom w:val="nil"/>
              <w:right w:val="single" w:sz="8" w:space="0" w:color="auto"/>
            </w:tcBorders>
            <w:shd w:val="clear" w:color="auto" w:fill="auto"/>
            <w:vAlign w:val="center"/>
            <w:hideMark/>
          </w:tcPr>
          <w:p w14:paraId="07035953"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 от 71 до 90 на сто ТНР - (115% от мин. пенсия за ОСВ)</w:t>
            </w:r>
          </w:p>
        </w:tc>
        <w:tc>
          <w:tcPr>
            <w:tcW w:w="2268" w:type="dxa"/>
            <w:tcBorders>
              <w:top w:val="nil"/>
              <w:left w:val="single" w:sz="8" w:space="0" w:color="auto"/>
              <w:bottom w:val="nil"/>
              <w:right w:val="single" w:sz="8" w:space="0" w:color="auto"/>
            </w:tcBorders>
            <w:shd w:val="clear" w:color="auto" w:fill="auto"/>
            <w:hideMark/>
          </w:tcPr>
          <w:p w14:paraId="26867E06"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601,50 лв.</w:t>
            </w:r>
          </w:p>
        </w:tc>
        <w:tc>
          <w:tcPr>
            <w:tcW w:w="1917" w:type="dxa"/>
            <w:tcBorders>
              <w:top w:val="nil"/>
              <w:left w:val="single" w:sz="8" w:space="0" w:color="auto"/>
              <w:bottom w:val="nil"/>
              <w:right w:val="single" w:sz="8" w:space="0" w:color="auto"/>
            </w:tcBorders>
            <w:shd w:val="clear" w:color="auto" w:fill="auto"/>
            <w:hideMark/>
          </w:tcPr>
          <w:p w14:paraId="109D80DA"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667,66 лв.</w:t>
            </w:r>
          </w:p>
        </w:tc>
      </w:tr>
      <w:tr w:rsidR="00533926" w:rsidRPr="00AA5833" w14:paraId="4672AB17" w14:textId="77777777" w:rsidTr="00533926">
        <w:trPr>
          <w:trHeight w:val="264"/>
          <w:jc w:val="center"/>
        </w:trPr>
        <w:tc>
          <w:tcPr>
            <w:tcW w:w="4952" w:type="dxa"/>
            <w:tcBorders>
              <w:top w:val="nil"/>
              <w:left w:val="single" w:sz="8" w:space="0" w:color="auto"/>
              <w:bottom w:val="nil"/>
              <w:right w:val="single" w:sz="8" w:space="0" w:color="auto"/>
            </w:tcBorders>
            <w:shd w:val="clear" w:color="auto" w:fill="auto"/>
            <w:vAlign w:val="center"/>
            <w:hideMark/>
          </w:tcPr>
          <w:p w14:paraId="0B34ED59" w14:textId="77777777" w:rsidR="00533926" w:rsidRPr="00AA5833" w:rsidRDefault="00533926" w:rsidP="00533926">
            <w:pPr>
              <w:spacing w:after="0" w:line="240" w:lineRule="auto"/>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 от 50 до 70,99 на сто ТНР - (100% от мин. пенсия за ОСВ)</w:t>
            </w:r>
          </w:p>
        </w:tc>
        <w:tc>
          <w:tcPr>
            <w:tcW w:w="2268" w:type="dxa"/>
            <w:tcBorders>
              <w:top w:val="nil"/>
              <w:left w:val="single" w:sz="8" w:space="0" w:color="auto"/>
              <w:bottom w:val="nil"/>
              <w:right w:val="single" w:sz="8" w:space="0" w:color="auto"/>
            </w:tcBorders>
            <w:shd w:val="clear" w:color="auto" w:fill="auto"/>
            <w:hideMark/>
          </w:tcPr>
          <w:p w14:paraId="088223B6"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523,04 лв.</w:t>
            </w:r>
          </w:p>
        </w:tc>
        <w:tc>
          <w:tcPr>
            <w:tcW w:w="1917" w:type="dxa"/>
            <w:tcBorders>
              <w:top w:val="nil"/>
              <w:left w:val="single" w:sz="8" w:space="0" w:color="auto"/>
              <w:bottom w:val="nil"/>
              <w:right w:val="single" w:sz="8" w:space="0" w:color="auto"/>
            </w:tcBorders>
            <w:shd w:val="clear" w:color="auto" w:fill="auto"/>
            <w:hideMark/>
          </w:tcPr>
          <w:p w14:paraId="03A0AF53"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580,57 лв.</w:t>
            </w:r>
          </w:p>
        </w:tc>
      </w:tr>
      <w:tr w:rsidR="00533926" w:rsidRPr="00AA5833" w14:paraId="0B54A051" w14:textId="77777777" w:rsidTr="00533926">
        <w:trPr>
          <w:trHeight w:val="264"/>
          <w:jc w:val="center"/>
        </w:trPr>
        <w:tc>
          <w:tcPr>
            <w:tcW w:w="49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1A6414" w14:textId="77777777" w:rsidR="00533926" w:rsidRPr="00AA5833" w:rsidRDefault="00533926" w:rsidP="00533926">
            <w:pPr>
              <w:spacing w:after="0" w:line="240" w:lineRule="auto"/>
              <w:rPr>
                <w:rFonts w:ascii="Times New Roman" w:eastAsia="Times New Roman" w:hAnsi="Times New Roman"/>
                <w:b/>
                <w:bCs/>
                <w:sz w:val="18"/>
                <w:szCs w:val="18"/>
                <w:lang w:eastAsia="bg-BG"/>
              </w:rPr>
            </w:pPr>
            <w:r w:rsidRPr="00AA5833">
              <w:rPr>
                <w:rFonts w:ascii="Times New Roman" w:eastAsia="Times New Roman" w:hAnsi="Times New Roman"/>
                <w:b/>
                <w:bCs/>
                <w:sz w:val="18"/>
                <w:szCs w:val="18"/>
                <w:lang w:eastAsia="bg-BG"/>
              </w:rPr>
              <w:t xml:space="preserve">4. Наследствени пенсии </w:t>
            </w:r>
            <w:r w:rsidRPr="00AA5833">
              <w:rPr>
                <w:rFonts w:ascii="Times New Roman" w:eastAsia="Times New Roman" w:hAnsi="Times New Roman"/>
                <w:sz w:val="18"/>
                <w:szCs w:val="18"/>
                <w:lang w:eastAsia="bg-BG"/>
              </w:rPr>
              <w:t>по чл. 81, ал. 2 от КСО (75 % от мин. пенсия за ОСВ)</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77E1B1F"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392,28 лв.</w:t>
            </w:r>
          </w:p>
        </w:tc>
        <w:tc>
          <w:tcPr>
            <w:tcW w:w="1917" w:type="dxa"/>
            <w:tcBorders>
              <w:top w:val="single" w:sz="8" w:space="0" w:color="auto"/>
              <w:left w:val="nil"/>
              <w:bottom w:val="single" w:sz="8" w:space="0" w:color="auto"/>
              <w:right w:val="single" w:sz="8" w:space="0" w:color="auto"/>
            </w:tcBorders>
            <w:shd w:val="clear" w:color="auto" w:fill="auto"/>
            <w:vAlign w:val="center"/>
            <w:hideMark/>
          </w:tcPr>
          <w:p w14:paraId="6BE35584" w14:textId="77777777" w:rsidR="00533926" w:rsidRPr="00AA5833" w:rsidRDefault="00533926" w:rsidP="00533926">
            <w:pPr>
              <w:spacing w:after="0" w:line="240" w:lineRule="auto"/>
              <w:jc w:val="center"/>
              <w:rPr>
                <w:rFonts w:ascii="Times New Roman" w:eastAsia="Times New Roman" w:hAnsi="Times New Roman"/>
                <w:sz w:val="18"/>
                <w:szCs w:val="18"/>
                <w:lang w:eastAsia="bg-BG"/>
              </w:rPr>
            </w:pPr>
            <w:r w:rsidRPr="00AA5833">
              <w:rPr>
                <w:rFonts w:ascii="Times New Roman" w:eastAsia="Times New Roman" w:hAnsi="Times New Roman"/>
                <w:sz w:val="18"/>
                <w:szCs w:val="18"/>
                <w:lang w:eastAsia="bg-BG"/>
              </w:rPr>
              <w:t>435,43 лв.</w:t>
            </w:r>
          </w:p>
        </w:tc>
      </w:tr>
    </w:tbl>
    <w:p w14:paraId="4897048A" w14:textId="77777777" w:rsidR="00533926" w:rsidRPr="00AA5833" w:rsidRDefault="00533926" w:rsidP="00533926">
      <w:pPr>
        <w:tabs>
          <w:tab w:val="left" w:pos="709"/>
        </w:tabs>
        <w:spacing w:after="0" w:line="240" w:lineRule="auto"/>
        <w:jc w:val="both"/>
        <w:rPr>
          <w:rFonts w:ascii="Times New Roman" w:eastAsia="Times New Roman" w:hAnsi="Times New Roman"/>
          <w:sz w:val="24"/>
          <w:szCs w:val="24"/>
        </w:rPr>
      </w:pPr>
      <w:bookmarkStart w:id="13" w:name="to_paragraph_id34563803"/>
      <w:bookmarkEnd w:id="13"/>
    </w:p>
    <w:p w14:paraId="6495F60D" w14:textId="77777777" w:rsidR="00533926" w:rsidRPr="00AA5833" w:rsidRDefault="00533926" w:rsidP="00A14A7B">
      <w:pPr>
        <w:numPr>
          <w:ilvl w:val="0"/>
          <w:numId w:val="36"/>
        </w:numPr>
        <w:spacing w:after="0" w:line="240" w:lineRule="auto"/>
        <w:ind w:left="-142" w:firstLine="1276"/>
        <w:contextualSpacing/>
        <w:jc w:val="both"/>
        <w:rPr>
          <w:rFonts w:ascii="Times New Roman" w:hAnsi="Times New Roman"/>
          <w:sz w:val="24"/>
          <w:szCs w:val="24"/>
        </w:rPr>
      </w:pPr>
      <w:r w:rsidRPr="00AA5833">
        <w:rPr>
          <w:rFonts w:ascii="Times New Roman" w:eastAsia="Times New Roman" w:hAnsi="Times New Roman"/>
          <w:sz w:val="24"/>
          <w:szCs w:val="24"/>
          <w:lang w:eastAsia="zh-CN"/>
        </w:rPr>
        <w:t>Размерът</w:t>
      </w:r>
      <w:r w:rsidRPr="00AA5833">
        <w:rPr>
          <w:rFonts w:ascii="Times New Roman" w:hAnsi="Times New Roman"/>
          <w:sz w:val="24"/>
          <w:szCs w:val="24"/>
        </w:rPr>
        <w:t xml:space="preserve"> на социалната пенсия за старост от 1 юли 2024 г. бе увеличен от 276,64 лв. на 307,07 лв. (с 11 на сто), както и размерите на всички обвързани с него пенсии, несвързани с трудова дейност и добавки.</w:t>
      </w:r>
    </w:p>
    <w:p w14:paraId="680D3B58" w14:textId="77777777" w:rsidR="00533926" w:rsidRPr="00AA5833" w:rsidRDefault="00533926" w:rsidP="00533926">
      <w:pPr>
        <w:tabs>
          <w:tab w:val="left" w:pos="709"/>
        </w:tabs>
        <w:spacing w:after="0" w:line="240" w:lineRule="auto"/>
        <w:jc w:val="both"/>
        <w:rPr>
          <w:rFonts w:ascii="Times New Roman" w:hAnsi="Times New Roman"/>
          <w:sz w:val="24"/>
          <w:szCs w:val="24"/>
        </w:rPr>
      </w:pPr>
      <w:r w:rsidRPr="00AA5833">
        <w:rPr>
          <w:rFonts w:ascii="Times New Roman" w:eastAsia="Times New Roman" w:hAnsi="Times New Roman"/>
          <w:kern w:val="24"/>
          <w:sz w:val="24"/>
          <w:szCs w:val="24"/>
        </w:rPr>
        <w:tab/>
        <w:t>Размерите</w:t>
      </w:r>
      <w:r w:rsidRPr="00AA5833">
        <w:rPr>
          <w:rFonts w:ascii="Times New Roman" w:hAnsi="Times New Roman"/>
          <w:sz w:val="24"/>
          <w:szCs w:val="24"/>
        </w:rPr>
        <w:t xml:space="preserve"> на пенсиите, несвързани с трудова дейност, които се определят в процент от социалната пенсия за старост през 2024 г. са показани в следващата таблица:</w:t>
      </w:r>
    </w:p>
    <w:p w14:paraId="5EAA8B04" w14:textId="77777777" w:rsidR="00533926" w:rsidRPr="00AA5833" w:rsidRDefault="00533926" w:rsidP="00533926">
      <w:pPr>
        <w:tabs>
          <w:tab w:val="left" w:pos="709"/>
        </w:tabs>
        <w:spacing w:after="0" w:line="240" w:lineRule="auto"/>
        <w:jc w:val="both"/>
        <w:rPr>
          <w:rFonts w:ascii="Times New Roman" w:hAnsi="Times New Roman"/>
          <w:sz w:val="24"/>
          <w:szCs w:val="24"/>
        </w:rPr>
      </w:pPr>
    </w:p>
    <w:p w14:paraId="4FA3EF72" w14:textId="77777777" w:rsidR="00533926" w:rsidRPr="00AA5833" w:rsidRDefault="00533926" w:rsidP="00533926">
      <w:pPr>
        <w:spacing w:after="60" w:line="240" w:lineRule="auto"/>
        <w:ind w:right="-1"/>
        <w:jc w:val="center"/>
        <w:rPr>
          <w:rFonts w:ascii="Times New Roman" w:eastAsia="Times New Roman" w:hAnsi="Times New Roman"/>
          <w:b/>
          <w:sz w:val="24"/>
          <w:szCs w:val="24"/>
          <w:lang w:eastAsia="zh-CN"/>
        </w:rPr>
      </w:pPr>
      <w:r w:rsidRPr="00AA5833">
        <w:rPr>
          <w:rFonts w:ascii="Times New Roman" w:eastAsia="Times New Roman" w:hAnsi="Times New Roman"/>
          <w:b/>
          <w:sz w:val="24"/>
          <w:szCs w:val="24"/>
          <w:lang w:eastAsia="zh-CN"/>
        </w:rPr>
        <w:t>Размери на пенсиите и добавките, несвързани с трудова дейност, които зависят от</w:t>
      </w:r>
      <w:r w:rsidRPr="00AA5833">
        <w:rPr>
          <w:rFonts w:ascii="Times New Roman" w:eastAsia="Times New Roman" w:hAnsi="Times New Roman"/>
          <w:sz w:val="24"/>
          <w:szCs w:val="24"/>
          <w:lang w:eastAsia="zh-CN"/>
        </w:rPr>
        <w:t xml:space="preserve"> </w:t>
      </w:r>
      <w:r w:rsidRPr="00AA5833">
        <w:rPr>
          <w:rFonts w:ascii="Times New Roman" w:eastAsia="Times New Roman" w:hAnsi="Times New Roman"/>
          <w:b/>
          <w:sz w:val="24"/>
          <w:szCs w:val="24"/>
          <w:lang w:eastAsia="zh-CN"/>
        </w:rPr>
        <w:t>размера на социалната пенсия за старост през 2024 г.</w:t>
      </w:r>
    </w:p>
    <w:tbl>
      <w:tblPr>
        <w:tblW w:w="9518" w:type="dxa"/>
        <w:jc w:val="center"/>
        <w:tblCellMar>
          <w:left w:w="70" w:type="dxa"/>
          <w:right w:w="70" w:type="dxa"/>
        </w:tblCellMar>
        <w:tblLook w:val="04A0" w:firstRow="1" w:lastRow="0" w:firstColumn="1" w:lastColumn="0" w:noHBand="0" w:noVBand="1"/>
      </w:tblPr>
      <w:tblGrid>
        <w:gridCol w:w="5833"/>
        <w:gridCol w:w="1843"/>
        <w:gridCol w:w="1842"/>
      </w:tblGrid>
      <w:tr w:rsidR="00533926" w:rsidRPr="00AA5833" w14:paraId="16A952E9" w14:textId="77777777" w:rsidTr="00533926">
        <w:trPr>
          <w:trHeight w:val="213"/>
          <w:jc w:val="center"/>
        </w:trPr>
        <w:tc>
          <w:tcPr>
            <w:tcW w:w="58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5BDD5" w14:textId="77777777" w:rsidR="00533926" w:rsidRPr="00AA5833" w:rsidRDefault="00533926" w:rsidP="00533926">
            <w:pPr>
              <w:spacing w:after="0" w:line="240" w:lineRule="auto"/>
              <w:jc w:val="center"/>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ПЕНСИИ И ДОБАВКИ ОТ ДЪРЖАВНИЯ БЮДЖЕТ</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45F070EA" w14:textId="77777777" w:rsidR="00533926" w:rsidRPr="00AA5833" w:rsidRDefault="00533926" w:rsidP="00533926">
            <w:pPr>
              <w:spacing w:after="0" w:line="240" w:lineRule="auto"/>
              <w:jc w:val="center"/>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Размер от 01.01.2024 г. до 30.06.2024 г.</w:t>
            </w:r>
          </w:p>
        </w:tc>
        <w:tc>
          <w:tcPr>
            <w:tcW w:w="1842" w:type="dxa"/>
            <w:tcBorders>
              <w:top w:val="single" w:sz="8" w:space="0" w:color="auto"/>
              <w:left w:val="single" w:sz="4" w:space="0" w:color="auto"/>
              <w:bottom w:val="single" w:sz="8" w:space="0" w:color="auto"/>
              <w:right w:val="single" w:sz="8" w:space="0" w:color="auto"/>
            </w:tcBorders>
            <w:vAlign w:val="center"/>
          </w:tcPr>
          <w:p w14:paraId="3428A75C" w14:textId="77777777" w:rsidR="00533926" w:rsidRPr="00AA5833" w:rsidRDefault="00533926" w:rsidP="00533926">
            <w:pPr>
              <w:spacing w:after="0" w:line="240" w:lineRule="auto"/>
              <w:jc w:val="center"/>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Размер от 01.07.2024 г. до 31.12.2024 г.</w:t>
            </w:r>
          </w:p>
        </w:tc>
      </w:tr>
      <w:tr w:rsidR="00533926" w:rsidRPr="00AA5833" w14:paraId="0BE13126" w14:textId="77777777" w:rsidTr="00533926">
        <w:trPr>
          <w:trHeight w:val="213"/>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14:paraId="78DE69FE"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bookmarkStart w:id="14" w:name="_Hlk158301804"/>
            <w:r w:rsidRPr="00AA5833">
              <w:rPr>
                <w:rFonts w:ascii="Times New Roman" w:eastAsia="Times New Roman" w:hAnsi="Times New Roman" w:cs="Times New Roman"/>
                <w:b/>
                <w:bCs/>
                <w:sz w:val="18"/>
                <w:szCs w:val="18"/>
                <w:lang w:eastAsia="bg-BG"/>
              </w:rPr>
              <w:t xml:space="preserve">1. Социалната пенсия за старост – чл. 89а КСО </w:t>
            </w:r>
          </w:p>
        </w:tc>
        <w:tc>
          <w:tcPr>
            <w:tcW w:w="1843" w:type="dxa"/>
            <w:tcBorders>
              <w:top w:val="nil"/>
              <w:left w:val="nil"/>
              <w:bottom w:val="single" w:sz="8" w:space="0" w:color="auto"/>
              <w:right w:val="single" w:sz="4" w:space="0" w:color="auto"/>
            </w:tcBorders>
            <w:shd w:val="clear" w:color="auto" w:fill="auto"/>
            <w:vAlign w:val="center"/>
            <w:hideMark/>
          </w:tcPr>
          <w:p w14:paraId="07951BB4" w14:textId="77777777" w:rsidR="00533926" w:rsidRPr="00AA5833" w:rsidRDefault="00533926" w:rsidP="00533926">
            <w:pPr>
              <w:spacing w:after="0" w:line="240" w:lineRule="auto"/>
              <w:jc w:val="center"/>
              <w:rPr>
                <w:rFonts w:ascii="Times New Roman" w:eastAsia="Times New Roman" w:hAnsi="Times New Roman" w:cs="Times New Roman"/>
                <w:sz w:val="18"/>
                <w:szCs w:val="18"/>
              </w:rPr>
            </w:pPr>
            <w:r w:rsidRPr="00AA5833">
              <w:rPr>
                <w:rFonts w:ascii="Times New Roman" w:hAnsi="Times New Roman" w:cs="Times New Roman"/>
                <w:sz w:val="18"/>
                <w:szCs w:val="18"/>
              </w:rPr>
              <w:t>276,64 лв.</w:t>
            </w:r>
          </w:p>
        </w:tc>
        <w:tc>
          <w:tcPr>
            <w:tcW w:w="1842" w:type="dxa"/>
            <w:tcBorders>
              <w:top w:val="nil"/>
              <w:left w:val="single" w:sz="4" w:space="0" w:color="auto"/>
              <w:bottom w:val="single" w:sz="8" w:space="0" w:color="auto"/>
              <w:right w:val="single" w:sz="8" w:space="0" w:color="auto"/>
            </w:tcBorders>
            <w:vAlign w:val="center"/>
          </w:tcPr>
          <w:p w14:paraId="7E54878D"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307,07 лв.</w:t>
            </w:r>
          </w:p>
        </w:tc>
      </w:tr>
      <w:bookmarkEnd w:id="14"/>
      <w:tr w:rsidR="00533926" w:rsidRPr="00AA5833" w14:paraId="10570F57" w14:textId="77777777" w:rsidTr="00533926">
        <w:trPr>
          <w:trHeight w:val="366"/>
          <w:jc w:val="center"/>
        </w:trPr>
        <w:tc>
          <w:tcPr>
            <w:tcW w:w="5833" w:type="dxa"/>
            <w:tcBorders>
              <w:top w:val="nil"/>
              <w:left w:val="single" w:sz="8" w:space="0" w:color="auto"/>
              <w:bottom w:val="nil"/>
              <w:right w:val="single" w:sz="8" w:space="0" w:color="auto"/>
            </w:tcBorders>
            <w:shd w:val="clear" w:color="auto" w:fill="auto"/>
            <w:vAlign w:val="center"/>
            <w:hideMark/>
          </w:tcPr>
          <w:p w14:paraId="59273B45"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2. Социална пенсия за инвалидност - чл. 90а КСО, при трайно намалена работоспособност/ вид и степен на увреждане:</w:t>
            </w:r>
          </w:p>
        </w:tc>
        <w:tc>
          <w:tcPr>
            <w:tcW w:w="1843" w:type="dxa"/>
            <w:tcBorders>
              <w:top w:val="nil"/>
              <w:left w:val="nil"/>
              <w:bottom w:val="nil"/>
              <w:right w:val="single" w:sz="4" w:space="0" w:color="auto"/>
            </w:tcBorders>
            <w:shd w:val="clear" w:color="auto" w:fill="auto"/>
            <w:noWrap/>
            <w:vAlign w:val="center"/>
            <w:hideMark/>
          </w:tcPr>
          <w:p w14:paraId="5119B64F" w14:textId="77777777" w:rsidR="00533926" w:rsidRPr="00AA5833" w:rsidRDefault="00533926" w:rsidP="00533926">
            <w:pPr>
              <w:spacing w:after="0" w:line="240" w:lineRule="auto"/>
              <w:jc w:val="center"/>
              <w:rPr>
                <w:rFonts w:ascii="Times New Roman" w:eastAsia="Times New Roman" w:hAnsi="Times New Roman" w:cs="Times New Roman"/>
                <w:sz w:val="18"/>
                <w:szCs w:val="18"/>
                <w:lang w:eastAsia="bg-BG"/>
              </w:rPr>
            </w:pPr>
          </w:p>
        </w:tc>
        <w:tc>
          <w:tcPr>
            <w:tcW w:w="1842" w:type="dxa"/>
            <w:tcBorders>
              <w:top w:val="nil"/>
              <w:left w:val="single" w:sz="4" w:space="0" w:color="auto"/>
              <w:bottom w:val="nil"/>
              <w:right w:val="single" w:sz="8" w:space="0" w:color="auto"/>
            </w:tcBorders>
            <w:vAlign w:val="center"/>
          </w:tcPr>
          <w:p w14:paraId="6273D248" w14:textId="77777777" w:rsidR="00533926" w:rsidRPr="00AA5833" w:rsidRDefault="00533926" w:rsidP="00533926">
            <w:pPr>
              <w:spacing w:after="0" w:line="240" w:lineRule="auto"/>
              <w:jc w:val="center"/>
              <w:rPr>
                <w:rFonts w:ascii="Times New Roman" w:eastAsia="Times New Roman" w:hAnsi="Times New Roman" w:cs="Times New Roman"/>
                <w:sz w:val="18"/>
                <w:szCs w:val="18"/>
                <w:highlight w:val="yellow"/>
                <w:lang w:eastAsia="bg-BG"/>
              </w:rPr>
            </w:pPr>
          </w:p>
        </w:tc>
      </w:tr>
      <w:tr w:rsidR="00533926" w:rsidRPr="00AA5833" w14:paraId="4326FE98" w14:textId="77777777" w:rsidTr="00533926">
        <w:trPr>
          <w:trHeight w:val="213"/>
          <w:jc w:val="center"/>
        </w:trPr>
        <w:tc>
          <w:tcPr>
            <w:tcW w:w="5833" w:type="dxa"/>
            <w:tcBorders>
              <w:top w:val="nil"/>
              <w:left w:val="single" w:sz="8" w:space="0" w:color="auto"/>
              <w:bottom w:val="nil"/>
              <w:right w:val="single" w:sz="8" w:space="0" w:color="auto"/>
            </w:tcBorders>
            <w:shd w:val="clear" w:color="auto" w:fill="auto"/>
            <w:vAlign w:val="center"/>
            <w:hideMark/>
          </w:tcPr>
          <w:p w14:paraId="76F447C1"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- 100 на 100 на сто н. р. с определена чужда помощ (160 % от социалната за старост);</w:t>
            </w:r>
          </w:p>
          <w:p w14:paraId="1471BE70"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xml:space="preserve"> - от 91 до 100 на сто н. р. (140 % от социалната за старост);</w:t>
            </w:r>
          </w:p>
          <w:p w14:paraId="6AA383F6"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от 71 до 90 на сто н. р. (130 % от социалната за старост).</w:t>
            </w:r>
          </w:p>
        </w:tc>
        <w:tc>
          <w:tcPr>
            <w:tcW w:w="1843" w:type="dxa"/>
            <w:tcBorders>
              <w:top w:val="nil"/>
              <w:left w:val="nil"/>
              <w:bottom w:val="nil"/>
              <w:right w:val="single" w:sz="4" w:space="0" w:color="auto"/>
            </w:tcBorders>
            <w:shd w:val="clear" w:color="auto" w:fill="auto"/>
            <w:noWrap/>
            <w:vAlign w:val="center"/>
            <w:hideMark/>
          </w:tcPr>
          <w:p w14:paraId="1E0A53D4"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442,62 лв.</w:t>
            </w:r>
          </w:p>
          <w:p w14:paraId="0D3EAF3B" w14:textId="77777777" w:rsidR="00533926" w:rsidRPr="00AA5833" w:rsidRDefault="00533926" w:rsidP="00533926">
            <w:pPr>
              <w:spacing w:after="0" w:line="240" w:lineRule="auto"/>
              <w:jc w:val="center"/>
              <w:rPr>
                <w:rFonts w:ascii="Times New Roman" w:hAnsi="Times New Roman" w:cs="Times New Roman"/>
                <w:sz w:val="18"/>
                <w:szCs w:val="18"/>
              </w:rPr>
            </w:pPr>
          </w:p>
          <w:p w14:paraId="38D51B4A"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387,30 лв.</w:t>
            </w:r>
          </w:p>
          <w:p w14:paraId="6284A9D7" w14:textId="77777777" w:rsidR="00533926" w:rsidRPr="00AA5833" w:rsidRDefault="00533926" w:rsidP="00533926">
            <w:pPr>
              <w:spacing w:after="0" w:line="240" w:lineRule="auto"/>
              <w:jc w:val="center"/>
              <w:rPr>
                <w:rFonts w:ascii="Times New Roman" w:eastAsia="Times New Roman" w:hAnsi="Times New Roman" w:cs="Times New Roman"/>
                <w:sz w:val="18"/>
                <w:szCs w:val="18"/>
                <w:lang w:eastAsia="bg-BG"/>
              </w:rPr>
            </w:pPr>
            <w:r w:rsidRPr="00AA5833">
              <w:rPr>
                <w:rFonts w:ascii="Times New Roman" w:hAnsi="Times New Roman" w:cs="Times New Roman"/>
                <w:sz w:val="18"/>
                <w:szCs w:val="18"/>
              </w:rPr>
              <w:t>359,63 лв.</w:t>
            </w:r>
          </w:p>
        </w:tc>
        <w:tc>
          <w:tcPr>
            <w:tcW w:w="1842" w:type="dxa"/>
            <w:tcBorders>
              <w:top w:val="nil"/>
              <w:left w:val="single" w:sz="4" w:space="0" w:color="auto"/>
              <w:bottom w:val="nil"/>
              <w:right w:val="single" w:sz="8" w:space="0" w:color="auto"/>
            </w:tcBorders>
            <w:vAlign w:val="center"/>
          </w:tcPr>
          <w:p w14:paraId="167493A5"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491,31 лв.</w:t>
            </w:r>
          </w:p>
          <w:p w14:paraId="1150E20F" w14:textId="77777777" w:rsidR="00533926" w:rsidRPr="00AA5833" w:rsidRDefault="00533926" w:rsidP="00533926">
            <w:pPr>
              <w:spacing w:after="0" w:line="240" w:lineRule="auto"/>
              <w:jc w:val="center"/>
              <w:rPr>
                <w:rFonts w:ascii="Times New Roman" w:hAnsi="Times New Roman" w:cs="Times New Roman"/>
                <w:sz w:val="18"/>
                <w:szCs w:val="18"/>
              </w:rPr>
            </w:pPr>
          </w:p>
          <w:p w14:paraId="66FD0701"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429,90 лв.</w:t>
            </w:r>
          </w:p>
          <w:p w14:paraId="14029BFD"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399,19 лв.</w:t>
            </w:r>
          </w:p>
        </w:tc>
      </w:tr>
      <w:tr w:rsidR="00533926" w:rsidRPr="00AA5833" w14:paraId="255902ED" w14:textId="77777777" w:rsidTr="00533926">
        <w:trPr>
          <w:trHeight w:val="548"/>
          <w:jc w:val="center"/>
        </w:trPr>
        <w:tc>
          <w:tcPr>
            <w:tcW w:w="5833" w:type="dxa"/>
            <w:tcBorders>
              <w:top w:val="single" w:sz="8" w:space="0" w:color="auto"/>
              <w:left w:val="single" w:sz="8" w:space="0" w:color="auto"/>
              <w:right w:val="single" w:sz="8" w:space="0" w:color="auto"/>
            </w:tcBorders>
            <w:shd w:val="clear" w:color="auto" w:fill="auto"/>
            <w:hideMark/>
          </w:tcPr>
          <w:p w14:paraId="4A01E436" w14:textId="77777777" w:rsidR="00533926" w:rsidRPr="00AA5833" w:rsidRDefault="00533926" w:rsidP="00533926">
            <w:pPr>
              <w:spacing w:after="0" w:line="240" w:lineRule="auto"/>
              <w:rPr>
                <w:rFonts w:ascii="Times New Roman" w:hAnsi="Times New Roman" w:cs="Times New Roman"/>
                <w:b/>
                <w:sz w:val="18"/>
                <w:szCs w:val="18"/>
              </w:rPr>
            </w:pPr>
            <w:r w:rsidRPr="00AA5833">
              <w:rPr>
                <w:rFonts w:ascii="Times New Roman" w:hAnsi="Times New Roman" w:cs="Times New Roman"/>
                <w:b/>
                <w:sz w:val="18"/>
                <w:szCs w:val="18"/>
              </w:rPr>
              <w:t xml:space="preserve">3. Пенсия </w:t>
            </w:r>
            <w:r w:rsidRPr="00AA5833">
              <w:rPr>
                <w:rFonts w:ascii="Times New Roman" w:eastAsia="Times New Roman" w:hAnsi="Times New Roman" w:cs="Times New Roman"/>
                <w:b/>
                <w:bCs/>
                <w:sz w:val="18"/>
                <w:szCs w:val="18"/>
                <w:lang w:eastAsia="bg-BG"/>
              </w:rPr>
              <w:t>за</w:t>
            </w:r>
            <w:r w:rsidRPr="00AA5833">
              <w:rPr>
                <w:rFonts w:ascii="Times New Roman" w:hAnsi="Times New Roman" w:cs="Times New Roman"/>
                <w:b/>
                <w:sz w:val="18"/>
                <w:szCs w:val="18"/>
              </w:rPr>
              <w:t xml:space="preserve"> военна инвалидност - чл. 85 КСО</w:t>
            </w:r>
          </w:p>
          <w:p w14:paraId="459CC109" w14:textId="77777777" w:rsidR="00533926" w:rsidRPr="00AA5833" w:rsidRDefault="00533926" w:rsidP="00533926">
            <w:pPr>
              <w:spacing w:after="0" w:line="240" w:lineRule="auto"/>
              <w:rPr>
                <w:rFonts w:ascii="Times New Roman" w:hAnsi="Times New Roman" w:cs="Times New Roman"/>
                <w:b/>
                <w:sz w:val="18"/>
                <w:szCs w:val="18"/>
              </w:rPr>
            </w:pPr>
            <w:r w:rsidRPr="00AA5833">
              <w:rPr>
                <w:rFonts w:ascii="Times New Roman" w:hAnsi="Times New Roman" w:cs="Times New Roman"/>
                <w:b/>
                <w:sz w:val="18"/>
                <w:szCs w:val="18"/>
              </w:rPr>
              <w:t>а/ редници и сержанти при намалена работоспособност:</w:t>
            </w:r>
          </w:p>
        </w:tc>
        <w:tc>
          <w:tcPr>
            <w:tcW w:w="1843" w:type="dxa"/>
            <w:tcBorders>
              <w:top w:val="single" w:sz="8" w:space="0" w:color="auto"/>
              <w:left w:val="nil"/>
              <w:right w:val="single" w:sz="4" w:space="0" w:color="auto"/>
            </w:tcBorders>
            <w:shd w:val="clear" w:color="auto" w:fill="auto"/>
            <w:noWrap/>
            <w:vAlign w:val="center"/>
            <w:hideMark/>
          </w:tcPr>
          <w:p w14:paraId="29A652CF" w14:textId="77777777" w:rsidR="00533926" w:rsidRPr="00AA5833" w:rsidRDefault="00533926" w:rsidP="00533926">
            <w:pPr>
              <w:spacing w:after="0" w:line="240" w:lineRule="auto"/>
              <w:jc w:val="center"/>
              <w:rPr>
                <w:rFonts w:ascii="Times New Roman" w:hAnsi="Times New Roman" w:cs="Times New Roman"/>
                <w:sz w:val="18"/>
                <w:szCs w:val="18"/>
              </w:rPr>
            </w:pPr>
          </w:p>
        </w:tc>
        <w:tc>
          <w:tcPr>
            <w:tcW w:w="1842" w:type="dxa"/>
            <w:tcBorders>
              <w:top w:val="single" w:sz="8" w:space="0" w:color="auto"/>
              <w:left w:val="single" w:sz="4" w:space="0" w:color="auto"/>
              <w:right w:val="single" w:sz="8" w:space="0" w:color="auto"/>
            </w:tcBorders>
            <w:vAlign w:val="center"/>
          </w:tcPr>
          <w:p w14:paraId="6CC38F30" w14:textId="77777777" w:rsidR="00533926" w:rsidRPr="00AA5833" w:rsidRDefault="00533926" w:rsidP="00533926">
            <w:pPr>
              <w:spacing w:after="0" w:line="240" w:lineRule="auto"/>
              <w:jc w:val="center"/>
              <w:rPr>
                <w:rFonts w:ascii="Times New Roman" w:hAnsi="Times New Roman" w:cs="Times New Roman"/>
                <w:sz w:val="18"/>
                <w:szCs w:val="18"/>
              </w:rPr>
            </w:pPr>
          </w:p>
        </w:tc>
      </w:tr>
      <w:tr w:rsidR="00533926" w:rsidRPr="00AA5833" w14:paraId="1EEAF0BF" w14:textId="77777777" w:rsidTr="00533926">
        <w:trPr>
          <w:trHeight w:val="204"/>
          <w:jc w:val="center"/>
        </w:trPr>
        <w:tc>
          <w:tcPr>
            <w:tcW w:w="5833" w:type="dxa"/>
            <w:tcBorders>
              <w:top w:val="nil"/>
              <w:left w:val="single" w:sz="8" w:space="0" w:color="auto"/>
              <w:bottom w:val="nil"/>
              <w:right w:val="single" w:sz="8" w:space="0" w:color="auto"/>
            </w:tcBorders>
            <w:shd w:val="clear" w:color="auto" w:fill="auto"/>
            <w:hideMark/>
          </w:tcPr>
          <w:p w14:paraId="62D1F385" w14:textId="77777777" w:rsidR="00533926" w:rsidRPr="00AA5833" w:rsidRDefault="00533926" w:rsidP="00533926">
            <w:pPr>
              <w:spacing w:after="0" w:line="240" w:lineRule="auto"/>
              <w:rPr>
                <w:rFonts w:ascii="Times New Roman" w:hAnsi="Times New Roman" w:cs="Times New Roman"/>
                <w:sz w:val="18"/>
                <w:szCs w:val="18"/>
              </w:rPr>
            </w:pPr>
            <w:r w:rsidRPr="00AA5833">
              <w:rPr>
                <w:rFonts w:ascii="Times New Roman" w:hAnsi="Times New Roman" w:cs="Times New Roman"/>
                <w:sz w:val="18"/>
                <w:szCs w:val="18"/>
              </w:rPr>
              <w:t>- над 90 на сто н. р. (150 % от социалната за старост)</w:t>
            </w:r>
          </w:p>
        </w:tc>
        <w:tc>
          <w:tcPr>
            <w:tcW w:w="1843" w:type="dxa"/>
            <w:tcBorders>
              <w:top w:val="nil"/>
              <w:left w:val="nil"/>
              <w:bottom w:val="nil"/>
              <w:right w:val="single" w:sz="8" w:space="0" w:color="auto"/>
            </w:tcBorders>
            <w:shd w:val="clear" w:color="auto" w:fill="auto"/>
            <w:noWrap/>
            <w:vAlign w:val="center"/>
            <w:hideMark/>
          </w:tcPr>
          <w:p w14:paraId="2B7822B7"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414,96 лв.</w:t>
            </w:r>
          </w:p>
        </w:tc>
        <w:tc>
          <w:tcPr>
            <w:tcW w:w="1842" w:type="dxa"/>
            <w:tcBorders>
              <w:top w:val="nil"/>
              <w:left w:val="nil"/>
              <w:bottom w:val="nil"/>
              <w:right w:val="single" w:sz="8" w:space="0" w:color="auto"/>
            </w:tcBorders>
            <w:shd w:val="clear" w:color="auto" w:fill="auto"/>
            <w:vAlign w:val="center"/>
          </w:tcPr>
          <w:p w14:paraId="3AD88173"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460,61 лв.</w:t>
            </w:r>
          </w:p>
        </w:tc>
      </w:tr>
      <w:tr w:rsidR="00533926" w:rsidRPr="00AA5833" w14:paraId="32CCEB77" w14:textId="77777777" w:rsidTr="00533926">
        <w:trPr>
          <w:trHeight w:val="204"/>
          <w:jc w:val="center"/>
        </w:trPr>
        <w:tc>
          <w:tcPr>
            <w:tcW w:w="5833" w:type="dxa"/>
            <w:tcBorders>
              <w:top w:val="nil"/>
              <w:left w:val="single" w:sz="8" w:space="0" w:color="auto"/>
              <w:bottom w:val="nil"/>
              <w:right w:val="single" w:sz="8" w:space="0" w:color="auto"/>
            </w:tcBorders>
            <w:shd w:val="clear" w:color="auto" w:fill="auto"/>
            <w:hideMark/>
          </w:tcPr>
          <w:p w14:paraId="36228C4E" w14:textId="77777777" w:rsidR="00533926" w:rsidRPr="00AA5833" w:rsidRDefault="00533926" w:rsidP="00533926">
            <w:pPr>
              <w:spacing w:after="0" w:line="240" w:lineRule="auto"/>
              <w:rPr>
                <w:rFonts w:ascii="Times New Roman" w:hAnsi="Times New Roman" w:cs="Times New Roman"/>
                <w:sz w:val="18"/>
                <w:szCs w:val="18"/>
              </w:rPr>
            </w:pPr>
            <w:r w:rsidRPr="00AA5833">
              <w:rPr>
                <w:rFonts w:ascii="Times New Roman" w:hAnsi="Times New Roman" w:cs="Times New Roman"/>
                <w:sz w:val="18"/>
                <w:szCs w:val="18"/>
              </w:rPr>
              <w:t>- от 71 до 90 на сто н. р. (140 % от социалната за старост)</w:t>
            </w:r>
          </w:p>
        </w:tc>
        <w:tc>
          <w:tcPr>
            <w:tcW w:w="1843" w:type="dxa"/>
            <w:tcBorders>
              <w:top w:val="nil"/>
              <w:left w:val="nil"/>
              <w:bottom w:val="nil"/>
              <w:right w:val="single" w:sz="8" w:space="0" w:color="auto"/>
            </w:tcBorders>
            <w:shd w:val="clear" w:color="auto" w:fill="auto"/>
            <w:noWrap/>
            <w:vAlign w:val="center"/>
            <w:hideMark/>
          </w:tcPr>
          <w:p w14:paraId="666D59A9"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387,30 лв.</w:t>
            </w:r>
          </w:p>
        </w:tc>
        <w:tc>
          <w:tcPr>
            <w:tcW w:w="1842" w:type="dxa"/>
            <w:tcBorders>
              <w:top w:val="nil"/>
              <w:left w:val="nil"/>
              <w:bottom w:val="nil"/>
              <w:right w:val="single" w:sz="8" w:space="0" w:color="auto"/>
            </w:tcBorders>
            <w:shd w:val="clear" w:color="auto" w:fill="auto"/>
            <w:vAlign w:val="center"/>
          </w:tcPr>
          <w:p w14:paraId="0C15939F"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429,90 лв.</w:t>
            </w:r>
          </w:p>
        </w:tc>
      </w:tr>
      <w:tr w:rsidR="00533926" w:rsidRPr="00AA5833" w14:paraId="365E38D9" w14:textId="77777777" w:rsidTr="00533926">
        <w:trPr>
          <w:trHeight w:val="204"/>
          <w:jc w:val="center"/>
        </w:trPr>
        <w:tc>
          <w:tcPr>
            <w:tcW w:w="5833" w:type="dxa"/>
            <w:tcBorders>
              <w:top w:val="nil"/>
              <w:left w:val="single" w:sz="8" w:space="0" w:color="auto"/>
              <w:bottom w:val="nil"/>
              <w:right w:val="single" w:sz="8" w:space="0" w:color="auto"/>
            </w:tcBorders>
            <w:shd w:val="clear" w:color="auto" w:fill="auto"/>
            <w:hideMark/>
          </w:tcPr>
          <w:p w14:paraId="7A72109D" w14:textId="77777777" w:rsidR="00533926" w:rsidRPr="00AA5833" w:rsidRDefault="00533926" w:rsidP="00533926">
            <w:pPr>
              <w:spacing w:line="240" w:lineRule="auto"/>
              <w:rPr>
                <w:rFonts w:ascii="Times New Roman" w:hAnsi="Times New Roman" w:cs="Times New Roman"/>
                <w:sz w:val="18"/>
                <w:szCs w:val="18"/>
              </w:rPr>
            </w:pPr>
            <w:r w:rsidRPr="00AA5833">
              <w:rPr>
                <w:rFonts w:ascii="Times New Roman" w:hAnsi="Times New Roman" w:cs="Times New Roman"/>
                <w:sz w:val="18"/>
                <w:szCs w:val="18"/>
              </w:rPr>
              <w:t>- от 50 до 70,99 на сто н. р. (115 % от социалната за старост)</w:t>
            </w:r>
          </w:p>
        </w:tc>
        <w:tc>
          <w:tcPr>
            <w:tcW w:w="1843" w:type="dxa"/>
            <w:tcBorders>
              <w:top w:val="nil"/>
              <w:left w:val="nil"/>
              <w:bottom w:val="nil"/>
              <w:right w:val="single" w:sz="8" w:space="0" w:color="auto"/>
            </w:tcBorders>
            <w:shd w:val="clear" w:color="auto" w:fill="auto"/>
            <w:noWrap/>
            <w:vAlign w:val="center"/>
            <w:hideMark/>
          </w:tcPr>
          <w:p w14:paraId="04F455D1"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318,14 лв.</w:t>
            </w:r>
          </w:p>
        </w:tc>
        <w:tc>
          <w:tcPr>
            <w:tcW w:w="1842" w:type="dxa"/>
            <w:tcBorders>
              <w:top w:val="nil"/>
              <w:left w:val="nil"/>
              <w:bottom w:val="nil"/>
              <w:right w:val="single" w:sz="8" w:space="0" w:color="auto"/>
            </w:tcBorders>
            <w:shd w:val="clear" w:color="auto" w:fill="auto"/>
            <w:vAlign w:val="center"/>
          </w:tcPr>
          <w:p w14:paraId="2C8CF34A"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353,13 лв.</w:t>
            </w:r>
          </w:p>
        </w:tc>
      </w:tr>
      <w:tr w:rsidR="00533926" w:rsidRPr="00AA5833" w14:paraId="7AB7DA44" w14:textId="77777777" w:rsidTr="00533926">
        <w:trPr>
          <w:trHeight w:val="164"/>
          <w:jc w:val="center"/>
        </w:trPr>
        <w:tc>
          <w:tcPr>
            <w:tcW w:w="5833" w:type="dxa"/>
            <w:tcBorders>
              <w:top w:val="nil"/>
              <w:left w:val="single" w:sz="8" w:space="0" w:color="auto"/>
              <w:bottom w:val="nil"/>
              <w:right w:val="single" w:sz="8" w:space="0" w:color="auto"/>
            </w:tcBorders>
            <w:shd w:val="clear" w:color="auto" w:fill="auto"/>
            <w:hideMark/>
          </w:tcPr>
          <w:p w14:paraId="57B7A3F0" w14:textId="77777777" w:rsidR="00533926" w:rsidRPr="00AA5833" w:rsidRDefault="00533926" w:rsidP="00533926">
            <w:pPr>
              <w:spacing w:after="0" w:line="240" w:lineRule="auto"/>
              <w:rPr>
                <w:rFonts w:ascii="Times New Roman" w:hAnsi="Times New Roman" w:cs="Times New Roman"/>
                <w:b/>
                <w:sz w:val="18"/>
                <w:szCs w:val="18"/>
              </w:rPr>
            </w:pPr>
            <w:r w:rsidRPr="00AA5833">
              <w:rPr>
                <w:rFonts w:ascii="Times New Roman" w:hAnsi="Times New Roman" w:cs="Times New Roman"/>
                <w:b/>
                <w:sz w:val="18"/>
                <w:szCs w:val="18"/>
              </w:rPr>
              <w:t>б/ офицери при намалена работоспособност:</w:t>
            </w:r>
          </w:p>
        </w:tc>
        <w:tc>
          <w:tcPr>
            <w:tcW w:w="1843" w:type="dxa"/>
            <w:tcBorders>
              <w:top w:val="nil"/>
              <w:left w:val="nil"/>
              <w:bottom w:val="nil"/>
              <w:right w:val="single" w:sz="4" w:space="0" w:color="auto"/>
            </w:tcBorders>
            <w:shd w:val="clear" w:color="auto" w:fill="auto"/>
            <w:noWrap/>
            <w:vAlign w:val="center"/>
            <w:hideMark/>
          </w:tcPr>
          <w:p w14:paraId="3B19167D" w14:textId="77777777" w:rsidR="00533926" w:rsidRPr="00AA5833" w:rsidRDefault="00533926" w:rsidP="00533926">
            <w:pPr>
              <w:spacing w:after="0" w:line="240" w:lineRule="auto"/>
              <w:jc w:val="center"/>
              <w:rPr>
                <w:rFonts w:ascii="Times New Roman" w:hAnsi="Times New Roman" w:cs="Times New Roman"/>
                <w:sz w:val="18"/>
                <w:szCs w:val="18"/>
              </w:rPr>
            </w:pPr>
          </w:p>
        </w:tc>
        <w:tc>
          <w:tcPr>
            <w:tcW w:w="1842" w:type="dxa"/>
            <w:tcBorders>
              <w:top w:val="nil"/>
              <w:left w:val="nil"/>
              <w:bottom w:val="nil"/>
              <w:right w:val="single" w:sz="8" w:space="0" w:color="auto"/>
            </w:tcBorders>
            <w:shd w:val="clear" w:color="auto" w:fill="auto"/>
            <w:vAlign w:val="center"/>
          </w:tcPr>
          <w:p w14:paraId="4C808D41" w14:textId="77777777" w:rsidR="00533926" w:rsidRPr="00AA5833" w:rsidRDefault="00533926" w:rsidP="00533926">
            <w:pPr>
              <w:spacing w:after="0" w:line="240" w:lineRule="auto"/>
              <w:jc w:val="center"/>
              <w:rPr>
                <w:rFonts w:ascii="Times New Roman" w:hAnsi="Times New Roman" w:cs="Times New Roman"/>
                <w:sz w:val="18"/>
                <w:szCs w:val="18"/>
              </w:rPr>
            </w:pPr>
          </w:p>
        </w:tc>
      </w:tr>
      <w:tr w:rsidR="00533926" w:rsidRPr="00AA5833" w14:paraId="405BA880" w14:textId="77777777" w:rsidTr="00533926">
        <w:trPr>
          <w:trHeight w:val="204"/>
          <w:jc w:val="center"/>
        </w:trPr>
        <w:tc>
          <w:tcPr>
            <w:tcW w:w="5833" w:type="dxa"/>
            <w:tcBorders>
              <w:top w:val="nil"/>
              <w:left w:val="single" w:sz="8" w:space="0" w:color="auto"/>
              <w:bottom w:val="nil"/>
              <w:right w:val="single" w:sz="8" w:space="0" w:color="auto"/>
            </w:tcBorders>
            <w:shd w:val="clear" w:color="auto" w:fill="auto"/>
            <w:hideMark/>
          </w:tcPr>
          <w:p w14:paraId="7A3D52DE" w14:textId="77777777" w:rsidR="00533926" w:rsidRPr="00AA5833" w:rsidRDefault="00533926" w:rsidP="00533926">
            <w:pPr>
              <w:spacing w:after="0" w:line="240" w:lineRule="auto"/>
              <w:rPr>
                <w:rFonts w:ascii="Times New Roman" w:hAnsi="Times New Roman" w:cs="Times New Roman"/>
                <w:sz w:val="18"/>
                <w:szCs w:val="18"/>
              </w:rPr>
            </w:pPr>
            <w:r w:rsidRPr="00AA5833">
              <w:rPr>
                <w:rFonts w:ascii="Times New Roman" w:hAnsi="Times New Roman" w:cs="Times New Roman"/>
                <w:sz w:val="18"/>
                <w:szCs w:val="18"/>
              </w:rPr>
              <w:t>- над 90 на сто н. р. (160 % от социалната за старост)</w:t>
            </w:r>
          </w:p>
        </w:tc>
        <w:tc>
          <w:tcPr>
            <w:tcW w:w="1843" w:type="dxa"/>
            <w:tcBorders>
              <w:top w:val="nil"/>
              <w:left w:val="nil"/>
              <w:bottom w:val="nil"/>
              <w:right w:val="single" w:sz="8" w:space="0" w:color="auto"/>
            </w:tcBorders>
            <w:shd w:val="clear" w:color="auto" w:fill="auto"/>
            <w:noWrap/>
            <w:vAlign w:val="center"/>
            <w:hideMark/>
          </w:tcPr>
          <w:p w14:paraId="1DA10BB5"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442,62 лв.</w:t>
            </w:r>
          </w:p>
        </w:tc>
        <w:tc>
          <w:tcPr>
            <w:tcW w:w="1842" w:type="dxa"/>
            <w:tcBorders>
              <w:top w:val="nil"/>
              <w:left w:val="nil"/>
              <w:bottom w:val="nil"/>
              <w:right w:val="single" w:sz="8" w:space="0" w:color="auto"/>
            </w:tcBorders>
            <w:shd w:val="clear" w:color="auto" w:fill="auto"/>
            <w:vAlign w:val="center"/>
          </w:tcPr>
          <w:p w14:paraId="464AD860"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491,31 лв.</w:t>
            </w:r>
          </w:p>
        </w:tc>
      </w:tr>
      <w:tr w:rsidR="00533926" w:rsidRPr="00AA5833" w14:paraId="72DF57F3" w14:textId="77777777" w:rsidTr="00533926">
        <w:trPr>
          <w:trHeight w:val="204"/>
          <w:jc w:val="center"/>
        </w:trPr>
        <w:tc>
          <w:tcPr>
            <w:tcW w:w="5833" w:type="dxa"/>
            <w:tcBorders>
              <w:top w:val="nil"/>
              <w:left w:val="single" w:sz="8" w:space="0" w:color="auto"/>
              <w:bottom w:val="nil"/>
              <w:right w:val="single" w:sz="8" w:space="0" w:color="auto"/>
            </w:tcBorders>
            <w:shd w:val="clear" w:color="auto" w:fill="auto"/>
            <w:hideMark/>
          </w:tcPr>
          <w:p w14:paraId="175C173C" w14:textId="77777777" w:rsidR="00533926" w:rsidRPr="00AA5833" w:rsidRDefault="00533926" w:rsidP="00533926">
            <w:pPr>
              <w:spacing w:after="0" w:line="240" w:lineRule="auto"/>
              <w:rPr>
                <w:rFonts w:ascii="Times New Roman" w:hAnsi="Times New Roman" w:cs="Times New Roman"/>
                <w:sz w:val="18"/>
                <w:szCs w:val="18"/>
              </w:rPr>
            </w:pPr>
            <w:r w:rsidRPr="00AA5833">
              <w:rPr>
                <w:rFonts w:ascii="Times New Roman" w:hAnsi="Times New Roman" w:cs="Times New Roman"/>
                <w:sz w:val="18"/>
                <w:szCs w:val="18"/>
              </w:rPr>
              <w:t>- от 71 до 90 на сто н. р. (150 % от социалната за старост)</w:t>
            </w:r>
          </w:p>
        </w:tc>
        <w:tc>
          <w:tcPr>
            <w:tcW w:w="1843" w:type="dxa"/>
            <w:tcBorders>
              <w:top w:val="nil"/>
              <w:left w:val="nil"/>
              <w:bottom w:val="nil"/>
              <w:right w:val="single" w:sz="8" w:space="0" w:color="auto"/>
            </w:tcBorders>
            <w:shd w:val="clear" w:color="auto" w:fill="auto"/>
            <w:noWrap/>
            <w:vAlign w:val="center"/>
            <w:hideMark/>
          </w:tcPr>
          <w:p w14:paraId="42F41F61"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414,96 лв.</w:t>
            </w:r>
          </w:p>
        </w:tc>
        <w:tc>
          <w:tcPr>
            <w:tcW w:w="1842" w:type="dxa"/>
            <w:tcBorders>
              <w:top w:val="nil"/>
              <w:left w:val="nil"/>
              <w:bottom w:val="nil"/>
              <w:right w:val="single" w:sz="8" w:space="0" w:color="auto"/>
            </w:tcBorders>
            <w:shd w:val="clear" w:color="auto" w:fill="auto"/>
            <w:vAlign w:val="center"/>
          </w:tcPr>
          <w:p w14:paraId="2A64AA20"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460,61 лв.</w:t>
            </w:r>
          </w:p>
        </w:tc>
      </w:tr>
      <w:tr w:rsidR="00533926" w:rsidRPr="00AA5833" w14:paraId="2FF3CC3B" w14:textId="77777777" w:rsidTr="00533926">
        <w:trPr>
          <w:trHeight w:val="204"/>
          <w:jc w:val="center"/>
        </w:trPr>
        <w:tc>
          <w:tcPr>
            <w:tcW w:w="5833" w:type="dxa"/>
            <w:tcBorders>
              <w:top w:val="nil"/>
              <w:left w:val="single" w:sz="8" w:space="0" w:color="auto"/>
              <w:bottom w:val="single" w:sz="8" w:space="0" w:color="auto"/>
              <w:right w:val="single" w:sz="8" w:space="0" w:color="auto"/>
            </w:tcBorders>
            <w:shd w:val="clear" w:color="auto" w:fill="auto"/>
            <w:hideMark/>
          </w:tcPr>
          <w:p w14:paraId="7D3E0CAB" w14:textId="77777777" w:rsidR="00533926" w:rsidRPr="00AA5833" w:rsidRDefault="00533926" w:rsidP="00533926">
            <w:pPr>
              <w:spacing w:after="0" w:line="240" w:lineRule="auto"/>
              <w:rPr>
                <w:rFonts w:ascii="Times New Roman" w:hAnsi="Times New Roman" w:cs="Times New Roman"/>
                <w:sz w:val="18"/>
                <w:szCs w:val="18"/>
              </w:rPr>
            </w:pPr>
            <w:r w:rsidRPr="00AA5833">
              <w:rPr>
                <w:rFonts w:ascii="Times New Roman" w:hAnsi="Times New Roman" w:cs="Times New Roman"/>
                <w:sz w:val="18"/>
                <w:szCs w:val="18"/>
              </w:rPr>
              <w:t>- от 50 до 70,99 на сто н. р. (120 % от социалната за старост)</w:t>
            </w:r>
          </w:p>
        </w:tc>
        <w:tc>
          <w:tcPr>
            <w:tcW w:w="1843" w:type="dxa"/>
            <w:tcBorders>
              <w:top w:val="nil"/>
              <w:left w:val="nil"/>
              <w:bottom w:val="single" w:sz="8" w:space="0" w:color="auto"/>
              <w:right w:val="single" w:sz="8" w:space="0" w:color="auto"/>
            </w:tcBorders>
            <w:shd w:val="clear" w:color="auto" w:fill="auto"/>
            <w:noWrap/>
            <w:vAlign w:val="center"/>
            <w:hideMark/>
          </w:tcPr>
          <w:p w14:paraId="50790504"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331,97 лв.</w:t>
            </w:r>
          </w:p>
        </w:tc>
        <w:tc>
          <w:tcPr>
            <w:tcW w:w="1842" w:type="dxa"/>
            <w:tcBorders>
              <w:top w:val="nil"/>
              <w:left w:val="nil"/>
              <w:bottom w:val="single" w:sz="8" w:space="0" w:color="auto"/>
              <w:right w:val="single" w:sz="8" w:space="0" w:color="auto"/>
            </w:tcBorders>
            <w:shd w:val="clear" w:color="auto" w:fill="auto"/>
            <w:vAlign w:val="center"/>
          </w:tcPr>
          <w:p w14:paraId="4DC23EE6"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368,48 лв.</w:t>
            </w:r>
          </w:p>
        </w:tc>
      </w:tr>
      <w:tr w:rsidR="00533926" w:rsidRPr="00AA5833" w14:paraId="1D93712E" w14:textId="77777777" w:rsidTr="00533926">
        <w:trPr>
          <w:trHeight w:val="246"/>
          <w:jc w:val="center"/>
        </w:trPr>
        <w:tc>
          <w:tcPr>
            <w:tcW w:w="5833" w:type="dxa"/>
            <w:tcBorders>
              <w:top w:val="nil"/>
              <w:left w:val="single" w:sz="8" w:space="0" w:color="auto"/>
              <w:bottom w:val="nil"/>
              <w:right w:val="single" w:sz="8" w:space="0" w:color="auto"/>
            </w:tcBorders>
            <w:shd w:val="clear" w:color="auto" w:fill="auto"/>
            <w:vAlign w:val="center"/>
            <w:hideMark/>
          </w:tcPr>
          <w:p w14:paraId="36EEC2A2"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4. Пенсия за гражданска инвалидност – чл. 87 КСО:</w:t>
            </w:r>
          </w:p>
        </w:tc>
        <w:tc>
          <w:tcPr>
            <w:tcW w:w="1843" w:type="dxa"/>
            <w:tcBorders>
              <w:top w:val="nil"/>
              <w:left w:val="nil"/>
              <w:bottom w:val="nil"/>
              <w:right w:val="single" w:sz="4" w:space="0" w:color="auto"/>
            </w:tcBorders>
            <w:shd w:val="clear" w:color="auto" w:fill="auto"/>
            <w:noWrap/>
            <w:vAlign w:val="center"/>
            <w:hideMark/>
          </w:tcPr>
          <w:p w14:paraId="00AD9A78" w14:textId="77777777" w:rsidR="00533926" w:rsidRPr="00AA5833" w:rsidRDefault="00533926" w:rsidP="00533926">
            <w:pPr>
              <w:spacing w:after="0" w:line="240" w:lineRule="auto"/>
              <w:jc w:val="center"/>
              <w:rPr>
                <w:rFonts w:ascii="Times New Roman" w:eastAsia="Times New Roman" w:hAnsi="Times New Roman" w:cs="Times New Roman"/>
                <w:sz w:val="18"/>
                <w:szCs w:val="18"/>
                <w:lang w:eastAsia="bg-BG"/>
              </w:rPr>
            </w:pPr>
          </w:p>
        </w:tc>
        <w:tc>
          <w:tcPr>
            <w:tcW w:w="1842" w:type="dxa"/>
            <w:tcBorders>
              <w:top w:val="nil"/>
              <w:left w:val="single" w:sz="4" w:space="0" w:color="auto"/>
              <w:bottom w:val="nil"/>
              <w:right w:val="single" w:sz="8" w:space="0" w:color="auto"/>
            </w:tcBorders>
            <w:vAlign w:val="center"/>
          </w:tcPr>
          <w:p w14:paraId="1F0BAA5D" w14:textId="77777777" w:rsidR="00533926" w:rsidRPr="00AA5833" w:rsidRDefault="00533926" w:rsidP="00533926">
            <w:pPr>
              <w:spacing w:after="0" w:line="240" w:lineRule="auto"/>
              <w:jc w:val="center"/>
              <w:rPr>
                <w:rFonts w:ascii="Times New Roman" w:eastAsia="Times New Roman" w:hAnsi="Times New Roman" w:cs="Times New Roman"/>
                <w:sz w:val="18"/>
                <w:szCs w:val="18"/>
                <w:lang w:eastAsia="bg-BG"/>
              </w:rPr>
            </w:pPr>
          </w:p>
        </w:tc>
      </w:tr>
      <w:tr w:rsidR="00533926" w:rsidRPr="00AA5833" w14:paraId="7D6E5A41" w14:textId="77777777" w:rsidTr="00533926">
        <w:trPr>
          <w:trHeight w:val="203"/>
          <w:jc w:val="center"/>
        </w:trPr>
        <w:tc>
          <w:tcPr>
            <w:tcW w:w="5833" w:type="dxa"/>
            <w:tcBorders>
              <w:top w:val="nil"/>
              <w:left w:val="single" w:sz="8" w:space="0" w:color="auto"/>
              <w:bottom w:val="nil"/>
              <w:right w:val="single" w:sz="8" w:space="0" w:color="auto"/>
            </w:tcBorders>
            <w:shd w:val="clear" w:color="auto" w:fill="auto"/>
            <w:vAlign w:val="center"/>
            <w:hideMark/>
          </w:tcPr>
          <w:p w14:paraId="3C69A3F3"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над 90 на сто ТНР (150 % от социалната пенсия за старост)</w:t>
            </w:r>
          </w:p>
        </w:tc>
        <w:tc>
          <w:tcPr>
            <w:tcW w:w="1843" w:type="dxa"/>
            <w:tcBorders>
              <w:top w:val="nil"/>
              <w:left w:val="nil"/>
              <w:bottom w:val="nil"/>
              <w:right w:val="single" w:sz="8" w:space="0" w:color="auto"/>
            </w:tcBorders>
            <w:shd w:val="clear" w:color="auto" w:fill="auto"/>
            <w:noWrap/>
            <w:vAlign w:val="center"/>
            <w:hideMark/>
          </w:tcPr>
          <w:p w14:paraId="3BC3863E"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414,96 лв.</w:t>
            </w:r>
          </w:p>
        </w:tc>
        <w:tc>
          <w:tcPr>
            <w:tcW w:w="1842" w:type="dxa"/>
            <w:tcBorders>
              <w:top w:val="nil"/>
              <w:left w:val="nil"/>
              <w:bottom w:val="nil"/>
              <w:right w:val="single" w:sz="8" w:space="0" w:color="auto"/>
            </w:tcBorders>
            <w:shd w:val="clear" w:color="auto" w:fill="auto"/>
            <w:vAlign w:val="center"/>
          </w:tcPr>
          <w:p w14:paraId="5701DC54"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460,61 лв.</w:t>
            </w:r>
          </w:p>
        </w:tc>
      </w:tr>
      <w:tr w:rsidR="00533926" w:rsidRPr="00AA5833" w14:paraId="526B9797" w14:textId="77777777" w:rsidTr="00533926">
        <w:trPr>
          <w:trHeight w:val="203"/>
          <w:jc w:val="center"/>
        </w:trPr>
        <w:tc>
          <w:tcPr>
            <w:tcW w:w="5833" w:type="dxa"/>
            <w:tcBorders>
              <w:top w:val="nil"/>
              <w:left w:val="single" w:sz="8" w:space="0" w:color="auto"/>
              <w:bottom w:val="nil"/>
              <w:right w:val="single" w:sz="8" w:space="0" w:color="auto"/>
            </w:tcBorders>
            <w:shd w:val="clear" w:color="auto" w:fill="auto"/>
            <w:vAlign w:val="center"/>
            <w:hideMark/>
          </w:tcPr>
          <w:p w14:paraId="0D89645B"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от 71 до 90 на сто ТНР (140 % от социалната пенсия за старост)</w:t>
            </w:r>
          </w:p>
        </w:tc>
        <w:tc>
          <w:tcPr>
            <w:tcW w:w="1843" w:type="dxa"/>
            <w:tcBorders>
              <w:top w:val="nil"/>
              <w:left w:val="nil"/>
              <w:bottom w:val="nil"/>
              <w:right w:val="single" w:sz="8" w:space="0" w:color="auto"/>
            </w:tcBorders>
            <w:shd w:val="clear" w:color="auto" w:fill="auto"/>
            <w:noWrap/>
            <w:vAlign w:val="center"/>
            <w:hideMark/>
          </w:tcPr>
          <w:p w14:paraId="6ADBAA88"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387,30 лв.</w:t>
            </w:r>
          </w:p>
        </w:tc>
        <w:tc>
          <w:tcPr>
            <w:tcW w:w="1842" w:type="dxa"/>
            <w:tcBorders>
              <w:top w:val="nil"/>
              <w:left w:val="nil"/>
              <w:bottom w:val="nil"/>
              <w:right w:val="single" w:sz="8" w:space="0" w:color="auto"/>
            </w:tcBorders>
            <w:shd w:val="clear" w:color="auto" w:fill="auto"/>
            <w:vAlign w:val="center"/>
          </w:tcPr>
          <w:p w14:paraId="082A1B72"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429,90 лв.</w:t>
            </w:r>
          </w:p>
        </w:tc>
      </w:tr>
      <w:tr w:rsidR="00533926" w:rsidRPr="00AA5833" w14:paraId="6844AE5C" w14:textId="77777777" w:rsidTr="00533926">
        <w:trPr>
          <w:trHeight w:val="213"/>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14:paraId="04A35805" w14:textId="77777777" w:rsidR="00533926" w:rsidRPr="00AA5833" w:rsidRDefault="00533926" w:rsidP="00533926">
            <w:pPr>
              <w:spacing w:after="0" w:line="240" w:lineRule="auto"/>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lang w:eastAsia="bg-BG"/>
              </w:rPr>
              <w:t>- от 50 до 70,99 на сто ТНР (115 % от социалната пенсия за старост)</w:t>
            </w:r>
          </w:p>
        </w:tc>
        <w:tc>
          <w:tcPr>
            <w:tcW w:w="1843" w:type="dxa"/>
            <w:tcBorders>
              <w:top w:val="nil"/>
              <w:left w:val="nil"/>
              <w:bottom w:val="single" w:sz="8" w:space="0" w:color="auto"/>
              <w:right w:val="single" w:sz="8" w:space="0" w:color="auto"/>
            </w:tcBorders>
            <w:shd w:val="clear" w:color="auto" w:fill="auto"/>
            <w:noWrap/>
            <w:vAlign w:val="center"/>
            <w:hideMark/>
          </w:tcPr>
          <w:p w14:paraId="09747B55"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318,14 лв.</w:t>
            </w:r>
          </w:p>
        </w:tc>
        <w:tc>
          <w:tcPr>
            <w:tcW w:w="1842" w:type="dxa"/>
            <w:tcBorders>
              <w:top w:val="nil"/>
              <w:left w:val="nil"/>
              <w:bottom w:val="single" w:sz="8" w:space="0" w:color="auto"/>
              <w:right w:val="single" w:sz="8" w:space="0" w:color="auto"/>
            </w:tcBorders>
            <w:shd w:val="clear" w:color="auto" w:fill="auto"/>
            <w:vAlign w:val="center"/>
          </w:tcPr>
          <w:p w14:paraId="54AC123E"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353,13 лв.</w:t>
            </w:r>
          </w:p>
        </w:tc>
      </w:tr>
      <w:tr w:rsidR="00533926" w:rsidRPr="00AA5833" w14:paraId="14AE13A0" w14:textId="77777777" w:rsidTr="00533926">
        <w:trPr>
          <w:trHeight w:val="213"/>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14:paraId="2DE1F775"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5. Персонални пенсии</w:t>
            </w:r>
            <w:r w:rsidRPr="00AA5833">
              <w:rPr>
                <w:rFonts w:ascii="Times New Roman" w:eastAsia="Times New Roman" w:hAnsi="Times New Roman" w:cs="Times New Roman"/>
                <w:sz w:val="18"/>
                <w:szCs w:val="18"/>
                <w:lang w:eastAsia="bg-BG"/>
              </w:rPr>
              <w:t xml:space="preserve"> по чл. 92 от КСО (90% от социалната пенсия за старост)</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50DF1CE5"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248,98 лв.</w:t>
            </w:r>
          </w:p>
        </w:tc>
        <w:tc>
          <w:tcPr>
            <w:tcW w:w="1842" w:type="dxa"/>
            <w:tcBorders>
              <w:top w:val="single" w:sz="8" w:space="0" w:color="auto"/>
              <w:left w:val="nil"/>
              <w:bottom w:val="single" w:sz="8" w:space="0" w:color="auto"/>
              <w:right w:val="single" w:sz="8" w:space="0" w:color="auto"/>
            </w:tcBorders>
            <w:shd w:val="clear" w:color="auto" w:fill="auto"/>
            <w:vAlign w:val="center"/>
          </w:tcPr>
          <w:p w14:paraId="1A644B6B"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276,36 лв.</w:t>
            </w:r>
          </w:p>
        </w:tc>
      </w:tr>
      <w:tr w:rsidR="00533926" w:rsidRPr="00AA5833" w14:paraId="55B2C4C8" w14:textId="77777777" w:rsidTr="00533926">
        <w:trPr>
          <w:trHeight w:val="213"/>
          <w:jc w:val="center"/>
        </w:trPr>
        <w:tc>
          <w:tcPr>
            <w:tcW w:w="5833" w:type="dxa"/>
            <w:tcBorders>
              <w:top w:val="nil"/>
              <w:left w:val="single" w:sz="8" w:space="0" w:color="auto"/>
              <w:bottom w:val="nil"/>
              <w:right w:val="single" w:sz="8" w:space="0" w:color="auto"/>
            </w:tcBorders>
            <w:shd w:val="clear" w:color="auto" w:fill="auto"/>
            <w:vAlign w:val="center"/>
            <w:hideMark/>
          </w:tcPr>
          <w:p w14:paraId="7533AD19"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6. Добавката за чужда помощ</w:t>
            </w:r>
            <w:r w:rsidRPr="00AA5833">
              <w:rPr>
                <w:rFonts w:ascii="Times New Roman" w:eastAsia="Times New Roman" w:hAnsi="Times New Roman" w:cs="Times New Roman"/>
                <w:sz w:val="18"/>
                <w:szCs w:val="18"/>
                <w:lang w:eastAsia="bg-BG"/>
              </w:rPr>
              <w:t xml:space="preserve"> по чл. 103 от КСО (75% от социалната пенсия за старост)</w:t>
            </w:r>
          </w:p>
        </w:tc>
        <w:tc>
          <w:tcPr>
            <w:tcW w:w="1843" w:type="dxa"/>
            <w:tcBorders>
              <w:top w:val="nil"/>
              <w:left w:val="nil"/>
              <w:bottom w:val="nil"/>
              <w:right w:val="single" w:sz="8" w:space="0" w:color="auto"/>
            </w:tcBorders>
            <w:shd w:val="clear" w:color="auto" w:fill="auto"/>
            <w:noWrap/>
            <w:vAlign w:val="center"/>
            <w:hideMark/>
          </w:tcPr>
          <w:p w14:paraId="5A849F54"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207,48 лв.</w:t>
            </w:r>
          </w:p>
        </w:tc>
        <w:tc>
          <w:tcPr>
            <w:tcW w:w="1842" w:type="dxa"/>
            <w:tcBorders>
              <w:top w:val="nil"/>
              <w:left w:val="nil"/>
              <w:bottom w:val="nil"/>
              <w:right w:val="single" w:sz="8" w:space="0" w:color="auto"/>
            </w:tcBorders>
            <w:shd w:val="clear" w:color="auto" w:fill="auto"/>
            <w:vAlign w:val="center"/>
          </w:tcPr>
          <w:p w14:paraId="2CE12E1C"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230,30 лв.</w:t>
            </w:r>
          </w:p>
        </w:tc>
      </w:tr>
      <w:tr w:rsidR="00533926" w:rsidRPr="00AA5833" w14:paraId="027308CE" w14:textId="77777777" w:rsidTr="00533926">
        <w:trPr>
          <w:trHeight w:val="377"/>
          <w:jc w:val="center"/>
        </w:trPr>
        <w:tc>
          <w:tcPr>
            <w:tcW w:w="58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3419FA"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7. Добавка на ветераните от войните по Указ № 1611/85 г.</w:t>
            </w:r>
            <w:r w:rsidRPr="00AA5833">
              <w:rPr>
                <w:rFonts w:ascii="Times New Roman" w:eastAsia="Times New Roman" w:hAnsi="Times New Roman" w:cs="Times New Roman"/>
                <w:sz w:val="18"/>
                <w:szCs w:val="18"/>
                <w:lang w:eastAsia="bg-BG"/>
              </w:rPr>
              <w:t xml:space="preserve"> (50% от социалната пенсия за старост)</w:t>
            </w:r>
          </w:p>
        </w:tc>
        <w:tc>
          <w:tcPr>
            <w:tcW w:w="1843" w:type="dxa"/>
            <w:tcBorders>
              <w:top w:val="single" w:sz="8" w:space="0" w:color="auto"/>
              <w:left w:val="nil"/>
              <w:bottom w:val="single" w:sz="8" w:space="0" w:color="auto"/>
              <w:right w:val="single" w:sz="8" w:space="0" w:color="auto"/>
            </w:tcBorders>
            <w:shd w:val="clear" w:color="auto" w:fill="auto"/>
            <w:noWrap/>
            <w:vAlign w:val="center"/>
          </w:tcPr>
          <w:p w14:paraId="57D5662F"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138,32 лв.</w:t>
            </w:r>
          </w:p>
        </w:tc>
        <w:tc>
          <w:tcPr>
            <w:tcW w:w="1842" w:type="dxa"/>
            <w:tcBorders>
              <w:top w:val="single" w:sz="8" w:space="0" w:color="auto"/>
              <w:left w:val="nil"/>
              <w:bottom w:val="single" w:sz="8" w:space="0" w:color="auto"/>
              <w:right w:val="single" w:sz="8" w:space="0" w:color="auto"/>
            </w:tcBorders>
            <w:shd w:val="clear" w:color="auto" w:fill="auto"/>
            <w:vAlign w:val="center"/>
          </w:tcPr>
          <w:p w14:paraId="30BDF52A"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153,54 лв.</w:t>
            </w:r>
          </w:p>
        </w:tc>
      </w:tr>
      <w:tr w:rsidR="00533926" w:rsidRPr="00AA5833" w14:paraId="0013FF22" w14:textId="77777777" w:rsidTr="00533926">
        <w:trPr>
          <w:trHeight w:val="377"/>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14:paraId="12257153" w14:textId="77777777" w:rsidR="00533926" w:rsidRPr="00AA5833" w:rsidRDefault="00533926" w:rsidP="00533926">
            <w:pPr>
              <w:spacing w:after="0" w:line="240" w:lineRule="auto"/>
              <w:rPr>
                <w:rFonts w:ascii="Times New Roman" w:eastAsia="Times New Roman" w:hAnsi="Times New Roman" w:cs="Times New Roman"/>
                <w:b/>
                <w:bCs/>
                <w:sz w:val="18"/>
                <w:szCs w:val="18"/>
                <w:lang w:eastAsia="bg-BG"/>
              </w:rPr>
            </w:pPr>
            <w:r w:rsidRPr="00AA5833">
              <w:rPr>
                <w:rFonts w:ascii="Times New Roman" w:eastAsia="Times New Roman" w:hAnsi="Times New Roman" w:cs="Times New Roman"/>
                <w:b/>
                <w:bCs/>
                <w:sz w:val="18"/>
                <w:szCs w:val="18"/>
                <w:lang w:eastAsia="bg-BG"/>
              </w:rPr>
              <w:t>8. Добавка на ветераните от войните по чл. 5 от Закона за ветераните от войните</w:t>
            </w:r>
            <w:r w:rsidRPr="00AA5833">
              <w:rPr>
                <w:rFonts w:ascii="Times New Roman" w:eastAsia="Times New Roman" w:hAnsi="Times New Roman" w:cs="Times New Roman"/>
                <w:sz w:val="18"/>
                <w:szCs w:val="18"/>
                <w:lang w:eastAsia="bg-BG"/>
              </w:rPr>
              <w:t xml:space="preserve"> (100% от социалната пенсия за старост)</w:t>
            </w:r>
          </w:p>
        </w:tc>
        <w:tc>
          <w:tcPr>
            <w:tcW w:w="1843" w:type="dxa"/>
            <w:tcBorders>
              <w:top w:val="nil"/>
              <w:left w:val="nil"/>
              <w:bottom w:val="single" w:sz="8" w:space="0" w:color="auto"/>
              <w:right w:val="single" w:sz="8" w:space="0" w:color="auto"/>
            </w:tcBorders>
            <w:shd w:val="clear" w:color="auto" w:fill="auto"/>
            <w:noWrap/>
            <w:vAlign w:val="center"/>
          </w:tcPr>
          <w:p w14:paraId="41793042"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276,64 лв.</w:t>
            </w:r>
          </w:p>
        </w:tc>
        <w:tc>
          <w:tcPr>
            <w:tcW w:w="1842" w:type="dxa"/>
            <w:tcBorders>
              <w:top w:val="nil"/>
              <w:left w:val="single" w:sz="4" w:space="0" w:color="auto"/>
              <w:bottom w:val="single" w:sz="8" w:space="0" w:color="auto"/>
              <w:right w:val="single" w:sz="8" w:space="0" w:color="auto"/>
            </w:tcBorders>
            <w:vAlign w:val="center"/>
          </w:tcPr>
          <w:p w14:paraId="613D19CF" w14:textId="77777777" w:rsidR="00533926" w:rsidRPr="00AA5833" w:rsidRDefault="00533926" w:rsidP="00533926">
            <w:pPr>
              <w:spacing w:after="0" w:line="240" w:lineRule="auto"/>
              <w:jc w:val="center"/>
              <w:rPr>
                <w:rFonts w:ascii="Times New Roman" w:hAnsi="Times New Roman" w:cs="Times New Roman"/>
                <w:sz w:val="18"/>
                <w:szCs w:val="18"/>
              </w:rPr>
            </w:pPr>
            <w:r w:rsidRPr="00AA5833">
              <w:rPr>
                <w:rFonts w:ascii="Times New Roman" w:hAnsi="Times New Roman" w:cs="Times New Roman"/>
                <w:sz w:val="18"/>
                <w:szCs w:val="18"/>
              </w:rPr>
              <w:t>307,07 лв.</w:t>
            </w:r>
          </w:p>
        </w:tc>
      </w:tr>
    </w:tbl>
    <w:p w14:paraId="1A2F622B" w14:textId="77777777" w:rsidR="00A14A7B" w:rsidRPr="00AA5833" w:rsidRDefault="00A14A7B" w:rsidP="00A14A7B">
      <w:pPr>
        <w:numPr>
          <w:ilvl w:val="0"/>
          <w:numId w:val="36"/>
        </w:numPr>
        <w:spacing w:after="0" w:line="240" w:lineRule="auto"/>
        <w:ind w:left="-142" w:firstLine="1276"/>
        <w:contextualSpacing/>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Месечната добавка по чл. 9 от Закона за политическа и гражданска реабилитация на репресираните лица (ЗПГРРЛ) се определя в процент от средния размер на пенсията за осигурителен стаж и възраст за предходната календарна година и се преизчислява ежегодно от 1 януари. От 1 януари 2024 г. всички добавки по чл. 9 от ЗПГРРЛ се преизчислиха на базата на средния размер на пенсията за осигурителен стаж и възраст за 2023 г. от 858,83 лв. През 2024 г. са изплатени 6 072 такива добавки, със среден размер 184,33 лв.</w:t>
      </w:r>
      <w:bookmarkStart w:id="15" w:name="_Hlk196213107"/>
      <w:r w:rsidRPr="00AA5833">
        <w:rPr>
          <w:rFonts w:ascii="Times New Roman" w:eastAsia="Times New Roman" w:hAnsi="Times New Roman"/>
          <w:sz w:val="24"/>
          <w:szCs w:val="24"/>
          <w:lang w:eastAsia="zh-CN"/>
        </w:rPr>
        <w:t xml:space="preserve"> </w:t>
      </w:r>
    </w:p>
    <w:p w14:paraId="26D5C28C" w14:textId="77777777" w:rsidR="00A14A7B" w:rsidRPr="00AA5833" w:rsidRDefault="00A14A7B" w:rsidP="00A14A7B">
      <w:pPr>
        <w:numPr>
          <w:ilvl w:val="0"/>
          <w:numId w:val="36"/>
        </w:numPr>
        <w:spacing w:after="0" w:line="240" w:lineRule="auto"/>
        <w:ind w:left="-142" w:firstLine="1276"/>
        <w:contextualSpacing/>
        <w:jc w:val="both"/>
        <w:rPr>
          <w:rFonts w:ascii="Times New Roman" w:eastAsia="Times New Roman" w:hAnsi="Times New Roman"/>
          <w:sz w:val="24"/>
          <w:szCs w:val="24"/>
          <w:lang w:eastAsia="zh-CN"/>
        </w:rPr>
      </w:pPr>
      <w:bookmarkStart w:id="16" w:name="_Hlk196213060"/>
      <w:bookmarkEnd w:id="15"/>
      <w:r w:rsidRPr="00AA5833">
        <w:rPr>
          <w:rFonts w:ascii="Times New Roman" w:eastAsia="Times New Roman" w:hAnsi="Times New Roman"/>
          <w:sz w:val="24"/>
          <w:szCs w:val="24"/>
          <w:lang w:eastAsia="zh-CN"/>
        </w:rPr>
        <w:t xml:space="preserve">С изменение в Кодекса за социално осигуряване в сила от 01.07.2024 г. размерът на „вдовишките“ добавки по чл. 84 от КСО се увеличи от 26,5 на 30 на сто от размера на пенсията на починалия съпруг/ съпруга. </w:t>
      </w:r>
    </w:p>
    <w:bookmarkEnd w:id="16"/>
    <w:p w14:paraId="71953B75" w14:textId="77777777" w:rsidR="00A14A7B" w:rsidRPr="00AA5833" w:rsidRDefault="00A14A7B" w:rsidP="00A14A7B">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 xml:space="preserve">В резултат на тези политики, средният месечен размер на пенсията на един пенсионер за 2024 г. достигна 883,02 лв. При неговото изчисляване са взети предвид </w:t>
      </w:r>
      <w:r w:rsidRPr="00AA5833">
        <w:rPr>
          <w:rFonts w:ascii="Times New Roman" w:eastAsia="Times New Roman" w:hAnsi="Times New Roman"/>
          <w:sz w:val="24"/>
          <w:szCs w:val="24"/>
          <w:lang w:eastAsia="zh-CN"/>
        </w:rPr>
        <w:lastRenderedPageBreak/>
        <w:t>всички добавки, изплащани към пенсиите на основание на КСО и други нормативни актове, както и изплатените през 2024 г. т. нар. „великденски“ и „коледни“ добавки.</w:t>
      </w:r>
    </w:p>
    <w:p w14:paraId="0516F3E4" w14:textId="77777777" w:rsidR="00A14A7B" w:rsidRPr="00AA5833" w:rsidRDefault="00A14A7B" w:rsidP="00A14A7B">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През 2024 г. номиналното нарастване на средния месечен размер на пенсиите е 12,6 на сто, а реалното нарастване e 9,7 на сто, при средногодишен хармонизиран индекс на потребителските цени за 2024 г. от 2,6 на сто</w:t>
      </w:r>
      <w:r w:rsidRPr="00AA5833">
        <w:rPr>
          <w:rFonts w:ascii="Times New Roman" w:eastAsia="Times New Roman" w:hAnsi="Times New Roman"/>
          <w:kern w:val="24"/>
          <w:sz w:val="24"/>
          <w:szCs w:val="24"/>
          <w:vertAlign w:val="superscript"/>
        </w:rPr>
        <w:footnoteReference w:id="31"/>
      </w:r>
      <w:r w:rsidRPr="00AA5833">
        <w:rPr>
          <w:rFonts w:ascii="Times New Roman" w:eastAsia="Times New Roman" w:hAnsi="Times New Roman"/>
          <w:kern w:val="24"/>
          <w:sz w:val="24"/>
          <w:szCs w:val="24"/>
          <w:vertAlign w:val="superscript"/>
        </w:rPr>
        <w:t>.</w:t>
      </w:r>
    </w:p>
    <w:p w14:paraId="5C971305" w14:textId="77777777" w:rsidR="00533926" w:rsidRPr="00AA5833" w:rsidRDefault="00533926" w:rsidP="00533926">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 xml:space="preserve">Разходите за пенсии през 2024 г. са 21 667 800,5 хил. лв., като в тази сума са включени разходи за пенсии за сметка на ДОО – 21 273 589,2 хил. лв., разходи за пенсии за сметка на държавния бюджет – 393 109,6 хил. лв. и трансфера за прехвърляне на пенсионни права към пенсионните схеми на ЕС, ЕЦБ и ЕИБ. </w:t>
      </w:r>
    </w:p>
    <w:p w14:paraId="2AC19291" w14:textId="77777777" w:rsidR="00533926" w:rsidRPr="00AA5833" w:rsidRDefault="00533926" w:rsidP="00533926">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 xml:space="preserve">През 2024 г. средномесечният брой на пенсионерите е 2 044 757, а средномесечният брой на изплащаните пенсии е 2 056 007 броя. </w:t>
      </w:r>
    </w:p>
    <w:p w14:paraId="5F207FCB" w14:textId="77777777" w:rsidR="00533926" w:rsidRPr="00AA5833" w:rsidRDefault="00533926" w:rsidP="00533926">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Средната възраст на пенсионерите с лични пенсии към 31.12.2024 г. е 70,57 години. Средната възраст на мъжете е 69,05 години, а на жените 71,66 години.</w:t>
      </w:r>
    </w:p>
    <w:p w14:paraId="7CD374A5" w14:textId="77777777" w:rsidR="00533926" w:rsidRPr="00AA5833" w:rsidRDefault="00533926" w:rsidP="00533926">
      <w:pPr>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 xml:space="preserve">Средната възраст на пенсионерите с лични пенсии за осигурителен стаж и възраст към 31.12.2024 г. е 74,11 години – на мъжете 73,17 години, а на жените 74,73 години. </w:t>
      </w:r>
    </w:p>
    <w:p w14:paraId="572EDF57" w14:textId="77777777" w:rsidR="00533926" w:rsidRPr="00AA5833" w:rsidRDefault="00533926" w:rsidP="00533926">
      <w:pPr>
        <w:spacing w:after="0" w:line="240" w:lineRule="auto"/>
        <w:ind w:firstLine="708"/>
        <w:jc w:val="both"/>
        <w:rPr>
          <w:rFonts w:ascii="Times New Roman" w:eastAsia="Times New Roman" w:hAnsi="Times New Roman"/>
          <w:sz w:val="24"/>
          <w:szCs w:val="24"/>
          <w:lang w:eastAsia="zh-CN"/>
        </w:rPr>
      </w:pPr>
      <w:bookmarkStart w:id="17" w:name="_Hlk196225783"/>
      <w:r w:rsidRPr="00AA5833">
        <w:rPr>
          <w:rFonts w:ascii="Times New Roman" w:eastAsia="Times New Roman" w:hAnsi="Times New Roman"/>
          <w:sz w:val="24"/>
          <w:szCs w:val="24"/>
          <w:lang w:eastAsia="zh-CN"/>
        </w:rPr>
        <w:t>Ефективната възраст на пенсиониране или средната възраст на пенсионерите с лични новоотпуснати пенсии за осигурителен стаж и възраст през 2024 г. е 63,92 години. Мъжете са се пенсионирали средно на 64,27 години, а жените на 63,58 години.</w:t>
      </w:r>
    </w:p>
    <w:p w14:paraId="3C3B011F" w14:textId="77777777" w:rsidR="00533926" w:rsidRPr="00AA5833" w:rsidRDefault="00533926" w:rsidP="00533926">
      <w:pPr>
        <w:spacing w:after="0" w:line="240" w:lineRule="auto"/>
        <w:ind w:firstLine="708"/>
        <w:jc w:val="both"/>
        <w:rPr>
          <w:rFonts w:ascii="Times New Roman" w:eastAsia="Times New Roman" w:hAnsi="Times New Roman"/>
          <w:kern w:val="24"/>
          <w:sz w:val="24"/>
          <w:szCs w:val="24"/>
        </w:rPr>
      </w:pPr>
      <w:r w:rsidRPr="00AA5833">
        <w:rPr>
          <w:rFonts w:ascii="Times New Roman" w:eastAsia="Times New Roman" w:hAnsi="Times New Roman"/>
          <w:kern w:val="24"/>
          <w:sz w:val="24"/>
          <w:szCs w:val="24"/>
        </w:rPr>
        <w:t xml:space="preserve">През 2024 г. делът на разходите за пенсии от БВП е 10,7 на сто при 10,3 на сто за 2023 г. </w:t>
      </w:r>
    </w:p>
    <w:p w14:paraId="3EA6C70C" w14:textId="77777777" w:rsidR="00533926" w:rsidRPr="00AA5833" w:rsidRDefault="00533926" w:rsidP="00533926">
      <w:pPr>
        <w:spacing w:after="0" w:line="240" w:lineRule="auto"/>
        <w:ind w:firstLine="709"/>
        <w:jc w:val="both"/>
        <w:rPr>
          <w:rFonts w:ascii="Times New Roman" w:eastAsia="Times New Roman" w:hAnsi="Times New Roman"/>
          <w:kern w:val="24"/>
          <w:sz w:val="24"/>
          <w:szCs w:val="24"/>
        </w:rPr>
      </w:pPr>
      <w:r w:rsidRPr="00AA5833">
        <w:rPr>
          <w:rFonts w:ascii="Times New Roman" w:eastAsia="Times New Roman" w:hAnsi="Times New Roman"/>
          <w:kern w:val="24"/>
          <w:sz w:val="24"/>
          <w:szCs w:val="24"/>
        </w:rPr>
        <w:t>За 2024 г. брутният</w:t>
      </w:r>
      <w:r w:rsidRPr="00AA5833">
        <w:rPr>
          <w:rFonts w:ascii="Times New Roman" w:eastAsia="Times New Roman" w:hAnsi="Times New Roman"/>
          <w:kern w:val="24"/>
          <w:sz w:val="24"/>
          <w:szCs w:val="24"/>
          <w:vertAlign w:val="superscript"/>
        </w:rPr>
        <w:footnoteReference w:id="32"/>
      </w:r>
      <w:r w:rsidRPr="00AA5833">
        <w:rPr>
          <w:rFonts w:ascii="Times New Roman" w:eastAsia="Times New Roman" w:hAnsi="Times New Roman"/>
          <w:kern w:val="24"/>
          <w:sz w:val="24"/>
          <w:szCs w:val="24"/>
        </w:rPr>
        <w:t xml:space="preserve"> и нетният</w:t>
      </w:r>
      <w:r w:rsidRPr="00AA5833">
        <w:rPr>
          <w:rFonts w:ascii="Times New Roman" w:eastAsia="Times New Roman" w:hAnsi="Times New Roman"/>
          <w:kern w:val="24"/>
          <w:sz w:val="24"/>
          <w:szCs w:val="24"/>
          <w:vertAlign w:val="superscript"/>
        </w:rPr>
        <w:footnoteReference w:id="33"/>
      </w:r>
      <w:r w:rsidRPr="00AA5833">
        <w:rPr>
          <w:rFonts w:ascii="Times New Roman" w:eastAsia="Times New Roman" w:hAnsi="Times New Roman"/>
          <w:kern w:val="24"/>
          <w:sz w:val="24"/>
          <w:szCs w:val="24"/>
        </w:rPr>
        <w:t xml:space="preserve"> коефициенти на заместване на дохода са съответно 53,3% (при 54,3% за 2023 г.) и 68,7% (при 69,9% за 2023 г.). Допълнителното съпоставяне се прави предвид обстоятелството, че пенсиите са необлагаеми и би следвало да се съотнасят също към нетен трудов доход. </w:t>
      </w:r>
    </w:p>
    <w:bookmarkEnd w:id="17"/>
    <w:p w14:paraId="1F2EE776" w14:textId="77777777" w:rsidR="00533926" w:rsidRPr="00AA5833" w:rsidRDefault="00533926" w:rsidP="00533926">
      <w:pPr>
        <w:spacing w:after="0" w:line="240" w:lineRule="auto"/>
        <w:ind w:firstLine="709"/>
        <w:jc w:val="both"/>
        <w:rPr>
          <w:rFonts w:ascii="Times New Roman" w:eastAsia="Times New Roman" w:hAnsi="Times New Roman"/>
          <w:sz w:val="24"/>
          <w:szCs w:val="24"/>
          <w:lang w:eastAsia="zh-CN"/>
        </w:rPr>
      </w:pPr>
    </w:p>
    <w:p w14:paraId="65725402"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НАЦИОНАЛЕН ОСИГУРИТЕЛЕН ИНСТИТУТ</w:t>
      </w:r>
    </w:p>
    <w:p w14:paraId="6E0DCF21" w14:textId="77777777" w:rsidR="00533926" w:rsidRPr="00AA5833" w:rsidRDefault="00533926" w:rsidP="00533926">
      <w:pPr>
        <w:spacing w:after="0" w:line="240" w:lineRule="auto"/>
        <w:ind w:firstLine="709"/>
        <w:jc w:val="both"/>
        <w:rPr>
          <w:rFonts w:ascii="Times New Roman" w:eastAsia="Times New Roman" w:hAnsi="Times New Roman"/>
          <w:sz w:val="24"/>
          <w:szCs w:val="24"/>
          <w:lang w:eastAsia="zh-CN"/>
        </w:rPr>
      </w:pPr>
    </w:p>
    <w:p w14:paraId="22D00F3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7.1.2.2. Изплащане на еднократна сума (т.нар. „великденска добавка“)</w:t>
      </w:r>
    </w:p>
    <w:p w14:paraId="22E5608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sz w:val="24"/>
          <w:szCs w:val="24"/>
          <w:lang w:eastAsia="zh-CN"/>
        </w:rPr>
      </w:pPr>
    </w:p>
    <w:p w14:paraId="54B47B1F" w14:textId="77777777" w:rsidR="00533926" w:rsidRDefault="00533926" w:rsidP="00533926">
      <w:pPr>
        <w:autoSpaceDE w:val="0"/>
        <w:autoSpaceDN w:val="0"/>
        <w:adjustRightInd w:val="0"/>
        <w:spacing w:after="0" w:line="240" w:lineRule="auto"/>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ab/>
        <w:t>Със Закона за допълнение на Закона за бюджета на държавното обществено осигуряване за 2024 г. (§7а на ПЗР на ЗБДОО 2024 г.), в сила от 1 април 2024 г., е регламентирано изплащането на еднократна сума (т. нар. „великденска добавка“) в размер на 100 лв. на пенсионерите, на които пенсията или сборът от пенсиите, заедно с добавките и компенсациите към тях за месец април 2024 г., е в размер до 526 лв. включително. Средствата са в размер на 54 млн. лв. и са за сметка на бюджета на държавното обществено осигуряване за 2024 г. Изразходваните средства за т. нар. „великденски“ добавки на пенсионерите са в размер на 54 305,3 хил. лв.</w:t>
      </w:r>
    </w:p>
    <w:p w14:paraId="2AE445EE" w14:textId="77777777" w:rsidR="00A14A7B" w:rsidRPr="00AA5833" w:rsidRDefault="00A14A7B" w:rsidP="00A14A7B">
      <w:pPr>
        <w:autoSpaceDE w:val="0"/>
        <w:autoSpaceDN w:val="0"/>
        <w:adjustRightInd w:val="0"/>
        <w:spacing w:after="0" w:line="240" w:lineRule="auto"/>
        <w:ind w:firstLine="708"/>
        <w:jc w:val="both"/>
        <w:rPr>
          <w:rFonts w:ascii="Times New Roman" w:eastAsia="Times New Roman" w:hAnsi="Times New Roman"/>
          <w:sz w:val="24"/>
          <w:szCs w:val="24"/>
          <w:lang w:eastAsia="zh-CN"/>
        </w:rPr>
      </w:pPr>
      <w:r w:rsidRPr="00AA5833">
        <w:rPr>
          <w:rFonts w:ascii="Times New Roman" w:eastAsia="Times New Roman" w:hAnsi="Times New Roman"/>
          <w:sz w:val="24"/>
          <w:szCs w:val="24"/>
          <w:lang w:eastAsia="zh-CN"/>
        </w:rPr>
        <w:t>С постановление на Министерския съвет № 435 от 11 декември 2024 г. (ДВ. бр. 105 от 13.12.2024 г.) е одобрен трансфер в размер на 33,1 млн. лв. по бюджета на ДОО за 2024 г. за еднократно изплащане на допълнителна сума към пенсиите за месец декември 2024 г. (т.нар. „ коледната добавка“) в размер на 100 лв. и се изплаща на пенсионерите с размер на пенсия или сбор от пенсиите, заедно с добавките и компенсациите към тях, в размер до 526 лева включително (т.е. до линията на бедност). Изразходваните средства за т. нар. „коледни“ добавки на пенсионерите са в размер на 31 887,9 хил. лв.</w:t>
      </w:r>
    </w:p>
    <w:p w14:paraId="125B83FF" w14:textId="77777777" w:rsidR="00A14A7B" w:rsidRPr="00AA5833" w:rsidRDefault="00A14A7B" w:rsidP="00533926">
      <w:pPr>
        <w:autoSpaceDE w:val="0"/>
        <w:autoSpaceDN w:val="0"/>
        <w:adjustRightInd w:val="0"/>
        <w:spacing w:after="0" w:line="240" w:lineRule="auto"/>
        <w:jc w:val="both"/>
        <w:rPr>
          <w:rFonts w:ascii="Times New Roman" w:hAnsi="Times New Roman" w:cs="Times New Roman"/>
          <w:b/>
          <w:color w:val="00000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40E01297"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BE37A84"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lastRenderedPageBreak/>
              <w:t>7.1.3. Адаптиране на системата от социални услуги към остаряването на населението и към необходимостта от повишаване на качеството на живот на възрастните хора</w:t>
            </w:r>
          </w:p>
        </w:tc>
      </w:tr>
    </w:tbl>
    <w:p w14:paraId="6F35EF43" w14:textId="77777777" w:rsidR="00A14A7B" w:rsidRDefault="00A14A7B" w:rsidP="00533926">
      <w:pPr>
        <w:spacing w:after="0" w:line="240" w:lineRule="auto"/>
        <w:jc w:val="center"/>
        <w:rPr>
          <w:rFonts w:ascii="Times New Roman" w:eastAsia="Times New Roman" w:hAnsi="Times New Roman" w:cs="Times New Roman"/>
          <w:b/>
          <w:color w:val="0000FF"/>
          <w:sz w:val="24"/>
          <w:szCs w:val="24"/>
          <w:lang w:eastAsia="bg-BG"/>
        </w:rPr>
      </w:pPr>
    </w:p>
    <w:p w14:paraId="0328D754" w14:textId="77777777" w:rsidR="00533926" w:rsidRDefault="00533926" w:rsidP="00761BC6">
      <w:pPr>
        <w:spacing w:after="0" w:line="240" w:lineRule="auto"/>
        <w:jc w:val="center"/>
        <w:rPr>
          <w:rFonts w:ascii="Times New Roman" w:eastAsia="Times New Roman" w:hAnsi="Times New Roman" w:cs="Times New Roman"/>
          <w:b/>
          <w:color w:val="0000FF"/>
          <w:sz w:val="24"/>
          <w:szCs w:val="24"/>
          <w:lang w:eastAsia="bg-BG"/>
        </w:rPr>
      </w:pPr>
      <w:r w:rsidRPr="002E676E">
        <w:rPr>
          <w:rFonts w:ascii="Times New Roman" w:eastAsia="Times New Roman" w:hAnsi="Times New Roman" w:cs="Times New Roman"/>
          <w:b/>
          <w:color w:val="0000FF"/>
          <w:sz w:val="24"/>
          <w:szCs w:val="24"/>
          <w:lang w:eastAsia="bg-BG"/>
        </w:rPr>
        <w:t>АГЕНЦИЯ ЗА КАЧЕСТВОТО НА СОЦИАЛНИТЕ УСЛУГИ</w:t>
      </w:r>
    </w:p>
    <w:p w14:paraId="50D959E7" w14:textId="77777777" w:rsidR="00761BC6" w:rsidRPr="00761BC6" w:rsidRDefault="00761BC6" w:rsidP="00761BC6">
      <w:pPr>
        <w:spacing w:after="0" w:line="240" w:lineRule="auto"/>
        <w:jc w:val="center"/>
        <w:rPr>
          <w:rFonts w:ascii="Times New Roman" w:eastAsia="Times New Roman" w:hAnsi="Times New Roman" w:cs="Times New Roman"/>
          <w:b/>
          <w:color w:val="0000FF"/>
          <w:sz w:val="24"/>
          <w:szCs w:val="24"/>
          <w:lang w:eastAsia="bg-BG"/>
        </w:rPr>
      </w:pPr>
    </w:p>
    <w:p w14:paraId="3D5AC917" w14:textId="77777777" w:rsidR="00533926" w:rsidRPr="00761BC6"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761BC6">
        <w:rPr>
          <w:rFonts w:ascii="Times New Roman" w:hAnsi="Times New Roman" w:cs="Times New Roman"/>
          <w:b/>
          <w:color w:val="000000"/>
          <w:sz w:val="24"/>
          <w:szCs w:val="24"/>
        </w:rPr>
        <w:t>7.1.3.1. Предлагане на иновативни модели на социални услуги</w:t>
      </w:r>
    </w:p>
    <w:p w14:paraId="5EE13D7D" w14:textId="77777777" w:rsidR="00761BC6" w:rsidRPr="00761BC6" w:rsidRDefault="00761BC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200BEDA" w14:textId="77777777" w:rsidR="00761BC6" w:rsidRPr="00761BC6" w:rsidRDefault="00761BC6" w:rsidP="00C90E16">
      <w:pPr>
        <w:spacing w:after="0" w:line="240" w:lineRule="auto"/>
        <w:ind w:firstLine="720"/>
        <w:jc w:val="both"/>
        <w:rPr>
          <w:rFonts w:ascii="Times New Roman" w:eastAsia="Times New Roman" w:hAnsi="Times New Roman" w:cs="Times New Roman"/>
          <w:sz w:val="24"/>
          <w:szCs w:val="24"/>
        </w:rPr>
      </w:pPr>
      <w:r w:rsidRPr="00761BC6">
        <w:rPr>
          <w:rFonts w:ascii="Times New Roman" w:hAnsi="Times New Roman" w:cs="Times New Roman"/>
          <w:color w:val="000000"/>
          <w:sz w:val="24"/>
          <w:szCs w:val="24"/>
        </w:rPr>
        <w:t>В</w:t>
      </w:r>
      <w:r w:rsidRPr="00761BC6">
        <w:rPr>
          <w:rFonts w:ascii="Times New Roman" w:hAnsi="Times New Roman" w:cs="Times New Roman"/>
          <w:b/>
          <w:color w:val="000000"/>
          <w:sz w:val="24"/>
          <w:szCs w:val="24"/>
        </w:rPr>
        <w:t xml:space="preserve"> </w:t>
      </w:r>
      <w:r w:rsidRPr="00761BC6">
        <w:rPr>
          <w:rFonts w:ascii="Times New Roman" w:hAnsi="Times New Roman" w:cs="Times New Roman"/>
          <w:color w:val="000000"/>
          <w:sz w:val="24"/>
          <w:szCs w:val="24"/>
        </w:rPr>
        <w:t>изпълнение на</w:t>
      </w:r>
      <w:r w:rsidRPr="00761BC6">
        <w:rPr>
          <w:rFonts w:ascii="Times New Roman" w:hAnsi="Times New Roman" w:cs="Times New Roman"/>
          <w:b/>
          <w:color w:val="000000"/>
          <w:sz w:val="24"/>
          <w:szCs w:val="24"/>
        </w:rPr>
        <w:t xml:space="preserve"> </w:t>
      </w:r>
      <w:r w:rsidRPr="00761BC6">
        <w:rPr>
          <w:rFonts w:ascii="Times New Roman" w:hAnsi="Times New Roman" w:cs="Times New Roman"/>
          <w:color w:val="000000"/>
          <w:sz w:val="24"/>
          <w:szCs w:val="24"/>
        </w:rPr>
        <w:t>з</w:t>
      </w:r>
      <w:r w:rsidRPr="00761BC6">
        <w:rPr>
          <w:rFonts w:ascii="Times New Roman" w:eastAsia="Times New Roman" w:hAnsi="Times New Roman" w:cs="Times New Roman"/>
          <w:sz w:val="24"/>
          <w:szCs w:val="24"/>
        </w:rPr>
        <w:t>аповед на министъра на труда и социалната политика за извършване на преглед на Наредбата за качеството на социалнит</w:t>
      </w:r>
      <w:r w:rsidRPr="00C90E16">
        <w:rPr>
          <w:rFonts w:ascii="Times New Roman" w:eastAsia="Times New Roman" w:hAnsi="Times New Roman" w:cs="Times New Roman"/>
          <w:sz w:val="24"/>
          <w:szCs w:val="24"/>
        </w:rPr>
        <w:t>е услуги (НКСУ), приета с ПМС №</w:t>
      </w:r>
      <w:r w:rsidRPr="00761BC6">
        <w:rPr>
          <w:rFonts w:ascii="Times New Roman" w:eastAsia="Times New Roman" w:hAnsi="Times New Roman" w:cs="Times New Roman"/>
          <w:sz w:val="24"/>
          <w:szCs w:val="24"/>
        </w:rPr>
        <w:t xml:space="preserve">135 от 22.06.2022 г., обн., ДВ, бр. 48, 49 и 50 от 2022 г., и разработване при необходимост на предложение за промени в НКСУ в срок до 30.10.2024 г. </w:t>
      </w:r>
      <w:r w:rsidR="00C90E16" w:rsidRPr="00C90E16">
        <w:rPr>
          <w:rFonts w:ascii="Times New Roman" w:eastAsia="Times New Roman" w:hAnsi="Times New Roman" w:cs="Times New Roman"/>
          <w:sz w:val="24"/>
          <w:szCs w:val="24"/>
          <w:lang w:val="en-US"/>
        </w:rPr>
        <w:t xml:space="preserve">, </w:t>
      </w:r>
      <w:r w:rsidRPr="00761BC6">
        <w:rPr>
          <w:rFonts w:ascii="Times New Roman" w:eastAsia="Times New Roman" w:hAnsi="Times New Roman" w:cs="Times New Roman"/>
          <w:sz w:val="24"/>
          <w:szCs w:val="24"/>
        </w:rPr>
        <w:t>е сформирана между</w:t>
      </w:r>
      <w:r w:rsidR="00207984">
        <w:rPr>
          <w:rFonts w:ascii="Times New Roman" w:eastAsia="Times New Roman" w:hAnsi="Times New Roman" w:cs="Times New Roman"/>
          <w:sz w:val="24"/>
          <w:szCs w:val="24"/>
        </w:rPr>
        <w:t>институционална</w:t>
      </w:r>
      <w:r w:rsidR="00C90E16" w:rsidRPr="00C90E16">
        <w:rPr>
          <w:rFonts w:ascii="Times New Roman" w:eastAsia="Times New Roman" w:hAnsi="Times New Roman" w:cs="Times New Roman"/>
          <w:sz w:val="24"/>
          <w:szCs w:val="24"/>
        </w:rPr>
        <w:t xml:space="preserve"> работна група</w:t>
      </w:r>
      <w:r w:rsidR="00C90E16" w:rsidRPr="00C90E16">
        <w:rPr>
          <w:rFonts w:ascii="Times New Roman" w:eastAsia="Times New Roman" w:hAnsi="Times New Roman" w:cs="Times New Roman"/>
          <w:sz w:val="24"/>
          <w:szCs w:val="24"/>
          <w:lang w:val="en-US"/>
        </w:rPr>
        <w:t>.</w:t>
      </w:r>
      <w:r w:rsidR="00C90E16" w:rsidRPr="00C90E16">
        <w:rPr>
          <w:rFonts w:ascii="Times New Roman" w:eastAsia="Times New Roman" w:hAnsi="Times New Roman" w:cs="Times New Roman"/>
          <w:sz w:val="24"/>
          <w:szCs w:val="24"/>
        </w:rPr>
        <w:t xml:space="preserve"> Групата</w:t>
      </w:r>
      <w:r w:rsidRPr="00761BC6">
        <w:rPr>
          <w:rFonts w:ascii="Times New Roman" w:eastAsia="Times New Roman" w:hAnsi="Times New Roman" w:cs="Times New Roman"/>
          <w:sz w:val="24"/>
          <w:szCs w:val="24"/>
        </w:rPr>
        <w:t xml:space="preserve"> осъществи цялостен преглед на НКСУ, ведно с приложенията към нея, като едновременно с това разгледа и обсъди всички постъпили писмени предложения за изменения и допълнения от</w:t>
      </w:r>
      <w:r w:rsidRPr="00C90E16">
        <w:rPr>
          <w:rFonts w:ascii="Times New Roman" w:eastAsia="Times New Roman" w:hAnsi="Times New Roman" w:cs="Times New Roman"/>
          <w:sz w:val="24"/>
          <w:szCs w:val="24"/>
        </w:rPr>
        <w:t xml:space="preserve"> МТСП, ДАЗД, АСП, НСОРБ, </w:t>
      </w:r>
      <w:r w:rsidRPr="00761BC6">
        <w:rPr>
          <w:rFonts w:ascii="Times New Roman" w:eastAsia="Times New Roman" w:hAnsi="Times New Roman" w:cs="Times New Roman"/>
          <w:sz w:val="24"/>
          <w:szCs w:val="24"/>
        </w:rPr>
        <w:t xml:space="preserve">Върховния комисариат за бежанците към ООН, </w:t>
      </w:r>
      <w:r w:rsidRPr="00C90E16">
        <w:rPr>
          <w:rFonts w:ascii="Times New Roman" w:eastAsia="Times New Roman" w:hAnsi="Times New Roman" w:cs="Times New Roman"/>
          <w:sz w:val="24"/>
          <w:szCs w:val="24"/>
        </w:rPr>
        <w:t>БЧК, Фондация „</w:t>
      </w:r>
      <w:r w:rsidRPr="00761BC6">
        <w:rPr>
          <w:rFonts w:ascii="Times New Roman" w:eastAsia="Times New Roman" w:hAnsi="Times New Roman" w:cs="Times New Roman"/>
          <w:sz w:val="24"/>
          <w:szCs w:val="24"/>
        </w:rPr>
        <w:t>Междунар</w:t>
      </w:r>
      <w:r w:rsidRPr="00C90E16">
        <w:rPr>
          <w:rFonts w:ascii="Times New Roman" w:eastAsia="Times New Roman" w:hAnsi="Times New Roman" w:cs="Times New Roman"/>
          <w:sz w:val="24"/>
          <w:szCs w:val="24"/>
        </w:rPr>
        <w:t>одна социална служба – България“</w:t>
      </w:r>
      <w:r w:rsidRPr="00761BC6">
        <w:rPr>
          <w:rFonts w:ascii="Times New Roman" w:eastAsia="Times New Roman" w:hAnsi="Times New Roman" w:cs="Times New Roman"/>
          <w:sz w:val="24"/>
          <w:szCs w:val="24"/>
        </w:rPr>
        <w:t>, Сдружение „Д</w:t>
      </w:r>
      <w:r w:rsidRPr="00C90E16">
        <w:rPr>
          <w:rFonts w:ascii="Times New Roman" w:eastAsia="Times New Roman" w:hAnsi="Times New Roman" w:cs="Times New Roman"/>
          <w:sz w:val="24"/>
          <w:szCs w:val="24"/>
        </w:rPr>
        <w:t>ете и пространство“, Сдружение „Самаряни“</w:t>
      </w:r>
      <w:r w:rsidRPr="00761BC6">
        <w:rPr>
          <w:rFonts w:ascii="Times New Roman" w:eastAsia="Times New Roman" w:hAnsi="Times New Roman" w:cs="Times New Roman"/>
          <w:sz w:val="24"/>
          <w:szCs w:val="24"/>
        </w:rPr>
        <w:t>, Фондация „Сийдър“, Сдружение „Еквилибриум“, Сдружение „</w:t>
      </w:r>
      <w:r w:rsidRPr="00761BC6">
        <w:rPr>
          <w:rFonts w:ascii="Times New Roman" w:eastAsia="Times New Roman" w:hAnsi="Times New Roman" w:cs="Times New Roman"/>
          <w:sz w:val="24"/>
          <w:szCs w:val="24"/>
          <w:lang w:val="en-US"/>
        </w:rPr>
        <w:t>SOS</w:t>
      </w:r>
      <w:r w:rsidRPr="00761BC6">
        <w:rPr>
          <w:rFonts w:ascii="Times New Roman" w:eastAsia="Times New Roman" w:hAnsi="Times New Roman" w:cs="Times New Roman"/>
          <w:sz w:val="24"/>
          <w:szCs w:val="24"/>
        </w:rPr>
        <w:t xml:space="preserve"> Детски селища България“, </w:t>
      </w:r>
      <w:r w:rsidRPr="00761BC6">
        <w:rPr>
          <w:rFonts w:ascii="Times New Roman" w:eastAsia="Times New Roman" w:hAnsi="Times New Roman" w:cs="Times New Roman"/>
          <w:sz w:val="24"/>
          <w:szCs w:val="24"/>
          <w:lang w:eastAsia="bg-BG"/>
        </w:rPr>
        <w:t xml:space="preserve">Свободен младежки център – Видин, </w:t>
      </w:r>
      <w:r w:rsidRPr="00761BC6">
        <w:rPr>
          <w:rFonts w:ascii="Times New Roman" w:eastAsia="Times New Roman" w:hAnsi="Times New Roman" w:cs="Times New Roman"/>
          <w:sz w:val="24"/>
          <w:szCs w:val="24"/>
        </w:rPr>
        <w:t>Община Велико Търново, Община Пловдив, Община Павел баня, както и от различни социални услуги, държавно делегирани дейности.</w:t>
      </w:r>
      <w:r w:rsidR="00C90E16">
        <w:rPr>
          <w:rFonts w:ascii="Times New Roman" w:eastAsia="Times New Roman" w:hAnsi="Times New Roman" w:cs="Times New Roman"/>
          <w:sz w:val="24"/>
          <w:szCs w:val="24"/>
        </w:rPr>
        <w:t xml:space="preserve"> </w:t>
      </w:r>
      <w:r w:rsidRPr="00761BC6">
        <w:rPr>
          <w:rFonts w:ascii="Times New Roman" w:eastAsia="Times New Roman" w:hAnsi="Times New Roman" w:cs="Times New Roman"/>
          <w:sz w:val="24"/>
          <w:szCs w:val="24"/>
        </w:rPr>
        <w:t xml:space="preserve">Предвид естеството на отправените предложения, в МРГ бяха привлечени за участие и представители на </w:t>
      </w:r>
      <w:r w:rsidR="00C90E16">
        <w:rPr>
          <w:rFonts w:ascii="Times New Roman" w:eastAsia="Times New Roman" w:hAnsi="Times New Roman" w:cs="Times New Roman"/>
          <w:sz w:val="24"/>
          <w:szCs w:val="24"/>
        </w:rPr>
        <w:t>МЗ</w:t>
      </w:r>
      <w:r w:rsidRPr="00761BC6">
        <w:rPr>
          <w:rFonts w:ascii="Times New Roman" w:eastAsia="Times New Roman" w:hAnsi="Times New Roman" w:cs="Times New Roman"/>
          <w:sz w:val="24"/>
          <w:szCs w:val="24"/>
        </w:rPr>
        <w:t xml:space="preserve">, </w:t>
      </w:r>
      <w:r w:rsidR="00C90E16">
        <w:rPr>
          <w:rFonts w:ascii="Times New Roman" w:eastAsia="Times New Roman" w:hAnsi="Times New Roman" w:cs="Times New Roman"/>
          <w:sz w:val="24"/>
          <w:szCs w:val="24"/>
        </w:rPr>
        <w:t>НЦОЗА</w:t>
      </w:r>
      <w:r w:rsidRPr="00761BC6">
        <w:rPr>
          <w:rFonts w:ascii="Times New Roman" w:eastAsia="Times New Roman" w:hAnsi="Times New Roman" w:cs="Times New Roman"/>
          <w:sz w:val="24"/>
          <w:szCs w:val="24"/>
        </w:rPr>
        <w:t>, както и лицензирани частни доставчици, предоставящи социални услуги на лица с увреждания или лица със специфични потребности.</w:t>
      </w:r>
    </w:p>
    <w:p w14:paraId="71A66DE2" w14:textId="77777777" w:rsidR="00761BC6" w:rsidRPr="00761BC6" w:rsidRDefault="00761BC6" w:rsidP="00761BC6">
      <w:pPr>
        <w:tabs>
          <w:tab w:val="left" w:pos="993"/>
        </w:tabs>
        <w:spacing w:after="0" w:line="240" w:lineRule="auto"/>
        <w:ind w:firstLine="720"/>
        <w:contextualSpacing/>
        <w:jc w:val="both"/>
        <w:rPr>
          <w:rFonts w:ascii="Times New Roman" w:eastAsia="Times New Roman" w:hAnsi="Times New Roman" w:cs="Times New Roman"/>
          <w:color w:val="000000"/>
          <w:sz w:val="24"/>
          <w:szCs w:val="24"/>
          <w:lang w:eastAsia="bg-BG"/>
        </w:rPr>
      </w:pPr>
      <w:r w:rsidRPr="00761BC6">
        <w:rPr>
          <w:rFonts w:ascii="Times New Roman" w:eastAsia="Times New Roman" w:hAnsi="Times New Roman" w:cs="Times New Roman"/>
          <w:color w:val="000000"/>
          <w:sz w:val="24"/>
          <w:szCs w:val="24"/>
          <w:lang w:eastAsia="bg-BG"/>
        </w:rPr>
        <w:t>В резултат на осъществения цялостен преглед на НКСУ, МРГ инициира предложения за включване на нови приложения към НКСУ, регламентиращи стандарти за качество и критерии за тяхното изпълнение на специализирани социални услуги, в т.ч. с</w:t>
      </w:r>
      <w:r w:rsidRPr="00761BC6">
        <w:rPr>
          <w:rFonts w:ascii="Times New Roman" w:eastAsia="Times New Roman" w:hAnsi="Times New Roman" w:cs="Times New Roman"/>
          <w:bCs/>
          <w:sz w:val="24"/>
          <w:szCs w:val="24"/>
        </w:rPr>
        <w:t xml:space="preserve">тандарти за качество на социални и интегрирани здравно-социални услуги, предоставящи подкрепа за </w:t>
      </w:r>
      <w:r w:rsidRPr="00761BC6">
        <w:rPr>
          <w:rFonts w:ascii="Times New Roman" w:eastAsia="Times New Roman" w:hAnsi="Times New Roman" w:cs="Times New Roman"/>
          <w:bCs/>
          <w:sz w:val="24"/>
          <w:szCs w:val="24"/>
          <w:lang w:val="x-none"/>
        </w:rPr>
        <w:t>деца и лица с трайни увреждания</w:t>
      </w:r>
      <w:r w:rsidRPr="00761BC6">
        <w:rPr>
          <w:rFonts w:ascii="Times New Roman" w:eastAsia="Times New Roman" w:hAnsi="Times New Roman" w:cs="Times New Roman"/>
          <w:bCs/>
          <w:sz w:val="24"/>
          <w:szCs w:val="24"/>
        </w:rPr>
        <w:t xml:space="preserve">, </w:t>
      </w:r>
      <w:r w:rsidRPr="00761BC6">
        <w:rPr>
          <w:rFonts w:ascii="Times New Roman" w:eastAsia="Times New Roman" w:hAnsi="Times New Roman" w:cs="Times New Roman"/>
          <w:bCs/>
          <w:sz w:val="24"/>
          <w:szCs w:val="24"/>
          <w:lang w:val="x-none"/>
        </w:rPr>
        <w:t>лица с хронични заболявания</w:t>
      </w:r>
      <w:r w:rsidRPr="00761BC6">
        <w:rPr>
          <w:rFonts w:ascii="Times New Roman" w:eastAsia="Times New Roman" w:hAnsi="Times New Roman" w:cs="Times New Roman"/>
          <w:bCs/>
          <w:sz w:val="24"/>
          <w:szCs w:val="24"/>
        </w:rPr>
        <w:t xml:space="preserve"> и </w:t>
      </w:r>
      <w:r w:rsidRPr="00761BC6">
        <w:rPr>
          <w:rFonts w:ascii="Times New Roman" w:eastAsia="Times New Roman" w:hAnsi="Times New Roman" w:cs="Times New Roman"/>
          <w:bCs/>
          <w:sz w:val="24"/>
          <w:szCs w:val="24"/>
          <w:lang w:val="x-none"/>
        </w:rPr>
        <w:t>лица в надтрудоспособна възраст в невъзможност за самообслужване</w:t>
      </w:r>
      <w:r w:rsidRPr="00761BC6">
        <w:rPr>
          <w:rFonts w:ascii="Times New Roman" w:eastAsia="Times New Roman" w:hAnsi="Times New Roman" w:cs="Times New Roman"/>
          <w:bCs/>
          <w:sz w:val="24"/>
          <w:szCs w:val="24"/>
        </w:rPr>
        <w:t xml:space="preserve"> от разстояние чрез система за телекеър и/или мобилно. Отправеното предложение е продиктувано от факта, че използването на цифровите технологии навлизат във все повече сфери от обществото. Използването на цифрови технологии в социалните услуги могат да ограничат риска за ползване на по-скъпи и интензивни грижи, както и да доведат до по-ефикасно разпределяне на ограничените времеви, човешки и финансови ресурси за прякото предоставяне на социални услуги или здравни грижи.</w:t>
      </w:r>
    </w:p>
    <w:p w14:paraId="18D27C41" w14:textId="77777777" w:rsidR="00A14A7B" w:rsidRDefault="00A14A7B" w:rsidP="00533926">
      <w:pPr>
        <w:spacing w:after="0" w:line="240" w:lineRule="auto"/>
        <w:jc w:val="center"/>
        <w:rPr>
          <w:rFonts w:ascii="Times New Roman" w:eastAsia="Times New Roman" w:hAnsi="Times New Roman" w:cs="Times New Roman"/>
          <w:b/>
          <w:color w:val="0000FF"/>
          <w:sz w:val="24"/>
          <w:szCs w:val="24"/>
          <w:lang w:eastAsia="bg-BG"/>
        </w:rPr>
      </w:pPr>
    </w:p>
    <w:p w14:paraId="5DF58B79"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2FF4943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4E629F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7.1.3.2. Набиране на трайни хранителни продукти в магазините на „Била България” в цялата страна чрез съвместната кампания „Купи и дари” и предоставянето им на уязвими лица чрез областните организации на БЧК </w:t>
      </w:r>
    </w:p>
    <w:p w14:paraId="1CE3CBFC"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6A153652" w14:textId="77777777" w:rsidR="00533926" w:rsidRPr="00AA5833" w:rsidRDefault="00533926" w:rsidP="00533926">
      <w:pPr>
        <w:shd w:val="clear" w:color="auto" w:fill="FFFFFF"/>
        <w:spacing w:after="0" w:line="224" w:lineRule="atLeast"/>
        <w:ind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Българският Червен кръст, съвместно с „</w:t>
      </w:r>
      <w:r w:rsidRPr="00AA5833">
        <w:rPr>
          <w:rFonts w:ascii="Times New Roman" w:eastAsia="Times New Roman" w:hAnsi="Times New Roman" w:cs="Times New Roman"/>
          <w:bCs/>
          <w:sz w:val="24"/>
          <w:szCs w:val="24"/>
        </w:rPr>
        <w:t>Била – България“ ЕООД</w:t>
      </w:r>
      <w:r w:rsidRPr="00AA5833">
        <w:rPr>
          <w:rFonts w:ascii="Times New Roman" w:eastAsia="Times New Roman" w:hAnsi="Times New Roman" w:cs="Times New Roman"/>
          <w:sz w:val="24"/>
          <w:szCs w:val="24"/>
        </w:rPr>
        <w:t xml:space="preserve"> осъществява мащабна благотворителна кампания </w:t>
      </w:r>
      <w:r w:rsidRPr="00AA5833">
        <w:rPr>
          <w:rFonts w:ascii="Times New Roman" w:eastAsia="Times New Roman" w:hAnsi="Times New Roman" w:cs="Times New Roman"/>
          <w:b/>
          <w:bCs/>
          <w:sz w:val="24"/>
          <w:szCs w:val="24"/>
        </w:rPr>
        <w:t>„</w:t>
      </w:r>
      <w:r w:rsidRPr="00AA5833">
        <w:rPr>
          <w:rFonts w:ascii="Times New Roman" w:eastAsia="Times New Roman" w:hAnsi="Times New Roman" w:cs="Times New Roman"/>
          <w:bCs/>
          <w:sz w:val="24"/>
          <w:szCs w:val="24"/>
        </w:rPr>
        <w:t>Купи и дари“.</w:t>
      </w:r>
      <w:r w:rsidRPr="00AA5833">
        <w:rPr>
          <w:rFonts w:ascii="Times New Roman" w:eastAsia="Times New Roman" w:hAnsi="Times New Roman" w:cs="Times New Roman"/>
          <w:b/>
          <w:bCs/>
          <w:sz w:val="24"/>
          <w:szCs w:val="24"/>
        </w:rPr>
        <w:t> </w:t>
      </w:r>
      <w:r w:rsidRPr="00AA5833">
        <w:rPr>
          <w:rFonts w:ascii="Times New Roman" w:eastAsia="Times New Roman" w:hAnsi="Times New Roman" w:cs="Times New Roman"/>
          <w:sz w:val="24"/>
          <w:szCs w:val="24"/>
        </w:rPr>
        <w:t xml:space="preserve">Тя се реализира в магазините на търговската верига „Била“ в 26 области на страна, а клиентите, желаещи да подкрепят инициативата, закупуват трайни хранителни продукти и ги поставят в специално брандирани за целта колички, в самите магазини (до касовите зони). От своя страна областните структури на БЧК транспортират и предоставят хранителните продукти на лица и институции подбрани по социални критерии. Периодично провежданите в </w:t>
      </w:r>
      <w:r w:rsidRPr="00AA5833">
        <w:rPr>
          <w:rFonts w:ascii="Times New Roman" w:eastAsia="Times New Roman" w:hAnsi="Times New Roman" w:cs="Times New Roman"/>
          <w:sz w:val="24"/>
          <w:szCs w:val="24"/>
        </w:rPr>
        <w:lastRenderedPageBreak/>
        <w:t>магазините на веригата кампании, подкрепящи дарителството, дават положителни резултати. Областите, в които няма магазини на</w:t>
      </w:r>
      <w:r w:rsidRPr="00AA5833">
        <w:rPr>
          <w:rFonts w:ascii="Times New Roman" w:eastAsia="Times New Roman" w:hAnsi="Times New Roman" w:cs="Times New Roman"/>
          <w:b/>
          <w:bCs/>
          <w:sz w:val="24"/>
          <w:szCs w:val="24"/>
        </w:rPr>
        <w:t> </w:t>
      </w:r>
      <w:r w:rsidRPr="00AA5833">
        <w:rPr>
          <w:rFonts w:ascii="Times New Roman" w:eastAsia="Times New Roman" w:hAnsi="Times New Roman" w:cs="Times New Roman"/>
          <w:bCs/>
          <w:sz w:val="24"/>
          <w:szCs w:val="24"/>
        </w:rPr>
        <w:t>„Била – България“,</w:t>
      </w:r>
      <w:r w:rsidRPr="00AA5833">
        <w:rPr>
          <w:rFonts w:ascii="Times New Roman" w:eastAsia="Times New Roman" w:hAnsi="Times New Roman" w:cs="Times New Roman"/>
          <w:b/>
          <w:bCs/>
          <w:sz w:val="24"/>
          <w:szCs w:val="24"/>
        </w:rPr>
        <w:t> </w:t>
      </w:r>
      <w:r w:rsidRPr="00AA5833">
        <w:rPr>
          <w:rFonts w:ascii="Times New Roman" w:eastAsia="Times New Roman" w:hAnsi="Times New Roman" w:cs="Times New Roman"/>
          <w:sz w:val="24"/>
          <w:szCs w:val="24"/>
        </w:rPr>
        <w:t>при заявена нужда, получават определени количества от набраните продукти в град София и ги предоставят на най-нуждаещите се лица от съответната област. </w:t>
      </w:r>
      <w:r w:rsidRPr="00AA5833">
        <w:rPr>
          <w:rFonts w:ascii="Times New Roman" w:eastAsia="Times New Roman" w:hAnsi="Times New Roman" w:cs="Times New Roman"/>
          <w:bCs/>
          <w:sz w:val="24"/>
          <w:szCs w:val="24"/>
        </w:rPr>
        <w:t>Благодарение на кампанията „Купи и дари“</w:t>
      </w:r>
      <w:r w:rsidRPr="00AA5833">
        <w:rPr>
          <w:rFonts w:ascii="Times New Roman" w:eastAsia="Times New Roman" w:hAnsi="Times New Roman" w:cs="Times New Roman"/>
          <w:b/>
          <w:bCs/>
          <w:sz w:val="24"/>
          <w:szCs w:val="24"/>
        </w:rPr>
        <w:t> </w:t>
      </w:r>
      <w:r w:rsidRPr="00AA5833">
        <w:rPr>
          <w:rFonts w:ascii="Times New Roman" w:eastAsia="Times New Roman" w:hAnsi="Times New Roman" w:cs="Times New Roman"/>
          <w:sz w:val="24"/>
          <w:szCs w:val="24"/>
        </w:rPr>
        <w:t xml:space="preserve">се подпомагат голям брой уязвими български социални институции за възрастни хора и деца. През </w:t>
      </w:r>
      <w:r w:rsidRPr="00AA5833">
        <w:rPr>
          <w:rFonts w:ascii="Times New Roman" w:eastAsia="Times New Roman" w:hAnsi="Times New Roman" w:cs="Times New Roman"/>
          <w:bCs/>
          <w:sz w:val="24"/>
          <w:szCs w:val="24"/>
        </w:rPr>
        <w:t>2024 </w:t>
      </w:r>
      <w:r w:rsidRPr="00AA5833">
        <w:rPr>
          <w:rFonts w:ascii="Times New Roman" w:eastAsia="Times New Roman" w:hAnsi="Times New Roman" w:cs="Times New Roman"/>
          <w:sz w:val="24"/>
          <w:szCs w:val="24"/>
        </w:rPr>
        <w:t xml:space="preserve">г. бяха събрани и раздадени 17 545,779 </w:t>
      </w:r>
      <w:r w:rsidRPr="00AA5833">
        <w:rPr>
          <w:rFonts w:ascii="Times New Roman" w:eastAsia="Times New Roman" w:hAnsi="Times New Roman" w:cs="Times New Roman"/>
          <w:bCs/>
          <w:sz w:val="24"/>
          <w:szCs w:val="24"/>
        </w:rPr>
        <w:t>кг хранителни продукти на обща стойност 59 210,17 лв.</w:t>
      </w:r>
      <w:r w:rsidRPr="00AA5833">
        <w:rPr>
          <w:rFonts w:ascii="Times New Roman" w:eastAsia="Times New Roman" w:hAnsi="Times New Roman" w:cs="Times New Roman"/>
          <w:b/>
          <w:bCs/>
          <w:sz w:val="24"/>
          <w:szCs w:val="24"/>
        </w:rPr>
        <w:t> </w:t>
      </w:r>
      <w:r w:rsidRPr="00AA5833">
        <w:rPr>
          <w:rFonts w:ascii="Times New Roman" w:eastAsia="Times New Roman" w:hAnsi="Times New Roman" w:cs="Times New Roman"/>
          <w:sz w:val="24"/>
          <w:szCs w:val="24"/>
        </w:rPr>
        <w:t>От тези продукти се възползваха 2 720</w:t>
      </w:r>
      <w:r w:rsidRPr="00AA5833">
        <w:rPr>
          <w:rFonts w:ascii="Times New Roman" w:eastAsia="Times New Roman" w:hAnsi="Times New Roman" w:cs="Times New Roman"/>
          <w:bCs/>
          <w:sz w:val="24"/>
          <w:szCs w:val="24"/>
        </w:rPr>
        <w:t> уязвими лица </w:t>
      </w:r>
      <w:r w:rsidRPr="00AA5833">
        <w:rPr>
          <w:rFonts w:ascii="Times New Roman" w:eastAsia="Times New Roman" w:hAnsi="Times New Roman" w:cs="Times New Roman"/>
          <w:sz w:val="24"/>
          <w:szCs w:val="24"/>
        </w:rPr>
        <w:t>и 62</w:t>
      </w:r>
      <w:r w:rsidRPr="00AA5833">
        <w:rPr>
          <w:rFonts w:ascii="Times New Roman" w:eastAsia="Times New Roman" w:hAnsi="Times New Roman" w:cs="Times New Roman"/>
          <w:bCs/>
          <w:sz w:val="24"/>
          <w:szCs w:val="24"/>
        </w:rPr>
        <w:t> социални институции</w:t>
      </w:r>
      <w:r w:rsidRPr="00AA5833">
        <w:rPr>
          <w:rFonts w:ascii="Times New Roman" w:eastAsia="Times New Roman" w:hAnsi="Times New Roman" w:cs="Times New Roman"/>
          <w:sz w:val="24"/>
          <w:szCs w:val="24"/>
        </w:rPr>
        <w:t> с общ капацитет 5 520</w:t>
      </w:r>
      <w:r w:rsidRPr="00AA5833">
        <w:rPr>
          <w:rFonts w:ascii="Times New Roman" w:eastAsia="Times New Roman" w:hAnsi="Times New Roman" w:cs="Times New Roman"/>
          <w:bCs/>
          <w:sz w:val="24"/>
          <w:szCs w:val="24"/>
        </w:rPr>
        <w:t xml:space="preserve"> души или само през 2024 г. общият брой на подпомогнатите лица с продукти набрани по </w:t>
      </w:r>
      <w:r w:rsidRPr="00AA5833">
        <w:rPr>
          <w:rFonts w:ascii="Times New Roman" w:eastAsia="Times New Roman" w:hAnsi="Times New Roman" w:cs="Times New Roman"/>
          <w:sz w:val="24"/>
          <w:szCs w:val="24"/>
        </w:rPr>
        <w:t>кампанията </w:t>
      </w:r>
      <w:r w:rsidRPr="00AA5833">
        <w:rPr>
          <w:rFonts w:ascii="Times New Roman" w:eastAsia="Times New Roman" w:hAnsi="Times New Roman" w:cs="Times New Roman"/>
          <w:bCs/>
          <w:sz w:val="24"/>
          <w:szCs w:val="24"/>
        </w:rPr>
        <w:t>„Купи и дари“</w:t>
      </w:r>
      <w:r w:rsidRPr="00AA5833">
        <w:rPr>
          <w:rFonts w:ascii="Times New Roman" w:eastAsia="Times New Roman" w:hAnsi="Times New Roman" w:cs="Times New Roman"/>
          <w:sz w:val="24"/>
          <w:szCs w:val="24"/>
        </w:rPr>
        <w:t> възлиза на 8 240 души.</w:t>
      </w:r>
    </w:p>
    <w:p w14:paraId="4AD1D555"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bCs/>
          <w:iCs/>
          <w:sz w:val="24"/>
          <w:szCs w:val="24"/>
        </w:rPr>
      </w:pPr>
      <w:r w:rsidRPr="00AA5833">
        <w:rPr>
          <w:rFonts w:ascii="Times New Roman" w:eastAsia="Times New Roman" w:hAnsi="Times New Roman" w:cs="Times New Roman"/>
          <w:bCs/>
          <w:iCs/>
          <w:sz w:val="24"/>
          <w:szCs w:val="24"/>
        </w:rPr>
        <w:t>Съвместната продуктова кампания с „Била България“ – „Купи и дари“, продължава да се утвърждава и да доказва своя полезен ефект за удовлетворяване на базови потребности на уязвими граждани и семейства с деца, чрез предоставяне на трайни хранителни продукти. Освен това тя възпитава в даряващите чувство на съпричастност и е добър пример, как две различни по своята същност организации могат да обединят усилията си в подкрепа на нуждаещи се лица. Кампанията е показателна за силата на партньорството в областта на социално-помощната дейност.</w:t>
      </w:r>
    </w:p>
    <w:p w14:paraId="6EF20D25" w14:textId="77777777" w:rsidR="00533926" w:rsidRPr="00AA5833" w:rsidRDefault="00533926" w:rsidP="00533926">
      <w:pPr>
        <w:spacing w:after="0" w:line="240" w:lineRule="auto"/>
        <w:jc w:val="both"/>
        <w:rPr>
          <w:rFonts w:ascii="Times New Roman" w:eastAsia="Calibri"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2A53113"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6EF3A8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7.1.4. Адаптиране на системата от здравни услуги към остаряването на населението и към необходимостта от повишаване на качеството на живот на възрастните хора</w:t>
            </w:r>
          </w:p>
        </w:tc>
      </w:tr>
    </w:tbl>
    <w:p w14:paraId="06586C30"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093B2F7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3E982997"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p>
    <w:p w14:paraId="6E80656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7.1.4.1. Проект „Иновативни модели за грижи в общността за хора с хронични заболявания и трайни увреждания“ (2019-2024 г.) </w:t>
      </w:r>
    </w:p>
    <w:p w14:paraId="4EBE778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BFB8978"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heme="majorBidi" w:hAnsiTheme="majorBidi" w:cstheme="majorBidi"/>
          <w:sz w:val="24"/>
          <w:szCs w:val="24"/>
        </w:rPr>
        <w:t>През м. април 2024 г. приключи изпълнението на проект „Иновативни модели за грижи в общността за хора с хронични заболявания и трайни увреждания“, осъществен от БЧК съвместно с МЗ, МТСП и Норвежката асоциация на местните и регионални власти и с подкрепата на Финансовия механизъм на Европейското икономическо пространство 2014-2021 г.</w:t>
      </w:r>
    </w:p>
    <w:p w14:paraId="7BD5B93A"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heme="majorBidi" w:hAnsiTheme="majorBidi" w:cstheme="majorBidi"/>
          <w:sz w:val="24"/>
          <w:szCs w:val="24"/>
        </w:rPr>
        <w:t>Благодарение на проекта беше осигурено функционирането на 7 Центъра „Домашни грижи“ в областите Враца, Видин и Монтана за предоставяне на интегрирани здравно-социални грижи в дома от квалифицирани екипи от медицински сестри и домашни помощници. За целия период на проекта бяха създадени 81 работни места, а редовни грижи в дома получиха повече от 1200 души, голяма част от тях самотно живеещи в 34 малки и отдалечени населени места на територията на седемте общини.</w:t>
      </w:r>
    </w:p>
    <w:p w14:paraId="512FD0FE"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heme="majorBidi" w:hAnsiTheme="majorBidi" w:cstheme="majorBidi"/>
          <w:sz w:val="24"/>
          <w:szCs w:val="24"/>
        </w:rPr>
        <w:t>Сред основните успехи на проекта е въвеждането на услугата телекеър в Северозападна България като част от системата на интегрираните здравно-социални услуги в домашна среда. Посредством изградения за целта Контролно-комуникационен център в гр. Враца и използването на два типа персонални устройства, беше осъществявано постоянно наблюдение на различни физиологични показатели на потребителите 24 часа 7 дни в седмицата. Това допринесе за предотвратяване на множество рискови ситуации, навременна намеса и предотвратяване на усложнения, както и до подобряване на психо-социалния статус на възрастните хора. За периода януари – април 2024 г. в услугата телекеър бяха включени 450 потребители, а за целия период на проекта този брой достигна 950 души от всички 7 общини.</w:t>
      </w:r>
    </w:p>
    <w:p w14:paraId="327181E8"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heme="majorBidi" w:hAnsiTheme="majorBidi" w:cstheme="majorBidi"/>
          <w:sz w:val="24"/>
          <w:szCs w:val="24"/>
        </w:rPr>
        <w:t xml:space="preserve">След приключване на проекта Министерският съвет одобри Решение №328/09.05.2024 г. за приемане на Програма „Иновативен модел за грижи в общността </w:t>
      </w:r>
      <w:r w:rsidRPr="00AA5833">
        <w:rPr>
          <w:rFonts w:asciiTheme="majorBidi" w:hAnsiTheme="majorBidi" w:cstheme="majorBidi"/>
          <w:sz w:val="24"/>
          <w:szCs w:val="24"/>
        </w:rPr>
        <w:lastRenderedPageBreak/>
        <w:t xml:space="preserve">за хора с хронични заболявания и трайни увреждания 2024“ и Постановление №163/09.05.2024 г. за одобряване на допълнителни трансфери на 7-те общини за предоставяне на интегрирани здравно-социални услуги в домашна среда – мобилно и от разстояние – телекеър. С предоставения финансов ресурс дейността на Центровете „Домашни грижи“ беше продължена от страна на общинските администрации до края на 2024 г., като за целта БЧК предостави за ползване материална база и оборудване, закупени по проекта и предназначени за нуждите на Центровете „Домашни грижи“. </w:t>
      </w:r>
    </w:p>
    <w:p w14:paraId="47916EC2"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heme="majorBidi" w:hAnsiTheme="majorBidi" w:cstheme="majorBidi"/>
          <w:sz w:val="24"/>
          <w:szCs w:val="24"/>
        </w:rPr>
        <w:t>БЧК продължи да осъществява услугата телекеър за потребители на интегрирани здравно-социални услуги от 7-те общини – обект на Постановление №163/09.05.2024 г., по силата на Договор за възлагане от страна на Община Враца. За периода май – декември 2024 г. в услугата телекеър бяха обхванати 200 самотно живеещи възрастни хора с хронични заболявания и трайни увреждания.</w:t>
      </w:r>
    </w:p>
    <w:p w14:paraId="3152DB46" w14:textId="77777777" w:rsidR="00533926" w:rsidRPr="00AA5833" w:rsidRDefault="00533926" w:rsidP="00533926">
      <w:pPr>
        <w:spacing w:after="0" w:line="240" w:lineRule="auto"/>
        <w:ind w:firstLine="720"/>
        <w:jc w:val="both"/>
        <w:rPr>
          <w:rFonts w:asciiTheme="majorBidi" w:hAnsiTheme="majorBidi" w:cstheme="majorBidi"/>
          <w:sz w:val="24"/>
          <w:szCs w:val="24"/>
        </w:rPr>
      </w:pPr>
      <w:r w:rsidRPr="00AA5833">
        <w:rPr>
          <w:rFonts w:ascii="Times New Roman" w:hAnsi="Times New Roman" w:cs="Times New Roman"/>
          <w:sz w:val="24"/>
          <w:szCs w:val="24"/>
        </w:rPr>
        <w:t xml:space="preserve">Използването на новите технологии като част от системата за предоставяне на интегрирани здравно-социални услуги в домашна среда доведе до подобряване на достъпа до навременни и професионални грижи, включително за хора в отдалечени и трудно достъпни населени места с ограничен достъп до качествени медицински грижи и социална подкрепа. </w:t>
      </w:r>
      <w:r w:rsidRPr="00AA5833">
        <w:rPr>
          <w:rFonts w:asciiTheme="majorBidi" w:hAnsiTheme="majorBidi" w:cstheme="majorBidi"/>
          <w:sz w:val="24"/>
          <w:szCs w:val="24"/>
        </w:rPr>
        <w:t xml:space="preserve">Предвид задълбочаващата се демографска криза в България и намаляващия финансов и човешки ресурс следва да се има предвид, че натрупаният опит и ноу-хау от БЧК в сферата на дългосрочните грижи, в частност и по отношение на услугата телекеър, създават база за надграждане и възможности за развитие на иновативни услуги, които да доведат до задоволяване на нарастващите нужди на възрастните хора в страната от качествени грижи. </w:t>
      </w:r>
    </w:p>
    <w:p w14:paraId="52B2DB41" w14:textId="77777777" w:rsidR="00533926" w:rsidRPr="00AA5833" w:rsidRDefault="00533926" w:rsidP="00533926">
      <w:pPr>
        <w:spacing w:after="0" w:line="240" w:lineRule="auto"/>
        <w:ind w:firstLine="720"/>
        <w:jc w:val="both"/>
        <w:rPr>
          <w:rFonts w:asciiTheme="majorBidi" w:hAnsiTheme="majorBidi" w:cstheme="majorBidi"/>
          <w:sz w:val="24"/>
          <w:szCs w:val="24"/>
        </w:rPr>
      </w:pPr>
    </w:p>
    <w:p w14:paraId="329229C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2C587C20" w14:textId="77777777" w:rsidR="00533926" w:rsidRPr="00AA5833" w:rsidRDefault="00533926" w:rsidP="00533926">
      <w:pPr>
        <w:spacing w:after="0" w:line="240" w:lineRule="auto"/>
        <w:ind w:firstLine="720"/>
        <w:jc w:val="both"/>
        <w:rPr>
          <w:rFonts w:asciiTheme="majorBidi" w:hAnsiTheme="majorBidi" w:cstheme="majorBidi"/>
          <w:sz w:val="24"/>
          <w:szCs w:val="24"/>
        </w:rPr>
      </w:pPr>
    </w:p>
    <w:p w14:paraId="599E952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7.1.4.2. Предоставяне на интегрирани здравно-социални услуги в домашна среда на възрастни хора над 65 г. с хронични заболявания и трайни увреждания</w:t>
      </w:r>
    </w:p>
    <w:p w14:paraId="33CC64C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34363A3"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r w:rsidRPr="00AA5833">
        <w:rPr>
          <w:rFonts w:ascii="Times New Roman" w:hAnsi="Times New Roman" w:cs="Times New Roman"/>
          <w:sz w:val="24"/>
          <w:szCs w:val="24"/>
          <w:lang w:eastAsia="bg-BG"/>
        </w:rPr>
        <w:t>Предоставянето на интегрирани здравно-социални услуги в домашна среда продължи и през 2024 г. на територията на гр. София и гр. Варна, както и в Северозападна България в общините Враца, Оряхово, Криводол, Бяла Слатина, Видин, Белоградчик и Монтана. Над 600 потребители общо от тези 9 общини получаваха редовни грижи от квалифицирани медицински сестри и домашни помощници.</w:t>
      </w:r>
    </w:p>
    <w:p w14:paraId="0B523E48"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r w:rsidRPr="00AA5833">
        <w:rPr>
          <w:rFonts w:ascii="Times New Roman" w:hAnsi="Times New Roman" w:cs="Times New Roman"/>
          <w:sz w:val="24"/>
          <w:szCs w:val="24"/>
          <w:lang w:eastAsia="bg-BG"/>
        </w:rPr>
        <w:t>Услугите в гр. София се предоставяха на 11 потребители с финансовата подкрепа на НС на БЧК.</w:t>
      </w:r>
    </w:p>
    <w:p w14:paraId="6D2C105E"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r w:rsidRPr="00AA5833">
        <w:rPr>
          <w:rFonts w:ascii="Times New Roman" w:hAnsi="Times New Roman" w:cs="Times New Roman"/>
          <w:sz w:val="24"/>
          <w:szCs w:val="24"/>
          <w:lang w:eastAsia="bg-BG"/>
        </w:rPr>
        <w:t xml:space="preserve">Комплексът за социални услуги „Център Домашни грижи“ на Областен съвет на БЧК – Варна продължи да работи през 2024 г., като през месец септември беше сключен нов договор с Община Варна за 3-годишен период за продължаване на дейността като общинска делегирана дейност.  </w:t>
      </w:r>
    </w:p>
    <w:p w14:paraId="4E7CD98A" w14:textId="77777777" w:rsidR="00533926" w:rsidRPr="00AA5833" w:rsidRDefault="00533926" w:rsidP="00533926">
      <w:pPr>
        <w:spacing w:after="0" w:line="240" w:lineRule="auto"/>
        <w:ind w:firstLine="709"/>
        <w:jc w:val="both"/>
        <w:rPr>
          <w:rFonts w:ascii="Times New Roman" w:hAnsi="Times New Roman" w:cs="Times New Roman"/>
          <w:sz w:val="24"/>
          <w:szCs w:val="24"/>
          <w:lang w:eastAsia="bg-BG"/>
        </w:rPr>
      </w:pPr>
      <w:r w:rsidRPr="00AA5833">
        <w:rPr>
          <w:rFonts w:ascii="Times New Roman" w:hAnsi="Times New Roman" w:cs="Times New Roman"/>
          <w:sz w:val="24"/>
          <w:szCs w:val="24"/>
          <w:lang w:eastAsia="bg-BG"/>
        </w:rPr>
        <w:t>Комплексът предоставя 4 вида услуги – информиране и консултиране, застъпничество и посредничество, терапия и рехабилитация, асистентска подкрепа, при спазване на стандартите за качество съгласно Наредбата за социалните услуги и е с капацитет 80 обслужвани лица месечно, 92 обслужени лица за 2024 г.</w:t>
      </w:r>
    </w:p>
    <w:p w14:paraId="26B2527C" w14:textId="77777777" w:rsidR="00533926" w:rsidRPr="00AA5833" w:rsidRDefault="00533926" w:rsidP="00533926">
      <w:pPr>
        <w:spacing w:after="0" w:line="240" w:lineRule="auto"/>
        <w:jc w:val="both"/>
        <w:rPr>
          <w:rFonts w:ascii="Times New Roman" w:hAnsi="Times New Roman" w:cs="Times New Roman"/>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52C878AF"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213203D"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sz w:val="24"/>
                <w:szCs w:val="24"/>
                <w:lang w:eastAsia="bg-BG"/>
              </w:rPr>
              <w:br w:type="page"/>
            </w:r>
            <w:r w:rsidRPr="00AA5833">
              <w:rPr>
                <w:rFonts w:ascii="Times New Roman" w:eastAsia="Times New Roman" w:hAnsi="Times New Roman" w:cs="Times New Roman"/>
                <w:b/>
                <w:color w:val="000000"/>
                <w:sz w:val="24"/>
                <w:szCs w:val="24"/>
              </w:rPr>
              <w:t>7.1.5. Адаптиране на системата на образованието към остаряването на населението и към необходимостта от повишаване на качеството на живот на възрастните хора. Разработване и изпълнение на дългосрочна стратегия, с цел увеличаване на участието в дейности за учене през целия живот за всички възрастови групи от населението</w:t>
            </w:r>
          </w:p>
        </w:tc>
      </w:tr>
    </w:tbl>
    <w:p w14:paraId="6FCAB813" w14:textId="77777777" w:rsidR="00533926" w:rsidRPr="00AA5833" w:rsidRDefault="00533926" w:rsidP="00533926">
      <w:pPr>
        <w:spacing w:after="0" w:line="240" w:lineRule="auto"/>
        <w:contextualSpacing/>
        <w:jc w:val="both"/>
        <w:rPr>
          <w:rFonts w:ascii="Times New Roman" w:eastAsia="Calibri" w:hAnsi="Times New Roman" w:cs="Times New Roman"/>
          <w:sz w:val="24"/>
          <w:szCs w:val="24"/>
        </w:rPr>
      </w:pPr>
    </w:p>
    <w:p w14:paraId="4F049D53"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lastRenderedPageBreak/>
        <w:t>МИНИСТЕРСТВО НА ОБРАЗОВАНИЕТО И НАУКАТА</w:t>
      </w:r>
    </w:p>
    <w:p w14:paraId="7F144CB2" w14:textId="77777777" w:rsidR="00533926" w:rsidRPr="00AA5833" w:rsidRDefault="00533926" w:rsidP="00533926">
      <w:pPr>
        <w:spacing w:after="0" w:line="240" w:lineRule="auto"/>
        <w:contextualSpacing/>
        <w:jc w:val="both"/>
        <w:rPr>
          <w:rFonts w:ascii="Times New Roman" w:eastAsia="Calibri" w:hAnsi="Times New Roman" w:cs="Times New Roman"/>
          <w:sz w:val="24"/>
          <w:szCs w:val="24"/>
        </w:rPr>
      </w:pPr>
    </w:p>
    <w:p w14:paraId="48CF36CF"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7.1.5.1. Прилагане на цялостна и дългосрочна политика за учене през целия живот (УЦЖ)</w:t>
      </w:r>
    </w:p>
    <w:p w14:paraId="50767DA3"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С приемането на Закона за изменение и допълнение на Закона за професионалното образование и обучение (изм. и доп. ДВ. бр. 27 от 29 март 2024 г.) бяха предприети промени, които целят да се улесни достъпа до учене през целия живот и да се насърчи ученето през целия живот. Промените обхващат:</w:t>
      </w:r>
    </w:p>
    <w:p w14:paraId="6CBEB945" w14:textId="77777777" w:rsidR="00533926" w:rsidRPr="00AA5833" w:rsidRDefault="00533926" w:rsidP="002A598C">
      <w:pPr>
        <w:numPr>
          <w:ilvl w:val="0"/>
          <w:numId w:val="85"/>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Въвеждане на възможност за обучение за достигане на Единица резултат от ученето (ЕРУ) в Държавния стандарт за придобиване на квалификация по професия – за лица на възраст над 16 години;</w:t>
      </w:r>
    </w:p>
    <w:p w14:paraId="6BD66AD9" w14:textId="77777777" w:rsidR="00533926" w:rsidRPr="00AA5833" w:rsidRDefault="00533926" w:rsidP="002A598C">
      <w:pPr>
        <w:numPr>
          <w:ilvl w:val="0"/>
          <w:numId w:val="85"/>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Трансфер и натрупване на ЕРУ;</w:t>
      </w:r>
    </w:p>
    <w:p w14:paraId="1BCDFE7F" w14:textId="77777777" w:rsidR="00533926" w:rsidRPr="00AA5833" w:rsidRDefault="00533926" w:rsidP="002A598C">
      <w:pPr>
        <w:numPr>
          <w:ilvl w:val="0"/>
          <w:numId w:val="85"/>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Възможност за обучение в електронна среда за лица на възраст над 16 години по теория на професията;</w:t>
      </w:r>
    </w:p>
    <w:p w14:paraId="48A904C2" w14:textId="77777777" w:rsidR="00533926" w:rsidRPr="00AA5833" w:rsidRDefault="00533926" w:rsidP="002A598C">
      <w:pPr>
        <w:numPr>
          <w:ilvl w:val="0"/>
          <w:numId w:val="85"/>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Дефиниране на възможностите за валидиране на професионални компетентности, съответстващи на знанията, уменията и компетентностите в една Единица резултат от ученето в Държавните образователни стандарти за придобиване на квалификация по професия;</w:t>
      </w:r>
    </w:p>
    <w:p w14:paraId="17287047" w14:textId="77777777" w:rsidR="00533926" w:rsidRPr="00AA5833" w:rsidRDefault="00533926" w:rsidP="002A598C">
      <w:pPr>
        <w:numPr>
          <w:ilvl w:val="0"/>
          <w:numId w:val="85"/>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 xml:space="preserve">Намаляване на административната тежест за доставчиците на професионално обучение (центровете за професионално обучение). </w:t>
      </w:r>
    </w:p>
    <w:p w14:paraId="0568198E"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След проведените през 2023 г. две издания на Националните дни на ученето през целия живот – в гр. Бургас (26-28.04.2023 г.) и гр. Стара Загора, през 2024 г. са осъществени мерки за ефективно прилагане на Европейската референтна рамка за ключовите компетентности за учене през целия живот, Европейската квалификационна рамка за учене през целия живот (УЦЖ). Прилагат се приоритетите на Новата европейска програма за учене на възрастни за периода 2021-2030 г. </w:t>
      </w:r>
    </w:p>
    <w:p w14:paraId="05A91430"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С цел насърчаване и оказване на подкрепа за ученето през целия живот в началото на 2024 г. Министерството на образованието и науката започна изпълнението на проект № 101144168 – Agenda 4 Skills – ERASMUS-EDU-2023-AL-AGENDA-IBA по програма „Еразъм+“. В рамките проектната интервенция е предвидено: проучване на добри практики в системата на заетостта за обучение на възрастни за последваща заетост; посещения в предприятия за популяризиране на валидирането и дуалното обучение; популяризиране на новите европейски инструменти за насърчаване на ученето на възрастни – индивидуалните сметки за обучение и микроудостоверенията. Проектът се изпълнява съвместно с МТСП. </w:t>
      </w:r>
    </w:p>
    <w:p w14:paraId="4278205F"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През м. ноември 2024 г. е проведено едно издание на Националните дни за учене през целия живот. В рамките на събитието са представени политиките за развитие на уменията във всички сектори на системата за образование и наука: от общото образование, през приобщаващото образование и дуалното професионално образование и обучение до висшето образование и науката. Събитието създаде условия за популяризиране на добри практики за развитие на уменията за учене през целия живот: на работното място и в културни институции и организации (музеи, читалища и библиотеки). Специален фокус в добрите практики представиха бюрата по труда като структури на Агенцията по заетостта. </w:t>
      </w:r>
    </w:p>
    <w:p w14:paraId="157EB96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Финансирането е със средства от бюджета на МОН и по Програма на ЕС в областта на образованието, обучението, младежта и спорта „Еразъм+“.</w:t>
      </w:r>
    </w:p>
    <w:p w14:paraId="399C471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Мярката има въздействие на национално ниво.</w:t>
      </w:r>
    </w:p>
    <w:p w14:paraId="3B5F210E"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4B83F3AC"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2027E24E"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p>
    <w:p w14:paraId="3521957D"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lastRenderedPageBreak/>
        <w:t>7.1.5.2. Изпълнение на обновените приоритети на Европейската програма за учене на възрастни (ЕПУВ)</w:t>
      </w:r>
    </w:p>
    <w:p w14:paraId="6470BD5E"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p>
    <w:p w14:paraId="541D9AA3"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Проект „Програма за уменията“ (Agenda 4 Skills) е финансиран по Програмата на ЕС в областта на образованието, младежта и спорта Еразъм+ 2021-2027. Чрез проекта България изпълнява приоритетите на Новата европейска програма за учене на възрастни за периода 2021-2030 г.</w:t>
      </w:r>
    </w:p>
    <w:p w14:paraId="0EC230BD"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Проведените през 2024 г. инициативи по проекта, вкл. в партньорство с МТСП са: фокус-група за индивидуалните сметки за обучение; регионално събитие с представители на институциите на пазара на труда, работодатели, социални партньори, местни и регионални власти, проведено на 12 април 2024 г. в гр. София; Първа работна среща на Националния координационен съвет, проведена на 28-29 май 2024 г. в гр. Пловдив; два секторни семинара в секторите „Туризъм“ и „Строителство“, проведени съответно на 29.10.2024 г. и на 29.09.2024 г. в гр. София; разработена Стратегия за разпространение и комуникационен план; Национално събитие по проекта – ЕС и национални политики и практики, проведено на 26.09.2024 г. съвместно с ОИСР.</w:t>
      </w:r>
    </w:p>
    <w:p w14:paraId="4AD48E1D"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Финансирането е със средства от бюджета на МОН и по Програма на ЕС в областта на образованието, обучението, младежта и спорта „Еразъм+“.</w:t>
      </w:r>
    </w:p>
    <w:p w14:paraId="575CC500"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има въздействие на национално и регионално ниво.</w:t>
      </w:r>
    </w:p>
    <w:p w14:paraId="1CFE825E"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p>
    <w:p w14:paraId="6ADC232B"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1A3E0C5A"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p>
    <w:p w14:paraId="596CA98B"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7.1.5.3. Национална подкрепа за функционално и съдържателно развитие на Електронна платформа за учене на възрастни в Европа (EPALE)</w:t>
      </w:r>
    </w:p>
    <w:p w14:paraId="38B112F6" w14:textId="77777777" w:rsidR="00533926" w:rsidRPr="00AA5833" w:rsidRDefault="00533926" w:rsidP="00533926">
      <w:pPr>
        <w:spacing w:after="0" w:line="240" w:lineRule="auto"/>
        <w:contextualSpacing/>
        <w:jc w:val="both"/>
        <w:rPr>
          <w:rFonts w:ascii="Times New Roman" w:eastAsia="Calibri" w:hAnsi="Times New Roman" w:cs="Times New Roman"/>
          <w:b/>
          <w:sz w:val="24"/>
          <w:szCs w:val="24"/>
        </w:rPr>
      </w:pPr>
    </w:p>
    <w:p w14:paraId="7C313C8F" w14:textId="77777777" w:rsidR="00533926" w:rsidRPr="00AA5833" w:rsidRDefault="00533926" w:rsidP="00533926">
      <w:pPr>
        <w:spacing w:after="0" w:line="240" w:lineRule="auto"/>
        <w:ind w:firstLine="720"/>
        <w:contextualSpacing/>
        <w:jc w:val="both"/>
        <w:rPr>
          <w:rFonts w:ascii="Times New Roman" w:eastAsia="Calibri" w:hAnsi="Times New Roman" w:cs="Times New Roman"/>
          <w:strike/>
          <w:sz w:val="24"/>
          <w:szCs w:val="24"/>
        </w:rPr>
      </w:pPr>
      <w:r w:rsidRPr="00AA5833">
        <w:rPr>
          <w:rFonts w:ascii="Times New Roman" w:eastAsia="Calibri" w:hAnsi="Times New Roman" w:cs="Times New Roman"/>
          <w:sz w:val="24"/>
          <w:szCs w:val="24"/>
        </w:rPr>
        <w:t xml:space="preserve">От края на 2021 г. чрез Министерството на образованието и науката България е пълноправен член на Европейската мрежа за основни умения (EBSN). Заедно с функциониращата мрежа EPALE BG, която включва институции и организации от България, EBSN разширява възможностите в национален контекст за свързване с други институции и организации-членки на EBSN. EPALE BG е част от Електронната платформа за учене на възрастни в Европа (EPALE). Нейната цел е насърчаване на повече и по-добри възможности за учене за всички възрастни, като подкрепя и укрепва професиите в обучението за възрастни. Тя дава възможност на членовете да се свързват с и да се учат от колегите си в цяла Европа, чрез публикациите в своя блог, чрез форумите, подкасти, инструмента за търсене на партньори, допълнени с физически срещи. </w:t>
      </w:r>
    </w:p>
    <w:p w14:paraId="07ED27F3" w14:textId="77777777" w:rsidR="00533926" w:rsidRPr="00AA5833" w:rsidRDefault="00533926" w:rsidP="00533926">
      <w:pPr>
        <w:spacing w:after="0" w:line="240" w:lineRule="auto"/>
        <w:ind w:firstLine="72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Електронната платформа за учене на възрастни в Европа (EPALE) активно се промотира в рамките на всички събития, свързани с изпълнението на политиките за учене през целия живот; събитията, включени в графика на националния координатор за учене на възрастни и по време на основното събитие за учене през целия живот в България: Дните за учене през целия живот. </w:t>
      </w:r>
    </w:p>
    <w:p w14:paraId="30223B44"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През 2024 г. е подготвено и сключено Споразумение №101196922 – NSSEPALEBG между МОН и Европейската изпълнителна агенция за образование и култура към Европейската комисия. Въз основа на Споразумението започна изпълнението на проект № 101196922 – ERASMUS-EDU-2024-EPALE-IBA „Електронна платформа за учене на възрастни в Европа – Национални звена за подкрепа България (EPALE NSS)“. Проектът ще се изпълнява в рамките на 24 месеца, считано от 1 януари 2025 г. до 31 декември 2026 година. Финансирането е със средства от бюджета на МОН и по Програма на ЕС в областта на образованието, обучението, младежта и спорта „Еразъм+“.</w:t>
      </w:r>
    </w:p>
    <w:p w14:paraId="2C487D11"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lastRenderedPageBreak/>
        <w:t>Чрез функционалното и съдържателно развитие на EPALE Министерството на образованието и науката създава условия за разрешаване на едно от основните национални предизвикателства в сектора на учене на възрастни – професионализацията на персонала. Тя е определена като приоритет и в Европейска програма за учене на възрастни 2021-2030 г. EPALE съдейства за изпълнението на Стратегическата рамка за развитие на образованието, обучението и ученето в РБ (2021 – 2030). По-конкретно Платформата ще има преки и/или косвени приноси към следните цели и групи мерки/дейности от Рамката: 1.2. от приоритетна област 1 Ранно детско развитие; 8.1. и 8.2. от приоритетна област 8 Учене през целия живот и 9.1. от приоритетна област 9 Ефикасно управление и участие в мрежи.</w:t>
      </w:r>
    </w:p>
    <w:p w14:paraId="73F2B516"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Чрез интерактивното пространство на EPALE ще продължат да функционират създадените мрежи: EPALE BG с близо 700 институции и организации, мрежата от посланици в 28-те области на страната, както и взаимодействието на България чрез Министерството на образованието и науката в Европейската мрежа за основни умения (EBSN).</w:t>
      </w:r>
    </w:p>
    <w:p w14:paraId="411A0ADF"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За 2024 г. регистрираните потребители на Платформата са 1523 души. Публикувано е съдържание на EPALE в целия обхват на неговите категории (новини, събития, блогове, аналитични ресурси и др.) – общо 350 публикувани ресурса. 12 са преведените на български език бюлетини на EPALE. 1854 са последователите и харесванията на страниците на EPALE-България във Facebook.</w:t>
      </w:r>
    </w:p>
    <w:p w14:paraId="1F1FECD9"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Мярката се финансира със средства по Програма на ЕС в областта на образованието, обучението, младежта и спорта „Еразъм+“ и от бюджета на МОН.</w:t>
      </w:r>
    </w:p>
    <w:p w14:paraId="26CE0086" w14:textId="77777777" w:rsidR="00533926" w:rsidRPr="00AA5833" w:rsidRDefault="00533926" w:rsidP="00533926">
      <w:pPr>
        <w:spacing w:after="0" w:line="240" w:lineRule="auto"/>
        <w:ind w:firstLine="72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има въздействие на всички нива на управление: национално областно и местно. </w:t>
      </w:r>
    </w:p>
    <w:p w14:paraId="47F6D74A" w14:textId="77777777" w:rsidR="00533926" w:rsidRDefault="00533926" w:rsidP="00533926">
      <w:pPr>
        <w:spacing w:after="0" w:line="240" w:lineRule="auto"/>
        <w:ind w:firstLine="720"/>
        <w:contextualSpacing/>
        <w:jc w:val="both"/>
        <w:rPr>
          <w:rFonts w:ascii="Times New Roman" w:eastAsia="Times New Roman" w:hAnsi="Times New Roman" w:cs="Times New Roman"/>
          <w:sz w:val="24"/>
          <w:szCs w:val="24"/>
          <w:lang w:eastAsia="bg-BG"/>
        </w:rPr>
      </w:pPr>
    </w:p>
    <w:p w14:paraId="63AE1E14" w14:textId="77777777" w:rsidR="002E676E" w:rsidRDefault="002E676E" w:rsidP="00533926">
      <w:pPr>
        <w:spacing w:after="0" w:line="240" w:lineRule="auto"/>
        <w:ind w:firstLine="720"/>
        <w:contextualSpacing/>
        <w:jc w:val="both"/>
        <w:rPr>
          <w:rFonts w:ascii="Times New Roman" w:eastAsia="Times New Roman" w:hAnsi="Times New Roman" w:cs="Times New Roman"/>
          <w:sz w:val="24"/>
          <w:szCs w:val="24"/>
          <w:lang w:eastAsia="bg-BG"/>
        </w:rPr>
      </w:pPr>
    </w:p>
    <w:p w14:paraId="29C4CA32" w14:textId="77777777" w:rsidR="002E676E" w:rsidRDefault="002E676E" w:rsidP="00533926">
      <w:pPr>
        <w:spacing w:after="0" w:line="240" w:lineRule="auto"/>
        <w:ind w:firstLine="720"/>
        <w:contextualSpacing/>
        <w:jc w:val="both"/>
        <w:rPr>
          <w:rFonts w:ascii="Times New Roman" w:eastAsia="Times New Roman" w:hAnsi="Times New Roman" w:cs="Times New Roman"/>
          <w:sz w:val="24"/>
          <w:szCs w:val="24"/>
          <w:lang w:eastAsia="bg-BG"/>
        </w:rPr>
      </w:pPr>
    </w:p>
    <w:p w14:paraId="7D8DAD56" w14:textId="77777777" w:rsidR="002E676E" w:rsidRDefault="002E676E" w:rsidP="00533926">
      <w:pPr>
        <w:spacing w:after="0" w:line="240" w:lineRule="auto"/>
        <w:ind w:firstLine="720"/>
        <w:contextualSpacing/>
        <w:jc w:val="both"/>
        <w:rPr>
          <w:rFonts w:ascii="Times New Roman" w:eastAsia="Times New Roman" w:hAnsi="Times New Roman" w:cs="Times New Roman"/>
          <w:sz w:val="24"/>
          <w:szCs w:val="24"/>
          <w:lang w:eastAsia="bg-BG"/>
        </w:rPr>
      </w:pPr>
    </w:p>
    <w:p w14:paraId="3F3FBFE4" w14:textId="77777777" w:rsidR="002E676E" w:rsidRPr="00AA5833" w:rsidRDefault="002E676E" w:rsidP="00533926">
      <w:pPr>
        <w:spacing w:after="0" w:line="240" w:lineRule="auto"/>
        <w:ind w:firstLine="720"/>
        <w:contextualSpacing/>
        <w:jc w:val="both"/>
        <w:rPr>
          <w:rFonts w:ascii="Times New Roman" w:eastAsia="Times New Roman" w:hAnsi="Times New Roman" w:cs="Times New Roman"/>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0B79339"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BB16D3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sz w:val="24"/>
                <w:szCs w:val="24"/>
                <w:lang w:eastAsia="bg-BG"/>
              </w:rPr>
              <w:br w:type="page"/>
            </w:r>
            <w:r w:rsidRPr="00AA5833">
              <w:rPr>
                <w:rFonts w:ascii="Times New Roman" w:eastAsia="Times New Roman" w:hAnsi="Times New Roman" w:cs="Times New Roman"/>
                <w:b/>
                <w:color w:val="000000"/>
                <w:sz w:val="24"/>
                <w:szCs w:val="24"/>
              </w:rPr>
              <w:t>7.1.6. Развитие на доброволчеството, солидарността между поколенията, позитивния публичен образ и разбиране за социална ценност на по-възрастните хора</w:t>
            </w:r>
          </w:p>
        </w:tc>
      </w:tr>
    </w:tbl>
    <w:p w14:paraId="0D97CD0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Cs/>
          <w:sz w:val="24"/>
          <w:szCs w:val="24"/>
        </w:rPr>
      </w:pPr>
    </w:p>
    <w:p w14:paraId="13A208F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4A3DFF9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Cs/>
          <w:sz w:val="24"/>
          <w:szCs w:val="24"/>
        </w:rPr>
      </w:pPr>
    </w:p>
    <w:p w14:paraId="4783D964"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sz w:val="24"/>
          <w:szCs w:val="24"/>
        </w:rPr>
      </w:pPr>
      <w:r w:rsidRPr="00AA5833">
        <w:rPr>
          <w:rFonts w:ascii="Times New Roman" w:eastAsia="Times New Roman" w:hAnsi="Times New Roman" w:cs="Times New Roman"/>
          <w:b/>
          <w:bCs/>
          <w:sz w:val="24"/>
          <w:szCs w:val="24"/>
        </w:rPr>
        <w:t>7.1.6.1. Организиране на различни мероприятия, кампании и инициативи, насърчаващи солидарността между поколенията</w:t>
      </w:r>
    </w:p>
    <w:p w14:paraId="2837A360"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rPr>
      </w:pPr>
      <w:r w:rsidRPr="00AA5833">
        <w:rPr>
          <w:rFonts w:ascii="Times New Roman" w:eastAsia="Times New Roman" w:hAnsi="Times New Roman" w:cs="Times New Roman"/>
          <w:bCs/>
          <w:sz w:val="24"/>
          <w:szCs w:val="24"/>
        </w:rPr>
        <w:t> </w:t>
      </w:r>
    </w:p>
    <w:p w14:paraId="79836FBD"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hAnsi="Times New Roman" w:cs="Times New Roman"/>
          <w:sz w:val="24"/>
          <w:szCs w:val="24"/>
        </w:rPr>
        <w:t xml:space="preserve">Ежегодно БЧК организира и провежда инициативи, посветени на </w:t>
      </w:r>
      <w:r w:rsidRPr="00AA5833">
        <w:rPr>
          <w:rFonts w:ascii="Times New Roman" w:eastAsia="Times New Roman" w:hAnsi="Times New Roman" w:cs="Times New Roman"/>
          <w:sz w:val="24"/>
          <w:szCs w:val="24"/>
          <w:lang w:eastAsia="bg-BG"/>
        </w:rPr>
        <w:t>Европейския ден за солидарност между поколенията – 29 април. В тях участват както възрастни хора, така и представители на младото поколение. БЧК отстоява принципа</w:t>
      </w:r>
      <w:r w:rsidRPr="00AA5833">
        <w:rPr>
          <w:rFonts w:ascii="Times New Roman" w:hAnsi="Times New Roman" w:cs="Times New Roman"/>
          <w:sz w:val="24"/>
          <w:szCs w:val="24"/>
        </w:rPr>
        <w:t>, че солидарността между поколенията играе ключова роля в развитието на по-справедливи и устойчиви системи, базирайки се на познанията и опита на по-възрастните, предадени на младите поколения.</w:t>
      </w:r>
      <w:r w:rsidRPr="00AA5833">
        <w:rPr>
          <w:rFonts w:ascii="Times New Roman" w:eastAsia="Calibri" w:hAnsi="Times New Roman" w:cs="Times New Roman"/>
          <w:sz w:val="24"/>
          <w:szCs w:val="24"/>
        </w:rPr>
        <w:t xml:space="preserve"> </w:t>
      </w:r>
    </w:p>
    <w:p w14:paraId="4262AC02"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eastAsia="Calibri" w:hAnsi="Times New Roman" w:cs="Times New Roman"/>
          <w:sz w:val="24"/>
          <w:szCs w:val="24"/>
        </w:rPr>
        <w:t>През 2024 г., п</w:t>
      </w:r>
      <w:r w:rsidRPr="00AA5833">
        <w:rPr>
          <w:rFonts w:ascii="Times New Roman" w:eastAsia="Times New Roman" w:hAnsi="Times New Roman" w:cs="Times New Roman"/>
          <w:sz w:val="24"/>
          <w:szCs w:val="24"/>
          <w:lang w:eastAsia="bg-BG"/>
        </w:rPr>
        <w:t>о случай 29 април,</w:t>
      </w:r>
      <w:r w:rsidRPr="00AA5833">
        <w:rPr>
          <w:rFonts w:ascii="Times New Roman" w:eastAsia="Times New Roman" w:hAnsi="Times New Roman" w:cs="Times New Roman"/>
          <w:b/>
          <w:sz w:val="24"/>
          <w:szCs w:val="24"/>
          <w:lang w:eastAsia="bg-BG"/>
        </w:rPr>
        <w:t xml:space="preserve"> </w:t>
      </w:r>
      <w:r w:rsidRPr="00AA5833">
        <w:rPr>
          <w:rFonts w:ascii="Times New Roman" w:hAnsi="Times New Roman" w:cs="Times New Roman"/>
          <w:sz w:val="24"/>
          <w:szCs w:val="24"/>
        </w:rPr>
        <w:t xml:space="preserve">БЧК организира засаждане на цветя, дръвчета и храсти. </w:t>
      </w:r>
      <w:r w:rsidRPr="00AA5833">
        <w:rPr>
          <w:rFonts w:ascii="Times New Roman" w:eastAsia="Times New Roman" w:hAnsi="Times New Roman" w:cs="Times New Roman"/>
          <w:sz w:val="24"/>
          <w:szCs w:val="24"/>
          <w:lang w:eastAsia="bg-BG"/>
        </w:rPr>
        <w:t>Инициативата се осъществи заедно с доброволци от различни възрасти, в която участие взеха над 150 души от 20 населени места. О</w:t>
      </w:r>
      <w:r w:rsidRPr="00AA5833">
        <w:rPr>
          <w:rFonts w:ascii="Times New Roman" w:hAnsi="Times New Roman" w:cs="Times New Roman"/>
          <w:sz w:val="24"/>
          <w:szCs w:val="24"/>
        </w:rPr>
        <w:t xml:space="preserve">сновната цел на мероприятието бе да се привлече вниманието на обществото към приемствеността, разбирателството и хуманността, за да живеем по-добре заедно. </w:t>
      </w:r>
    </w:p>
    <w:p w14:paraId="5E6D966D"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lang w:eastAsia="bg-BG"/>
        </w:rPr>
        <w:lastRenderedPageBreak/>
        <w:t>БЧК организира и информационни кампании,</w:t>
      </w:r>
      <w:r w:rsidRPr="00AA5833">
        <w:rPr>
          <w:rFonts w:ascii="Times New Roman" w:hAnsi="Times New Roman" w:cs="Times New Roman"/>
          <w:sz w:val="24"/>
          <w:szCs w:val="24"/>
        </w:rPr>
        <w:t xml:space="preserve"> в които млади и възрастни хора отправяха послания за по-добро бъдеще за всички поколения</w:t>
      </w:r>
      <w:r w:rsidRPr="00AA5833">
        <w:rPr>
          <w:rFonts w:ascii="Times New Roman" w:hAnsi="Times New Roman" w:cs="Times New Roman"/>
          <w:sz w:val="24"/>
          <w:szCs w:val="24"/>
          <w:lang w:eastAsia="bg-BG"/>
        </w:rPr>
        <w:t xml:space="preserve">. При провеждането на мероприятията, събраните </w:t>
      </w:r>
      <w:r w:rsidRPr="00AA5833">
        <w:rPr>
          <w:rFonts w:ascii="Times New Roman" w:hAnsi="Times New Roman" w:cs="Times New Roman"/>
          <w:sz w:val="24"/>
          <w:szCs w:val="24"/>
        </w:rPr>
        <w:t>заедно представители на различни поколения и различни възрасти, обсъждаха как да се постигне едно по-добро общество и за възрастните, и за младите хора. Младежите имаха възможност да изслушат историите на възрастните хора, а възрастните – да чуят мечтите и страховете на младежите. Това даде възможност всички да се замислят над чутото и дискутираното и решат какво биха могли да направят заедно за едно по-добро бъдеще. В 28-те информационни кампании участие взеха над 500 млади и възрастни хора и много местни неправителствени организации от съответните региони</w:t>
      </w:r>
      <w:r w:rsidRPr="00AA5833">
        <w:rPr>
          <w:rFonts w:ascii="Times New Roman" w:hAnsi="Times New Roman" w:cs="Times New Roman"/>
          <w:color w:val="7030A0"/>
          <w:sz w:val="24"/>
          <w:szCs w:val="24"/>
        </w:rPr>
        <w:t>.</w:t>
      </w:r>
    </w:p>
    <w:p w14:paraId="2D30BB4D" w14:textId="77777777" w:rsidR="00533926" w:rsidRPr="00AA5833" w:rsidRDefault="00533926" w:rsidP="00533926">
      <w:pPr>
        <w:spacing w:after="0" w:line="240" w:lineRule="auto"/>
        <w:ind w:firstLine="708"/>
        <w:jc w:val="both"/>
        <w:rPr>
          <w:rFonts w:ascii="Times New Roman" w:hAnsi="Times New Roman" w:cs="Times New Roman"/>
          <w:color w:val="7030A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88AEF96"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418E3B6F"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sz w:val="24"/>
                <w:szCs w:val="24"/>
                <w:lang w:eastAsia="bg-BG"/>
              </w:rPr>
              <w:br w:type="page"/>
            </w:r>
            <w:r w:rsidRPr="00AA5833">
              <w:rPr>
                <w:rFonts w:ascii="Times New Roman" w:eastAsia="Times New Roman" w:hAnsi="Times New Roman" w:cs="Times New Roman"/>
                <w:b/>
                <w:color w:val="000000"/>
                <w:sz w:val="24"/>
                <w:szCs w:val="24"/>
              </w:rPr>
              <w:t xml:space="preserve">7.2. Насърчаване на активния живот на възрастните хора </w:t>
            </w:r>
          </w:p>
        </w:tc>
      </w:tr>
    </w:tbl>
    <w:p w14:paraId="5516144C"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4B159A6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r w:rsidRPr="00AA5833">
        <w:rPr>
          <w:rFonts w:ascii="Times New Roman" w:eastAsia="Times New Roman" w:hAnsi="Times New Roman" w:cs="Times New Roman"/>
          <w:b/>
          <w:color w:val="0000FF"/>
          <w:sz w:val="24"/>
          <w:szCs w:val="24"/>
          <w:lang w:eastAsia="bg-BG"/>
        </w:rPr>
        <w:t>МИНИСТЕРСТВО НА ТРАНСПОРТА И СЪОБЩЕНИЯТА</w:t>
      </w:r>
    </w:p>
    <w:p w14:paraId="16D11F6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НАЦИОНАЛНА КОМПАНИЯ „ЖЕЛЕЗОПЪТНА ИНФРАСТРУКТУРА“ (НКЖИ)</w:t>
      </w:r>
    </w:p>
    <w:p w14:paraId="6FADD4C1"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7AC7EE5D"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r w:rsidRPr="00AA5833">
        <w:rPr>
          <w:rFonts w:ascii="Times New Roman" w:hAnsi="Times New Roman" w:cs="Times New Roman"/>
          <w:b/>
          <w:bCs/>
          <w:sz w:val="24"/>
          <w:szCs w:val="24"/>
        </w:rPr>
        <w:t>7.2.1. Наемане на работа на пенсионирани работници и служители от системата на ДП НКЖИ, с цел използване на техните знания, умения, потенциал и предаването им на млади служители</w:t>
      </w:r>
    </w:p>
    <w:p w14:paraId="63106889" w14:textId="77777777" w:rsidR="00533926" w:rsidRPr="00AA5833" w:rsidRDefault="00533926" w:rsidP="00533926">
      <w:pPr>
        <w:spacing w:after="0" w:line="240" w:lineRule="auto"/>
        <w:rPr>
          <w:rFonts w:ascii="Times New Roman" w:eastAsia="Times New Roman" w:hAnsi="Times New Roman" w:cs="Times New Roman"/>
          <w:b/>
          <w:sz w:val="20"/>
          <w:szCs w:val="20"/>
          <w:lang w:eastAsia="bg-BG"/>
        </w:rPr>
      </w:pPr>
    </w:p>
    <w:p w14:paraId="07872843" w14:textId="77777777" w:rsidR="00533926" w:rsidRPr="00AA5833" w:rsidRDefault="00533926" w:rsidP="00533926">
      <w:pPr>
        <w:spacing w:after="0" w:line="240" w:lineRule="auto"/>
        <w:ind w:firstLine="708"/>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В НКЖИ се наемат на работа пенсионирани работници и служители от компанията, с цел използване на техните знания, умения и потенциал, както и предаването им на млади служители. По този начин се осигурява приемственост и кадрова обезпеченост, предаване на професионалния опит от по-възрастните служители чрез програми за менторство. </w:t>
      </w:r>
    </w:p>
    <w:p w14:paraId="672059AB" w14:textId="77777777" w:rsidR="00533926" w:rsidRPr="00AA5833" w:rsidRDefault="00533926" w:rsidP="00533926">
      <w:pPr>
        <w:spacing w:after="0" w:line="240" w:lineRule="auto"/>
        <w:ind w:firstLine="708"/>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Мярката се изпълнява в рамките на бюджета на НКЖИ. За 2024 г. броят на наетите на работа работници и служители, пенсионирани от системата на НКЖИ, е 14 бр. Сключените договори/споразумения за менторство са 180 бр., като изплатените средства за възнаграждения са в размер на 36 103 лв. </w:t>
      </w:r>
    </w:p>
    <w:p w14:paraId="5F1CF253" w14:textId="77777777" w:rsidR="00533926" w:rsidRPr="00AA5833" w:rsidRDefault="00533926" w:rsidP="00533926">
      <w:pPr>
        <w:spacing w:after="0" w:line="240" w:lineRule="auto"/>
        <w:ind w:firstLine="708"/>
        <w:jc w:val="both"/>
        <w:rPr>
          <w:rFonts w:ascii="Times New Roman" w:eastAsia="Times New Roman" w:hAnsi="Times New Roman" w:cs="Times New Roman"/>
          <w:iCs/>
          <w:sz w:val="24"/>
          <w:szCs w:val="24"/>
          <w:lang w:eastAsia="bg-BG"/>
        </w:rPr>
      </w:pPr>
    </w:p>
    <w:p w14:paraId="748947FF"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МИНИСТЕРСТВО НА МЛАДЕЖТА И СПОРТА</w:t>
      </w:r>
    </w:p>
    <w:p w14:paraId="519BE66A" w14:textId="77777777" w:rsidR="00533926" w:rsidRPr="00AA5833" w:rsidRDefault="00533926" w:rsidP="00533926">
      <w:pPr>
        <w:spacing w:after="0" w:line="240" w:lineRule="auto"/>
        <w:ind w:firstLine="708"/>
        <w:jc w:val="both"/>
        <w:rPr>
          <w:rFonts w:ascii="Times New Roman" w:eastAsia="Times New Roman" w:hAnsi="Times New Roman" w:cs="Times New Roman"/>
          <w:iCs/>
          <w:sz w:val="24"/>
          <w:szCs w:val="24"/>
          <w:lang w:eastAsia="bg-BG"/>
        </w:rPr>
      </w:pPr>
    </w:p>
    <w:p w14:paraId="64E3562F"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r w:rsidRPr="00AA5833">
        <w:rPr>
          <w:rFonts w:ascii="Times New Roman" w:hAnsi="Times New Roman" w:cs="Times New Roman"/>
          <w:b/>
          <w:bCs/>
          <w:sz w:val="24"/>
          <w:szCs w:val="24"/>
        </w:rPr>
        <w:t>7.2.2. Изпълнение на проект по „Програма за развитие на спорта за всички“ от „Българска мастърс федерация“ – целева група ветерани спортисти, в т. ч. бивши елитни спортисти</w:t>
      </w:r>
    </w:p>
    <w:p w14:paraId="006E3593" w14:textId="77777777" w:rsidR="00533926" w:rsidRPr="00AA5833" w:rsidRDefault="00533926" w:rsidP="00533926">
      <w:pPr>
        <w:spacing w:after="0" w:line="240" w:lineRule="auto"/>
        <w:rPr>
          <w:rFonts w:ascii="Times New Roman" w:hAnsi="Times New Roman" w:cs="Times New Roman"/>
          <w:b/>
          <w:sz w:val="24"/>
          <w:szCs w:val="24"/>
        </w:rPr>
      </w:pPr>
    </w:p>
    <w:p w14:paraId="1F09FC7B"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Един от приоритетите на Министерството на младежта и спорта (ММС) е насочен към развитие и насърчаване на физическата активност и практикуването на спорт от различни групи на населението, в съответствие с целите и мерките, предвидени в Приоритет 12 „Здраве и спорт“ от Национална програма за развитие – България 2030 и Плана за действие за изпълнението на Националната програма за развитие България  2030 през периода 2022-2024 г.</w:t>
      </w:r>
    </w:p>
    <w:p w14:paraId="5D27B760"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Програмата е съобразена и с действащата нормативна уредба в областта на спорта, с националните традиции и със съществуващите социално-икономически условия с цел  създаване на предпоставки и условия за положителна промяна на съществуващата ниска и недостатъчна физическа активност на населението и нездравословния начин на живот чрез практикуването на физически упражнения и спорт, приобщаване към здравословна физическа активност на представители на различните социални групи от населението, независимо дали целта е укрепване на здравето, активния отдих в свободното време или подобряване на личните постижения в областта на спорта.                                                                                               </w:t>
      </w:r>
    </w:p>
    <w:p w14:paraId="57B2C829"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lastRenderedPageBreak/>
        <w:t>През 2024 г. ММС успешно реализира „Програма за развитие на спорта за всички“. Програмата предоставя възможности на спортни федерации, развиващи спорта за всички да получават финансово подпомагане за съответната година за изпълнение на дейности, свързани с осигуряване на възможности на граждани от различни групи от населението, независимо от тяхната възраст, пол, социално положение, в т.ч. възрастни хора и ветерани спортисти или любители на спорта, за участие в спортни прояви от държавен (ДСК) и международен спортен календар (МСК), като: спортни състезания, прегледи, масови спортни прояви и други спортни дейности по различни видове спорт, организирани и провеждани от спортните федерации.</w:t>
      </w:r>
    </w:p>
    <w:p w14:paraId="00B5ACCF"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Спортните федерации които организират спортни дейности за повишаване на физическата активност и практикуване на различни спортове от целевата група над трудоспособна възраст и чрез които ММС подпомага такива дейности са Българска мастърс федерация (БМФ) и Българска федерация „Спорт за всички“ (БФСВ).</w:t>
      </w:r>
    </w:p>
    <w:p w14:paraId="54B3217E"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През 2024 г. с финансовата подкрепа на ММС в размер на 140 000 лева от Българска мастърс федерация (БМФ) са реализирани 18 спортни прояви от ДСК по 13 вида спорт/спортни дисциплини: ски алпийски дисциплини, ски бягане, плуване, планинско бягане, лека атлетика - хвърляния, тенис на маса, мини футбол, лека атлетика, водна топка, бадминтон, кану-каяк, бридж, вдигане на тежести, с 2 543 участници от 29 спортни клуба членове на БМФ. Ветерани спортисти са участвали в 7 спортни прояви от МСК, по следните видове спорт/спортни дисциплини: плуване, лека атлетика - на открито, в зала, индивидуален маратон, тенис на маса, световни мастърс игри, включващи всички видове спорт, с 200  български участници.</w:t>
      </w:r>
    </w:p>
    <w:p w14:paraId="7718C3A0" w14:textId="77777777" w:rsidR="00533926" w:rsidRPr="00AA5833" w:rsidRDefault="00533926" w:rsidP="00533926">
      <w:pPr>
        <w:spacing w:after="0" w:line="240" w:lineRule="auto"/>
        <w:ind w:firstLine="709"/>
        <w:jc w:val="both"/>
        <w:rPr>
          <w:rFonts w:ascii="Times New Roman" w:hAnsi="Times New Roman" w:cs="Times New Roman"/>
          <w:sz w:val="24"/>
          <w:szCs w:val="24"/>
        </w:rPr>
      </w:pPr>
    </w:p>
    <w:p w14:paraId="0C15C92A"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МИНИСТЕРСТВО НА МЛАДЕЖТА И СПОРТА</w:t>
      </w:r>
    </w:p>
    <w:p w14:paraId="3AD3036F"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4C37957C"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r w:rsidRPr="00AA5833">
        <w:rPr>
          <w:rFonts w:ascii="Times New Roman" w:hAnsi="Times New Roman" w:cs="Times New Roman"/>
          <w:b/>
          <w:bCs/>
          <w:sz w:val="24"/>
          <w:szCs w:val="24"/>
        </w:rPr>
        <w:t>7.2.3. Изпълнение на проект по „Програма за развитие на спорта за всички“ от „Българска федерация спорт за всички“ - целева група хора от всякакви възрасти, организиране на масови спортни прояви с голям брой участници, както и спортни прояви за възрастни хора над 60 г.</w:t>
      </w:r>
    </w:p>
    <w:p w14:paraId="0B6E9FED" w14:textId="77777777" w:rsidR="00533926" w:rsidRPr="00AA5833" w:rsidRDefault="00533926" w:rsidP="00533926">
      <w:pPr>
        <w:spacing w:after="0" w:line="240" w:lineRule="auto"/>
        <w:ind w:firstLine="709"/>
        <w:jc w:val="both"/>
        <w:rPr>
          <w:rFonts w:ascii="Times New Roman" w:hAnsi="Times New Roman" w:cs="Times New Roman"/>
          <w:b/>
          <w:bCs/>
          <w:sz w:val="24"/>
          <w:szCs w:val="24"/>
        </w:rPr>
      </w:pPr>
    </w:p>
    <w:p w14:paraId="2DF9ED76"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През 2024 г. с финансовата подкрепа на ММС в размер на 130 000 лева от „Българска федерация спорт за всички“ са реализирали 14 спортни прояви от ДСК, по следните видове спорт/спортни дисциплини: лека атлетика, плуване, петанк, основна гимнастика, танци и  масови спортни мероприятия с общо 23 315 участници, в т.ч. хора над 60-годишна възраст.</w:t>
      </w:r>
    </w:p>
    <w:p w14:paraId="6817A1B4"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Всички прояви през 2024 г. включват различни целеви групи, в които няма ограничения по отношение на възрастта и пола, в които се включват голям брой хора над трудоспособна възраст.</w:t>
      </w:r>
    </w:p>
    <w:p w14:paraId="6DA36E6C"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31D024F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1927CC3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26D2065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6249FF76" w14:textId="77777777" w:rsidR="00533926" w:rsidRPr="00AA5833" w:rsidRDefault="00533926" w:rsidP="00533926">
      <w:pPr>
        <w:autoSpaceDE w:val="0"/>
        <w:autoSpaceDN w:val="0"/>
        <w:adjustRightInd w:val="0"/>
        <w:spacing w:after="0" w:line="240" w:lineRule="auto"/>
        <w:jc w:val="both"/>
        <w:rPr>
          <w:rFonts w:ascii="Times New Roman" w:eastAsia="PMingLiU" w:hAnsi="Times New Roman" w:cs="Times New Roman"/>
          <w:b/>
          <w:color w:val="000000"/>
          <w:sz w:val="24"/>
          <w:szCs w:val="24"/>
        </w:rPr>
      </w:pPr>
      <w:r w:rsidRPr="00AA5833">
        <w:rPr>
          <w:rFonts w:ascii="Times New Roman" w:hAnsi="Times New Roman" w:cs="Times New Roman"/>
          <w:b/>
          <w:bCs/>
          <w:sz w:val="24"/>
          <w:szCs w:val="24"/>
        </w:rPr>
        <w:t>7.2.4</w:t>
      </w:r>
      <w:r w:rsidRPr="00AA5833">
        <w:rPr>
          <w:rFonts w:ascii="Times New Roman" w:eastAsia="Times New Roman" w:hAnsi="Times New Roman" w:cs="Times New Roman"/>
          <w:b/>
          <w:bCs/>
          <w:sz w:val="24"/>
          <w:szCs w:val="24"/>
          <w:lang w:eastAsia="bg-BG"/>
        </w:rPr>
        <w:t xml:space="preserve">. </w:t>
      </w:r>
      <w:r w:rsidRPr="00AA5833">
        <w:rPr>
          <w:rFonts w:ascii="Times New Roman" w:eastAsia="PMingLiU" w:hAnsi="Times New Roman" w:cs="Times New Roman"/>
          <w:b/>
          <w:color w:val="000000"/>
          <w:sz w:val="24"/>
          <w:szCs w:val="24"/>
        </w:rPr>
        <w:t>Информиране на гражданите за здравословното хранене на възрастните хора и подобряване на активния им живот</w:t>
      </w:r>
    </w:p>
    <w:p w14:paraId="4BDA3320"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p>
    <w:p w14:paraId="0CE823A0"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През 2024 г. Българската агенция по безопасност на храните е предприела действия за информиране на гражданите относно организирането на безплатни обществени трапезарии (предимно през есенно-зимния период). Едновременно с това Агенцията е осъществявала стриктен контрол, който да гарантира безопасна и качествена храна, достигаща до нуждаещите се лица. </w:t>
      </w:r>
    </w:p>
    <w:p w14:paraId="40AB722A"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lastRenderedPageBreak/>
        <w:tab/>
        <w:t xml:space="preserve">На интернет-страницата на БАБХ са публикувани 8 материала, насочени към повишаване на информираността относно възможностите за безплатен достъп до храна на всички граждани, в т. ч. и на възрастните хора. Осъществени са около 20 медийни изяви, които показват нагледно как се извършва официалният контрол за безопасност и качество на храните и за какво трябва да внимават потребителите при избора на храна. На средствата за масова информация са предоставени около 15 писмени материала по теми, свързани с безопасността на храните. </w:t>
      </w:r>
    </w:p>
    <w:p w14:paraId="0C478236" w14:textId="77777777" w:rsidR="00533926" w:rsidRPr="00AA5833" w:rsidRDefault="00533926" w:rsidP="00533926">
      <w:pPr>
        <w:spacing w:after="0" w:line="240" w:lineRule="auto"/>
        <w:ind w:right="-159" w:firstLine="709"/>
        <w:jc w:val="both"/>
        <w:rPr>
          <w:rFonts w:ascii="Times New Roman" w:eastAsia="Times New Roman" w:hAnsi="Times New Roman" w:cs="Times New Roman"/>
          <w:b/>
          <w:sz w:val="24"/>
          <w:szCs w:val="24"/>
        </w:rPr>
      </w:pPr>
      <w:r w:rsidRPr="00AA5833">
        <w:rPr>
          <w:rFonts w:ascii="Times New Roman" w:eastAsia="Times New Roman" w:hAnsi="Times New Roman" w:cs="Times New Roman"/>
          <w:sz w:val="24"/>
          <w:szCs w:val="24"/>
        </w:rPr>
        <w:t xml:space="preserve">С оглед ограничаването на евентуални измами с храни, засягащи най-чувствително  възрастните хора, в рамките на около 15 интервюта в средствата за комуникация и информация, на обществеността са предоставени данни за планирания и извънплановия контрол в обектите за производство, преработка и дистрибуция на храни, извършван по време на официалните празници в страната. </w:t>
      </w:r>
    </w:p>
    <w:p w14:paraId="2E5B1A00" w14:textId="77777777" w:rsidR="00533926" w:rsidRPr="00AA5833" w:rsidRDefault="00533926" w:rsidP="00533926">
      <w:pPr>
        <w:spacing w:after="0" w:line="240" w:lineRule="auto"/>
        <w:ind w:right="-159" w:firstLine="709"/>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Изпълнението на мярката допринася за информираност на населението, вкл. на възрастните хора, като се предотвратяват евентуални измами с храни, засягащи тази високорискова група хора.</w:t>
      </w:r>
    </w:p>
    <w:p w14:paraId="7801374E" w14:textId="77777777" w:rsidR="00533926" w:rsidRPr="00AA5833" w:rsidRDefault="00533926" w:rsidP="00533926">
      <w:pPr>
        <w:spacing w:after="0" w:line="240" w:lineRule="auto"/>
        <w:ind w:right="-159" w:firstLine="709"/>
        <w:jc w:val="both"/>
        <w:rPr>
          <w:rFonts w:ascii="Times New Roman" w:eastAsia="Times New Roman" w:hAnsi="Times New Roman" w:cs="Times New Roman"/>
          <w:b/>
          <w:sz w:val="24"/>
          <w:szCs w:val="24"/>
        </w:rPr>
      </w:pPr>
    </w:p>
    <w:p w14:paraId="61B3AC3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44E27DA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БЪЛГАРСКА АГЕНЦИЯ ПО БЕЗОПАСНОСТ НА ХРАНИТЕ</w:t>
      </w:r>
    </w:p>
    <w:p w14:paraId="3FFAD73E" w14:textId="77777777" w:rsidR="00533926" w:rsidRPr="00AA5833" w:rsidRDefault="00533926" w:rsidP="00533926">
      <w:pPr>
        <w:spacing w:after="0" w:line="240" w:lineRule="auto"/>
        <w:ind w:right="-159" w:firstLine="709"/>
        <w:jc w:val="both"/>
        <w:rPr>
          <w:rFonts w:ascii="Times New Roman" w:eastAsia="Times New Roman" w:hAnsi="Times New Roman" w:cs="Times New Roman"/>
          <w:b/>
          <w:sz w:val="24"/>
          <w:szCs w:val="24"/>
        </w:rPr>
      </w:pPr>
    </w:p>
    <w:p w14:paraId="15203720" w14:textId="77777777" w:rsidR="00533926" w:rsidRPr="00AA5833" w:rsidRDefault="00533926" w:rsidP="00533926">
      <w:pPr>
        <w:spacing w:after="0" w:line="240" w:lineRule="auto"/>
        <w:jc w:val="both"/>
        <w:outlineLvl w:val="0"/>
        <w:rPr>
          <w:rFonts w:ascii="Times New Roman" w:eastAsia="PMingLiU" w:hAnsi="Times New Roman" w:cs="Times New Roman"/>
          <w:b/>
          <w:sz w:val="24"/>
          <w:szCs w:val="24"/>
        </w:rPr>
      </w:pPr>
      <w:r w:rsidRPr="00AA5833">
        <w:rPr>
          <w:rFonts w:ascii="Times New Roman" w:hAnsi="Times New Roman" w:cs="Times New Roman"/>
          <w:b/>
          <w:bCs/>
          <w:sz w:val="24"/>
          <w:szCs w:val="24"/>
        </w:rPr>
        <w:t>7.2.5.</w:t>
      </w:r>
      <w:r w:rsidRPr="00AA5833">
        <w:rPr>
          <w:rFonts w:ascii="Times New Roman" w:eastAsia="PMingLiU" w:hAnsi="Times New Roman" w:cs="Times New Roman"/>
          <w:b/>
          <w:sz w:val="24"/>
          <w:szCs w:val="24"/>
        </w:rPr>
        <w:t xml:space="preserve"> Информиране на обществеността и отправяне на препоръки чрез електронната страница на БАБХ за повишаване на познанията за качеството и безопасността на храните и начина на хранене на възрастните хора</w:t>
      </w:r>
    </w:p>
    <w:p w14:paraId="0FEF72B0" w14:textId="77777777" w:rsidR="00533926" w:rsidRPr="00AA5833" w:rsidRDefault="00533926" w:rsidP="00533926">
      <w:pPr>
        <w:spacing w:after="0" w:line="240" w:lineRule="auto"/>
        <w:jc w:val="both"/>
        <w:outlineLvl w:val="0"/>
        <w:rPr>
          <w:rFonts w:ascii="Times New Roman" w:hAnsi="Times New Roman" w:cs="Times New Roman"/>
          <w:color w:val="FF0000"/>
          <w:sz w:val="24"/>
          <w:szCs w:val="24"/>
        </w:rPr>
      </w:pPr>
    </w:p>
    <w:p w14:paraId="700F75EB" w14:textId="77777777" w:rsidR="00533926" w:rsidRPr="00AA5833" w:rsidRDefault="00533926" w:rsidP="00533926">
      <w:pPr>
        <w:spacing w:after="0" w:line="240" w:lineRule="auto"/>
        <w:ind w:firstLine="709"/>
        <w:jc w:val="both"/>
        <w:outlineLvl w:val="0"/>
        <w:rPr>
          <w:rFonts w:ascii="Times New Roman" w:hAnsi="Times New Roman" w:cs="Times New Roman"/>
          <w:color w:val="FF0000"/>
          <w:sz w:val="24"/>
          <w:szCs w:val="24"/>
        </w:rPr>
      </w:pPr>
      <w:r w:rsidRPr="00AA5833">
        <w:rPr>
          <w:rFonts w:ascii="Times New Roman" w:hAnsi="Times New Roman" w:cs="Times New Roman"/>
          <w:sz w:val="24"/>
          <w:szCs w:val="24"/>
        </w:rPr>
        <w:t>Българската агенция по безопасност на храните регулярно публикува на електронната си страница съвети и препоръки към потребителите, включително насочени към възрастните хора, касаещи начина на хранене и избягването на свързани с храната и храненето неблагоприятни фактори, които влияят отрицателно на човешкото здраве.</w:t>
      </w:r>
    </w:p>
    <w:p w14:paraId="1C2BAA1D" w14:textId="77777777" w:rsidR="00533926" w:rsidRPr="00AA5833" w:rsidRDefault="00533926" w:rsidP="00533926">
      <w:pPr>
        <w:tabs>
          <w:tab w:val="left" w:pos="0"/>
        </w:tabs>
        <w:spacing w:after="0" w:line="240" w:lineRule="auto"/>
        <w:jc w:val="both"/>
        <w:rPr>
          <w:rFonts w:ascii="Times New Roman" w:hAnsi="Times New Roman" w:cs="Times New Roman"/>
          <w:color w:val="5B9BD5" w:themeColor="accent1"/>
          <w:sz w:val="24"/>
          <w:szCs w:val="24"/>
        </w:rPr>
      </w:pPr>
      <w:r w:rsidRPr="00AA5833">
        <w:rPr>
          <w:rFonts w:ascii="Times New Roman" w:hAnsi="Times New Roman" w:cs="Times New Roman"/>
          <w:color w:val="5B9BD5" w:themeColor="accent1"/>
          <w:sz w:val="24"/>
          <w:szCs w:val="24"/>
        </w:rPr>
        <w:tab/>
      </w:r>
      <w:r w:rsidRPr="00AA5833">
        <w:rPr>
          <w:rFonts w:ascii="Times New Roman" w:hAnsi="Times New Roman" w:cs="Times New Roman"/>
          <w:sz w:val="24"/>
          <w:szCs w:val="24"/>
        </w:rPr>
        <w:t xml:space="preserve">През 2024 г. на електронната страница на БАБХ по темата са публикувани 10 печатни материала, а на средствата за масова комуникация са предоставени 9 статии и информации с препоръки за гражданите. </w:t>
      </w:r>
    </w:p>
    <w:p w14:paraId="5229EA2F"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r w:rsidRPr="00AA5833">
        <w:rPr>
          <w:rFonts w:ascii="Times New Roman" w:hAnsi="Times New Roman" w:cs="Times New Roman"/>
          <w:color w:val="5B9BD5" w:themeColor="accent1"/>
          <w:sz w:val="24"/>
          <w:szCs w:val="24"/>
        </w:rPr>
        <w:tab/>
      </w:r>
      <w:r w:rsidRPr="00AA5833">
        <w:rPr>
          <w:rFonts w:ascii="Times New Roman" w:hAnsi="Times New Roman" w:cs="Times New Roman"/>
          <w:sz w:val="24"/>
          <w:szCs w:val="24"/>
        </w:rPr>
        <w:t>Представители на БАБХ са взели участие в 20 различни форуми и събития, организирани от други институции, асоциации и неправителствени организации, предоставяйки информация по въпроси, свързани с безопасността на храните и ползите от здравословното хранене.</w:t>
      </w:r>
    </w:p>
    <w:p w14:paraId="2D09EA23"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r w:rsidRPr="00AA5833">
        <w:rPr>
          <w:rFonts w:ascii="Times New Roman" w:hAnsi="Times New Roman" w:cs="Times New Roman"/>
          <w:color w:val="5B9BD5" w:themeColor="accent1"/>
          <w:sz w:val="24"/>
          <w:szCs w:val="24"/>
        </w:rPr>
        <w:tab/>
      </w:r>
      <w:r w:rsidRPr="00AA5833">
        <w:rPr>
          <w:rFonts w:ascii="Times New Roman" w:hAnsi="Times New Roman" w:cs="Times New Roman"/>
          <w:sz w:val="24"/>
          <w:szCs w:val="24"/>
        </w:rPr>
        <w:t>Във връзка с осъществяване на контролната си дейност инспектори от Областните дирекции по безопасност на храните извършват постоянни проверки и в специализирани заведения за възрастни хора, както и в кетърингови фирми, доставящи храни в старчески и други домове за настаняване на възрастни хора.</w:t>
      </w:r>
    </w:p>
    <w:p w14:paraId="70680B1E"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p>
    <w:p w14:paraId="627F65E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 xml:space="preserve">БЪЛГАРСКИ ЧЕРВЕН КРЪСТ </w:t>
      </w:r>
    </w:p>
    <w:p w14:paraId="4C7506E4" w14:textId="77777777" w:rsidR="00533926" w:rsidRPr="00AA5833" w:rsidRDefault="00533926" w:rsidP="00533926">
      <w:pPr>
        <w:tabs>
          <w:tab w:val="left" w:pos="0"/>
        </w:tabs>
        <w:spacing w:after="0" w:line="240" w:lineRule="auto"/>
        <w:jc w:val="both"/>
        <w:rPr>
          <w:rFonts w:ascii="Times New Roman" w:hAnsi="Times New Roman" w:cs="Times New Roman"/>
          <w:sz w:val="24"/>
          <w:szCs w:val="24"/>
        </w:rPr>
      </w:pPr>
    </w:p>
    <w:p w14:paraId="4096269B" w14:textId="77777777" w:rsidR="00533926" w:rsidRPr="00AA5833" w:rsidRDefault="00533926" w:rsidP="00533926">
      <w:pPr>
        <w:tabs>
          <w:tab w:val="left" w:pos="0"/>
        </w:tabs>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7.2.6. Организиране на състезание за лица над 60 години по първа помощ, бедствена готовност, психо-социална подкрепа и права на възрастните хора</w:t>
      </w:r>
    </w:p>
    <w:p w14:paraId="5B53D09D" w14:textId="77777777" w:rsidR="00533926" w:rsidRPr="00AA5833" w:rsidRDefault="00533926" w:rsidP="00533926">
      <w:pPr>
        <w:tabs>
          <w:tab w:val="left" w:pos="0"/>
        </w:tabs>
        <w:spacing w:after="0" w:line="240" w:lineRule="auto"/>
        <w:jc w:val="both"/>
        <w:rPr>
          <w:rFonts w:ascii="Times New Roman" w:hAnsi="Times New Roman" w:cs="Times New Roman"/>
          <w:b/>
          <w:sz w:val="24"/>
          <w:szCs w:val="24"/>
        </w:rPr>
      </w:pPr>
    </w:p>
    <w:p w14:paraId="3976FBBD"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hAnsi="Times New Roman" w:cs="Times New Roman"/>
          <w:sz w:val="24"/>
          <w:szCs w:val="24"/>
        </w:rPr>
        <w:tab/>
        <w:t>Предвид високия риск от бедност и социално изключване и продължаващата демографска тенденция на застаряване на населението, вниманието към в</w:t>
      </w:r>
      <w:r w:rsidRPr="00AA5833">
        <w:rPr>
          <w:rFonts w:ascii="Times New Roman" w:hAnsi="Times New Roman" w:cs="Times New Roman"/>
          <w:bCs/>
          <w:sz w:val="24"/>
          <w:szCs w:val="24"/>
        </w:rPr>
        <w:t>ъзрастните хора</w:t>
      </w:r>
      <w:r w:rsidRPr="00AA5833">
        <w:rPr>
          <w:rFonts w:ascii="Times New Roman" w:hAnsi="Times New Roman" w:cs="Times New Roman"/>
          <w:b/>
          <w:bCs/>
          <w:sz w:val="24"/>
          <w:szCs w:val="24"/>
        </w:rPr>
        <w:t xml:space="preserve"> </w:t>
      </w:r>
      <w:r w:rsidRPr="00AA5833">
        <w:rPr>
          <w:rFonts w:ascii="Times New Roman" w:hAnsi="Times New Roman" w:cs="Times New Roman"/>
          <w:bCs/>
          <w:sz w:val="24"/>
          <w:szCs w:val="24"/>
        </w:rPr>
        <w:t>трябва да е във фокуса на обществото</w:t>
      </w:r>
      <w:r w:rsidRPr="00AA5833">
        <w:rPr>
          <w:rFonts w:ascii="Times New Roman" w:hAnsi="Times New Roman" w:cs="Times New Roman"/>
          <w:sz w:val="24"/>
          <w:szCs w:val="24"/>
        </w:rPr>
        <w:t>. Именно затова, н</w:t>
      </w:r>
      <w:r w:rsidRPr="00AA5833">
        <w:rPr>
          <w:rFonts w:ascii="Times New Roman" w:eastAsia="Calibri" w:hAnsi="Times New Roman" w:cs="Times New Roman"/>
          <w:sz w:val="24"/>
          <w:szCs w:val="24"/>
        </w:rPr>
        <w:t xml:space="preserve">аред с реализирането на голям брой социални дейности и предоставяне на различни социални услуги, БЧК работи </w:t>
      </w:r>
      <w:r w:rsidRPr="00AA5833">
        <w:rPr>
          <w:rFonts w:ascii="Times New Roman" w:eastAsia="Calibri" w:hAnsi="Times New Roman" w:cs="Times New Roman"/>
          <w:sz w:val="24"/>
          <w:szCs w:val="24"/>
        </w:rPr>
        <w:lastRenderedPageBreak/>
        <w:t xml:space="preserve">и за </w:t>
      </w:r>
      <w:r w:rsidRPr="00AA5833">
        <w:rPr>
          <w:rFonts w:ascii="Times New Roman" w:eastAsia="Calibri" w:hAnsi="Times New Roman" w:cs="Times New Roman"/>
          <w:bCs/>
          <w:sz w:val="24"/>
          <w:szCs w:val="24"/>
        </w:rPr>
        <w:t>повишаване капацитета на възрастните хора</w:t>
      </w:r>
      <w:r w:rsidRPr="00AA5833">
        <w:rPr>
          <w:rFonts w:ascii="Times New Roman" w:eastAsia="Calibri" w:hAnsi="Times New Roman" w:cs="Times New Roman"/>
          <w:sz w:val="24"/>
          <w:szCs w:val="24"/>
        </w:rPr>
        <w:t>, чрез прилагане на съвместния подход за работа с тях и организира различни интересни мероприятия.</w:t>
      </w:r>
    </w:p>
    <w:p w14:paraId="24A4604C"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eastAsia="Calibri" w:hAnsi="Times New Roman" w:cs="Times New Roman"/>
          <w:sz w:val="24"/>
          <w:szCs w:val="24"/>
        </w:rPr>
        <w:tab/>
        <w:t>През</w:t>
      </w:r>
      <w:r w:rsidRPr="00AA5833">
        <w:rPr>
          <w:rFonts w:ascii="Times New Roman" w:eastAsia="Times New Roman" w:hAnsi="Times New Roman" w:cs="Times New Roman"/>
          <w:sz w:val="24"/>
          <w:szCs w:val="24"/>
          <w:lang w:eastAsia="pl-PL"/>
        </w:rPr>
        <w:t xml:space="preserve"> 2024 г. БЧК проведе седмото </w:t>
      </w:r>
      <w:r w:rsidRPr="00AA5833">
        <w:rPr>
          <w:rFonts w:ascii="Times New Roman" w:hAnsi="Times New Roman" w:cs="Times New Roman"/>
          <w:sz w:val="24"/>
          <w:szCs w:val="24"/>
        </w:rPr>
        <w:t xml:space="preserve">Национално състезание за възрастни хора по бедствена готовност, първа долекарска помощ, психосоциална подкрепа и водна безопасност, което се проведе във връзка с Международния ден на възрастните хора – 1 октомври. Участие в него взеха общо 75 доброволци над 60 години от 15 области на страната (Благоевград, Варна, Видин, Враца, Габрово, Добрич,  Кюстендил, Кърджали, Ловеч, Пазарджик, Разград, Русе, Търговище, Шумен и Ямбол). Всички отбори бяха предварително обучени от областните организации на БЧК и преминаха през 15 пункта. Те трябваше да се справят със задачи за оказване на първа долекарска помощ при различни инциденти, да окажат психосоциална подкрепа на пострадали при бедствия и да покажат познания за спазване на правила за водна безопасност. </w:t>
      </w:r>
    </w:p>
    <w:p w14:paraId="510F06E5"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Състезанието беше разнообразено с интересни пунктове за почивка, на които пребиваващи в България бежанци разказаха за своя бит и култура и почерпиха участниците с характерни за своите държави специалитети. Имаше обособен кът и на Планинската спасителната служба на БЧК, където отборите се запознаха и с правилата за планинска безопасност. Със заразителен оптимизъм, кураж и мотивация, възрастните състезатели доказаха, че са ценен обществен ресурс, който може и трябва да бъде използван. Победител стана отборът на БЧК – Кърджали, на второ място се класира отборът на БЧК – Шумен, а на трето – БЧК – Враца.</w:t>
      </w:r>
      <w:r w:rsidRPr="00AA5833">
        <w:rPr>
          <w:rFonts w:ascii="Times New Roman" w:eastAsia="Times New Roman" w:hAnsi="Times New Roman" w:cs="Times New Roman"/>
          <w:sz w:val="24"/>
          <w:szCs w:val="24"/>
          <w:lang w:eastAsia="bg-BG"/>
        </w:rPr>
        <w:t xml:space="preserve"> </w:t>
      </w:r>
    </w:p>
    <w:p w14:paraId="48885D60" w14:textId="77777777" w:rsidR="00533926" w:rsidRDefault="00533926" w:rsidP="00533926">
      <w:pPr>
        <w:spacing w:after="0" w:line="240" w:lineRule="auto"/>
        <w:jc w:val="both"/>
        <w:rPr>
          <w:rFonts w:ascii="Times New Roman" w:hAnsi="Times New Roman" w:cs="Times New Roman"/>
          <w:sz w:val="24"/>
          <w:szCs w:val="24"/>
        </w:rPr>
      </w:pPr>
    </w:p>
    <w:p w14:paraId="3273121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ИЗСЛЕДВАНЕ НА НАСЕЛЕНИЕТО И ЧОВЕКА – БАН</w:t>
      </w:r>
    </w:p>
    <w:p w14:paraId="038959D1" w14:textId="77777777" w:rsidR="00533926" w:rsidRPr="00AA5833" w:rsidRDefault="00533926" w:rsidP="00533926">
      <w:pPr>
        <w:spacing w:after="0" w:line="240" w:lineRule="auto"/>
        <w:jc w:val="center"/>
        <w:rPr>
          <w:rFonts w:ascii="Times New Roman" w:hAnsi="Times New Roman" w:cs="Times New Roman"/>
          <w:sz w:val="24"/>
          <w:szCs w:val="24"/>
        </w:rPr>
      </w:pPr>
    </w:p>
    <w:p w14:paraId="47476484" w14:textId="77777777" w:rsidR="00533926" w:rsidRPr="00AA5833" w:rsidRDefault="00533926" w:rsidP="00533926">
      <w:pPr>
        <w:tabs>
          <w:tab w:val="left" w:pos="0"/>
        </w:tabs>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7.2.7. Проект „Колко са социални социалните държави в старееща Европа? Типологизация и развитие според дългосрочната грижа“ (2020–2023) – ръководител доц. С. Черкезова</w:t>
      </w:r>
    </w:p>
    <w:p w14:paraId="18E801A2" w14:textId="77777777" w:rsidR="00EA63A3" w:rsidRPr="00AA5833" w:rsidRDefault="00EA63A3" w:rsidP="00533926">
      <w:pPr>
        <w:tabs>
          <w:tab w:val="left" w:pos="0"/>
        </w:tabs>
        <w:spacing w:after="0" w:line="240" w:lineRule="auto"/>
        <w:jc w:val="both"/>
        <w:rPr>
          <w:rFonts w:ascii="Times New Roman" w:hAnsi="Times New Roman" w:cs="Times New Roman"/>
          <w:b/>
          <w:sz w:val="24"/>
          <w:szCs w:val="24"/>
        </w:rPr>
      </w:pPr>
    </w:p>
    <w:p w14:paraId="179369FD" w14:textId="77777777" w:rsidR="00046C8E" w:rsidRPr="00AA5833" w:rsidRDefault="00046C8E" w:rsidP="00046C8E">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hAnsi="Times New Roman" w:cs="Times New Roman"/>
          <w:color w:val="000000"/>
          <w:sz w:val="24"/>
          <w:szCs w:val="24"/>
        </w:rPr>
        <w:t>По проекта през 2024 г. са разработени някои обосновани предложения за политиките за дългосрочна грижа в България свързани с увеличаване на покритието на дългосрочните грижи, създаване на основа за постоянно финансиране подобно на практиките в някои други страни, както и формулиране на политиките въз основа на потребностите на нуждаещите се от различни видове подкрепа, а не единствено въз основа на неспособността за водене на самостоятелен живот. Проектът беше замразен през 2024г. поради високата натовареност на ръководителя. Поради това  през 2024г. предложенията все още не са публикувани.</w:t>
      </w:r>
    </w:p>
    <w:p w14:paraId="0D55C2FD" w14:textId="77777777" w:rsidR="00EA63A3" w:rsidRPr="00AA5833" w:rsidRDefault="00EA63A3" w:rsidP="00533926">
      <w:pPr>
        <w:tabs>
          <w:tab w:val="left" w:pos="0"/>
        </w:tabs>
        <w:spacing w:after="0" w:line="240" w:lineRule="auto"/>
        <w:jc w:val="both"/>
        <w:rPr>
          <w:rFonts w:ascii="Times New Roman" w:hAnsi="Times New Roman" w:cs="Times New Roman"/>
          <w:b/>
          <w:sz w:val="24"/>
          <w:szCs w:val="24"/>
        </w:rPr>
      </w:pPr>
    </w:p>
    <w:p w14:paraId="2E26209A" w14:textId="77777777" w:rsidR="00533926" w:rsidRPr="00AA5833" w:rsidRDefault="00533926" w:rsidP="00533926">
      <w:pPr>
        <w:spacing w:after="0" w:line="240" w:lineRule="auto"/>
        <w:jc w:val="center"/>
        <w:outlineLvl w:val="0"/>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07BD92BC" w14:textId="77777777" w:rsidR="00533926" w:rsidRPr="00AA5833" w:rsidRDefault="00533926" w:rsidP="00533926">
      <w:pPr>
        <w:spacing w:after="0" w:line="240" w:lineRule="auto"/>
        <w:jc w:val="center"/>
        <w:outlineLvl w:val="0"/>
        <w:rPr>
          <w:rFonts w:ascii="Times New Roman" w:hAnsi="Times New Roman" w:cs="Times New Roman"/>
          <w:b/>
          <w:bCs/>
          <w:sz w:val="24"/>
          <w:szCs w:val="24"/>
        </w:rPr>
      </w:pPr>
    </w:p>
    <w:p w14:paraId="0EB2E129"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r w:rsidRPr="00AA5833">
        <w:rPr>
          <w:rFonts w:ascii="Times New Roman" w:hAnsi="Times New Roman" w:cs="Times New Roman"/>
          <w:b/>
          <w:bCs/>
          <w:sz w:val="24"/>
          <w:szCs w:val="24"/>
        </w:rPr>
        <w:t>7.2.8. Международен изследователски проект „Изследване на здравето, стареенето и пенсионирането в Европа” (SHARE) и национален проект „SHARE ERIC България</w:t>
      </w:r>
    </w:p>
    <w:p w14:paraId="7F749178" w14:textId="77777777" w:rsidR="00533926" w:rsidRPr="00AA5833" w:rsidRDefault="00533926" w:rsidP="00533926">
      <w:pPr>
        <w:spacing w:after="0" w:line="240" w:lineRule="auto"/>
        <w:jc w:val="both"/>
        <w:outlineLvl w:val="0"/>
        <w:rPr>
          <w:rFonts w:ascii="Times New Roman" w:hAnsi="Times New Roman" w:cs="Times New Roman"/>
          <w:b/>
          <w:bCs/>
          <w:sz w:val="24"/>
          <w:szCs w:val="24"/>
        </w:rPr>
      </w:pPr>
    </w:p>
    <w:p w14:paraId="35FDB5E9"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Финансирането по линия на НПКНИ за периода 2023 – 2024 г. е на стойност 285 180 лв.</w:t>
      </w:r>
    </w:p>
    <w:p w14:paraId="6138754C"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По двата проекта са подготвени поредица от научни анализи и доклади. Публикувани са научни статии в научни списания и сборници. Организирани са информационни семинари сред публичната администрация. Изнесени са доклади на национални и международни конференции. </w:t>
      </w:r>
    </w:p>
    <w:p w14:paraId="4DF8D3A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 резултати:</w:t>
      </w:r>
    </w:p>
    <w:p w14:paraId="5DDC8ED9" w14:textId="77777777" w:rsidR="00533926" w:rsidRPr="00AA5833" w:rsidRDefault="00533926" w:rsidP="002A598C">
      <w:pPr>
        <w:numPr>
          <w:ilvl w:val="0"/>
          <w:numId w:val="56"/>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Реализирано е повишаване на институционалния капацитет относно работа с данни от SHARE за политики, основани на знанието.</w:t>
      </w:r>
    </w:p>
    <w:p w14:paraId="71610B39" w14:textId="77777777" w:rsidR="00533926" w:rsidRPr="00AA5833" w:rsidRDefault="00533926" w:rsidP="002A598C">
      <w:pPr>
        <w:numPr>
          <w:ilvl w:val="0"/>
          <w:numId w:val="56"/>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Извършени са анализи на процесите на стареене, качеството на живот, здравето, трудовия живот и пенсионирането.</w:t>
      </w:r>
    </w:p>
    <w:p w14:paraId="32F8753B" w14:textId="77777777" w:rsidR="00533926" w:rsidRPr="00AA5833" w:rsidRDefault="00533926" w:rsidP="002A598C">
      <w:pPr>
        <w:numPr>
          <w:ilvl w:val="0"/>
          <w:numId w:val="56"/>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Осъществен е анализ на нагласи за справяне с пандемията при хората на 50 и повече години в рамките на SHARE COVID CATI 1 и 2.</w:t>
      </w:r>
    </w:p>
    <w:p w14:paraId="00B6251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Въздействие: </w:t>
      </w:r>
    </w:p>
    <w:p w14:paraId="66B98FDC" w14:textId="77777777" w:rsidR="00533926" w:rsidRPr="00AA5833" w:rsidRDefault="00533926" w:rsidP="002A598C">
      <w:pPr>
        <w:numPr>
          <w:ilvl w:val="0"/>
          <w:numId w:val="55"/>
        </w:numPr>
        <w:spacing w:after="0" w:line="240" w:lineRule="auto"/>
        <w:ind w:firstLine="36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 национално ниво – осъществен е анализ на стареенето, трудовия живот и пенсионирането на хората на 50 и повече години в България. Допълнително е проведен анализ на влиянието на пандемията върху хората на 50 и повече години.</w:t>
      </w:r>
    </w:p>
    <w:p w14:paraId="77D0E713" w14:textId="77777777" w:rsidR="00533926" w:rsidRPr="00AA5833" w:rsidRDefault="00533926" w:rsidP="002A598C">
      <w:pPr>
        <w:numPr>
          <w:ilvl w:val="0"/>
          <w:numId w:val="55"/>
        </w:numPr>
        <w:spacing w:after="0" w:line="240" w:lineRule="auto"/>
        <w:ind w:firstLine="36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в международен сравнителен план – направена е съпоставка на условията на живот, здравето, стареенето и пенсионирането в България и всички държави от ЕС. Допълнително е извършен сравнителен анализ на справянето с пандемията при хората на 50 и повече години.</w:t>
      </w:r>
    </w:p>
    <w:p w14:paraId="243DCEBF" w14:textId="77777777" w:rsidR="00CC1BC9" w:rsidRPr="00AA5833" w:rsidRDefault="00CC1BC9" w:rsidP="00533926">
      <w:pPr>
        <w:tabs>
          <w:tab w:val="left" w:pos="0"/>
        </w:tabs>
        <w:spacing w:after="0" w:line="240" w:lineRule="auto"/>
        <w:jc w:val="both"/>
        <w:rPr>
          <w:rFonts w:ascii="Times New Roman" w:hAnsi="Times New Roman" w:cs="Times New Roman"/>
          <w:color w:val="5B9BD5" w:themeColor="accent1"/>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6652116A"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2313F30"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sz w:val="24"/>
                <w:szCs w:val="24"/>
                <w:lang w:eastAsia="bg-BG"/>
              </w:rPr>
              <w:br w:type="page"/>
            </w:r>
            <w:r w:rsidRPr="00AA5833">
              <w:rPr>
                <w:rFonts w:ascii="Times New Roman" w:eastAsia="Times New Roman" w:hAnsi="Times New Roman" w:cs="Times New Roman"/>
                <w:b/>
                <w:bCs/>
                <w:color w:val="000000"/>
                <w:sz w:val="24"/>
                <w:szCs w:val="24"/>
              </w:rPr>
              <w:t>7.3. Социално подпомагане и грижи</w:t>
            </w:r>
          </w:p>
        </w:tc>
      </w:tr>
    </w:tbl>
    <w:p w14:paraId="75730ECF"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sz w:val="24"/>
          <w:szCs w:val="24"/>
          <w:lang w:eastAsia="bg-BG"/>
        </w:rPr>
      </w:pPr>
    </w:p>
    <w:p w14:paraId="5A0C0C57" w14:textId="77777777" w:rsidR="00533926" w:rsidRPr="00AA5833" w:rsidRDefault="00533926" w:rsidP="00533926">
      <w:pPr>
        <w:widowControl w:val="0"/>
        <w:spacing w:after="0" w:line="240" w:lineRule="auto"/>
        <w:ind w:right="-28"/>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1B424A3D" w14:textId="77777777" w:rsidR="00533926" w:rsidRPr="00AA5833" w:rsidRDefault="00533926" w:rsidP="00533926">
      <w:pPr>
        <w:widowControl w:val="0"/>
        <w:spacing w:after="0" w:line="240" w:lineRule="auto"/>
        <w:ind w:right="-28"/>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УО НА ПРЧР 2021-2027</w:t>
      </w:r>
    </w:p>
    <w:p w14:paraId="5926B776" w14:textId="77777777" w:rsidR="00533926" w:rsidRPr="00AA5833" w:rsidRDefault="00533926" w:rsidP="00533926">
      <w:pPr>
        <w:widowControl w:val="0"/>
        <w:spacing w:after="0" w:line="240" w:lineRule="auto"/>
        <w:ind w:right="-28"/>
        <w:jc w:val="center"/>
        <w:rPr>
          <w:rFonts w:ascii="Times New Roman" w:eastAsia="Times New Roman" w:hAnsi="Times New Roman" w:cs="Times New Roman"/>
          <w:b/>
          <w:sz w:val="24"/>
          <w:szCs w:val="24"/>
          <w:highlight w:val="yellow"/>
          <w:lang w:eastAsia="bg-BG"/>
        </w:rPr>
      </w:pPr>
    </w:p>
    <w:p w14:paraId="3D5917A3"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7.3.1. Операция „Грижа в дома“</w:t>
      </w:r>
    </w:p>
    <w:p w14:paraId="1DECA607"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b/>
          <w:sz w:val="24"/>
          <w:szCs w:val="24"/>
          <w:lang w:eastAsia="bg-BG"/>
        </w:rPr>
      </w:pPr>
    </w:p>
    <w:p w14:paraId="1AAA1DE8" w14:textId="77777777" w:rsidR="00533926" w:rsidRPr="00AA5833" w:rsidRDefault="00533926" w:rsidP="00533926">
      <w:pPr>
        <w:widowControl w:val="0"/>
        <w:spacing w:after="0" w:line="240" w:lineRule="auto"/>
        <w:ind w:right="-28"/>
        <w:jc w:val="both"/>
        <w:rPr>
          <w:rFonts w:ascii="Times New Roman" w:eastAsia="Times New Roman" w:hAnsi="Times New Roman" w:cs="Times New Roman"/>
          <w:sz w:val="24"/>
          <w:szCs w:val="24"/>
          <w:lang w:eastAsia="bg-BG"/>
        </w:rPr>
      </w:pPr>
      <w:r w:rsidRPr="00AA5833">
        <w:rPr>
          <w:rFonts w:ascii="Times New Roman" w:hAnsi="Times New Roman" w:cs="Times New Roman"/>
          <w:sz w:val="24"/>
          <w:szCs w:val="24"/>
        </w:rPr>
        <w:tab/>
        <w:t>Операция „Грижа в дома“,</w:t>
      </w:r>
      <w:r w:rsidRPr="00AA5833">
        <w:rPr>
          <w:rFonts w:ascii="Times New Roman" w:eastAsia="Times New Roman" w:hAnsi="Times New Roman" w:cs="Times New Roman"/>
          <w:sz w:val="24"/>
          <w:szCs w:val="24"/>
          <w:lang w:eastAsia="bg-BG"/>
        </w:rPr>
        <w:t xml:space="preserve"> която е от стратегическо значение за Програма „Развитие на човешките ресурси“ 2021 – 2027 г., стартира през м. ноември 2022 г. Процедурата беше с бюджет от 273 млн. лв., а бенефициенти бяха общините в Република България. Изпълнението на мярката приключи през м. февруари 2025 г. и беше насочена към хората с увреждания и възрастните хора, зависими от грижа, на които да се предоставят почасови здравно-социални услуги по домовете. За персонала беше допустимо да се организират обучения и супервизия, както и транспорт до домовете на ползвателите на услугите. Сключени бяха 229 договора на обща стойност 243 110 099 лв., като за периода на изпълнение на проектите до края на 2024 г. бяха обхванати 45 312 лица с увреждания и възрастни в невъзможност за самообслужване.</w:t>
      </w:r>
    </w:p>
    <w:p w14:paraId="0B4A0C13"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b/>
          <w:sz w:val="24"/>
          <w:szCs w:val="24"/>
          <w:lang w:eastAsia="bg-BG"/>
        </w:rPr>
      </w:pPr>
    </w:p>
    <w:p w14:paraId="32BDF09F" w14:textId="77777777" w:rsidR="00533926" w:rsidRPr="00AA5833" w:rsidRDefault="00533926" w:rsidP="00533926">
      <w:pPr>
        <w:widowControl w:val="0"/>
        <w:tabs>
          <w:tab w:val="left" w:pos="426"/>
        </w:tabs>
        <w:spacing w:after="0" w:line="240" w:lineRule="auto"/>
        <w:ind w:right="-28"/>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3BC4D4AF"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sz w:val="24"/>
          <w:szCs w:val="24"/>
          <w:lang w:eastAsia="bg-BG"/>
        </w:rPr>
      </w:pPr>
    </w:p>
    <w:p w14:paraId="09201E0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7.3.2. Преодоляване на идентифицирани лишения от храна и основни материали за осигуряване на нормални условия за живот на възрастните хора със средства по Програмата за храни и основно материално подпомагане 2021 – 2027, финансирана от ЕСФ+ </w:t>
      </w:r>
    </w:p>
    <w:p w14:paraId="302C03CD"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239A977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bidi="bg-BG"/>
        </w:rPr>
      </w:pPr>
      <w:r w:rsidRPr="00AA5833">
        <w:rPr>
          <w:rFonts w:ascii="Times New Roman" w:eastAsia="Times New Roman" w:hAnsi="Times New Roman" w:cs="Times New Roman"/>
          <w:sz w:val="24"/>
          <w:szCs w:val="24"/>
          <w:lang w:eastAsia="bg-BG"/>
        </w:rPr>
        <w:tab/>
        <w:t xml:space="preserve">Мярката се реализира по Програма „Храни и основно материално подпомагане“ /ПХОМП/ 2021 – 2027 г., съфинансирана от ЕСФ+ и цели подобряване качеството на живот на възрастни хора, живеещи в най-висока степен на бедност и социална изолация на територията на цялата страна. В изпълнение на мярката по ПХОМП е осигурено подпомагане с храни и основна материална подкрепа на възрастни хора, чрез предоставяне на </w:t>
      </w:r>
      <w:r w:rsidRPr="00AA5833">
        <w:rPr>
          <w:rFonts w:ascii="Times New Roman" w:eastAsia="Times New Roman" w:hAnsi="Times New Roman" w:cs="Times New Roman"/>
          <w:sz w:val="24"/>
          <w:szCs w:val="24"/>
          <w:lang w:eastAsia="bg-BG" w:bidi="bg-BG"/>
        </w:rPr>
        <w:t>пакети хранителни продукти, хигиенни материали и топъл обяд, както и съпътстващи мерки –</w:t>
      </w:r>
      <w:r w:rsidRPr="00AA5833">
        <w:rPr>
          <w:rFonts w:ascii="Times New Roman" w:eastAsia="Times New Roman" w:hAnsi="Times New Roman" w:cs="Times New Roman"/>
          <w:sz w:val="24"/>
          <w:szCs w:val="24"/>
          <w:lang w:eastAsia="bg-BG"/>
        </w:rPr>
        <w:t xml:space="preserve"> дейности, предвидени в допълнение към разпределянето на храни и/или основно материално подпомагане с цел справяне със социалното изключване и допринасяне към изкореняването на бедността, като например насочването към или предоставянето на социални и здравни услуги, включително на психологическа </w:t>
      </w:r>
      <w:r w:rsidRPr="00AA5833">
        <w:rPr>
          <w:rFonts w:ascii="Times New Roman" w:eastAsia="Times New Roman" w:hAnsi="Times New Roman" w:cs="Times New Roman"/>
          <w:sz w:val="24"/>
          <w:szCs w:val="24"/>
          <w:lang w:eastAsia="bg-BG"/>
        </w:rPr>
        <w:lastRenderedPageBreak/>
        <w:t xml:space="preserve">подкрепа, или предоставянето на съответната информация за публичните услуги или на консултации във връзка с управлението на бюджета на домакинствата. </w:t>
      </w:r>
    </w:p>
    <w:p w14:paraId="7CB2128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bidi="bg-BG"/>
        </w:rPr>
      </w:pPr>
      <w:r w:rsidRPr="00AA5833">
        <w:rPr>
          <w:rFonts w:ascii="Times New Roman" w:eastAsia="Times New Roman" w:hAnsi="Times New Roman" w:cs="Times New Roman"/>
          <w:sz w:val="24"/>
          <w:szCs w:val="24"/>
          <w:lang w:eastAsia="bg-BG" w:bidi="bg-BG"/>
        </w:rPr>
        <w:tab/>
        <w:t xml:space="preserve">В пакетите се включват </w:t>
      </w:r>
      <w:r w:rsidRPr="00AA5833">
        <w:rPr>
          <w:rFonts w:ascii="Times New Roman" w:eastAsia="Times New Roman" w:hAnsi="Times New Roman" w:cs="Times New Roman"/>
          <w:bCs/>
          <w:sz w:val="24"/>
          <w:szCs w:val="24"/>
          <w:lang w:eastAsia="bg-BG" w:bidi="bg-BG"/>
        </w:rPr>
        <w:t>основни хранителни продукти</w:t>
      </w:r>
      <w:r w:rsidRPr="00AA5833">
        <w:rPr>
          <w:rFonts w:ascii="Times New Roman" w:eastAsia="Times New Roman" w:hAnsi="Times New Roman" w:cs="Times New Roman"/>
          <w:sz w:val="24"/>
          <w:szCs w:val="24"/>
          <w:lang w:eastAsia="bg-BG" w:bidi="bg-BG"/>
        </w:rPr>
        <w:t xml:space="preserve">, с които се приготвя храна за цялото семейство. При определяне на съдържанието се следи в тях да присъстват продукти от основните групи храни, необходими за пълноценното и разнообразно хранене, като например богати на белтък храни, зърнени храни и др. Съдържанието е консултирано с Министерството на здравеопазването, а в хода на изпълнение се получава и обратна връзка от потребителите. </w:t>
      </w:r>
    </w:p>
    <w:p w14:paraId="567D1AB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bidi="bg-BG"/>
        </w:rPr>
      </w:pPr>
      <w:r w:rsidRPr="00AA5833">
        <w:rPr>
          <w:rFonts w:ascii="Times New Roman" w:eastAsia="Times New Roman" w:hAnsi="Times New Roman" w:cs="Times New Roman"/>
          <w:sz w:val="24"/>
          <w:szCs w:val="24"/>
          <w:lang w:eastAsia="bg-BG" w:bidi="bg-BG"/>
        </w:rPr>
        <w:tab/>
        <w:t>Пакетите с хигиенни продукти съдържат: продукти за лична хигиена, почистващи, перилни и миещи препарати, също предназначени за цялото семейство.</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ab/>
      </w:r>
      <w:r w:rsidRPr="00AA5833">
        <w:rPr>
          <w:rFonts w:ascii="Times New Roman" w:eastAsia="Times New Roman" w:hAnsi="Times New Roman" w:cs="Times New Roman"/>
          <w:sz w:val="24"/>
          <w:szCs w:val="24"/>
          <w:lang w:eastAsia="bg-BG" w:bidi="bg-BG"/>
        </w:rPr>
        <w:t>Чрез подпомагането с топъл обяд се цели да се осигури здравословна, разнообразна и питателна топла храна за обяд на хора, които не са в състояние сами или с помощта на свои близки да си осигуряват такава. Крайните получатели на топъл обяд ежедневно разчитат на тази помощ и са силно зависими от нея. Топъл обяд за най-нуждаещите се лица се предоставя целогодишно, през всеки работен ден, в отговор на установени трайни и/или неотложни нужди. Подкрепата достига и до по-отдалечени места, където хората изпитват още по-сериозни затруднения за осигуряване на прехраната си. Прясно приготвена топла храна, под формата на супа, основно ястие и хляб и поне веднъж седмично десерт се предоставя на нуждаещи се от цялата страна. Редът и условията за оказване на подкрепа по програмата са определени с Наредба №РД-06-53 от 17.09.2021 г., а принадлежността на лицата към допустимите целеви групи се потвърждава от структурите на АСП по места. Подпомагането се основава на обективни критерии, на индивидуален подход и оценка на нуждите и се реализира на територията на цялата страна.</w:t>
      </w:r>
    </w:p>
    <w:p w14:paraId="187679F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Общият бюджет на ПХОМП е в размер на 473 млн. лева. Към 31.12.2024 г. пакети с хранителни продукти са предоставени на 557 641 лица и членовете на техните семейства, с общо тегло 5 554,921 тона. Пакети с хигиенни материали са предоставени общо на 524 527 лица и членовете на техните семейства. Изпълняват се 230 договора с общини и райони на общини с общ капацитет за осигуряване на топъл обяд на 68 528 лица.</w:t>
      </w:r>
      <w:r w:rsidRPr="00AA5833">
        <w:rPr>
          <w:rFonts w:ascii="Times New Roman" w:eastAsia="Times New Roman" w:hAnsi="Times New Roman" w:cs="Times New Roman"/>
          <w:bCs/>
          <w:sz w:val="24"/>
          <w:szCs w:val="24"/>
          <w:lang w:eastAsia="bg-BG"/>
        </w:rPr>
        <w:t xml:space="preserve"> Топъл обяд е предоставен на общо 92 800 крайни получатели в рамките на изпълняваните проекти.</w:t>
      </w:r>
      <w:r w:rsidRPr="00AA5833">
        <w:rPr>
          <w:rFonts w:ascii="Times New Roman" w:eastAsia="Times New Roman" w:hAnsi="Times New Roman" w:cs="Times New Roman"/>
          <w:sz w:val="24"/>
          <w:szCs w:val="24"/>
          <w:lang w:eastAsia="bg-BG"/>
        </w:rPr>
        <w:t xml:space="preserve"> </w:t>
      </w:r>
    </w:p>
    <w:p w14:paraId="14325F1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ab/>
      </w:r>
      <w:r w:rsidRPr="00AA5833">
        <w:rPr>
          <w:rFonts w:ascii="Times New Roman" w:eastAsia="Times New Roman" w:hAnsi="Times New Roman" w:cs="Times New Roman"/>
          <w:bCs/>
          <w:sz w:val="24"/>
          <w:szCs w:val="24"/>
          <w:lang w:eastAsia="bg-BG"/>
        </w:rPr>
        <w:t>Паралелно с материалната помощ лицата в нужда получават и съпътстваща подкрепа, която ще им помогне да преодолеят в дългосрочен план социалната изолация и бедността, в която живеят.</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bCs/>
          <w:sz w:val="24"/>
          <w:szCs w:val="24"/>
          <w:lang w:eastAsia="bg-BG"/>
        </w:rPr>
        <w:t>Съпътстващите мерки се допълват с насочване към мерки и дейности за заетост и обучения, финансирани от Европейския социален фонд+. По операция „Топъл обяд“ са осъществени 576 556 индивидуални консултации. Засилен е интересът към консултациите и оказване на подкрепа относно предоставяне на социални помощи или социални услуги.</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bCs/>
          <w:sz w:val="24"/>
          <w:szCs w:val="24"/>
          <w:lang w:eastAsia="bg-BG"/>
        </w:rPr>
        <w:t>Предоставени са общо 15 523  индивидуални съпътстващи мерки, изразяващи се в съдействие за попълване на административни формуляри в различни обществени институции и ползване на общински или други административни услуги, следствие на които 4 540 крайни получатели са представили пред различни организации своите молби и заявления.</w:t>
      </w:r>
      <w:r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bCs/>
          <w:sz w:val="24"/>
          <w:szCs w:val="24"/>
          <w:lang w:eastAsia="bg-BG"/>
        </w:rPr>
        <w:t xml:space="preserve">Съдействие за закупуване с лични средства на хранителни продукти, лекарства, заплащане на битови сметки и/или такси са получили 2 775 лица. Чрез съпътстващите мерки се създават условия за подобряване на адаптацията на крайните потребители към средата, в която те живеят. По операция „Подкрепа“ са осъществени 703 985 преки индивидуални и 3916 групови консултации по различните съпътстващи мерки, в които са обхванати 353 349 правоимащи лица. На 209 725 лица е оказано съдействие за ползване на здравни и образователни услуги, следствие на което 630 лица в резултат на консултациите и със съдействието на служители на РЗИ са изследвани анонимно за хепатит Б и С и др. заболявания. На част от лицата е изследвана </w:t>
      </w:r>
      <w:r w:rsidRPr="00AA5833">
        <w:rPr>
          <w:rFonts w:ascii="Times New Roman" w:eastAsia="Times New Roman" w:hAnsi="Times New Roman" w:cs="Times New Roman"/>
          <w:bCs/>
          <w:sz w:val="24"/>
          <w:szCs w:val="24"/>
          <w:lang w:eastAsia="bg-BG"/>
        </w:rPr>
        <w:lastRenderedPageBreak/>
        <w:t>кръвната захар и холестерола и при необходимост са насочени към специалисти и лечебни заведения. Оказана е помощ при изготвяне на документи за ТЕЛК или за смяна на личен лекар. Консултирани или насочени за предоставяне на социални помощи или услуги са 144 146 лица. На 697 732 от правоимащите лица, подпомогнати с хранителни продукти и 349 816 лица подпомогнати с хигиенни материали са раздадени листовки за предоставяните услуги, финансирани от ЕСФ+, брошура „Пътеводител на пациента“ с възможност за преглед с QR код, листовка за ваксинация за коклюш, както и книга „Транспорт на живота“. Изработен е анимационен филм „Нашите здравни права“ за здравните права на правоимащите лица, който е прожектиран по време на раздаването на храните и хигиенните материали.</w:t>
      </w:r>
    </w:p>
    <w:p w14:paraId="6B75AA39"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1C103C81"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35EDD4A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00035EC4" w14:textId="77777777" w:rsidR="00533926" w:rsidRPr="00AA5833" w:rsidRDefault="00533926" w:rsidP="00533926">
      <w:pPr>
        <w:autoSpaceDE w:val="0"/>
        <w:autoSpaceDN w:val="0"/>
        <w:adjustRightInd w:val="0"/>
        <w:spacing w:after="0" w:line="240" w:lineRule="auto"/>
        <w:ind w:firstLine="720"/>
        <w:jc w:val="both"/>
        <w:rPr>
          <w:rFonts w:ascii="Times New Roman" w:hAnsi="Times New Roman" w:cs="Times New Roman"/>
          <w:b/>
          <w:sz w:val="24"/>
          <w:szCs w:val="24"/>
        </w:rPr>
      </w:pPr>
      <w:r w:rsidRPr="00AA5833">
        <w:rPr>
          <w:rFonts w:ascii="Times New Roman" w:hAnsi="Times New Roman" w:cs="Times New Roman"/>
          <w:b/>
          <w:sz w:val="24"/>
          <w:szCs w:val="24"/>
        </w:rPr>
        <w:t>7.3.3. Материално подпомагане</w:t>
      </w:r>
    </w:p>
    <w:p w14:paraId="1C5727BF" w14:textId="77777777" w:rsidR="00533926" w:rsidRPr="00AA5833" w:rsidRDefault="00533926" w:rsidP="00533926">
      <w:pPr>
        <w:spacing w:after="0" w:line="240" w:lineRule="auto"/>
        <w:ind w:firstLine="720"/>
        <w:jc w:val="both"/>
        <w:rPr>
          <w:rFonts w:ascii="Times New Roman" w:hAnsi="Times New Roman" w:cs="Times New Roman"/>
          <w:sz w:val="24"/>
          <w:szCs w:val="24"/>
        </w:rPr>
      </w:pPr>
    </w:p>
    <w:p w14:paraId="569C9A1C"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През отчетния период са проведени общо 11 заседания на Комисията по материално подпомагане, от които 10 за подпомагане с еднократни помощи на лицата по чл. 226з и чл. 298а, ал. 1 от Закона за отбраната и въоръжените сили на Република България и 1 съгласно чл. 13 от Наредба № Н-1/31 януари 2024 г. за условията и редът за подпомагане с парични средства на лицата по чл. 226з и чл. 298а, ал. 1 от Закона за отбраната и въоръжените сили на Република България (Наредбата).</w:t>
      </w:r>
    </w:p>
    <w:p w14:paraId="50D11606"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На проведените десет заседания са разгледани 861 молби за отпускане на материална помощ, от които 604 са удовлетворени, 89 са получили отказ, а 168 са върнати за допълнително анкетно проучване. </w:t>
      </w:r>
    </w:p>
    <w:p w14:paraId="0046D148" w14:textId="77777777" w:rsidR="00533926" w:rsidRPr="00AA5833" w:rsidRDefault="00533926" w:rsidP="00533926">
      <w:pPr>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xml:space="preserve">С еднократни помощи за посрещане на разходите при болест, смърт, злополука и др. са подпомогнати: </w:t>
      </w:r>
    </w:p>
    <w:p w14:paraId="37D75641"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 xml:space="preserve">306 военноинвалиди – 207 636.00 лв.                            </w:t>
      </w:r>
    </w:p>
    <w:p w14:paraId="5B14BDB3"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 xml:space="preserve">6 пенсионирани военнослужещи – 4 300.00 лв. </w:t>
      </w:r>
    </w:p>
    <w:p w14:paraId="45BE6C32"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79 военнослужещи – 174 000.00 лв.</w:t>
      </w:r>
    </w:p>
    <w:p w14:paraId="354990C8"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 xml:space="preserve">2 обучаеми във ВВУ – 300 лв. </w:t>
      </w:r>
    </w:p>
    <w:p w14:paraId="62442198"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 xml:space="preserve">25 цивилни служители – 38 700.00 лв. </w:t>
      </w:r>
    </w:p>
    <w:p w14:paraId="6AC9B55C"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- 2 участници в мисии – 1350 лв.</w:t>
      </w:r>
    </w:p>
    <w:p w14:paraId="573F6EE6"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15 ветерани – 4 400.00 лв.</w:t>
      </w:r>
    </w:p>
    <w:p w14:paraId="378E5DB9"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68 военнопострадали  -  26 770.00 лв.</w:t>
      </w:r>
    </w:p>
    <w:p w14:paraId="6BAE58D2" w14:textId="77777777" w:rsidR="00533926" w:rsidRPr="00AA5833" w:rsidRDefault="00533926" w:rsidP="00533926">
      <w:pPr>
        <w:tabs>
          <w:tab w:val="left" w:pos="90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w:t>
      </w:r>
      <w:r w:rsidRPr="00AA5833">
        <w:rPr>
          <w:rFonts w:ascii="Times New Roman" w:hAnsi="Times New Roman" w:cs="Times New Roman"/>
          <w:sz w:val="24"/>
          <w:szCs w:val="24"/>
        </w:rPr>
        <w:tab/>
        <w:t xml:space="preserve">101 военнопострадали с еднократни целеви помощи за погребения в размер на 28 836.00 лв. </w:t>
      </w:r>
    </w:p>
    <w:p w14:paraId="1A926F98" w14:textId="77777777" w:rsidR="00533926" w:rsidRPr="00AA5833" w:rsidRDefault="00533926" w:rsidP="00533926">
      <w:pPr>
        <w:spacing w:after="0" w:line="240" w:lineRule="auto"/>
        <w:ind w:firstLine="720"/>
        <w:jc w:val="both"/>
        <w:rPr>
          <w:rFonts w:ascii="Times New Roman" w:hAnsi="Times New Roman" w:cs="Times New Roman"/>
          <w:b/>
          <w:sz w:val="24"/>
          <w:szCs w:val="24"/>
        </w:rPr>
      </w:pPr>
      <w:r w:rsidRPr="00AA5833">
        <w:rPr>
          <w:rFonts w:ascii="Times New Roman" w:hAnsi="Times New Roman" w:cs="Times New Roman"/>
          <w:b/>
          <w:sz w:val="24"/>
          <w:szCs w:val="24"/>
        </w:rPr>
        <w:t>Общ размер на отпуснатите еднократни помощи през 2024 г. – 486 292,00 лв.</w:t>
      </w:r>
    </w:p>
    <w:p w14:paraId="7ECFE512" w14:textId="77777777" w:rsidR="00533926" w:rsidRPr="00AA5833" w:rsidRDefault="00533926" w:rsidP="00533926">
      <w:pPr>
        <w:spacing w:after="0" w:line="240" w:lineRule="auto"/>
        <w:ind w:firstLine="720"/>
        <w:jc w:val="both"/>
        <w:rPr>
          <w:rFonts w:ascii="Times New Roman" w:hAnsi="Times New Roman" w:cs="Times New Roman"/>
          <w:bCs/>
          <w:sz w:val="24"/>
          <w:szCs w:val="24"/>
        </w:rPr>
      </w:pPr>
      <w:r w:rsidRPr="00AA5833">
        <w:rPr>
          <w:rFonts w:ascii="Times New Roman" w:hAnsi="Times New Roman" w:cs="Times New Roman"/>
          <w:bCs/>
          <w:sz w:val="24"/>
          <w:szCs w:val="24"/>
        </w:rPr>
        <w:t xml:space="preserve">На основание </w:t>
      </w:r>
      <w:r w:rsidRPr="00AA5833">
        <w:rPr>
          <w:rFonts w:ascii="Times New Roman" w:hAnsi="Times New Roman" w:cs="Times New Roman"/>
          <w:sz w:val="24"/>
          <w:szCs w:val="24"/>
        </w:rPr>
        <w:t xml:space="preserve">чл. 13 от Наредбата </w:t>
      </w:r>
      <w:r w:rsidRPr="00AA5833">
        <w:rPr>
          <w:rFonts w:ascii="Times New Roman" w:hAnsi="Times New Roman" w:cs="Times New Roman"/>
          <w:bCs/>
          <w:sz w:val="24"/>
          <w:szCs w:val="24"/>
        </w:rPr>
        <w:t>и въз основа на утвърдени списъци от министъра на отбраната, на свое заседание № 11 проведено на 29.11.2024 г., Комисията по материално подпомагане при Министерството на отбраната отпусна допълнително еднократни помощи по случай Коледните и Новогодишни празници на:</w:t>
      </w:r>
    </w:p>
    <w:p w14:paraId="0893CEFD" w14:textId="77777777" w:rsidR="00533926" w:rsidRPr="00AA5833" w:rsidRDefault="00533926" w:rsidP="00533926">
      <w:pPr>
        <w:tabs>
          <w:tab w:val="left" w:pos="900"/>
        </w:tabs>
        <w:spacing w:after="0" w:line="240" w:lineRule="auto"/>
        <w:jc w:val="both"/>
        <w:rPr>
          <w:rFonts w:ascii="Times New Roman" w:hAnsi="Times New Roman" w:cs="Times New Roman"/>
          <w:bCs/>
          <w:sz w:val="24"/>
          <w:szCs w:val="24"/>
        </w:rPr>
      </w:pPr>
      <w:r w:rsidRPr="00AA5833">
        <w:rPr>
          <w:rFonts w:ascii="Times New Roman" w:hAnsi="Times New Roman" w:cs="Times New Roman"/>
          <w:b/>
          <w:bCs/>
          <w:sz w:val="24"/>
          <w:szCs w:val="24"/>
        </w:rPr>
        <w:tab/>
        <w:t xml:space="preserve">- 7 </w:t>
      </w:r>
      <w:r w:rsidRPr="00AA5833">
        <w:rPr>
          <w:rFonts w:ascii="Times New Roman" w:hAnsi="Times New Roman" w:cs="Times New Roman"/>
          <w:bCs/>
          <w:sz w:val="24"/>
          <w:szCs w:val="24"/>
        </w:rPr>
        <w:t xml:space="preserve">деца на военнослужещи, загинали при или по повод изпълнение на военната служба по </w:t>
      </w:r>
      <w:r w:rsidRPr="00AA5833">
        <w:rPr>
          <w:rFonts w:ascii="Times New Roman" w:hAnsi="Times New Roman" w:cs="Times New Roman"/>
          <w:b/>
          <w:bCs/>
          <w:sz w:val="24"/>
          <w:szCs w:val="24"/>
        </w:rPr>
        <w:t>2 500 лв.</w:t>
      </w:r>
      <w:r w:rsidRPr="00AA5833">
        <w:rPr>
          <w:rFonts w:ascii="Times New Roman" w:hAnsi="Times New Roman" w:cs="Times New Roman"/>
          <w:bCs/>
          <w:sz w:val="24"/>
          <w:szCs w:val="24"/>
        </w:rPr>
        <w:t xml:space="preserve"> за всяко от тях, общо в размер на </w:t>
      </w:r>
      <w:r w:rsidRPr="00AA5833">
        <w:rPr>
          <w:rFonts w:ascii="Times New Roman" w:hAnsi="Times New Roman" w:cs="Times New Roman"/>
          <w:b/>
          <w:bCs/>
          <w:sz w:val="24"/>
          <w:szCs w:val="24"/>
        </w:rPr>
        <w:t>17 500.00 лв.</w:t>
      </w:r>
    </w:p>
    <w:p w14:paraId="297885AC" w14:textId="77777777" w:rsidR="00533926" w:rsidRPr="00AA5833" w:rsidRDefault="00533926" w:rsidP="00533926">
      <w:pPr>
        <w:tabs>
          <w:tab w:val="left" w:pos="900"/>
        </w:tabs>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ab/>
        <w:t xml:space="preserve">- 174 </w:t>
      </w:r>
      <w:r w:rsidRPr="00AA5833">
        <w:rPr>
          <w:rFonts w:ascii="Times New Roman" w:hAnsi="Times New Roman" w:cs="Times New Roman"/>
          <w:bCs/>
          <w:sz w:val="24"/>
          <w:szCs w:val="24"/>
        </w:rPr>
        <w:t xml:space="preserve">военноинвалиди с трайно намалена работоспособност /вид и степен на увреждане над 90 на сто по </w:t>
      </w:r>
      <w:r w:rsidRPr="00AA5833">
        <w:rPr>
          <w:rFonts w:ascii="Times New Roman" w:hAnsi="Times New Roman" w:cs="Times New Roman"/>
          <w:b/>
          <w:bCs/>
          <w:sz w:val="24"/>
          <w:szCs w:val="24"/>
        </w:rPr>
        <w:t>900 лв</w:t>
      </w:r>
      <w:r w:rsidRPr="00AA5833">
        <w:rPr>
          <w:rFonts w:ascii="Times New Roman" w:hAnsi="Times New Roman" w:cs="Times New Roman"/>
          <w:bCs/>
          <w:sz w:val="24"/>
          <w:szCs w:val="24"/>
        </w:rPr>
        <w:t xml:space="preserve">. и на </w:t>
      </w:r>
      <w:r w:rsidRPr="00AA5833">
        <w:rPr>
          <w:rFonts w:ascii="Times New Roman" w:hAnsi="Times New Roman" w:cs="Times New Roman"/>
          <w:b/>
          <w:bCs/>
          <w:sz w:val="24"/>
          <w:szCs w:val="24"/>
        </w:rPr>
        <w:t xml:space="preserve">628 </w:t>
      </w:r>
      <w:r w:rsidRPr="00AA5833">
        <w:rPr>
          <w:rFonts w:ascii="Times New Roman" w:hAnsi="Times New Roman" w:cs="Times New Roman"/>
          <w:bCs/>
          <w:sz w:val="24"/>
          <w:szCs w:val="24"/>
        </w:rPr>
        <w:t xml:space="preserve">родители и на преживял съпруг /съпруга/ на български граждани, загинали при или по повод изпълнение на военната служба по </w:t>
      </w:r>
      <w:r w:rsidRPr="00AA5833">
        <w:rPr>
          <w:rFonts w:ascii="Times New Roman" w:hAnsi="Times New Roman" w:cs="Times New Roman"/>
          <w:b/>
          <w:bCs/>
          <w:sz w:val="24"/>
          <w:szCs w:val="24"/>
        </w:rPr>
        <w:t>260 лв.</w:t>
      </w:r>
      <w:r w:rsidRPr="00AA5833">
        <w:rPr>
          <w:rFonts w:ascii="Times New Roman" w:hAnsi="Times New Roman" w:cs="Times New Roman"/>
          <w:bCs/>
          <w:sz w:val="24"/>
          <w:szCs w:val="24"/>
        </w:rPr>
        <w:t xml:space="preserve"> за всеки от тях, общо в размер на </w:t>
      </w:r>
      <w:r w:rsidRPr="00AA5833">
        <w:rPr>
          <w:rFonts w:ascii="Times New Roman" w:hAnsi="Times New Roman" w:cs="Times New Roman"/>
          <w:b/>
          <w:bCs/>
          <w:sz w:val="24"/>
          <w:szCs w:val="24"/>
        </w:rPr>
        <w:t>319 880.00лв.</w:t>
      </w:r>
    </w:p>
    <w:p w14:paraId="0FACCF16" w14:textId="77777777" w:rsidR="00533926" w:rsidRPr="00AA5833" w:rsidRDefault="00533926" w:rsidP="00533926">
      <w:pPr>
        <w:spacing w:after="0" w:line="240" w:lineRule="auto"/>
        <w:ind w:firstLine="720"/>
        <w:jc w:val="both"/>
        <w:rPr>
          <w:rFonts w:ascii="Times New Roman" w:hAnsi="Times New Roman" w:cs="Times New Roman"/>
          <w:b/>
          <w:bCs/>
          <w:sz w:val="24"/>
          <w:szCs w:val="24"/>
        </w:rPr>
      </w:pPr>
      <w:r w:rsidRPr="00AA5833">
        <w:rPr>
          <w:rFonts w:ascii="Times New Roman" w:hAnsi="Times New Roman" w:cs="Times New Roman"/>
          <w:b/>
          <w:bCs/>
          <w:sz w:val="24"/>
          <w:szCs w:val="24"/>
        </w:rPr>
        <w:t>Общ размер на отпуснатите помощи през 2024 г. – 823 672.00 лв.</w:t>
      </w:r>
    </w:p>
    <w:p w14:paraId="739129EC" w14:textId="77777777" w:rsidR="00533926" w:rsidRPr="00AA5833" w:rsidRDefault="00533926" w:rsidP="00533926">
      <w:pPr>
        <w:spacing w:after="0" w:line="240" w:lineRule="auto"/>
        <w:ind w:firstLine="720"/>
        <w:jc w:val="both"/>
        <w:rPr>
          <w:rFonts w:ascii="Times New Roman" w:hAnsi="Times New Roman" w:cs="Times New Roman"/>
          <w:b/>
          <w:sz w:val="24"/>
          <w:szCs w:val="24"/>
        </w:rPr>
      </w:pPr>
    </w:p>
    <w:p w14:paraId="23024603"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Отпуснати средства от Комисията по материално подпомагане за 2024 г.</w:t>
      </w:r>
    </w:p>
    <w:p w14:paraId="29449D8F" w14:textId="77777777" w:rsidR="00533926" w:rsidRPr="00AA5833" w:rsidRDefault="00533926" w:rsidP="00533926">
      <w:pPr>
        <w:spacing w:after="0"/>
        <w:jc w:val="center"/>
        <w:rPr>
          <w:b/>
        </w:rPr>
      </w:pPr>
    </w:p>
    <w:p w14:paraId="485D40D4" w14:textId="77777777" w:rsidR="00533926" w:rsidRPr="00AA5833" w:rsidRDefault="00533926" w:rsidP="00533926">
      <w:pPr>
        <w:spacing w:after="0" w:line="240" w:lineRule="auto"/>
        <w:jc w:val="center"/>
        <w:rPr>
          <w:rFonts w:ascii="Times New Roman" w:hAnsi="Times New Roman" w:cs="Times New Roman"/>
          <w:b/>
          <w:sz w:val="24"/>
          <w:szCs w:val="24"/>
        </w:rPr>
      </w:pPr>
      <w:r w:rsidRPr="00AA5833">
        <w:rPr>
          <w:noProof/>
          <w:lang w:eastAsia="bg-BG"/>
        </w:rPr>
        <w:drawing>
          <wp:inline distT="0" distB="0" distL="0" distR="0" wp14:anchorId="2B01A175" wp14:editId="789BDA2B">
            <wp:extent cx="5287993" cy="2855344"/>
            <wp:effectExtent l="0" t="0" r="8255"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8CE29A" w14:textId="77777777" w:rsidR="00533926" w:rsidRPr="00AA5833" w:rsidRDefault="00533926" w:rsidP="00533926">
      <w:pPr>
        <w:spacing w:after="0" w:line="240" w:lineRule="auto"/>
        <w:ind w:firstLine="720"/>
        <w:jc w:val="both"/>
        <w:rPr>
          <w:rFonts w:ascii="Times New Roman" w:hAnsi="Times New Roman" w:cs="Times New Roman"/>
          <w:b/>
          <w:sz w:val="24"/>
          <w:szCs w:val="24"/>
        </w:rPr>
      </w:pPr>
    </w:p>
    <w:p w14:paraId="03DE02C5" w14:textId="77777777" w:rsidR="00533926" w:rsidRPr="00AA5833" w:rsidRDefault="00533926" w:rsidP="00533926">
      <w:pPr>
        <w:spacing w:after="0" w:line="240" w:lineRule="auto"/>
        <w:ind w:firstLine="720"/>
        <w:jc w:val="both"/>
        <w:rPr>
          <w:rFonts w:ascii="Times New Roman" w:hAnsi="Times New Roman" w:cs="Times New Roman"/>
          <w:b/>
          <w:sz w:val="24"/>
          <w:szCs w:val="24"/>
        </w:rPr>
      </w:pPr>
      <w:r w:rsidRPr="00AA5833">
        <w:rPr>
          <w:rFonts w:ascii="Times New Roman" w:hAnsi="Times New Roman" w:cs="Times New Roman"/>
          <w:b/>
          <w:sz w:val="24"/>
          <w:szCs w:val="24"/>
        </w:rPr>
        <w:t>Централен регистър на военноивалидите и военнопострадалите</w:t>
      </w:r>
    </w:p>
    <w:p w14:paraId="771CE45A" w14:textId="77777777" w:rsidR="00533926" w:rsidRPr="00AA5833" w:rsidRDefault="00533926" w:rsidP="00533926">
      <w:pPr>
        <w:spacing w:after="0" w:line="240" w:lineRule="auto"/>
        <w:ind w:firstLine="720"/>
        <w:jc w:val="both"/>
        <w:rPr>
          <w:rFonts w:ascii="Times New Roman" w:hAnsi="Times New Roman" w:cs="Times New Roman"/>
          <w:b/>
          <w:sz w:val="24"/>
          <w:szCs w:val="24"/>
        </w:rPr>
      </w:pPr>
    </w:p>
    <w:p w14:paraId="2A715804"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През 2024 г. в Централния регистър на военноинвалидите и военнопострадалите (чл. 328, ал. 1, т. 5 от ЗОВСРБ) са обработени общо </w:t>
      </w:r>
      <w:r w:rsidRPr="00AA5833">
        <w:rPr>
          <w:rFonts w:ascii="Times New Roman" w:eastAsia="Times New Roman" w:hAnsi="Times New Roman" w:cs="Times New Roman"/>
          <w:b/>
          <w:sz w:val="24"/>
          <w:szCs w:val="24"/>
        </w:rPr>
        <w:t>1067</w:t>
      </w:r>
      <w:r w:rsidRPr="00AA5833">
        <w:rPr>
          <w:rFonts w:ascii="Times New Roman" w:eastAsia="Times New Roman" w:hAnsi="Times New Roman" w:cs="Times New Roman"/>
          <w:sz w:val="24"/>
          <w:szCs w:val="24"/>
        </w:rPr>
        <w:t xml:space="preserve"> документа.</w:t>
      </w:r>
    </w:p>
    <w:p w14:paraId="594A6D17"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Регистрирани са нови </w:t>
      </w:r>
      <w:r w:rsidRPr="00AA5833">
        <w:rPr>
          <w:rFonts w:ascii="Times New Roman" w:eastAsia="Times New Roman" w:hAnsi="Times New Roman" w:cs="Times New Roman"/>
          <w:b/>
          <w:sz w:val="24"/>
          <w:szCs w:val="24"/>
        </w:rPr>
        <w:t>58</w:t>
      </w:r>
      <w:r w:rsidRPr="00AA5833">
        <w:rPr>
          <w:rFonts w:ascii="Times New Roman" w:eastAsia="Times New Roman" w:hAnsi="Times New Roman" w:cs="Times New Roman"/>
          <w:sz w:val="24"/>
          <w:szCs w:val="24"/>
        </w:rPr>
        <w:t xml:space="preserve"> правоимащи, на които са издадени книжки за военноинвалид или военнопострадал; на </w:t>
      </w:r>
      <w:r w:rsidRPr="00AA5833">
        <w:rPr>
          <w:rFonts w:ascii="Times New Roman" w:eastAsia="Times New Roman" w:hAnsi="Times New Roman" w:cs="Times New Roman"/>
          <w:b/>
          <w:sz w:val="24"/>
          <w:szCs w:val="24"/>
        </w:rPr>
        <w:t>34</w:t>
      </w:r>
      <w:r w:rsidRPr="00AA5833">
        <w:rPr>
          <w:rFonts w:ascii="Times New Roman" w:eastAsia="Times New Roman" w:hAnsi="Times New Roman" w:cs="Times New Roman"/>
          <w:sz w:val="24"/>
          <w:szCs w:val="24"/>
        </w:rPr>
        <w:t xml:space="preserve"> човека са изготвени дубликати на загубени книжки, а на </w:t>
      </w:r>
      <w:r w:rsidRPr="00AA5833">
        <w:rPr>
          <w:rFonts w:ascii="Times New Roman" w:eastAsia="Times New Roman" w:hAnsi="Times New Roman" w:cs="Times New Roman"/>
          <w:b/>
          <w:sz w:val="24"/>
          <w:szCs w:val="24"/>
        </w:rPr>
        <w:t>83</w:t>
      </w:r>
      <w:r w:rsidRPr="00AA5833">
        <w:rPr>
          <w:rFonts w:ascii="Times New Roman" w:eastAsia="Times New Roman" w:hAnsi="Times New Roman" w:cs="Times New Roman"/>
          <w:sz w:val="24"/>
          <w:szCs w:val="24"/>
        </w:rPr>
        <w:t xml:space="preserve"> са издадени/продължени рецептурните книжки. </w:t>
      </w:r>
    </w:p>
    <w:p w14:paraId="1747EAD1"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На </w:t>
      </w:r>
      <w:r w:rsidRPr="00AA5833">
        <w:rPr>
          <w:rFonts w:ascii="Times New Roman" w:eastAsia="Times New Roman" w:hAnsi="Times New Roman" w:cs="Times New Roman"/>
          <w:b/>
          <w:sz w:val="24"/>
          <w:szCs w:val="24"/>
        </w:rPr>
        <w:t>2-ма</w:t>
      </w:r>
      <w:r w:rsidRPr="00AA5833">
        <w:rPr>
          <w:rFonts w:ascii="Times New Roman" w:eastAsia="Times New Roman" w:hAnsi="Times New Roman" w:cs="Times New Roman"/>
          <w:sz w:val="24"/>
          <w:szCs w:val="24"/>
        </w:rPr>
        <w:t xml:space="preserve"> човека са преиздадени книжките за военноинвалид или военнопострадал по новия образец от 2016 г., а на </w:t>
      </w:r>
      <w:r w:rsidRPr="00AA5833">
        <w:rPr>
          <w:rFonts w:ascii="Times New Roman" w:eastAsia="Times New Roman" w:hAnsi="Times New Roman" w:cs="Times New Roman"/>
          <w:b/>
          <w:sz w:val="24"/>
          <w:szCs w:val="24"/>
        </w:rPr>
        <w:t>805</w:t>
      </w:r>
      <w:r w:rsidRPr="00AA5833">
        <w:rPr>
          <w:rFonts w:ascii="Times New Roman" w:eastAsia="Times New Roman" w:hAnsi="Times New Roman" w:cs="Times New Roman"/>
          <w:sz w:val="24"/>
          <w:szCs w:val="24"/>
        </w:rPr>
        <w:t xml:space="preserve"> правоимащи документите са презаверени.</w:t>
      </w:r>
    </w:p>
    <w:p w14:paraId="3D081723"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Обработени са и </w:t>
      </w:r>
      <w:r w:rsidRPr="00AA5833">
        <w:rPr>
          <w:rFonts w:ascii="Times New Roman" w:eastAsia="Times New Roman" w:hAnsi="Times New Roman" w:cs="Times New Roman"/>
          <w:b/>
          <w:sz w:val="24"/>
          <w:szCs w:val="24"/>
        </w:rPr>
        <w:t>70</w:t>
      </w:r>
      <w:r w:rsidRPr="00AA5833">
        <w:rPr>
          <w:rFonts w:ascii="Times New Roman" w:eastAsia="Times New Roman" w:hAnsi="Times New Roman" w:cs="Times New Roman"/>
          <w:sz w:val="24"/>
          <w:szCs w:val="24"/>
        </w:rPr>
        <w:t xml:space="preserve"> документа и книжки, при които има и е отразена настъпила промяна в обстоятелствата. На 4 човека е отказано за вписване като военноинвалид или военнопострадал в Централния регистър на военноинвалидите и военнопострадалите. На 11 човека са им поискани допълнително документи за уточняване на обстоятелствата при които кандидатстват.</w:t>
      </w:r>
    </w:p>
    <w:p w14:paraId="7A6C70EE"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Ежемесечно, актуализираната информация за правоимащите военноинвалиди и военнопострадали се подава на НЗОК.</w:t>
      </w:r>
    </w:p>
    <w:p w14:paraId="2D3544C9"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Проведени са </w:t>
      </w:r>
      <w:r w:rsidRPr="00AA5833">
        <w:rPr>
          <w:rFonts w:ascii="Times New Roman" w:eastAsia="Times New Roman" w:hAnsi="Times New Roman" w:cs="Times New Roman"/>
          <w:b/>
          <w:sz w:val="24"/>
          <w:szCs w:val="24"/>
        </w:rPr>
        <w:t>25</w:t>
      </w:r>
      <w:r w:rsidRPr="00AA5833">
        <w:rPr>
          <w:rFonts w:ascii="Times New Roman" w:eastAsia="Times New Roman" w:hAnsi="Times New Roman" w:cs="Times New Roman"/>
          <w:sz w:val="24"/>
          <w:szCs w:val="24"/>
        </w:rPr>
        <w:t xml:space="preserve"> заседания на Комисията по разглеждане на заявленията, подадени на основание чл. 12, ал. 1 от Закона за вонноинвалидите и военнопострадалите.</w:t>
      </w:r>
    </w:p>
    <w:p w14:paraId="6F9CA344" w14:textId="77777777" w:rsidR="00533926" w:rsidRPr="00AA5833" w:rsidRDefault="00533926" w:rsidP="00533926">
      <w:pPr>
        <w:spacing w:after="0" w:line="240" w:lineRule="auto"/>
        <w:ind w:right="-142"/>
        <w:jc w:val="center"/>
      </w:pPr>
    </w:p>
    <w:p w14:paraId="67305625" w14:textId="77777777" w:rsidR="00533926" w:rsidRPr="00AA5833" w:rsidRDefault="00533926" w:rsidP="00533926">
      <w:pPr>
        <w:spacing w:after="0"/>
        <w:ind w:right="-142" w:firstLine="720"/>
        <w:jc w:val="both"/>
        <w:rPr>
          <w:color w:val="FF0000"/>
        </w:rPr>
      </w:pPr>
      <w:r w:rsidRPr="00AA5833">
        <w:rPr>
          <w:noProof/>
          <w:lang w:eastAsia="bg-BG"/>
        </w:rPr>
        <w:lastRenderedPageBreak/>
        <w:drawing>
          <wp:inline distT="0" distB="0" distL="0" distR="0" wp14:anchorId="0E0DAD91" wp14:editId="3DC85696">
            <wp:extent cx="4865298" cy="2863970"/>
            <wp:effectExtent l="0" t="0" r="1206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65BFC1" w14:textId="77777777" w:rsidR="00533926" w:rsidRPr="00AA5833" w:rsidRDefault="00533926" w:rsidP="00533926">
      <w:pPr>
        <w:autoSpaceDE w:val="0"/>
        <w:autoSpaceDN w:val="0"/>
        <w:adjustRightInd w:val="0"/>
        <w:spacing w:after="0" w:line="240" w:lineRule="auto"/>
        <w:ind w:firstLine="720"/>
        <w:jc w:val="both"/>
        <w:rPr>
          <w:rFonts w:ascii="Times New Roman" w:hAnsi="Times New Roman" w:cs="Times New Roman"/>
          <w:b/>
          <w:sz w:val="28"/>
          <w:szCs w:val="24"/>
        </w:rPr>
      </w:pPr>
    </w:p>
    <w:p w14:paraId="0E7A21B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ОТБРАНАТА</w:t>
      </w:r>
    </w:p>
    <w:p w14:paraId="7E6B16D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D58B90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7.3.4. Социална кухня </w:t>
      </w:r>
    </w:p>
    <w:p w14:paraId="7FC044B2"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sz w:val="24"/>
          <w:szCs w:val="24"/>
          <w:lang w:eastAsia="bg-BG"/>
        </w:rPr>
      </w:pPr>
    </w:p>
    <w:p w14:paraId="0E184F30" w14:textId="77777777" w:rsidR="00533926" w:rsidRPr="00AA5833" w:rsidRDefault="00533926" w:rsidP="00533926">
      <w:pPr>
        <w:spacing w:after="0" w:line="240" w:lineRule="auto"/>
        <w:ind w:firstLine="720"/>
        <w:jc w:val="both"/>
        <w:rPr>
          <w:rFonts w:ascii="Times New Roman" w:hAnsi="Times New Roman" w:cs="Times New Roman"/>
          <w:bCs/>
          <w:sz w:val="24"/>
          <w:szCs w:val="24"/>
        </w:rPr>
      </w:pPr>
      <w:r w:rsidRPr="00AA5833">
        <w:rPr>
          <w:rFonts w:ascii="Times New Roman" w:hAnsi="Times New Roman" w:cs="Times New Roman"/>
          <w:bCs/>
          <w:sz w:val="24"/>
          <w:szCs w:val="24"/>
        </w:rPr>
        <w:t>Чрез социалните кухни към Министерството на отбраната се предоставя безплатен обяд през работните дни от седмицата на пенсионирани военнослужещи от Министерството на отбраната, структурите на пряко подчинение на министъра на отбраната и Българската армия, ветерани от войните, военноинвалиди, военнопострадали и български граждани, участвали в мисии и операции на въоръжените сили на Република България извън територията на страната. Право да ползват социалните кухни към МО имат изброените лица, ако отговарят на едно от следните условия:</w:t>
      </w:r>
    </w:p>
    <w:p w14:paraId="55A294EA" w14:textId="77777777" w:rsidR="00533926" w:rsidRPr="00AA5833" w:rsidRDefault="00533926" w:rsidP="002A598C">
      <w:pPr>
        <w:numPr>
          <w:ilvl w:val="0"/>
          <w:numId w:val="72"/>
        </w:numPr>
        <w:tabs>
          <w:tab w:val="left" w:pos="900"/>
        </w:tabs>
        <w:spacing w:after="0" w:line="240" w:lineRule="auto"/>
        <w:ind w:firstLine="720"/>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месечният им доход да е по-нисък от определената минимална работна заплата за страната, което се доказва с официален документ, издаден от Националния осигурителен институт – относно размера на пенсията, или друг официален документ и декларация по образец, утвърден от изпълнителния директор на агенцията за липса на допълнителни доходи по смисъла на §1, ал. 1, т. 9 и 10 от Правилника за прилагане на Закона за социалното подпомагане, в т.ч. от наеми, лихви, възнаграждения;</w:t>
      </w:r>
    </w:p>
    <w:p w14:paraId="5937C2DA" w14:textId="77777777" w:rsidR="00533926" w:rsidRPr="00AA5833" w:rsidRDefault="00533926" w:rsidP="002A598C">
      <w:pPr>
        <w:numPr>
          <w:ilvl w:val="0"/>
          <w:numId w:val="72"/>
        </w:numPr>
        <w:tabs>
          <w:tab w:val="left" w:pos="900"/>
        </w:tabs>
        <w:spacing w:after="0" w:line="240" w:lineRule="auto"/>
        <w:ind w:firstLine="720"/>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да са с трайно намалена работоспособност 50 и над 50 на сто, удостоверено от експертно решение на ТЕЛК, и да не са в съжителство с други лица, способни да се грижат за тях, като последното обстоятелство се удостоверява с декларация по образец, утвърден от изпълнителния директор на агенцията; месечният доход на тези лица следва да е по-нисък от размера на определената минимална работна заплата за страната, увеличен с коефициент 1,2, което се доказва с официален документ, издаден от Националния осигурителен институт – относно размера на пенсията, или друг официален документ.</w:t>
      </w:r>
    </w:p>
    <w:p w14:paraId="4B3B09F9" w14:textId="77777777" w:rsidR="00533926" w:rsidRPr="00AA5833" w:rsidRDefault="00533926" w:rsidP="00533926">
      <w:pPr>
        <w:spacing w:after="0" w:line="240" w:lineRule="auto"/>
        <w:ind w:firstLine="720"/>
        <w:jc w:val="both"/>
        <w:rPr>
          <w:rFonts w:ascii="Times New Roman" w:hAnsi="Times New Roman" w:cs="Times New Roman"/>
          <w:bCs/>
          <w:sz w:val="24"/>
          <w:szCs w:val="24"/>
        </w:rPr>
      </w:pPr>
      <w:r w:rsidRPr="00AA5833">
        <w:rPr>
          <w:rFonts w:ascii="Times New Roman" w:hAnsi="Times New Roman" w:cs="Times New Roman"/>
          <w:bCs/>
          <w:sz w:val="24"/>
          <w:szCs w:val="24"/>
        </w:rPr>
        <w:t xml:space="preserve">Социалните кухни на МО са </w:t>
      </w:r>
      <w:r w:rsidRPr="00AA5833">
        <w:rPr>
          <w:rFonts w:ascii="Times New Roman" w:hAnsi="Times New Roman" w:cs="Times New Roman"/>
          <w:b/>
          <w:bCs/>
          <w:sz w:val="24"/>
          <w:szCs w:val="24"/>
        </w:rPr>
        <w:t>26 бр.</w:t>
      </w:r>
      <w:r w:rsidRPr="00AA5833">
        <w:rPr>
          <w:rFonts w:ascii="Times New Roman" w:hAnsi="Times New Roman" w:cs="Times New Roman"/>
          <w:bCs/>
          <w:sz w:val="24"/>
          <w:szCs w:val="24"/>
        </w:rPr>
        <w:t xml:space="preserve"> с общ капацитет </w:t>
      </w:r>
      <w:r w:rsidRPr="00AA5833">
        <w:rPr>
          <w:rFonts w:ascii="Times New Roman" w:hAnsi="Times New Roman" w:cs="Times New Roman"/>
          <w:b/>
          <w:bCs/>
          <w:sz w:val="24"/>
          <w:szCs w:val="24"/>
        </w:rPr>
        <w:t>1 059</w:t>
      </w:r>
      <w:r w:rsidRPr="00AA5833">
        <w:rPr>
          <w:rFonts w:ascii="Times New Roman" w:hAnsi="Times New Roman" w:cs="Times New Roman"/>
          <w:bCs/>
          <w:sz w:val="24"/>
          <w:szCs w:val="24"/>
        </w:rPr>
        <w:t xml:space="preserve"> човека, като средно хранещите се са около </w:t>
      </w:r>
      <w:r w:rsidRPr="00AA5833">
        <w:rPr>
          <w:rFonts w:ascii="Times New Roman" w:hAnsi="Times New Roman" w:cs="Times New Roman"/>
          <w:b/>
          <w:bCs/>
          <w:sz w:val="24"/>
          <w:szCs w:val="24"/>
        </w:rPr>
        <w:t>500</w:t>
      </w:r>
      <w:r w:rsidRPr="00AA5833">
        <w:rPr>
          <w:rFonts w:ascii="Times New Roman" w:hAnsi="Times New Roman" w:cs="Times New Roman"/>
          <w:bCs/>
          <w:sz w:val="24"/>
          <w:szCs w:val="24"/>
        </w:rPr>
        <w:t xml:space="preserve"> човека в градовете Пловдив, Стара Загора, Карлово, Асеновград, София, Дупница, Кюстендил, Ботевград, Благоевград, Банско, Чирпан, </w:t>
      </w:r>
      <w:r w:rsidRPr="00AA5833">
        <w:rPr>
          <w:rFonts w:ascii="Times New Roman" w:hAnsi="Times New Roman" w:cs="Times New Roman"/>
          <w:bCs/>
          <w:sz w:val="24"/>
          <w:szCs w:val="24"/>
        </w:rPr>
        <w:lastRenderedPageBreak/>
        <w:t>Шумен, Пазарджик, Казанлък, Плевен, Ловеч, Лом, Варна</w:t>
      </w:r>
      <w:r w:rsidRPr="00AA5833">
        <w:rPr>
          <w:rFonts w:ascii="Times New Roman" w:hAnsi="Times New Roman" w:cs="Times New Roman"/>
          <w:sz w:val="24"/>
          <w:szCs w:val="24"/>
        </w:rPr>
        <w:t xml:space="preserve">, </w:t>
      </w:r>
      <w:r w:rsidRPr="00AA5833">
        <w:rPr>
          <w:rFonts w:ascii="Times New Roman" w:hAnsi="Times New Roman" w:cs="Times New Roman"/>
          <w:bCs/>
          <w:sz w:val="24"/>
          <w:szCs w:val="24"/>
        </w:rPr>
        <w:t>Сливен, Хасково, Русе, Велико Търново, Айтос, Видин, Ямбол и Бургас.</w:t>
      </w:r>
    </w:p>
    <w:p w14:paraId="32FA7B10" w14:textId="77777777" w:rsidR="00533926" w:rsidRPr="00AA5833" w:rsidRDefault="00533926" w:rsidP="00533926">
      <w:pPr>
        <w:widowControl w:val="0"/>
        <w:tabs>
          <w:tab w:val="left" w:pos="426"/>
        </w:tabs>
        <w:spacing w:after="0" w:line="240" w:lineRule="auto"/>
        <w:ind w:right="-28"/>
        <w:jc w:val="both"/>
        <w:rPr>
          <w:rFonts w:ascii="Times New Roman" w:eastAsia="Times New Roman" w:hAnsi="Times New Roman" w:cs="Times New Roman"/>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4D75F7EB"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4E4FD3F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Направление 8 – Развитие на солидарност между поколенията</w:t>
            </w:r>
          </w:p>
          <w:p w14:paraId="6783FC61"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p>
        </w:tc>
      </w:tr>
    </w:tbl>
    <w:p w14:paraId="41B4D4AD"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7EEB7EEA"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14FD6AD"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sz w:val="24"/>
                <w:szCs w:val="24"/>
                <w:lang w:eastAsia="bg-BG"/>
              </w:rPr>
              <w:t>8.1. Разпределение и диверсифициране на отговорностите, свързани с дългосрочната грижа за старите хора.</w:t>
            </w:r>
          </w:p>
        </w:tc>
      </w:tr>
    </w:tbl>
    <w:p w14:paraId="2B70CF92"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21D7D18F"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6F8F134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5EE414D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ab/>
      </w:r>
      <w:r w:rsidRPr="00AA5833">
        <w:rPr>
          <w:rFonts w:ascii="Times New Roman" w:eastAsia="Times New Roman" w:hAnsi="Times New Roman" w:cs="Times New Roman"/>
          <w:sz w:val="24"/>
          <w:szCs w:val="24"/>
          <w:lang w:eastAsia="bg-BG"/>
        </w:rPr>
        <w:t xml:space="preserve">Отговорностите и извършените дейности, свързани с дългосрочната грижа за възрастните хора, се отчитат с ежегодни доклади за изпълнението на Плановете за действие за изпълнение на Националната стратегия за дългосрочна грижа. Чрез тях се обобщават постигнатите резултати в изпълнението на дейностите по заложените мерки в плана, натрупания опит и предприетите инициативи. Също така, докладите анализират организирането и управлението на процеса по изпълнението на плана, както и взаимодействието и координацията между участниците в него. </w:t>
      </w:r>
    </w:p>
    <w:p w14:paraId="6F013C6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Плановете за действие и докладите по тях може да откриете на следния електронен адрес: </w:t>
      </w:r>
      <w:hyperlink r:id="rId41" w:history="1">
        <w:r w:rsidRPr="00AA5833">
          <w:rPr>
            <w:rFonts w:ascii="Times New Roman" w:eastAsia="Times New Roman" w:hAnsi="Times New Roman" w:cs="Times New Roman"/>
            <w:color w:val="0563C1" w:themeColor="hyperlink"/>
            <w:sz w:val="24"/>
            <w:szCs w:val="24"/>
            <w:u w:val="single"/>
            <w:lang w:eastAsia="bg-BG"/>
          </w:rPr>
          <w:t>https://mlsp.government.bg/deinstitutsionalizatsiya-na-grizhata-za-vzrastni-khora-i-khora-s-uvrezhdaniya</w:t>
        </w:r>
      </w:hyperlink>
      <w:r w:rsidRPr="00AA5833">
        <w:rPr>
          <w:rFonts w:ascii="Times New Roman" w:eastAsia="Times New Roman" w:hAnsi="Times New Roman" w:cs="Times New Roman"/>
          <w:sz w:val="24"/>
          <w:szCs w:val="24"/>
          <w:lang w:eastAsia="bg-BG"/>
        </w:rPr>
        <w:t xml:space="preserve">. </w:t>
      </w:r>
    </w:p>
    <w:p w14:paraId="1D77E8C8" w14:textId="77777777" w:rsidR="00533926" w:rsidRPr="00AA5833" w:rsidRDefault="00533926" w:rsidP="00533926">
      <w:pPr>
        <w:spacing w:after="0" w:line="240" w:lineRule="auto"/>
        <w:jc w:val="both"/>
        <w:rPr>
          <w:rFonts w:ascii="Times New Roman" w:eastAsia="Calibri"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3C368C8"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C2A09B7" w14:textId="77777777" w:rsidR="00533926" w:rsidRPr="00AA5833" w:rsidRDefault="00533926" w:rsidP="00533926">
            <w:pPr>
              <w:spacing w:after="0" w:line="240" w:lineRule="auto"/>
              <w:rPr>
                <w:rFonts w:ascii="Times New Roman" w:hAnsi="Times New Roman" w:cs="Times New Roman"/>
                <w:sz w:val="24"/>
                <w:szCs w:val="24"/>
              </w:rPr>
            </w:pPr>
            <w:r w:rsidRPr="00AA5833">
              <w:rPr>
                <w:rFonts w:ascii="Times New Roman" w:hAnsi="Times New Roman" w:cs="Times New Roman"/>
                <w:b/>
                <w:sz w:val="24"/>
                <w:szCs w:val="24"/>
                <w:lang w:eastAsia="bg-BG"/>
              </w:rPr>
              <w:t>8.2. Активно включване на хора в пенсионна възраст в доброволчески мрежи за солидарност и полагане на грижи за най-старите</w:t>
            </w:r>
          </w:p>
        </w:tc>
      </w:tr>
    </w:tbl>
    <w:p w14:paraId="4A977614"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A0096BA"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F99CAAA"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sz w:val="24"/>
                <w:szCs w:val="24"/>
                <w:lang w:eastAsia="bg-BG"/>
              </w:rPr>
              <w:t>8.3. Разработване на схеми за предаване на опита от по-възрастните към по-младите</w:t>
            </w:r>
          </w:p>
        </w:tc>
      </w:tr>
    </w:tbl>
    <w:p w14:paraId="43A33589"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05A3C0D"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6749AC0C"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sz w:val="24"/>
                <w:szCs w:val="24"/>
                <w:lang w:eastAsia="bg-BG"/>
              </w:rPr>
              <w:t>8.4. Развитие на обществена чувствителност и разбиране към проблемите на възрастните хора</w:t>
            </w:r>
          </w:p>
        </w:tc>
      </w:tr>
    </w:tbl>
    <w:p w14:paraId="70BE8394"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57CAC232" w14:textId="77777777" w:rsidR="00533926" w:rsidRPr="002E676E"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2E676E">
        <w:rPr>
          <w:rFonts w:ascii="Times New Roman" w:eastAsia="Times New Roman" w:hAnsi="Times New Roman" w:cs="Times New Roman"/>
          <w:b/>
          <w:color w:val="0000FF"/>
          <w:sz w:val="24"/>
          <w:szCs w:val="24"/>
          <w:lang w:eastAsia="bg-BG"/>
        </w:rPr>
        <w:t xml:space="preserve">АГЕНЦИЯ ЗА КАЧЕСТВОТО НА СОЦИАЛНИТЕ УСЛУГИ </w:t>
      </w:r>
    </w:p>
    <w:p w14:paraId="1888D4B4" w14:textId="77777777" w:rsidR="00533926" w:rsidRPr="002E676E" w:rsidRDefault="00533926" w:rsidP="00533926">
      <w:pPr>
        <w:spacing w:after="0" w:line="240" w:lineRule="auto"/>
        <w:jc w:val="both"/>
        <w:rPr>
          <w:rFonts w:ascii="Times New Roman" w:eastAsia="Calibri" w:hAnsi="Times New Roman" w:cs="Times New Roman"/>
          <w:b/>
          <w:sz w:val="24"/>
          <w:szCs w:val="24"/>
        </w:rPr>
      </w:pPr>
    </w:p>
    <w:p w14:paraId="5454BD61" w14:textId="77777777" w:rsidR="00533926" w:rsidRDefault="00533926" w:rsidP="00DA75A8">
      <w:pPr>
        <w:spacing w:after="0" w:line="240" w:lineRule="auto"/>
        <w:jc w:val="both"/>
        <w:rPr>
          <w:rFonts w:ascii="Times New Roman" w:eastAsia="Calibri" w:hAnsi="Times New Roman" w:cs="Times New Roman"/>
          <w:b/>
          <w:sz w:val="24"/>
          <w:szCs w:val="24"/>
        </w:rPr>
      </w:pPr>
      <w:r w:rsidRPr="002E676E">
        <w:rPr>
          <w:rFonts w:ascii="Times New Roman" w:eastAsia="Calibri" w:hAnsi="Times New Roman" w:cs="Times New Roman"/>
          <w:b/>
          <w:sz w:val="24"/>
          <w:szCs w:val="24"/>
        </w:rPr>
        <w:t>8.4.1. Провеждане на информационна кампания „Бъдете добре информирани“</w:t>
      </w:r>
    </w:p>
    <w:p w14:paraId="51F210B9" w14:textId="77777777" w:rsidR="00DA75A8" w:rsidRDefault="00DA75A8" w:rsidP="00DA75A8">
      <w:pPr>
        <w:spacing w:after="0" w:line="240" w:lineRule="auto"/>
        <w:jc w:val="both"/>
        <w:rPr>
          <w:rFonts w:ascii="Times New Roman" w:eastAsia="Calibri" w:hAnsi="Times New Roman" w:cs="Times New Roman"/>
          <w:b/>
          <w:sz w:val="24"/>
          <w:szCs w:val="24"/>
        </w:rPr>
      </w:pPr>
    </w:p>
    <w:p w14:paraId="4E7864EB" w14:textId="77777777" w:rsidR="00DA75A8" w:rsidRPr="00DA75A8" w:rsidRDefault="00DA75A8" w:rsidP="00DA75A8">
      <w:pPr>
        <w:spacing w:after="0" w:line="240" w:lineRule="auto"/>
        <w:ind w:firstLine="708"/>
        <w:jc w:val="both"/>
        <w:rPr>
          <w:rFonts w:ascii="Times New Roman" w:eastAsia="Times New Roman" w:hAnsi="Times New Roman" w:cs="Times New Roman"/>
          <w:sz w:val="24"/>
          <w:szCs w:val="24"/>
          <w:lang w:eastAsia="bg-BG"/>
        </w:rPr>
      </w:pPr>
      <w:r w:rsidRPr="00DA75A8">
        <w:rPr>
          <w:rFonts w:ascii="Times New Roman" w:eastAsia="Times New Roman" w:hAnsi="Times New Roman" w:cs="Times New Roman"/>
          <w:sz w:val="24"/>
          <w:szCs w:val="24"/>
          <w:lang w:eastAsia="bg-BG"/>
        </w:rPr>
        <w:t>Агенция за качеството на социалните услуги проведе информационна кампания „Изберете качеството в социалните услуги, за да имат достоен живот вашите близки“,</w:t>
      </w:r>
      <w:r w:rsidR="00C07002">
        <w:rPr>
          <w:rFonts w:ascii="Times New Roman" w:eastAsia="Times New Roman" w:hAnsi="Times New Roman" w:cs="Times New Roman"/>
          <w:sz w:val="24"/>
          <w:szCs w:val="24"/>
          <w:lang w:eastAsia="bg-BG"/>
        </w:rPr>
        <w:t xml:space="preserve"> като чрез официалната интернет-</w:t>
      </w:r>
      <w:r w:rsidRPr="00DA75A8">
        <w:rPr>
          <w:rFonts w:ascii="Times New Roman" w:eastAsia="Times New Roman" w:hAnsi="Times New Roman" w:cs="Times New Roman"/>
          <w:sz w:val="24"/>
          <w:szCs w:val="24"/>
          <w:lang w:eastAsia="bg-BG"/>
        </w:rPr>
        <w:t>страница на АКСУ са излъчени три информационни клипа, които подпомагат лицата при избор на подходяща за тях социална услуга. Изработени са три клипа във видео и аудио вариант. Клиповете са разпространени и чрез МТСП, АСП и НСОРБ, за да достигнат до по-голям кръг лица.</w:t>
      </w:r>
    </w:p>
    <w:p w14:paraId="7BC471CB" w14:textId="77777777" w:rsidR="00DA75A8" w:rsidRPr="00DA75A8" w:rsidRDefault="00DA75A8" w:rsidP="00DA75A8">
      <w:pPr>
        <w:spacing w:after="0" w:line="240" w:lineRule="auto"/>
        <w:ind w:firstLine="708"/>
        <w:jc w:val="both"/>
        <w:rPr>
          <w:rFonts w:ascii="Times New Roman" w:eastAsia="Times New Roman" w:hAnsi="Times New Roman" w:cs="Times New Roman"/>
          <w:sz w:val="24"/>
          <w:szCs w:val="24"/>
          <w:lang w:eastAsia="bg-BG"/>
        </w:rPr>
      </w:pPr>
      <w:r w:rsidRPr="00DA75A8">
        <w:rPr>
          <w:rFonts w:ascii="Times New Roman" w:eastAsia="Times New Roman" w:hAnsi="Times New Roman" w:cs="Times New Roman"/>
          <w:sz w:val="24"/>
          <w:szCs w:val="24"/>
          <w:lang w:eastAsia="bg-BG"/>
        </w:rPr>
        <w:t>Организирани и проведени са 3 регионални срещи в Югозападен район, Южен централен район и Югоизточен район с представители на местната власт. Срещите са проведени в градовете София, Пловдив и Ямбол, като информация за тях е публично оповестена на електронната страница на АКСУ.</w:t>
      </w:r>
    </w:p>
    <w:p w14:paraId="3A4E8490" w14:textId="77777777" w:rsidR="00DA75A8" w:rsidRPr="00DA75A8" w:rsidRDefault="00DA75A8" w:rsidP="00DA75A8">
      <w:pPr>
        <w:spacing w:after="0" w:line="240" w:lineRule="auto"/>
        <w:ind w:firstLine="708"/>
        <w:jc w:val="both"/>
        <w:rPr>
          <w:rFonts w:ascii="Times New Roman" w:eastAsia="Times New Roman" w:hAnsi="Times New Roman" w:cs="Times New Roman"/>
          <w:sz w:val="24"/>
          <w:szCs w:val="24"/>
          <w:lang w:eastAsia="bg-BG"/>
        </w:rPr>
      </w:pPr>
      <w:r w:rsidRPr="00DA75A8">
        <w:rPr>
          <w:rFonts w:ascii="Times New Roman" w:eastAsia="Calibri" w:hAnsi="Times New Roman" w:cs="Times New Roman"/>
          <w:sz w:val="24"/>
          <w:szCs w:val="24"/>
        </w:rPr>
        <w:t xml:space="preserve">За навременно информиране на потребителите на социални </w:t>
      </w:r>
      <w:r w:rsidR="00C07002">
        <w:rPr>
          <w:rFonts w:ascii="Times New Roman" w:eastAsia="Calibri" w:hAnsi="Times New Roman" w:cs="Times New Roman"/>
          <w:sz w:val="24"/>
          <w:szCs w:val="24"/>
        </w:rPr>
        <w:t>услуги, на официалната интернет-</w:t>
      </w:r>
      <w:r w:rsidRPr="00DA75A8">
        <w:rPr>
          <w:rFonts w:ascii="Times New Roman" w:eastAsia="Calibri" w:hAnsi="Times New Roman" w:cs="Times New Roman"/>
          <w:sz w:val="24"/>
          <w:szCs w:val="24"/>
        </w:rPr>
        <w:t xml:space="preserve">страница са създадени и две нови секции: „Издадени заповеди за прекратяване/отнемане на лицензи за предоставяне на социални услуги“ и „Прекратени/отнети лицензи“. Създадена е и допълнителна секция „Важни срокове за лицензираните доставчици на социални услуги“ с цел спазване на нормативно </w:t>
      </w:r>
      <w:r w:rsidRPr="00DA75A8">
        <w:rPr>
          <w:rFonts w:ascii="Times New Roman" w:eastAsia="Calibri" w:hAnsi="Times New Roman" w:cs="Times New Roman"/>
          <w:sz w:val="24"/>
          <w:szCs w:val="24"/>
        </w:rPr>
        <w:lastRenderedPageBreak/>
        <w:t>определените в Закона за социалните услуги (ЗСУ) задължения от страна на доставчиците на социални услуги.</w:t>
      </w:r>
    </w:p>
    <w:p w14:paraId="7140600D" w14:textId="77777777" w:rsidR="003007E7" w:rsidRDefault="003007E7" w:rsidP="00533926">
      <w:pPr>
        <w:spacing w:after="0" w:line="240" w:lineRule="auto"/>
        <w:jc w:val="center"/>
        <w:outlineLvl w:val="0"/>
        <w:rPr>
          <w:rFonts w:ascii="Times New Roman" w:eastAsia="Times New Roman" w:hAnsi="Times New Roman" w:cs="Times New Roman"/>
          <w:b/>
          <w:color w:val="0000FF"/>
          <w:sz w:val="24"/>
          <w:szCs w:val="24"/>
          <w:lang w:eastAsia="bg-BG"/>
        </w:rPr>
      </w:pPr>
    </w:p>
    <w:p w14:paraId="4DB1C776" w14:textId="77777777" w:rsidR="00533926" w:rsidRPr="00AA5833" w:rsidRDefault="00533926" w:rsidP="00533926">
      <w:pPr>
        <w:spacing w:after="0" w:line="240" w:lineRule="auto"/>
        <w:jc w:val="center"/>
        <w:outlineLvl w:val="0"/>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383DD3B5"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36EF986D"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 xml:space="preserve">8.4.2. Проект „Ролята на социалната икономика за преодоляване на социалното изключване, осигуряване на качествени работни места и повече устойчивост“ (SONYA: </w:t>
      </w:r>
      <w:r w:rsidRPr="00DA75A8">
        <w:rPr>
          <w:rFonts w:ascii="Times New Roman" w:eastAsia="Calibri" w:hAnsi="Times New Roman" w:cs="Times New Roman"/>
          <w:b/>
          <w:sz w:val="24"/>
          <w:szCs w:val="24"/>
          <w:lang w:val="en-US"/>
        </w:rPr>
        <w:t>The role of SOcial ecoNomY in Addressing social exclusion, providing quality jobs and greater sustainability)</w:t>
      </w:r>
    </w:p>
    <w:p w14:paraId="20B766FD"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36F6C623" w14:textId="77777777" w:rsidR="00533926" w:rsidRPr="00AA5833" w:rsidRDefault="00533926" w:rsidP="00533926">
      <w:pPr>
        <w:spacing w:after="0" w:line="240" w:lineRule="auto"/>
        <w:jc w:val="both"/>
        <w:rPr>
          <w:rFonts w:ascii="Times New Roman" w:eastAsia="Calibri" w:hAnsi="Times New Roman" w:cs="Times New Roman"/>
          <w:bCs/>
          <w:sz w:val="24"/>
          <w:szCs w:val="24"/>
        </w:rPr>
      </w:pPr>
      <w:r w:rsidRPr="00AA5833">
        <w:rPr>
          <w:rFonts w:ascii="Times New Roman" w:eastAsia="Calibri" w:hAnsi="Times New Roman" w:cs="Times New Roman"/>
          <w:bCs/>
          <w:sz w:val="24"/>
          <w:szCs w:val="24"/>
        </w:rPr>
        <w:tab/>
        <w:t>Проектът е финансиран от ЕК по рамкова програма „Хоризонт Европа“. Финансирането за 2024 г. е на стойност 293 500,94 лв. По проекта са подготвени научни анализи и доклади.</w:t>
      </w:r>
    </w:p>
    <w:p w14:paraId="341BF878" w14:textId="77777777" w:rsidR="00DA75A8" w:rsidRPr="00AA5833" w:rsidRDefault="00533926" w:rsidP="00533926">
      <w:pPr>
        <w:spacing w:after="0" w:line="240" w:lineRule="auto"/>
        <w:jc w:val="both"/>
        <w:rPr>
          <w:rFonts w:ascii="Times New Roman" w:eastAsia="Calibri" w:hAnsi="Times New Roman" w:cs="Times New Roman"/>
          <w:bCs/>
          <w:sz w:val="24"/>
          <w:szCs w:val="24"/>
        </w:rPr>
      </w:pPr>
      <w:r w:rsidRPr="00AA5833">
        <w:rPr>
          <w:rFonts w:ascii="Times New Roman" w:eastAsia="Calibri" w:hAnsi="Times New Roman" w:cs="Times New Roman"/>
          <w:bCs/>
          <w:sz w:val="24"/>
          <w:szCs w:val="24"/>
        </w:rPr>
        <w:tab/>
        <w:t>Основните резултати са:</w:t>
      </w:r>
    </w:p>
    <w:p w14:paraId="3017DF93" w14:textId="77777777" w:rsidR="00533926" w:rsidRPr="00AA5833" w:rsidRDefault="00533926" w:rsidP="00DA75A8">
      <w:pPr>
        <w:numPr>
          <w:ilvl w:val="0"/>
          <w:numId w:val="57"/>
        </w:numPr>
        <w:spacing w:after="0" w:line="240" w:lineRule="auto"/>
        <w:ind w:left="0" w:firstLine="709"/>
        <w:contextualSpacing/>
        <w:jc w:val="both"/>
        <w:rPr>
          <w:rFonts w:ascii="Times New Roman" w:eastAsia="Calibri" w:hAnsi="Times New Roman" w:cs="Times New Roman"/>
          <w:bCs/>
          <w:sz w:val="24"/>
          <w:szCs w:val="24"/>
        </w:rPr>
      </w:pPr>
      <w:r w:rsidRPr="00AA5833">
        <w:rPr>
          <w:rFonts w:ascii="Times New Roman" w:eastAsia="Calibri" w:hAnsi="Times New Roman" w:cs="Times New Roman"/>
          <w:sz w:val="24"/>
          <w:szCs w:val="24"/>
        </w:rPr>
        <w:t xml:space="preserve">Изведена е ролята на </w:t>
      </w:r>
      <w:r w:rsidRPr="00AA5833">
        <w:rPr>
          <w:rFonts w:ascii="Times New Roman" w:eastAsia="Calibri" w:hAnsi="Times New Roman" w:cs="Times New Roman"/>
          <w:bCs/>
          <w:sz w:val="24"/>
          <w:szCs w:val="24"/>
        </w:rPr>
        <w:t xml:space="preserve">социалната икономика за намаляване на социалното изключване, създаване на качествени работни места и насърчаване на устойчиви социални модели. </w:t>
      </w:r>
    </w:p>
    <w:p w14:paraId="1EE8C4EC" w14:textId="77777777" w:rsidR="00533926" w:rsidRPr="00AA5833" w:rsidRDefault="00533926" w:rsidP="00DA75A8">
      <w:pPr>
        <w:numPr>
          <w:ilvl w:val="0"/>
          <w:numId w:val="57"/>
        </w:numPr>
        <w:spacing w:after="0" w:line="240" w:lineRule="auto"/>
        <w:ind w:left="0" w:firstLine="709"/>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Дефиниран е секторът на грижата за възрастни хора, като област от нарастващо обществено значение в условията на демографски промени в Европа. </w:t>
      </w:r>
    </w:p>
    <w:p w14:paraId="62D76640" w14:textId="77777777" w:rsidR="00533926" w:rsidRPr="00AA5833" w:rsidRDefault="00533926" w:rsidP="00DA75A8">
      <w:pPr>
        <w:numPr>
          <w:ilvl w:val="0"/>
          <w:numId w:val="57"/>
        </w:numPr>
        <w:spacing w:after="0" w:line="240" w:lineRule="auto"/>
        <w:ind w:left="0" w:firstLine="709"/>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Разработени са добри практики и иновативни решения, изготвени препоръки за политики в подкрепа на социалната икономика.</w:t>
      </w:r>
    </w:p>
    <w:p w14:paraId="7C7AA141" w14:textId="77777777" w:rsidR="00533926" w:rsidRPr="00AA5833" w:rsidRDefault="00533926" w:rsidP="00533926">
      <w:pPr>
        <w:spacing w:after="0" w:line="240" w:lineRule="auto"/>
        <w:ind w:left="71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Въздействието е на национално ниво и в международен сравнителен план. </w:t>
      </w:r>
    </w:p>
    <w:p w14:paraId="07892C0F" w14:textId="77777777" w:rsidR="00533926" w:rsidRPr="00AA5833" w:rsidRDefault="00533926" w:rsidP="00533926">
      <w:pPr>
        <w:spacing w:after="0" w:line="240" w:lineRule="auto"/>
        <w:ind w:left="710"/>
        <w:contextualSpacing/>
        <w:jc w:val="both"/>
        <w:rPr>
          <w:rFonts w:ascii="Times New Roman" w:eastAsia="Calibri"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2BC54B41"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46BEF3A" w14:textId="77777777" w:rsidR="00533926" w:rsidRPr="00AA5833" w:rsidRDefault="00533926" w:rsidP="00533926">
            <w:pPr>
              <w:spacing w:after="0" w:line="240" w:lineRule="auto"/>
              <w:rPr>
                <w:rFonts w:ascii="Times New Roman" w:hAnsi="Times New Roman" w:cs="Times New Roman"/>
                <w:sz w:val="24"/>
                <w:szCs w:val="24"/>
              </w:rPr>
            </w:pPr>
            <w:r w:rsidRPr="00AA5833">
              <w:rPr>
                <w:rFonts w:ascii="Times New Roman" w:hAnsi="Times New Roman" w:cs="Times New Roman"/>
                <w:b/>
                <w:sz w:val="24"/>
                <w:szCs w:val="24"/>
                <w:lang w:eastAsia="bg-BG"/>
              </w:rPr>
              <w:t>8.5. Формиране на отговорност и отчитане на въздействието на политически и административни решения върху бъдещето на младите поколения</w:t>
            </w:r>
          </w:p>
        </w:tc>
      </w:tr>
    </w:tbl>
    <w:p w14:paraId="4AE4C585"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03716AB"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457A4F0A"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Направление 9 – Повишаване на общото образователно, духовно и културно  равнище, квалификация, способности и умения на населението от всички възрастови групи</w:t>
            </w:r>
          </w:p>
        </w:tc>
      </w:tr>
    </w:tbl>
    <w:p w14:paraId="5C6D3E0A" w14:textId="77777777" w:rsidR="00533926" w:rsidRPr="00AA5833" w:rsidRDefault="00533926" w:rsidP="00533926">
      <w:pPr>
        <w:spacing w:after="0" w:line="240" w:lineRule="auto"/>
        <w:jc w:val="both"/>
        <w:rPr>
          <w:rFonts w:ascii="Times New Roman" w:eastAsia="Times New Roman" w:hAnsi="Times New Roman" w:cs="Times New Roman"/>
          <w:b/>
          <w:color w:val="FF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0D44ABEE" w14:textId="77777777" w:rsidTr="00533926">
        <w:trPr>
          <w:trHeight w:val="145"/>
        </w:trPr>
        <w:tc>
          <w:tcPr>
            <w:tcW w:w="5000" w:type="pct"/>
            <w:shd w:val="clear" w:color="auto" w:fill="FFFF99"/>
            <w:hideMark/>
          </w:tcPr>
          <w:p w14:paraId="65F1EE02"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9.1. Създаване условия за пълно обхващане на децата в детски градини и предучилищни форми на обучение</w:t>
            </w:r>
          </w:p>
        </w:tc>
      </w:tr>
    </w:tbl>
    <w:p w14:paraId="1E847DD7"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5BDC534E"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2E74CC00"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51C2EEB8"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9.1.1. Финансиране дейността на екипите за обхват по ПМС №100/08.06.2018 г. чрез Национална програма „Заедно за всяко дете“</w:t>
      </w:r>
    </w:p>
    <w:p w14:paraId="3E4CF710"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29AF0212"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За реализирането на приоритетите, свързани с максималното обхващане и включване на децата и учениците в задължителна предучилищна и училищна възраст в образователната система, е създаден постоянно действащ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за постигане на междуинституционално сътрудничество. Работата по Механизма се подпомага чрез изпълнение на дейностите по Национална програма „Заедно за всяко дете“. Чрез реализиране на дейностите по програмата са подобрени взаимодействието и комуникацията между представителите на различните институции, участващи в екипите за обхват, създадени са условия за взаимодействие с родителите за привличането и ангажирането им в процеса на обхващане и включване на децата и учениците в образователната система. В съответствие с общата и специфичните цели на НП „Заедно </w:t>
      </w:r>
      <w:r w:rsidRPr="00AA5833">
        <w:rPr>
          <w:rFonts w:ascii="Times New Roman" w:eastAsia="Calibri" w:hAnsi="Times New Roman" w:cs="Times New Roman"/>
          <w:sz w:val="24"/>
          <w:szCs w:val="24"/>
        </w:rPr>
        <w:lastRenderedPageBreak/>
        <w:t xml:space="preserve">за всяко дете“ през 2024 г. са реализирани дейности в два тематични модула с общ бюджет от 2 260 000 лв., както следва: </w:t>
      </w:r>
    </w:p>
    <w:p w14:paraId="39EF3D8A" w14:textId="77777777" w:rsidR="00533926" w:rsidRPr="00AA5833" w:rsidRDefault="00533926" w:rsidP="002A598C">
      <w:pPr>
        <w:numPr>
          <w:ilvl w:val="0"/>
          <w:numId w:val="86"/>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Модул 1 „Подпомагане на дейността на екипите за обхват“– 2 060 000 лв.</w:t>
      </w:r>
    </w:p>
    <w:p w14:paraId="2A18982C" w14:textId="77777777" w:rsidR="00533926" w:rsidRPr="00AA5833" w:rsidRDefault="00533926" w:rsidP="002A598C">
      <w:pPr>
        <w:numPr>
          <w:ilvl w:val="0"/>
          <w:numId w:val="87"/>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 1 – 60 000 лв.</w:t>
      </w:r>
    </w:p>
    <w:p w14:paraId="0C929CF0" w14:textId="77777777" w:rsidR="00533926" w:rsidRPr="00AA5833" w:rsidRDefault="00533926" w:rsidP="002A598C">
      <w:pPr>
        <w:numPr>
          <w:ilvl w:val="0"/>
          <w:numId w:val="87"/>
        </w:num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 2 – 2 000 000 лв.</w:t>
      </w:r>
    </w:p>
    <w:p w14:paraId="6F9B6B91"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Модул 2 „Добри практики за взаимодействие с родителите на децата и учениците в задължителна предучилищна и училищна възраст“ – 200 000 лв.</w:t>
      </w:r>
    </w:p>
    <w:p w14:paraId="387A8559"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По Дейност 1 от Модул 1 „Подпомагане на дейността на екипите за обхват“ се финансират разходи за командировка на екипите за обхват за осъществяване на мярка „Посещение на адрес“ съгласно Наредбата за командировките в страната и за закупуване на карти/билети за градския транспорт за времето на обходите на членовете на екипите за обхват в рамките на населеното място, когато не се ползват правата по Наредбата за командировките в страната. Допустими са разходи за комуникационни услуги.</w:t>
      </w:r>
    </w:p>
    <w:p w14:paraId="4F5A81EB"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Общият брой на заявените бенефициенти е 70. От тях 17 са бенефициенти от РУО, 47 от тях са от училища и 6 детски градини. Броят на реализираните обходи с участието на членовете на екипа е 5751. В резултат от работата на екипите за обхват от институциите са върнати в образователната система 672 деца и ученици в задължителна предучилищна и училищна възраст.</w:t>
      </w:r>
    </w:p>
    <w:p w14:paraId="5E37055D"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С осигурените средства по Модул 1, Дейност 2 „Подпомагане на екипите за обхват“ са доставени лицензи с възможност за трансфер и обработка на данни към/от клауд базирани конзоли съгласно сключен договор.</w:t>
      </w:r>
    </w:p>
    <w:p w14:paraId="7FD59753"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Резултатите от изпълнението на националната програма „Заедно за всяко дете“, Модул 2 „Добри практики за взаимодействие с родителите на децата и учениците в задължителна предучилищна и училищна възраст“ са следните:</w:t>
      </w:r>
    </w:p>
    <w:p w14:paraId="401B437D"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финансирани са заявките на 73 от кандидатстващите институции, които отговарят на определените в националната програма изисквания, в т.ч. 57 училища и 16 детски градини от 27 области в страната;</w:t>
      </w:r>
    </w:p>
    <w:p w14:paraId="70F8E175"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от осигурените 207 057,03 лв. са усвоени 198 843,75 лв.;</w:t>
      </w:r>
    </w:p>
    <w:p w14:paraId="16EE378C"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включени са 10 219 родители на деца и ученици в задължителна предучилищна и училищна възраст;</w:t>
      </w:r>
    </w:p>
    <w:p w14:paraId="4BD5BB05"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броят на педагогическите специалисти, участвали в дейностите по модула, е 1057;</w:t>
      </w:r>
    </w:p>
    <w:p w14:paraId="61747B64"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броят на външните институции, участвали в дейностите, е 88;</w:t>
      </w:r>
    </w:p>
    <w:p w14:paraId="4CAE9D98"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организирани са 183 информационни кампании за ролята на образованието на децата и учениците сред родителите и общността, в която живеят децата им, с участието на 8472 родители;</w:t>
      </w:r>
    </w:p>
    <w:p w14:paraId="61E0AA22"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организирани са 266 дейности за приобщаване на родители/семействата към училищния живот и мотивирането им за образованието на техните деца с участието на 6903 родители;</w:t>
      </w:r>
    </w:p>
    <w:p w14:paraId="02EBB2FF" w14:textId="77777777" w:rsidR="00533926" w:rsidRPr="00AA5833" w:rsidRDefault="00533926" w:rsidP="002A598C">
      <w:pPr>
        <w:numPr>
          <w:ilvl w:val="0"/>
          <w:numId w:val="88"/>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проведени са 154 инициативи за популяризиране на добри практики във взаимодействието на институциите за обхващане и включване на деца и ученици в образованието с участието на 6060 родители.</w:t>
      </w:r>
    </w:p>
    <w:p w14:paraId="273E8F8B"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Забелязва се повишаване на ефективността в работата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 както и подобряване на достъпа до предучилищно и училищно образование. С реализирането на дейностите по програмата се намалява относителният дял на необхванатите деца и ученици в задължителна предучилищна и училищна възраст. Чрез реализиране на дейностите по програмата са създадени добри условия за взаимодействие с родителите за привличането </w:t>
      </w:r>
      <w:r w:rsidRPr="00AA5833">
        <w:rPr>
          <w:rFonts w:ascii="Times New Roman" w:eastAsia="Calibri" w:hAnsi="Times New Roman" w:cs="Times New Roman"/>
          <w:sz w:val="24"/>
          <w:szCs w:val="24"/>
        </w:rPr>
        <w:lastRenderedPageBreak/>
        <w:t>и ангажирането им в процеса на обхващане и включване на децата и учениците в образователната система.</w:t>
      </w:r>
    </w:p>
    <w:p w14:paraId="2615961A" w14:textId="77777777" w:rsidR="00533926" w:rsidRPr="00AA5833" w:rsidRDefault="00533926" w:rsidP="00533926">
      <w:pPr>
        <w:spacing w:after="0" w:line="240" w:lineRule="auto"/>
        <w:ind w:firstLine="68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Мярката оказва въздействие на национално ниво.</w:t>
      </w:r>
    </w:p>
    <w:p w14:paraId="252C1C51" w14:textId="77777777" w:rsidR="002E676E" w:rsidRPr="00AA5833" w:rsidRDefault="002E676E" w:rsidP="00533926">
      <w:pPr>
        <w:spacing w:after="0" w:line="240" w:lineRule="auto"/>
        <w:jc w:val="both"/>
        <w:rPr>
          <w:rFonts w:ascii="Times New Roman" w:eastAsia="Calibri"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4C40904C" w14:textId="77777777" w:rsidTr="00533926">
        <w:trPr>
          <w:trHeight w:val="145"/>
        </w:trPr>
        <w:tc>
          <w:tcPr>
            <w:tcW w:w="5000" w:type="pct"/>
            <w:shd w:val="clear" w:color="auto" w:fill="FFFF99"/>
            <w:hideMark/>
          </w:tcPr>
          <w:p w14:paraId="28472419"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9.2. Осигуряване на равен достъп на всички деца до образование във всички образователни степени без разлика на етническа принадлежност, пол, произход, вероизповедание, социално положение и др.</w:t>
            </w:r>
          </w:p>
        </w:tc>
      </w:tr>
    </w:tbl>
    <w:p w14:paraId="63EC9CCF"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07488BF1"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052D4EC2" w14:textId="77777777" w:rsidR="00533926" w:rsidRPr="00AA5833" w:rsidRDefault="00533926" w:rsidP="00533926">
      <w:pPr>
        <w:widowControl w:val="0"/>
        <w:tabs>
          <w:tab w:val="left" w:pos="426"/>
        </w:tabs>
        <w:spacing w:after="0" w:line="240" w:lineRule="auto"/>
        <w:ind w:right="-28"/>
        <w:jc w:val="center"/>
        <w:rPr>
          <w:rFonts w:ascii="Times New Roman" w:eastAsia="Times New Roman" w:hAnsi="Times New Roman" w:cs="Times New Roman"/>
          <w:b/>
          <w:color w:val="0000FF"/>
          <w:sz w:val="24"/>
          <w:szCs w:val="24"/>
          <w:lang w:eastAsia="bg-BG"/>
        </w:rPr>
      </w:pPr>
    </w:p>
    <w:p w14:paraId="363310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9.2.1. Изпълнение на дейности по постоянно действащ Механизъм за съвместна работа на институциите по обхващане и включване в образователната система на деца и ученици в задължителна предучилищна и училищна възраст </w:t>
      </w:r>
    </w:p>
    <w:p w14:paraId="6009853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6848F04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С ПМС №100/08.06.2018 г. (Обн. ДВ. бр. 50 от 15 юни 2018 г., изм. и доп. ДВ. бр. 82 от 18 октомври 2019 г.) се създава постоянно действащ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w:t>
      </w:r>
    </w:p>
    <w:p w14:paraId="5137282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За функционирането на Механизма се внедрява, развива, поддържа и управлява Информационна система за реализация на механизма (ИСРМ), която предоставя интегрирана електронна среда и инструментариум за достъп на лицата, изпълняващи дейности по Механизма. От началниците на регионалните управления на образованието (РУО) е предоставена техническа възможност за достъп на екипите за обхват по райони за обхват до информацията за постоянния или настоящия адрес на децата и учениците в ИСРМ.</w:t>
      </w:r>
    </w:p>
    <w:p w14:paraId="4C0BBE1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Създаденият с ПМС №100/08.06.2018 г. постоянно действащ Механизъм се прилага активно в цялата страна по отношение на децата и учениците, които не са обхванати в образователната система, за които има риск от отпадане от училище и детска градина или са напуснали преждевременно образователната система. За изпълнение на ПМС №100/2018 г. до 30.07.2024 г. са актуализирани районите за обхват на територията на общините, осъществена е комуникация между институциите на регионално ниво за определяне участниците в екипите за обхват и със заповеди на началниците на РУО е определен съставът на екипите за обхват и техните ръководители, които са служители на регионалните управления на образованието. От началниците на РУО е предоставена техническа възможност за достъп на екипите за обхват по райони за обхват до информацията за постоянния или настоящия адрес на децата и учениците в Информационната система за реализация на механизма. </w:t>
      </w:r>
    </w:p>
    <w:p w14:paraId="7987C64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От ГД „Гражданска регистрация и административно обслужване“ е предоставена в МОН информация за децата и учениците в задължителна предучилищна и училищна възраст, които подлежат на обхващане в образователната система. Импортирани са данните от НЕИСПУО към ИСРМ и сравнени с данните от ГРАО за идентифициране на децата и учениците, които са записани, не са записани или са отпаднали от образователната система. До 30 ноември 2024 г. екипите за обхват на територията на страната приоритетно приложиха мерки за: </w:t>
      </w:r>
    </w:p>
    <w:p w14:paraId="68CF6B49" w14:textId="77777777" w:rsidR="00533926" w:rsidRPr="00AA5833" w:rsidRDefault="00533926" w:rsidP="002A598C">
      <w:pPr>
        <w:numPr>
          <w:ilvl w:val="0"/>
          <w:numId w:val="88"/>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обхващане и записване на деца в задължителна предучилищна и училищна възраст, които не са записани в детска градина или в първи клас; </w:t>
      </w:r>
    </w:p>
    <w:p w14:paraId="7853BE56" w14:textId="77777777" w:rsidR="00533926" w:rsidRPr="00AA5833" w:rsidRDefault="00533926" w:rsidP="002A598C">
      <w:pPr>
        <w:numPr>
          <w:ilvl w:val="0"/>
          <w:numId w:val="88"/>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обхващане и включване на децата и учениците, посещавали училище или детска градина през предходната учебна година, но не са записани през настоящата; </w:t>
      </w:r>
    </w:p>
    <w:p w14:paraId="3FB9DBE2" w14:textId="77777777" w:rsidR="00533926" w:rsidRPr="00AA5833" w:rsidRDefault="00533926" w:rsidP="002A598C">
      <w:pPr>
        <w:numPr>
          <w:ilvl w:val="0"/>
          <w:numId w:val="88"/>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обхващане и включване на децата и учениците, които са посещавали училище или детска градина, но са отпаднали през предходната учебна година.</w:t>
      </w:r>
    </w:p>
    <w:p w14:paraId="583543A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Регулярно екипите за обхват предоставят информация чрез ИСРМ на кметовете на общините за установени нарушения на задълженията на родителите, настойниците/попечителите или лицата, които полагат грижи за детето, с цел налагане на наказания по реда на чл. 347 от Закона за предучилищното и училищното образование;</w:t>
      </w:r>
    </w:p>
    <w:p w14:paraId="0E70E2E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Към началото на учебната 2024/2025 година коефициентът на обхванатите, определен като относителен дял на записаните в предучилищното и училищното образование деца и ученици в задължителна предучилищна и училищна възраст (5-16 години) на 15 септември спрямо броя на населението за съответната година на раждане по данни на ГРАО, намален с броя на децата със статус „в чужбина“, е 94,38 (към 15.09.2023 г. същият е 94,16), т.е. коефициентът на обхват е по-висок, сравнен с началото на 2023/2024 г.</w:t>
      </w:r>
    </w:p>
    <w:p w14:paraId="1BBDF9E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Върнати (след отпадане и новозаписани) от екипите за обхват деца и ученици, които през втория срок на учебната 2023/2024 година не са били в образователната система, а са записани за новата 2024/2025 учебна година, са 9912 (към 15.09.2023 г. са 9905), от които:</w:t>
      </w:r>
    </w:p>
    <w:p w14:paraId="62291D62" w14:textId="77777777" w:rsidR="00533926" w:rsidRPr="00AA5833" w:rsidRDefault="00533926" w:rsidP="002A598C">
      <w:pPr>
        <w:numPr>
          <w:ilvl w:val="0"/>
          <w:numId w:val="88"/>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5-годишни деца – 3339;</w:t>
      </w:r>
    </w:p>
    <w:p w14:paraId="5E592C37" w14:textId="77777777" w:rsidR="00533926" w:rsidRPr="00AA5833" w:rsidRDefault="00533926" w:rsidP="002A598C">
      <w:pPr>
        <w:numPr>
          <w:ilvl w:val="0"/>
          <w:numId w:val="88"/>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6-годишни деца – 1677;</w:t>
      </w:r>
    </w:p>
    <w:p w14:paraId="1E021E3D" w14:textId="77777777" w:rsidR="00533926" w:rsidRPr="00AA5833" w:rsidRDefault="00533926" w:rsidP="002A598C">
      <w:pPr>
        <w:numPr>
          <w:ilvl w:val="0"/>
          <w:numId w:val="88"/>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ученици в задължителна училищна възраст – 4896. </w:t>
      </w:r>
    </w:p>
    <w:p w14:paraId="524EBEF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Новообхванатите, които никога не са били записвани в системата на предучилищното или училищното образование и са записани в образователна институция в резултат на действията на екипите за обхват към началото на учебната 2024/2025 година, са 6256 деца и ученици в задължителна предучилищна и училищна възраст.</w:t>
      </w:r>
    </w:p>
    <w:p w14:paraId="3201A58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Мярката се осъществява на национално ниво и оказва въздействие на национално, регионално и на местно равнище за успешно включване и трайно приобщаване на децата и учениците в образователния процес.</w:t>
      </w:r>
    </w:p>
    <w:p w14:paraId="04393AE4" w14:textId="77777777" w:rsidR="00533926" w:rsidRPr="00AA5833" w:rsidRDefault="00533926" w:rsidP="00533926">
      <w:pPr>
        <w:widowControl w:val="0"/>
        <w:tabs>
          <w:tab w:val="left" w:pos="426"/>
        </w:tabs>
        <w:spacing w:after="0" w:line="240" w:lineRule="auto"/>
        <w:ind w:right="-28"/>
        <w:jc w:val="center"/>
        <w:rPr>
          <w:rFonts w:ascii="Times New Roman" w:eastAsia="Times New Roman" w:hAnsi="Times New Roman" w:cs="Times New Roman"/>
          <w:b/>
          <w:color w:val="0000FF"/>
          <w:sz w:val="24"/>
          <w:szCs w:val="24"/>
          <w:lang w:eastAsia="bg-BG"/>
        </w:rPr>
      </w:pPr>
    </w:p>
    <w:p w14:paraId="2294EB70" w14:textId="77777777" w:rsidR="00533926" w:rsidRPr="00AA5833" w:rsidRDefault="00533926" w:rsidP="00533926">
      <w:pPr>
        <w:widowControl w:val="0"/>
        <w:tabs>
          <w:tab w:val="left" w:pos="426"/>
        </w:tabs>
        <w:spacing w:after="0" w:line="240" w:lineRule="auto"/>
        <w:ind w:right="-28"/>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4618DA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427FED39" w14:textId="77777777" w:rsidR="00533926" w:rsidRPr="00AA5833" w:rsidRDefault="00533926" w:rsidP="00533926">
      <w:pPr>
        <w:spacing w:after="0" w:line="240" w:lineRule="auto"/>
        <w:jc w:val="both"/>
        <w:rPr>
          <w:rFonts w:ascii="Times New Roman" w:eastAsia="Dotum" w:hAnsi="Times New Roman" w:cs="Times New Roman"/>
          <w:bCs/>
          <w:sz w:val="24"/>
          <w:szCs w:val="24"/>
        </w:rPr>
      </w:pPr>
      <w:r w:rsidRPr="00AA5833">
        <w:rPr>
          <w:rFonts w:ascii="Times New Roman" w:eastAsia="Dotum" w:hAnsi="Times New Roman" w:cs="Times New Roman"/>
          <w:bCs/>
          <w:sz w:val="24"/>
          <w:szCs w:val="24"/>
        </w:rPr>
        <w:tab/>
        <w:t>Съгласно § 1,  т. 11 буква „д“ от Допълнителните разпоредби на Закона за закрила на детето „дете в риск“ е и дете, за което съществува риск от отпадане от училище или което е отпаднало от училище.</w:t>
      </w:r>
    </w:p>
    <w:p w14:paraId="40BC7FF2" w14:textId="77777777" w:rsidR="00533926" w:rsidRPr="00AA5833" w:rsidRDefault="00533926" w:rsidP="00533926">
      <w:pPr>
        <w:spacing w:after="0" w:line="240" w:lineRule="auto"/>
        <w:jc w:val="both"/>
        <w:rPr>
          <w:rFonts w:ascii="Times New Roman" w:eastAsia="Dotum" w:hAnsi="Times New Roman" w:cs="Times New Roman"/>
          <w:sz w:val="24"/>
          <w:szCs w:val="24"/>
          <w:lang w:eastAsia="bg-BG"/>
        </w:rPr>
      </w:pPr>
      <w:bookmarkStart w:id="18" w:name="_Hlk190733141"/>
      <w:r w:rsidRPr="00AA5833">
        <w:rPr>
          <w:rFonts w:ascii="Times New Roman" w:eastAsia="Dotum" w:hAnsi="Times New Roman" w:cs="Times New Roman"/>
          <w:sz w:val="24"/>
          <w:szCs w:val="24"/>
          <w:lang w:eastAsia="bg-BG"/>
        </w:rPr>
        <w:tab/>
        <w:t xml:space="preserve">АСП е институция-партньор в изпълнението на </w:t>
      </w:r>
      <w:r w:rsidRPr="00AA5833">
        <w:rPr>
          <w:rFonts w:ascii="Times New Roman" w:eastAsia="Dotum" w:hAnsi="Times New Roman" w:cs="Times New Roman"/>
          <w:iCs/>
          <w:sz w:val="24"/>
          <w:szCs w:val="24"/>
          <w:lang w:eastAsia="bg-BG"/>
        </w:rPr>
        <w:t>Механизма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w:t>
      </w:r>
      <w:r w:rsidRPr="00AA5833">
        <w:rPr>
          <w:rFonts w:ascii="Times New Roman" w:eastAsia="Dotum" w:hAnsi="Times New Roman" w:cs="Times New Roman"/>
          <w:sz w:val="24"/>
          <w:szCs w:val="24"/>
          <w:lang w:eastAsia="bg-BG"/>
        </w:rPr>
        <w:t xml:space="preserve"> (изм. и доп. – ДВ, бр. 82 от 2019 г.).</w:t>
      </w:r>
    </w:p>
    <w:p w14:paraId="1A853165" w14:textId="77777777" w:rsidR="00533926" w:rsidRPr="00AA5833" w:rsidRDefault="00533926" w:rsidP="00533926">
      <w:pPr>
        <w:spacing w:after="0" w:line="240" w:lineRule="auto"/>
        <w:jc w:val="both"/>
        <w:rPr>
          <w:rFonts w:ascii="Times New Roman" w:eastAsia="Dotum" w:hAnsi="Times New Roman" w:cs="Times New Roman"/>
          <w:sz w:val="24"/>
          <w:szCs w:val="24"/>
          <w:lang w:eastAsia="bg-BG"/>
        </w:rPr>
      </w:pPr>
      <w:r w:rsidRPr="00AA5833">
        <w:rPr>
          <w:rFonts w:ascii="Times New Roman" w:eastAsia="Dotum" w:hAnsi="Times New Roman" w:cs="Times New Roman"/>
          <w:sz w:val="24"/>
          <w:szCs w:val="24"/>
        </w:rPr>
        <w:tab/>
        <w:t>Целта на Механизма е да се подобри междуинституционалното взаимодействие чрез определяне на функциите и задълженията на всички отговорни страни, за постигане на по-пълен обхват и включване в системата на образованието на децата и учениците, които не са обхванати в образователната система, за които има риск от отпадане от училище и детска градина или са напуснали преждевременно образователната система.</w:t>
      </w:r>
    </w:p>
    <w:p w14:paraId="02C4B84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Dotum" w:hAnsi="Times New Roman" w:cs="Times New Roman"/>
          <w:sz w:val="24"/>
          <w:szCs w:val="24"/>
          <w:lang w:eastAsia="bg-BG"/>
        </w:rPr>
        <w:tab/>
        <w:t xml:space="preserve">Механизмът включва създаване и дейност на екипи за съвместна работа на институциите за обхващане и включване в образователната система на деца и ученици в задължителна предучилищна и училищна възраст (екипи за обхват), както и взаимодействие на институциите по прилагането на комплекс от мерки за обхващане, включване и предотвратяване на отпадането от образователната система. Съгласно Механизма съществува организиране на регулярен обмен на информация между ангажираните институции и координиране на техните съвместни действия за налагане на </w:t>
      </w:r>
      <w:r w:rsidRPr="00AA5833">
        <w:rPr>
          <w:rFonts w:ascii="Times New Roman" w:eastAsia="Dotum" w:hAnsi="Times New Roman" w:cs="Times New Roman"/>
          <w:sz w:val="24"/>
          <w:szCs w:val="24"/>
          <w:lang w:eastAsia="bg-BG"/>
        </w:rPr>
        <w:lastRenderedPageBreak/>
        <w:t>съответни санкции по реда на Закона за закрила на детето, Закона за предучилищното и училищното образование и Закона за борба с противообществените прояви на малолетните и непълнолетните на родители, чиито деца в задължителна предучилищна и училищна възраст не посещават училище. Екипите за обхват се създават към всеки район на обхват, като координирано с директорите на съответната образователна институция, предприемат мерки за обхващане, реинтеграция и превенция в образователната система.</w:t>
      </w:r>
    </w:p>
    <w:p w14:paraId="4FDF15D3" w14:textId="77777777" w:rsidR="00533926" w:rsidRPr="00AA5833" w:rsidRDefault="00533926" w:rsidP="00533926">
      <w:pPr>
        <w:spacing w:after="0" w:line="240" w:lineRule="auto"/>
        <w:ind w:firstLine="720"/>
        <w:jc w:val="both"/>
        <w:rPr>
          <w:rFonts w:ascii="Times New Roman" w:eastAsia="Dotum" w:hAnsi="Times New Roman" w:cs="Times New Roman"/>
          <w:sz w:val="24"/>
          <w:szCs w:val="24"/>
          <w:lang w:eastAsia="bg-BG"/>
        </w:rPr>
      </w:pPr>
      <w:r w:rsidRPr="00AA5833">
        <w:rPr>
          <w:rFonts w:ascii="Times New Roman" w:eastAsia="Dotum" w:hAnsi="Times New Roman" w:cs="Times New Roman"/>
          <w:sz w:val="24"/>
          <w:szCs w:val="24"/>
          <w:lang w:eastAsia="bg-BG"/>
        </w:rPr>
        <w:t>В АСП се администрира справка за изпълнението на Механизма (от страна на териториалните структури), данните по която са следните:</w:t>
      </w:r>
    </w:p>
    <w:p w14:paraId="3C550DCE" w14:textId="77777777" w:rsidR="00533926" w:rsidRPr="00AA5833" w:rsidRDefault="00533926" w:rsidP="00533926">
      <w:pPr>
        <w:tabs>
          <w:tab w:val="left" w:pos="0"/>
        </w:tabs>
        <w:spacing w:after="0" w:line="240" w:lineRule="auto"/>
        <w:ind w:firstLine="720"/>
        <w:jc w:val="both"/>
        <w:rPr>
          <w:rFonts w:ascii="Times New Roman" w:eastAsia="Dotum" w:hAnsi="Times New Roman" w:cs="Times New Roman"/>
          <w:bCs/>
          <w:sz w:val="24"/>
          <w:szCs w:val="24"/>
        </w:rPr>
      </w:pPr>
      <w:r w:rsidRPr="00AA5833">
        <w:rPr>
          <w:rFonts w:ascii="Times New Roman" w:eastAsia="Dotum" w:hAnsi="Times New Roman" w:cs="Times New Roman"/>
          <w:bCs/>
          <w:sz w:val="24"/>
          <w:szCs w:val="24"/>
        </w:rPr>
        <w:t>Към 31.12.2024 г. – от стартирането на учебната 2024/2025 г. (по информация, предоставена от регионалните дирекции за социално подпомагане), на територията на страната са сформирани 1 079 екипа за съвместна работа на институциите за обхващане и задържане в образователната система на деца и ученици в задължителна предучилищна и училищна възраст – т.нар. екипи за обхват. Броят на служители на ДСП, включени в екипите, е 1 076. Общият брой на осъществени посещения от екипите на ДСП с натрупване е 6 951. Общият брой на случаите на деца, за които в рамките на изпълнение на Механизма, са констатирани рискове по смисъла на ЗЗДет. и са предприети мерки за закрила на детето от началото на учебната година, към 31.12.2024 г. е 115, като 18 са насочени от ОЗД/ДСП към социални услуги (напр., Център за обществена подкрепа, Център за социална рехабилитация и интеграция и др.).</w:t>
      </w:r>
      <w:bookmarkEnd w:id="18"/>
    </w:p>
    <w:p w14:paraId="25FF73A0" w14:textId="77777777" w:rsidR="00533926" w:rsidRPr="00AA5833" w:rsidRDefault="00533926" w:rsidP="00533926">
      <w:pPr>
        <w:tabs>
          <w:tab w:val="left" w:pos="0"/>
        </w:tabs>
        <w:spacing w:after="0" w:line="240" w:lineRule="auto"/>
        <w:ind w:firstLine="720"/>
        <w:jc w:val="both"/>
        <w:rPr>
          <w:rFonts w:ascii="Times New Roman" w:hAnsi="Times New Roman" w:cs="Times New Roman"/>
          <w:sz w:val="24"/>
          <w:szCs w:val="24"/>
        </w:rPr>
      </w:pPr>
      <w:r w:rsidRPr="00AA5833">
        <w:rPr>
          <w:rFonts w:ascii="Times New Roman" w:hAnsi="Times New Roman" w:cs="Times New Roman"/>
          <w:sz w:val="24"/>
          <w:szCs w:val="24"/>
        </w:rPr>
        <w:t>За 2023 г. – от стартирането на учебната 2023/2024 г. на територията на страната са били сформирани 1 088 екипа за обхват, с 1 090 служители на ДСП, включени в тях. Общият брой на осъществени посещения от екипите на ДСП с натрупване е бил 4 249, а случаите на деца, за които в рамките на изпълнение на Механизма, са констатирани рискове по смисъла на ЗЗДет. и са предприети мерки за закрила на детето е бил 95, като 29 са насочени от ОЗД/ДСП към социални услуги (напр., Център за обществена подкрепа, Център за социална рехабилитация и интеграция и др.).</w:t>
      </w:r>
    </w:p>
    <w:p w14:paraId="54038828" w14:textId="77777777" w:rsidR="00533926" w:rsidRPr="00AA5833" w:rsidRDefault="00533926" w:rsidP="00533926">
      <w:pPr>
        <w:tabs>
          <w:tab w:val="left" w:pos="0"/>
        </w:tabs>
        <w:spacing w:after="0" w:line="240" w:lineRule="auto"/>
        <w:ind w:firstLine="720"/>
        <w:jc w:val="both"/>
        <w:rPr>
          <w:rFonts w:ascii="Times New Roman" w:hAnsi="Times New Roman" w:cs="Times New Roman"/>
          <w:sz w:val="24"/>
          <w:szCs w:val="24"/>
        </w:rPr>
      </w:pPr>
    </w:p>
    <w:p w14:paraId="268B47DD"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4850C140" w14:textId="77777777" w:rsidR="00533926" w:rsidRPr="00AA5833" w:rsidRDefault="00533926" w:rsidP="00533926">
      <w:pPr>
        <w:spacing w:after="0" w:line="240" w:lineRule="auto"/>
        <w:jc w:val="both"/>
        <w:rPr>
          <w:rFonts w:ascii="Times New Roman" w:hAnsi="Times New Roman" w:cs="Times New Roman"/>
          <w:sz w:val="24"/>
          <w:szCs w:val="24"/>
        </w:rPr>
      </w:pPr>
    </w:p>
    <w:p w14:paraId="5D129787"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9.2.2. Осигуряване на равен достъп на всички деца и ученици до качествено образование във всички образователни степени чрез осигуряване на познавателни книжки, учебници и учебни комплекти за безвъзмездно ползване</w:t>
      </w:r>
    </w:p>
    <w:p w14:paraId="2D4C09BC" w14:textId="77777777" w:rsidR="00533926" w:rsidRPr="00AA5833" w:rsidRDefault="00533926" w:rsidP="00533926">
      <w:pPr>
        <w:spacing w:after="0" w:line="240" w:lineRule="auto"/>
        <w:jc w:val="both"/>
        <w:rPr>
          <w:rFonts w:ascii="Times New Roman" w:hAnsi="Times New Roman" w:cs="Times New Roman"/>
          <w:b/>
          <w:sz w:val="24"/>
          <w:szCs w:val="24"/>
        </w:rPr>
      </w:pPr>
    </w:p>
    <w:p w14:paraId="591E3628" w14:textId="77777777" w:rsidR="00533926" w:rsidRPr="00AA5833" w:rsidRDefault="00533926" w:rsidP="00533926">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Равният достъп до образование се осигурява чрез: </w:t>
      </w:r>
    </w:p>
    <w:p w14:paraId="77107398"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определяне на средищни и защитени детски градини и училища;</w:t>
      </w:r>
    </w:p>
    <w:p w14:paraId="4D2F90F8"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осигуряване на безплатен транспорт за децата в задължителна предучилищна възраст и за учениците от I до XII клас включително;</w:t>
      </w:r>
    </w:p>
    <w:p w14:paraId="34D95296"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осигуряване на познавателни книжки, учебници и учебни комплекти за безвъзмездно ползване.</w:t>
      </w:r>
    </w:p>
    <w:p w14:paraId="10420BD4" w14:textId="77777777" w:rsidR="00533926" w:rsidRPr="00AA5833" w:rsidRDefault="00533926" w:rsidP="00533926">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В частта за осигуряване на познавателни книжки, учебници и учебни комплекти за безвъзмездно ползване през 2024 г. в изпълнение на мярката са реализирани две основни дейности – проведени са процедури по оценяване и одобряване на учебници и учебни комплекти, предназначени за обучение на учениците в училищното образование и са осигурени за безвъзмездно ползване за всички деца и ученици предвидените в Закона за предучилищното и училищното образование познавателни книжки, учебници и учебни комплекти.</w:t>
      </w:r>
    </w:p>
    <w:p w14:paraId="50CC747E" w14:textId="77777777" w:rsidR="00533926" w:rsidRPr="00AA5833" w:rsidRDefault="00533926" w:rsidP="00533926">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 В рамките на проведените процедури по оценяване и одобряване на учебници и учебни комплекти са одобрени 203 учебника и учебни комплекти за VII, VIII, IX и X клас по учебни предмети от общообразователната подготовка след извършени обективно </w:t>
      </w:r>
      <w:r w:rsidRPr="00AA5833">
        <w:rPr>
          <w:rFonts w:ascii="Times New Roman" w:eastAsia="Times New Roman" w:hAnsi="Times New Roman" w:cs="Times New Roman"/>
          <w:iCs/>
          <w:sz w:val="24"/>
          <w:szCs w:val="24"/>
          <w:lang w:eastAsia="bg-BG"/>
        </w:rPr>
        <w:lastRenderedPageBreak/>
        <w:t>необходими промени на съдържанието, графичния дизайн, полиграфическото и/или електронното изпълнение на одобрените учебници/учебни комплекти, както и  учебници за XI клас и за XII клас по учебните предмети изобразително изкуство, чужд език – немски език, и руски език, по задължителни модули за профилирана подготовка. Адаптирани и отпечатани на брайлов шрифт са 57 учебника, предназначени за ученици с нарушено зрение.</w:t>
      </w:r>
    </w:p>
    <w:p w14:paraId="4E9DF39E" w14:textId="77777777" w:rsidR="00533926" w:rsidRPr="00AA5833" w:rsidRDefault="00533926" w:rsidP="00533926">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За децата и учениците, обучаващи се държавните, общинските и частните детски градини и училища, както и в духовните и Европейските училища са осигурени за безвъзмездно ползване познавателни книжки, учебници и учебни комплекти, както следва:</w:t>
      </w:r>
    </w:p>
    <w:p w14:paraId="1C97D92E"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212 261 деца в първа, втора, трета и четвърта възрастова група са осигурени с познавателни книжки за безвъзмездно ползване в държавните, общинските и частните детски градини и училища;</w:t>
      </w:r>
    </w:p>
    <w:p w14:paraId="087378F4"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235 974 ученици от І до IV клас са осигурени с учебници и учебни комплекти за безвъзмездно ползване в държавните, общинските и частните училища;</w:t>
      </w:r>
    </w:p>
    <w:p w14:paraId="50F3E7CE"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177 468 ученици от V до VІІ клас са осигурени с учебници за безвъзмездно ползване в държавните, общинските и частните училища;</w:t>
      </w:r>
    </w:p>
    <w:p w14:paraId="3810A865"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294 668 ученици от VIII до XII клас са осигурени с учебници за безвъзмездно ползване в държавните, общинските, духовните и частните училища;</w:t>
      </w:r>
    </w:p>
    <w:p w14:paraId="72190D5F"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3 177 ученици от I до VII клас са осигурени с учебни комплекти за безвъзмездно ползване по учебния предмет майчин език в държавните, общинските и частните училища;</w:t>
      </w:r>
    </w:p>
    <w:p w14:paraId="4622D7D1"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11 160 ученици от I до XII клас са осигурени с учебници за безвъзмездно ползване по учебния предмет религия в държавните, общинските и частните училища;</w:t>
      </w:r>
    </w:p>
    <w:p w14:paraId="41BE52C1"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172 ученици със сензорни увреждания – с увреден слух са осигурени с учебници или учебни комплекти за безвъзмездно ползване по специалните учебни предмети в държавните, общинските и частните училища;</w:t>
      </w:r>
    </w:p>
    <w:p w14:paraId="3D798A2F" w14:textId="77777777" w:rsidR="00533926" w:rsidRPr="00AA5833" w:rsidRDefault="00533926" w:rsidP="002A598C">
      <w:pPr>
        <w:numPr>
          <w:ilvl w:val="0"/>
          <w:numId w:val="89"/>
        </w:numPr>
        <w:autoSpaceDE w:val="0"/>
        <w:autoSpaceDN w:val="0"/>
        <w:adjustRightInd w:val="0"/>
        <w:spacing w:after="0" w:line="240" w:lineRule="auto"/>
        <w:ind w:firstLine="360"/>
        <w:contextualSpacing/>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144 деца и ученици са осигурени с познавателни книжки учебници и учебни комплекти за безвъзмездно ползване по български език и литература в Европейските училища.</w:t>
      </w:r>
    </w:p>
    <w:p w14:paraId="7AB6FF44" w14:textId="77777777" w:rsidR="00533926" w:rsidRPr="00AA5833" w:rsidRDefault="00533926" w:rsidP="00533926">
      <w:pPr>
        <w:autoSpaceDE w:val="0"/>
        <w:autoSpaceDN w:val="0"/>
        <w:adjustRightInd w:val="0"/>
        <w:spacing w:after="0" w:line="240" w:lineRule="auto"/>
        <w:ind w:firstLine="720"/>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Мярката оказва въздействие на национално ниво.</w:t>
      </w:r>
    </w:p>
    <w:p w14:paraId="596BDDDF" w14:textId="77777777" w:rsidR="00533926" w:rsidRPr="00AA5833" w:rsidRDefault="00533926" w:rsidP="00533926">
      <w:pPr>
        <w:tabs>
          <w:tab w:val="left" w:pos="0"/>
        </w:tabs>
        <w:spacing w:after="0" w:line="240" w:lineRule="auto"/>
        <w:ind w:firstLine="720"/>
        <w:jc w:val="both"/>
        <w:rPr>
          <w:rFonts w:ascii="Times New Roman"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139D397E" w14:textId="77777777" w:rsidTr="00533926">
        <w:trPr>
          <w:trHeight w:val="145"/>
        </w:trPr>
        <w:tc>
          <w:tcPr>
            <w:tcW w:w="5000" w:type="pct"/>
            <w:shd w:val="clear" w:color="auto" w:fill="FFFF99"/>
            <w:hideMark/>
          </w:tcPr>
          <w:p w14:paraId="1A2B8BC1" w14:textId="77777777" w:rsidR="00533926" w:rsidRPr="00AA5833" w:rsidRDefault="00533926" w:rsidP="00533926">
            <w:pPr>
              <w:spacing w:after="0" w:line="240" w:lineRule="auto"/>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9.3. По-пълно обхващане на учениците в задължителните образователни степени и превенция на отпадането им от образователната система</w:t>
            </w:r>
          </w:p>
        </w:tc>
      </w:tr>
    </w:tbl>
    <w:p w14:paraId="11B34A1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262E8B2F"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629E4557"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6CD70E7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9.3.1. По-пълно обхващане на учениците в задължителните образователни степени и превенция на отпадането им от образователната система</w:t>
      </w:r>
    </w:p>
    <w:p w14:paraId="1151FE37"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1922C8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Осигурен е безплатен транспорт за 92 549 деца в задължителна предучилищна възраст и ученици от I до XII клас включително от населените места, в които няма детска градина или училище, както и за учениците, които се обучават за придобиване на квалификация по професия. Брой маршрути – 5 244. Отпуснати са средства за  безплатен транспорт на деца и ученици в размер на 69 300 000 лв.</w:t>
      </w:r>
    </w:p>
    <w:p w14:paraId="2FC2A80F"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ab/>
        <w:t>Осигурява се равен достъп до качествено предучилищно и училищно образование чрез: 944 средищни и 270 защитени детски градини, части от детски градини и училища. Предоставено е допълнително финансиране за защитените институции – 14 073 565 лв.</w:t>
      </w:r>
    </w:p>
    <w:p w14:paraId="59B614B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Мярката оказва въздействие на национално ниво.</w:t>
      </w:r>
    </w:p>
    <w:p w14:paraId="3944FB48" w14:textId="77777777" w:rsidR="00533926" w:rsidRDefault="00533926" w:rsidP="00533926">
      <w:pPr>
        <w:spacing w:after="0" w:line="240" w:lineRule="auto"/>
        <w:jc w:val="both"/>
        <w:rPr>
          <w:rFonts w:ascii="Times New Roman" w:eastAsia="Times New Roman" w:hAnsi="Times New Roman" w:cs="Times New Roman"/>
          <w:b/>
          <w:sz w:val="24"/>
          <w:szCs w:val="24"/>
          <w:lang w:eastAsia="bg-BG"/>
        </w:rPr>
      </w:pPr>
    </w:p>
    <w:p w14:paraId="2668D459" w14:textId="77777777" w:rsidR="001D201F" w:rsidRDefault="001D201F" w:rsidP="00533926">
      <w:pPr>
        <w:spacing w:after="0" w:line="240" w:lineRule="auto"/>
        <w:jc w:val="center"/>
        <w:rPr>
          <w:rFonts w:ascii="Times New Roman" w:hAnsi="Times New Roman" w:cs="Times New Roman"/>
          <w:b/>
          <w:color w:val="0000FF"/>
          <w:sz w:val="24"/>
          <w:szCs w:val="24"/>
        </w:rPr>
      </w:pPr>
    </w:p>
    <w:p w14:paraId="1EA70FFC"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0A1CEC20"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29B363C"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9.3.2. Изпълнение на дейности по Национална програма (НП) „Подпомагане на общините за образователна десегрегация“ за 2024 г.</w:t>
      </w:r>
    </w:p>
    <w:p w14:paraId="677C4E85"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26DD436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Националната програма е одобрена с Решение №295 на Министерския съвет от 24.04.2024 г. </w:t>
      </w:r>
    </w:p>
    <w:p w14:paraId="116F55EE"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Цели на програмата:</w:t>
      </w:r>
    </w:p>
    <w:p w14:paraId="774055F0" w14:textId="77777777" w:rsidR="00533926" w:rsidRPr="00AA5833" w:rsidRDefault="00533926" w:rsidP="002A598C">
      <w:pPr>
        <w:numPr>
          <w:ilvl w:val="0"/>
          <w:numId w:val="89"/>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lang w:eastAsia="bg-BG"/>
        </w:rPr>
        <w:t>Обща цел: Осигуряване от общините на равен достъп до качествено образование и образователна интеграция в задължителното предучилищно и училищно образование за деца и ученици;</w:t>
      </w:r>
    </w:p>
    <w:p w14:paraId="7A2DC727" w14:textId="77777777" w:rsidR="00533926" w:rsidRPr="00AA5833" w:rsidRDefault="00533926" w:rsidP="002A598C">
      <w:pPr>
        <w:numPr>
          <w:ilvl w:val="0"/>
          <w:numId w:val="89"/>
        </w:numPr>
        <w:spacing w:after="0" w:line="240" w:lineRule="auto"/>
        <w:ind w:firstLine="360"/>
        <w:contextualSpacing/>
        <w:jc w:val="both"/>
        <w:rPr>
          <w:rFonts w:ascii="Times New Roman" w:eastAsia="Calibri" w:hAnsi="Times New Roman" w:cs="Times New Roman"/>
          <w:sz w:val="24"/>
          <w:szCs w:val="24"/>
          <w:lang w:eastAsia="bg-BG"/>
        </w:rPr>
      </w:pPr>
      <w:r w:rsidRPr="00AA5833">
        <w:rPr>
          <w:rFonts w:ascii="Times New Roman" w:eastAsia="Calibri" w:hAnsi="Times New Roman" w:cs="Times New Roman"/>
          <w:sz w:val="24"/>
          <w:szCs w:val="24"/>
          <w:lang w:eastAsia="bg-BG"/>
        </w:rPr>
        <w:t>Специфични цели: Образователна интеграция на деца и ученици от уязвими групи, включително роми, чрез реализиране на дейности от общините за образователна десегрегация и превенция за недопускане на вторичната сегрегация; Осигуряване на подкрепяща образователна среда, насърчаваща позитивното общуване и взаимодействие между децата, учениците, родителите, педагогическите специалисти и непедагогическия персонал в условията на несегрегирани, приемни образователни институции.</w:t>
      </w:r>
    </w:p>
    <w:p w14:paraId="493E23D2"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Изпълняват се дейности в следните направления:</w:t>
      </w:r>
    </w:p>
    <w:p w14:paraId="6FF1047B"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Осигуряване на безплатен транспорт в рамките на населеното място за деца в задължително предучилищно образование и за ученици, посещаващи сегрегирани образователни институции с цел достъп до образование в несегрегирани приемни образователни институции, както и за деца и ученици, живеещи в отдалечени райони, но посещаващи несегрегирани образователни институции;</w:t>
      </w:r>
    </w:p>
    <w:p w14:paraId="0C45D0AF"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Осигуряване на учебни пособия и материали за децата в задължително предучилищно образование и за ученици до VII клас, включени в процеса на образователна десегрегация и превенция за недопускане на вторична сегрегация;</w:t>
      </w:r>
    </w:p>
    <w:p w14:paraId="6D636F8F"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Дейности за информиране, мотивиране и подготовка на децата и учениците за съвместното образователно развитие в приемните образователни институции, вкл. назначаване на непедагогически персонал към общините (образователни медиатори, помощници на учителя, социални работници в образованието), които да участват в изпълнение на общинската политика за образователна десегрегация и превенция за недопускане на вторична сегрегация, както и в дейностите по превенция и предотвратяване на негативни явления като насилие, дискриминационни прояви и тормоз в приемните образователни институции;</w:t>
      </w:r>
    </w:p>
    <w:p w14:paraId="1ABBC4AD"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Дейности за психолого-педагогическо и социално-комуникативно приобщаване на всички родители за изграждане на образователна и обществена среда, осигуряваща ефективен процес на десегрегация и превенция за недопускане на вторична сегрегация.</w:t>
      </w:r>
    </w:p>
    <w:p w14:paraId="3074E0EA"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Дейности (групова или индивидуална форма) с деца в задължително предучилищно образование и с ученици, включени в процеса на десегрегация, за продължаване на образованието им в приемните образователни институции.</w:t>
      </w:r>
    </w:p>
    <w:p w14:paraId="0EE5301A"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 xml:space="preserve">През 2024 г. със заповед на министъра на образованието и науката са одобрени за финансиране 11 бр. проектни предложения (на общини Монтана, Силистра, Бургас, Добрич, Враца, Тутракан, Девин, Дупница, Пазарджик, Ардино и Габрово) на стойност 495 000,00 лв. Подписани са 11 бр. договори с 11-те общини. Изпълнението на индикаторите е следното:  </w:t>
      </w:r>
    </w:p>
    <w:p w14:paraId="097306AD"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подпомогнати общини за реализиране на дейности за образователна десегрегация и превенция за недопускане на вторична сегрегация – 11.</w:t>
      </w:r>
    </w:p>
    <w:p w14:paraId="1CD3DB4A"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деца и ученици, за които е осигурен безплатен транспорт в рамките на населеното им място – 543.</w:t>
      </w:r>
    </w:p>
    <w:p w14:paraId="06906174"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деца в задължително предучилищно образование и ученици до VII клас, включени в процеса на образователна десегрегация и превенция за недопускане на вторична сегрегация и за които са осигурени учебни пособия и материали – 855.</w:t>
      </w:r>
    </w:p>
    <w:p w14:paraId="6BF76220"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мотивационни дейности, свързани с десегрeгационните процеси и задържането на децата и учениците в образователната система – 19.</w:t>
      </w:r>
    </w:p>
    <w:p w14:paraId="0C7C4E4E"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родители, включени по проекта и участвали в проектните дейности с цел повишаване на мотивацията им да записват децата на детска градина и училище – 165.</w:t>
      </w:r>
    </w:p>
    <w:p w14:paraId="17D4B060"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образователни медиатори и друг непедагогически персонал, включени в проектните дейности – 20.</w:t>
      </w:r>
    </w:p>
    <w:p w14:paraId="557F0287" w14:textId="77777777" w:rsidR="00533926" w:rsidRPr="00AA5833" w:rsidRDefault="00533926" w:rsidP="002A598C">
      <w:pPr>
        <w:numPr>
          <w:ilvl w:val="0"/>
          <w:numId w:val="86"/>
        </w:numPr>
        <w:spacing w:after="0" w:line="240" w:lineRule="auto"/>
        <w:ind w:firstLine="360"/>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Брой реализирани дейности с родители, деца и ученици и представители на институции за изграждане на среда, осигуряваща ефективен процес на десегрегация и превенция за недопускане на вторична сегрегация – 14.</w:t>
      </w:r>
    </w:p>
    <w:p w14:paraId="0490E2F7"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bookmarkStart w:id="19" w:name="_Hlk169081111"/>
      <w:r w:rsidRPr="00AA5833">
        <w:rPr>
          <w:rFonts w:ascii="Times New Roman" w:eastAsia="Calibri" w:hAnsi="Times New Roman" w:cs="Times New Roman"/>
          <w:sz w:val="24"/>
          <w:szCs w:val="24"/>
        </w:rPr>
        <w:t xml:space="preserve">Мярката се осъществява </w:t>
      </w:r>
      <w:bookmarkEnd w:id="19"/>
      <w:r w:rsidRPr="00AA5833">
        <w:rPr>
          <w:rFonts w:ascii="Times New Roman" w:eastAsia="Calibri" w:hAnsi="Times New Roman" w:cs="Times New Roman"/>
          <w:sz w:val="24"/>
          <w:szCs w:val="24"/>
        </w:rPr>
        <w:t>на национално ниво.</w:t>
      </w:r>
    </w:p>
    <w:p w14:paraId="455FE31D"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0A98B105"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1ECBCC5C"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0B6B9A1A"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9.3.3. Реализиране на дейности за образователна интеграция на деца и ученици от етническите малцинства в уязвимо положение чрез осигуряване на ефективен процес на обхват, задържане и реинтеграцията им в образователната система</w:t>
      </w:r>
    </w:p>
    <w:p w14:paraId="3A037F28"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333205B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 9.3.3. се изпълнява чрез дейности по Национална програма „Подпомагане на общините за реализиране на дейности за образователна десегрегация и превенция за недопускане на вторична сегрегация“ и чрез Програмата за дейността на Центъра за образователна интеграция на децата и учениците от етническите малцинства за периода 2022-2024 година, приета с Решение на Министерски съвет №919 от 17.10.2022 г. </w:t>
      </w:r>
    </w:p>
    <w:p w14:paraId="2111EB57"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Основна цел на Програмата за дейността на ЦОИДУЕМ (2022-2024 г.) е осигуряване на условия за развитие на политиката за образователна интеграция и интеркултурно образование на децата и учениците от етническите малцинства и етнокултурните общности чрез осигуряване на ранен и равен достъп до качествено, ценностно-ориентирано предучилищно и училищно образование. С тригодишната програма се осъществяват дейности по три основни направления:</w:t>
      </w:r>
    </w:p>
    <w:p w14:paraId="477E2260" w14:textId="77777777" w:rsidR="00533926" w:rsidRPr="00AA5833" w:rsidRDefault="00533926" w:rsidP="002A598C">
      <w:pPr>
        <w:numPr>
          <w:ilvl w:val="0"/>
          <w:numId w:val="90"/>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Разработване и изпълнение на проекти чрез участие в конкурси за привличане на средства извън държавния бюджет.</w:t>
      </w:r>
    </w:p>
    <w:p w14:paraId="4CF99870" w14:textId="77777777" w:rsidR="00533926" w:rsidRPr="00AA5833" w:rsidRDefault="00533926" w:rsidP="002A598C">
      <w:pPr>
        <w:numPr>
          <w:ilvl w:val="0"/>
          <w:numId w:val="90"/>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Реализиране на мерки, свързани със стратегическите цели на Стратегическата рамка за развитие на образованието, обучението и ученето в Република България (2021 – 2030) и целите на настоящата Програмата за дейността на ЦОИДУЕМ (2022 – 2024).</w:t>
      </w:r>
    </w:p>
    <w:p w14:paraId="1E59D92E" w14:textId="77777777" w:rsidR="00533926" w:rsidRPr="00AA5833" w:rsidRDefault="00533926" w:rsidP="002A598C">
      <w:pPr>
        <w:numPr>
          <w:ilvl w:val="0"/>
          <w:numId w:val="90"/>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Мониторинг и оценка на въздействието на политиките за образователна интеграция и интеркултурно образование на децата и учениците от етническите малцинства и от етнокултурните общности чрез методически и аналитично-прогнозни дейности за планиране, наблюдение и отчитане на изпълнението им.</w:t>
      </w:r>
    </w:p>
    <w:p w14:paraId="77ED810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Очакваните ефекти са насочени към гарантиране на устойчивост на процеса на образователна интеграция и интеркултурно образование, намаляване на неравенствата, насърчаване на социалното включване, мотивация на деца и родители за образование, системна работа с родителите за привличането им като пълноценни участници в образователния процес.</w:t>
      </w:r>
    </w:p>
    <w:p w14:paraId="6D7C59D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се осъществява на национално ниво.</w:t>
      </w:r>
    </w:p>
    <w:p w14:paraId="568F54A9"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53AFC337"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18E0FD6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0A6746B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9.3.4. Реализиране на дейности за десегрегация на сегрегирани образователни институции и за създаване на условия за реализиране на мерки за превенция, предотвратяване и преодоляване на процеса на вторична сегрегация</w:t>
      </w:r>
    </w:p>
    <w:p w14:paraId="3711C270"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3F5D0D3E"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 9.3.4. се изпълнява чрез дейности по Национална програма „Подпомагане на общините за реализиране на дейности за образователна десегрегация и превенция за недопускане на вторична сегрегация“ и чрез Програмата за дейността на Центъра за образователна интеграция на децата и учениците от етническите малцинства за периода 2022-2024 година, приета с Решение на Министерски съвет №919 от 17.10.2022 г. </w:t>
      </w:r>
    </w:p>
    <w:p w14:paraId="6FD1D318"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Основна цел на Програмата за дейността на ЦОИДУЕМ (2022-2024 г.) е осигуряване на условия за развитие на политиката за образователна интеграция и интеркултурно образование на децата и учениците от етническите малцинства и етнокултурните общности чрез осигуряване на ранен и равен достъп до качествено, ценностно-ориентирано предучилищно и училищно образование. С тригодишната програма се осъществяват дейности по три основни направления:</w:t>
      </w:r>
    </w:p>
    <w:p w14:paraId="5F9C3C2C" w14:textId="77777777" w:rsidR="00533926" w:rsidRPr="00AA5833" w:rsidRDefault="00533926" w:rsidP="002A598C">
      <w:pPr>
        <w:numPr>
          <w:ilvl w:val="0"/>
          <w:numId w:val="91"/>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Разработване и изпълнение на проекти чрез участие в конкурси за привличане на средства извън държавния бюджет.</w:t>
      </w:r>
    </w:p>
    <w:p w14:paraId="07BD58F4" w14:textId="77777777" w:rsidR="00533926" w:rsidRPr="00AA5833" w:rsidRDefault="00533926" w:rsidP="002A598C">
      <w:pPr>
        <w:numPr>
          <w:ilvl w:val="0"/>
          <w:numId w:val="91"/>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Реализиране на мерки, свързани със стратегическите цели на Стратегическата рамка за развитие на образованието, обучението и ученето в Република България (2021 – 2030) и целите на настоящата Програма за дейността на ЦОИДУЕМ (2022 – 2024).</w:t>
      </w:r>
    </w:p>
    <w:p w14:paraId="060A2A83" w14:textId="77777777" w:rsidR="00533926" w:rsidRPr="00AA5833" w:rsidRDefault="00533926" w:rsidP="002A598C">
      <w:pPr>
        <w:numPr>
          <w:ilvl w:val="0"/>
          <w:numId w:val="92"/>
        </w:numPr>
        <w:tabs>
          <w:tab w:val="left" w:pos="990"/>
        </w:tabs>
        <w:spacing w:after="0" w:line="240" w:lineRule="auto"/>
        <w:ind w:firstLine="108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Финансиране на проектни предложения на институции в системата на предучилищното и училищното образование – детски градини, училища, центрове за подкрепа за личностно развитие, включително центрове за специална образователна подкрепа, и специализирани обслужващи звена (регионални центрове за подкрепа на процеса на приобщаващото образование, Национален дворец на децата и Държавен логопедичен център); регионални управления на образованието; държавни висши училища и общини. Приоритет 3 „Реализиране на мерки за ранен и равен достъп до предучилищно и училищно образование на децата и учениците от етническите малцинства чрез осъществяване на процес на десегрегация и/или прилагане на мерки за преодоляване на демографски, социално‐икономически и културни бариери“.</w:t>
      </w:r>
    </w:p>
    <w:p w14:paraId="4F0D9AF6" w14:textId="77777777" w:rsidR="00533926" w:rsidRPr="00AA5833" w:rsidRDefault="00533926" w:rsidP="002A598C">
      <w:pPr>
        <w:numPr>
          <w:ilvl w:val="0"/>
          <w:numId w:val="91"/>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Мониторинг и оценка на въздействието на политиките за образователна интеграция и интеркултурно образование на децата и учениците от етническите малцинства и от етнокултурните общности чрез </w:t>
      </w:r>
      <w:r w:rsidRPr="00AA5833">
        <w:rPr>
          <w:rFonts w:ascii="Times New Roman" w:eastAsia="Times New Roman" w:hAnsi="Times New Roman" w:cs="Times New Roman"/>
          <w:sz w:val="24"/>
          <w:szCs w:val="24"/>
          <w:lang w:eastAsia="bg-BG"/>
        </w:rPr>
        <w:lastRenderedPageBreak/>
        <w:t>методически и аналитично-прогнозни дейности за планиране, наблюдение и отчитане на изпълнението им.</w:t>
      </w:r>
    </w:p>
    <w:p w14:paraId="57FEB21F"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Очакваните ефекти са насочени към гарантиране на устойчивост на процеса на образователна интеграция и интеркултурно образование, намаляване на неравенствата, насърчаване на социалното включване, мотивация на деца и родители за образование, системна работа с родителите за привличането им като пълноценни участници в образователния процес.</w:t>
      </w:r>
    </w:p>
    <w:p w14:paraId="61043889"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се осъществява на национално ниво.</w:t>
      </w:r>
    </w:p>
    <w:p w14:paraId="79F9C179" w14:textId="77777777" w:rsidR="00533926" w:rsidRPr="002E676E" w:rsidRDefault="00533926" w:rsidP="00533926">
      <w:pPr>
        <w:spacing w:after="0" w:line="240" w:lineRule="auto"/>
        <w:jc w:val="center"/>
        <w:rPr>
          <w:rFonts w:ascii="Times New Roman" w:eastAsia="Times New Roman" w:hAnsi="Times New Roman" w:cs="Times New Roman"/>
          <w:sz w:val="24"/>
          <w:szCs w:val="24"/>
          <w:lang w:eastAsia="bg-BG"/>
        </w:rPr>
      </w:pPr>
      <w:r w:rsidRPr="002E676E">
        <w:rPr>
          <w:rFonts w:ascii="Times New Roman" w:hAnsi="Times New Roman" w:cs="Times New Roman"/>
          <w:b/>
          <w:color w:val="0000FF"/>
          <w:sz w:val="24"/>
          <w:szCs w:val="24"/>
        </w:rPr>
        <w:t xml:space="preserve">ИНСТИТУТ ЗА ИЗСЛЕДВАНЕ НА НАСЕЛЕНИЕТО И ЧОВЕКА – БАН </w:t>
      </w:r>
    </w:p>
    <w:p w14:paraId="7D8039C3" w14:textId="77777777" w:rsidR="00533926" w:rsidRPr="002E676E"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3B34E2F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2E676E">
        <w:rPr>
          <w:rFonts w:ascii="Times New Roman" w:eastAsia="Times New Roman" w:hAnsi="Times New Roman" w:cs="Times New Roman"/>
          <w:b/>
          <w:sz w:val="24"/>
          <w:szCs w:val="24"/>
          <w:lang w:eastAsia="bg-BG"/>
        </w:rPr>
        <w:t>9.3.5. Проект „Проблеми на ромската интеграция в България (ПРИБ)“, 2022-2025, ръководител гл. ас. Любомир Стойчев</w:t>
      </w:r>
    </w:p>
    <w:p w14:paraId="76F380E1" w14:textId="77777777" w:rsidR="00BB5132" w:rsidRPr="00AA5833" w:rsidRDefault="00BB5132" w:rsidP="00533926">
      <w:pPr>
        <w:spacing w:after="0" w:line="240" w:lineRule="auto"/>
        <w:jc w:val="both"/>
        <w:rPr>
          <w:rFonts w:ascii="Times New Roman" w:eastAsia="Times New Roman" w:hAnsi="Times New Roman" w:cs="Times New Roman"/>
          <w:b/>
          <w:sz w:val="24"/>
          <w:szCs w:val="24"/>
          <w:lang w:eastAsia="bg-BG"/>
        </w:rPr>
      </w:pPr>
    </w:p>
    <w:p w14:paraId="76A43A8F" w14:textId="77777777" w:rsidR="00BB5132" w:rsidRPr="00AA5833" w:rsidRDefault="00BB5132" w:rsidP="00BB5132">
      <w:pPr>
        <w:spacing w:after="0" w:line="240" w:lineRule="auto"/>
        <w:ind w:firstLine="708"/>
        <w:jc w:val="both"/>
        <w:rPr>
          <w:rFonts w:ascii="Times New Roman" w:eastAsia="Times New Roman" w:hAnsi="Times New Roman" w:cs="Times New Roman"/>
          <w:color w:val="26282A"/>
          <w:sz w:val="24"/>
          <w:szCs w:val="24"/>
          <w:lang w:eastAsia="bg-BG"/>
        </w:rPr>
      </w:pPr>
      <w:r w:rsidRPr="00AA5833">
        <w:rPr>
          <w:rFonts w:ascii="Times New Roman" w:eastAsia="Times New Roman" w:hAnsi="Times New Roman" w:cs="Times New Roman"/>
          <w:color w:val="26282A"/>
          <w:sz w:val="24"/>
          <w:szCs w:val="24"/>
          <w:lang w:eastAsia="bg-BG"/>
        </w:rPr>
        <w:t>„Проблеми на ромската интеграция в България (ПРИБ)“ се реализира от  Института за изследване на населението и човека при БАН през периода 1 юли 2022 г. и продължава до 30 юни 2025 г.  Проектът използва за информационна база представителното изследване „Нови подходи за генериране на данни за труднодостъпни групи в риск от нарушаване на правата им“, реализирано от НСИ и Агенцията за фундаментални права на ЕС. Основната цел на проекта е да се проучат задълбочено ключови детерминанти по отношение на ромската интеграция в България. Във фокуса на разработените модели и анализи попадат основно младежите на възраст 15–29 години - NEETs (лица, които нито работят, нито учат, нито се обучават) и преждевременно напусналите училище.</w:t>
      </w:r>
    </w:p>
    <w:p w14:paraId="156785D9" w14:textId="77777777" w:rsidR="00BB5132" w:rsidRPr="00AA5833" w:rsidRDefault="00BB5132" w:rsidP="00BB5132">
      <w:pPr>
        <w:spacing w:after="0" w:line="240" w:lineRule="auto"/>
        <w:ind w:firstLine="708"/>
        <w:jc w:val="both"/>
        <w:rPr>
          <w:rFonts w:ascii="Times New Roman" w:eastAsia="Times New Roman" w:hAnsi="Times New Roman" w:cs="Times New Roman"/>
          <w:color w:val="26282A"/>
          <w:sz w:val="24"/>
          <w:szCs w:val="24"/>
          <w:lang w:eastAsia="bg-BG"/>
        </w:rPr>
      </w:pPr>
      <w:r w:rsidRPr="00AA5833">
        <w:rPr>
          <w:rFonts w:ascii="Times New Roman" w:eastAsia="Times New Roman" w:hAnsi="Times New Roman" w:cs="Times New Roman"/>
          <w:color w:val="26282A"/>
          <w:sz w:val="24"/>
          <w:szCs w:val="24"/>
          <w:lang w:eastAsia="bg-BG"/>
        </w:rPr>
        <w:t xml:space="preserve">През 2022 г. се реализира изучаването на масива от теренни данни с повече от 30 000 респонденти и близо 800 променливи. Първоначалната обработка, дескриптивния анализа на данните по етническа принадлежност и анализа на липсващи данни очертаха ключови неравенства, свързани със образованието, бедността, здравеопазването, жилищата и пр. Разработени бяха първите статистически модели на базата на логистична регресия и алгоритъма за машинно обучение RandomForest. На база на резултатите и анализа им, в подкрепа на област Шумен в рамките на проекта бе изготвена стратегия за равенство, включване и участие на ромите (2022–2030) по програмата ROMACT. </w:t>
      </w:r>
    </w:p>
    <w:p w14:paraId="3F86A016" w14:textId="77777777" w:rsidR="00BB5132" w:rsidRPr="00AA5833" w:rsidRDefault="00BB5132" w:rsidP="00BB5132">
      <w:pPr>
        <w:spacing w:after="0" w:line="240" w:lineRule="auto"/>
        <w:jc w:val="both"/>
        <w:rPr>
          <w:rFonts w:ascii="Times New Roman" w:eastAsia="Times New Roman" w:hAnsi="Times New Roman" w:cs="Times New Roman"/>
          <w:color w:val="26282A"/>
          <w:sz w:val="24"/>
          <w:szCs w:val="24"/>
          <w:lang w:eastAsia="bg-BG"/>
        </w:rPr>
      </w:pPr>
      <w:r w:rsidRPr="00AA5833">
        <w:rPr>
          <w:rFonts w:ascii="Times New Roman" w:eastAsia="Times New Roman" w:hAnsi="Times New Roman" w:cs="Times New Roman"/>
          <w:color w:val="26282A"/>
          <w:sz w:val="24"/>
          <w:szCs w:val="24"/>
          <w:lang w:eastAsia="bg-BG"/>
        </w:rPr>
        <w:t>През 2023 г. към информационния масив бе създадена нова променлива, отразяваща сегрегацията на респондентите. Беше успешно проучено и приложено методологическо алгоритмично решение по отношение на липсващите данни. Бяха тествани над 30 модела, от които четири бяха селектирани за изследване на младежите NEETs. Надеждността и точността на моделите е потвърдена чрез редица методи като ROC криви, тест на Hosmer–Lemeshow, показатели за сензитивност и специфичност и пр. Резултатите показват, че роля на навиците за четене, семейното положение, бедността и етническата принадлежност са значими детерминанти по отношение на това дали един младеж ще попадне в групата на лицата, които не учат и не работят.</w:t>
      </w:r>
    </w:p>
    <w:p w14:paraId="2AB8460F" w14:textId="77777777" w:rsidR="00BB5132" w:rsidRPr="00AA5833" w:rsidRDefault="00BB5132" w:rsidP="00BB5132">
      <w:pPr>
        <w:spacing w:after="0" w:line="240" w:lineRule="auto"/>
        <w:ind w:firstLine="708"/>
        <w:jc w:val="both"/>
        <w:rPr>
          <w:rFonts w:ascii="Times New Roman" w:eastAsia="Times New Roman" w:hAnsi="Times New Roman" w:cs="Times New Roman"/>
          <w:color w:val="26282A"/>
          <w:sz w:val="24"/>
          <w:szCs w:val="24"/>
          <w:lang w:eastAsia="bg-BG"/>
        </w:rPr>
      </w:pPr>
      <w:r w:rsidRPr="00AA5833">
        <w:rPr>
          <w:rFonts w:ascii="Times New Roman" w:eastAsia="Times New Roman" w:hAnsi="Times New Roman" w:cs="Times New Roman"/>
          <w:color w:val="26282A"/>
          <w:sz w:val="24"/>
          <w:szCs w:val="24"/>
          <w:lang w:eastAsia="bg-BG"/>
        </w:rPr>
        <w:t xml:space="preserve">През 2024 г. работата по проекта бе реорганизирана, а в екипа се включи ас. Кристиан Стефанов. Обхватът се разшири с модул за религиозността и нейното влияние върху ученето и работа на младежите, чрез кабинетно проучване и теренно изследване. Проведе се теренна работа в кв. „Христо Ботев“ в София. Първата рецензирана статия по проекта излезе в списание Papers of BAS. Humanities and Social Sciences: „Social-demographic dimensions of Bulgaria's NEETs: Poverty and ethnicity in focus“ (https://doi.org/10.5281/zenodo.14101610). Три други публикации са в напреднала подготовка за печат. Проведени бяха 3 обучителни семинари за докторанти и млади учени по теми като моделиране на данни от извадкови изследвания, използване на </w:t>
      </w:r>
      <w:r w:rsidRPr="00AA5833">
        <w:rPr>
          <w:rFonts w:ascii="Times New Roman" w:eastAsia="Times New Roman" w:hAnsi="Times New Roman" w:cs="Times New Roman"/>
          <w:color w:val="26282A"/>
          <w:sz w:val="24"/>
          <w:szCs w:val="24"/>
          <w:lang w:eastAsia="bg-BG"/>
        </w:rPr>
        <w:lastRenderedPageBreak/>
        <w:t>Zenodo и DOI, предотвратяване на плагиатство и работа със Zotero, които са част от целта на проекта за развитие на изследователски умения на млади учени и докторанти.</w:t>
      </w:r>
    </w:p>
    <w:p w14:paraId="7A646DA9" w14:textId="77777777" w:rsidR="00BB5132" w:rsidRPr="00AA5833" w:rsidRDefault="00BB5132" w:rsidP="00BB5132">
      <w:pPr>
        <w:spacing w:after="0" w:line="240" w:lineRule="auto"/>
        <w:jc w:val="both"/>
        <w:rPr>
          <w:rFonts w:ascii="Times New Roman" w:eastAsia="Times New Roman" w:hAnsi="Times New Roman" w:cs="Times New Roman"/>
          <w:color w:val="26282A"/>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36C8F15F" w14:textId="77777777" w:rsidTr="00533926">
        <w:trPr>
          <w:trHeight w:val="145"/>
        </w:trPr>
        <w:tc>
          <w:tcPr>
            <w:tcW w:w="5000" w:type="pct"/>
            <w:shd w:val="clear" w:color="auto" w:fill="FFFF99"/>
            <w:hideMark/>
          </w:tcPr>
          <w:p w14:paraId="79CFDFC8"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color w:val="000000" w:themeColor="text1"/>
                <w:sz w:val="24"/>
                <w:szCs w:val="24"/>
              </w:rPr>
              <w:br w:type="page"/>
            </w:r>
            <w:r w:rsidRPr="00AA5833">
              <w:rPr>
                <w:rFonts w:ascii="Times New Roman" w:eastAsia="Times New Roman" w:hAnsi="Times New Roman" w:cs="Times New Roman"/>
                <w:b/>
                <w:sz w:val="24"/>
                <w:szCs w:val="24"/>
              </w:rPr>
              <w:t>9.4. Преодоляване неграмотността в средите на бедното население и в групите в неравностойно положение</w:t>
            </w:r>
          </w:p>
        </w:tc>
      </w:tr>
    </w:tbl>
    <w:p w14:paraId="55E08AC6"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73BC9466" w14:textId="77777777" w:rsidTr="00533926">
        <w:trPr>
          <w:trHeight w:val="145"/>
        </w:trPr>
        <w:tc>
          <w:tcPr>
            <w:tcW w:w="5000" w:type="pct"/>
            <w:shd w:val="clear" w:color="auto" w:fill="FFFF99"/>
            <w:hideMark/>
          </w:tcPr>
          <w:p w14:paraId="2238AFCA"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9.5. Осигуряване на високо качество на образованието чрез подобряване на съдържанието на учебния процес и материалната база, повишаване квалификацията на преподавателите и осигуряване на училищата с информационни технологии</w:t>
            </w:r>
          </w:p>
        </w:tc>
      </w:tr>
    </w:tbl>
    <w:p w14:paraId="2495F9D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289EF025"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746F8E0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76A7E95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9.5.1. Осигуряване на високо качество на образованието чрез повишаване квалификацията на педагогическите специалисти и усъвършенстване на ключови професионални компетентности</w:t>
      </w:r>
    </w:p>
    <w:p w14:paraId="22B0CB1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36BE248"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Мярката се реализира чрез изпълнение на дейности по НП „Квалификация на педагогическите специалисти“, одобрена с Решение №295 на Министерския съвет от 24.04.2024 г. с бюджет от 1 400 000 лв. </w:t>
      </w:r>
    </w:p>
    <w:p w14:paraId="0CD4D574"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Програмата е реализирана с три модула:</w:t>
      </w:r>
    </w:p>
    <w:p w14:paraId="5C0D68D4"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Calibri" w:hAnsi="Times New Roman" w:cs="Times New Roman"/>
          <w:b/>
          <w:bCs/>
          <w:sz w:val="24"/>
          <w:szCs w:val="24"/>
        </w:rPr>
        <w:t>Модул 1 „Подкрепа на новоназначени учители и директори и продължаваща квалификация за повишаване на компетентностите на учители, директори и други педагогически специалисти“</w:t>
      </w:r>
      <w:r w:rsidRPr="00AA5833">
        <w:rPr>
          <w:rFonts w:ascii="Times New Roman" w:eastAsia="Calibri" w:hAnsi="Times New Roman" w:cs="Times New Roman"/>
          <w:bCs/>
          <w:sz w:val="24"/>
          <w:szCs w:val="24"/>
        </w:rPr>
        <w:t>,</w:t>
      </w:r>
      <w:r w:rsidRPr="00AA5833">
        <w:rPr>
          <w:rFonts w:ascii="Times New Roman" w:eastAsia="Calibri" w:hAnsi="Times New Roman" w:cs="Times New Roman"/>
          <w:b/>
          <w:bCs/>
          <w:sz w:val="24"/>
          <w:szCs w:val="24"/>
        </w:rPr>
        <w:t xml:space="preserve"> </w:t>
      </w:r>
      <w:r w:rsidRPr="00AA5833">
        <w:rPr>
          <w:rFonts w:ascii="Times New Roman" w:eastAsia="Calibri" w:hAnsi="Times New Roman" w:cs="Times New Roman"/>
          <w:sz w:val="24"/>
          <w:szCs w:val="24"/>
        </w:rPr>
        <w:t xml:space="preserve">който цели обучения на новоназначени учители за въвеждане в професията, професионално и кариерно развитие и наставничество; обучение на новоназначени директори – практически обучения и наставничество; прилагане на </w:t>
      </w:r>
      <w:r w:rsidRPr="00AA5833">
        <w:rPr>
          <w:rFonts w:ascii="Times New Roman" w:eastAsia="Times New Roman" w:hAnsi="Times New Roman" w:cs="Times New Roman"/>
          <w:sz w:val="24"/>
          <w:szCs w:val="24"/>
          <w:lang w:eastAsia="bg-BG"/>
        </w:rPr>
        <w:t xml:space="preserve">компетентностния подход и повишаване на компетентностите на учителите, вкл. образователно и социално приобщаване; обучение на учители за използване на нови технологии и изкуствен интелект. </w:t>
      </w:r>
    </w:p>
    <w:p w14:paraId="097B74DF"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Общо по модула са обучени 4650 учители, директори и педагогически специалисти. Проведени са: обучения, насочени към подкрепа, мотивация и наставничество на новоназначените учители за трайно оставане в системата на образование (обучени са </w:t>
      </w:r>
      <w:r w:rsidRPr="00AA5833">
        <w:rPr>
          <w:rFonts w:ascii="Times New Roman" w:eastAsia="Times New Roman" w:hAnsi="Times New Roman" w:cs="Times New Roman"/>
          <w:sz w:val="24"/>
          <w:szCs w:val="24"/>
          <w:lang w:eastAsia="bg-BG"/>
        </w:rPr>
        <w:t>139 учители</w:t>
      </w:r>
      <w:r w:rsidRPr="00AA5833">
        <w:rPr>
          <w:rFonts w:ascii="Times New Roman" w:eastAsia="Calibri" w:hAnsi="Times New Roman" w:cs="Times New Roman"/>
          <w:sz w:val="24"/>
          <w:szCs w:val="24"/>
        </w:rPr>
        <w:t>); обучения за новоназначените директори за плавен преход към новата позиция и развитие на техните лидерски компетентности (</w:t>
      </w:r>
      <w:r w:rsidRPr="00AA5833">
        <w:rPr>
          <w:rFonts w:ascii="Times New Roman" w:eastAsia="Times New Roman" w:hAnsi="Times New Roman" w:cs="Times New Roman"/>
          <w:sz w:val="24"/>
          <w:szCs w:val="24"/>
          <w:lang w:eastAsia="bg-BG"/>
        </w:rPr>
        <w:t xml:space="preserve">обучени 890 новоназначени директори); </w:t>
      </w:r>
      <w:r w:rsidRPr="00AA5833">
        <w:rPr>
          <w:rFonts w:ascii="Times New Roman" w:eastAsia="Calibri" w:hAnsi="Times New Roman" w:cs="Times New Roman"/>
          <w:sz w:val="24"/>
          <w:szCs w:val="24"/>
        </w:rPr>
        <w:t>обучения на 1932 учители за прилагане на компетентностния подход и повишаване на компетентностите на учителите, вкл. образователно и социално приобщаване; обучения на 50 учители за използване на изкуствен интелект.</w:t>
      </w:r>
    </w:p>
    <w:p w14:paraId="603F390B"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b/>
          <w:bCs/>
          <w:sz w:val="24"/>
          <w:szCs w:val="24"/>
        </w:rPr>
        <w:t>Модул 2 „Придобиване на професионална квалификация „учител по…“, като допълнителна професионална  квалификация на заети в системата на предучилищното и училищното образование учители“</w:t>
      </w:r>
      <w:r w:rsidRPr="00AA5833">
        <w:rPr>
          <w:rFonts w:ascii="Times New Roman" w:eastAsia="Calibri" w:hAnsi="Times New Roman" w:cs="Times New Roman"/>
          <w:sz w:val="24"/>
          <w:szCs w:val="24"/>
        </w:rPr>
        <w:t xml:space="preserve">,  който цели осигуряване на квалифицирани учители за училища с малък брой паралелки; въвеждане на нови подходи към преподаването, развитието на ключовите компетентности, оценяването на напредъка на учениците и развитието училищната култура и общност. В изпълнението на този модул са включени 75 учители за придобиване на професионална квалификация „учител“ по учебен предмет. Целта е обезпечаване на кадровия ресурс в училища с недостиг на педагогически специалисти по определени предмети. Сключени са споразумения с 6 висши училища за провеждане на обученията. </w:t>
      </w:r>
    </w:p>
    <w:p w14:paraId="747C5760"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b/>
          <w:bCs/>
          <w:sz w:val="24"/>
          <w:szCs w:val="24"/>
        </w:rPr>
        <w:lastRenderedPageBreak/>
        <w:t>Модул 3 „Международно сътрудничество в областта на квалификацията на педагогическите специалисти - обучения по международни споразумения за обучение на учители“</w:t>
      </w:r>
      <w:r w:rsidRPr="00AA5833">
        <w:rPr>
          <w:rFonts w:ascii="Times New Roman" w:eastAsia="Calibri" w:hAnsi="Times New Roman" w:cs="Times New Roman"/>
          <w:sz w:val="24"/>
          <w:szCs w:val="24"/>
        </w:rPr>
        <w:t xml:space="preserve">. </w:t>
      </w:r>
    </w:p>
    <w:p w14:paraId="6130EBCB"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Обучени са 30 учители по природни науки и 30 учители по професионална подготовка в област на „Образование“, „Техника“ и „Информатика“ от Списъка на професиите на професионално образование и обучение и на учители по учебните предмети информатика и информационни технологии от общообразователната подготовка или в занимания по интереси в ЦПЛР по направление „Техника“ и „Информатика“. </w:t>
      </w:r>
    </w:p>
    <w:p w14:paraId="2CD2B692"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Проведено е онлайн обучение за 26 педагогически специалисти, свързано с историята на Холокоста и антисемитизма, организирано от МОН и Мемориалния център за жертвите и героите на Холокоста „Яд Вашем“ в периода 04 – 07 ноември 2024 г. Реализирането на обучението за усъвършенстване и обогатяване на ключовите компетентности на педагогическите специалисти за повишаване качеството на обучението, възпитанието и социализацията на децата и учениците в образователните институции.  </w:t>
      </w:r>
    </w:p>
    <w:p w14:paraId="2AB2C121"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Мярката оказва въздействие на национално ниво.</w:t>
      </w:r>
    </w:p>
    <w:p w14:paraId="26A7CA69"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rPr>
      </w:pPr>
    </w:p>
    <w:p w14:paraId="0E0CD332"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1D0EEFB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0F356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9.5.2. Осигуряване на условия за повишаване качеството на образователния процес, компетентностите и уменията на децата и учениците</w:t>
      </w:r>
    </w:p>
    <w:p w14:paraId="1F811FF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37B4154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Мярката се изпълнява с дейности по НП „Осигуряване на съвременна, сигурна и достъпна образователна среда” – модул „Съвременна среда за качествено обучение по хуманитарни науки, по география и икономика, по технологии и предприемачество и за целодневна организация на учебния ден“ за 2024 г.</w:t>
      </w:r>
    </w:p>
    <w:p w14:paraId="12A0463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Целта на модула е осигуряване на привлекателни съвременни условия за ученици и учители в класни стаи/учебни кабинети за обучение по хуманитарни науки, по география и икономика и по технологии и предприемачество, в стаи за занимания по интереси за целодневна организация на учебния ден, в училищни библиотеки/кът за четене. Той се изпълнява на територията на Република България и обхваща държавни и общински училища и центрове за специална образователна подкрепа (ЦСОП). </w:t>
      </w:r>
    </w:p>
    <w:p w14:paraId="29B3740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За учебната 2024/2025 г. са класирани 426 училища (380 общински и 46 държавни училища) и 15 ЦСОП (2 общински и 13 държавни). Съгласно правилата на програмата финансовите средства се разходват до 15.12.2024 г., а планираните дейности се изпълняват до 30.06.2025 г. По модула са изразходвани 7 015 000 лв. </w:t>
      </w:r>
    </w:p>
    <w:p w14:paraId="64769FD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Мярката оказва въздействие на институционално/училищно ниво.</w:t>
      </w:r>
    </w:p>
    <w:p w14:paraId="35DE9B2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7F3DD4C"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217D7F2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684E7F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9.5.3. Оптимизиране процеса на обучение и повишаване на неговата ефективност чрез внедряване на иновации, базирани на информационните и комуникационните технологии (ИКТ)</w:t>
      </w:r>
    </w:p>
    <w:p w14:paraId="13C4E4C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0389502F" w14:textId="77777777" w:rsidR="00533926" w:rsidRPr="00AA5833" w:rsidRDefault="00533926" w:rsidP="00533926">
      <w:pPr>
        <w:tabs>
          <w:tab w:val="left" w:pos="990"/>
        </w:tabs>
        <w:spacing w:after="0" w:line="240" w:lineRule="auto"/>
        <w:ind w:firstLine="72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се изпълнява с дейности по НП „Информационни и комуникационни технологии (ИКТ) в системата на предучилищното и училищното образование“ за 2024 година с общ бюджет от 11 000 000 лв. Целта на националната програма е да даде повече възможности за дигитализация на училищата и детските градини. Срокът на действие е до 31.12.2024 г., а изпълнението е следното:</w:t>
      </w:r>
    </w:p>
    <w:p w14:paraId="45D5BCCB"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Закупено е оборудване за дейта центровете.</w:t>
      </w:r>
    </w:p>
    <w:p w14:paraId="33B8878C"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Осигурена е поддръжка на Microsoft и Google профилите на потребителите в образователната система.</w:t>
      </w:r>
    </w:p>
    <w:p w14:paraId="4934CA7E"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Осигурена е поддръжка на мониторинг центъра и хелпдеска на МОН.</w:t>
      </w:r>
    </w:p>
    <w:p w14:paraId="09492C4D"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Осигурени са средства за доизграждане на иновативен дигитален център за поддържаща и продължаваща квалификация на учителите в областта и със средствата на информационните и комуникационните технологии.</w:t>
      </w:r>
    </w:p>
    <w:p w14:paraId="5735485C"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Осигурени са 200 броя преносими компютри за 200 детски градини.</w:t>
      </w:r>
    </w:p>
    <w:p w14:paraId="3225C8B7"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Осигурени са 390 преносими компютри на 66 училища.</w:t>
      </w:r>
    </w:p>
    <w:p w14:paraId="6E91DF68"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Предоставени са средства за електронен дневник на 1522 ДГ в 259 общини чрез общините.</w:t>
      </w:r>
    </w:p>
    <w:p w14:paraId="6D348B32"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Предоставени са средства на 80 училища за закупуване на технически средства за ученици със специфични нарушения на способността за учене – с дислексия, дисграфия и дискалкулия, както и чрез средства за допълваща и алтернативна комуникация (ДАК), предназначени за ученици с физически увреждания и двигателни ограничения и за невербални ученици със специални образователни потребности, ЦПЛР. </w:t>
      </w:r>
    </w:p>
    <w:p w14:paraId="13CCE518"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Предоставени са средства на 118 училища за закупуване и внедряване на иновативни софтуерни решения за управление на учебния процес и осигуряване на възможности за съвместна работа от разстояние и в хибридна среда, вкл. и чрез използване на изкуствен интелект.</w:t>
      </w:r>
    </w:p>
    <w:p w14:paraId="367D7ACC"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Предоставени са средства на 113 училища за закупуване и внедряване на софтуер за професионално обучение и  подкрепа  на  съпътстващите дейности по използването му като част от образователния процес. </w:t>
      </w:r>
    </w:p>
    <w:p w14:paraId="06DCBCFA"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Предоставени са средства на 104 училища за обучение на ученици и учители и относно киберсигурност и безопасно използване на интернет.</w:t>
      </w:r>
    </w:p>
    <w:p w14:paraId="5D4A86A1"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Предоставени са средства за интернет на 1754 училища и ЦПЛР.</w:t>
      </w:r>
    </w:p>
    <w:p w14:paraId="0F1BB717" w14:textId="77777777" w:rsidR="00533926" w:rsidRPr="00AA5833" w:rsidRDefault="00533926" w:rsidP="002A598C">
      <w:pPr>
        <w:numPr>
          <w:ilvl w:val="0"/>
          <w:numId w:val="93"/>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Предоставени са средства на 27 училища за изграждане/доизграждане на WiFi мрежи и изграждане на нови Wi-Fi зони за нуждите на училищното образование.</w:t>
      </w:r>
    </w:p>
    <w:p w14:paraId="354BB6B6" w14:textId="77777777" w:rsidR="00533926" w:rsidRPr="00AA5833" w:rsidRDefault="00533926" w:rsidP="00533926">
      <w:pPr>
        <w:tabs>
          <w:tab w:val="left" w:pos="990"/>
        </w:tabs>
        <w:spacing w:after="0" w:line="240" w:lineRule="auto"/>
        <w:ind w:firstLine="72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оказва въздействие на национално и училищно ниво.</w:t>
      </w:r>
    </w:p>
    <w:p w14:paraId="34AD374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742EDD2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44E842F8"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1D5DF75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9.5.4. Проект „ЛИО: Глобално гражданство и ключови компетентности: Лаборатория за иновативно обучение“ </w:t>
      </w:r>
    </w:p>
    <w:p w14:paraId="38E696E1"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0136FA27"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sz w:val="24"/>
          <w:szCs w:val="24"/>
          <w:lang w:eastAsia="bg-BG"/>
        </w:rPr>
        <w:tab/>
      </w:r>
      <w:r w:rsidRPr="00AA5833">
        <w:rPr>
          <w:rFonts w:ascii="Times New Roman" w:eastAsia="Times New Roman" w:hAnsi="Times New Roman" w:cs="Times New Roman"/>
          <w:bCs/>
          <w:sz w:val="24"/>
          <w:szCs w:val="24"/>
          <w:lang w:eastAsia="bg-BG"/>
        </w:rPr>
        <w:t xml:space="preserve">Проектът е със срок на изпълнение 2024-2027 г. и се финансира от </w:t>
      </w:r>
      <w:r w:rsidRPr="00AA5833">
        <w:rPr>
          <w:rFonts w:ascii="Times New Roman" w:eastAsia="Times New Roman" w:hAnsi="Times New Roman" w:cs="Times New Roman"/>
          <w:sz w:val="24"/>
          <w:szCs w:val="24"/>
          <w:lang w:eastAsia="bg-BG"/>
        </w:rPr>
        <w:t>НП „Образование с наука“ на МОН.</w:t>
      </w:r>
      <w:r w:rsidRPr="00AA5833">
        <w:rPr>
          <w:rFonts w:ascii="Times New Roman" w:eastAsia="Times New Roman" w:hAnsi="Times New Roman" w:cs="Times New Roman"/>
          <w:bCs/>
          <w:sz w:val="24"/>
          <w:szCs w:val="24"/>
          <w:lang w:eastAsia="bg-BG"/>
        </w:rPr>
        <w:t xml:space="preserve"> Общият бюджет на проекта за 2024 г. е на стойност </w:t>
      </w:r>
      <w:r w:rsidRPr="00AA5833">
        <w:rPr>
          <w:rFonts w:ascii="Times New Roman" w:eastAsia="Times New Roman" w:hAnsi="Times New Roman" w:cs="Times New Roman"/>
          <w:bCs/>
          <w:sz w:val="24"/>
          <w:szCs w:val="24"/>
          <w:lang w:eastAsia="bg-BG"/>
        </w:rPr>
        <w:br/>
      </w:r>
      <w:r w:rsidRPr="00AA5833">
        <w:rPr>
          <w:rFonts w:ascii="Times New Roman" w:eastAsia="Times New Roman" w:hAnsi="Times New Roman" w:cs="Times New Roman"/>
          <w:sz w:val="24"/>
          <w:szCs w:val="24"/>
          <w:lang w:eastAsia="bg-BG"/>
        </w:rPr>
        <w:t>48 304 л</w:t>
      </w:r>
      <w:r w:rsidRPr="00AA5833">
        <w:rPr>
          <w:rFonts w:ascii="Times New Roman" w:eastAsia="Times New Roman" w:hAnsi="Times New Roman" w:cs="Times New Roman"/>
          <w:bCs/>
          <w:sz w:val="24"/>
          <w:szCs w:val="24"/>
          <w:lang w:eastAsia="bg-BG"/>
        </w:rPr>
        <w:t>в</w:t>
      </w:r>
      <w:r w:rsidRPr="00AA5833">
        <w:rPr>
          <w:rFonts w:ascii="Times New Roman" w:eastAsia="Times New Roman" w:hAnsi="Times New Roman" w:cs="Times New Roman"/>
          <w:sz w:val="24"/>
          <w:szCs w:val="24"/>
          <w:lang w:eastAsia="bg-BG"/>
        </w:rPr>
        <w:t>.</w:t>
      </w:r>
    </w:p>
    <w:p w14:paraId="3527576D"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В рамките на проекта през 2024 г. е създадена лаборатория за иновативно обучение, организирани са обучения на учители и са разработени учебни помагала.</w:t>
      </w:r>
    </w:p>
    <w:p w14:paraId="4151BF59"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78269AFF"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iCs/>
          <w:sz w:val="24"/>
          <w:szCs w:val="24"/>
          <w:lang w:eastAsia="bg-BG"/>
        </w:rPr>
        <w:t>Постигната е по-висока ефективност на образователния процес.</w:t>
      </w:r>
    </w:p>
    <w:p w14:paraId="7C15331A"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iCs/>
          <w:sz w:val="24"/>
          <w:szCs w:val="24"/>
          <w:lang w:eastAsia="bg-BG"/>
        </w:rPr>
        <w:t xml:space="preserve">Осигурено е повече време за социализация на учениците в училище. </w:t>
      </w:r>
    </w:p>
    <w:p w14:paraId="5456600F"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bg-BG"/>
        </w:rPr>
      </w:pPr>
      <w:r w:rsidRPr="00AA5833">
        <w:rPr>
          <w:rFonts w:ascii="Times New Roman" w:eastAsia="Times New Roman" w:hAnsi="Times New Roman" w:cs="Times New Roman"/>
          <w:bCs/>
          <w:iCs/>
          <w:sz w:val="24"/>
          <w:szCs w:val="24"/>
          <w:lang w:eastAsia="bg-BG"/>
        </w:rPr>
        <w:t xml:space="preserve">Създадена е лаборатория за иновативно обучение, в която да се прилага един по-холистичен образователен подход, като се създават повече междупредметни връзки, формират се различни знания, умения и компетентности. </w:t>
      </w:r>
    </w:p>
    <w:p w14:paraId="10B003C8"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iCs/>
          <w:sz w:val="24"/>
          <w:szCs w:val="24"/>
          <w:lang w:eastAsia="bg-BG"/>
        </w:rPr>
        <w:lastRenderedPageBreak/>
        <w:t>Обучени са учители.</w:t>
      </w:r>
    </w:p>
    <w:p w14:paraId="4B8DCB73"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iCs/>
          <w:sz w:val="24"/>
          <w:szCs w:val="24"/>
          <w:lang w:eastAsia="bg-BG"/>
        </w:rPr>
        <w:t>Подготвени са учебни помагала и интерактивни уроци.</w:t>
      </w:r>
    </w:p>
    <w:p w14:paraId="19C2D2AC" w14:textId="77777777" w:rsidR="00533926" w:rsidRPr="00AA5833" w:rsidRDefault="00533926" w:rsidP="002A598C">
      <w:pPr>
        <w:numPr>
          <w:ilvl w:val="0"/>
          <w:numId w:val="5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iCs/>
          <w:sz w:val="24"/>
          <w:szCs w:val="24"/>
          <w:lang w:eastAsia="bg-BG"/>
        </w:rPr>
        <w:t>Създадена е менторска програма и експериментални училища.</w:t>
      </w:r>
    </w:p>
    <w:p w14:paraId="6218C66E"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Резултатите от проекта имат пряко въздействие на различни нива: национално и регионално. </w:t>
      </w:r>
    </w:p>
    <w:p w14:paraId="6B8161C5" w14:textId="77777777" w:rsidR="00533926"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5D90AD6A" w14:textId="77777777" w:rsidR="001D201F" w:rsidRDefault="001D201F"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12599640" w14:textId="77777777" w:rsidR="001D201F" w:rsidRDefault="001D201F"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11E5C775" w14:textId="77777777" w:rsidR="001D201F" w:rsidRPr="00AA5833" w:rsidRDefault="001D201F" w:rsidP="00533926">
      <w:pPr>
        <w:autoSpaceDE w:val="0"/>
        <w:autoSpaceDN w:val="0"/>
        <w:adjustRightInd w:val="0"/>
        <w:spacing w:after="0" w:line="240" w:lineRule="auto"/>
        <w:jc w:val="center"/>
        <w:rPr>
          <w:rFonts w:ascii="Times New Roman" w:hAnsi="Times New Roman" w:cs="Times New Roman"/>
          <w:b/>
          <w:color w:val="000000"/>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1A8970C6" w14:textId="77777777" w:rsidTr="00533926">
        <w:trPr>
          <w:trHeight w:val="145"/>
        </w:trPr>
        <w:tc>
          <w:tcPr>
            <w:tcW w:w="5000" w:type="pct"/>
            <w:shd w:val="clear" w:color="auto" w:fill="FFFF99"/>
            <w:hideMark/>
          </w:tcPr>
          <w:p w14:paraId="37217B71"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color w:val="000000" w:themeColor="text1"/>
                <w:sz w:val="24"/>
                <w:szCs w:val="24"/>
              </w:rPr>
              <w:br w:type="page"/>
            </w:r>
            <w:r w:rsidRPr="00AA5833">
              <w:rPr>
                <w:rFonts w:ascii="Times New Roman" w:eastAsia="Times New Roman" w:hAnsi="Times New Roman" w:cs="Times New Roman"/>
                <w:b/>
                <w:sz w:val="24"/>
                <w:szCs w:val="24"/>
              </w:rPr>
              <w:t>9.6. Формиране на умения за работа с високи технологии</w:t>
            </w:r>
          </w:p>
        </w:tc>
      </w:tr>
    </w:tbl>
    <w:p w14:paraId="25B823CA" w14:textId="77777777" w:rsidR="00533926" w:rsidRPr="00AA5833" w:rsidRDefault="00533926" w:rsidP="00533926">
      <w:pPr>
        <w:spacing w:after="0" w:line="240" w:lineRule="auto"/>
        <w:jc w:val="both"/>
        <w:rPr>
          <w:sz w:val="24"/>
          <w:szCs w:val="24"/>
        </w:rPr>
      </w:pPr>
    </w:p>
    <w:p w14:paraId="2441B747"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0820EFCB"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729BFFC8"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9.6.1. Проект „BEYOND 4.0: Приобщаващо бъдеще за Европа. Отвъд въздействието на Индустрията 4.0 и цифровата промяна“ 2019-2024 г. (BEYOND4.0: Inclusive Futures for Europe BEYOND the impacts of Industrie 4.0 and Digital Disruption)</w:t>
      </w:r>
    </w:p>
    <w:p w14:paraId="65B08EF8"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sz w:val="24"/>
          <w:szCs w:val="24"/>
          <w:lang w:eastAsia="bg-BG"/>
        </w:rPr>
      </w:pPr>
    </w:p>
    <w:p w14:paraId="4169AEE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Финансирането на проекта е от Европейската комисия по програма HORIZON2020. Общият бюджет за 2024 г. е на стойност 71 176,74 лв. В рамките на годината са публикувани монографии и научни статии в списания и са проведени множество семинари със заинтересованите страни. </w:t>
      </w:r>
    </w:p>
    <w:p w14:paraId="0E68134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Основните постигнати резултати са:</w:t>
      </w:r>
    </w:p>
    <w:p w14:paraId="49B8ADE9" w14:textId="77777777" w:rsidR="00533926" w:rsidRPr="00AA5833" w:rsidRDefault="00533926" w:rsidP="002A598C">
      <w:pPr>
        <w:numPr>
          <w:ilvl w:val="0"/>
          <w:numId w:val="62"/>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BEYOND4.0 допринася за постигането на приобщаващо европейско бъдеще, като проучва въздействието на новите технологии върху развитието на работните места, бизнес моделите и благосъстоянието. </w:t>
      </w:r>
    </w:p>
    <w:p w14:paraId="4CF4AE0B" w14:textId="77777777" w:rsidR="00533926" w:rsidRPr="00AA5833" w:rsidRDefault="00533926" w:rsidP="002A598C">
      <w:pPr>
        <w:numPr>
          <w:ilvl w:val="0"/>
          <w:numId w:val="62"/>
        </w:numPr>
        <w:spacing w:after="0" w:line="240" w:lineRule="auto"/>
        <w:ind w:firstLine="71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Проектът изучава дигиталната трансформация в регионите на ЕС, как тя се отразява на икономическото им развитие и какви са социалните ефекти върху заетостта, уменията и социалното осигуряване. </w:t>
      </w:r>
    </w:p>
    <w:p w14:paraId="61C5B323"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Резултатите от това изследване подпомагат създателите на политики на местно, национално и европейско ниво във връзка с развитието на дигиталната трансформация и нейните социални и икономически ефекти.</w:t>
      </w:r>
    </w:p>
    <w:p w14:paraId="78762911" w14:textId="77777777" w:rsidR="00533926" w:rsidRPr="00AA5833" w:rsidRDefault="00533926" w:rsidP="00533926">
      <w:pPr>
        <w:spacing w:after="0" w:line="240" w:lineRule="auto"/>
        <w:jc w:val="both"/>
        <w:rPr>
          <w:sz w:val="24"/>
          <w:szCs w:val="24"/>
        </w:rPr>
      </w:pPr>
    </w:p>
    <w:p w14:paraId="68126BD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25BFB18F" w14:textId="77777777" w:rsidR="00533926" w:rsidRPr="00AA5833" w:rsidRDefault="00533926" w:rsidP="00533926">
      <w:pPr>
        <w:spacing w:after="0" w:line="240" w:lineRule="auto"/>
        <w:jc w:val="both"/>
        <w:rPr>
          <w:sz w:val="24"/>
          <w:szCs w:val="24"/>
        </w:rPr>
      </w:pPr>
    </w:p>
    <w:p w14:paraId="460B72F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hAnsi="Times New Roman" w:cs="Times New Roman"/>
          <w:b/>
          <w:sz w:val="24"/>
          <w:szCs w:val="24"/>
        </w:rPr>
        <w:t>9.6.2. Проект „Разработване на инструменти с изкуствен интелект за споделяне на информация относно местните трудови пазари на завършилите професионално образование и обучение“ (</w:t>
      </w:r>
      <w:r w:rsidRPr="00AA5833">
        <w:rPr>
          <w:rFonts w:ascii="Times New Roman" w:eastAsia="Times New Roman" w:hAnsi="Times New Roman" w:cs="Times New Roman"/>
          <w:b/>
          <w:sz w:val="24"/>
          <w:szCs w:val="24"/>
          <w:lang w:eastAsia="bg-BG"/>
        </w:rPr>
        <w:t>AIVET: Developing AI tools for sharing intelligence on the local labour markets of VET graduates)</w:t>
      </w:r>
    </w:p>
    <w:p w14:paraId="40477562" w14:textId="77777777" w:rsidR="00533926" w:rsidRPr="00AA5833" w:rsidRDefault="00533926" w:rsidP="00533926">
      <w:pPr>
        <w:spacing w:after="0" w:line="240" w:lineRule="auto"/>
        <w:jc w:val="both"/>
        <w:rPr>
          <w:sz w:val="24"/>
          <w:szCs w:val="24"/>
        </w:rPr>
      </w:pPr>
    </w:p>
    <w:p w14:paraId="106EF4CA"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Проектът е със срок на изпълнение 2023-2026 г. и се финансира от </w:t>
      </w:r>
      <w:r w:rsidRPr="00AA5833">
        <w:rPr>
          <w:rFonts w:ascii="Times New Roman" w:eastAsia="Times New Roman" w:hAnsi="Times New Roman" w:cs="Times New Roman"/>
          <w:sz w:val="24"/>
          <w:szCs w:val="24"/>
          <w:lang w:eastAsia="bg-BG"/>
        </w:rPr>
        <w:t>Европейската комисия</w:t>
      </w:r>
      <w:r w:rsidRPr="00AA5833">
        <w:rPr>
          <w:rFonts w:ascii="Times New Roman" w:eastAsia="Times New Roman" w:hAnsi="Times New Roman" w:cs="Times New Roman"/>
          <w:bCs/>
          <w:sz w:val="24"/>
          <w:szCs w:val="24"/>
          <w:lang w:eastAsia="bg-BG"/>
        </w:rPr>
        <w:t xml:space="preserve"> по програмата Erasmus+. Общият бюджет на проекта за 2024 г. е на стойност 49 286,92 лева</w:t>
      </w:r>
      <w:r w:rsidRPr="00AA5833">
        <w:rPr>
          <w:rFonts w:ascii="Times New Roman" w:eastAsia="Times New Roman" w:hAnsi="Times New Roman" w:cs="Times New Roman"/>
          <w:sz w:val="24"/>
          <w:szCs w:val="24"/>
          <w:lang w:eastAsia="bg-BG"/>
        </w:rPr>
        <w:t>.</w:t>
      </w:r>
      <w:r w:rsidRPr="00AA5833">
        <w:rPr>
          <w:rFonts w:ascii="Times New Roman" w:eastAsia="Times New Roman" w:hAnsi="Times New Roman" w:cs="Times New Roman"/>
          <w:bCs/>
          <w:sz w:val="24"/>
          <w:szCs w:val="24"/>
          <w:lang w:eastAsia="bg-BG"/>
        </w:rPr>
        <w:t xml:space="preserve"> В рамките на проекта през периода 2023-2024 г. са изнесени са доклади на национални и международни форуми.</w:t>
      </w:r>
    </w:p>
    <w:p w14:paraId="0BB1A81A"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398AA232" w14:textId="77777777" w:rsidR="00533926" w:rsidRPr="00AA5833" w:rsidRDefault="00533926" w:rsidP="002A598C">
      <w:pPr>
        <w:numPr>
          <w:ilvl w:val="0"/>
          <w:numId w:val="63"/>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hAnsi="Times New Roman" w:cs="Times New Roman"/>
          <w:bCs/>
          <w:sz w:val="24"/>
          <w:szCs w:val="24"/>
        </w:rPr>
        <w:t>Набрана е информация за структурирането на уменията, което ще подпомогне специалистите в сферата на пазара на труда и образованието да вземат по-информирани решения.</w:t>
      </w:r>
    </w:p>
    <w:p w14:paraId="167D2D36" w14:textId="77777777" w:rsidR="00533926" w:rsidRPr="00AA5833" w:rsidRDefault="00533926" w:rsidP="002A598C">
      <w:pPr>
        <w:numPr>
          <w:ilvl w:val="0"/>
          <w:numId w:val="63"/>
        </w:numPr>
        <w:spacing w:after="0" w:line="240" w:lineRule="auto"/>
        <w:ind w:firstLine="710"/>
        <w:contextualSpacing/>
        <w:jc w:val="both"/>
        <w:rPr>
          <w:rFonts w:ascii="Times New Roman" w:eastAsia="Times New Roman" w:hAnsi="Times New Roman" w:cs="Times New Roman"/>
          <w:bCs/>
          <w:sz w:val="24"/>
          <w:szCs w:val="24"/>
          <w:lang w:eastAsia="bg-BG"/>
        </w:rPr>
      </w:pPr>
      <w:r w:rsidRPr="00AA5833">
        <w:rPr>
          <w:rFonts w:ascii="Times New Roman" w:hAnsi="Times New Roman" w:cs="Times New Roman"/>
          <w:bCs/>
          <w:sz w:val="24"/>
          <w:szCs w:val="24"/>
        </w:rPr>
        <w:t>Разработени са прототипи на AI инструменти и методологически протоколи, които да улеснят разбирането на местната информация за професионалното образование и обучение.</w:t>
      </w:r>
    </w:p>
    <w:p w14:paraId="5B3C2A5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ab/>
        <w:t>Резултатите от проекта имат пряко въздействие на различни нива: национално и европейско.</w:t>
      </w:r>
    </w:p>
    <w:p w14:paraId="2E3013A8" w14:textId="77777777" w:rsidR="00533926" w:rsidRPr="00AA5833" w:rsidRDefault="00533926" w:rsidP="00533926">
      <w:pPr>
        <w:spacing w:after="0" w:line="240" w:lineRule="auto"/>
        <w:jc w:val="both"/>
        <w:rPr>
          <w:sz w:val="24"/>
          <w:szCs w:val="24"/>
        </w:rPr>
      </w:pPr>
    </w:p>
    <w:p w14:paraId="056EF0A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0C12B0E7" w14:textId="77777777" w:rsidR="00533926" w:rsidRPr="00AA5833" w:rsidRDefault="00533926" w:rsidP="00533926">
      <w:pPr>
        <w:spacing w:after="0" w:line="240" w:lineRule="auto"/>
        <w:jc w:val="both"/>
        <w:rPr>
          <w:sz w:val="24"/>
          <w:szCs w:val="24"/>
        </w:rPr>
      </w:pPr>
    </w:p>
    <w:p w14:paraId="441941EB"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9.6.3. Проект „Отключване на иновативния потенциал на Южния централен регион  на България в сектора на земеделието“ (AgroDigiRise: Unlocking the innovative potential of the South Central Region of Bulgaria in the agricultural sector)</w:t>
      </w:r>
    </w:p>
    <w:p w14:paraId="1802B076" w14:textId="77777777" w:rsidR="00533926" w:rsidRPr="00AA5833" w:rsidRDefault="00533926" w:rsidP="00533926">
      <w:pPr>
        <w:spacing w:after="0" w:line="240" w:lineRule="auto"/>
        <w:jc w:val="both"/>
        <w:rPr>
          <w:rFonts w:ascii="Times New Roman" w:hAnsi="Times New Roman" w:cs="Times New Roman"/>
          <w:sz w:val="24"/>
          <w:szCs w:val="24"/>
        </w:rPr>
      </w:pPr>
    </w:p>
    <w:p w14:paraId="3A385B69"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със срок на изпълнение 2022-2025 г. и се финансира от Европейската комисия по Програма „Цифрова Европа“. През 2024 г. се работи със средствата, постъпили през 2023 г. В рамките на проекта през периода 2023-2024 г. са изнесени доклади на национални и международни форуми.</w:t>
      </w:r>
    </w:p>
    <w:p w14:paraId="1F179BFF"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67C838BC" w14:textId="77777777" w:rsidR="00533926" w:rsidRPr="00AA5833" w:rsidRDefault="00533926" w:rsidP="002A598C">
      <w:pPr>
        <w:numPr>
          <w:ilvl w:val="0"/>
          <w:numId w:val="59"/>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Подпомогната е цифровата и зелена трансформация в селското стопанство и хранително-вкусовата промишленост в Южен Централен район на България.</w:t>
      </w:r>
    </w:p>
    <w:p w14:paraId="07357FDB" w14:textId="77777777" w:rsidR="00533926" w:rsidRPr="00AA5833" w:rsidRDefault="00533926" w:rsidP="002A598C">
      <w:pPr>
        <w:numPr>
          <w:ilvl w:val="0"/>
          <w:numId w:val="59"/>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 xml:space="preserve">Създаден е Национален демонстрационен център и мрежа от Демо пунктове  с фокус върху развитието на прецизното земеделие в региона. </w:t>
      </w:r>
    </w:p>
    <w:p w14:paraId="2A76BC31" w14:textId="77777777" w:rsidR="00533926" w:rsidRPr="00AA5833" w:rsidRDefault="00533926" w:rsidP="002A598C">
      <w:pPr>
        <w:numPr>
          <w:ilvl w:val="0"/>
          <w:numId w:val="59"/>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 xml:space="preserve">Подкрепено е развитието на регионална екосистема от заинтересовани страни, взаимодействащи и обменящи знания помежду си за постигане на общата цел от цифрова трансформация на региона. </w:t>
      </w:r>
    </w:p>
    <w:p w14:paraId="281E7028" w14:textId="77777777" w:rsidR="00533926" w:rsidRPr="00AA5833" w:rsidRDefault="00533926" w:rsidP="002A598C">
      <w:pPr>
        <w:numPr>
          <w:ilvl w:val="0"/>
          <w:numId w:val="59"/>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Осигурен е достъп на земеделски производители и фирми от хранително-вкусовата промишленост до технически съоръжения и набор от услуги, които подпомагат тяхната цифрова трансформация.</w:t>
      </w:r>
    </w:p>
    <w:p w14:paraId="32C16588" w14:textId="77777777" w:rsidR="00533926" w:rsidRPr="00AA5833" w:rsidRDefault="00533926" w:rsidP="002A598C">
      <w:pPr>
        <w:numPr>
          <w:ilvl w:val="0"/>
          <w:numId w:val="59"/>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Cs/>
          <w:sz w:val="24"/>
          <w:szCs w:val="24"/>
        </w:rPr>
        <w:t>Подобрени са компетенциите и възможностите на земеделските производители и представители на хранително-вкусовия сектор чрез обучения за придобиване на цифрови умения и повишаване на конкурентоспособността на участниците в регионалната екосистема.</w:t>
      </w:r>
    </w:p>
    <w:p w14:paraId="4060D25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Резултатите от проекта имат пряко въздействие на различни нива: национално, регионално и европейско.</w:t>
      </w:r>
    </w:p>
    <w:p w14:paraId="5D716B4E" w14:textId="77777777" w:rsidR="00533926" w:rsidRPr="00AA5833" w:rsidRDefault="00533926" w:rsidP="00533926">
      <w:pPr>
        <w:spacing w:after="0" w:line="240" w:lineRule="auto"/>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055"/>
      </w:tblGrid>
      <w:tr w:rsidR="00533926" w:rsidRPr="00AA5833" w14:paraId="076BAAAD" w14:textId="77777777" w:rsidTr="00533926">
        <w:trPr>
          <w:trHeight w:val="145"/>
        </w:trPr>
        <w:tc>
          <w:tcPr>
            <w:tcW w:w="5000" w:type="pct"/>
            <w:shd w:val="clear" w:color="auto" w:fill="FFFF99"/>
            <w:hideMark/>
          </w:tcPr>
          <w:p w14:paraId="632E6F2B"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Times New Roman" w:hAnsi="Times New Roman" w:cs="Times New Roman"/>
                <w:b/>
                <w:sz w:val="24"/>
                <w:szCs w:val="24"/>
              </w:rPr>
              <w:t>9.7. Изграждане на трайни навици за учене през целия живот, осигуряване на максимално добри условия за непрекъснато професионално обучение и развитие и развиване на системата за квалификация, преквалификация и продължаващо обучение</w:t>
            </w:r>
          </w:p>
        </w:tc>
      </w:tr>
    </w:tbl>
    <w:p w14:paraId="487F7175"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5C3081B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4BEC94F5"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E1B482E" w14:textId="77777777" w:rsidR="00533926" w:rsidRPr="00AA5833" w:rsidRDefault="00533926" w:rsidP="00533926">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9.7.1. Повишаване на знанията и подобряване на уменията на земеделските и горските стопани и на заетите лица в техните стопанства</w:t>
      </w:r>
    </w:p>
    <w:p w14:paraId="07ACEA00" w14:textId="77777777" w:rsidR="00533926" w:rsidRPr="00AA5833" w:rsidRDefault="00533926" w:rsidP="00533926">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Cs/>
          <w:i/>
          <w:sz w:val="24"/>
          <w:szCs w:val="24"/>
        </w:rPr>
      </w:pPr>
    </w:p>
    <w:p w14:paraId="0F99BAF3"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Към края на 2024 г.</w:t>
      </w:r>
      <w:r w:rsidRPr="00AA5833">
        <w:rPr>
          <w:rFonts w:ascii="Times New Roman" w:hAnsi="Times New Roman" w:cs="Times New Roman"/>
          <w:bCs/>
          <w:sz w:val="24"/>
          <w:szCs w:val="24"/>
        </w:rPr>
        <w:t xml:space="preserve"> в обучения и семинари, финансирани </w:t>
      </w:r>
      <w:r w:rsidRPr="00AA5833">
        <w:rPr>
          <w:rFonts w:ascii="Times New Roman" w:hAnsi="Times New Roman" w:cs="Times New Roman"/>
          <w:sz w:val="24"/>
          <w:szCs w:val="24"/>
        </w:rPr>
        <w:t>по Процедура №BG06RDNP001-1.001 по подмярка 1.1.„Професионално обучение и придобиване на умения“ от мярка 1 „Трансфер на знания и действия за осведомяване'' от Програмата за развитие на селските райони  за периода 2014-2020 г.</w:t>
      </w:r>
      <w:r w:rsidRPr="00AA5833">
        <w:rPr>
          <w:rFonts w:ascii="Times New Roman" w:hAnsi="Times New Roman" w:cs="Times New Roman"/>
          <w:bCs/>
          <w:sz w:val="24"/>
          <w:szCs w:val="24"/>
        </w:rPr>
        <w:t xml:space="preserve"> (ПРСР 2014-2020 г.) са участвали 1 946 лица. </w:t>
      </w:r>
      <w:r w:rsidRPr="00AA5833">
        <w:rPr>
          <w:rFonts w:ascii="Times New Roman" w:eastAsia="Calibri" w:hAnsi="Times New Roman" w:cs="Times New Roman"/>
          <w:bCs/>
          <w:sz w:val="24"/>
          <w:szCs w:val="24"/>
        </w:rPr>
        <w:t>Целта на проведената процедура е предоставяне на подкрепа за организиране и провеждане на курсове за обучение и семинари в областта на селското и горското стопанство. Процедурата е насочена към земеделските и горските стопани и заетите лица в техните стопанства. О</w:t>
      </w:r>
      <w:r w:rsidRPr="00AA5833">
        <w:rPr>
          <w:rFonts w:ascii="Times New Roman" w:hAnsi="Times New Roman" w:cs="Times New Roman"/>
          <w:sz w:val="24"/>
          <w:szCs w:val="24"/>
        </w:rPr>
        <w:t xml:space="preserve">бщо изплатените публични средства по подмярката към </w:t>
      </w:r>
      <w:r w:rsidRPr="00AA5833">
        <w:rPr>
          <w:rFonts w:ascii="Times New Roman" w:hAnsi="Times New Roman" w:cs="Times New Roman"/>
          <w:sz w:val="24"/>
          <w:szCs w:val="24"/>
        </w:rPr>
        <w:lastRenderedPageBreak/>
        <w:t xml:space="preserve">31.12.2024 г. са в размер на 1 млн. лева по 8 административни договора за предоставяне на безвъзмездна финансова помощ.  </w:t>
      </w:r>
    </w:p>
    <w:p w14:paraId="17A5B18E"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sz w:val="24"/>
          <w:szCs w:val="24"/>
        </w:rPr>
        <w:t xml:space="preserve">Предоставената финансова подкрепа по процедура №BG06RDNP001-1.004 по подмярка 1.2. „Демонстрационни дейности и действия по осведомяване“ от мярка 1 „Трансфер на знания и действия за осведомяване" от ПРСР 2014-2020 г. към 31.12.2024 година е в размер на 200 хил. лева публични средства по два от сключените договора за предоставяне на безвъзмездна финансова помощ. Към края на 2024 г. </w:t>
      </w:r>
      <w:r w:rsidRPr="00AA5833">
        <w:rPr>
          <w:rFonts w:ascii="Times New Roman" w:hAnsi="Times New Roman" w:cs="Times New Roman"/>
          <w:bCs/>
          <w:sz w:val="24"/>
          <w:szCs w:val="24"/>
        </w:rPr>
        <w:t xml:space="preserve">в демонстрационни дейности, финансирани по подмярката са включени 986 лица. </w:t>
      </w:r>
    </w:p>
    <w:p w14:paraId="4A994DAE" w14:textId="77777777" w:rsidR="00533926" w:rsidRPr="00AA5833" w:rsidRDefault="00533926" w:rsidP="00533926">
      <w:pPr>
        <w:spacing w:after="0" w:line="240" w:lineRule="auto"/>
        <w:jc w:val="both"/>
        <w:rPr>
          <w:rFonts w:ascii="Times New Roman" w:hAnsi="Times New Roman" w:cs="Times New Roman"/>
          <w:bCs/>
          <w:sz w:val="24"/>
          <w:szCs w:val="24"/>
        </w:rPr>
      </w:pPr>
    </w:p>
    <w:p w14:paraId="7645F5C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БЪЛГАРСКИ ЧЕРВЕН КРЪСТ</w:t>
      </w:r>
    </w:p>
    <w:p w14:paraId="74F2F73C" w14:textId="77777777" w:rsidR="00533926" w:rsidRPr="00AA5833" w:rsidRDefault="00533926" w:rsidP="00533926">
      <w:pPr>
        <w:spacing w:after="0" w:line="240" w:lineRule="auto"/>
        <w:jc w:val="center"/>
        <w:rPr>
          <w:rFonts w:ascii="Times New Roman" w:hAnsi="Times New Roman" w:cs="Times New Roman"/>
          <w:bCs/>
          <w:sz w:val="24"/>
          <w:szCs w:val="24"/>
        </w:rPr>
      </w:pPr>
    </w:p>
    <w:p w14:paraId="2803A31F"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9.7.2. Прилагане на обучителни модули, насочени към деца и млади хора с фокус върху устойчиво личностно развитие и изграждане на житейски умения, базирайки се на метода „връстници обучават връстници“</w:t>
      </w:r>
    </w:p>
    <w:p w14:paraId="2E95AC83" w14:textId="77777777" w:rsidR="00533926" w:rsidRPr="00AA5833" w:rsidRDefault="00533926" w:rsidP="00533926">
      <w:pPr>
        <w:spacing w:after="0" w:line="240" w:lineRule="auto"/>
        <w:jc w:val="both"/>
        <w:rPr>
          <w:rFonts w:ascii="Times New Roman" w:hAnsi="Times New Roman" w:cs="Times New Roman"/>
          <w:b/>
          <w:bCs/>
          <w:sz w:val="24"/>
          <w:szCs w:val="24"/>
        </w:rPr>
      </w:pPr>
    </w:p>
    <w:p w14:paraId="3F07E5A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През 2024 г. са проведени различни обучителни модули, обучения, ателиета и др. по теми, касаещи устойчиво личностно развитие и изграждане на житейски умения у децата и младите хора. По различните теми като: умения за живот, здравословен и активен начин на живот, лидерство и младежко овластяване, първа помощ, първа психологична помощ и психосоциална подкрепа, екология и опазване на околната среда и др. са достигнати общо над </w:t>
      </w:r>
      <w:r w:rsidRPr="00AA5833">
        <w:rPr>
          <w:rFonts w:ascii="Times New Roman" w:eastAsia="Times New Roman" w:hAnsi="Times New Roman" w:cs="Times New Roman"/>
          <w:b/>
          <w:sz w:val="24"/>
          <w:szCs w:val="24"/>
          <w:lang w:eastAsia="bg-BG"/>
        </w:rPr>
        <w:t>328 000</w:t>
      </w:r>
      <w:r w:rsidRPr="00AA5833">
        <w:rPr>
          <w:rFonts w:ascii="Times New Roman" w:eastAsia="Times New Roman" w:hAnsi="Times New Roman" w:cs="Times New Roman"/>
          <w:sz w:val="24"/>
          <w:szCs w:val="24"/>
          <w:lang w:eastAsia="bg-BG"/>
        </w:rPr>
        <w:t xml:space="preserve"> души. По традиция, всички събития се отразяват широко в социалните мрежи, като младежките структури продължават да са изключително креативни по отношение на формата на кампаниите и на обучителните сесии, и винаги успяват да намерят иновативни подходи и начини за провеждане на традиционни дейности и тяхното популяризиране сред обществото.</w:t>
      </w:r>
    </w:p>
    <w:p w14:paraId="2D02C749" w14:textId="77777777" w:rsidR="00533926" w:rsidRPr="00AA5833" w:rsidRDefault="00533926" w:rsidP="00533926">
      <w:pPr>
        <w:shd w:val="clear" w:color="auto" w:fill="FFFFFF"/>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Все по-голям интерес у младите хора набират темите, свързани с опазването на околната среда и борбата с последиците от климатичните промени. По тези теми са проведени </w:t>
      </w:r>
      <w:r w:rsidRPr="00AA5833">
        <w:rPr>
          <w:rFonts w:ascii="Times New Roman" w:eastAsia="Times New Roman" w:hAnsi="Times New Roman" w:cs="Times New Roman"/>
          <w:b/>
          <w:sz w:val="24"/>
          <w:szCs w:val="24"/>
          <w:lang w:eastAsia="bg-BG"/>
        </w:rPr>
        <w:t>62</w:t>
      </w:r>
      <w:r w:rsidRPr="00AA5833">
        <w:rPr>
          <w:rFonts w:ascii="Times New Roman" w:eastAsia="Times New Roman" w:hAnsi="Times New Roman" w:cs="Times New Roman"/>
          <w:sz w:val="24"/>
          <w:szCs w:val="24"/>
          <w:lang w:eastAsia="bg-BG"/>
        </w:rPr>
        <w:t xml:space="preserve"> кампании и </w:t>
      </w:r>
      <w:r w:rsidRPr="00AA5833">
        <w:rPr>
          <w:rFonts w:ascii="Times New Roman" w:eastAsia="Times New Roman" w:hAnsi="Times New Roman" w:cs="Times New Roman"/>
          <w:b/>
          <w:sz w:val="24"/>
          <w:szCs w:val="24"/>
          <w:lang w:eastAsia="bg-BG"/>
        </w:rPr>
        <w:t>50</w:t>
      </w:r>
      <w:r w:rsidRPr="00AA5833">
        <w:rPr>
          <w:rFonts w:ascii="Times New Roman" w:eastAsia="Times New Roman" w:hAnsi="Times New Roman" w:cs="Times New Roman"/>
          <w:sz w:val="24"/>
          <w:szCs w:val="24"/>
          <w:lang w:eastAsia="bg-BG"/>
        </w:rPr>
        <w:t xml:space="preserve"> онлайн инициативи, чрез които са достигнати над </w:t>
      </w:r>
      <w:r w:rsidRPr="00AA5833">
        <w:rPr>
          <w:rFonts w:ascii="Times New Roman" w:eastAsia="Times New Roman" w:hAnsi="Times New Roman" w:cs="Times New Roman"/>
          <w:b/>
          <w:sz w:val="24"/>
          <w:szCs w:val="24"/>
          <w:lang w:eastAsia="bg-BG"/>
        </w:rPr>
        <w:t>42 900</w:t>
      </w:r>
      <w:r w:rsidRPr="00AA5833">
        <w:rPr>
          <w:rFonts w:ascii="Times New Roman" w:eastAsia="Times New Roman" w:hAnsi="Times New Roman" w:cs="Times New Roman"/>
          <w:sz w:val="24"/>
          <w:szCs w:val="24"/>
          <w:lang w:eastAsia="bg-BG"/>
        </w:rPr>
        <w:t xml:space="preserve"> души. През 2024 г. отново бе проведена Национална кампания „Умножи доброто“ на БМЧК, чрез която на територията на цялата страна бяха направени почиствания и облагородяване на изоставени и замърсени площи и пространства, бяха засадени дръвчета и бяха проведени над 200</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ателиета и презентации с деца за запознаване с темите.   </w:t>
      </w:r>
    </w:p>
    <w:p w14:paraId="5EA40027"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И през 2024 г. продължи адаптирането на обучителни програми и модули за работа както в присъствена, така и в дигитална среда. От огромно значение е, че благодарение на доброто партньорство с МОН на национално ниво, както и със съответните структури на местно ниво, БЧК има възможност да провежда презентации и обучения сред ученици.  </w:t>
      </w:r>
    </w:p>
    <w:p w14:paraId="54A6C0B1" w14:textId="77777777" w:rsidR="00533926" w:rsidRPr="00AA5833" w:rsidRDefault="00533926" w:rsidP="00533926">
      <w:pPr>
        <w:shd w:val="clear" w:color="auto" w:fill="FFFFFF"/>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През 2024 г. продължи и възможността за преминаване на различните безплатни онлайн курсове, разработени в системата за онлайн обучения на БЧК.</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Курсовете покриват основните теми, по които работи БМЧК: общи знания за Червения кръст и Червения полумесец, въвеждащ курс за доброволци на БМЧК, лидерски умения, хигиена, промоция на хуманитарните ценности, умения за живот, първа помощ, управление на стреса, здравословен начин на живот, превенция на сексуално-рисково поведение и превенция на ХИВ/СПИН. Онлайн курсовете са изготвени от доброволци и служители на Българския Червен кръст.</w:t>
      </w:r>
    </w:p>
    <w:p w14:paraId="1C3B2F0E" w14:textId="77777777" w:rsidR="00533926" w:rsidRPr="00AA5833" w:rsidRDefault="00533926" w:rsidP="00533926">
      <w:pPr>
        <w:spacing w:after="0" w:line="240" w:lineRule="auto"/>
        <w:jc w:val="both"/>
        <w:rPr>
          <w:rFonts w:ascii="Times New Roman" w:hAnsi="Times New Roman" w:cs="Times New Roman"/>
          <w:b/>
          <w:bCs/>
          <w:sz w:val="24"/>
          <w:szCs w:val="24"/>
        </w:rPr>
      </w:pPr>
    </w:p>
    <w:p w14:paraId="2588DD0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0E93AD6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526F54A7"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lastRenderedPageBreak/>
        <w:t>9.7.3. Проект SKILLS2CAPABILITIES „От умения към  способности и възможности за реализация“</w:t>
      </w:r>
    </w:p>
    <w:p w14:paraId="140F7286"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2FA928B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Проектът е със срок на изпълнение 2023-2025 г. и се финансира от програмата „Хоризонт Европа“ – програма на ЕС за научни изследвания и иновации 2021-2027 г., съгласно Договор №101094758. Общият бюджет на проекта за 2024 г. е на стойност </w:t>
      </w:r>
      <w:r w:rsidRPr="00AA5833">
        <w:rPr>
          <w:rFonts w:ascii="Times New Roman" w:eastAsia="Times New Roman" w:hAnsi="Times New Roman" w:cs="Times New Roman"/>
          <w:sz w:val="24"/>
          <w:szCs w:val="24"/>
          <w:lang w:eastAsia="bg-BG"/>
        </w:rPr>
        <w:t>29 744,75 лева.</w:t>
      </w:r>
    </w:p>
    <w:p w14:paraId="078BCA8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В рамките на проекта през периода 2023-2024 г. са публикувани статии в престижни международни списания и сборници и са изнесени доклади на национални и международни форуми.</w:t>
      </w:r>
    </w:p>
    <w:p w14:paraId="18E4580F"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0B12FCD6" w14:textId="77777777" w:rsidR="00533926" w:rsidRPr="00AA5833" w:rsidRDefault="00533926" w:rsidP="002A598C">
      <w:pPr>
        <w:numPr>
          <w:ilvl w:val="0"/>
          <w:numId w:val="64"/>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Преосмислени са моделите за предлагане на умения – направени са предложения за подобряване на политиките за ефективност на уменията и образование през целия живот и повишаване на адаптивността, гъвкавостта и устойчивостта на системата за професионално образование и обучение и образованието за възрастни;</w:t>
      </w:r>
    </w:p>
    <w:p w14:paraId="727A58DC" w14:textId="77777777" w:rsidR="00533926" w:rsidRPr="00AA5833" w:rsidRDefault="00533926" w:rsidP="002A598C">
      <w:pPr>
        <w:numPr>
          <w:ilvl w:val="0"/>
          <w:numId w:val="64"/>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Очертани са нововъзникващи модели на търсене на умения и свързаните с това несъответствия;</w:t>
      </w:r>
    </w:p>
    <w:p w14:paraId="5AAFD5D3" w14:textId="77777777" w:rsidR="00533926" w:rsidRPr="00AA5833" w:rsidRDefault="00533926" w:rsidP="002A598C">
      <w:pPr>
        <w:numPr>
          <w:ilvl w:val="0"/>
          <w:numId w:val="64"/>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Изведени са институционалните отговори спрямо появяващите се модели на търсене на умения и свързаните с тях несъответствия;</w:t>
      </w:r>
    </w:p>
    <w:p w14:paraId="26AADAB1" w14:textId="77777777" w:rsidR="00533926" w:rsidRPr="00AA5833" w:rsidRDefault="00533926" w:rsidP="002A598C">
      <w:pPr>
        <w:numPr>
          <w:ilvl w:val="0"/>
          <w:numId w:val="64"/>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Разработени са резултати в помощ на политиките и практиката: изведено е разбиране на пътищата за развитие и подобряване на системите за подкрепа на професионалното образование и обучение.</w:t>
      </w:r>
    </w:p>
    <w:p w14:paraId="03948661"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Резултатите от проекта имат пряко въздействие на различни нива: национално, регионално и европейско.</w:t>
      </w:r>
    </w:p>
    <w:p w14:paraId="73F3F50D" w14:textId="77777777" w:rsidR="00533926" w:rsidRPr="00AA5833" w:rsidRDefault="00533926" w:rsidP="00533926">
      <w:pPr>
        <w:spacing w:after="0" w:line="240" w:lineRule="auto"/>
        <w:jc w:val="both"/>
        <w:rPr>
          <w:rFonts w:ascii="Times New Roman" w:hAnsi="Times New Roman" w:cs="Times New Roman"/>
          <w:b/>
          <w:bCs/>
          <w:sz w:val="24"/>
          <w:szCs w:val="24"/>
        </w:rPr>
      </w:pPr>
    </w:p>
    <w:p w14:paraId="710CEE4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181F0679" w14:textId="77777777" w:rsidR="00533926" w:rsidRPr="00AA5833" w:rsidRDefault="00533926" w:rsidP="00533926">
      <w:pPr>
        <w:spacing w:after="0" w:line="240" w:lineRule="auto"/>
        <w:jc w:val="both"/>
        <w:rPr>
          <w:rFonts w:ascii="Times New Roman" w:hAnsi="Times New Roman" w:cs="Times New Roman"/>
          <w:b/>
          <w:bCs/>
          <w:sz w:val="24"/>
          <w:szCs w:val="24"/>
        </w:rPr>
      </w:pPr>
    </w:p>
    <w:p w14:paraId="7948053A"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9.7.4. Проект „Динамика на неравенствата във висшето образование и обучението за възрастни: Сравнителен анализ на социалната справедливост“ – JustEdu (</w:t>
      </w:r>
      <w:hyperlink r:id="rId42" w:history="1">
        <w:r w:rsidRPr="00AA5833">
          <w:rPr>
            <w:rFonts w:ascii="Times New Roman" w:eastAsia="Times New Roman" w:hAnsi="Times New Roman" w:cs="Times New Roman"/>
            <w:bCs/>
            <w:color w:val="0563C1" w:themeColor="hyperlink"/>
            <w:sz w:val="24"/>
            <w:szCs w:val="24"/>
            <w:u w:val="single"/>
            <w:lang w:eastAsia="bg-BG"/>
          </w:rPr>
          <w:t>https://justedu2020.eu/</w:t>
        </w:r>
      </w:hyperlink>
      <w:r w:rsidRPr="00AA5833">
        <w:rPr>
          <w:rFonts w:ascii="Times New Roman" w:eastAsia="Times New Roman" w:hAnsi="Times New Roman" w:cs="Times New Roman"/>
          <w:b/>
          <w:bCs/>
          <w:sz w:val="24"/>
          <w:szCs w:val="24"/>
          <w:lang w:eastAsia="bg-BG"/>
        </w:rPr>
        <w:t>)</w:t>
      </w:r>
    </w:p>
    <w:p w14:paraId="5AFD87E4" w14:textId="77777777" w:rsidR="00533926" w:rsidRPr="00AA5833" w:rsidRDefault="00533926" w:rsidP="00533926">
      <w:pPr>
        <w:spacing w:after="0" w:line="240" w:lineRule="auto"/>
        <w:jc w:val="both"/>
        <w:rPr>
          <w:rFonts w:ascii="Times New Roman" w:hAnsi="Times New Roman" w:cs="Times New Roman"/>
          <w:b/>
          <w:bCs/>
          <w:sz w:val="24"/>
          <w:szCs w:val="24"/>
        </w:rPr>
      </w:pPr>
    </w:p>
    <w:p w14:paraId="4B531F8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със срок на изпълнение 2020-2024 г. и се финансира от Национална програма „Вихрен“. За периода 2023-2024 г. няма постъпило финансиране. Работи се със средствата, постъпили през 2022 г. в размер на 264 550 лв.</w:t>
      </w:r>
    </w:p>
    <w:p w14:paraId="4EEE496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В рамките на проекта през периода 2023-2024 г. са публикувани статии в престижни международни издания и са изнесени доклади на национални и международни форуми.</w:t>
      </w:r>
    </w:p>
    <w:p w14:paraId="2681C9F5"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5C2D8CED" w14:textId="77777777" w:rsidR="00533926" w:rsidRPr="00AA5833" w:rsidRDefault="00533926" w:rsidP="002A598C">
      <w:pPr>
        <w:numPr>
          <w:ilvl w:val="0"/>
          <w:numId w:val="65"/>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Изграден е капацитет за анализ на политики в сферата на ученето през целия живот.</w:t>
      </w:r>
    </w:p>
    <w:p w14:paraId="5A844087" w14:textId="77777777" w:rsidR="00533926" w:rsidRPr="00AA5833" w:rsidRDefault="00533926" w:rsidP="002A598C">
      <w:pPr>
        <w:numPr>
          <w:ilvl w:val="0"/>
          <w:numId w:val="65"/>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Изграден е капацитет за анализ на данни от международни сравнителни изследвания, свързани с ученето през целия живот.</w:t>
      </w:r>
    </w:p>
    <w:p w14:paraId="1EAC727B"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Резултатите от проекта имат пряко въздействие на различни нива:</w:t>
      </w:r>
    </w:p>
    <w:p w14:paraId="58B0A0B0" w14:textId="77777777" w:rsidR="00533926" w:rsidRPr="00AA5833" w:rsidRDefault="00533926" w:rsidP="002A598C">
      <w:pPr>
        <w:numPr>
          <w:ilvl w:val="0"/>
          <w:numId w:val="60"/>
        </w:numPr>
        <w:spacing w:after="0" w:line="240" w:lineRule="auto"/>
        <w:ind w:firstLine="36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 национално ниво – анализирани са факторите и политиките, влияещи върху участието в учене през целия живот и образование за възрастни.</w:t>
      </w:r>
    </w:p>
    <w:p w14:paraId="0B116F22" w14:textId="77777777" w:rsidR="00533926" w:rsidRPr="00AA5833" w:rsidRDefault="00533926" w:rsidP="002A598C">
      <w:pPr>
        <w:numPr>
          <w:ilvl w:val="0"/>
          <w:numId w:val="60"/>
        </w:numPr>
        <w:spacing w:after="0" w:line="240" w:lineRule="auto"/>
        <w:ind w:firstLine="360"/>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В международен сравнителен план – направен е сравнителен анализ на участието в учене през целия живот и образование за възрастни, както и на обуславящите го фактори и политики, в различните европейски страни.</w:t>
      </w:r>
    </w:p>
    <w:p w14:paraId="36E1341C"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7898D7F5"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lastRenderedPageBreak/>
        <w:t>ИНСТИТУТ ПО ФИЛОСИФИЯ И СОЦИОЛОГИЯ – БАН</w:t>
      </w:r>
    </w:p>
    <w:p w14:paraId="1AA1BE47" w14:textId="77777777" w:rsidR="00533926" w:rsidRPr="00AA5833" w:rsidRDefault="00533926" w:rsidP="00533926">
      <w:pPr>
        <w:spacing w:after="0" w:line="240" w:lineRule="auto"/>
        <w:jc w:val="both"/>
        <w:rPr>
          <w:rFonts w:ascii="Times New Roman" w:hAnsi="Times New Roman" w:cs="Times New Roman"/>
          <w:b/>
          <w:bCs/>
          <w:sz w:val="24"/>
          <w:szCs w:val="24"/>
        </w:rPr>
      </w:pPr>
    </w:p>
    <w:p w14:paraId="4A0D6F67"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9.7.5. Проект „Умения за пазари на труда в цифровия и зелен преход“ (SkiLMeeT: Skills for Labour Markets in the green and digital Transition)</w:t>
      </w:r>
    </w:p>
    <w:p w14:paraId="00779272" w14:textId="77777777" w:rsidR="00533926" w:rsidRPr="00AA5833" w:rsidRDefault="00533926" w:rsidP="00533926">
      <w:pPr>
        <w:spacing w:after="0" w:line="240" w:lineRule="auto"/>
        <w:jc w:val="both"/>
        <w:rPr>
          <w:rFonts w:ascii="Times New Roman" w:hAnsi="Times New Roman" w:cs="Times New Roman"/>
          <w:b/>
          <w:bCs/>
          <w:sz w:val="24"/>
          <w:szCs w:val="24"/>
        </w:rPr>
      </w:pPr>
    </w:p>
    <w:p w14:paraId="0639D298"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със срок на изпълнение 2024-2027 г. и се финансира от Европейската комисия по Рамкова програма „Хоризонт Европа“. Общият бюджет на проекта за 2024 г. е на стойност 231 674,19</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sz w:val="24"/>
          <w:szCs w:val="24"/>
          <w:lang w:eastAsia="bg-BG"/>
        </w:rPr>
        <w:t>лева.</w:t>
      </w:r>
    </w:p>
    <w:p w14:paraId="7350C704"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В рамките на проекта през 2024 г. са публикувани статии в престижни международни списания и сборници и са изнесени доклади на национални и международни форуми.</w:t>
      </w:r>
    </w:p>
    <w:p w14:paraId="7CEFD9D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18844780" w14:textId="77777777" w:rsidR="00533926" w:rsidRPr="00AA5833" w:rsidRDefault="00533926" w:rsidP="002A598C">
      <w:pPr>
        <w:numPr>
          <w:ilvl w:val="0"/>
          <w:numId w:val="66"/>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Генерирани са данни и показатели, които количествено оценяват обема на липсата на трудови ресурси и несъответствие на уменията в Европа;</w:t>
      </w:r>
    </w:p>
    <w:p w14:paraId="25B7B6DE" w14:textId="77777777" w:rsidR="00533926" w:rsidRPr="00AA5833" w:rsidRDefault="00533926" w:rsidP="002A598C">
      <w:pPr>
        <w:numPr>
          <w:ilvl w:val="0"/>
          <w:numId w:val="66"/>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Изследвани са факторите, водещи до тези пропуски и липси, с фокус върху дигиталната и зелената трансформация;</w:t>
      </w:r>
    </w:p>
    <w:p w14:paraId="13EF336D" w14:textId="77777777" w:rsidR="00533926" w:rsidRPr="00AA5833" w:rsidRDefault="00533926" w:rsidP="002A598C">
      <w:pPr>
        <w:numPr>
          <w:ilvl w:val="0"/>
          <w:numId w:val="66"/>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Анализирани и идентифицирани са пътищата за намаляване на липсата на умения и несъответствието.</w:t>
      </w:r>
    </w:p>
    <w:p w14:paraId="5A9488BB"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Резултатите от проекта имат пряко въздействие на различни нива: национално, регионално и европейско.</w:t>
      </w:r>
    </w:p>
    <w:p w14:paraId="0F4E4740" w14:textId="77777777" w:rsidR="00533926" w:rsidRPr="00AA5833" w:rsidRDefault="00533926" w:rsidP="00533926">
      <w:pPr>
        <w:spacing w:after="0" w:line="240" w:lineRule="auto"/>
        <w:jc w:val="both"/>
        <w:rPr>
          <w:rFonts w:ascii="Times New Roman" w:hAnsi="Times New Roman" w:cs="Times New Roman"/>
          <w:b/>
          <w:bCs/>
          <w:sz w:val="24"/>
          <w:szCs w:val="24"/>
        </w:rPr>
      </w:pPr>
    </w:p>
    <w:p w14:paraId="4910298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0C15301B" w14:textId="77777777" w:rsidR="00533926" w:rsidRPr="00AA5833" w:rsidRDefault="00533926" w:rsidP="00533926">
      <w:pPr>
        <w:spacing w:after="0" w:line="240" w:lineRule="auto"/>
        <w:jc w:val="both"/>
        <w:rPr>
          <w:rFonts w:ascii="Times New Roman" w:hAnsi="Times New Roman" w:cs="Times New Roman"/>
          <w:b/>
          <w:bCs/>
          <w:sz w:val="24"/>
          <w:szCs w:val="24"/>
        </w:rPr>
      </w:pPr>
    </w:p>
    <w:p w14:paraId="23E3210D"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hAnsi="Times New Roman" w:cs="Times New Roman"/>
          <w:b/>
          <w:bCs/>
          <w:sz w:val="24"/>
          <w:szCs w:val="24"/>
        </w:rPr>
        <w:t>9.7.6. Проект „Докторанти 5.0: Обучение на докторанти за изследване и трансформиране на пазара на труда съобразно нуждите на индустрия 5.0 и двойния преход”</w:t>
      </w:r>
    </w:p>
    <w:p w14:paraId="5B77ADC3"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1951FAF8"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Проектът е със срок на изпълнение 2024-2029 г. и се финансира от МОН по Програма „Образование“. Общият бюджет на проекта за 2024 г. е на стойност </w:t>
      </w:r>
      <w:r w:rsidRPr="00AA5833">
        <w:rPr>
          <w:rFonts w:ascii="Times New Roman" w:eastAsia="Times New Roman" w:hAnsi="Times New Roman" w:cs="Times New Roman"/>
          <w:sz w:val="24"/>
          <w:szCs w:val="24"/>
          <w:lang w:eastAsia="bg-BG"/>
        </w:rPr>
        <w:t>263 432,41</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sz w:val="24"/>
          <w:szCs w:val="24"/>
          <w:lang w:eastAsia="bg-BG"/>
        </w:rPr>
        <w:t>лева.</w:t>
      </w:r>
      <w:r w:rsidRPr="00AA5833">
        <w:rPr>
          <w:rFonts w:ascii="Times New Roman" w:eastAsia="Times New Roman" w:hAnsi="Times New Roman" w:cs="Times New Roman"/>
          <w:bCs/>
          <w:sz w:val="24"/>
          <w:szCs w:val="24"/>
          <w:lang w:eastAsia="bg-BG"/>
        </w:rPr>
        <w:t xml:space="preserve"> В рамките на проекта през 2024 г. са организирани лекции за докторанти.</w:t>
      </w:r>
    </w:p>
    <w:p w14:paraId="7915A97F"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Основният резултат от проекта е: засилена е практическата приложимост на докторантурите и връзката им с пазара на труда и реалната икономика чрез обучение на 10 докторанта в базови умения за самостоятелно провеждане на социологически проучвания за изследване, анализ и прогнозиране на потребностите и трансформацията на пазара на труда в регион в преход и слабо развити региони, съобразно Индустрия на 5.0, синия/зеления преход и дигиталните технологии.</w:t>
      </w:r>
    </w:p>
    <w:p w14:paraId="4F147030"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Резултатът от проекта има пряко въздействие на различни нива: национално и регионално.</w:t>
      </w:r>
    </w:p>
    <w:p w14:paraId="5E20AF70"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356"/>
      </w:tblGrid>
      <w:tr w:rsidR="00533926" w:rsidRPr="00AA5833" w14:paraId="754EA7E4" w14:textId="77777777" w:rsidTr="00533926">
        <w:trPr>
          <w:trHeight w:val="145"/>
        </w:trPr>
        <w:tc>
          <w:tcPr>
            <w:tcW w:w="5000" w:type="pct"/>
            <w:shd w:val="clear" w:color="auto" w:fill="FFFF99"/>
            <w:hideMark/>
          </w:tcPr>
          <w:p w14:paraId="26F738E6"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eastAsia="Batang" w:hAnsi="Times New Roman" w:cs="Times New Roman"/>
                <w:sz w:val="24"/>
                <w:szCs w:val="24"/>
                <w:lang w:eastAsia="ko-KR"/>
              </w:rPr>
              <w:br w:type="page"/>
            </w:r>
            <w:r w:rsidRPr="00AA5833">
              <w:rPr>
                <w:rFonts w:ascii="Times New Roman" w:eastAsia="Times New Roman" w:hAnsi="Times New Roman" w:cs="Times New Roman"/>
                <w:b/>
                <w:sz w:val="24"/>
                <w:szCs w:val="24"/>
                <w:shd w:val="clear" w:color="auto" w:fill="FFFF99"/>
              </w:rPr>
              <w:t xml:space="preserve">9.8. </w:t>
            </w:r>
            <w:r w:rsidRPr="00AA5833">
              <w:rPr>
                <w:rFonts w:ascii="Times New Roman" w:eastAsia="Times New Roman" w:hAnsi="Times New Roman" w:cs="Times New Roman"/>
                <w:b/>
                <w:color w:val="000000"/>
                <w:sz w:val="24"/>
                <w:szCs w:val="24"/>
                <w:shd w:val="clear" w:color="auto" w:fill="FFFF99"/>
              </w:rPr>
              <w:t>Предприемане на мерки, насочени към социализиране и осигуряване на условия за интеграция на ученици със специални образователни потребности и специфични увреждания в общообразователното училище</w:t>
            </w:r>
            <w:r w:rsidRPr="00AA5833">
              <w:rPr>
                <w:rFonts w:ascii="Times New Roman" w:eastAsia="Times New Roman" w:hAnsi="Times New Roman" w:cs="Times New Roman"/>
                <w:b/>
                <w:color w:val="000000"/>
                <w:sz w:val="24"/>
                <w:szCs w:val="24"/>
              </w:rPr>
              <w:t xml:space="preserve"> </w:t>
            </w:r>
          </w:p>
        </w:tc>
      </w:tr>
    </w:tbl>
    <w:p w14:paraId="658BDBF3"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4181D883"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2D5BEE43"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3AD03D8F"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9.8.1. Осигуряване на условия за интеграция на ученици със специални образователни потребности и специфични увреждания в общообразователното училище</w:t>
      </w:r>
    </w:p>
    <w:p w14:paraId="61D659C9"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773F4EC1"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Мярката се финансира по Национална програма „Осигуряване на съвременна, сигурна и достъпна образователна среда”, модул  „Създаване на достъпна архитектурна среда“ за 2024 г. По модула се изпълняват следните дейности:</w:t>
      </w:r>
    </w:p>
    <w:p w14:paraId="52BD410A" w14:textId="77777777" w:rsidR="00533926" w:rsidRPr="00AA5833" w:rsidRDefault="00533926" w:rsidP="002A598C">
      <w:pPr>
        <w:numPr>
          <w:ilvl w:val="0"/>
          <w:numId w:val="94"/>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hAnsi="Times New Roman" w:cs="Times New Roman"/>
          <w:sz w:val="24"/>
          <w:szCs w:val="24"/>
        </w:rPr>
        <w:t>Проектиране и изграждане на покрити рампи и изграждане на покривни покрития на вече изградени рампи;</w:t>
      </w:r>
    </w:p>
    <w:p w14:paraId="41751172" w14:textId="77777777" w:rsidR="00533926" w:rsidRPr="00AA5833" w:rsidRDefault="00533926" w:rsidP="002A598C">
      <w:pPr>
        <w:numPr>
          <w:ilvl w:val="0"/>
          <w:numId w:val="94"/>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Адаптиране и изграждане на санитарни възли; </w:t>
      </w:r>
    </w:p>
    <w:p w14:paraId="432B2312" w14:textId="77777777" w:rsidR="00533926" w:rsidRPr="00AA5833" w:rsidRDefault="00533926" w:rsidP="002A598C">
      <w:pPr>
        <w:numPr>
          <w:ilvl w:val="0"/>
          <w:numId w:val="94"/>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Ремонт на прилежаща инфраструктура; </w:t>
      </w:r>
    </w:p>
    <w:p w14:paraId="68ED4F84" w14:textId="77777777" w:rsidR="00533926" w:rsidRPr="00AA5833" w:rsidRDefault="00533926" w:rsidP="002A598C">
      <w:pPr>
        <w:numPr>
          <w:ilvl w:val="0"/>
          <w:numId w:val="94"/>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Изпълнение на асансьор;</w:t>
      </w:r>
    </w:p>
    <w:p w14:paraId="73105CF5" w14:textId="77777777" w:rsidR="00533926" w:rsidRPr="00AA5833" w:rsidRDefault="00533926" w:rsidP="002A598C">
      <w:pPr>
        <w:numPr>
          <w:ilvl w:val="0"/>
          <w:numId w:val="94"/>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Доставка и монтаж на платформени съоръжения/подемни съоръжения/подемни платформи, както и устройства за изкачване на стълби за инвалидни колички (стълбищни роботи); </w:t>
      </w:r>
    </w:p>
    <w:p w14:paraId="55CB1352" w14:textId="77777777" w:rsidR="00533926" w:rsidRPr="00AA5833" w:rsidRDefault="00533926" w:rsidP="002A598C">
      <w:pPr>
        <w:numPr>
          <w:ilvl w:val="0"/>
          <w:numId w:val="94"/>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Довършителни дейности по маркиране на маршрутите и обозначаване на помещенията.</w:t>
      </w:r>
    </w:p>
    <w:p w14:paraId="6AB1156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Целта на мярката е осигуряване на условия за свободен достъп на хора с увреждания и специални образователни потребности до държавните и общински училища и специализираните обслужващи звена чрез изграждане на достъпна архитектурна среда.</w:t>
      </w:r>
    </w:p>
    <w:p w14:paraId="268F818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 стартирането на програмата до края на 2024 г. са изпълнени 529 строително-монтажни работи (СМР) и са доставени 180 съоръжения за осигуряване на достъп до сгради на образователни институции. В плана за 2024 г. са били заложени достигането на съответно 517 изпълнени СМР и 175 доставки и монтажи на съоръжения. Реализирания по-голям брой дейности от предвидените се дължи на по-ниската стойност на някои проектни предложения от максимално допустимото финансиране. Само за 2024 г. са одобрени  26 строително-монтажни работи (СМР)  и 15 доставки и монтажи на съоръжения.</w:t>
      </w:r>
    </w:p>
    <w:p w14:paraId="6A69528A"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Изпълнени са мерки за осигуряване на достъпна среда в 34 образователни институции.</w:t>
      </w:r>
    </w:p>
    <w:p w14:paraId="659055F1"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оказва въздействие на национално ниво.</w:t>
      </w:r>
    </w:p>
    <w:p w14:paraId="6D3DE846"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w:t>
      </w:r>
    </w:p>
    <w:p w14:paraId="7B04AA94"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7D10F85B"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0F14C05C"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9.8.2. Осигуряване на условия и ресурси за изграждане и развитие на подкрепяща среда в детските градини и училищата за осъществяване на приобщаващо образование</w:t>
      </w:r>
    </w:p>
    <w:p w14:paraId="2A24424B"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C100BEA"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Мярката се осъществява в училищата и детските градини. През 2024 г. са реализирани дейности, с които се продължава осигуряването на условия и ресурси за изграждане на подкрепяща среда в детските градини и училищата за осъществяване на приобщаващо образование. Осигурена е обща и допълнителна подкрепа за личностно развитие на деца и ученици със специални образователни потребности. </w:t>
      </w:r>
    </w:p>
    <w:p w14:paraId="1EA5F397"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  </w:t>
      </w:r>
      <w:r w:rsidRPr="00AA5833">
        <w:rPr>
          <w:rFonts w:ascii="Times New Roman" w:eastAsia="Calibri" w:hAnsi="Times New Roman" w:cs="Times New Roman"/>
          <w:sz w:val="24"/>
          <w:szCs w:val="24"/>
        </w:rPr>
        <w:tab/>
        <w:t xml:space="preserve">Осигурена е подкрепяща среда в самите детски градини и училища или от регионалните центрове за подкрепа на процеса на  приобщаващо образование на общо 26 133 деца и ученици в системата на предучилищното и училищното образование, от които 19 915 в училища и 6218 в детски градини. Децата и учениците със специални образователни потребности (без специалните училища и центровете за специална образователна подкрепа) се подпомагат от 5552 педагогически специалисти, назначени в детските градини и училищата, като от тях:  ресурсни учители – 1632, психолози – 1458, логопеди – 995, рехабилитатори на слуха и говора – 69, учители на деца с нарушено зрение – 132, учители на деца с увреден слух – 13, педагогически съветници – 778, учители на деца с умствена изостаналост – 15, възпитатели – 423, педагози други – 139, </w:t>
      </w:r>
      <w:r w:rsidRPr="00AA5833">
        <w:rPr>
          <w:rFonts w:ascii="Times New Roman" w:eastAsia="Calibri" w:hAnsi="Times New Roman" w:cs="Times New Roman"/>
          <w:sz w:val="24"/>
          <w:szCs w:val="24"/>
        </w:rPr>
        <w:lastRenderedPageBreak/>
        <w:t>както и 135 души непедагогически персонал: рехабилитатори – 5, социални работници – 127, ерготерапевти – 2, кинезитерапевти – 2.</w:t>
      </w:r>
    </w:p>
    <w:p w14:paraId="5F7EAAB1"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Изпълнението на мярката е на територията на цялата страна и се очаква да окаже въздействие по области и общини. Осигурена е подкрепяща среда на децата и учениците, включени в общообразователна среда.</w:t>
      </w:r>
    </w:p>
    <w:p w14:paraId="1967230B" w14:textId="77777777" w:rsidR="00533926" w:rsidRPr="00AA5833" w:rsidRDefault="00533926" w:rsidP="00533926">
      <w:pPr>
        <w:spacing w:after="0" w:line="240" w:lineRule="auto"/>
        <w:jc w:val="both"/>
        <w:rPr>
          <w:rFonts w:ascii="Times New Roman" w:eastAsia="Calibri" w:hAnsi="Times New Roman" w:cs="Times New Roman"/>
          <w:i/>
          <w:iCs/>
          <w:sz w:val="24"/>
          <w:szCs w:val="24"/>
        </w:rPr>
      </w:pPr>
      <w:r w:rsidRPr="00AA5833">
        <w:rPr>
          <w:rFonts w:ascii="Times New Roman" w:eastAsia="Calibri" w:hAnsi="Times New Roman" w:cs="Times New Roman"/>
          <w:sz w:val="24"/>
          <w:szCs w:val="24"/>
        </w:rPr>
        <w:t xml:space="preserve"> </w:t>
      </w:r>
      <w:r w:rsidRPr="00AA5833">
        <w:rPr>
          <w:rFonts w:ascii="Times New Roman" w:eastAsia="Calibri" w:hAnsi="Times New Roman" w:cs="Times New Roman"/>
          <w:sz w:val="24"/>
          <w:szCs w:val="24"/>
        </w:rPr>
        <w:tab/>
      </w:r>
      <w:r w:rsidRPr="00AA5833">
        <w:rPr>
          <w:rFonts w:ascii="Times New Roman" w:eastAsia="Calibri" w:hAnsi="Times New Roman" w:cs="Times New Roman"/>
          <w:i/>
          <w:iCs/>
          <w:sz w:val="24"/>
          <w:szCs w:val="24"/>
        </w:rPr>
        <w:t>Осигуряване на условия и ресурси за изграждане и развитие на подкрепяща среда от регионалните центрове за подкрепа на процеса на приобщаващото образование (РЦПППО):</w:t>
      </w:r>
    </w:p>
    <w:p w14:paraId="24B80F33"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 xml:space="preserve">Дейността се осъществява от 28-те регионални центъра за подкрепа на процеса на приобщаващото образование и е изпълнена, както следва: </w:t>
      </w:r>
    </w:p>
    <w:p w14:paraId="442BE5D4"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Назначените към началото на 2024/2025 учебна година ресурсни учители, психолози, логопеди и др., са извършили функционални оценки на индивидуалните потребности на децата и учениците от целевите групи и в съответствие с установените им потребности и са направили нови заявки за оборудване/дооборудване на специализираните кабинети.</w:t>
      </w:r>
    </w:p>
    <w:p w14:paraId="631CC8BC"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Дейността се осъществява и от центровете за специална образователна подкрепа, които са 42 на брой с 3124 ученици. Броят на специалистите от тези центрове, които обучават ученици с умствена изостаналост и множество увреждания, е 741.</w:t>
      </w:r>
    </w:p>
    <w:p w14:paraId="624DC284" w14:textId="77777777" w:rsidR="00533926" w:rsidRPr="00AA5833" w:rsidRDefault="00533926" w:rsidP="00533926">
      <w:pPr>
        <w:spacing w:after="0" w:line="240" w:lineRule="auto"/>
        <w:ind w:firstLine="708"/>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На 8834 деца и ученици със специални образователни потребности, които се обучават в училищата и детските градини (без специалните училища и центровете за специална образователна подкрепа), е предоставена допълнителна подкрепа от 1086 педагогически специалисти от регионалните центрове за подкрепа на процеса на приобщаващото образование. Сред тези педагогически специалисти са: ресурсни учители, психолози, логопеди, рехабилитатори на слуха и говора, педагози на зрително затруднени деца, кинезитерапевти.</w:t>
      </w:r>
    </w:p>
    <w:p w14:paraId="5C2C2335"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Calibri" w:hAnsi="Times New Roman" w:cs="Times New Roman"/>
          <w:sz w:val="24"/>
          <w:szCs w:val="24"/>
        </w:rPr>
        <w:t>Мярката оказва въздействие на национално ниво и на институционално ниво – детски градини и училища.</w:t>
      </w:r>
      <w:r w:rsidRPr="00AA5833">
        <w:rPr>
          <w:rFonts w:ascii="Times New Roman" w:eastAsia="Times New Roman" w:hAnsi="Times New Roman" w:cs="Times New Roman"/>
          <w:sz w:val="24"/>
          <w:szCs w:val="24"/>
          <w:lang w:eastAsia="bg-BG"/>
        </w:rPr>
        <w:tab/>
      </w:r>
    </w:p>
    <w:p w14:paraId="244F9F9E"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4B9462A3"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DAB3170" w14:textId="77777777" w:rsidR="00533926" w:rsidRPr="00AA5833" w:rsidRDefault="00533926" w:rsidP="00533926">
            <w:pPr>
              <w:spacing w:after="0" w:line="240" w:lineRule="auto"/>
              <w:jc w:val="both"/>
              <w:rPr>
                <w:rFonts w:ascii="Times New Roman" w:eastAsia="Times New Roman" w:hAnsi="Times New Roman" w:cs="Times New Roman"/>
                <w:b/>
                <w:color w:val="FF0000"/>
                <w:sz w:val="24"/>
                <w:szCs w:val="24"/>
              </w:rPr>
            </w:pPr>
            <w:r w:rsidRPr="00AA5833">
              <w:rPr>
                <w:rFonts w:ascii="Times New Roman" w:eastAsia="Times New Roman" w:hAnsi="Times New Roman" w:cs="Times New Roman"/>
                <w:b/>
                <w:sz w:val="24"/>
                <w:szCs w:val="24"/>
              </w:rPr>
              <w:t>9.9. Създаване на условия за сближаване на образователните модели на жителите на големите градове и на живеещите в малките селища и особено в изостаналите селски райони</w:t>
            </w:r>
            <w:r w:rsidRPr="00AA5833">
              <w:rPr>
                <w:rFonts w:ascii="Times New Roman" w:eastAsia="Times New Roman" w:hAnsi="Times New Roman" w:cs="Times New Roman"/>
                <w:b/>
                <w:bCs/>
                <w:sz w:val="24"/>
                <w:szCs w:val="24"/>
              </w:rPr>
              <w:t xml:space="preserve"> </w:t>
            </w:r>
          </w:p>
        </w:tc>
      </w:tr>
    </w:tbl>
    <w:p w14:paraId="1698F5F6"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5033FE5C"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0520A3AE"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9.10. Повишаване ефективността на работа за подкрепа на личностното развитие на деца и ученици</w:t>
            </w:r>
          </w:p>
        </w:tc>
      </w:tr>
    </w:tbl>
    <w:p w14:paraId="75B1F971"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7BB6514" w14:textId="77777777" w:rsidR="00533926" w:rsidRPr="00AA5833" w:rsidRDefault="00533926" w:rsidP="00533926">
      <w:pPr>
        <w:spacing w:after="0" w:line="240" w:lineRule="auto"/>
        <w:jc w:val="center"/>
        <w:rPr>
          <w:rFonts w:ascii="Times New Roman" w:eastAsia="Calibri" w:hAnsi="Times New Roman" w:cs="Times New Roman"/>
          <w:b/>
          <w:i/>
          <w:sz w:val="24"/>
          <w:szCs w:val="24"/>
        </w:rPr>
      </w:pPr>
      <w:r w:rsidRPr="00AA5833">
        <w:rPr>
          <w:rFonts w:ascii="Times New Roman" w:eastAsia="Times New Roman" w:hAnsi="Times New Roman" w:cs="Times New Roman"/>
          <w:b/>
          <w:color w:val="0000FF"/>
          <w:sz w:val="24"/>
          <w:szCs w:val="24"/>
          <w:lang w:eastAsia="bg-BG"/>
        </w:rPr>
        <w:t xml:space="preserve">ДЪРЖАВНА АГЕНЦИЯ ЗА ЗАКРИЛА НА ДЕТЕТО </w:t>
      </w:r>
    </w:p>
    <w:p w14:paraId="7B218202" w14:textId="77777777" w:rsidR="00533926" w:rsidRPr="00AA5833" w:rsidRDefault="00533926" w:rsidP="00533926">
      <w:pPr>
        <w:spacing w:after="0" w:line="240" w:lineRule="auto"/>
        <w:jc w:val="both"/>
        <w:rPr>
          <w:rFonts w:ascii="Times New Roman" w:eastAsia="Calibri" w:hAnsi="Times New Roman" w:cs="Times New Roman"/>
          <w:b/>
          <w:sz w:val="24"/>
          <w:szCs w:val="24"/>
        </w:rPr>
      </w:pPr>
    </w:p>
    <w:p w14:paraId="4F858D7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9.10.1. Провеждане на срещи с педагози и специалисти от системата на образованието за разясняване на правата на детето и дефинирането на дете в риск</w:t>
      </w:r>
    </w:p>
    <w:p w14:paraId="51903F0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5CEEFF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По време на участието в междуинституционални работни срещи за обсъждане на трудни и сложни случаи на деца, експертите от Държавната агенция за закрила на детето предоставят методически указания на социалните работници и другите специалисти и са направени предложения за предприемане на мерки съгласно ЗЗДет. и други нормативни документи, с цел осигуряване сигурност и безопасност на децата и спазване на техните права. </w:t>
      </w:r>
    </w:p>
    <w:p w14:paraId="0ED8E3A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56D712F0"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1A30A83"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9.11. Преодоляване на социалната изолация чрез образователни програми</w:t>
            </w:r>
          </w:p>
        </w:tc>
      </w:tr>
    </w:tbl>
    <w:p w14:paraId="13FE68BE"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2204F58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334CE25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2794CFD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9.11.1. Проект „Жени, увреждания и включване: Научна експертност в България“ (MILIEU “Women, Disability and Inclusion: Scientific Excellence in Bulgaria”)</w:t>
      </w:r>
    </w:p>
    <w:p w14:paraId="12F664F1"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118B325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финансиран по рамковата програма на ЕС за научни изследвания и иновации „Хоризонт 2020“. Общият бюджет за 2024 г. е на стойност 262 753.53</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bCs/>
          <w:sz w:val="24"/>
          <w:szCs w:val="24"/>
          <w:lang w:eastAsia="bg-BG"/>
        </w:rPr>
        <w:t xml:space="preserve">лв. През годината са публикувани статии в списания и сборници; изнесени са доклади на национални и международни конференции. </w:t>
      </w:r>
    </w:p>
    <w:p w14:paraId="2417F832"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Постигнатите резултати са: </w:t>
      </w:r>
    </w:p>
    <w:p w14:paraId="46996AE8" w14:textId="77777777" w:rsidR="00533926" w:rsidRPr="00AA5833" w:rsidRDefault="00533926" w:rsidP="002A598C">
      <w:pPr>
        <w:numPr>
          <w:ilvl w:val="0"/>
          <w:numId w:val="67"/>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Стимулиране на изследователски линии, свързани с изследвания на пола, уврежданията и включването; </w:t>
      </w:r>
    </w:p>
    <w:p w14:paraId="06A730D5" w14:textId="77777777" w:rsidR="00533926" w:rsidRPr="00AA5833" w:rsidRDefault="00533926" w:rsidP="002A598C">
      <w:pPr>
        <w:numPr>
          <w:ilvl w:val="0"/>
          <w:numId w:val="67"/>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Организиране на обучения, тренинги и семинари, свързани с изследване на проблемите на жените с увреждания и тяхната интеграция, открояване на аспектите на пола или уврежданията и отражението им в различни изследователски област и др. </w:t>
      </w:r>
    </w:p>
    <w:p w14:paraId="57091A18"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Cs/>
          <w:sz w:val="24"/>
          <w:szCs w:val="24"/>
          <w:lang w:eastAsia="bg-BG"/>
        </w:rPr>
        <w:tab/>
        <w:t>Въздействието е на национално, регионално и общо европейско ниво.</w:t>
      </w:r>
    </w:p>
    <w:p w14:paraId="133AE5D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58FF16C" w14:textId="77777777" w:rsidR="00533926" w:rsidRPr="00AA5833" w:rsidRDefault="00533926" w:rsidP="00533926">
      <w:pPr>
        <w:pBdr>
          <w:top w:val="single" w:sz="4" w:space="1" w:color="auto"/>
          <w:left w:val="single" w:sz="4" w:space="4" w:color="auto"/>
          <w:bottom w:val="single" w:sz="4" w:space="1" w:color="auto"/>
          <w:right w:val="single" w:sz="4" w:space="4" w:color="auto"/>
        </w:pBdr>
        <w:shd w:val="clear" w:color="auto" w:fill="FFFF99"/>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9.12. Преструктуриране и реформиране на възпитателните училища-интернати (ВУИ) и социално-педагогическите интернати (СПИ): пренасочване на съществуващия капацитет и ресурси към алтернативни социални услуги</w:t>
      </w:r>
    </w:p>
    <w:p w14:paraId="0E2D9C4C" w14:textId="77777777" w:rsidR="00533926" w:rsidRPr="00AA5833" w:rsidRDefault="00533926" w:rsidP="00533926">
      <w:pPr>
        <w:autoSpaceDE w:val="0"/>
        <w:autoSpaceDN w:val="0"/>
        <w:adjustRightInd w:val="0"/>
        <w:spacing w:after="0" w:line="240" w:lineRule="auto"/>
        <w:rPr>
          <w:rFonts w:ascii="Times New Roman" w:hAnsi="Times New Roman" w:cs="Times New Roman"/>
          <w:b/>
          <w:bCs/>
          <w:color w:val="000000"/>
          <w:sz w:val="24"/>
          <w:szCs w:val="24"/>
        </w:rPr>
      </w:pPr>
    </w:p>
    <w:p w14:paraId="06D1BDD8" w14:textId="77777777" w:rsidR="00533926" w:rsidRPr="00AA5833" w:rsidRDefault="00533926" w:rsidP="00533926">
      <w:pPr>
        <w:pBdr>
          <w:top w:val="single" w:sz="4" w:space="1" w:color="auto"/>
          <w:left w:val="single" w:sz="4" w:space="4" w:color="auto"/>
          <w:bottom w:val="single" w:sz="4" w:space="1" w:color="auto"/>
          <w:right w:val="single" w:sz="4" w:space="4" w:color="auto"/>
        </w:pBdr>
        <w:shd w:val="clear" w:color="auto" w:fill="FFFF99"/>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bCs/>
          <w:color w:val="000000"/>
          <w:sz w:val="24"/>
          <w:szCs w:val="24"/>
        </w:rPr>
        <w:t>9.12.1. Гарантиране на ефективна система за детско правосъдие в условия на междуинституционално сътрудничество</w:t>
      </w:r>
    </w:p>
    <w:p w14:paraId="376CBDB8" w14:textId="77777777" w:rsidR="00533926" w:rsidRPr="00AA5833" w:rsidRDefault="00533926" w:rsidP="00533926">
      <w:pPr>
        <w:spacing w:after="0" w:line="240" w:lineRule="auto"/>
        <w:ind w:firstLine="708"/>
        <w:contextualSpacing/>
        <w:jc w:val="both"/>
        <w:rPr>
          <w:rFonts w:ascii="Times New Roman" w:eastAsia="Times New Roman" w:hAnsi="Times New Roman" w:cs="Times New Roman"/>
          <w:color w:val="FF0000"/>
          <w:sz w:val="24"/>
          <w:szCs w:val="24"/>
          <w:lang w:eastAsia="bg-BG"/>
        </w:rPr>
      </w:pPr>
    </w:p>
    <w:p w14:paraId="61B702CD" w14:textId="77777777" w:rsidR="00533926" w:rsidRPr="00AA5833" w:rsidRDefault="00533926" w:rsidP="00533926">
      <w:pPr>
        <w:spacing w:after="0" w:line="240" w:lineRule="auto"/>
        <w:contextualSpacing/>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44F34CD6" w14:textId="77777777" w:rsidR="00533926" w:rsidRPr="00AA5833" w:rsidRDefault="00533926" w:rsidP="00533926">
      <w:pPr>
        <w:spacing w:after="0" w:line="240" w:lineRule="auto"/>
        <w:contextualSpacing/>
        <w:jc w:val="center"/>
        <w:rPr>
          <w:rFonts w:ascii="Times New Roman" w:eastAsia="Times New Roman" w:hAnsi="Times New Roman" w:cs="Times New Roman"/>
          <w:color w:val="FF0000"/>
          <w:sz w:val="24"/>
          <w:szCs w:val="24"/>
          <w:lang w:eastAsia="bg-BG"/>
        </w:rPr>
      </w:pPr>
    </w:p>
    <w:p w14:paraId="44D789D4" w14:textId="77777777" w:rsidR="00533926" w:rsidRPr="00AA5833" w:rsidRDefault="00533926" w:rsidP="00533926">
      <w:pPr>
        <w:spacing w:after="0" w:line="240" w:lineRule="auto"/>
        <w:contextualSpacing/>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9.12.1.1. Подобряване на сътрудничеството в случаи на деца в риск</w:t>
      </w:r>
    </w:p>
    <w:p w14:paraId="1BCF6CEC" w14:textId="77777777" w:rsidR="00533926" w:rsidRPr="00AA5833" w:rsidRDefault="00533926" w:rsidP="00533926">
      <w:pPr>
        <w:spacing w:after="0" w:line="240" w:lineRule="auto"/>
        <w:contextualSpacing/>
        <w:jc w:val="both"/>
        <w:rPr>
          <w:rFonts w:ascii="Times New Roman" w:eastAsia="Times New Roman" w:hAnsi="Times New Roman" w:cs="Times New Roman"/>
          <w:b/>
          <w:sz w:val="24"/>
          <w:szCs w:val="24"/>
          <w:lang w:eastAsia="bg-BG"/>
        </w:rPr>
      </w:pPr>
    </w:p>
    <w:p w14:paraId="7F926A94"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ab/>
        <w:t xml:space="preserve">Брой подадени сигнали, за които е било наложително свикването на мултидисциплинарен екип за разрешаването на конкретен случай: </w:t>
      </w:r>
    </w:p>
    <w:p w14:paraId="2F0FAF98"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sz w:val="24"/>
          <w:szCs w:val="24"/>
        </w:rPr>
        <w:tab/>
        <w:t>През</w:t>
      </w:r>
      <w:r w:rsidRPr="00AA5833">
        <w:rPr>
          <w:rFonts w:ascii="Times New Roman" w:hAnsi="Times New Roman" w:cs="Times New Roman"/>
          <w:b/>
          <w:bCs/>
          <w:sz w:val="24"/>
          <w:szCs w:val="24"/>
        </w:rPr>
        <w:t xml:space="preserve"> </w:t>
      </w:r>
      <w:r w:rsidRPr="00AA5833">
        <w:rPr>
          <w:rFonts w:ascii="Times New Roman" w:hAnsi="Times New Roman" w:cs="Times New Roman"/>
          <w:bCs/>
          <w:sz w:val="24"/>
          <w:szCs w:val="24"/>
        </w:rPr>
        <w:t>2024 г.</w:t>
      </w:r>
      <w:r w:rsidRPr="00AA5833">
        <w:rPr>
          <w:rFonts w:ascii="Times New Roman" w:hAnsi="Times New Roman" w:cs="Times New Roman"/>
          <w:b/>
          <w:bCs/>
          <w:sz w:val="24"/>
          <w:szCs w:val="24"/>
        </w:rPr>
        <w:t xml:space="preserve"> </w:t>
      </w:r>
      <w:r w:rsidRPr="00AA5833">
        <w:rPr>
          <w:rFonts w:ascii="Times New Roman" w:hAnsi="Times New Roman" w:cs="Times New Roman"/>
          <w:sz w:val="24"/>
          <w:szCs w:val="24"/>
        </w:rPr>
        <w:t xml:space="preserve">броят на сигналите за деца, жертва или в риск от насилие, по които е приложен Координационния механизъм при насилие е </w:t>
      </w:r>
      <w:r w:rsidRPr="00AA5833">
        <w:rPr>
          <w:rFonts w:ascii="Times New Roman" w:hAnsi="Times New Roman" w:cs="Times New Roman"/>
          <w:bCs/>
          <w:sz w:val="24"/>
          <w:szCs w:val="24"/>
        </w:rPr>
        <w:t>1875.</w:t>
      </w:r>
    </w:p>
    <w:p w14:paraId="07D02F91" w14:textId="77777777" w:rsidR="00533926" w:rsidRPr="00AA5833" w:rsidRDefault="00533926" w:rsidP="00533926">
      <w:pPr>
        <w:spacing w:after="0" w:line="240" w:lineRule="auto"/>
        <w:ind w:firstLine="708"/>
        <w:contextualSpacing/>
        <w:jc w:val="both"/>
        <w:rPr>
          <w:rFonts w:ascii="Times New Roman" w:eastAsia="Times New Roman" w:hAnsi="Times New Roman" w:cs="Times New Roman"/>
          <w:color w:val="FF0000"/>
          <w:sz w:val="24"/>
          <w:szCs w:val="24"/>
          <w:lang w:eastAsia="bg-BG"/>
        </w:rPr>
      </w:pPr>
    </w:p>
    <w:p w14:paraId="58BD7CE1" w14:textId="77777777" w:rsidR="00533926" w:rsidRPr="00AA5833" w:rsidRDefault="00533926" w:rsidP="00533926">
      <w:pPr>
        <w:pBdr>
          <w:top w:val="single" w:sz="4" w:space="1" w:color="auto"/>
          <w:left w:val="single" w:sz="4" w:space="4" w:color="auto"/>
          <w:bottom w:val="single" w:sz="4" w:space="1" w:color="auto"/>
          <w:right w:val="single" w:sz="4" w:space="4" w:color="auto"/>
        </w:pBdr>
        <w:shd w:val="clear" w:color="auto" w:fill="FFFF99"/>
        <w:autoSpaceDE w:val="0"/>
        <w:autoSpaceDN w:val="0"/>
        <w:adjustRightInd w:val="0"/>
        <w:spacing w:after="0" w:line="240" w:lineRule="auto"/>
        <w:jc w:val="both"/>
        <w:rPr>
          <w:rFonts w:ascii="Times New Roman" w:hAnsi="Times New Roman" w:cs="Times New Roman"/>
          <w:b/>
          <w:bCs/>
          <w:color w:val="000000"/>
          <w:sz w:val="24"/>
          <w:szCs w:val="24"/>
        </w:rPr>
      </w:pPr>
      <w:r w:rsidRPr="00AA5833">
        <w:rPr>
          <w:rFonts w:ascii="Times New Roman" w:hAnsi="Times New Roman" w:cs="Times New Roman"/>
          <w:b/>
          <w:bCs/>
          <w:color w:val="000000"/>
          <w:sz w:val="24"/>
          <w:szCs w:val="24"/>
        </w:rPr>
        <w:t>9.12.2. Превенция на рисковото поведение сред децата и подобряване на координацията между правораздавателната, социалната, здравната и образователната система</w:t>
      </w:r>
    </w:p>
    <w:p w14:paraId="786CAE35"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7C642BB9"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ДЪРЖАВНА АГЕНЦИЯ ЗА ЗАКРИЛА НА ДЕЦАТА</w:t>
      </w:r>
    </w:p>
    <w:p w14:paraId="29EE5DCE"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38917C9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През 2024 г. на Националната телефонна линия за деца 116111 са идентифицирани и регистрирани</w:t>
      </w:r>
      <w:r w:rsidRPr="00AA5833">
        <w:rPr>
          <w:rFonts w:ascii="Times New Roman" w:eastAsia="Times New Roman" w:hAnsi="Times New Roman" w:cs="Times New Roman"/>
          <w:b/>
          <w:sz w:val="24"/>
          <w:szCs w:val="24"/>
          <w:lang w:eastAsia="bg-BG"/>
        </w:rPr>
        <w:t xml:space="preserve"> 2452 сигнала за деца в риск.</w:t>
      </w:r>
      <w:r w:rsidRPr="00AA5833">
        <w:rPr>
          <w:rFonts w:ascii="Times New Roman" w:eastAsia="Calibri" w:hAnsi="Times New Roman" w:cs="Times New Roman"/>
          <w:sz w:val="24"/>
          <w:szCs w:val="24"/>
        </w:rPr>
        <w:t xml:space="preserve"> През 2024 г. експерти от дирекция ППДСРК са участвали в 90 мултидисциплинарни срещи за обсъждане на трудни и сложни случаи на деца, с комплексна проблематика </w:t>
      </w:r>
      <w:r w:rsidRPr="00AA5833">
        <w:rPr>
          <w:rFonts w:ascii="Times New Roman" w:eastAsia="Times New Roman" w:hAnsi="Times New Roman" w:cs="Times New Roman"/>
          <w:sz w:val="24"/>
          <w:szCs w:val="24"/>
          <w:lang w:eastAsia="bg-BG"/>
        </w:rPr>
        <w:t xml:space="preserve">в Дирекции „Социално подпомагане“ и в отдел за „Производство за международна закрила“ към Регистрационно-приемателен център – кв. Овча купел в гр. София на Държавната агенция за бежанците. </w:t>
      </w:r>
      <w:r w:rsidRPr="00AA5833">
        <w:rPr>
          <w:rFonts w:ascii="Times New Roman" w:eastAsia="Calibri" w:hAnsi="Times New Roman" w:cs="Times New Roman"/>
          <w:sz w:val="24"/>
          <w:szCs w:val="24"/>
        </w:rPr>
        <w:t>По време на участието в срещите са предоставени методически указания на социалните работници и другите специалисти и са направени предложения за предприемане на мерки съгласно ЗЗДет. и други нормативни документи, с цел осигуряване сигурност и безопасност на децата и спазване на техните права.</w:t>
      </w:r>
      <w:r w:rsidRPr="00AA5833">
        <w:rPr>
          <w:rFonts w:ascii="Times New Roman" w:eastAsia="Times New Roman" w:hAnsi="Times New Roman" w:cs="Times New Roman"/>
          <w:sz w:val="24"/>
          <w:szCs w:val="24"/>
          <w:lang w:eastAsia="bg-BG"/>
        </w:rPr>
        <w:t xml:space="preserve"> </w:t>
      </w:r>
    </w:p>
    <w:p w14:paraId="40652450"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lastRenderedPageBreak/>
        <w:tab/>
        <w:t>През отчетния период експерти от ДАЗД са работили по случаи с международен елемент на 286 деца – от тях 114 са момичета и 172 момчета, които са</w:t>
      </w:r>
      <w:r w:rsidRPr="00AA5833">
        <w:rPr>
          <w:rFonts w:ascii="Times New Roman" w:eastAsia="Calibri" w:hAnsi="Times New Roman" w:cs="Times New Roman"/>
          <w:b/>
          <w:sz w:val="24"/>
          <w:szCs w:val="24"/>
        </w:rPr>
        <w:t xml:space="preserve"> </w:t>
      </w:r>
      <w:r w:rsidRPr="00AA5833">
        <w:rPr>
          <w:rFonts w:ascii="Times New Roman" w:eastAsia="Calibri" w:hAnsi="Times New Roman" w:cs="Times New Roman"/>
          <w:sz w:val="24"/>
          <w:szCs w:val="24"/>
        </w:rPr>
        <w:t>български и чужди граждани.</w:t>
      </w:r>
    </w:p>
    <w:p w14:paraId="032EF625" w14:textId="77777777" w:rsidR="00533926" w:rsidRDefault="00533926" w:rsidP="00533926">
      <w:pPr>
        <w:spacing w:after="0" w:line="240" w:lineRule="auto"/>
        <w:ind w:firstLine="720"/>
        <w:jc w:val="both"/>
        <w:rPr>
          <w:rFonts w:ascii="Times New Roman" w:eastAsia="Times New Roman" w:hAnsi="Times New Roman" w:cs="Times New Roman"/>
          <w:sz w:val="24"/>
          <w:szCs w:val="24"/>
          <w:lang w:eastAsia="bg-BG"/>
        </w:rPr>
      </w:pPr>
    </w:p>
    <w:p w14:paraId="3BA59E31" w14:textId="77777777" w:rsidR="001D201F" w:rsidRDefault="001D201F" w:rsidP="00533926">
      <w:pPr>
        <w:spacing w:after="0" w:line="240" w:lineRule="auto"/>
        <w:ind w:firstLine="720"/>
        <w:jc w:val="both"/>
        <w:rPr>
          <w:rFonts w:ascii="Times New Roman" w:eastAsia="Times New Roman" w:hAnsi="Times New Roman" w:cs="Times New Roman"/>
          <w:sz w:val="24"/>
          <w:szCs w:val="24"/>
          <w:lang w:eastAsia="bg-BG"/>
        </w:rPr>
      </w:pPr>
    </w:p>
    <w:p w14:paraId="5BB292D8" w14:textId="77777777" w:rsidR="001D201F" w:rsidRDefault="001D201F" w:rsidP="00533926">
      <w:pPr>
        <w:spacing w:after="0" w:line="240" w:lineRule="auto"/>
        <w:ind w:firstLine="720"/>
        <w:jc w:val="both"/>
        <w:rPr>
          <w:rFonts w:ascii="Times New Roman" w:eastAsia="Times New Roman" w:hAnsi="Times New Roman" w:cs="Times New Roman"/>
          <w:sz w:val="24"/>
          <w:szCs w:val="24"/>
          <w:lang w:eastAsia="bg-BG"/>
        </w:rPr>
      </w:pPr>
    </w:p>
    <w:p w14:paraId="6CB85F87" w14:textId="77777777" w:rsidR="001D201F" w:rsidRPr="00AA5833" w:rsidRDefault="001D201F" w:rsidP="00533926">
      <w:pPr>
        <w:spacing w:after="0" w:line="240" w:lineRule="auto"/>
        <w:ind w:firstLine="720"/>
        <w:jc w:val="both"/>
        <w:rPr>
          <w:rFonts w:ascii="Times New Roman" w:eastAsia="Times New Roman" w:hAnsi="Times New Roman" w:cs="Times New Roman"/>
          <w:sz w:val="24"/>
          <w:szCs w:val="24"/>
          <w:lang w:eastAsia="bg-BG"/>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3EAB4143"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835AFEE"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9.13. Предприемане на специални мерки за развитие на чувство на национална идентичност и принадлежност към българската нация</w:t>
            </w:r>
          </w:p>
        </w:tc>
      </w:tr>
    </w:tbl>
    <w:p w14:paraId="4AF36E4C"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77DB33F8"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КУЛТУРАТА</w:t>
      </w:r>
    </w:p>
    <w:p w14:paraId="2F65B38C"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6BA5BE79"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9.13.1. Финансова подкрепа за развитие на българския книжен сектор и мрежата от библиотеки чрез бюджета на Министерството на културата</w:t>
      </w:r>
    </w:p>
    <w:p w14:paraId="50892623" w14:textId="77777777" w:rsidR="00533926" w:rsidRPr="00AA5833" w:rsidRDefault="00533926" w:rsidP="00533926">
      <w:pPr>
        <w:autoSpaceDE w:val="0"/>
        <w:autoSpaceDN w:val="0"/>
        <w:adjustRightInd w:val="0"/>
        <w:spacing w:after="0" w:line="240" w:lineRule="auto"/>
        <w:jc w:val="both"/>
        <w:rPr>
          <w:rFonts w:ascii="Times New Roman" w:eastAsia="Calibri" w:hAnsi="Times New Roman" w:cs="Times New Roman"/>
          <w:b/>
          <w:sz w:val="24"/>
          <w:szCs w:val="24"/>
        </w:rPr>
      </w:pPr>
    </w:p>
    <w:p w14:paraId="3888E20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eastAsia="Calibri" w:hAnsi="Times New Roman" w:cs="Times New Roman"/>
          <w:sz w:val="24"/>
          <w:szCs w:val="24"/>
        </w:rPr>
        <w:tab/>
        <w:t>През 2024 г. в рамките на бюджета на Министерство на културата</w:t>
      </w:r>
      <w:r w:rsidRPr="00AA5833">
        <w:rPr>
          <w:rFonts w:ascii="Times New Roman" w:eastAsia="Calibri" w:hAnsi="Times New Roman" w:cs="Times New Roman"/>
          <w:b/>
          <w:sz w:val="24"/>
          <w:szCs w:val="24"/>
        </w:rPr>
        <w:t xml:space="preserve"> </w:t>
      </w:r>
      <w:r w:rsidRPr="00AA5833">
        <w:rPr>
          <w:rFonts w:ascii="Times New Roman" w:hAnsi="Times New Roman" w:cs="Times New Roman"/>
          <w:color w:val="000000"/>
          <w:sz w:val="24"/>
          <w:szCs w:val="24"/>
        </w:rPr>
        <w:t xml:space="preserve">са реализирани 3 конкурсни сесии, както следва:  </w:t>
      </w:r>
    </w:p>
    <w:p w14:paraId="76552F04"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b/>
          <w:sz w:val="24"/>
          <w:szCs w:val="24"/>
        </w:rPr>
        <w:t>Програма</w:t>
      </w:r>
      <w:r w:rsidRPr="00AA5833">
        <w:rPr>
          <w:rFonts w:ascii="Times New Roman" w:hAnsi="Times New Roman" w:cs="Times New Roman"/>
          <w:sz w:val="24"/>
          <w:szCs w:val="24"/>
        </w:rPr>
        <w:t xml:space="preserve"> „</w:t>
      </w:r>
      <w:r w:rsidRPr="00AA5833">
        <w:rPr>
          <w:rFonts w:ascii="Times New Roman" w:hAnsi="Times New Roman" w:cs="Times New Roman"/>
          <w:b/>
          <w:sz w:val="24"/>
          <w:szCs w:val="24"/>
        </w:rPr>
        <w:t>Българските библиотеки – съвременни центрове за четене и информираност”</w:t>
      </w:r>
      <w:r w:rsidRPr="00AA5833">
        <w:rPr>
          <w:rFonts w:ascii="Times New Roman" w:hAnsi="Times New Roman" w:cs="Times New Roman"/>
          <w:sz w:val="24"/>
          <w:szCs w:val="24"/>
        </w:rPr>
        <w:t xml:space="preserve"> (с бюджет 2 млн. лв.). Програмата цели подобряване на условията в обществените библиотеки и читалищата като центрове за неформално и самостоятелно учене и предоставяне на безплатен достъп до нови книги, специализирани издания, според спецификата на потребителите на библиотеките.  Подкрепени са 1 235 проекта на обща стойност 1 997 920 лв. </w:t>
      </w:r>
    </w:p>
    <w:p w14:paraId="3CF996ED"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b/>
          <w:sz w:val="24"/>
          <w:szCs w:val="24"/>
        </w:rPr>
        <w:t>Програма „Помощ за книгата“</w:t>
      </w:r>
      <w:r w:rsidRPr="00AA5833">
        <w:rPr>
          <w:rFonts w:ascii="Times New Roman" w:hAnsi="Times New Roman" w:cs="Times New Roman"/>
          <w:sz w:val="24"/>
          <w:szCs w:val="24"/>
        </w:rPr>
        <w:t xml:space="preserve"> (с бюджет 400 000 лв.) за представяне на нови български творби на книжния пазар. През 2024 г. са подпомогнати финансово 104 проекта на обща стойност 400 000 лв. за издаване на нови книги в различни направления: българска и преводна художествена литература; българска и преводна хуманитаристика; литература за деца и юноши; културно-историческо наследство и съвременна култура. Чрез програмата се цели и представянето на книжния пазар на творчеството на писатели и изследователи от всички възрасти и етнически групи и насърчаване на тяхната изява като автори и творци с общ принос за развитието на литературните процеси и на науката.</w:t>
      </w:r>
    </w:p>
    <w:p w14:paraId="4E1FE048"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b/>
          <w:sz w:val="24"/>
          <w:szCs w:val="24"/>
        </w:rPr>
        <w:t>Програма за подпомагане на творчески проекти в областта на литературата</w:t>
      </w:r>
      <w:r w:rsidRPr="00AA5833">
        <w:rPr>
          <w:rFonts w:ascii="Times New Roman" w:hAnsi="Times New Roman" w:cs="Times New Roman"/>
          <w:sz w:val="24"/>
          <w:szCs w:val="24"/>
        </w:rPr>
        <w:t xml:space="preserve"> (с бюджет 400 000 лв.) има за цел създаване на нови произведения във всички литературни жанрове, с цел финансова подкрепа на индивидуални творци от всички етнически общности – белетристи, поети, публицисти, литературни критици и историци, драматурзи за създаване на нови произведения във всички литературни жанрове на конкурсен принцип. По програмата са подкрепени 137 индивидуални творчески проекта в общ размер на 400 000 лв. </w:t>
      </w:r>
    </w:p>
    <w:p w14:paraId="37EC105C"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До програмите е осигурен достъп чрез официалната страница на Министерство на културата.</w:t>
      </w:r>
    </w:p>
    <w:p w14:paraId="763C69F8"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Чрез проведените конкурсни сесии е повишен обхватът на бенефициентите чрез обогатяване фонда на обществените библиотеки, представяне на нови български творби на книжния пазар, стимулиране и развитие на индивидуалния творчески талант на национално ниво. </w:t>
      </w:r>
    </w:p>
    <w:p w14:paraId="06BA330D"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p w14:paraId="3045393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КУЛТУРАТА</w:t>
      </w:r>
    </w:p>
    <w:p w14:paraId="6AAFBA81"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p w14:paraId="7292DF6C"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9.13.2. Провеждане на сесии за подкрепа на сценичните изкуства по програма на Министерство на културата</w:t>
      </w:r>
    </w:p>
    <w:p w14:paraId="0792160B" w14:textId="77777777" w:rsidR="00533926" w:rsidRPr="00AA5833" w:rsidRDefault="00533926" w:rsidP="00533926">
      <w:pPr>
        <w:spacing w:after="0" w:line="240" w:lineRule="auto"/>
        <w:rPr>
          <w:rFonts w:ascii="Times New Roman" w:eastAsia="Times New Roman" w:hAnsi="Times New Roman" w:cs="Times New Roman"/>
          <w:b/>
          <w:color w:val="FFFF00"/>
          <w:sz w:val="24"/>
          <w:szCs w:val="24"/>
          <w:lang w:eastAsia="bg-BG"/>
        </w:rPr>
      </w:pPr>
    </w:p>
    <w:p w14:paraId="0A645561"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lastRenderedPageBreak/>
        <w:t xml:space="preserve">През 2024 г. в рамките на бюджета на МК са реализирани общо 9 конкурсни сесии, както следва:  </w:t>
      </w:r>
    </w:p>
    <w:p w14:paraId="462C1240"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на фестивали в страната в областта на професионалното театрално изкуство;</w:t>
      </w:r>
    </w:p>
    <w:p w14:paraId="23C4FAF1"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фестивали и конкурси в страната в областта на професионалното музикалното изкуство;</w:t>
      </w:r>
    </w:p>
    <w:p w14:paraId="56DBB349"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фестивали и конкурси в страната в областта на професионалното танцовото изкуство;</w:t>
      </w:r>
    </w:p>
    <w:p w14:paraId="4579D927"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създаване на спектакли в областта на театралното изкуство, реализирани от културни организации, осъществяващи професионална дейност в областта на театралното изкуство, които не са държавни или общински културни институти;</w:t>
      </w:r>
    </w:p>
    <w:p w14:paraId="6E8C7AA4"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създаване на спектакли и концерти в областта на музикалното изкуство, реализирани от културни организации, осъществяващи професионална дейност в областта на музикалното изкуство, които не са държавни или общински културни институти;</w:t>
      </w:r>
    </w:p>
    <w:p w14:paraId="1E49DEBD"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създаване на спектакли в областта на танцовото изкуство, реализирани от културни организации, осъществяващи професионална дейност в областта на танцовото изкуство, които не са държавни или общински културни институти;</w:t>
      </w:r>
    </w:p>
    <w:p w14:paraId="12F2C790"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разпространение на спектакли в областта на театралното изкуство, реализирани от културни организации, осъществяващи професионална дейност в областта на театралното изкуство, които не са държавни или общински културни институти;</w:t>
      </w:r>
    </w:p>
    <w:p w14:paraId="06DE9D0F"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разпространение на спектакли и концерти в областта на музикалното изкуство, реализирани от културни организации, осъществяващи професионална дейност в областта на музикалното изкуство, които не са държавни или общински културни институти;</w:t>
      </w:r>
    </w:p>
    <w:p w14:paraId="253BEF57" w14:textId="77777777" w:rsidR="00533926" w:rsidRPr="00AA5833" w:rsidRDefault="00533926" w:rsidP="002A598C">
      <w:pPr>
        <w:numPr>
          <w:ilvl w:val="0"/>
          <w:numId w:val="32"/>
        </w:numPr>
        <w:spacing w:after="0" w:line="240" w:lineRule="auto"/>
        <w:ind w:left="0" w:firstLine="1068"/>
        <w:contextualSpacing/>
        <w:jc w:val="both"/>
        <w:rPr>
          <w:rFonts w:ascii="Times New Roman" w:hAnsi="Times New Roman" w:cs="Times New Roman"/>
          <w:sz w:val="24"/>
          <w:szCs w:val="24"/>
        </w:rPr>
      </w:pPr>
      <w:r w:rsidRPr="00AA5833">
        <w:rPr>
          <w:rFonts w:ascii="Times New Roman" w:hAnsi="Times New Roman" w:cs="Times New Roman"/>
          <w:sz w:val="24"/>
          <w:szCs w:val="24"/>
        </w:rPr>
        <w:t>Сесия за финансова подкрепа за разпространение на спектакли в областта на танцовото изкуство, реализирани от културни организации, осъществяващи професионална дейност в областта на танцовото изкуство, които не са държавни или общински културни институти.</w:t>
      </w:r>
    </w:p>
    <w:p w14:paraId="07599A80" w14:textId="77777777" w:rsidR="00533926" w:rsidRPr="00AA5833" w:rsidRDefault="00533926" w:rsidP="00533926">
      <w:pPr>
        <w:spacing w:after="0" w:line="240" w:lineRule="auto"/>
        <w:jc w:val="both"/>
        <w:rPr>
          <w:rFonts w:ascii="Times New Roman" w:eastAsia="Times New Roman" w:hAnsi="Times New Roman" w:cs="Times New Roman"/>
          <w:bCs/>
          <w:color w:val="000000"/>
          <w:sz w:val="24"/>
          <w:szCs w:val="24"/>
          <w:lang w:eastAsia="bg-BG"/>
        </w:rPr>
      </w:pPr>
    </w:p>
    <w:p w14:paraId="1388D554" w14:textId="77777777" w:rsidR="00533926" w:rsidRPr="00AA5833" w:rsidRDefault="00533926" w:rsidP="00533926">
      <w:pPr>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ab/>
        <w:t>Разходваните средства в конкурсните сесии за 2024 г. за подкрепа на творчески проекти в областта на сценичните изкуства са в размер на 2 535 080 лв. Общият брой на подкрепените организации/творчески проекти е 174 бр.</w:t>
      </w:r>
    </w:p>
    <w:p w14:paraId="036CAD2B"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През 2024 г. Министерство на културата проведе две извънредни сесии за финансова подкрепа на проекти на държавни и общински културни организации и структури, чиито предмет на дейност е осъществяване на професионална дейност в областта на театралното, музикалното и танцовото изкуство с цел създаване и развитие на културни продукти в областта на сценичните изкуства, като разходваните средства са в размер на 4 137 790,99 лв. Общият брой на подкрепените организации/творчески проекти е 49 бр.</w:t>
      </w:r>
    </w:p>
    <w:p w14:paraId="7B3C0031" w14:textId="77777777" w:rsidR="00533926" w:rsidRPr="00AA5833" w:rsidRDefault="00533926" w:rsidP="00533926">
      <w:pPr>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ab/>
        <w:t>Общият брой на подкрепените организации/творчески проекти е 223 бр.</w:t>
      </w:r>
    </w:p>
    <w:p w14:paraId="47E05322"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0"/>
          <w:szCs w:val="20"/>
          <w:lang w:eastAsia="bg-BG"/>
        </w:rPr>
      </w:pPr>
    </w:p>
    <w:p w14:paraId="03E21898" w14:textId="77777777" w:rsidR="00533926" w:rsidRPr="00AA5833" w:rsidRDefault="00533926" w:rsidP="00533926">
      <w:pPr>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0"/>
          <w:szCs w:val="20"/>
          <w:lang w:eastAsia="bg-BG"/>
        </w:rPr>
        <w:tab/>
      </w:r>
      <w:r w:rsidRPr="00AA5833">
        <w:rPr>
          <w:rFonts w:ascii="Times New Roman" w:eastAsia="Times New Roman" w:hAnsi="Times New Roman" w:cs="Times New Roman"/>
          <w:bCs/>
          <w:color w:val="000000"/>
          <w:sz w:val="24"/>
          <w:szCs w:val="24"/>
          <w:lang w:eastAsia="bg-BG"/>
        </w:rPr>
        <w:t xml:space="preserve">Творческите сесии на Министерство на културата, провеждани от дирекция ,,Сценични изкуства и художествено образование“, са основният финансов инструмент за стимулиране и подкрепа на творческия процес на независимия културен сектор и на заетостта и социалното приобщаване в сферата на културата в България. </w:t>
      </w:r>
    </w:p>
    <w:p w14:paraId="13D63F83"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lastRenderedPageBreak/>
        <w:t>Децентрализацията в културата е приоритет, породен от необходимостта за близост на изкуството с хората и с оглед демократизацията на обществените отношения в съвременните общества, изпълнението на който ще спомогне за развитие на културата на местно ниво, в отдалечените и икономически слабо развитите райони на страната, създавайки равен достъп до култура. Чрез инвестиции в тази сфера се подпомагат нови творчески проекти, наемане на безработни артисти, наемане на млади артисти и/или в пенсионна възраст, развитие на техните умения, развитие на публики, приобщаване на различни групи хора, независимо от тяхното социално положение или увреждания, разширяване на достъпа им до култура, с цел да се насърчава, защитава и гарантира пълноценното и равноправно упражняване на всички права на човека.</w:t>
      </w:r>
    </w:p>
    <w:p w14:paraId="1D4F3239"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В тази връзка подкрепените творчески проекти в рамките на сесиите на МК за 2024 г., реализирани на територията на България, са източник на селектирано и качествено културно съдържание, достъпно за всички хора, независимо от тяхното социално положение или увреждания, пряко ангажирани с популяризирането и разпространението на културни ценности и в най-отдалечените региони на страната. Увеличаващият се брой на подкрепените проекти, предимно на свободната театрална сцена, е доказателство за нарастващото потребление на културни продукти и качество на художествения продукт.</w:t>
      </w:r>
    </w:p>
    <w:p w14:paraId="02467FF0"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По програми на Министерството на културата се подкрепят финансово реализирането на различни проекти и инициативи, допринасящи за по-ефективното използване на творческия, артистичния и интелектуален потенциал на хората с различен социален статус и/или увреждания и насърчаване на тяхното пълноправно участие в културния живот на страната.</w:t>
      </w:r>
    </w:p>
    <w:p w14:paraId="65A6DBBF"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Държавните културни институти (ДКИ), общинските културни институти/организации и независимият сектор в областта на сценичните изкуства работят в посока постигане на социална кохезия и създаване на равни възможности за пълноценен социален и продуктивен живот за всички социални групи в обществото. </w:t>
      </w:r>
    </w:p>
    <w:p w14:paraId="4D492C1E"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Процесът на сближаване и приобщаване в обществото, основаващ се на преодоляване на неравенството, несправедливостта, маргинализирането и социалното изключване на определени индивиди и групи се реализира чрез множество театрални спектакли, чието съдържание отразява именно гореизброените цели. Чрез езика на изкуството се обсъждат социални теми, изключително важни за обществото и бъдещето му (в частност – различните, неприпознатите в него). Посоката на театралното е взаимното приемане на различните обществени групи, включително и тези на най-бедните, както и споделяне на отговорностите, с цел смекчаване на социалните контрасти. </w:t>
      </w:r>
    </w:p>
    <w:p w14:paraId="0B2E63CD"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Именно поради тази причина, усилията за повишаване на социалната сигурност и приобщаването на хора, независимо от тяхното социално положение, са насочени към внедряване на политики, механизми и дейности в сферата на управление на държавните културни институти в областта на сценичните изкуства, с оглед територията, на която функционират и</w:t>
      </w:r>
      <w:r w:rsidRPr="00AA5833">
        <w:rPr>
          <w:rFonts w:ascii="Calibri" w:eastAsia="Calibri" w:hAnsi="Calibri" w:cs="Times New Roman"/>
          <w:sz w:val="24"/>
          <w:szCs w:val="24"/>
        </w:rPr>
        <w:t xml:space="preserve"> </w:t>
      </w:r>
      <w:r w:rsidRPr="00AA5833">
        <w:rPr>
          <w:rFonts w:ascii="Times New Roman" w:eastAsia="Times New Roman" w:hAnsi="Times New Roman" w:cs="Times New Roman"/>
          <w:bCs/>
          <w:color w:val="000000"/>
          <w:sz w:val="24"/>
          <w:szCs w:val="24"/>
          <w:lang w:eastAsia="bg-BG"/>
        </w:rPr>
        <w:t>изпълнението на които ще спомогне за развитие на културата на местно ниво, в отдалечените и икономически слабо развитите райони на страната, създавайки равен достъп до култура.</w:t>
      </w:r>
    </w:p>
    <w:p w14:paraId="0DB76E57"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Държавните културни институти, разположени в малките населени места, както и столичните държавни театри и независимият сектор, работят в посока сближаване с местните жители, както и с живеещите в малките селища, особено в изостаналите селски райони, залагайки в програмите си големи турнета, фестивали и др.  </w:t>
      </w:r>
    </w:p>
    <w:p w14:paraId="5110C24A"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 xml:space="preserve">Последователната и целенасочена политика, съобразена с конкретната специфика на местните културни процеси и с местната публика, се изразява и чрез преференциална политика по отношение на билетите към хора, с различен социален статус, хора в </w:t>
      </w:r>
      <w:r w:rsidRPr="00AA5833">
        <w:rPr>
          <w:rFonts w:ascii="Times New Roman" w:eastAsia="Times New Roman" w:hAnsi="Times New Roman" w:cs="Times New Roman"/>
          <w:bCs/>
          <w:color w:val="000000"/>
          <w:sz w:val="24"/>
          <w:szCs w:val="24"/>
          <w:lang w:eastAsia="bg-BG"/>
        </w:rPr>
        <w:lastRenderedPageBreak/>
        <w:t>неравностойно положение, пенсионери, учащи и т.н. (с намалени цени или отстъпки). Театрите, разположени в провинцията работят за развитието на местните публики и осигуряването на качествено културно съдържание, достъпно за гражданите, съобразено с покупателната възможност на населението.</w:t>
      </w:r>
    </w:p>
    <w:p w14:paraId="0AFA840D" w14:textId="77777777" w:rsidR="00533926" w:rsidRPr="00AA5833" w:rsidRDefault="00533926" w:rsidP="00533926">
      <w:pPr>
        <w:spacing w:after="0" w:line="240" w:lineRule="auto"/>
        <w:jc w:val="both"/>
        <w:rPr>
          <w:rFonts w:ascii="Times New Roman" w:eastAsia="Times New Roman" w:hAnsi="Times New Roman" w:cs="Times New Roman"/>
          <w:bCs/>
          <w:color w:val="000000"/>
          <w:sz w:val="24"/>
          <w:szCs w:val="24"/>
          <w:lang w:eastAsia="bg-BG"/>
        </w:rPr>
      </w:pPr>
      <w:r w:rsidRPr="00AA5833">
        <w:rPr>
          <w:rFonts w:ascii="Times New Roman" w:eastAsia="Times New Roman" w:hAnsi="Times New Roman" w:cs="Times New Roman"/>
          <w:bCs/>
          <w:color w:val="000000"/>
          <w:sz w:val="24"/>
          <w:szCs w:val="24"/>
          <w:lang w:eastAsia="bg-BG"/>
        </w:rPr>
        <w:tab/>
        <w:t>Политиката на театрите към хората следва да се разглежда като приоритетна, като потенциален, непрестанен ангажимент към хората с различен социален статус и към техните потребности. Културните продукти са изцяло съобразени с принципа на равнопоставеност на творци и на граждани, потребители и създатели на културен продукт или на видове изкуства. Също така ДКИ работят за изграждането на трайни навици у младото поколение за редовно посещаване на културни събития и продукти, създават се театрални школи, с цел възпитание, посвещение в театралното и равно участие на човека като цяло в културния живот, предоставяйки възможността децата да бъдат създатели на културни ценности и/или потребители на културни продукти.</w:t>
      </w:r>
    </w:p>
    <w:p w14:paraId="47A8A12B"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p w14:paraId="2B3BBC2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КУЛТУРАТА</w:t>
      </w:r>
    </w:p>
    <w:p w14:paraId="2DAEBDC0" w14:textId="77777777" w:rsidR="00533926" w:rsidRPr="00AA5833" w:rsidRDefault="00533926" w:rsidP="00533926">
      <w:pPr>
        <w:spacing w:after="0" w:line="240" w:lineRule="auto"/>
        <w:rPr>
          <w:rFonts w:ascii="Times New Roman" w:eastAsia="Times New Roman" w:hAnsi="Times New Roman" w:cs="Times New Roman"/>
          <w:color w:val="FFFF00"/>
          <w:szCs w:val="20"/>
          <w:lang w:eastAsia="bg-BG"/>
        </w:rPr>
      </w:pPr>
    </w:p>
    <w:p w14:paraId="23B23975"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9.13.3. Провеждане на сесии и целева финансова подкрепа на културното наследство по програма на Министерство на културата</w:t>
      </w:r>
    </w:p>
    <w:p w14:paraId="0752F4A8"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4807885"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В рамките на бюджета на Министерство на културата по програма „Опазване и представяне на движимото културно наследство и визуалните изкуства“ през 2024 г. са реализирани общо 2 конкурсни сесии, както следва:  </w:t>
      </w:r>
    </w:p>
    <w:p w14:paraId="1F9C5598" w14:textId="77777777" w:rsidR="00533926" w:rsidRPr="00AA5833" w:rsidRDefault="00533926" w:rsidP="002A598C">
      <w:pPr>
        <w:numPr>
          <w:ilvl w:val="0"/>
          <w:numId w:val="33"/>
        </w:numPr>
        <w:spacing w:after="0" w:line="240" w:lineRule="auto"/>
        <w:ind w:left="0" w:firstLine="709"/>
        <w:contextualSpacing/>
        <w:jc w:val="both"/>
        <w:rPr>
          <w:rFonts w:ascii="Times New Roman" w:hAnsi="Times New Roman" w:cs="Times New Roman"/>
          <w:bCs/>
          <w:sz w:val="24"/>
          <w:szCs w:val="24"/>
        </w:rPr>
      </w:pPr>
      <w:r w:rsidRPr="00AA5833">
        <w:rPr>
          <w:rFonts w:ascii="Times New Roman" w:hAnsi="Times New Roman" w:cs="Times New Roman"/>
          <w:sz w:val="24"/>
          <w:szCs w:val="24"/>
        </w:rPr>
        <w:t>Конкурсна сесия за финансова подкрепа на проекти в областта на движимото културно наследство, музеите и художествените галерии;</w:t>
      </w:r>
    </w:p>
    <w:p w14:paraId="4B8C6270" w14:textId="77777777" w:rsidR="00533926" w:rsidRPr="00AA5833" w:rsidRDefault="00533926" w:rsidP="002A598C">
      <w:pPr>
        <w:numPr>
          <w:ilvl w:val="0"/>
          <w:numId w:val="33"/>
        </w:numPr>
        <w:spacing w:after="0" w:line="240" w:lineRule="auto"/>
        <w:ind w:left="0" w:firstLine="709"/>
        <w:contextualSpacing/>
        <w:jc w:val="both"/>
        <w:rPr>
          <w:rFonts w:ascii="Times New Roman" w:hAnsi="Times New Roman" w:cs="Times New Roman"/>
          <w:bCs/>
          <w:sz w:val="24"/>
          <w:szCs w:val="24"/>
        </w:rPr>
      </w:pPr>
      <w:r w:rsidRPr="00AA5833">
        <w:rPr>
          <w:rFonts w:ascii="Times New Roman" w:hAnsi="Times New Roman" w:cs="Times New Roman"/>
          <w:sz w:val="24"/>
          <w:szCs w:val="24"/>
        </w:rPr>
        <w:t>Конкурсна сесия за целево финансиране на проекти в областта на визуалните изкуства.</w:t>
      </w:r>
    </w:p>
    <w:p w14:paraId="63A941B2"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Разходваните средства в конкурсните сесии на Министерство на културата за 2024 година за подкрепа на проекти в областта на движимото културно наследство и визуалните изкуства са в размер на 8 700 000 лв. </w:t>
      </w:r>
    </w:p>
    <w:p w14:paraId="6F4A2FCA" w14:textId="77777777" w:rsidR="00533926" w:rsidRPr="00AA5833" w:rsidRDefault="00533926" w:rsidP="002A598C">
      <w:pPr>
        <w:numPr>
          <w:ilvl w:val="0"/>
          <w:numId w:val="33"/>
        </w:numPr>
        <w:spacing w:after="0" w:line="240" w:lineRule="auto"/>
        <w:ind w:left="0" w:firstLine="709"/>
        <w:contextualSpacing/>
        <w:jc w:val="both"/>
        <w:rPr>
          <w:rFonts w:ascii="Times New Roman" w:hAnsi="Times New Roman" w:cs="Times New Roman"/>
          <w:sz w:val="24"/>
          <w:szCs w:val="24"/>
        </w:rPr>
      </w:pPr>
      <w:r w:rsidRPr="00AA5833">
        <w:rPr>
          <w:rFonts w:ascii="Times New Roman" w:hAnsi="Times New Roman" w:cs="Times New Roman"/>
          <w:sz w:val="24"/>
          <w:szCs w:val="24"/>
        </w:rPr>
        <w:t>Общ брой на подкрепените проекти – 139 бр.</w:t>
      </w:r>
    </w:p>
    <w:p w14:paraId="0C184854" w14:textId="77777777" w:rsidR="00533926" w:rsidRPr="00AA5833" w:rsidRDefault="00533926" w:rsidP="002A598C">
      <w:pPr>
        <w:numPr>
          <w:ilvl w:val="0"/>
          <w:numId w:val="33"/>
        </w:numPr>
        <w:spacing w:after="0" w:line="240" w:lineRule="auto"/>
        <w:ind w:left="0" w:firstLine="709"/>
        <w:contextualSpacing/>
        <w:jc w:val="both"/>
        <w:rPr>
          <w:rFonts w:ascii="Times New Roman" w:hAnsi="Times New Roman" w:cs="Times New Roman"/>
          <w:sz w:val="24"/>
          <w:szCs w:val="24"/>
        </w:rPr>
      </w:pPr>
      <w:r w:rsidRPr="00AA5833">
        <w:rPr>
          <w:rFonts w:ascii="Times New Roman" w:hAnsi="Times New Roman" w:cs="Times New Roman"/>
          <w:sz w:val="24"/>
          <w:szCs w:val="24"/>
        </w:rPr>
        <w:t>По отношение на движимото културно наследство, музеите и визуалните изкуства за проектите на културните организации и институти в областта на движимото културно наследство и визуалните изкуства са насочени към подпомагане на културни инициативи, целеви програми, творчески проекти и други, които са свързани с опазването, представянето и популяризирането на музеите, движимото културно наследство и визуалните изкуства. Основната цел на програмата за финансиране на проекти в областта на визуалните изкуства е подкрепа, развитие, популяризиране и утвърждаване на обществена значимост на визуалните изкуства, като една от подцелите фокусира развиване и привличане на нови публики; достъпност и демократичност при представянето на визуалните изкуства.</w:t>
      </w:r>
    </w:p>
    <w:p w14:paraId="1A9B8061"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356"/>
      </w:tblGrid>
      <w:tr w:rsidR="00533926" w:rsidRPr="00AA5833" w14:paraId="345AFE50" w14:textId="77777777" w:rsidTr="00533926">
        <w:trPr>
          <w:trHeight w:val="145"/>
        </w:trPr>
        <w:tc>
          <w:tcPr>
            <w:tcW w:w="5000" w:type="pct"/>
            <w:shd w:val="clear" w:color="auto" w:fill="FFFF99"/>
          </w:tcPr>
          <w:p w14:paraId="5A98D61D"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9.14. Приоритетно прилагане на мерки за развитие на читалищата като средища на духовно израстване и развитие на културната идентичност</w:t>
            </w:r>
          </w:p>
        </w:tc>
      </w:tr>
    </w:tbl>
    <w:p w14:paraId="21DB0C7F"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p w14:paraId="6B7B17E9"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КУЛТУРАТА</w:t>
      </w:r>
    </w:p>
    <w:p w14:paraId="6C51333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0225A7D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9.14.1. Подпомагане дейността на народните читалища чрез бюджета на Министерството на културата</w:t>
      </w:r>
    </w:p>
    <w:p w14:paraId="79A55A4A"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p w14:paraId="5785D20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lastRenderedPageBreak/>
        <w:t xml:space="preserve">            </w:t>
      </w:r>
      <w:r w:rsidRPr="00AA5833">
        <w:rPr>
          <w:rFonts w:ascii="Times New Roman" w:eastAsia="Times New Roman" w:hAnsi="Times New Roman" w:cs="Times New Roman"/>
          <w:sz w:val="24"/>
          <w:szCs w:val="24"/>
          <w:lang w:eastAsia="bg-BG"/>
        </w:rPr>
        <w:t>В рамките на бюджета си Министерство на културата e оказало финансова подкрепа за читалищни дейности, вкл. чрез програма „Българските библиотеки – съвременни центрове за четене и информираност” на 1 235 проекта на обща стойност 1 997 920 лв., като основната част от подкрепените проекти са на читалищни библиотеки (посочено в т. 9.13.1.).</w:t>
      </w:r>
    </w:p>
    <w:p w14:paraId="43D64A5A"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През 2024 г. по Програма „Читалища“ на Министерство на културата са подкрепени 81 проекта на читалища от цялата страна на обща стойност 2 500 000 лева. Целта на програмата е подобряване на технологичната среда в читалищата, в т. ч. и на театралните, репетиционни и камерни читалищни салони, развиване на професионалните умения на читалищните служители и повишаване на интереса към читалищните програми и ресурси от страна на общността и на посетителите на населеното място; привличане на жанрово разнообразни събития, разработване на нови проекти, свързани с опазване на културното наследство на страната, обновяване и модернизиране на читалищната среда, така че тя да е достъпна по-ефективно до общността.</w:t>
      </w:r>
    </w:p>
    <w:p w14:paraId="0EEF3E4F"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            С програмите е подпомогната читалищната дейност чрез обогатяване на библиотечния фонд на читалищните библиотеки и подобряване на технологичната среда в читалищата на национални ниво. </w:t>
      </w:r>
    </w:p>
    <w:p w14:paraId="0B36077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9356"/>
      </w:tblGrid>
      <w:tr w:rsidR="00533926" w:rsidRPr="00AA5833" w14:paraId="07E37DE5" w14:textId="77777777" w:rsidTr="00533926">
        <w:trPr>
          <w:trHeight w:val="145"/>
        </w:trPr>
        <w:tc>
          <w:tcPr>
            <w:tcW w:w="5000" w:type="pct"/>
            <w:shd w:val="clear" w:color="auto" w:fill="FFFF99"/>
          </w:tcPr>
          <w:p w14:paraId="32C9EF06"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color w:val="000000"/>
                <w:sz w:val="24"/>
                <w:szCs w:val="24"/>
              </w:rPr>
              <w:t>9.15. Формиране на култура, ориентирана към знанието</w:t>
            </w:r>
          </w:p>
        </w:tc>
      </w:tr>
    </w:tbl>
    <w:p w14:paraId="3D615CF5"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lang w:eastAsia="bg-BG"/>
        </w:rPr>
      </w:pPr>
    </w:p>
    <w:p w14:paraId="5B3807A2" w14:textId="77777777" w:rsidR="00533926" w:rsidRPr="00AA5833" w:rsidRDefault="00533926" w:rsidP="00533926">
      <w:pPr>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ОБРАЗОВАНИЕТО И НАУКАТА</w:t>
      </w:r>
    </w:p>
    <w:p w14:paraId="0F89A985"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lang w:eastAsia="bg-BG"/>
        </w:rPr>
      </w:pPr>
    </w:p>
    <w:p w14:paraId="2F391AB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9.15.1. Осъществяване на съвместни дейности между училищата и културните, държавните и научните институции като образователна среда </w:t>
      </w:r>
    </w:p>
    <w:p w14:paraId="3CC3090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13DC82E"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се изпълнява чрез НП „България – образователни маршрути”, Модул „Културните, държавните и научните институции като образователна среда“ за 2024 г. С реализирането на дейностите се цели:</w:t>
      </w:r>
    </w:p>
    <w:p w14:paraId="5A354B80"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разширяване на достъпа до националното и световното културно-историческо наследство, до значими достижения в областта на литературата, изкуствата и науката;</w:t>
      </w:r>
    </w:p>
    <w:p w14:paraId="499E4F95"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възпитание в дух на родолюбие и подкрепа за формиране на национални и общоевропейски ценности;</w:t>
      </w:r>
    </w:p>
    <w:p w14:paraId="595FD80D"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насърчаване на четенето и повишаване на грамотността;</w:t>
      </w:r>
    </w:p>
    <w:p w14:paraId="4CF04B28"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формиране и развитие на социални компетентности;.</w:t>
      </w:r>
    </w:p>
    <w:p w14:paraId="39800E9B"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осигуряване на условия за провеждане на занимания по интереси и на учебни часове в естествена среда, извън класната стая;</w:t>
      </w:r>
    </w:p>
    <w:p w14:paraId="00BD1852" w14:textId="77777777" w:rsidR="00533926" w:rsidRPr="00AA5833" w:rsidRDefault="00533926" w:rsidP="002A598C">
      <w:pPr>
        <w:numPr>
          <w:ilvl w:val="0"/>
          <w:numId w:val="96"/>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подпомагане на учебния процес чрез провеждане на съвместни инициативи с културни и научни институции. </w:t>
      </w:r>
    </w:p>
    <w:p w14:paraId="715AA441"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програмата участват държавни и общински училища от системата на училищното образование и Националният музей на образованието – град Габрово. Целева група са учениците от държавни и общински училища от системата на училищното образование на територията на Република България.</w:t>
      </w:r>
    </w:p>
    <w:p w14:paraId="3D5C40BC"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Предвидените дейности включват:</w:t>
      </w:r>
    </w:p>
    <w:p w14:paraId="172C39B3"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провеждане на задължителни, избираеми и факултативни учебни часове по учебни предмети от училищната подготовка в музеи, галерии, обществени библиотеки, обсерватории, планетариуми, държавни и научни институти;</w:t>
      </w:r>
    </w:p>
    <w:p w14:paraId="16AE53DC"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lastRenderedPageBreak/>
        <w:t xml:space="preserve">посещение на театрални постановки, концерти, изложби, представяне на книги, филми и др. (или представянето им в училище), свързани с конкретно учебно съдържание; </w:t>
      </w:r>
    </w:p>
    <w:p w14:paraId="38D3CB81"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срещи с актьори, писатели, художници, музикални дейци, научни работници, библиотекари от обществени библиотеки и др. по теми, свързани с конкретно учебно съдържание;</w:t>
      </w:r>
    </w:p>
    <w:p w14:paraId="3032F0A0"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провеждане на литературни четения, конкурси, „дни на….” съвместно с културни и с научни институции</w:t>
      </w:r>
    </w:p>
    <w:p w14:paraId="2D45FF05"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провеждане на виртуални турове в културни и научни институции в страната и чужбина и видеоуроци;</w:t>
      </w:r>
    </w:p>
    <w:p w14:paraId="715534EF"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осигуряване на абонамент за читателски карти в обществените библиотеки за проявилите желание ученици, вкл. техните учители, както и достъп до специализираните услуги, които предоставят обществените библиотеки;</w:t>
      </w:r>
    </w:p>
    <w:p w14:paraId="6CDCB805" w14:textId="77777777" w:rsidR="00533926" w:rsidRPr="00AA5833" w:rsidRDefault="00533926" w:rsidP="002A598C">
      <w:pPr>
        <w:numPr>
          <w:ilvl w:val="0"/>
          <w:numId w:val="95"/>
        </w:numPr>
        <w:spacing w:after="0" w:line="240" w:lineRule="auto"/>
        <w:ind w:firstLine="720"/>
        <w:contextualSpacing/>
        <w:jc w:val="both"/>
        <w:rPr>
          <w:rFonts w:ascii="Times New Roman" w:hAnsi="Times New Roman" w:cs="Times New Roman"/>
          <w:sz w:val="24"/>
          <w:szCs w:val="24"/>
        </w:rPr>
      </w:pPr>
      <w:r w:rsidRPr="00AA5833">
        <w:rPr>
          <w:rFonts w:ascii="Times New Roman" w:hAnsi="Times New Roman" w:cs="Times New Roman"/>
          <w:sz w:val="24"/>
          <w:szCs w:val="24"/>
        </w:rPr>
        <w:t>дейности на „Музейно училище“ към Националния музей на образованието – град Габрово.</w:t>
      </w:r>
    </w:p>
    <w:p w14:paraId="6A8C9A1D"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Модулът е пряко свързан с формиране на ключовите компетентности и дава възможност за онагледяване, интерактивност, проектна дейност, екипност от страна на учителите и представителите на съответните институции.</w:t>
      </w:r>
    </w:p>
    <w:p w14:paraId="2F0145F2" w14:textId="77777777" w:rsidR="00533926" w:rsidRPr="00AA5833" w:rsidRDefault="00533926" w:rsidP="00533926">
      <w:pPr>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През 2024 г. по модул „Културните, държавните и научни институции като образователна среда” са класирани и финансирани 290 училища. Наблюдава се засилен интерес към дейностите и разширяване на партньорите на училищата. Националният музей на образованието – Габрово, като бенефициент по модула, представя в Министерството на образованието и науката програма за дейности на Националния център „Музейно училище”.</w:t>
      </w:r>
    </w:p>
    <w:p w14:paraId="5EE50E9B"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lang w:eastAsia="bg-BG"/>
        </w:rPr>
      </w:pPr>
      <w:r w:rsidRPr="00AA5833">
        <w:rPr>
          <w:rFonts w:ascii="Times New Roman" w:eastAsia="Times New Roman" w:hAnsi="Times New Roman" w:cs="Times New Roman"/>
          <w:sz w:val="24"/>
          <w:szCs w:val="24"/>
          <w:lang w:eastAsia="bg-BG"/>
        </w:rPr>
        <w:t>Мярката оказва въздействие на училищно и национално ниво.</w:t>
      </w:r>
    </w:p>
    <w:p w14:paraId="146E4B45" w14:textId="77777777" w:rsidR="00533926" w:rsidRPr="00AA5833" w:rsidRDefault="00533926" w:rsidP="00533926">
      <w:pPr>
        <w:spacing w:after="0" w:line="240" w:lineRule="auto"/>
        <w:ind w:firstLine="720"/>
        <w:jc w:val="both"/>
        <w:rPr>
          <w:rFonts w:ascii="Times New Roman" w:eastAsia="Calibri" w:hAnsi="Times New Roman" w:cs="Times New Roman"/>
          <w:sz w:val="24"/>
          <w:szCs w:val="24"/>
          <w:lang w:eastAsia="bg-BG"/>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4B5E8662"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00CC99"/>
            <w:hideMark/>
          </w:tcPr>
          <w:p w14:paraId="664A4C50"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В. Приоритет ІІІ. Постигане на социална кохезия и създаване на равни възможности за пълноценен социален и продуктивен живот за всички социални групи</w:t>
            </w:r>
          </w:p>
        </w:tc>
      </w:tr>
    </w:tbl>
    <w:p w14:paraId="045637F8"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7AB066D4"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7AADDAD0"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Направление 10 – Създаване на условия за равни възможности за пълноценен социален, продуктивен живот за всички социални групи</w:t>
            </w:r>
          </w:p>
        </w:tc>
      </w:tr>
    </w:tbl>
    <w:p w14:paraId="5C65CA3A"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0C80F8D6"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480BEC9C"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lang w:eastAsia="bg-BG"/>
              </w:rPr>
            </w:pPr>
            <w:r w:rsidRPr="00AA5833">
              <w:rPr>
                <w:rFonts w:ascii="Times New Roman" w:eastAsia="Times New Roman" w:hAnsi="Times New Roman" w:cs="Times New Roman"/>
                <w:b/>
                <w:bCs/>
                <w:color w:val="000000"/>
                <w:sz w:val="24"/>
                <w:szCs w:val="24"/>
                <w:lang w:eastAsia="bg-BG"/>
              </w:rPr>
              <w:t>10.1. Разработване и внедряване на система от показатели за проследяване на състоянието и тенденциите по отношение на равнопоставеността и равното третиране</w:t>
            </w:r>
          </w:p>
        </w:tc>
      </w:tr>
    </w:tbl>
    <w:p w14:paraId="4AD6ED41" w14:textId="77777777" w:rsidR="00533926" w:rsidRPr="00AA5833" w:rsidRDefault="00533926" w:rsidP="00533926">
      <w:pPr>
        <w:spacing w:after="0" w:line="240" w:lineRule="auto"/>
        <w:jc w:val="both"/>
        <w:rPr>
          <w:rFonts w:ascii="Times New Roman" w:eastAsia="Calibri" w:hAnsi="Times New Roman" w:cs="Times New Roman"/>
          <w:b/>
          <w:i/>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0D7F1A73"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258A357"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bCs/>
                <w:color w:val="000000"/>
                <w:sz w:val="24"/>
                <w:szCs w:val="24"/>
              </w:rPr>
              <w:t>10.2. Провеждане на целенасочена активна политика на пазара на труда за социална и икономическа интеграция на групи в неравностойно положение в България и отстраняване на неравенства в третирането им на работното място</w:t>
            </w:r>
          </w:p>
        </w:tc>
      </w:tr>
    </w:tbl>
    <w:p w14:paraId="60265916" w14:textId="77777777" w:rsidR="00533926" w:rsidRPr="00AA5833" w:rsidRDefault="00533926" w:rsidP="00533926">
      <w:pPr>
        <w:spacing w:after="0" w:line="240" w:lineRule="auto"/>
        <w:jc w:val="both"/>
        <w:rPr>
          <w:rFonts w:ascii="Times New Roman" w:hAnsi="Times New Roman" w:cs="Times New Roman"/>
          <w:sz w:val="24"/>
          <w:szCs w:val="24"/>
        </w:rPr>
      </w:pPr>
    </w:p>
    <w:p w14:paraId="3A347A6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0A47CFD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УО НА ПРЧР 2021-2027</w:t>
      </w:r>
    </w:p>
    <w:p w14:paraId="7FFCC3C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1EEF288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10.2.1. Операция „Устойчива заетост за хора в неравностойно положение“</w:t>
      </w:r>
    </w:p>
    <w:p w14:paraId="57F33D8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98C468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Операция „Устойчива заетост за хора в неравностойно положение“ е с бюджет от 100 млн. лв. Тя е насочена към хора в неравностойно положение и хора с трайни увреждания, на които ще бъдат осигурени нови работни места, менторство, адаптиране на работните места и транспорт от и до работното място. Допустими кандидати бяха </w:t>
      </w:r>
      <w:r w:rsidRPr="00AA5833">
        <w:rPr>
          <w:rFonts w:ascii="Times New Roman" w:hAnsi="Times New Roman" w:cs="Times New Roman"/>
          <w:color w:val="000000"/>
          <w:sz w:val="24"/>
          <w:szCs w:val="24"/>
        </w:rPr>
        <w:lastRenderedPageBreak/>
        <w:t>работодателите и се очаква над 3 600 лица да бъдат включени в проекти по процедурата. Реалното изпълнение на дейностите стартира в началото на 2025 г.</w:t>
      </w:r>
    </w:p>
    <w:p w14:paraId="057969E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DE08EBF"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4AD1085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УО НА ПРЧР 2021-2027</w:t>
      </w:r>
    </w:p>
    <w:p w14:paraId="503981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92F457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 Операция „Активно приобщаване и достъп до заетост на хора в неравностойно положение“ </w:t>
      </w:r>
    </w:p>
    <w:p w14:paraId="3589051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494AD1A"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bCs/>
          <w:sz w:val="24"/>
          <w:szCs w:val="24"/>
        </w:rPr>
        <w:t>Операция „Активно приобщаване и достъп до заетост на хора в неравностойно положение“</w:t>
      </w:r>
      <w:r w:rsidRPr="00AA5833">
        <w:rPr>
          <w:rFonts w:ascii="Times New Roman" w:hAnsi="Times New Roman" w:cs="Times New Roman"/>
          <w:b/>
          <w:bCs/>
          <w:sz w:val="24"/>
          <w:szCs w:val="24"/>
        </w:rPr>
        <w:t xml:space="preserve"> </w:t>
      </w:r>
      <w:r w:rsidRPr="00AA5833">
        <w:rPr>
          <w:rFonts w:ascii="Times New Roman" w:hAnsi="Times New Roman" w:cs="Times New Roman"/>
          <w:bCs/>
          <w:sz w:val="24"/>
          <w:szCs w:val="24"/>
        </w:rPr>
        <w:t>е с бюджет от 30 млн. лв. и с допустими кандидати неправителствени организации, доставчици на социални услуги. Дейностите включват подкрепа за заетост, обучения за професионална квалификация, „меки“ умения и ключови компетентности, осъществяване на контакти с институции и промяна на нагласите на работодателите спрямо хората в неравностойно положение. Общата стойност на сключените договори е 21 734 935 лв., а до края на 2024 г. са обхванати 2486 лица в неравностойно положение и техните семейства.</w:t>
      </w:r>
    </w:p>
    <w:p w14:paraId="36C19A4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C4996B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6E272E3C"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7025B27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13DB85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10.2.3. Национална програма „Активиране на неактивни лица” </w:t>
      </w:r>
    </w:p>
    <w:p w14:paraId="67D57B0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3DCC563"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Програмата е насочена към активиране и включване на пазара на труда на неактивни лица чрез предоставяне на услуги, съобразени с техните индивидуални потребности. През 2024 г. по програмата средномесечно са работили общо 388 лица, в т.ч. 88 ромски медиатори, 85 младежки медиатори, 24 мениджъри на случай, 25 психолози и 166 организатори в общините. В резултат от реализацията на програмата в бюрата по труда са регистрирани като безработни общо 13 160 неактивни лица. Изразходваните средства от държавния бюджет са в размер на 5 043 968 лв.</w:t>
      </w:r>
    </w:p>
    <w:p w14:paraId="478D094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8A9F058"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7A7603A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1C76496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0E9B48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10.2.4. Национална програма за обучение и заетост на продължително безработни лица </w:t>
      </w:r>
    </w:p>
    <w:p w14:paraId="20BF71E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B81F3C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Програмата допринася за повишаване на пригодността за заетост на продължително безработни лица. Реализира се на територията на страната, с предимство в региони с равнище на безработица над средното за страната за предходната година. Включва два компонента: Компонент 1– за работодатели от частния сектор и Компонент 2– за работодатели от публичния сектор, който обхваща и дейности по наемане на безработни лица за работа в аварийни групи. По програмата се осигурява заетост на продължително безработни лица на пълно или непълно работно време за срок до 12 месеца. През 2024 г. са включени в заетост общо 5 542 лица, от които 400 лица в частния сектор и 5 142 лица в публичния сектор. От включените лица в публичния сектор 4 530 са в аварийни дейности с цел преодоляване на последствията от възникналите пожари в страната, както и превенция и предотвратяване на щетите и възникването на природни бедствия. Изразходваните средства са в размер на 9 073 237 лв.</w:t>
      </w:r>
    </w:p>
    <w:p w14:paraId="7372E3F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9A14158"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lastRenderedPageBreak/>
        <w:t>АГЕНЦИЯ ПО ЗАЕТОСТТА</w:t>
      </w:r>
    </w:p>
    <w:p w14:paraId="5A549E1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B42B3D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10.2.5. Реализиране на Проект „Започвам работа“, Компонент 1 „Активиране“</w:t>
      </w:r>
      <w:r w:rsidRPr="00AA5833">
        <w:rPr>
          <w:rFonts w:ascii="Times New Roman" w:eastAsia="Times New Roman" w:hAnsi="Times New Roman" w:cs="Times New Roman"/>
          <w:b/>
          <w:sz w:val="24"/>
          <w:szCs w:val="24"/>
          <w:lang w:eastAsia="bg-BG"/>
        </w:rPr>
        <w:t xml:space="preserve"> </w:t>
      </w:r>
      <w:r w:rsidRPr="00AA5833">
        <w:rPr>
          <w:rFonts w:ascii="Times New Roman" w:hAnsi="Times New Roman" w:cs="Times New Roman"/>
          <w:b/>
          <w:color w:val="000000"/>
          <w:sz w:val="24"/>
          <w:szCs w:val="24"/>
        </w:rPr>
        <w:t>по П РЧР 2021-2027 г.</w:t>
      </w:r>
    </w:p>
    <w:p w14:paraId="48FB5D1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E2EDE32" w14:textId="77777777" w:rsidR="00533926" w:rsidRPr="00AA5833" w:rsidRDefault="00533926" w:rsidP="00533926">
      <w:pPr>
        <w:spacing w:after="0" w:line="240" w:lineRule="auto"/>
        <w:ind w:firstLine="708"/>
        <w:jc w:val="both"/>
        <w:rPr>
          <w:rFonts w:ascii="Times New Roman" w:eastAsia="Times New Roman" w:hAnsi="Times New Roman" w:cs="Times New Roman"/>
          <w:bCs/>
          <w:iCs/>
          <w:sz w:val="24"/>
          <w:szCs w:val="24"/>
          <w:lang w:eastAsia="bg-BG"/>
        </w:rPr>
      </w:pPr>
      <w:r w:rsidRPr="00AA5833">
        <w:rPr>
          <w:rFonts w:ascii="Times New Roman" w:eastAsia="Times New Roman" w:hAnsi="Times New Roman" w:cs="Times New Roman"/>
          <w:bCs/>
          <w:iCs/>
          <w:sz w:val="24"/>
          <w:szCs w:val="24"/>
          <w:lang w:eastAsia="bg-BG"/>
        </w:rPr>
        <w:t xml:space="preserve">Целевата група по проект са икономически неактивни лица на възраст от 16 до 65 навършени години. Проектът цели осигуряване на цялостен пакет от мерки, свързани с интеграцията на пазара на труда на неактивни лица с акцент върху лица в неравностойно положение. По проекта се предвижда да се изпълнят конкретни задачи за предоставяне на подходящи, достъпни и качествени комплексни услуги за активно поведение, мотивация за труд, информиране, консултиране, психологическо подпомагане, участие в трудови борси, насочване към започване на работа, подходящо обучение или валидиране на знания, умения и компетентности. </w:t>
      </w:r>
      <w:r w:rsidRPr="00AA5833">
        <w:rPr>
          <w:rFonts w:ascii="Times New Roman" w:eastAsia="Times New Roman" w:hAnsi="Times New Roman" w:cs="Times New Roman"/>
          <w:b/>
          <w:bCs/>
          <w:iCs/>
          <w:sz w:val="24"/>
          <w:szCs w:val="24"/>
          <w:lang w:eastAsia="bg-BG"/>
        </w:rPr>
        <w:t>Създадените Клубове за активиране</w:t>
      </w:r>
      <w:r w:rsidRPr="00AA5833">
        <w:rPr>
          <w:rFonts w:ascii="Times New Roman" w:eastAsia="Times New Roman" w:hAnsi="Times New Roman" w:cs="Times New Roman"/>
          <w:bCs/>
          <w:iCs/>
          <w:sz w:val="24"/>
          <w:szCs w:val="24"/>
          <w:lang w:eastAsia="bg-BG"/>
        </w:rPr>
        <w:t xml:space="preserve"> развиват и прилагат дейности за ускоряване на прехода от пасивно към активно поведение на пазара на труда. Създаването на тези Клубове е иновативна дейност. </w:t>
      </w:r>
      <w:r w:rsidRPr="00AA5833">
        <w:rPr>
          <w:rFonts w:ascii="Times New Roman" w:eastAsia="Times New Roman" w:hAnsi="Times New Roman" w:cs="Times New Roman"/>
          <w:b/>
          <w:bCs/>
          <w:iCs/>
          <w:sz w:val="24"/>
          <w:szCs w:val="24"/>
          <w:lang w:eastAsia="bg-BG"/>
        </w:rPr>
        <w:t>След първите 6 Клуба, през 2024 г. Агенцията по заетостта разкри още 8 нови звена</w:t>
      </w:r>
      <w:r w:rsidRPr="00AA5833">
        <w:rPr>
          <w:rFonts w:ascii="Times New Roman" w:eastAsia="Times New Roman" w:hAnsi="Times New Roman" w:cs="Times New Roman"/>
          <w:bCs/>
          <w:iCs/>
          <w:sz w:val="24"/>
          <w:szCs w:val="24"/>
          <w:lang w:eastAsia="bg-BG"/>
        </w:rPr>
        <w:t>, в общините Каварна, Радомир, Враца, Видин, Казанлък, Мъглиж, Кърджали и Ботевград. С новите Клубове, които са ситуирани извън бюрата по труда АЗ, се достига до тези неактивни лица, които не желаят административен подход при обслужването. Новите активатори са сред тях, на тяхна територия и на достъпен за тях език обясняват за предимствата след регистрация в бюрото по труда и „излизането на светло“, като им съдействат за търсене на работа, включване в програми и проекти, в обучения и т.н.</w:t>
      </w:r>
    </w:p>
    <w:p w14:paraId="170F0FC4" w14:textId="77777777" w:rsidR="00533926" w:rsidRPr="00AA5833" w:rsidRDefault="00533926" w:rsidP="00533926">
      <w:pPr>
        <w:spacing w:after="0" w:line="240" w:lineRule="auto"/>
        <w:ind w:firstLine="708"/>
        <w:jc w:val="both"/>
        <w:rPr>
          <w:rFonts w:ascii="Times New Roman" w:eastAsia="Times New Roman" w:hAnsi="Times New Roman" w:cs="Times New Roman"/>
          <w:b/>
          <w:bCs/>
          <w:iCs/>
          <w:sz w:val="24"/>
          <w:szCs w:val="24"/>
          <w:lang w:eastAsia="bg-BG"/>
        </w:rPr>
      </w:pPr>
      <w:r w:rsidRPr="00AA5833">
        <w:rPr>
          <w:rFonts w:ascii="Times New Roman" w:eastAsia="Times New Roman" w:hAnsi="Times New Roman" w:cs="Times New Roman"/>
          <w:bCs/>
          <w:iCs/>
          <w:sz w:val="24"/>
          <w:szCs w:val="24"/>
          <w:lang w:eastAsia="bg-BG"/>
        </w:rPr>
        <w:t xml:space="preserve">През 2024 г. продължиха дейностите по идентифициране и активиране на лица от целевата група. През 2024 г. по проекта са </w:t>
      </w:r>
      <w:r w:rsidRPr="00AA5833">
        <w:rPr>
          <w:rFonts w:ascii="Times New Roman" w:eastAsia="Times New Roman" w:hAnsi="Times New Roman" w:cs="Times New Roman"/>
          <w:b/>
          <w:bCs/>
          <w:iCs/>
          <w:sz w:val="24"/>
          <w:szCs w:val="24"/>
          <w:lang w:eastAsia="bg-BG"/>
        </w:rPr>
        <w:t>включени 14 902 неактивни лица</w:t>
      </w:r>
      <w:r w:rsidRPr="00AA5833">
        <w:rPr>
          <w:rFonts w:ascii="Times New Roman" w:eastAsia="Times New Roman" w:hAnsi="Times New Roman" w:cs="Times New Roman"/>
          <w:bCs/>
          <w:iCs/>
          <w:sz w:val="24"/>
          <w:szCs w:val="24"/>
          <w:lang w:eastAsia="bg-BG"/>
        </w:rPr>
        <w:t xml:space="preserve">, от които </w:t>
      </w:r>
      <w:r w:rsidRPr="00AA5833">
        <w:rPr>
          <w:rFonts w:ascii="Times New Roman" w:eastAsia="Times New Roman" w:hAnsi="Times New Roman" w:cs="Times New Roman"/>
          <w:b/>
          <w:bCs/>
          <w:iCs/>
          <w:sz w:val="24"/>
          <w:szCs w:val="24"/>
          <w:lang w:eastAsia="bg-BG"/>
        </w:rPr>
        <w:t xml:space="preserve">14 235 са активирани и са започнали да търсят работа. </w:t>
      </w:r>
    </w:p>
    <w:p w14:paraId="37DC7F63" w14:textId="77777777" w:rsidR="00533926" w:rsidRPr="00AA5833" w:rsidRDefault="00533926" w:rsidP="00533926">
      <w:pPr>
        <w:spacing w:after="0" w:line="240" w:lineRule="auto"/>
        <w:ind w:firstLine="708"/>
        <w:jc w:val="both"/>
        <w:rPr>
          <w:rFonts w:ascii="Times New Roman" w:eastAsia="Times New Roman" w:hAnsi="Times New Roman" w:cs="Times New Roman"/>
          <w:bCs/>
          <w:iCs/>
          <w:sz w:val="24"/>
          <w:szCs w:val="24"/>
          <w:lang w:eastAsia="bg-BG"/>
        </w:rPr>
      </w:pPr>
      <w:r w:rsidRPr="00AA5833">
        <w:rPr>
          <w:rFonts w:ascii="Times New Roman" w:eastAsia="Times New Roman" w:hAnsi="Times New Roman" w:cs="Times New Roman"/>
          <w:bCs/>
          <w:iCs/>
          <w:sz w:val="24"/>
          <w:szCs w:val="24"/>
          <w:lang w:eastAsia="bg-BG"/>
        </w:rPr>
        <w:t xml:space="preserve">От януари 2024 г. стартира изпълнението на Дейност 4 „Формиране на мобилни екипи с цел информиране, активиране и установяване на връзки с неактивни лица”, като през 2024 г. </w:t>
      </w:r>
      <w:r w:rsidRPr="00AA5833">
        <w:rPr>
          <w:rFonts w:ascii="Times New Roman" w:eastAsia="Times New Roman" w:hAnsi="Times New Roman" w:cs="Times New Roman"/>
          <w:b/>
          <w:bCs/>
          <w:iCs/>
          <w:sz w:val="24"/>
          <w:szCs w:val="24"/>
          <w:lang w:eastAsia="bg-BG"/>
        </w:rPr>
        <w:t>мобилните екипи по проекта са извършили 1 118 посещения</w:t>
      </w:r>
      <w:r w:rsidRPr="00AA5833">
        <w:rPr>
          <w:rFonts w:ascii="Times New Roman" w:eastAsia="Times New Roman" w:hAnsi="Times New Roman" w:cs="Times New Roman"/>
          <w:bCs/>
          <w:iCs/>
          <w:sz w:val="24"/>
          <w:szCs w:val="24"/>
          <w:lang w:eastAsia="bg-BG"/>
        </w:rPr>
        <w:t xml:space="preserve"> на територията на цялата страна.</w:t>
      </w:r>
    </w:p>
    <w:p w14:paraId="210FC0C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46239AC"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774B76F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51FC8C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10.2.6. Реализиране на Проект „Започвам работа“, Компонент 2 „Обучение“ по П РЧР 2021-2027 г.</w:t>
      </w:r>
    </w:p>
    <w:p w14:paraId="4F658B0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593492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Целта на проекта е безработни и неактивни лица да бъдат включвани в обучения за придобиване на професионална квалификация и за придобиване на ключови компетентности, като впоследствие бъдат насочвани към включване в заетост.</w:t>
      </w:r>
    </w:p>
    <w:p w14:paraId="7E69830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През месец юли 2024 г. стартира приемът на заявления на лицата от целевата група по проекта. През 2024 г. са подадени общо 2 925 броя заявления от безработни и неактивни лица, желаещи да се обучават по ключова компетентност/професионална квалификация по част от професия на обща стойност 3 053 469,10 лв. Броят на издадените ваучери е 1 295, на обща стойност 1 153 834,20 лв.</w:t>
      </w:r>
    </w:p>
    <w:p w14:paraId="30D4900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5A6AA1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45D7579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148410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10.2.7. Реализиране на Проект „Започвам работа“, Компонент 3 „Заетост“ по П РЧР 2021-2027 г.</w:t>
      </w:r>
    </w:p>
    <w:p w14:paraId="7BF2949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43B147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lastRenderedPageBreak/>
        <w:tab/>
        <w:t>Основната цел на проекта е осигуряване на цялостен пакет от мерки, насочени към интеграция на пазара на труда на неактивни и безработни лица с акцент върху лицата в неравностойно положение, чрез включване на лицата от целевите групи, регистрирани в Дирекции „Бюро по труда</w:t>
      </w:r>
      <w:r w:rsidRPr="00AA5833">
        <w:rPr>
          <w:rFonts w:ascii="Times New Roman" w:hAnsi="Times New Roman" w:cs="Times New Roman"/>
          <w:bCs/>
          <w:color w:val="000000"/>
          <w:sz w:val="24"/>
          <w:szCs w:val="24"/>
        </w:rPr>
        <w:t>”</w:t>
      </w:r>
      <w:r w:rsidRPr="00AA5833">
        <w:rPr>
          <w:rFonts w:ascii="Times New Roman" w:hAnsi="Times New Roman" w:cs="Times New Roman"/>
          <w:color w:val="000000"/>
          <w:sz w:val="24"/>
          <w:szCs w:val="24"/>
        </w:rPr>
        <w:t xml:space="preserve">, в заетост при работодател, посредством прилагане на индивидуален подход. </w:t>
      </w:r>
    </w:p>
    <w:p w14:paraId="098BCD5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С реализирането на дейностите по проекта ще се намали броя на неактивните и безработни лица на пазара на труда и ще се отговори на потребностите на работодателите от работна сила. За включените по проекта лица се предоставят средства за осигуряване на субсидирана заетост. В случай, че лицата бъдат запазени на работните си места ще бъдат предоставени стимули за работодателите.</w:t>
      </w:r>
    </w:p>
    <w:p w14:paraId="5351C62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iCs/>
          <w:color w:val="000000"/>
          <w:sz w:val="24"/>
          <w:szCs w:val="24"/>
        </w:rPr>
        <w:tab/>
        <w:t>Представители на целевата група по Проекта са безработни лица и неактивни лица; безработни и неактивни лица в неравностойно положение и безработни и неактивни лица с трайни увреждания (лица с установена степен на намалена работоспособност/вид и степен на увреждане 75 и над 75 на сто).</w:t>
      </w:r>
    </w:p>
    <w:p w14:paraId="032C3C9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Cs/>
          <w:iCs/>
          <w:color w:val="000000"/>
          <w:sz w:val="24"/>
          <w:szCs w:val="24"/>
        </w:rPr>
        <w:tab/>
        <w:t>Активно действащите договори за заетост по проект „Започвам Работа – Компонент 3 „Заетост“ от стартирането му до 31.12.2024 г. са 3 064 броя на обща стойност 149 713 816 лв., за осигуряване на заетост на 6 966 лица.</w:t>
      </w:r>
    </w:p>
    <w:p w14:paraId="531DF01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E9127EF"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61B5CA6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6237FD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10.2.8. Реализиране на Проект „Дигитални умения“ </w:t>
      </w:r>
    </w:p>
    <w:p w14:paraId="6AEBC5C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20E398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Целта на проекта е подобряване на дигиталните умения на неактивни и безработни лица, вкл. младежи чрез включването им в обучения. Операцията допринася за изпълнението на Зелената сделка чрез подготовка на кадри за използване на нови технологии и дигитални услуги, които намаляват карбоновия отпечатък върху околната среда.</w:t>
      </w:r>
    </w:p>
    <w:p w14:paraId="26C0F34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Дейностите по проекта включват:</w:t>
      </w:r>
    </w:p>
    <w:p w14:paraId="5342273D" w14:textId="77777777" w:rsidR="00533926" w:rsidRPr="00AA5833" w:rsidRDefault="00533926" w:rsidP="002A598C">
      <w:pPr>
        <w:numPr>
          <w:ilvl w:val="0"/>
          <w:numId w:val="97"/>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Обучение на служителите на АЗ по прилагане на инструментите и програмите, свързани с дигиталните умения.</w:t>
      </w:r>
    </w:p>
    <w:p w14:paraId="2BE82255" w14:textId="77777777" w:rsidR="00533926" w:rsidRPr="00AA5833" w:rsidRDefault="00533926" w:rsidP="002A598C">
      <w:pPr>
        <w:numPr>
          <w:ilvl w:val="0"/>
          <w:numId w:val="97"/>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Предоставяне на обучения за общи дигитални умения на базово и/или средно равнище (нива 1-4 по DigComp  за неактивни лица). </w:t>
      </w:r>
    </w:p>
    <w:p w14:paraId="0379E230" w14:textId="77777777" w:rsidR="00533926" w:rsidRPr="00AA5833" w:rsidRDefault="00533926" w:rsidP="002A598C">
      <w:pPr>
        <w:numPr>
          <w:ilvl w:val="0"/>
          <w:numId w:val="97"/>
        </w:numPr>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Предоставяне на обучения за напреднало и високоспециализирано равнище (нива 5-8 по DigComp за безработни лица). </w:t>
      </w:r>
    </w:p>
    <w:p w14:paraId="75E6ED9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Към края на 2024 г. предстои стартиране на прием на заявления от страна на лицата от целевата група и включването им в обучения по проекта.</w:t>
      </w:r>
    </w:p>
    <w:p w14:paraId="3736268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371E7EF"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33DB873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7DEA56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i/>
          <w:color w:val="000000"/>
          <w:sz w:val="24"/>
          <w:szCs w:val="24"/>
        </w:rPr>
      </w:pPr>
      <w:r w:rsidRPr="00AA5833">
        <w:rPr>
          <w:rFonts w:ascii="Times New Roman" w:hAnsi="Times New Roman" w:cs="Times New Roman"/>
          <w:b/>
          <w:color w:val="000000"/>
          <w:sz w:val="24"/>
          <w:szCs w:val="24"/>
        </w:rPr>
        <w:t>10.2.9. Реализиране на Проект „Квалификация, умения и кариерно развитие на заети лица“ по П РЧР 2021-2027 г.</w:t>
      </w:r>
    </w:p>
    <w:p w14:paraId="037BBC7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CF980C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По проекта се предоставя подкрепа за професионално развитие и гъвкави възможности за обучение за повишаване на професионалната квалификация и уменията, вкл. дигиталните, на служители, които са наети на трудово или служебно правоотношение, както и на самостоятелно заети лица.</w:t>
      </w:r>
    </w:p>
    <w:p w14:paraId="4ACE864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През месец май 2024 г. стартира приемът на заявления по проекта. През 2024 г. постъпилите заявления от желаещи да се обучават по ключова компетентност/професия/част от професия са 44 562, с обща стойност 47 596 228 лв. </w:t>
      </w:r>
      <w:r w:rsidRPr="00AA5833">
        <w:rPr>
          <w:rFonts w:ascii="Times New Roman" w:hAnsi="Times New Roman" w:cs="Times New Roman"/>
          <w:color w:val="000000"/>
          <w:sz w:val="24"/>
          <w:szCs w:val="24"/>
        </w:rPr>
        <w:lastRenderedPageBreak/>
        <w:t>Одобрените заявления са 35 255 броя, на стойност 32 998 257,20 лв. Включени в обучение са 13 444 лица.</w:t>
      </w:r>
    </w:p>
    <w:p w14:paraId="7001EA7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48BE80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56518C31"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117C155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04C30E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10.2.10.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 </w:t>
      </w:r>
    </w:p>
    <w:p w14:paraId="65FDF16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A21E4B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включва лица от следните групи: безработни младежи до 29-год. възраст (вкл.), продължително безработни лица, безработни лица с трайни увреждания, безработни лица – родители (осиновители), безработни лица, изтърпели наказание лишаване от свобода, безработни над 55-год. възраст, безработни лица с основно или по-ниско образование и безработни лица без професионална квалификация. </w:t>
      </w:r>
    </w:p>
    <w:p w14:paraId="614F1498"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През 2024 г. по чл. 36 от ЗНЗ е осигурена заетост на </w:t>
      </w:r>
      <w:r w:rsidRPr="00AA5833">
        <w:rPr>
          <w:rFonts w:ascii="Times New Roman" w:eastAsia="Times New Roman" w:hAnsi="Times New Roman" w:cs="Times New Roman"/>
          <w:b/>
          <w:iCs/>
          <w:sz w:val="24"/>
          <w:szCs w:val="24"/>
          <w:lang w:eastAsia="bg-BG"/>
        </w:rPr>
        <w:t>1 326</w:t>
      </w:r>
      <w:r w:rsidRPr="00AA5833">
        <w:rPr>
          <w:rFonts w:ascii="Times New Roman" w:eastAsia="Times New Roman" w:hAnsi="Times New Roman" w:cs="Times New Roman"/>
          <w:iCs/>
          <w:sz w:val="24"/>
          <w:szCs w:val="24"/>
          <w:lang w:eastAsia="bg-BG"/>
        </w:rPr>
        <w:t xml:space="preserve"> безработни лица от групите лица в неравностойно положение на пазара на труда. Изразходваните финансови средства са в размер на 4 727 840 лв.</w:t>
      </w:r>
    </w:p>
    <w:p w14:paraId="31D5F13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792ED2B"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5AA17AF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7FF62DD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248829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10.2.11. Насърчаване на работодателите да наемат безработни лица от групите в неравностойно положение на пазара на труда чрез предоставяне на средства за ментор (чл. 36, ал. 3 от ЗНЗ) </w:t>
      </w:r>
    </w:p>
    <w:p w14:paraId="52C6C8C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F113FAE" w14:textId="77777777" w:rsidR="00533926" w:rsidRPr="00AA5833" w:rsidRDefault="00533926" w:rsidP="00533926">
      <w:pPr>
        <w:spacing w:after="0" w:line="240" w:lineRule="auto"/>
        <w:ind w:firstLine="709"/>
        <w:jc w:val="both"/>
        <w:rPr>
          <w:rFonts w:ascii="Times New Roman" w:eastAsia="Times New Roman" w:hAnsi="Times New Roman" w:cs="Times New Roman"/>
          <w:b/>
          <w:iCs/>
          <w:sz w:val="24"/>
          <w:szCs w:val="24"/>
          <w:lang w:eastAsia="bg-BG"/>
        </w:rPr>
      </w:pPr>
      <w:r w:rsidRPr="00AA5833">
        <w:rPr>
          <w:rFonts w:ascii="Times New Roman" w:eastAsia="Times New Roman" w:hAnsi="Times New Roman" w:cs="Times New Roman"/>
          <w:iCs/>
          <w:sz w:val="24"/>
          <w:szCs w:val="24"/>
          <w:lang w:eastAsia="bg-BG"/>
        </w:rPr>
        <w:t xml:space="preserve">На работодателите, наели лица от групите в неравностойно положение на пазара на труда са предоставени финансови средства в размер на 295 584 лв. за осигурени </w:t>
      </w:r>
      <w:r w:rsidRPr="00AA5833">
        <w:rPr>
          <w:rFonts w:ascii="Times New Roman" w:eastAsia="Times New Roman" w:hAnsi="Times New Roman" w:cs="Times New Roman"/>
          <w:b/>
          <w:iCs/>
          <w:sz w:val="24"/>
          <w:szCs w:val="24"/>
          <w:lang w:eastAsia="bg-BG"/>
        </w:rPr>
        <w:t>354 ментори.</w:t>
      </w:r>
    </w:p>
    <w:p w14:paraId="43C4B15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BD3C96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36E2E8E9"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3A0E00C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64156E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10.2.12. Реализиране на програми и насърчителни мерки за заетост, насочени към безработни лица с трайни увреждания (Национална програма за заетост и обучение на хора с трайни увреждания и чл. 51, ал. 2 от ЗНЗ) </w:t>
      </w:r>
    </w:p>
    <w:p w14:paraId="53AF5F4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9E77A65"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През 2024 г. продължи изпълнението на </w:t>
      </w:r>
      <w:r w:rsidRPr="00AA5833">
        <w:rPr>
          <w:rFonts w:ascii="Times New Roman" w:eastAsia="Times New Roman" w:hAnsi="Times New Roman" w:cs="Times New Roman"/>
          <w:b/>
          <w:iCs/>
          <w:sz w:val="24"/>
          <w:szCs w:val="24"/>
          <w:lang w:eastAsia="bg-BG"/>
        </w:rPr>
        <w:t>Национална програма за заетост и обучение на хора с трайни увреждания</w:t>
      </w:r>
      <w:r w:rsidRPr="00AA5833">
        <w:rPr>
          <w:rFonts w:ascii="Times New Roman" w:eastAsia="Times New Roman" w:hAnsi="Times New Roman" w:cs="Times New Roman"/>
          <w:iCs/>
          <w:sz w:val="24"/>
          <w:szCs w:val="24"/>
          <w:lang w:eastAsia="bg-BG"/>
        </w:rPr>
        <w:t xml:space="preserve">, включена в НПДЗ 2024 г. Националната програма осигурява възможности за заетост на регистрирани в Дирекции „Бюро по труда” безработни лица с трайни увреждания или на лица, преминали успешно курс на лечение за зависимост към наркотични вещества в трудоспособна възраст, като предпоставка за преодоляване на социалната им изолация и за пълноценното им интегриране в обществото. Програмата е с период на субсидиране на заетостта не по-малък от 24 месеца. </w:t>
      </w:r>
    </w:p>
    <w:p w14:paraId="104F265F"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Програмата има позитивен ефект, както за хората с трайни уреждания от една страна, така и за работодателите. Програмата ежегодно дава възможност за трудова реализация на хората с трайни увреждания и на работодателите да използват потенциала на работната сила на хората с увреждания.</w:t>
      </w:r>
    </w:p>
    <w:p w14:paraId="477FCE66"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lastRenderedPageBreak/>
        <w:t xml:space="preserve">През 2024 г. е осигурена заетостта на </w:t>
      </w:r>
      <w:r w:rsidRPr="00AA5833">
        <w:rPr>
          <w:rFonts w:ascii="Times New Roman" w:eastAsia="Times New Roman" w:hAnsi="Times New Roman" w:cs="Times New Roman"/>
          <w:b/>
          <w:iCs/>
          <w:sz w:val="24"/>
          <w:szCs w:val="24"/>
          <w:lang w:eastAsia="bg-BG"/>
        </w:rPr>
        <w:t>1 759</w:t>
      </w:r>
      <w:r w:rsidRPr="00AA5833">
        <w:rPr>
          <w:rFonts w:ascii="Times New Roman" w:eastAsia="Times New Roman" w:hAnsi="Times New Roman" w:cs="Times New Roman"/>
          <w:iCs/>
          <w:sz w:val="24"/>
          <w:szCs w:val="24"/>
          <w:lang w:eastAsia="bg-BG"/>
        </w:rPr>
        <w:t xml:space="preserve"> лица, от които нововключени са 635 лица. Изразходвани са средства в размер на 13 224 286 лв.</w:t>
      </w:r>
    </w:p>
    <w:p w14:paraId="0D1DE843"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Мярката по чл. 51, ал. 2 от ЗНЗ</w:t>
      </w:r>
      <w:r w:rsidRPr="00AA5833">
        <w:rPr>
          <w:rFonts w:ascii="Times New Roman" w:eastAsia="Times New Roman" w:hAnsi="Times New Roman" w:cs="Times New Roman"/>
          <w:b/>
          <w:iCs/>
          <w:sz w:val="24"/>
          <w:szCs w:val="24"/>
          <w:lang w:eastAsia="bg-BG"/>
        </w:rPr>
        <w:t xml:space="preserve"> </w:t>
      </w:r>
      <w:r w:rsidRPr="00AA5833">
        <w:rPr>
          <w:rFonts w:ascii="Times New Roman" w:eastAsia="Times New Roman" w:hAnsi="Times New Roman" w:cs="Times New Roman"/>
          <w:iCs/>
          <w:sz w:val="24"/>
          <w:szCs w:val="24"/>
          <w:lang w:eastAsia="bg-BG"/>
        </w:rPr>
        <w:t>се предоставя под формата на схема за държавна помощ за наемане на безработни лица с увреждания при спазване на изискванията на Регламент (ЕС) № 651/2014 и регламентите на ЕС, които го изменят, допълват или заменят. Субсидията, която се отпуска за финансиране е за не по-малко от 3 и не повече от 12 месеца, като се предоставят суми в размер до 75 на сто от допустимите разходи за периода на субсидиране.</w:t>
      </w:r>
    </w:p>
    <w:p w14:paraId="4F64179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iCs/>
          <w:sz w:val="24"/>
          <w:szCs w:val="24"/>
          <w:lang w:eastAsia="bg-BG"/>
        </w:rPr>
        <w:t xml:space="preserve">През 2024 г. е осигурена заетостта на </w:t>
      </w:r>
      <w:r w:rsidRPr="00AA5833">
        <w:rPr>
          <w:rFonts w:ascii="Times New Roman" w:eastAsia="Times New Roman" w:hAnsi="Times New Roman" w:cs="Times New Roman"/>
          <w:b/>
          <w:iCs/>
          <w:sz w:val="24"/>
          <w:szCs w:val="24"/>
          <w:lang w:eastAsia="bg-BG"/>
        </w:rPr>
        <w:t>313</w:t>
      </w:r>
      <w:r w:rsidRPr="00AA5833">
        <w:rPr>
          <w:rFonts w:ascii="Times New Roman" w:eastAsia="Times New Roman" w:hAnsi="Times New Roman" w:cs="Times New Roman"/>
          <w:iCs/>
          <w:sz w:val="24"/>
          <w:szCs w:val="24"/>
          <w:lang w:eastAsia="bg-BG"/>
        </w:rPr>
        <w:t xml:space="preserve"> лица, в т.ч. 168 нововключени лица и 145 лица, които продължават да работят от предходната година. Изразходваните средства са в размер на 1 641 085 лв.</w:t>
      </w:r>
    </w:p>
    <w:p w14:paraId="4DE935F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6C7731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2C95E0B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0CDB87C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CF4C45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10.2.13.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w:t>
      </w:r>
    </w:p>
    <w:p w14:paraId="351C4E4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9F33D54" w14:textId="77777777" w:rsidR="00533926" w:rsidRPr="00AA5833" w:rsidRDefault="00533926" w:rsidP="00533926">
      <w:pPr>
        <w:spacing w:after="0" w:line="240" w:lineRule="auto"/>
        <w:ind w:firstLine="851"/>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Една от групите в неравностойно положение на пазара на труда, дефинирани в §1, т.4а от Допълнителните разпоредби на Закона за насърчаване на заетостта, които приоритетно се насочват към програми и мерки за обучение и заетост, </w:t>
      </w:r>
      <w:r w:rsidRPr="00AA5833">
        <w:rPr>
          <w:rFonts w:ascii="Times New Roman" w:eastAsia="Times New Roman" w:hAnsi="Times New Roman" w:cs="Times New Roman"/>
          <w:b/>
          <w:sz w:val="24"/>
          <w:szCs w:val="24"/>
          <w:lang w:eastAsia="bg-BG"/>
        </w:rPr>
        <w:t>обхваща безработни лица с трайни увреждания.</w:t>
      </w:r>
      <w:r w:rsidRPr="00AA5833">
        <w:rPr>
          <w:rFonts w:ascii="Times New Roman" w:eastAsia="Times New Roman" w:hAnsi="Times New Roman" w:cs="Times New Roman"/>
          <w:sz w:val="24"/>
          <w:szCs w:val="24"/>
          <w:lang w:eastAsia="bg-BG"/>
        </w:rPr>
        <w:t xml:space="preserve"> Те са целева група и по насърчителната мярка, регламентирана в разпоредбата на чл. 36 от Закона за насърчаване на заетостта, която се финансира със средства от държавния бюджет. Мярката обединява стимули за работодатели, които осигуряват заетост на лица от неравнопоставените групи на пазара на труда, възможности за обучение за надграждане на знания и умения и подпомагане от ментор за адаптация към трудовия процес. През 2024 г. в заетост по условията на мярката са включени 55 безработни лица с трайни увреждания. Изразходваните средства от държавния бюджет са в размер на 173 672 лв.</w:t>
      </w:r>
    </w:p>
    <w:p w14:paraId="238482F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DA0906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03D0770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6F72A5B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C4D93A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10.2.14.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 </w:t>
      </w:r>
    </w:p>
    <w:p w14:paraId="67269D3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F6A83F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Една от групите в неравностойно положение на пазара на труда, дефинирани в §1, т.4а от Допълнителните разпоредби на Закона за насърчаване на заетостта, които приоритетно се насочват към програми и мерки за обучение и заетост, обхваща </w:t>
      </w:r>
      <w:r w:rsidRPr="00AA5833">
        <w:rPr>
          <w:rFonts w:ascii="Times New Roman" w:eastAsia="Times New Roman" w:hAnsi="Times New Roman" w:cs="Times New Roman"/>
          <w:b/>
          <w:sz w:val="24"/>
          <w:szCs w:val="24"/>
          <w:lang w:eastAsia="bg-BG"/>
        </w:rPr>
        <w:t>продължително безработни лица</w:t>
      </w:r>
      <w:r w:rsidRPr="00AA5833">
        <w:rPr>
          <w:rFonts w:ascii="Times New Roman" w:eastAsia="Times New Roman" w:hAnsi="Times New Roman" w:cs="Times New Roman"/>
          <w:sz w:val="24"/>
          <w:szCs w:val="24"/>
          <w:lang w:eastAsia="bg-BG"/>
        </w:rPr>
        <w:t xml:space="preserve">. Те са целева група и по насърчителната мярка, регламентирана в разпоредбата на чл. 36 от Закона за насърчаване на заетостта, която се финансира със средства от държавния бюджет. Мярката обединява стимули за работодатели, които осигуряват заетост на лица от неравнопоставените групи на пазара на труда, възможности за обучение за надграждане на знания и умения и подпомагане от ментор за адаптация към трудовия процес. През 2024 г. в заетост по условията на мярката </w:t>
      </w:r>
      <w:r w:rsidRPr="00AA5833">
        <w:rPr>
          <w:rFonts w:ascii="Times New Roman" w:eastAsia="Times New Roman" w:hAnsi="Times New Roman" w:cs="Times New Roman"/>
          <w:sz w:val="24"/>
          <w:szCs w:val="24"/>
          <w:lang w:eastAsia="bg-BG"/>
        </w:rPr>
        <w:lastRenderedPageBreak/>
        <w:t>са включени 131 продължително безработни лица. Изразходваните средства от ДБ са в размер на 519 572 лв.</w:t>
      </w:r>
    </w:p>
    <w:p w14:paraId="4454DED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6F6991C"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3D5C6BF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1DA69D5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BEE54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10.2.15.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 </w:t>
      </w:r>
    </w:p>
    <w:p w14:paraId="2131E9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2C855E7"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в заетост по условията на мярката са включени 338 безработни лица с </w:t>
      </w:r>
      <w:r w:rsidRPr="00AA5833">
        <w:rPr>
          <w:rFonts w:ascii="Times New Roman" w:eastAsia="Times New Roman" w:hAnsi="Times New Roman" w:cs="Times New Roman"/>
          <w:b/>
          <w:sz w:val="24"/>
          <w:szCs w:val="24"/>
          <w:lang w:eastAsia="bg-BG"/>
        </w:rPr>
        <w:t>основно или по-ниско образование</w:t>
      </w:r>
      <w:r w:rsidRPr="00AA5833">
        <w:rPr>
          <w:rFonts w:ascii="Times New Roman" w:eastAsia="Times New Roman" w:hAnsi="Times New Roman" w:cs="Times New Roman"/>
          <w:sz w:val="24"/>
          <w:szCs w:val="24"/>
          <w:lang w:eastAsia="bg-BG"/>
        </w:rPr>
        <w:t>. Изразходваните средства от ДБ са в размер на 1 243 232 лв.</w:t>
      </w:r>
    </w:p>
    <w:p w14:paraId="2A942F06"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11DCC43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5D5F1218"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2346067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0723A8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10.2.16. Насърчаване на работодателите да наемат безработни лица от групите в неравностойно положение на пазара на труда, чрез предоставяне на средства за трудови възнаграждения, социални и здравни осигуровки, средства за професионално обучение и средства за отговорно лице (ментор) (чл. 36 от ЗНЗ) </w:t>
      </w:r>
    </w:p>
    <w:p w14:paraId="493D05B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5113D2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в заетост по условията на мярката са включени </w:t>
      </w:r>
      <w:r w:rsidRPr="00AA5833">
        <w:rPr>
          <w:rFonts w:ascii="Times New Roman" w:eastAsia="Times New Roman" w:hAnsi="Times New Roman" w:cs="Times New Roman"/>
          <w:b/>
          <w:sz w:val="24"/>
          <w:szCs w:val="24"/>
          <w:lang w:eastAsia="bg-BG"/>
        </w:rPr>
        <w:t>296 безработни лица без професионална квалификация</w:t>
      </w:r>
      <w:r w:rsidRPr="00AA5833">
        <w:rPr>
          <w:rFonts w:ascii="Times New Roman" w:eastAsia="Times New Roman" w:hAnsi="Times New Roman" w:cs="Times New Roman"/>
          <w:sz w:val="24"/>
          <w:szCs w:val="24"/>
          <w:lang w:eastAsia="bg-BG"/>
        </w:rPr>
        <w:t>. Изразходваните средства от ДБ са в размер на 1 081 473 лв.</w:t>
      </w:r>
    </w:p>
    <w:p w14:paraId="4164152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78C490B"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1BDAF69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3A332FF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8C4BFA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10.2.17. Подобряване на пригодността за заетост на безработните лица, чрез включване в дуална система на обучение (обучение чрез работа чл. 46а от ЗНЗ)</w:t>
      </w:r>
    </w:p>
    <w:p w14:paraId="0EF9FD4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775834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Насърчителната мярка се прилага в подкрепа на безработни лица без квалификация. Съгласно разпоредбата на чл. 46а от ЗНЗ за разкрито работно място за обучение чрез работа (дуална система на обучение), организирано по реда на Закона за професионалното образование и обучение, на което е наето безработно лице, на работодателя се предоставят средства за определен период. През 2024 г. е осигурено обучение и заетост на 248 безработни лица. Изразходваните средства от държавния бюджет са в размер на 1 005 604 лв.</w:t>
      </w:r>
    </w:p>
    <w:p w14:paraId="623AEEE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9EBC3C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34C3459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4250D16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17EFED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10.2.18. Насърчаване на работодателите да разкриват работни места за стажуване (чл. 46 от ЗНЗ)</w:t>
      </w:r>
    </w:p>
    <w:p w14:paraId="7003597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B8B2E00"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се прилага за обучение на работното място чрез стажуване на безработни лица. През 2024 г. по мярката е осигурена заетост на </w:t>
      </w:r>
      <w:r w:rsidRPr="00AA5833">
        <w:rPr>
          <w:rFonts w:ascii="Times New Roman" w:eastAsia="Times New Roman" w:hAnsi="Times New Roman" w:cs="Times New Roman"/>
          <w:b/>
          <w:sz w:val="24"/>
          <w:szCs w:val="24"/>
          <w:lang w:eastAsia="bg-BG"/>
        </w:rPr>
        <w:t>17</w:t>
      </w:r>
      <w:r w:rsidRPr="00AA5833">
        <w:rPr>
          <w:rFonts w:ascii="Times New Roman" w:eastAsia="Times New Roman" w:hAnsi="Times New Roman" w:cs="Times New Roman"/>
          <w:sz w:val="24"/>
          <w:szCs w:val="24"/>
          <w:lang w:eastAsia="bg-BG"/>
        </w:rPr>
        <w:t xml:space="preserve"> лица. Изразходваните средства от ДБ са в размер на 79 223 лв.</w:t>
      </w:r>
    </w:p>
    <w:p w14:paraId="357089D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965072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73CF206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6C1BF29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735F0B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10.2.19. Насърчаване на заетостта на групите в неравностойно положение на пазара на труда (чл. 51, ал. 1 и чл. 55д ) </w:t>
      </w:r>
    </w:p>
    <w:p w14:paraId="3B601A9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E997C1"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По условията на мярката по </w:t>
      </w:r>
      <w:r w:rsidRPr="00AA5833">
        <w:rPr>
          <w:rFonts w:ascii="Times New Roman" w:eastAsia="Times New Roman" w:hAnsi="Times New Roman" w:cs="Times New Roman"/>
          <w:b/>
          <w:iCs/>
          <w:sz w:val="24"/>
          <w:szCs w:val="24"/>
          <w:lang w:eastAsia="bg-BG"/>
        </w:rPr>
        <w:t>чл. 51, ал. 1 от ЗНЗ</w:t>
      </w:r>
      <w:r w:rsidRPr="00AA5833">
        <w:rPr>
          <w:rFonts w:ascii="Times New Roman" w:eastAsia="Times New Roman" w:hAnsi="Times New Roman" w:cs="Times New Roman"/>
          <w:iCs/>
          <w:sz w:val="24"/>
          <w:szCs w:val="24"/>
          <w:lang w:eastAsia="bg-BG"/>
        </w:rPr>
        <w:t xml:space="preserve"> се насърчават работодателите да наемат безработни лица от неравнопоставените групи на пазара на труда. Заетостта се субсидира за период не по-малко от 3 и не повече от 12 месеца. През 2024 г. по условията на мярката е осигурена заетост на общо </w:t>
      </w:r>
      <w:r w:rsidRPr="00AA5833">
        <w:rPr>
          <w:rFonts w:ascii="Times New Roman" w:eastAsia="Times New Roman" w:hAnsi="Times New Roman" w:cs="Times New Roman"/>
          <w:b/>
          <w:iCs/>
          <w:sz w:val="24"/>
          <w:szCs w:val="24"/>
          <w:lang w:eastAsia="bg-BG"/>
        </w:rPr>
        <w:t xml:space="preserve">443 </w:t>
      </w:r>
      <w:r w:rsidRPr="00AA5833">
        <w:rPr>
          <w:rFonts w:ascii="Times New Roman" w:eastAsia="Times New Roman" w:hAnsi="Times New Roman" w:cs="Times New Roman"/>
          <w:iCs/>
          <w:sz w:val="24"/>
          <w:szCs w:val="24"/>
          <w:lang w:eastAsia="bg-BG"/>
        </w:rPr>
        <w:t>лица. Изразходваните средства от държавния бюджет са в размер на 1 819 546 лв.</w:t>
      </w:r>
    </w:p>
    <w:p w14:paraId="4C6FB316" w14:textId="77777777" w:rsidR="00533926" w:rsidRPr="00AA5833" w:rsidRDefault="00533926" w:rsidP="00533926">
      <w:pPr>
        <w:spacing w:after="0" w:line="240" w:lineRule="auto"/>
        <w:ind w:firstLine="709"/>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 xml:space="preserve">Мярката по </w:t>
      </w:r>
      <w:r w:rsidRPr="00AA5833">
        <w:rPr>
          <w:rFonts w:ascii="Times New Roman" w:eastAsia="Times New Roman" w:hAnsi="Times New Roman" w:cs="Times New Roman"/>
          <w:b/>
          <w:iCs/>
          <w:sz w:val="24"/>
          <w:szCs w:val="24"/>
          <w:lang w:eastAsia="bg-BG"/>
        </w:rPr>
        <w:t>чл. 55д от ЗНЗ</w:t>
      </w:r>
      <w:r w:rsidRPr="00AA5833">
        <w:rPr>
          <w:rFonts w:ascii="Times New Roman" w:eastAsia="Times New Roman" w:hAnsi="Times New Roman" w:cs="Times New Roman"/>
          <w:iCs/>
          <w:sz w:val="24"/>
          <w:szCs w:val="24"/>
          <w:lang w:eastAsia="bg-BG"/>
        </w:rPr>
        <w:t xml:space="preserve"> стимулира разкриването на „зелени работни места“, свързани с производството на стоки и предоставянето на услуги, които подпомагат опазването на околната среда. През годината в заетост по условията на мярката са включени </w:t>
      </w:r>
      <w:r w:rsidRPr="00AA5833">
        <w:rPr>
          <w:rFonts w:ascii="Times New Roman" w:eastAsia="Times New Roman" w:hAnsi="Times New Roman" w:cs="Times New Roman"/>
          <w:b/>
          <w:iCs/>
          <w:sz w:val="24"/>
          <w:szCs w:val="24"/>
          <w:lang w:eastAsia="bg-BG"/>
        </w:rPr>
        <w:t xml:space="preserve">12 </w:t>
      </w:r>
      <w:r w:rsidRPr="00AA5833">
        <w:rPr>
          <w:rFonts w:ascii="Times New Roman" w:eastAsia="Times New Roman" w:hAnsi="Times New Roman" w:cs="Times New Roman"/>
          <w:iCs/>
          <w:sz w:val="24"/>
          <w:szCs w:val="24"/>
          <w:lang w:eastAsia="bg-BG"/>
        </w:rPr>
        <w:t>безработни лица. Изразходваните средства от ДБ са в размер на 39 358 лв.</w:t>
      </w:r>
    </w:p>
    <w:p w14:paraId="7436231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BED09D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2FA03B5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3110C96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C0B3D9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10.2.20. Интегриране на пазара на труда на икономически неактивните лица в трудоспособна възраст, вкл. на младежи, които не са заети и не участват в образование и обучение (Национална програма „Активиране на неактивни лица“)</w:t>
      </w:r>
    </w:p>
    <w:p w14:paraId="0647E85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FA9E4F8" w14:textId="77777777" w:rsidR="00533926" w:rsidRPr="00AA5833" w:rsidRDefault="00533926" w:rsidP="00533926">
      <w:pPr>
        <w:spacing w:after="0" w:line="240" w:lineRule="auto"/>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iCs/>
          <w:sz w:val="24"/>
          <w:szCs w:val="24"/>
          <w:lang w:eastAsia="bg-BG"/>
        </w:rPr>
        <w:tab/>
        <w:t xml:space="preserve">Основна цел на </w:t>
      </w:r>
      <w:r w:rsidRPr="00AA5833">
        <w:rPr>
          <w:rFonts w:ascii="Times New Roman" w:eastAsia="Times New Roman" w:hAnsi="Times New Roman" w:cs="Times New Roman"/>
          <w:b/>
          <w:iCs/>
          <w:sz w:val="24"/>
          <w:szCs w:val="24"/>
          <w:lang w:eastAsia="bg-BG"/>
        </w:rPr>
        <w:t>Национална програма „Активиране на неактивни лица</w:t>
      </w:r>
      <w:r w:rsidRPr="00AA5833">
        <w:rPr>
          <w:rFonts w:ascii="Times New Roman" w:eastAsia="Times New Roman" w:hAnsi="Times New Roman" w:cs="Times New Roman"/>
          <w:b/>
          <w:i/>
          <w:iCs/>
          <w:sz w:val="24"/>
          <w:szCs w:val="24"/>
          <w:lang w:eastAsia="bg-BG"/>
        </w:rPr>
        <w:t>”</w:t>
      </w:r>
      <w:r w:rsidRPr="00AA5833">
        <w:rPr>
          <w:rFonts w:ascii="Times New Roman" w:eastAsia="Times New Roman" w:hAnsi="Times New Roman" w:cs="Times New Roman"/>
          <w:iCs/>
          <w:sz w:val="24"/>
          <w:szCs w:val="24"/>
          <w:lang w:eastAsia="bg-BG"/>
        </w:rPr>
        <w:t xml:space="preserve"> е активиране и включване на пазара на труда на неактивни, в т.ч. обезкуражени, и на безработни лица посредством индивидуално и групово прилагане на инструменти и услуги за привличането и мотивирането им да се регистрират в дирекциите „Бюро по труда” и насърчаване на включването им в обучение и/или заетост. В дългосрочен план се цели социална интеграция на икономически неактивните лица в трудоспособна възраст и на безработните от уязвимите групи на пазара на труда, както и намаляване на риска от бедност сред тези лицата. През 2024 г. по програмата </w:t>
      </w:r>
      <w:r w:rsidRPr="00AA5833">
        <w:rPr>
          <w:rFonts w:ascii="Times New Roman" w:eastAsia="Times New Roman" w:hAnsi="Times New Roman" w:cs="Times New Roman"/>
          <w:b/>
          <w:iCs/>
          <w:sz w:val="24"/>
          <w:szCs w:val="24"/>
          <w:lang w:eastAsia="bg-BG"/>
        </w:rPr>
        <w:t>средномесечно са работили</w:t>
      </w:r>
      <w:r w:rsidRPr="00AA5833">
        <w:rPr>
          <w:rFonts w:ascii="Times New Roman" w:eastAsia="Times New Roman" w:hAnsi="Times New Roman" w:cs="Times New Roman"/>
          <w:iCs/>
          <w:sz w:val="24"/>
          <w:szCs w:val="24"/>
          <w:lang w:eastAsia="bg-BG"/>
        </w:rPr>
        <w:t xml:space="preserve"> общо </w:t>
      </w:r>
      <w:r w:rsidRPr="00AA5833">
        <w:rPr>
          <w:rFonts w:ascii="Times New Roman" w:eastAsia="Times New Roman" w:hAnsi="Times New Roman" w:cs="Times New Roman"/>
          <w:b/>
          <w:iCs/>
          <w:sz w:val="24"/>
          <w:szCs w:val="24"/>
          <w:lang w:eastAsia="bg-BG"/>
        </w:rPr>
        <w:t>388 лица</w:t>
      </w:r>
      <w:r w:rsidRPr="00AA5833">
        <w:rPr>
          <w:rFonts w:ascii="Times New Roman" w:eastAsia="Times New Roman" w:hAnsi="Times New Roman" w:cs="Times New Roman"/>
          <w:iCs/>
          <w:sz w:val="24"/>
          <w:szCs w:val="24"/>
          <w:lang w:eastAsia="bg-BG"/>
        </w:rPr>
        <w:t xml:space="preserve">, в т.ч. 88 ромски медиатори, 85 младежки медиатори, 24 мениджъри на случай, 25 психолози и 166 организатори в общините. </w:t>
      </w:r>
      <w:r w:rsidRPr="00AA5833">
        <w:rPr>
          <w:rFonts w:ascii="Times New Roman" w:eastAsia="Times New Roman" w:hAnsi="Times New Roman" w:cs="Times New Roman"/>
          <w:b/>
          <w:iCs/>
          <w:sz w:val="24"/>
          <w:szCs w:val="24"/>
          <w:lang w:eastAsia="bg-BG"/>
        </w:rPr>
        <w:t>В резултат от реализацията на програмата</w:t>
      </w:r>
      <w:r w:rsidRPr="00AA5833">
        <w:rPr>
          <w:rFonts w:ascii="Times New Roman" w:eastAsia="Times New Roman" w:hAnsi="Times New Roman" w:cs="Times New Roman"/>
          <w:iCs/>
          <w:sz w:val="24"/>
          <w:szCs w:val="24"/>
          <w:lang w:eastAsia="bg-BG"/>
        </w:rPr>
        <w:t xml:space="preserve"> </w:t>
      </w:r>
      <w:r w:rsidRPr="00AA5833">
        <w:rPr>
          <w:rFonts w:ascii="Times New Roman" w:eastAsia="Times New Roman" w:hAnsi="Times New Roman" w:cs="Times New Roman"/>
          <w:b/>
          <w:iCs/>
          <w:sz w:val="24"/>
          <w:szCs w:val="24"/>
          <w:lang w:eastAsia="bg-BG"/>
        </w:rPr>
        <w:t>в ДБТ са регистрирани като безработни общо 13 160</w:t>
      </w:r>
      <w:r w:rsidRPr="00AA5833" w:rsidDel="006418A0">
        <w:rPr>
          <w:rFonts w:ascii="Times New Roman" w:eastAsia="Times New Roman" w:hAnsi="Times New Roman" w:cs="Times New Roman"/>
          <w:b/>
          <w:i/>
          <w:iCs/>
          <w:sz w:val="24"/>
          <w:szCs w:val="24"/>
          <w:lang w:eastAsia="bg-BG"/>
        </w:rPr>
        <w:t xml:space="preserve"> </w:t>
      </w:r>
      <w:r w:rsidRPr="00AA5833">
        <w:rPr>
          <w:rFonts w:ascii="Times New Roman" w:eastAsia="Times New Roman" w:hAnsi="Times New Roman" w:cs="Times New Roman"/>
          <w:b/>
          <w:iCs/>
          <w:sz w:val="24"/>
          <w:szCs w:val="24"/>
          <w:lang w:eastAsia="bg-BG"/>
        </w:rPr>
        <w:t>неактивни лица</w:t>
      </w:r>
      <w:r w:rsidRPr="00AA5833">
        <w:rPr>
          <w:rFonts w:ascii="Times New Roman" w:eastAsia="Times New Roman" w:hAnsi="Times New Roman" w:cs="Times New Roman"/>
          <w:iCs/>
          <w:sz w:val="24"/>
          <w:szCs w:val="24"/>
          <w:lang w:eastAsia="bg-BG"/>
        </w:rPr>
        <w:t>. Изразходваните средства от ДБ са в размер на 5 043 968 лв.</w:t>
      </w:r>
    </w:p>
    <w:p w14:paraId="03C1C5E1" w14:textId="77777777" w:rsidR="007D00CF" w:rsidRDefault="007D00CF" w:rsidP="007D00CF">
      <w:pPr>
        <w:spacing w:after="0" w:line="240" w:lineRule="auto"/>
        <w:jc w:val="both"/>
        <w:rPr>
          <w:rFonts w:ascii="Times New Roman" w:hAnsi="Times New Roman" w:cs="Times New Roman"/>
          <w:sz w:val="24"/>
          <w:szCs w:val="24"/>
        </w:rPr>
      </w:pPr>
    </w:p>
    <w:p w14:paraId="3BD0FCA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5B79DAE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6CCEAA6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F6C01E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10.2.21. Насърчаване на безработни лица да развиват дейности като предприемачи чрез предоставяне на суми, съгласно одобрен бизнес проект, суми за квалификация и съпътстващи услуги (чл. 47, ал. 4, чл. 49, ал.1, чл. 49б и чл. 49, ал.4 от ЗНЗ)</w:t>
      </w:r>
    </w:p>
    <w:p w14:paraId="7D9164F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4DDB291A"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продължава реализацията на мерките от ЗНЗ, насочени към насърчаване на предприемачеството сред безработните лица, като </w:t>
      </w:r>
      <w:r w:rsidRPr="00AA5833">
        <w:rPr>
          <w:rFonts w:ascii="Times New Roman" w:eastAsia="Times New Roman" w:hAnsi="Times New Roman" w:cs="Times New Roman"/>
          <w:b/>
          <w:sz w:val="24"/>
          <w:szCs w:val="24"/>
          <w:lang w:eastAsia="bg-BG"/>
        </w:rPr>
        <w:t xml:space="preserve">общо по тях са се възползвали 608 </w:t>
      </w:r>
      <w:r w:rsidRPr="00AA5833">
        <w:rPr>
          <w:rFonts w:ascii="Times New Roman" w:eastAsia="Times New Roman" w:hAnsi="Times New Roman" w:cs="Times New Roman"/>
          <w:sz w:val="24"/>
          <w:szCs w:val="24"/>
          <w:lang w:eastAsia="bg-BG"/>
        </w:rPr>
        <w:t xml:space="preserve">безработни лица. Изразходваните средства от ДБ са в размер на 1 148 772 лв. </w:t>
      </w:r>
    </w:p>
    <w:p w14:paraId="6BC4AE7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От </w:t>
      </w:r>
      <w:r w:rsidRPr="00AA5833">
        <w:rPr>
          <w:rFonts w:ascii="Times New Roman" w:eastAsia="Times New Roman" w:hAnsi="Times New Roman" w:cs="Times New Roman"/>
          <w:b/>
          <w:sz w:val="24"/>
          <w:szCs w:val="24"/>
          <w:lang w:eastAsia="bg-BG"/>
        </w:rPr>
        <w:t>мярката по чл. 49, ал. 1 от ЗНЗ</w:t>
      </w:r>
      <w:r w:rsidRPr="00AA5833">
        <w:rPr>
          <w:rFonts w:ascii="Times New Roman" w:eastAsia="Times New Roman" w:hAnsi="Times New Roman" w:cs="Times New Roman"/>
          <w:sz w:val="24"/>
          <w:szCs w:val="24"/>
          <w:lang w:eastAsia="bg-BG"/>
        </w:rPr>
        <w:t xml:space="preserve"> са се възползвали общо 188 лица, като 130 от тях са нови, започнали самостоятелна стопанска дейност като микропредприятия. Изразходваните средства от ДБ са в размер на 618 592 лв. </w:t>
      </w:r>
    </w:p>
    <w:p w14:paraId="7366449A"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 xml:space="preserve">От лицата, сключили договор с АЗ и регистрирали микропредприятие </w:t>
      </w:r>
      <w:r w:rsidRPr="00AA5833">
        <w:rPr>
          <w:rFonts w:ascii="Times New Roman" w:eastAsia="Times New Roman" w:hAnsi="Times New Roman" w:cs="Times New Roman"/>
          <w:b/>
          <w:sz w:val="24"/>
          <w:szCs w:val="24"/>
          <w:lang w:eastAsia="bg-BG"/>
        </w:rPr>
        <w:t>(чл. 49, ал. 4 от ЗНЗ),</w:t>
      </w:r>
      <w:r w:rsidRPr="00AA5833">
        <w:rPr>
          <w:rFonts w:ascii="Times New Roman" w:eastAsia="Times New Roman" w:hAnsi="Times New Roman" w:cs="Times New Roman"/>
          <w:sz w:val="24"/>
          <w:szCs w:val="24"/>
          <w:lang w:eastAsia="bg-BG"/>
        </w:rPr>
        <w:t xml:space="preserve"> общо 363, 124 от които нови са сключили анекс за изплащане на допълнителни месечни суми за внесени осигурителни вноски за фонд “Пенсии”, ДЗПО и НЗОК върху минималния размер на месечния осигурителен доход за самоосигуряващите се лица, съгласно Закона за бюджета на ДОО и НЗОК за съответната година. Изразходваните средства от ДБ са в размер на 508 774 лв.</w:t>
      </w:r>
    </w:p>
    <w:p w14:paraId="3562B07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Възстановени са разходите за ползвани </w:t>
      </w:r>
      <w:r w:rsidRPr="00AA5833">
        <w:rPr>
          <w:rFonts w:ascii="Times New Roman" w:eastAsia="Times New Roman" w:hAnsi="Times New Roman" w:cs="Times New Roman"/>
          <w:b/>
          <w:bCs/>
          <w:sz w:val="24"/>
          <w:szCs w:val="24"/>
          <w:lang w:eastAsia="bg-BG"/>
        </w:rPr>
        <w:t>външни консултантски услуги и/или съпътстващи услуги</w:t>
      </w:r>
      <w:r w:rsidRPr="00AA5833">
        <w:rPr>
          <w:rFonts w:ascii="Times New Roman" w:eastAsia="Times New Roman" w:hAnsi="Times New Roman" w:cs="Times New Roman"/>
          <w:sz w:val="24"/>
          <w:szCs w:val="24"/>
          <w:lang w:eastAsia="bg-BG"/>
        </w:rPr>
        <w:t>, съгласно утвърдена номенклатура и лимити от Съвета за сътрудничество (СС) към ДБТ (</w:t>
      </w:r>
      <w:r w:rsidRPr="00AA5833">
        <w:rPr>
          <w:rFonts w:ascii="Times New Roman" w:eastAsia="Times New Roman" w:hAnsi="Times New Roman" w:cs="Times New Roman"/>
          <w:b/>
          <w:sz w:val="24"/>
          <w:szCs w:val="24"/>
          <w:lang w:eastAsia="bg-BG"/>
        </w:rPr>
        <w:t>чл. 49б от ЗНЗ</w:t>
      </w:r>
      <w:r w:rsidRPr="00AA5833">
        <w:rPr>
          <w:rFonts w:ascii="Times New Roman" w:eastAsia="Times New Roman" w:hAnsi="Times New Roman" w:cs="Times New Roman"/>
          <w:sz w:val="24"/>
          <w:szCs w:val="24"/>
          <w:lang w:eastAsia="bg-BG"/>
        </w:rPr>
        <w:t>) на общо 57 безработни, получили еднократна сума за стартиране на собствен бизнес.</w:t>
      </w:r>
    </w:p>
    <w:p w14:paraId="2618D46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199EB2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28DE3E29"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7103775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D05691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10.2.22. Насърчаване на работодатели - микропредприятия да разкриват работни места, като се субсидират първите 5 разкрити работни места (чл.50 от ЗНЗ) </w:t>
      </w:r>
    </w:p>
    <w:p w14:paraId="439E862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38C7ED9" w14:textId="77777777" w:rsidR="00533926" w:rsidRPr="00AA5833" w:rsidRDefault="00533926" w:rsidP="00533926">
      <w:pPr>
        <w:spacing w:after="0" w:line="240" w:lineRule="auto"/>
        <w:jc w:val="both"/>
        <w:rPr>
          <w:rFonts w:ascii="Times New Roman" w:eastAsia="Times New Roman" w:hAnsi="Times New Roman" w:cs="Times New Roman"/>
          <w:bCs/>
          <w:iCs/>
          <w:sz w:val="24"/>
          <w:szCs w:val="24"/>
          <w:lang w:eastAsia="bg-BG"/>
        </w:rPr>
      </w:pPr>
      <w:r w:rsidRPr="00AA5833">
        <w:rPr>
          <w:rFonts w:ascii="Times New Roman" w:eastAsia="Times New Roman" w:hAnsi="Times New Roman" w:cs="Times New Roman"/>
          <w:bCs/>
          <w:iCs/>
          <w:sz w:val="24"/>
          <w:szCs w:val="24"/>
          <w:lang w:eastAsia="bg-BG"/>
        </w:rPr>
        <w:t xml:space="preserve">Мярката за насърчаване на работодатели-микропредприятия да разкриват работни места като се субсидират първите 5 разкрити работни места </w:t>
      </w:r>
      <w:r w:rsidRPr="00AA5833">
        <w:rPr>
          <w:rFonts w:ascii="Times New Roman" w:eastAsia="Times New Roman" w:hAnsi="Times New Roman" w:cs="Times New Roman"/>
          <w:b/>
          <w:bCs/>
          <w:iCs/>
          <w:sz w:val="24"/>
          <w:szCs w:val="24"/>
          <w:lang w:eastAsia="bg-BG"/>
        </w:rPr>
        <w:t>(чл.50 от ЗНЗ)</w:t>
      </w:r>
      <w:r w:rsidRPr="00AA5833">
        <w:rPr>
          <w:rFonts w:ascii="Times New Roman" w:eastAsia="Times New Roman" w:hAnsi="Times New Roman" w:cs="Times New Roman"/>
          <w:bCs/>
          <w:iCs/>
          <w:sz w:val="24"/>
          <w:szCs w:val="24"/>
          <w:lang w:eastAsia="bg-BG"/>
        </w:rPr>
        <w:t xml:space="preserve">, осигурява подкрепа за най-малките икономически субекти, голяма част от тях нови предприемачи. През 2024 г. със средства от ДБ са финансирани част от разходите за трудово възнаграждение и допълнителни плащания по трудовото и осигурително законодателство, като е </w:t>
      </w:r>
      <w:r w:rsidRPr="00AA5833">
        <w:rPr>
          <w:rFonts w:ascii="Times New Roman" w:eastAsia="Times New Roman" w:hAnsi="Times New Roman" w:cs="Times New Roman"/>
          <w:b/>
          <w:bCs/>
          <w:iCs/>
          <w:sz w:val="24"/>
          <w:szCs w:val="24"/>
          <w:lang w:eastAsia="bg-BG"/>
        </w:rPr>
        <w:t>осигурена заетост на 121 лица</w:t>
      </w:r>
      <w:r w:rsidRPr="00AA5833">
        <w:rPr>
          <w:rFonts w:ascii="Times New Roman" w:eastAsia="Times New Roman" w:hAnsi="Times New Roman" w:cs="Times New Roman"/>
          <w:bCs/>
          <w:iCs/>
          <w:sz w:val="24"/>
          <w:szCs w:val="24"/>
          <w:lang w:eastAsia="bg-BG"/>
        </w:rPr>
        <w:t>, 112 от които нови. Изразходваните средства от ДБ са в размер на 451 440 лв.</w:t>
      </w:r>
    </w:p>
    <w:p w14:paraId="2FEB230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AAB6F0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4DCE3A5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7BA06E7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4BBF10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10.2.23. Насърчаване на работодателите да разкриват работни места за чиракуване чрез предоставяне на средства за трудови възнаграждения, социални и здравни осигуровки (чл. 55г от ЗНЗ) </w:t>
      </w:r>
    </w:p>
    <w:p w14:paraId="4919785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12BB98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Целевата група обхваща безработни лица с основно или по-ниско образование и без квалификация. По условията на мярката се разкриват работни места за чиракуване под ръководството на наставник. През 2024 г. по мярката е осигурена заетост на </w:t>
      </w:r>
      <w:r w:rsidRPr="00AA5833">
        <w:rPr>
          <w:rFonts w:ascii="Times New Roman" w:eastAsia="Times New Roman" w:hAnsi="Times New Roman" w:cs="Times New Roman"/>
          <w:b/>
          <w:sz w:val="24"/>
          <w:szCs w:val="24"/>
          <w:lang w:eastAsia="bg-BG"/>
        </w:rPr>
        <w:t>43</w:t>
      </w:r>
      <w:r w:rsidRPr="00AA5833">
        <w:rPr>
          <w:rFonts w:ascii="Times New Roman" w:eastAsia="Times New Roman" w:hAnsi="Times New Roman" w:cs="Times New Roman"/>
          <w:sz w:val="24"/>
          <w:szCs w:val="24"/>
          <w:lang w:eastAsia="bg-BG"/>
        </w:rPr>
        <w:t xml:space="preserve"> лица, като са изразходвани средства в размер на 170 657 лв. Осигурено е и допълнително трудово възнаграждение на 21 наставника, в размер на 29 666 лв.</w:t>
      </w:r>
    </w:p>
    <w:p w14:paraId="3578D1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6FA855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03D9817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4A47A03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p>
    <w:p w14:paraId="38D9775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10.2.24. Включване на безработни лица в обучение и заетост чрез проекти, реализирани от социалните партньори през 2024 г. (КНСБ, КТ „Подкрепа“, АИКБ, БТПП, БСК, КРИБ и ССИ)</w:t>
      </w:r>
    </w:p>
    <w:p w14:paraId="09C3B13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371C9A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b/>
          <w:color w:val="000000"/>
          <w:sz w:val="24"/>
          <w:szCs w:val="24"/>
        </w:rPr>
        <w:tab/>
      </w:r>
      <w:r w:rsidRPr="00AA5833">
        <w:rPr>
          <w:rFonts w:ascii="Times New Roman" w:hAnsi="Times New Roman" w:cs="Times New Roman"/>
          <w:color w:val="000000"/>
          <w:sz w:val="24"/>
          <w:szCs w:val="24"/>
        </w:rPr>
        <w:t xml:space="preserve">Включване в обучение и заетост на безработни лица от уязвими групи на пазара на труда се осъществи и чрез проекти, реализирани от национално представителните </w:t>
      </w:r>
      <w:r w:rsidRPr="00AA5833">
        <w:rPr>
          <w:rFonts w:ascii="Times New Roman" w:hAnsi="Times New Roman" w:cs="Times New Roman"/>
          <w:color w:val="000000"/>
          <w:sz w:val="24"/>
          <w:szCs w:val="24"/>
        </w:rPr>
        <w:lastRenderedPageBreak/>
        <w:t>организации на работодателите и на работниците и служителите. Проектите „Достойно бъдеще” (АИКБ), „Ефективни мерки за заетост” (БСК), „УТРЕ-Успешна трудова реализация“ (БТПП), „Знания и умения за работа - 3” (КРИБ), „Знаем и можем повече“ (ССИ), „Шанс за зелена и социална заетост” (КНСБ) и “Хоризонти 9“ (КТ „Подкрепа”) са насочени към подобряване качеството на работната сила и повишаване предлагането на квалифицирани кадри, в съответствие с търсенето на бизнеса. Чрез тях се прилага комплекс от взаимосвързани мерки за целенасочено въздействие върху уязвимите групи на пазара на труда, което да допринесе за намаляване на неравновесията между предлагането и търсенето на работна сила. Предоставят се обучения за придобиване на професионална квалификация по търсени от работодателите професии, обучения по ключови компетентности, стажуване на работно място за придобиване на практически умения по професията, субсидирана заетост и заетост на първичния пазар на труда. Голяма част от безработните лица, успешно завършили професионално обучение се наемат за период не по-малък от 3 месеца на първичния пазар на труда. През 2024 г. в изпълнение на проектите в обучение са включени 6 285 безработни лица. Изразходвани са от ДБ средства в размер на 9 298 381 лв.</w:t>
      </w:r>
    </w:p>
    <w:p w14:paraId="2F5189C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6201C31"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78E66FC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3B5ACEF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5C2402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10.2.25. Намаляване на регионалните различия в заетостта чрез подкрепа за включване в заетост на лицата от неравнопоставените групи на местния пазар на труда (Регионални програми за заетост)</w:t>
      </w:r>
    </w:p>
    <w:p w14:paraId="282500E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E9F54E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iCs/>
          <w:color w:val="000000"/>
          <w:sz w:val="24"/>
          <w:szCs w:val="24"/>
        </w:rPr>
      </w:pPr>
      <w:r w:rsidRPr="00AA5833">
        <w:rPr>
          <w:rFonts w:ascii="Times New Roman" w:hAnsi="Times New Roman" w:cs="Times New Roman"/>
          <w:iCs/>
          <w:color w:val="000000"/>
          <w:sz w:val="24"/>
          <w:szCs w:val="24"/>
        </w:rPr>
        <w:tab/>
        <w:t>Законът за насърчаване на заетостта предвижда реализирането на една Регионална програма за всяка административна област. Целта е програмите да допринесат за повишаване на заетостта, намаляване на безработицата и повишаване качеството на работната сила в регионите и подобряване на социално-икономическата интеграция на групите в неравностойно положение на пазара на труда. Регионалните програми целят преди всичко справяне с местните проблеми на пазара на труда и осигуряване на устойчива заетост. Работодателите могат да наемат безработните лица на пълно или непълно работно време.</w:t>
      </w:r>
    </w:p>
    <w:p w14:paraId="3188553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iCs/>
          <w:color w:val="000000"/>
          <w:sz w:val="24"/>
          <w:szCs w:val="24"/>
        </w:rPr>
        <w:tab/>
        <w:t>През 2024 г. по Регионалните програми е осигурена заетостта на 2 911 безработни лица за период от 3 до 6 месеца. Изразходваните средства от ДБ са в размер на 12 559 000 лв.</w:t>
      </w:r>
    </w:p>
    <w:p w14:paraId="563912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68CEF3F"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47C343A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2906B8C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1EC829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10.2.26. Реализиране на Национална програма „Мелпомена” </w:t>
      </w:r>
    </w:p>
    <w:p w14:paraId="695AA6D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5BF1A43" w14:textId="77777777" w:rsidR="00533926" w:rsidRPr="00AA5833" w:rsidRDefault="00533926" w:rsidP="00533926">
      <w:pPr>
        <w:spacing w:after="0" w:line="240" w:lineRule="auto"/>
        <w:jc w:val="both"/>
        <w:rPr>
          <w:rFonts w:ascii="Times New Roman" w:eastAsia="Times New Roman" w:hAnsi="Times New Roman" w:cs="Times New Roman"/>
          <w:iCs/>
          <w:sz w:val="24"/>
          <w:szCs w:val="24"/>
          <w:lang w:eastAsia="bg-BG"/>
        </w:rPr>
      </w:pPr>
      <w:r w:rsidRPr="00AA5833">
        <w:rPr>
          <w:rFonts w:ascii="Times New Roman" w:eastAsia="Times New Roman" w:hAnsi="Times New Roman" w:cs="Times New Roman"/>
          <w:b/>
          <w:iCs/>
          <w:sz w:val="24"/>
          <w:szCs w:val="24"/>
          <w:lang w:eastAsia="bg-BG"/>
        </w:rPr>
        <w:t>Програма „Мелпомена”</w:t>
      </w:r>
      <w:r w:rsidRPr="00AA5833">
        <w:rPr>
          <w:rFonts w:ascii="Times New Roman" w:eastAsia="Times New Roman" w:hAnsi="Times New Roman" w:cs="Times New Roman"/>
          <w:iCs/>
          <w:sz w:val="24"/>
          <w:szCs w:val="24"/>
          <w:lang w:eastAsia="bg-BG"/>
        </w:rPr>
        <w:t xml:space="preserve"> цели увеличаване на заетостта чрез разкриване на работни места за подпомагане дейността на театрите в България. Обект на програмата са безработни лица със специфичен опит, професионална квалификация, знания и умения в областта на театралното изкуство. През 2024 г. е осигурена заетостта на общо 551 лица, от които </w:t>
      </w:r>
      <w:r w:rsidRPr="00AA5833">
        <w:rPr>
          <w:rFonts w:ascii="Times New Roman" w:eastAsia="Times New Roman" w:hAnsi="Times New Roman" w:cs="Times New Roman"/>
          <w:b/>
          <w:iCs/>
          <w:sz w:val="24"/>
          <w:szCs w:val="24"/>
          <w:lang w:eastAsia="bg-BG"/>
        </w:rPr>
        <w:t xml:space="preserve">нововключени са 307 безработни лица и 244 лица </w:t>
      </w:r>
      <w:r w:rsidRPr="00AA5833">
        <w:rPr>
          <w:rFonts w:ascii="Times New Roman" w:eastAsia="Times New Roman" w:hAnsi="Times New Roman" w:cs="Times New Roman"/>
          <w:iCs/>
          <w:sz w:val="24"/>
          <w:szCs w:val="24"/>
          <w:lang w:eastAsia="bg-BG"/>
        </w:rPr>
        <w:t>са от предходната година. Изразходваните средства от ДБ са в размер на 3 255 468 лв.</w:t>
      </w:r>
    </w:p>
    <w:p w14:paraId="1F5F67D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A2055DD"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358ACB3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28A1CA5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DCB75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10.2.27. Реализиране на Национална програма за обучение и заетост на бежанци</w:t>
      </w:r>
    </w:p>
    <w:p w14:paraId="6B72338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72EF73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Национална програма за обучение и заетост на бежанци подпомага интеграцията на пазара на труда на безработни лица, придобили статут на бежанец или хуманитарен статут чрез включване в обучение по български език, обучение за придобиване на професионална квалификация и осигуряване на заетост. Програмата допринася и за повишаване капацитета за работа с бежанци на областни и общински администрации, транзитни и регистрационно-приемателни центрове. През 2024 г. по програмата е осигурена заетост на 33 лица, от които 17 са нововключени. Изразходваните средства от ДБ са в размер на 177 400 лв.</w:t>
      </w:r>
    </w:p>
    <w:p w14:paraId="7FCDDB1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75B7F8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2C37A33A"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ПО ЗАЕТОСТТА</w:t>
      </w:r>
    </w:p>
    <w:p w14:paraId="6D7DAB5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923A03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10.2.28. Реализиране на обучение на възрастни в Центъра за развитие на човешките ресурси и регионални инициативи </w:t>
      </w:r>
    </w:p>
    <w:p w14:paraId="36C750CD"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bCs/>
          <w:iCs/>
          <w:sz w:val="24"/>
          <w:szCs w:val="24"/>
        </w:rPr>
      </w:pPr>
    </w:p>
    <w:p w14:paraId="17739FFE"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bCs/>
          <w:iCs/>
          <w:sz w:val="24"/>
          <w:szCs w:val="24"/>
        </w:rPr>
      </w:pPr>
      <w:r w:rsidRPr="00AA5833">
        <w:rPr>
          <w:rFonts w:ascii="Times New Roman" w:hAnsi="Times New Roman" w:cs="Times New Roman"/>
          <w:bCs/>
          <w:iCs/>
          <w:sz w:val="24"/>
          <w:szCs w:val="24"/>
        </w:rPr>
        <w:tab/>
        <w:t>Чрез реализирането на обученията на възрастни в Центъра за развитие на човешките ресурси и регионални инициативи (ЦРЧРРИ) се цели повишаване на пригодността за заетост на безработни лица чрез включване в обучение за придобиване на професионална квалификация и ключови компетентности.</w:t>
      </w:r>
    </w:p>
    <w:p w14:paraId="49CD8CBE" w14:textId="77777777" w:rsidR="00533926" w:rsidRPr="00AA5833" w:rsidRDefault="00533926" w:rsidP="00533926">
      <w:pPr>
        <w:widowControl w:val="0"/>
        <w:autoSpaceDE w:val="0"/>
        <w:autoSpaceDN w:val="0"/>
        <w:adjustRightInd w:val="0"/>
        <w:spacing w:after="0" w:line="240" w:lineRule="auto"/>
        <w:ind w:firstLine="709"/>
        <w:jc w:val="both"/>
        <w:rPr>
          <w:rFonts w:ascii="Times New Roman" w:hAnsi="Times New Roman" w:cs="Times New Roman"/>
          <w:bCs/>
          <w:iCs/>
          <w:sz w:val="24"/>
          <w:szCs w:val="24"/>
        </w:rPr>
      </w:pPr>
      <w:r w:rsidRPr="00AA5833">
        <w:rPr>
          <w:rFonts w:ascii="Times New Roman" w:hAnsi="Times New Roman" w:cs="Times New Roman"/>
          <w:bCs/>
          <w:iCs/>
          <w:sz w:val="24"/>
          <w:szCs w:val="24"/>
        </w:rPr>
        <w:t>Лицата се включват в обучения за придобиване на степен на професионална квалификация и обучения по част от професия, както и в обучения за придобиване на ключови компетентности „Предприемаческа компетентност“, „Личностна компетентност, социална компетентност и компетентност за придобиване на умения за учене” и „Цифрова компетентност”.</w:t>
      </w:r>
    </w:p>
    <w:p w14:paraId="6D9D3B13" w14:textId="77777777" w:rsidR="00533926" w:rsidRPr="00AA5833" w:rsidRDefault="00533926" w:rsidP="00533926">
      <w:pPr>
        <w:widowControl w:val="0"/>
        <w:autoSpaceDE w:val="0"/>
        <w:autoSpaceDN w:val="0"/>
        <w:adjustRightInd w:val="0"/>
        <w:spacing w:after="0" w:line="240" w:lineRule="auto"/>
        <w:ind w:firstLine="709"/>
        <w:jc w:val="both"/>
        <w:rPr>
          <w:rFonts w:ascii="Times New Roman" w:hAnsi="Times New Roman" w:cs="Times New Roman"/>
          <w:bCs/>
          <w:iCs/>
          <w:sz w:val="24"/>
          <w:szCs w:val="24"/>
        </w:rPr>
      </w:pPr>
      <w:r w:rsidRPr="00AA5833">
        <w:rPr>
          <w:rFonts w:ascii="Times New Roman" w:hAnsi="Times New Roman" w:cs="Times New Roman"/>
          <w:bCs/>
          <w:iCs/>
          <w:sz w:val="24"/>
          <w:szCs w:val="24"/>
        </w:rPr>
        <w:t xml:space="preserve">През 2024 г. </w:t>
      </w:r>
      <w:r w:rsidRPr="00AA5833">
        <w:rPr>
          <w:rFonts w:ascii="Times New Roman" w:hAnsi="Times New Roman" w:cs="Times New Roman"/>
          <w:b/>
          <w:bCs/>
          <w:iCs/>
          <w:sz w:val="24"/>
          <w:szCs w:val="24"/>
        </w:rPr>
        <w:t xml:space="preserve">1 263 безработни лица </w:t>
      </w:r>
      <w:r w:rsidRPr="00AA5833">
        <w:rPr>
          <w:rFonts w:ascii="Times New Roman" w:hAnsi="Times New Roman" w:cs="Times New Roman"/>
          <w:bCs/>
          <w:iCs/>
          <w:sz w:val="24"/>
          <w:szCs w:val="24"/>
        </w:rPr>
        <w:t>са включени в обучения, провеждани в ЦРЧРРИ за професионална квалификация и за придобиване на ключови компетентности.</w:t>
      </w:r>
      <w:r w:rsidRPr="00AA5833">
        <w:rPr>
          <w:rFonts w:ascii="Times New Roman" w:hAnsi="Times New Roman" w:cs="Times New Roman"/>
          <w:b/>
          <w:bCs/>
          <w:iCs/>
          <w:sz w:val="24"/>
          <w:szCs w:val="24"/>
        </w:rPr>
        <w:t xml:space="preserve"> </w:t>
      </w:r>
      <w:r w:rsidRPr="00AA5833">
        <w:rPr>
          <w:rFonts w:ascii="Times New Roman" w:hAnsi="Times New Roman" w:cs="Times New Roman"/>
          <w:bCs/>
          <w:iCs/>
          <w:sz w:val="24"/>
          <w:szCs w:val="24"/>
        </w:rPr>
        <w:t>Изразходваните средства от ДБ са в размер на 1 609 867 лева.</w:t>
      </w:r>
    </w:p>
    <w:p w14:paraId="43F030E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8FEDA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5C9CBED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0452072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9E98D8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10.2.29. Подкрепени работни места за хора с трайни увреждания по реда на Национална програма за заетост на хората с увреждания </w:t>
      </w:r>
    </w:p>
    <w:p w14:paraId="6FE85C5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02C95E8" w14:textId="77777777" w:rsidR="00533926" w:rsidRPr="00AA5833" w:rsidRDefault="00533926" w:rsidP="00533926">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A5833">
        <w:rPr>
          <w:rFonts w:ascii="Times New Roman" w:hAnsi="Times New Roman" w:cs="Times New Roman"/>
          <w:color w:val="000000"/>
          <w:sz w:val="24"/>
          <w:szCs w:val="24"/>
        </w:rPr>
        <w:t>Стимулират се работодатели от обичайна работна среда да</w:t>
      </w:r>
      <w:r w:rsidRPr="00AA5833">
        <w:rPr>
          <w:rFonts w:ascii="Times New Roman" w:hAnsi="Times New Roman" w:cs="Times New Roman"/>
          <w:bCs/>
          <w:color w:val="000000"/>
          <w:sz w:val="24"/>
          <w:szCs w:val="24"/>
        </w:rPr>
        <w:t xml:space="preserve"> </w:t>
      </w:r>
      <w:r w:rsidRPr="00AA5833">
        <w:rPr>
          <w:rFonts w:ascii="Times New Roman" w:hAnsi="Times New Roman" w:cs="Times New Roman"/>
          <w:color w:val="000000"/>
          <w:sz w:val="24"/>
          <w:szCs w:val="24"/>
        </w:rPr>
        <w:t>наемат хора с увреждания и да осигуряват достъп, приспособяване, оборудване на</w:t>
      </w:r>
      <w:r w:rsidRPr="00AA5833">
        <w:rPr>
          <w:rFonts w:ascii="Times New Roman" w:hAnsi="Times New Roman" w:cs="Times New Roman"/>
          <w:bCs/>
          <w:color w:val="000000"/>
          <w:sz w:val="24"/>
          <w:szCs w:val="24"/>
        </w:rPr>
        <w:t xml:space="preserve"> </w:t>
      </w:r>
      <w:r w:rsidRPr="00AA5833">
        <w:rPr>
          <w:rFonts w:ascii="Times New Roman" w:hAnsi="Times New Roman" w:cs="Times New Roman"/>
          <w:color w:val="000000"/>
          <w:sz w:val="24"/>
          <w:szCs w:val="24"/>
        </w:rPr>
        <w:t>работното място и квалификация, преквалификация, съответно обучение за</w:t>
      </w:r>
      <w:r w:rsidRPr="00AA5833">
        <w:rPr>
          <w:rFonts w:ascii="Times New Roman" w:hAnsi="Times New Roman" w:cs="Times New Roman"/>
          <w:bCs/>
          <w:color w:val="000000"/>
          <w:sz w:val="24"/>
          <w:szCs w:val="24"/>
        </w:rPr>
        <w:t xml:space="preserve"> </w:t>
      </w:r>
      <w:r w:rsidRPr="00AA5833">
        <w:rPr>
          <w:rFonts w:ascii="Times New Roman" w:hAnsi="Times New Roman" w:cs="Times New Roman"/>
          <w:color w:val="000000"/>
          <w:sz w:val="24"/>
          <w:szCs w:val="24"/>
        </w:rPr>
        <w:t>професионално и служебно развитие.</w:t>
      </w:r>
      <w:r w:rsidRPr="00AA5833">
        <w:rPr>
          <w:rFonts w:ascii="Times New Roman" w:hAnsi="Times New Roman" w:cs="Times New Roman"/>
          <w:bCs/>
          <w:color w:val="000000"/>
          <w:sz w:val="24"/>
          <w:szCs w:val="24"/>
        </w:rPr>
        <w:t xml:space="preserve"> </w:t>
      </w:r>
    </w:p>
    <w:p w14:paraId="097FC69E" w14:textId="77777777" w:rsidR="00533926" w:rsidRPr="00AA5833" w:rsidRDefault="00533926" w:rsidP="00533926">
      <w:pPr>
        <w:autoSpaceDE w:val="0"/>
        <w:autoSpaceDN w:val="0"/>
        <w:adjustRightInd w:val="0"/>
        <w:spacing w:after="0" w:line="240" w:lineRule="auto"/>
        <w:ind w:firstLine="709"/>
        <w:jc w:val="both"/>
        <w:rPr>
          <w:rFonts w:ascii="Times New Roman" w:hAnsi="Times New Roman" w:cs="Times New Roman"/>
          <w:bCs/>
          <w:color w:val="000000"/>
          <w:sz w:val="24"/>
          <w:szCs w:val="24"/>
        </w:rPr>
      </w:pPr>
      <w:r w:rsidRPr="00AA5833">
        <w:rPr>
          <w:rFonts w:ascii="Times New Roman" w:hAnsi="Times New Roman" w:cs="Times New Roman"/>
          <w:color w:val="000000"/>
          <w:sz w:val="24"/>
          <w:szCs w:val="24"/>
        </w:rPr>
        <w:t>През отчетната 2024 г. са подкрепени 176 работни места за хора с трайни увреждания, наети в обичайна работна среда.</w:t>
      </w:r>
      <w:r w:rsidRPr="00AA5833">
        <w:rPr>
          <w:rFonts w:ascii="Times New Roman" w:hAnsi="Times New Roman" w:cs="Times New Roman"/>
          <w:bCs/>
          <w:color w:val="000000"/>
          <w:sz w:val="24"/>
          <w:szCs w:val="24"/>
        </w:rPr>
        <w:t xml:space="preserve"> </w:t>
      </w:r>
      <w:r w:rsidRPr="00AA5833">
        <w:rPr>
          <w:rFonts w:ascii="Times New Roman" w:hAnsi="Times New Roman" w:cs="Times New Roman"/>
          <w:color w:val="000000"/>
          <w:sz w:val="24"/>
          <w:szCs w:val="24"/>
        </w:rPr>
        <w:t>През отчетния период са сключени договори с работодатели от обичайна работна среда по програмата на стойност 2 119 605 лева.</w:t>
      </w:r>
    </w:p>
    <w:p w14:paraId="05F34D0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1DDDC4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1758837C"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39B8F0E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6FECB5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10.2.30. Разкрити нови работни места за хора с увреждания по чл. 49 от ЗХУ</w:t>
      </w:r>
    </w:p>
    <w:p w14:paraId="77CBF1B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 xml:space="preserve"> </w:t>
      </w:r>
    </w:p>
    <w:p w14:paraId="6604F842" w14:textId="77777777" w:rsidR="00533926" w:rsidRPr="00AA5833" w:rsidRDefault="00533926" w:rsidP="00533926">
      <w:pPr>
        <w:spacing w:after="0" w:line="240" w:lineRule="auto"/>
        <w:jc w:val="both"/>
        <w:rPr>
          <w:rFonts w:ascii="Times New Roman" w:hAnsi="Times New Roman" w:cs="Times New Roman"/>
          <w:noProof/>
          <w:sz w:val="24"/>
          <w:szCs w:val="24"/>
        </w:rPr>
      </w:pPr>
      <w:r w:rsidRPr="00AA5833">
        <w:rPr>
          <w:rFonts w:ascii="Times New Roman" w:hAnsi="Times New Roman" w:cs="Times New Roman"/>
          <w:noProof/>
          <w:sz w:val="24"/>
          <w:szCs w:val="24"/>
        </w:rPr>
        <w:tab/>
        <w:t>Стимулират се специализирани предприятия и кооперации на хората с увреждания да наемат хора с трайни увреждания в специализирана работна среда.</w:t>
      </w:r>
    </w:p>
    <w:p w14:paraId="67B4E2B3" w14:textId="77777777" w:rsidR="00533926" w:rsidRPr="00AA5833" w:rsidRDefault="00533926" w:rsidP="00533926">
      <w:pPr>
        <w:spacing w:after="0" w:line="240" w:lineRule="auto"/>
        <w:ind w:firstLine="708"/>
        <w:jc w:val="both"/>
        <w:rPr>
          <w:rFonts w:ascii="Times New Roman" w:hAnsi="Times New Roman" w:cs="Times New Roman"/>
          <w:noProof/>
          <w:sz w:val="24"/>
          <w:szCs w:val="24"/>
        </w:rPr>
      </w:pPr>
      <w:r w:rsidRPr="00AA5833">
        <w:rPr>
          <w:rFonts w:ascii="Times New Roman" w:hAnsi="Times New Roman" w:cs="Times New Roman"/>
          <w:noProof/>
          <w:sz w:val="24"/>
          <w:szCs w:val="24"/>
        </w:rPr>
        <w:t>През отчетната 2024 г. са планирани 30 работни места за хора с трайни увреждания, наети в специализирана работна среда. Открити са 30 работни места. През отчетния период са сключени договори с работодатели от специализиранаработна среда по програмата на стойност 1 417 070 лева.</w:t>
      </w:r>
    </w:p>
    <w:p w14:paraId="2169EE5B" w14:textId="77777777" w:rsidR="00533926"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7E9E02A" w14:textId="77777777" w:rsidR="002E676E" w:rsidRPr="00AA5833" w:rsidRDefault="002E676E"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249938E"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3BAEA8CB"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368E576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DBBD43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10.2.31. Работни места с осигурени и/или подобрени здравословни и безопасни условия на труд</w:t>
      </w:r>
    </w:p>
    <w:p w14:paraId="79C9655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3E40FA18"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Стимулират се работодатели от специализирана работна среда за подобряване условията на труд и технологично обновени специализирани предприятия и кооперации.</w:t>
      </w:r>
    </w:p>
    <w:p w14:paraId="5DC73592"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През отчетната 2024 г. са планирани 360 работни места с осигурени и/или подобрени здравословни и безопасни условия на труд и 10 бр. технологично обновени специализирани предприятия и кооперации на хората с увреждания. Изпълнението на тези показатели са съответно 365 бр. работни места и 21 бр. технологично обновени специализирани предприятия и кооперации. През отчетния период са сключени договори с работодатели от специализирана работна среда по програмата на стойност 645 501 лева.</w:t>
      </w:r>
    </w:p>
    <w:p w14:paraId="3E5F0D7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5F953A0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7ADFA1D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70508E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D7D2C2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10.2.32. Технологично обновени специализирани предприятия и кооперации на хората с увреждания</w:t>
      </w:r>
    </w:p>
    <w:p w14:paraId="2614AB4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r w:rsidRPr="00AA5833">
        <w:rPr>
          <w:rFonts w:ascii="Times New Roman" w:hAnsi="Times New Roman" w:cs="Times New Roman"/>
          <w:b/>
          <w:color w:val="000000"/>
          <w:sz w:val="24"/>
          <w:szCs w:val="24"/>
          <w:highlight w:val="yellow"/>
        </w:rPr>
        <w:t xml:space="preserve"> </w:t>
      </w:r>
    </w:p>
    <w:p w14:paraId="01FB1F48" w14:textId="77777777" w:rsidR="00533926" w:rsidRPr="00AA5833" w:rsidRDefault="00533926" w:rsidP="00533926">
      <w:pPr>
        <w:spacing w:after="0" w:line="240" w:lineRule="auto"/>
        <w:jc w:val="center"/>
        <w:rPr>
          <w:rFonts w:ascii="Times New Roman" w:hAnsi="Times New Roman" w:cs="Times New Roman"/>
          <w:i/>
          <w:sz w:val="24"/>
          <w:szCs w:val="24"/>
        </w:rPr>
      </w:pPr>
      <w:r w:rsidRPr="00AA5833">
        <w:rPr>
          <w:rFonts w:ascii="Times New Roman" w:hAnsi="Times New Roman" w:cs="Times New Roman"/>
          <w:i/>
          <w:sz w:val="24"/>
          <w:szCs w:val="24"/>
        </w:rPr>
        <w:t>(виж мерки 10.2.30. и 10.2.31.)</w:t>
      </w:r>
    </w:p>
    <w:p w14:paraId="19EBBCE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03BA1EFF"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1643CE8B"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42575CE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C94ACF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10.2.33. Хора с увреждания, включени в мероприятия за рехабилитация и интеграция </w:t>
      </w:r>
    </w:p>
    <w:p w14:paraId="5EBB5FE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55B36A0"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Планираният за 2024 г. брой на хората с увреждания, включени в мероприятия за рехабилитация и социална интеграция е 3 600 бр., а изпълненият е 6 100 бр. През отчетния период по програмата са сключени договора с неправителствени организации на стойност 400 000 лева.</w:t>
      </w:r>
    </w:p>
    <w:p w14:paraId="274B6ED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13E727D6"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25F0036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03BF44E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BC364D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10.2.34. Хора с увреждания, стартирали самостоятелна стопанска дейност</w:t>
      </w:r>
    </w:p>
    <w:p w14:paraId="7200E09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26B552E2"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lastRenderedPageBreak/>
        <w:t>За 2024 г. 24 лица с увреждания са започнали и развили самостоятелна стопанска дейност. През отчетния период по програмата са сключени договори на стойност 609 509 лева.</w:t>
      </w:r>
    </w:p>
    <w:p w14:paraId="153960F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554A052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13B3803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684A341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1BD31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10.2.35. Културни, исторически и спортни обекти, адаптирани за хора с увреждания</w:t>
      </w:r>
    </w:p>
    <w:p w14:paraId="52113E4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r w:rsidRPr="00AA5833">
        <w:rPr>
          <w:rFonts w:ascii="Times New Roman" w:hAnsi="Times New Roman" w:cs="Times New Roman"/>
          <w:b/>
          <w:color w:val="000000"/>
          <w:sz w:val="24"/>
          <w:szCs w:val="24"/>
          <w:highlight w:val="yellow"/>
        </w:rPr>
        <w:t xml:space="preserve"> </w:t>
      </w:r>
    </w:p>
    <w:p w14:paraId="7A8F44D2"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 xml:space="preserve">През отчетната 2024 г. са планирани 15 бр. културни, исторически и спортни обекти, адаптирани за хора с увреждания. Адаптираните през отчетната година обекти са 15 бр. като стойността на финансовите средства по сключени договори през 2024 г. възлиза на 553 719 лева. </w:t>
      </w:r>
    </w:p>
    <w:p w14:paraId="6550160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4C695651"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00214A7B"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1832F72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63F411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10.2.36. Преференция за възстановяване на внесени осигурителни вноски</w:t>
      </w:r>
    </w:p>
    <w:p w14:paraId="73B02B74" w14:textId="77777777" w:rsidR="00533926" w:rsidRPr="00AA5833" w:rsidRDefault="00533926" w:rsidP="00533926">
      <w:pPr>
        <w:spacing w:after="0" w:line="240" w:lineRule="auto"/>
        <w:ind w:firstLine="708"/>
        <w:rPr>
          <w:rFonts w:ascii="Times New Roman" w:hAnsi="Times New Roman" w:cs="Times New Roman"/>
          <w:sz w:val="24"/>
          <w:szCs w:val="24"/>
        </w:rPr>
      </w:pPr>
    </w:p>
    <w:p w14:paraId="48800457"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Планираният брой работодатели на хора с увреждания, ползващи преференцията за възстановяване на внесените от тях осигурителни вноски за 2024 г. е 72, а изпълнението на този показател за отчетната година възлиза на 107, като изплатените средства са в размер на 1 525 265 лева.</w:t>
      </w:r>
    </w:p>
    <w:p w14:paraId="7233598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highlight w:val="yellow"/>
        </w:rPr>
      </w:pPr>
    </w:p>
    <w:p w14:paraId="36FEFE77"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6F74F478"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74D3863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1D1F30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10.2.37. Създаване на Центрове за защитена заетост (ЦЗЗ) за осигуряване на заетост за хора множество трайни увреждания, с психични разстройства и/или интелектуални затруднения. </w:t>
      </w:r>
    </w:p>
    <w:p w14:paraId="1E655326" w14:textId="77777777" w:rsidR="00533926" w:rsidRPr="00AA5833" w:rsidRDefault="00533926" w:rsidP="00533926">
      <w:pPr>
        <w:spacing w:after="0" w:line="240" w:lineRule="auto"/>
        <w:jc w:val="both"/>
        <w:rPr>
          <w:rFonts w:ascii="Times New Roman" w:hAnsi="Times New Roman" w:cs="Times New Roman"/>
          <w:sz w:val="24"/>
          <w:szCs w:val="24"/>
        </w:rPr>
      </w:pPr>
    </w:p>
    <w:p w14:paraId="3033992B" w14:textId="77777777" w:rsidR="00533926" w:rsidRPr="00AA5833" w:rsidRDefault="00533926" w:rsidP="00533926">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През отчетната година се изпълняват преките дейности в 4 ЦЗЗ, с осигурена заетост на 60 лица с множество трайни увреждания, с психични разстройства и/или интелектуални затруднения. Общо за създаването на центрове за защитена заетост през отчетния период е изразходвана субсидия в размер на 562 913 лева.</w:t>
      </w:r>
    </w:p>
    <w:p w14:paraId="4687E195" w14:textId="77777777" w:rsidR="00533926" w:rsidRPr="00AA5833" w:rsidRDefault="00533926" w:rsidP="00533926">
      <w:pPr>
        <w:spacing w:after="0" w:line="240" w:lineRule="auto"/>
        <w:jc w:val="both"/>
        <w:rPr>
          <w:rFonts w:ascii="Times New Roman" w:hAnsi="Times New Roman" w:cs="Times New Roman"/>
          <w:sz w:val="24"/>
          <w:szCs w:val="24"/>
        </w:rPr>
      </w:pPr>
    </w:p>
    <w:p w14:paraId="65E5FE99"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МИНИСТЕРСТВО НА ТРУДА И СОЦИАЛНАТА ПОЛИТИКА</w:t>
      </w:r>
    </w:p>
    <w:p w14:paraId="43651BE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FF"/>
          <w:sz w:val="24"/>
          <w:szCs w:val="24"/>
        </w:rPr>
      </w:pPr>
      <w:r w:rsidRPr="00AA5833">
        <w:rPr>
          <w:rFonts w:ascii="Times New Roman" w:hAnsi="Times New Roman" w:cs="Times New Roman"/>
          <w:b/>
          <w:color w:val="0000FF"/>
          <w:sz w:val="24"/>
          <w:szCs w:val="24"/>
        </w:rPr>
        <w:t>АГЕНЦИЯ ЗА ХОРАТА С УВРЕЖДАНИЯ</w:t>
      </w:r>
    </w:p>
    <w:p w14:paraId="18EB80F3" w14:textId="77777777" w:rsidR="00533926" w:rsidRPr="00AA5833" w:rsidRDefault="00533926" w:rsidP="00533926">
      <w:pPr>
        <w:spacing w:after="0" w:line="240" w:lineRule="auto"/>
        <w:jc w:val="both"/>
        <w:rPr>
          <w:rFonts w:ascii="Times New Roman" w:hAnsi="Times New Roman" w:cs="Times New Roman"/>
          <w:sz w:val="24"/>
          <w:szCs w:val="24"/>
        </w:rPr>
      </w:pPr>
    </w:p>
    <w:p w14:paraId="1DBEA792" w14:textId="77777777" w:rsidR="00533926" w:rsidRPr="00AA5833" w:rsidRDefault="00533926" w:rsidP="00533926">
      <w:pPr>
        <w:spacing w:after="0" w:line="240" w:lineRule="auto"/>
        <w:ind w:left="283"/>
        <w:rPr>
          <w:rFonts w:ascii="Times New Roman" w:hAnsi="Times New Roman" w:cs="Times New Roman"/>
          <w:b/>
          <w:bCs/>
          <w:sz w:val="24"/>
          <w:szCs w:val="24"/>
        </w:rPr>
      </w:pPr>
      <w:r w:rsidRPr="00AA5833">
        <w:rPr>
          <w:rFonts w:ascii="Times New Roman" w:hAnsi="Times New Roman" w:cs="Times New Roman"/>
          <w:b/>
          <w:bCs/>
          <w:sz w:val="24"/>
          <w:szCs w:val="24"/>
        </w:rPr>
        <w:t>10.2.38. Контрол на усвояването на отпуснати средства за хора с увреждания</w:t>
      </w:r>
    </w:p>
    <w:p w14:paraId="362F55D8" w14:textId="77777777" w:rsidR="00533926" w:rsidRPr="00AA5833" w:rsidRDefault="00533926" w:rsidP="00533926">
      <w:pPr>
        <w:spacing w:after="0" w:line="240" w:lineRule="auto"/>
        <w:ind w:left="283"/>
        <w:rPr>
          <w:rFonts w:ascii="Times New Roman" w:hAnsi="Times New Roman" w:cs="Times New Roman"/>
          <w:b/>
          <w:bCs/>
          <w:sz w:val="24"/>
          <w:szCs w:val="24"/>
        </w:rPr>
      </w:pPr>
    </w:p>
    <w:p w14:paraId="50FD161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За 2024 г. е планиран 100% извършване на контрол на организациите, спрямо общия брой, подлежащи на такъв. Изпълнението на тези показатели е съответно 100% извършен контрол на организациите, спрямо общия брой, подлежащи на такъв.</w:t>
      </w:r>
    </w:p>
    <w:p w14:paraId="184522EF" w14:textId="77777777" w:rsidR="00533926" w:rsidRPr="00AA5833" w:rsidRDefault="00533926" w:rsidP="00533926">
      <w:pPr>
        <w:spacing w:after="0" w:line="240" w:lineRule="auto"/>
        <w:jc w:val="both"/>
        <w:rPr>
          <w:rFonts w:ascii="Times New Roman" w:hAnsi="Times New Roman" w:cs="Times New Roman"/>
          <w:sz w:val="24"/>
          <w:szCs w:val="24"/>
        </w:rPr>
      </w:pPr>
    </w:p>
    <w:p w14:paraId="2F59F59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292FF96D" w14:textId="77777777" w:rsidR="00533926" w:rsidRPr="00AA5833" w:rsidRDefault="00533926" w:rsidP="00533926">
      <w:pPr>
        <w:spacing w:after="0" w:line="240" w:lineRule="auto"/>
        <w:jc w:val="both"/>
        <w:rPr>
          <w:rFonts w:ascii="Times New Roman" w:hAnsi="Times New Roman" w:cs="Times New Roman"/>
          <w:sz w:val="24"/>
          <w:szCs w:val="24"/>
        </w:rPr>
      </w:pPr>
    </w:p>
    <w:p w14:paraId="30809454"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 xml:space="preserve">10.2.39. Изплащане на целеви помощи за покупка на моторно превозно средство, приспособяване на жилище, балнеолечение и/или рехабилитационни услуги, наем на общинско жилище. Изплащане на парична компенсация за пътни разходи в </w:t>
      </w:r>
      <w:r w:rsidRPr="00AA5833">
        <w:rPr>
          <w:rFonts w:ascii="Times New Roman" w:hAnsi="Times New Roman" w:cs="Times New Roman"/>
          <w:b/>
          <w:sz w:val="24"/>
          <w:szCs w:val="24"/>
        </w:rPr>
        <w:lastRenderedPageBreak/>
        <w:t>страната, направени от хората с увреждания с отпусната целева помощ за изработване, покупка и/или ремонт на ПСПСМИ от НЗОК, когато същите не могат да се изработят, закупят и/или ремонтират по настоящ адрес и тяхното присъствие е необходимо.</w:t>
      </w:r>
    </w:p>
    <w:p w14:paraId="4FC72A2A" w14:textId="77777777" w:rsidR="00533926" w:rsidRPr="00AA5833" w:rsidRDefault="00533926" w:rsidP="00533926">
      <w:pPr>
        <w:tabs>
          <w:tab w:val="left" w:pos="360"/>
        </w:tabs>
        <w:spacing w:after="0" w:line="240" w:lineRule="auto"/>
        <w:jc w:val="both"/>
        <w:rPr>
          <w:rFonts w:ascii="Times New Roman" w:hAnsi="Times New Roman" w:cs="Times New Roman"/>
          <w:b/>
          <w:bCs/>
          <w:sz w:val="24"/>
          <w:szCs w:val="24"/>
        </w:rPr>
      </w:pPr>
    </w:p>
    <w:p w14:paraId="26A96A52"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
          <w:bCs/>
          <w:sz w:val="24"/>
          <w:szCs w:val="24"/>
        </w:rPr>
        <w:tab/>
      </w:r>
      <w:r w:rsidRPr="00AA5833">
        <w:rPr>
          <w:rFonts w:ascii="Times New Roman" w:hAnsi="Times New Roman" w:cs="Times New Roman"/>
          <w:bCs/>
          <w:sz w:val="24"/>
          <w:szCs w:val="24"/>
        </w:rPr>
        <w:t xml:space="preserve">От 01.01.2019 г. е в сила Законът за хората с увреждания (ЗХУ), с който се отмени действащият дотогава ЗИХУ. Със ЗХУ се уреждат обществените отношения, свързани с упражняване на правата на хората с увреждания в Република България. Законът има за цел да създаде условия за социалното приобщаване на хората с увреждания, да способства за зачитане но човешкото им достойнство и да предоставя подкрепа за тях и техните семейства. </w:t>
      </w:r>
    </w:p>
    <w:p w14:paraId="4C609631"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Съгласно чл. 20 от ЗХУ, хората с увреждания съобразно своите потребности имат право на индивидуална оценка на потребностите, която е комплексна и изследва функционалните затруднения на човека с увреждане, свързани със здравословното му състояние и наличието на бариери при изпълнение на ежедневните и други дейности, както и вида на подкрепата. Същата се изготвя по настоящ адрес на човека с увреждане от специализиран отдел в ДСП към АСП, по искане на човека с увреждане или упълномощено от него лице.</w:t>
      </w:r>
    </w:p>
    <w:p w14:paraId="306EBDCD"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Въз основа на заключенията в индивидуалната оценка на потребностите, директорът на ДСП или оправомощено от него длъжностно лице издава заповед за отпускане на месечна финансова подкрепа и/или отпускане на целеви помощи.</w:t>
      </w:r>
    </w:p>
    <w:p w14:paraId="23743FCF"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 xml:space="preserve">Съобразно разпоредбата на чл. 24, ал. 2 от ЗХУ, хората с трайни увреждания съгласно индивидуалната оценка на потребностите им, имат право на: </w:t>
      </w:r>
    </w:p>
    <w:p w14:paraId="3DC0B5FA" w14:textId="77777777" w:rsidR="00533926" w:rsidRPr="00AA5833" w:rsidRDefault="00533926" w:rsidP="002A598C">
      <w:pPr>
        <w:numPr>
          <w:ilvl w:val="0"/>
          <w:numId w:val="98"/>
        </w:numPr>
        <w:tabs>
          <w:tab w:val="left" w:pos="360"/>
        </w:tabs>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финансова подкрепа за покупка на лично моторно превозно средство;</w:t>
      </w:r>
    </w:p>
    <w:p w14:paraId="25120021" w14:textId="77777777" w:rsidR="00533926" w:rsidRPr="00AA5833" w:rsidRDefault="00533926" w:rsidP="002A598C">
      <w:pPr>
        <w:numPr>
          <w:ilvl w:val="0"/>
          <w:numId w:val="98"/>
        </w:numPr>
        <w:tabs>
          <w:tab w:val="left" w:pos="360"/>
        </w:tabs>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финансова подкрепа за приспособяване на жилище;</w:t>
      </w:r>
    </w:p>
    <w:p w14:paraId="3E9BB054" w14:textId="77777777" w:rsidR="00533926" w:rsidRPr="00AA5833" w:rsidRDefault="00533926" w:rsidP="002A598C">
      <w:pPr>
        <w:numPr>
          <w:ilvl w:val="0"/>
          <w:numId w:val="98"/>
        </w:numPr>
        <w:tabs>
          <w:tab w:val="left" w:pos="360"/>
        </w:tabs>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финансова подкрепа за балнеолечение и/или рехабилитационни услуги;</w:t>
      </w:r>
    </w:p>
    <w:p w14:paraId="75C86526" w14:textId="77777777" w:rsidR="00533926" w:rsidRPr="00AA5833" w:rsidRDefault="00533926" w:rsidP="002A598C">
      <w:pPr>
        <w:numPr>
          <w:ilvl w:val="0"/>
          <w:numId w:val="98"/>
        </w:numPr>
        <w:tabs>
          <w:tab w:val="left" w:pos="360"/>
        </w:tabs>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финансова подкрепа за наем на общинско жилище;</w:t>
      </w:r>
    </w:p>
    <w:p w14:paraId="23DD4C75" w14:textId="77777777" w:rsidR="00533926" w:rsidRPr="00AA5833" w:rsidRDefault="00533926" w:rsidP="002A598C">
      <w:pPr>
        <w:numPr>
          <w:ilvl w:val="0"/>
          <w:numId w:val="98"/>
        </w:numPr>
        <w:tabs>
          <w:tab w:val="left" w:pos="360"/>
        </w:tabs>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месечна финансова подкрепа.</w:t>
      </w:r>
    </w:p>
    <w:p w14:paraId="7BCADC79" w14:textId="77777777" w:rsidR="00533926" w:rsidRPr="00AA5833" w:rsidRDefault="00533926" w:rsidP="00533926">
      <w:pPr>
        <w:tabs>
          <w:tab w:val="left" w:pos="360"/>
        </w:tabs>
        <w:spacing w:after="0" w:line="240" w:lineRule="auto"/>
        <w:ind w:left="1068"/>
        <w:jc w:val="both"/>
        <w:rPr>
          <w:rFonts w:ascii="Times New Roman" w:hAnsi="Times New Roman" w:cs="Times New Roman"/>
          <w:bCs/>
          <w:sz w:val="24"/>
          <w:szCs w:val="24"/>
        </w:rPr>
      </w:pPr>
    </w:p>
    <w:p w14:paraId="30790219"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Целевите помощи съобразно вида на увреждането по реда на ЗХУ са, както следва:</w:t>
      </w:r>
    </w:p>
    <w:tbl>
      <w:tblPr>
        <w:tblW w:w="9072" w:type="dxa"/>
        <w:jc w:val="center"/>
        <w:tblCellMar>
          <w:left w:w="70" w:type="dxa"/>
          <w:right w:w="70" w:type="dxa"/>
        </w:tblCellMar>
        <w:tblLook w:val="04A0" w:firstRow="1" w:lastRow="0" w:firstColumn="1" w:lastColumn="0" w:noHBand="0" w:noVBand="1"/>
      </w:tblPr>
      <w:tblGrid>
        <w:gridCol w:w="4521"/>
        <w:gridCol w:w="2430"/>
        <w:gridCol w:w="2121"/>
      </w:tblGrid>
      <w:tr w:rsidR="00533926" w:rsidRPr="00AA5833" w14:paraId="74EC8B2A" w14:textId="77777777" w:rsidTr="00533926">
        <w:trPr>
          <w:trHeight w:val="291"/>
          <w:jc w:val="center"/>
        </w:trPr>
        <w:tc>
          <w:tcPr>
            <w:tcW w:w="4521" w:type="dxa"/>
            <w:tcBorders>
              <w:top w:val="single" w:sz="4" w:space="0" w:color="auto"/>
              <w:left w:val="single" w:sz="4" w:space="0" w:color="auto"/>
              <w:bottom w:val="single" w:sz="4" w:space="0" w:color="auto"/>
              <w:right w:val="single" w:sz="4" w:space="0" w:color="auto"/>
            </w:tcBorders>
            <w:shd w:val="clear" w:color="auto" w:fill="F7C5A3"/>
            <w:vAlign w:val="center"/>
            <w:hideMark/>
          </w:tcPr>
          <w:p w14:paraId="2D52418A" w14:textId="77777777" w:rsidR="00533926" w:rsidRPr="00AA5833" w:rsidRDefault="00533926" w:rsidP="00533926">
            <w:pPr>
              <w:spacing w:after="0" w:line="240" w:lineRule="auto"/>
              <w:jc w:val="center"/>
              <w:rPr>
                <w:rFonts w:ascii="Times New Roman" w:hAnsi="Times New Roman" w:cs="Times New Roman"/>
                <w:b/>
                <w:bCs/>
                <w:iCs/>
                <w:sz w:val="20"/>
                <w:szCs w:val="20"/>
              </w:rPr>
            </w:pPr>
            <w:r w:rsidRPr="00AA5833">
              <w:rPr>
                <w:rFonts w:ascii="Times New Roman" w:hAnsi="Times New Roman" w:cs="Times New Roman"/>
                <w:b/>
                <w:bCs/>
                <w:iCs/>
                <w:sz w:val="20"/>
                <w:szCs w:val="20"/>
              </w:rPr>
              <w:t>Целеви помощи по ЗХУ</w:t>
            </w:r>
          </w:p>
        </w:tc>
        <w:tc>
          <w:tcPr>
            <w:tcW w:w="2430" w:type="dxa"/>
            <w:tcBorders>
              <w:top w:val="single" w:sz="4" w:space="0" w:color="auto"/>
              <w:left w:val="nil"/>
              <w:bottom w:val="single" w:sz="4" w:space="0" w:color="auto"/>
              <w:right w:val="single" w:sz="4" w:space="0" w:color="auto"/>
            </w:tcBorders>
            <w:shd w:val="clear" w:color="auto" w:fill="F7C5A3"/>
            <w:vAlign w:val="center"/>
            <w:hideMark/>
          </w:tcPr>
          <w:p w14:paraId="47A91769" w14:textId="77777777" w:rsidR="00533926" w:rsidRPr="00AA5833" w:rsidRDefault="00533926" w:rsidP="00533926">
            <w:pPr>
              <w:spacing w:after="0" w:line="240" w:lineRule="auto"/>
              <w:jc w:val="center"/>
              <w:rPr>
                <w:rFonts w:ascii="Times New Roman" w:hAnsi="Times New Roman" w:cs="Times New Roman"/>
                <w:b/>
                <w:bCs/>
                <w:iCs/>
                <w:sz w:val="20"/>
                <w:szCs w:val="20"/>
              </w:rPr>
            </w:pPr>
            <w:r w:rsidRPr="00AA5833">
              <w:rPr>
                <w:rFonts w:ascii="Times New Roman" w:hAnsi="Times New Roman" w:cs="Times New Roman"/>
                <w:b/>
                <w:bCs/>
                <w:iCs/>
                <w:sz w:val="20"/>
                <w:szCs w:val="20"/>
              </w:rPr>
              <w:t>януари-декември 2024 г.</w:t>
            </w:r>
          </w:p>
        </w:tc>
        <w:tc>
          <w:tcPr>
            <w:tcW w:w="2121" w:type="dxa"/>
            <w:tcBorders>
              <w:top w:val="single" w:sz="4" w:space="0" w:color="auto"/>
              <w:left w:val="nil"/>
              <w:bottom w:val="single" w:sz="4" w:space="0" w:color="auto"/>
              <w:right w:val="single" w:sz="4" w:space="0" w:color="auto"/>
            </w:tcBorders>
            <w:shd w:val="clear" w:color="auto" w:fill="F7C5A3"/>
            <w:vAlign w:val="center"/>
            <w:hideMark/>
          </w:tcPr>
          <w:p w14:paraId="3CF3ED8A" w14:textId="77777777" w:rsidR="00533926" w:rsidRPr="00AA5833" w:rsidRDefault="00533926" w:rsidP="00533926">
            <w:pPr>
              <w:spacing w:after="0" w:line="240" w:lineRule="auto"/>
              <w:jc w:val="center"/>
              <w:rPr>
                <w:rFonts w:ascii="Times New Roman" w:hAnsi="Times New Roman" w:cs="Times New Roman"/>
                <w:b/>
                <w:bCs/>
                <w:iCs/>
                <w:sz w:val="20"/>
                <w:szCs w:val="20"/>
              </w:rPr>
            </w:pPr>
            <w:r w:rsidRPr="00AA5833">
              <w:rPr>
                <w:rFonts w:ascii="Times New Roman" w:hAnsi="Times New Roman" w:cs="Times New Roman"/>
                <w:b/>
                <w:bCs/>
                <w:sz w:val="20"/>
                <w:szCs w:val="20"/>
              </w:rPr>
              <w:t>Изплатена сума</w:t>
            </w:r>
          </w:p>
        </w:tc>
      </w:tr>
      <w:tr w:rsidR="00533926" w:rsidRPr="00AA5833" w14:paraId="3BF5D9B2" w14:textId="77777777" w:rsidTr="00533926">
        <w:trPr>
          <w:trHeight w:val="271"/>
          <w:jc w:val="center"/>
        </w:trPr>
        <w:tc>
          <w:tcPr>
            <w:tcW w:w="45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A3C7C4" w14:textId="77777777" w:rsidR="00533926" w:rsidRPr="00AA5833" w:rsidRDefault="00533926" w:rsidP="00533926">
            <w:pPr>
              <w:spacing w:after="0" w:line="240" w:lineRule="auto"/>
              <w:jc w:val="both"/>
              <w:rPr>
                <w:rFonts w:ascii="Times New Roman" w:hAnsi="Times New Roman" w:cs="Times New Roman"/>
                <w:bCs/>
                <w:sz w:val="20"/>
                <w:szCs w:val="20"/>
              </w:rPr>
            </w:pPr>
            <w:r w:rsidRPr="00AA5833">
              <w:rPr>
                <w:rFonts w:ascii="Times New Roman" w:hAnsi="Times New Roman" w:cs="Times New Roman"/>
                <w:bCs/>
                <w:sz w:val="20"/>
                <w:szCs w:val="20"/>
              </w:rPr>
              <w:t>1. Покупка на лично моторно превозно средство (брой лица)</w:t>
            </w:r>
          </w:p>
        </w:tc>
        <w:tc>
          <w:tcPr>
            <w:tcW w:w="2430" w:type="dxa"/>
            <w:tcBorders>
              <w:top w:val="single" w:sz="4" w:space="0" w:color="auto"/>
              <w:left w:val="single" w:sz="8" w:space="0" w:color="auto"/>
              <w:bottom w:val="single" w:sz="4" w:space="0" w:color="auto"/>
              <w:right w:val="single" w:sz="8" w:space="0" w:color="auto"/>
            </w:tcBorders>
            <w:vAlign w:val="center"/>
            <w:hideMark/>
          </w:tcPr>
          <w:p w14:paraId="73336744" w14:textId="77777777" w:rsidR="00533926" w:rsidRPr="00AA5833" w:rsidRDefault="00533926" w:rsidP="00533926">
            <w:pPr>
              <w:spacing w:after="0" w:line="240" w:lineRule="auto"/>
              <w:jc w:val="right"/>
              <w:rPr>
                <w:rFonts w:ascii="Times New Roman" w:hAnsi="Times New Roman" w:cs="Times New Roman"/>
                <w:bCs/>
                <w:iCs/>
                <w:sz w:val="20"/>
                <w:szCs w:val="20"/>
              </w:rPr>
            </w:pPr>
            <w:r w:rsidRPr="00AA5833">
              <w:rPr>
                <w:rFonts w:ascii="Times New Roman" w:hAnsi="Times New Roman" w:cs="Times New Roman"/>
                <w:bCs/>
                <w:iCs/>
                <w:sz w:val="20"/>
                <w:szCs w:val="20"/>
              </w:rPr>
              <w:t>2</w:t>
            </w:r>
          </w:p>
        </w:tc>
        <w:tc>
          <w:tcPr>
            <w:tcW w:w="2121" w:type="dxa"/>
            <w:vMerge w:val="restart"/>
            <w:tcBorders>
              <w:top w:val="nil"/>
              <w:left w:val="single" w:sz="4" w:space="0" w:color="auto"/>
              <w:bottom w:val="single" w:sz="8" w:space="0" w:color="000000"/>
              <w:right w:val="single" w:sz="4" w:space="0" w:color="auto"/>
            </w:tcBorders>
            <w:vAlign w:val="center"/>
          </w:tcPr>
          <w:p w14:paraId="160D9D55" w14:textId="77777777" w:rsidR="00533926" w:rsidRPr="00AA5833" w:rsidRDefault="00533926" w:rsidP="00533926">
            <w:pPr>
              <w:spacing w:after="0" w:line="240" w:lineRule="auto"/>
              <w:jc w:val="center"/>
              <w:rPr>
                <w:rFonts w:ascii="Times New Roman" w:hAnsi="Times New Roman" w:cs="Times New Roman"/>
                <w:bCs/>
                <w:iCs/>
                <w:sz w:val="20"/>
                <w:szCs w:val="20"/>
              </w:rPr>
            </w:pPr>
            <w:r w:rsidRPr="00AA5833">
              <w:rPr>
                <w:rFonts w:ascii="Times New Roman" w:hAnsi="Times New Roman" w:cs="Times New Roman"/>
                <w:b/>
                <w:bCs/>
                <w:iCs/>
                <w:sz w:val="20"/>
                <w:szCs w:val="20"/>
              </w:rPr>
              <w:t>4 341 123 лв</w:t>
            </w:r>
            <w:r w:rsidRPr="00AA5833">
              <w:rPr>
                <w:rFonts w:ascii="Times New Roman" w:hAnsi="Times New Roman" w:cs="Times New Roman"/>
                <w:bCs/>
                <w:iCs/>
                <w:sz w:val="20"/>
                <w:szCs w:val="20"/>
              </w:rPr>
              <w:t>.</w:t>
            </w:r>
          </w:p>
          <w:p w14:paraId="235982A6" w14:textId="77777777" w:rsidR="00533926" w:rsidRPr="00AA5833" w:rsidRDefault="00533926" w:rsidP="00533926">
            <w:pPr>
              <w:spacing w:after="0" w:line="240" w:lineRule="auto"/>
              <w:jc w:val="both"/>
              <w:rPr>
                <w:rFonts w:ascii="Times New Roman" w:hAnsi="Times New Roman" w:cs="Times New Roman"/>
                <w:bCs/>
                <w:sz w:val="20"/>
                <w:szCs w:val="20"/>
              </w:rPr>
            </w:pPr>
          </w:p>
        </w:tc>
      </w:tr>
      <w:tr w:rsidR="00533926" w:rsidRPr="00AA5833" w14:paraId="74B28AA6" w14:textId="77777777" w:rsidTr="00533926">
        <w:trPr>
          <w:trHeight w:val="255"/>
          <w:jc w:val="center"/>
        </w:trPr>
        <w:tc>
          <w:tcPr>
            <w:tcW w:w="4521" w:type="dxa"/>
            <w:tcBorders>
              <w:top w:val="single" w:sz="4" w:space="0" w:color="auto"/>
              <w:left w:val="single" w:sz="4" w:space="0" w:color="auto"/>
              <w:bottom w:val="single" w:sz="4" w:space="0" w:color="auto"/>
              <w:right w:val="single" w:sz="4" w:space="0" w:color="auto"/>
            </w:tcBorders>
            <w:vAlign w:val="center"/>
            <w:hideMark/>
          </w:tcPr>
          <w:p w14:paraId="61AD4EC3" w14:textId="77777777" w:rsidR="00533926" w:rsidRPr="00AA5833" w:rsidRDefault="00533926" w:rsidP="00533926">
            <w:pPr>
              <w:spacing w:after="0" w:line="240" w:lineRule="auto"/>
              <w:jc w:val="both"/>
              <w:rPr>
                <w:rFonts w:ascii="Times New Roman" w:hAnsi="Times New Roman" w:cs="Times New Roman"/>
                <w:bCs/>
                <w:sz w:val="20"/>
                <w:szCs w:val="20"/>
              </w:rPr>
            </w:pPr>
            <w:r w:rsidRPr="00AA5833">
              <w:rPr>
                <w:rFonts w:ascii="Times New Roman" w:hAnsi="Times New Roman" w:cs="Times New Roman"/>
                <w:bCs/>
                <w:sz w:val="20"/>
                <w:szCs w:val="20"/>
              </w:rPr>
              <w:t xml:space="preserve">2. Приспособяване на жилище (брой лица)   </w:t>
            </w:r>
          </w:p>
        </w:tc>
        <w:tc>
          <w:tcPr>
            <w:tcW w:w="2430" w:type="dxa"/>
            <w:tcBorders>
              <w:top w:val="nil"/>
              <w:left w:val="single" w:sz="8" w:space="0" w:color="auto"/>
              <w:bottom w:val="single" w:sz="4" w:space="0" w:color="auto"/>
              <w:right w:val="single" w:sz="8" w:space="0" w:color="auto"/>
            </w:tcBorders>
            <w:vAlign w:val="center"/>
            <w:hideMark/>
          </w:tcPr>
          <w:p w14:paraId="50B38B85" w14:textId="77777777" w:rsidR="00533926" w:rsidRPr="00AA5833" w:rsidRDefault="00533926" w:rsidP="00533926">
            <w:pPr>
              <w:spacing w:after="0" w:line="240" w:lineRule="auto"/>
              <w:jc w:val="right"/>
              <w:rPr>
                <w:rFonts w:ascii="Times New Roman" w:hAnsi="Times New Roman" w:cs="Times New Roman"/>
                <w:bCs/>
                <w:iCs/>
                <w:sz w:val="20"/>
                <w:szCs w:val="20"/>
              </w:rPr>
            </w:pPr>
            <w:r w:rsidRPr="00AA5833">
              <w:rPr>
                <w:rFonts w:ascii="Times New Roman" w:hAnsi="Times New Roman" w:cs="Times New Roman"/>
                <w:bCs/>
                <w:iCs/>
                <w:sz w:val="20"/>
                <w:szCs w:val="20"/>
              </w:rPr>
              <w:t>4</w:t>
            </w:r>
          </w:p>
        </w:tc>
        <w:tc>
          <w:tcPr>
            <w:tcW w:w="2121" w:type="dxa"/>
            <w:vMerge/>
            <w:tcBorders>
              <w:top w:val="nil"/>
              <w:left w:val="single" w:sz="4" w:space="0" w:color="auto"/>
              <w:bottom w:val="single" w:sz="8" w:space="0" w:color="000000"/>
              <w:right w:val="single" w:sz="4" w:space="0" w:color="auto"/>
            </w:tcBorders>
            <w:vAlign w:val="center"/>
            <w:hideMark/>
          </w:tcPr>
          <w:p w14:paraId="12FC50C0" w14:textId="77777777" w:rsidR="00533926" w:rsidRPr="00AA5833" w:rsidRDefault="00533926" w:rsidP="00533926">
            <w:pPr>
              <w:spacing w:after="0" w:line="240" w:lineRule="auto"/>
              <w:jc w:val="both"/>
              <w:rPr>
                <w:rFonts w:ascii="Times New Roman" w:hAnsi="Times New Roman" w:cs="Times New Roman"/>
                <w:bCs/>
                <w:sz w:val="20"/>
                <w:szCs w:val="20"/>
              </w:rPr>
            </w:pPr>
          </w:p>
        </w:tc>
      </w:tr>
      <w:tr w:rsidR="00533926" w:rsidRPr="00AA5833" w14:paraId="5BC31E7D" w14:textId="77777777" w:rsidTr="00533926">
        <w:trPr>
          <w:trHeight w:val="420"/>
          <w:jc w:val="center"/>
        </w:trPr>
        <w:tc>
          <w:tcPr>
            <w:tcW w:w="4521" w:type="dxa"/>
            <w:tcBorders>
              <w:top w:val="single" w:sz="4" w:space="0" w:color="auto"/>
              <w:left w:val="single" w:sz="8" w:space="0" w:color="auto"/>
              <w:bottom w:val="single" w:sz="4" w:space="0" w:color="auto"/>
              <w:right w:val="single" w:sz="4" w:space="0" w:color="auto"/>
            </w:tcBorders>
            <w:vAlign w:val="center"/>
            <w:hideMark/>
          </w:tcPr>
          <w:p w14:paraId="007DE54A" w14:textId="77777777" w:rsidR="00533926" w:rsidRPr="00AA5833" w:rsidRDefault="00533926" w:rsidP="00533926">
            <w:pPr>
              <w:spacing w:after="0" w:line="240" w:lineRule="auto"/>
              <w:jc w:val="both"/>
              <w:rPr>
                <w:rFonts w:ascii="Times New Roman" w:hAnsi="Times New Roman" w:cs="Times New Roman"/>
                <w:bCs/>
                <w:sz w:val="20"/>
                <w:szCs w:val="20"/>
              </w:rPr>
            </w:pPr>
            <w:r w:rsidRPr="00AA5833">
              <w:rPr>
                <w:rFonts w:ascii="Times New Roman" w:hAnsi="Times New Roman" w:cs="Times New Roman"/>
                <w:bCs/>
                <w:sz w:val="20"/>
                <w:szCs w:val="20"/>
              </w:rPr>
              <w:t>3. Балнеолечение и/или рехабилитационни услуги (брой лица)</w:t>
            </w:r>
          </w:p>
        </w:tc>
        <w:tc>
          <w:tcPr>
            <w:tcW w:w="2430" w:type="dxa"/>
            <w:tcBorders>
              <w:top w:val="nil"/>
              <w:left w:val="single" w:sz="8" w:space="0" w:color="auto"/>
              <w:bottom w:val="nil"/>
              <w:right w:val="single" w:sz="8" w:space="0" w:color="auto"/>
            </w:tcBorders>
            <w:vAlign w:val="center"/>
            <w:hideMark/>
          </w:tcPr>
          <w:p w14:paraId="78D1F968" w14:textId="77777777" w:rsidR="00533926" w:rsidRPr="00AA5833" w:rsidRDefault="00533926" w:rsidP="00533926">
            <w:pPr>
              <w:spacing w:after="0" w:line="240" w:lineRule="auto"/>
              <w:jc w:val="right"/>
              <w:rPr>
                <w:rFonts w:ascii="Times New Roman" w:hAnsi="Times New Roman" w:cs="Times New Roman"/>
                <w:bCs/>
                <w:sz w:val="20"/>
                <w:szCs w:val="20"/>
              </w:rPr>
            </w:pPr>
            <w:r w:rsidRPr="00AA5833">
              <w:rPr>
                <w:rFonts w:ascii="Times New Roman" w:hAnsi="Times New Roman" w:cs="Times New Roman"/>
                <w:bCs/>
                <w:sz w:val="20"/>
                <w:szCs w:val="20"/>
              </w:rPr>
              <w:t>4 725</w:t>
            </w:r>
          </w:p>
        </w:tc>
        <w:tc>
          <w:tcPr>
            <w:tcW w:w="2121" w:type="dxa"/>
            <w:vMerge/>
            <w:tcBorders>
              <w:top w:val="nil"/>
              <w:left w:val="single" w:sz="4" w:space="0" w:color="auto"/>
              <w:bottom w:val="single" w:sz="8" w:space="0" w:color="000000"/>
              <w:right w:val="single" w:sz="4" w:space="0" w:color="auto"/>
            </w:tcBorders>
            <w:vAlign w:val="center"/>
            <w:hideMark/>
          </w:tcPr>
          <w:p w14:paraId="2A5A0D76" w14:textId="77777777" w:rsidR="00533926" w:rsidRPr="00AA5833" w:rsidRDefault="00533926" w:rsidP="00533926">
            <w:pPr>
              <w:spacing w:after="0" w:line="240" w:lineRule="auto"/>
              <w:jc w:val="both"/>
              <w:rPr>
                <w:rFonts w:ascii="Times New Roman" w:hAnsi="Times New Roman" w:cs="Times New Roman"/>
                <w:bCs/>
                <w:sz w:val="20"/>
                <w:szCs w:val="20"/>
              </w:rPr>
            </w:pPr>
          </w:p>
        </w:tc>
      </w:tr>
      <w:tr w:rsidR="00533926" w:rsidRPr="00AA5833" w14:paraId="78015F09" w14:textId="77777777" w:rsidTr="00533926">
        <w:trPr>
          <w:trHeight w:val="399"/>
          <w:jc w:val="center"/>
        </w:trPr>
        <w:tc>
          <w:tcPr>
            <w:tcW w:w="4521" w:type="dxa"/>
            <w:tcBorders>
              <w:top w:val="nil"/>
              <w:left w:val="single" w:sz="8" w:space="0" w:color="auto"/>
              <w:bottom w:val="single" w:sz="4" w:space="0" w:color="auto"/>
              <w:right w:val="single" w:sz="4" w:space="0" w:color="auto"/>
            </w:tcBorders>
            <w:vAlign w:val="center"/>
            <w:hideMark/>
          </w:tcPr>
          <w:p w14:paraId="67758B35" w14:textId="77777777" w:rsidR="00533926" w:rsidRPr="00AA5833" w:rsidRDefault="00533926" w:rsidP="00533926">
            <w:pPr>
              <w:spacing w:after="0" w:line="240" w:lineRule="auto"/>
              <w:jc w:val="both"/>
              <w:rPr>
                <w:rFonts w:ascii="Times New Roman" w:hAnsi="Times New Roman" w:cs="Times New Roman"/>
                <w:bCs/>
                <w:sz w:val="20"/>
                <w:szCs w:val="20"/>
              </w:rPr>
            </w:pPr>
            <w:r w:rsidRPr="00AA5833">
              <w:rPr>
                <w:rFonts w:ascii="Times New Roman" w:hAnsi="Times New Roman" w:cs="Times New Roman"/>
                <w:bCs/>
                <w:sz w:val="20"/>
                <w:szCs w:val="20"/>
              </w:rPr>
              <w:t>3.1. Балнеолечение и/или рехабилитационни услуги по чл.76, ал.6 от ЗХУ (брой лица)</w:t>
            </w:r>
          </w:p>
        </w:tc>
        <w:tc>
          <w:tcPr>
            <w:tcW w:w="2430" w:type="dxa"/>
            <w:tcBorders>
              <w:top w:val="single" w:sz="4" w:space="0" w:color="auto"/>
              <w:left w:val="single" w:sz="8" w:space="0" w:color="auto"/>
              <w:bottom w:val="single" w:sz="4" w:space="0" w:color="auto"/>
              <w:right w:val="single" w:sz="8" w:space="0" w:color="auto"/>
            </w:tcBorders>
            <w:vAlign w:val="center"/>
            <w:hideMark/>
          </w:tcPr>
          <w:p w14:paraId="236A5C61" w14:textId="77777777" w:rsidR="00533926" w:rsidRPr="00AA5833" w:rsidRDefault="00533926" w:rsidP="00533926">
            <w:pPr>
              <w:spacing w:after="0" w:line="240" w:lineRule="auto"/>
              <w:jc w:val="right"/>
              <w:rPr>
                <w:rFonts w:ascii="Times New Roman" w:hAnsi="Times New Roman" w:cs="Times New Roman"/>
                <w:bCs/>
                <w:sz w:val="20"/>
                <w:szCs w:val="20"/>
              </w:rPr>
            </w:pPr>
            <w:r w:rsidRPr="00AA5833">
              <w:rPr>
                <w:rFonts w:ascii="Times New Roman" w:hAnsi="Times New Roman" w:cs="Times New Roman"/>
                <w:bCs/>
                <w:sz w:val="20"/>
                <w:szCs w:val="20"/>
              </w:rPr>
              <w:t>1 487</w:t>
            </w:r>
          </w:p>
        </w:tc>
        <w:tc>
          <w:tcPr>
            <w:tcW w:w="2121" w:type="dxa"/>
            <w:vMerge/>
            <w:tcBorders>
              <w:top w:val="nil"/>
              <w:left w:val="single" w:sz="4" w:space="0" w:color="auto"/>
              <w:bottom w:val="single" w:sz="8" w:space="0" w:color="000000"/>
              <w:right w:val="single" w:sz="4" w:space="0" w:color="auto"/>
            </w:tcBorders>
            <w:vAlign w:val="center"/>
            <w:hideMark/>
          </w:tcPr>
          <w:p w14:paraId="4266ACD6" w14:textId="77777777" w:rsidR="00533926" w:rsidRPr="00AA5833" w:rsidRDefault="00533926" w:rsidP="00533926">
            <w:pPr>
              <w:spacing w:after="0" w:line="240" w:lineRule="auto"/>
              <w:jc w:val="both"/>
              <w:rPr>
                <w:rFonts w:ascii="Times New Roman" w:hAnsi="Times New Roman" w:cs="Times New Roman"/>
                <w:bCs/>
                <w:sz w:val="20"/>
                <w:szCs w:val="20"/>
              </w:rPr>
            </w:pPr>
          </w:p>
        </w:tc>
      </w:tr>
      <w:tr w:rsidR="00533926" w:rsidRPr="00AA5833" w14:paraId="6BA6EA46" w14:textId="77777777" w:rsidTr="00533926">
        <w:trPr>
          <w:trHeight w:val="270"/>
          <w:jc w:val="center"/>
        </w:trPr>
        <w:tc>
          <w:tcPr>
            <w:tcW w:w="4521" w:type="dxa"/>
            <w:tcBorders>
              <w:top w:val="nil"/>
              <w:left w:val="single" w:sz="8" w:space="0" w:color="auto"/>
              <w:bottom w:val="single" w:sz="8" w:space="0" w:color="auto"/>
              <w:right w:val="single" w:sz="4" w:space="0" w:color="auto"/>
            </w:tcBorders>
            <w:vAlign w:val="center"/>
            <w:hideMark/>
          </w:tcPr>
          <w:p w14:paraId="67A7DF8B" w14:textId="77777777" w:rsidR="00533926" w:rsidRPr="00AA5833" w:rsidRDefault="00533926" w:rsidP="00533926">
            <w:pPr>
              <w:spacing w:after="0" w:line="240" w:lineRule="auto"/>
              <w:jc w:val="both"/>
              <w:rPr>
                <w:rFonts w:ascii="Times New Roman" w:hAnsi="Times New Roman" w:cs="Times New Roman"/>
                <w:bCs/>
                <w:sz w:val="20"/>
                <w:szCs w:val="20"/>
              </w:rPr>
            </w:pPr>
            <w:r w:rsidRPr="00AA5833">
              <w:rPr>
                <w:rFonts w:ascii="Times New Roman" w:hAnsi="Times New Roman" w:cs="Times New Roman"/>
                <w:bCs/>
                <w:sz w:val="20"/>
                <w:szCs w:val="20"/>
              </w:rPr>
              <w:t>4. Наем на общинско жилище (средномесечен брой лица)</w:t>
            </w:r>
          </w:p>
        </w:tc>
        <w:tc>
          <w:tcPr>
            <w:tcW w:w="2430" w:type="dxa"/>
            <w:tcBorders>
              <w:top w:val="nil"/>
              <w:left w:val="single" w:sz="8" w:space="0" w:color="auto"/>
              <w:bottom w:val="single" w:sz="4" w:space="0" w:color="auto"/>
              <w:right w:val="single" w:sz="8" w:space="0" w:color="auto"/>
            </w:tcBorders>
            <w:vAlign w:val="center"/>
            <w:hideMark/>
          </w:tcPr>
          <w:p w14:paraId="2E37BA54" w14:textId="77777777" w:rsidR="00533926" w:rsidRPr="00AA5833" w:rsidRDefault="00533926" w:rsidP="00533926">
            <w:pPr>
              <w:spacing w:after="0" w:line="240" w:lineRule="auto"/>
              <w:jc w:val="right"/>
              <w:rPr>
                <w:rFonts w:ascii="Times New Roman" w:hAnsi="Times New Roman" w:cs="Times New Roman"/>
                <w:bCs/>
                <w:sz w:val="20"/>
                <w:szCs w:val="20"/>
              </w:rPr>
            </w:pPr>
            <w:r w:rsidRPr="00AA5833">
              <w:rPr>
                <w:rFonts w:ascii="Times New Roman" w:hAnsi="Times New Roman" w:cs="Times New Roman"/>
                <w:bCs/>
                <w:sz w:val="20"/>
                <w:szCs w:val="20"/>
              </w:rPr>
              <w:t>1 153</w:t>
            </w:r>
          </w:p>
        </w:tc>
        <w:tc>
          <w:tcPr>
            <w:tcW w:w="2121" w:type="dxa"/>
            <w:vMerge/>
            <w:tcBorders>
              <w:top w:val="nil"/>
              <w:left w:val="single" w:sz="4" w:space="0" w:color="auto"/>
              <w:bottom w:val="single" w:sz="8" w:space="0" w:color="000000"/>
              <w:right w:val="single" w:sz="4" w:space="0" w:color="auto"/>
            </w:tcBorders>
            <w:vAlign w:val="center"/>
            <w:hideMark/>
          </w:tcPr>
          <w:p w14:paraId="2AF3F266" w14:textId="77777777" w:rsidR="00533926" w:rsidRPr="00AA5833" w:rsidRDefault="00533926" w:rsidP="00533926">
            <w:pPr>
              <w:spacing w:after="0" w:line="240" w:lineRule="auto"/>
              <w:jc w:val="both"/>
              <w:rPr>
                <w:rFonts w:ascii="Times New Roman" w:hAnsi="Times New Roman" w:cs="Times New Roman"/>
                <w:bCs/>
                <w:sz w:val="20"/>
                <w:szCs w:val="20"/>
              </w:rPr>
            </w:pPr>
          </w:p>
        </w:tc>
      </w:tr>
    </w:tbl>
    <w:p w14:paraId="7D767A9C" w14:textId="77777777" w:rsidR="00533926" w:rsidRPr="00AA5833" w:rsidRDefault="00533926" w:rsidP="00533926">
      <w:pPr>
        <w:spacing w:after="0" w:line="240" w:lineRule="auto"/>
        <w:jc w:val="both"/>
        <w:rPr>
          <w:rFonts w:ascii="Times New Roman" w:eastAsia="Times New Roman" w:hAnsi="Times New Roman" w:cs="Times New Roman"/>
          <w:b/>
          <w:bCs/>
          <w:i/>
          <w:iCs/>
          <w:sz w:val="24"/>
          <w:szCs w:val="24"/>
          <w:lang w:eastAsia="bg-BG"/>
        </w:rPr>
      </w:pPr>
    </w:p>
    <w:p w14:paraId="454AA43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5B89A678" w14:textId="77777777" w:rsidR="00533926" w:rsidRPr="00AA5833" w:rsidRDefault="00533926" w:rsidP="00533926">
      <w:pPr>
        <w:tabs>
          <w:tab w:val="left" w:pos="709"/>
        </w:tabs>
        <w:spacing w:after="0" w:line="240" w:lineRule="auto"/>
        <w:jc w:val="both"/>
        <w:rPr>
          <w:rFonts w:ascii="Times New Roman" w:hAnsi="Times New Roman" w:cs="Times New Roman"/>
          <w:sz w:val="24"/>
          <w:szCs w:val="24"/>
        </w:rPr>
      </w:pPr>
    </w:p>
    <w:p w14:paraId="4AC42C0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10.2.40. Изпълнение на Закона за личната помощ, който урежда условията и реда за предоставянето и ползването на лична помощ от хора с увреждания</w:t>
      </w:r>
    </w:p>
    <w:p w14:paraId="62DABC1F"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7C6FE373"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В Държавен вестник, бр. 105 от 18.12.2018 г. е обнародван </w:t>
      </w:r>
      <w:r w:rsidRPr="00AA5833">
        <w:rPr>
          <w:rFonts w:ascii="Times New Roman" w:hAnsi="Times New Roman" w:cs="Times New Roman"/>
          <w:b/>
          <w:sz w:val="24"/>
          <w:szCs w:val="24"/>
        </w:rPr>
        <w:t xml:space="preserve">Законът за личната помощ </w:t>
      </w:r>
      <w:r w:rsidRPr="00AA5833">
        <w:rPr>
          <w:rFonts w:ascii="Times New Roman" w:hAnsi="Times New Roman" w:cs="Times New Roman"/>
          <w:sz w:val="24"/>
          <w:szCs w:val="24"/>
        </w:rPr>
        <w:t>(ЗЛП)</w:t>
      </w:r>
      <w:r w:rsidRPr="00AA5833">
        <w:rPr>
          <w:rFonts w:ascii="Times New Roman" w:hAnsi="Times New Roman" w:cs="Times New Roman"/>
          <w:sz w:val="24"/>
          <w:szCs w:val="24"/>
          <w:lang w:bidi="bg-BG"/>
        </w:rPr>
        <w:t xml:space="preserve">, който е в сила от 01.01.2019 година. Със ЗЛП се регламентира нов вид подкрепа, дефинирана като механизъм за подкрепа на хора с увреждания, включително и възрастни лица за упражняване на правата им, за пълноценно участие в обществото, </w:t>
      </w:r>
      <w:r w:rsidRPr="00AA5833">
        <w:rPr>
          <w:rFonts w:ascii="Times New Roman" w:hAnsi="Times New Roman" w:cs="Times New Roman"/>
          <w:sz w:val="24"/>
          <w:szCs w:val="24"/>
        </w:rPr>
        <w:t xml:space="preserve">да </w:t>
      </w:r>
      <w:r w:rsidRPr="00AA5833">
        <w:rPr>
          <w:rFonts w:ascii="Times New Roman" w:hAnsi="Times New Roman" w:cs="Times New Roman"/>
          <w:sz w:val="24"/>
          <w:szCs w:val="24"/>
        </w:rPr>
        <w:lastRenderedPageBreak/>
        <w:t xml:space="preserve">имат възможности за избор, независим живот, активно включване и участие в обществото и достъп до услуги и дейности, </w:t>
      </w:r>
      <w:r w:rsidRPr="00AA5833">
        <w:rPr>
          <w:rFonts w:ascii="Times New Roman" w:hAnsi="Times New Roman" w:cs="Times New Roman"/>
          <w:sz w:val="24"/>
          <w:szCs w:val="24"/>
          <w:lang w:bidi="bg-BG"/>
        </w:rPr>
        <w:t xml:space="preserve">отговарящи на индивидуалните им потребности от личен, домашен или социален характер и за преодоляване на бариерите на функционалните им ограничения. </w:t>
      </w:r>
    </w:p>
    <w:p w14:paraId="6B75AC15" w14:textId="77777777" w:rsidR="00533926" w:rsidRPr="00AA5833" w:rsidRDefault="00533926" w:rsidP="00533926">
      <w:pPr>
        <w:widowControl w:val="0"/>
        <w:spacing w:after="0" w:line="240" w:lineRule="auto"/>
        <w:ind w:right="-92" w:firstLine="708"/>
        <w:jc w:val="both"/>
        <w:rPr>
          <w:rFonts w:ascii="Times New Roman" w:hAnsi="Times New Roman" w:cs="Times New Roman"/>
          <w:sz w:val="24"/>
          <w:szCs w:val="24"/>
          <w:lang w:bidi="bg-BG"/>
        </w:rPr>
      </w:pPr>
      <w:r w:rsidRPr="00AA5833">
        <w:rPr>
          <w:rFonts w:ascii="Times New Roman" w:hAnsi="Times New Roman" w:cs="Times New Roman"/>
          <w:sz w:val="24"/>
          <w:szCs w:val="24"/>
          <w:lang w:bidi="bg-BG"/>
        </w:rPr>
        <w:t>Механизмът е основан на гарантирана от държавата финансова подкрепа, индивидуалните потребности и избор на хората с увреждания.</w:t>
      </w:r>
      <w:r w:rsidRPr="00AA5833">
        <w:rPr>
          <w:rFonts w:ascii="Times New Roman" w:eastAsia="Calibri" w:hAnsi="Times New Roman" w:cs="Times New Roman"/>
          <w:sz w:val="24"/>
          <w:szCs w:val="24"/>
        </w:rPr>
        <w:t xml:space="preserve"> </w:t>
      </w:r>
      <w:r w:rsidRPr="00AA5833">
        <w:rPr>
          <w:rFonts w:ascii="Times New Roman" w:hAnsi="Times New Roman" w:cs="Times New Roman"/>
          <w:sz w:val="24"/>
          <w:szCs w:val="24"/>
        </w:rPr>
        <w:t xml:space="preserve"> С него се даде възможност, лицата с увреждания, които имат изготвена индивидуална оценка на потребностите по реда на глава трета от ЗХУ да бъдат включени в механизма лична помощ. Същата се изготвя от специализирани отдели към ДСП.</w:t>
      </w:r>
    </w:p>
    <w:p w14:paraId="1C57A4D5" w14:textId="77777777" w:rsidR="00533926" w:rsidRPr="00AA5833" w:rsidRDefault="00533926" w:rsidP="00533926">
      <w:pPr>
        <w:spacing w:after="0" w:line="240" w:lineRule="auto"/>
        <w:ind w:right="-92" w:firstLine="708"/>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Въз основа на заключенията в индивидуалната оценка на потребностите директорът на ДСП или оправомощено от него длъжностно лице издава направление за предоставяне на лична помощ с определен брой часове. Човекът с увреждане, на когото е изготвена индивидуална оценка на потребностите и е издадено направление по реда на глава трета от ЗХУ с определен брой часове за лична помощ, може да заяви предоставянето на механизма лична помощ пред кмета на общината по настоящия си адрес. </w:t>
      </w:r>
      <w:r w:rsidRPr="00AA5833">
        <w:rPr>
          <w:rFonts w:ascii="Times New Roman" w:hAnsi="Times New Roman" w:cs="Times New Roman"/>
          <w:sz w:val="24"/>
          <w:szCs w:val="24"/>
          <w:lang w:bidi="bg-BG"/>
        </w:rPr>
        <w:t>Предоставянето и финансирането на механизма лична помощ се осъществява от 01.09.2019 г.</w:t>
      </w:r>
      <w:r w:rsidRPr="00AA5833">
        <w:rPr>
          <w:rFonts w:ascii="Times New Roman" w:hAnsi="Times New Roman" w:cs="Times New Roman"/>
          <w:sz w:val="24"/>
          <w:szCs w:val="24"/>
        </w:rPr>
        <w:t xml:space="preserve"> На общините за 2024 г. са преведени </w:t>
      </w:r>
      <w:r w:rsidRPr="00AA5833">
        <w:rPr>
          <w:rFonts w:ascii="Times New Roman" w:hAnsi="Times New Roman" w:cs="Times New Roman"/>
          <w:b/>
          <w:sz w:val="24"/>
          <w:szCs w:val="24"/>
        </w:rPr>
        <w:t>891 339 277 лв.</w:t>
      </w:r>
      <w:r w:rsidRPr="00AA5833">
        <w:rPr>
          <w:rFonts w:ascii="Times New Roman" w:hAnsi="Times New Roman" w:cs="Times New Roman"/>
          <w:sz w:val="24"/>
          <w:szCs w:val="24"/>
        </w:rPr>
        <w:t xml:space="preserve"> </w:t>
      </w:r>
    </w:p>
    <w:p w14:paraId="695B34F3" w14:textId="77777777" w:rsidR="00533926" w:rsidRPr="00AA5833" w:rsidRDefault="00533926" w:rsidP="00533926">
      <w:pPr>
        <w:spacing w:after="0" w:line="240" w:lineRule="auto"/>
        <w:ind w:right="-92" w:firstLine="567"/>
        <w:contextualSpacing/>
        <w:jc w:val="both"/>
        <w:rPr>
          <w:rFonts w:ascii="Times New Roman" w:hAnsi="Times New Roman" w:cs="Times New Roman"/>
          <w:b/>
          <w:sz w:val="24"/>
          <w:szCs w:val="24"/>
        </w:rPr>
      </w:pPr>
      <w:r w:rsidRPr="00AA5833">
        <w:rPr>
          <w:rFonts w:ascii="Times New Roman" w:hAnsi="Times New Roman" w:cs="Times New Roman"/>
          <w:sz w:val="24"/>
          <w:szCs w:val="24"/>
        </w:rPr>
        <w:t xml:space="preserve">За предоставяне на механизъм лична помощ и е осигурена подкрепа на </w:t>
      </w:r>
      <w:r w:rsidRPr="00AA5833">
        <w:rPr>
          <w:rFonts w:ascii="Times New Roman" w:hAnsi="Times New Roman" w:cs="Times New Roman"/>
          <w:b/>
          <w:sz w:val="24"/>
          <w:szCs w:val="24"/>
        </w:rPr>
        <w:t xml:space="preserve">64 282 </w:t>
      </w:r>
      <w:r w:rsidRPr="00AA5833">
        <w:rPr>
          <w:rFonts w:ascii="Times New Roman" w:hAnsi="Times New Roman" w:cs="Times New Roman"/>
          <w:b/>
          <w:i/>
          <w:sz w:val="24"/>
          <w:szCs w:val="24"/>
        </w:rPr>
        <w:t>средномесечен</w:t>
      </w:r>
      <w:r w:rsidRPr="00AA5833">
        <w:rPr>
          <w:rFonts w:ascii="Times New Roman" w:hAnsi="Times New Roman" w:cs="Times New Roman"/>
          <w:sz w:val="24"/>
          <w:szCs w:val="24"/>
        </w:rPr>
        <w:t xml:space="preserve"> брой ползватели.</w:t>
      </w:r>
    </w:p>
    <w:p w14:paraId="6B0B499B" w14:textId="77777777" w:rsidR="00533926" w:rsidRPr="00AA5833" w:rsidRDefault="00533926" w:rsidP="00533926">
      <w:pPr>
        <w:spacing w:after="0" w:line="240" w:lineRule="auto"/>
        <w:ind w:right="-92" w:firstLine="567"/>
        <w:contextualSpacing/>
        <w:jc w:val="both"/>
        <w:rPr>
          <w:rFonts w:ascii="Times New Roman" w:hAnsi="Times New Roman" w:cs="Times New Roman"/>
          <w:b/>
          <w:sz w:val="24"/>
          <w:szCs w:val="24"/>
        </w:rPr>
      </w:pPr>
    </w:p>
    <w:p w14:paraId="2B13BEC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2F8A17A2"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5FB95EB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10.2.41. Предоставяне на месечна финансова подкрепа за хора с трайни увреждания по реда на Закона за хората с увреждания и Правилника за неговото прилагане</w:t>
      </w:r>
    </w:p>
    <w:p w14:paraId="6572990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8654428" w14:textId="77777777" w:rsidR="00533926" w:rsidRPr="00AA5833" w:rsidRDefault="00533926" w:rsidP="00533926">
      <w:pPr>
        <w:spacing w:after="0" w:line="240" w:lineRule="auto"/>
        <w:ind w:left="10" w:right="-49" w:hanging="10"/>
        <w:jc w:val="both"/>
        <w:rPr>
          <w:rFonts w:ascii="Times New Roman" w:hAnsi="Times New Roman" w:cs="Times New Roman"/>
          <w:sz w:val="24"/>
          <w:szCs w:val="24"/>
        </w:rPr>
      </w:pPr>
      <w:r w:rsidRPr="00AA5833">
        <w:rPr>
          <w:rFonts w:ascii="Times New Roman" w:hAnsi="Times New Roman" w:cs="Times New Roman"/>
          <w:sz w:val="24"/>
          <w:szCs w:val="24"/>
        </w:rPr>
        <w:tab/>
      </w:r>
      <w:r w:rsidRPr="00AA5833">
        <w:rPr>
          <w:rFonts w:ascii="Times New Roman" w:hAnsi="Times New Roman" w:cs="Times New Roman"/>
          <w:sz w:val="24"/>
          <w:szCs w:val="24"/>
        </w:rPr>
        <w:tab/>
        <w:t>Финансовата подкрепа се състои от 2 компонента – месечна финансова подкрепа съобразно степента на увреждане и целеви помощи съобразно вида на увреждане. Месечната финансова подкрепа е процент от линията на бедност, която ежегодно се актуализира с Постановление на Министерския съвет. За 2024 г. линията на бедност е в размер на 526,00 лв., което е предпоставка за увеличение на отпуснатите средства през годината спрямо предходната.</w:t>
      </w:r>
    </w:p>
    <w:p w14:paraId="5FF4AF96" w14:textId="77777777" w:rsidR="00533926" w:rsidRPr="00AA5833" w:rsidRDefault="00533926" w:rsidP="00533926">
      <w:pPr>
        <w:spacing w:after="0" w:line="240" w:lineRule="auto"/>
        <w:ind w:right="-49" w:firstLine="720"/>
        <w:jc w:val="both"/>
        <w:rPr>
          <w:rFonts w:ascii="Times New Roman" w:hAnsi="Times New Roman" w:cs="Times New Roman"/>
          <w:sz w:val="24"/>
          <w:szCs w:val="24"/>
        </w:rPr>
      </w:pPr>
      <w:r w:rsidRPr="00AA5833">
        <w:rPr>
          <w:rFonts w:ascii="Times New Roman" w:hAnsi="Times New Roman" w:cs="Times New Roman"/>
          <w:sz w:val="24"/>
          <w:szCs w:val="24"/>
        </w:rPr>
        <w:t>Правото на месечна финансова подкрепа имат хората с трайни увреждания над 18 годишна възраст, както следва:</w:t>
      </w:r>
    </w:p>
    <w:p w14:paraId="4900ED7A" w14:textId="77777777" w:rsidR="00533926" w:rsidRPr="00AA5833" w:rsidRDefault="00533926" w:rsidP="002A598C">
      <w:pPr>
        <w:numPr>
          <w:ilvl w:val="0"/>
          <w:numId w:val="99"/>
        </w:numPr>
        <w:spacing w:after="0" w:line="240" w:lineRule="auto"/>
        <w:ind w:right="-49"/>
        <w:contextualSpacing/>
        <w:jc w:val="both"/>
        <w:rPr>
          <w:rFonts w:ascii="Times New Roman" w:hAnsi="Times New Roman" w:cs="Times New Roman"/>
          <w:sz w:val="24"/>
          <w:szCs w:val="24"/>
        </w:rPr>
      </w:pPr>
      <w:r w:rsidRPr="00AA5833">
        <w:rPr>
          <w:rFonts w:ascii="Times New Roman" w:eastAsia="Times New Roman" w:hAnsi="Times New Roman" w:cs="Times New Roman"/>
          <w:sz w:val="24"/>
          <w:szCs w:val="24"/>
          <w:lang w:eastAsia="bg-BG"/>
        </w:rPr>
        <w:t>От 50 до 70,99 на сто степен на увреждане – в размер 7 на сто от линията на бедност – 36,82 лв.;</w:t>
      </w:r>
    </w:p>
    <w:p w14:paraId="43A32EF2" w14:textId="77777777" w:rsidR="00533926" w:rsidRPr="00AA5833" w:rsidRDefault="00533926" w:rsidP="002A598C">
      <w:pPr>
        <w:numPr>
          <w:ilvl w:val="0"/>
          <w:numId w:val="99"/>
        </w:numPr>
        <w:spacing w:after="0" w:line="240" w:lineRule="auto"/>
        <w:ind w:right="-49"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 71 до 90 на сто степен на увреждане – в размер на 15 на сто от линията на бедност – 78,90 лв.;</w:t>
      </w:r>
    </w:p>
    <w:p w14:paraId="664CDAA5" w14:textId="77777777" w:rsidR="00533926" w:rsidRPr="00AA5833" w:rsidRDefault="00533926" w:rsidP="002A598C">
      <w:pPr>
        <w:numPr>
          <w:ilvl w:val="0"/>
          <w:numId w:val="99"/>
        </w:numPr>
        <w:spacing w:after="0" w:line="240" w:lineRule="auto"/>
        <w:ind w:right="-49"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Над 90 на сто степен на увреждане – в размер 25 на сто от линията на бедност – 131,50 лв.;</w:t>
      </w:r>
    </w:p>
    <w:p w14:paraId="2D6CD8E3" w14:textId="77777777" w:rsidR="00533926" w:rsidRPr="00AA5833" w:rsidRDefault="00533926" w:rsidP="002A598C">
      <w:pPr>
        <w:numPr>
          <w:ilvl w:val="0"/>
          <w:numId w:val="99"/>
        </w:numPr>
        <w:spacing w:after="0" w:line="240" w:lineRule="auto"/>
        <w:ind w:right="-49"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Над 90 на сто степен на увреждане с определена чужда помощ, които получават пенсия за инвалидност поради общо заболяване или поради трудова злополука или професионална болест - в размер 30 на сто от линията на бедност – 157,80 лв.;</w:t>
      </w:r>
    </w:p>
    <w:p w14:paraId="43C95A5A" w14:textId="77777777" w:rsidR="00533926" w:rsidRPr="00AA5833" w:rsidRDefault="00533926" w:rsidP="002A598C">
      <w:pPr>
        <w:numPr>
          <w:ilvl w:val="0"/>
          <w:numId w:val="99"/>
        </w:numPr>
        <w:spacing w:after="0" w:line="240" w:lineRule="auto"/>
        <w:ind w:right="-49"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Над 90 на сто степен на увреждане с определена чужда помощ, които получават социална пенсия за инвалидност или пенсия за военна инвалидност, или пенсия за гражданска инвалидност, или наследствена пенсия - в размер 57 на сто от линията на бедност – 299,82 лева.</w:t>
      </w:r>
    </w:p>
    <w:p w14:paraId="1E9BF90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r>
    </w:p>
    <w:p w14:paraId="60AD3C3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За 2024 г. с месечна финансова подкрепа са били подпомогнати </w:t>
      </w:r>
      <w:r w:rsidRPr="00AA5833">
        <w:rPr>
          <w:rFonts w:ascii="Times New Roman" w:hAnsi="Times New Roman" w:cs="Times New Roman"/>
          <w:b/>
          <w:bCs/>
          <w:iCs/>
          <w:sz w:val="24"/>
          <w:szCs w:val="24"/>
        </w:rPr>
        <w:t xml:space="preserve">697 525 </w:t>
      </w:r>
      <w:r w:rsidRPr="00AA5833">
        <w:rPr>
          <w:rFonts w:ascii="Times New Roman" w:hAnsi="Times New Roman" w:cs="Times New Roman"/>
          <w:b/>
          <w:sz w:val="24"/>
          <w:szCs w:val="24"/>
        </w:rPr>
        <w:t>средномесечен</w:t>
      </w:r>
      <w:r w:rsidRPr="00AA5833">
        <w:rPr>
          <w:rFonts w:ascii="Times New Roman" w:hAnsi="Times New Roman" w:cs="Times New Roman"/>
          <w:i/>
          <w:sz w:val="24"/>
          <w:szCs w:val="24"/>
        </w:rPr>
        <w:t xml:space="preserve"> </w:t>
      </w:r>
      <w:r w:rsidRPr="00AA5833">
        <w:rPr>
          <w:rFonts w:ascii="Times New Roman" w:hAnsi="Times New Roman" w:cs="Times New Roman"/>
          <w:b/>
          <w:sz w:val="24"/>
          <w:szCs w:val="24"/>
        </w:rPr>
        <w:t>брой лица</w:t>
      </w:r>
      <w:r w:rsidRPr="00AA5833">
        <w:rPr>
          <w:rFonts w:ascii="Times New Roman" w:hAnsi="Times New Roman" w:cs="Times New Roman"/>
          <w:sz w:val="24"/>
          <w:szCs w:val="24"/>
        </w:rPr>
        <w:t>.</w:t>
      </w:r>
    </w:p>
    <w:p w14:paraId="70EBC612" w14:textId="77777777" w:rsidR="00533926" w:rsidRPr="00AA5833" w:rsidRDefault="00533926" w:rsidP="00533926">
      <w:pPr>
        <w:spacing w:after="0" w:line="240" w:lineRule="auto"/>
        <w:jc w:val="both"/>
        <w:rPr>
          <w:rFonts w:ascii="Times New Roman" w:eastAsia="Times New Roman" w:hAnsi="Times New Roman" w:cs="Times New Roman"/>
          <w:b/>
          <w:bCs/>
          <w:i/>
          <w:iCs/>
          <w:sz w:val="24"/>
          <w:szCs w:val="24"/>
          <w:lang w:eastAsia="bg-BG"/>
        </w:rPr>
      </w:pPr>
      <w:r w:rsidRPr="00AA5833">
        <w:rPr>
          <w:rFonts w:ascii="Times New Roman" w:hAnsi="Times New Roman" w:cs="Times New Roman"/>
          <w:b/>
          <w:bCs/>
          <w:i/>
          <w:iCs/>
          <w:sz w:val="24"/>
          <w:szCs w:val="24"/>
        </w:rPr>
        <w:lastRenderedPageBreak/>
        <w:t xml:space="preserve"> </w:t>
      </w:r>
      <w:r w:rsidRPr="00AA5833">
        <w:rPr>
          <w:rFonts w:ascii="Times New Roman" w:hAnsi="Times New Roman" w:cs="Times New Roman"/>
          <w:bCs/>
          <w:i/>
          <w:sz w:val="24"/>
          <w:szCs w:val="24"/>
        </w:rPr>
        <w:t xml:space="preserve">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1"/>
        <w:gridCol w:w="2127"/>
        <w:gridCol w:w="2126"/>
      </w:tblGrid>
      <w:tr w:rsidR="00533926" w:rsidRPr="00AA5833" w14:paraId="0A7EA4C5" w14:textId="77777777" w:rsidTr="00533926">
        <w:trPr>
          <w:trHeight w:val="555"/>
          <w:jc w:val="center"/>
        </w:trPr>
        <w:tc>
          <w:tcPr>
            <w:tcW w:w="5811" w:type="dxa"/>
            <w:tcBorders>
              <w:top w:val="single" w:sz="4" w:space="0" w:color="auto"/>
              <w:left w:val="single" w:sz="4" w:space="0" w:color="auto"/>
              <w:bottom w:val="single" w:sz="4" w:space="0" w:color="auto"/>
              <w:right w:val="single" w:sz="4" w:space="0" w:color="auto"/>
            </w:tcBorders>
            <w:shd w:val="clear" w:color="auto" w:fill="F7C5A3"/>
            <w:vAlign w:val="center"/>
            <w:hideMark/>
          </w:tcPr>
          <w:p w14:paraId="201A944E" w14:textId="77777777" w:rsidR="00533926" w:rsidRPr="00AA5833" w:rsidRDefault="00533926" w:rsidP="00533926">
            <w:pPr>
              <w:spacing w:after="0" w:line="240" w:lineRule="auto"/>
              <w:ind w:left="10"/>
              <w:jc w:val="center"/>
              <w:rPr>
                <w:rFonts w:ascii="Times New Roman" w:hAnsi="Times New Roman" w:cs="Times New Roman"/>
                <w:b/>
                <w:bCs/>
                <w:sz w:val="20"/>
                <w:szCs w:val="20"/>
              </w:rPr>
            </w:pPr>
            <w:r w:rsidRPr="00AA5833">
              <w:rPr>
                <w:rFonts w:ascii="Times New Roman" w:hAnsi="Times New Roman" w:cs="Times New Roman"/>
                <w:b/>
                <w:bCs/>
                <w:sz w:val="20"/>
                <w:szCs w:val="20"/>
              </w:rPr>
              <w:t>Закон за хората с увреждания</w:t>
            </w:r>
          </w:p>
        </w:tc>
        <w:tc>
          <w:tcPr>
            <w:tcW w:w="2127" w:type="dxa"/>
            <w:tcBorders>
              <w:top w:val="single" w:sz="4" w:space="0" w:color="auto"/>
              <w:left w:val="single" w:sz="4" w:space="0" w:color="auto"/>
              <w:bottom w:val="single" w:sz="4" w:space="0" w:color="auto"/>
              <w:right w:val="single" w:sz="4" w:space="0" w:color="auto"/>
            </w:tcBorders>
            <w:shd w:val="clear" w:color="auto" w:fill="F7C5A3"/>
            <w:vAlign w:val="center"/>
            <w:hideMark/>
          </w:tcPr>
          <w:p w14:paraId="36B8403D" w14:textId="77777777" w:rsidR="00533926" w:rsidRPr="00AA5833" w:rsidRDefault="00533926" w:rsidP="00533926">
            <w:pPr>
              <w:spacing w:after="0" w:line="240" w:lineRule="auto"/>
              <w:ind w:left="10"/>
              <w:jc w:val="center"/>
              <w:rPr>
                <w:rFonts w:ascii="Times New Roman" w:hAnsi="Times New Roman" w:cs="Times New Roman"/>
                <w:b/>
                <w:bCs/>
                <w:sz w:val="20"/>
                <w:szCs w:val="20"/>
              </w:rPr>
            </w:pPr>
            <w:r w:rsidRPr="00AA5833">
              <w:rPr>
                <w:rFonts w:ascii="Times New Roman" w:hAnsi="Times New Roman" w:cs="Times New Roman"/>
                <w:b/>
                <w:bCs/>
                <w:sz w:val="20"/>
                <w:szCs w:val="20"/>
              </w:rPr>
              <w:t>Средномесечен брой лица за периода януари- декември 2024 г.</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7C5A3"/>
            <w:vAlign w:val="center"/>
            <w:hideMark/>
          </w:tcPr>
          <w:p w14:paraId="55853E13" w14:textId="77777777" w:rsidR="00533926" w:rsidRPr="00AA5833" w:rsidRDefault="00533926" w:rsidP="00533926">
            <w:pPr>
              <w:spacing w:after="0" w:line="240" w:lineRule="auto"/>
              <w:ind w:left="10"/>
              <w:jc w:val="center"/>
              <w:rPr>
                <w:rFonts w:ascii="Times New Roman" w:hAnsi="Times New Roman" w:cs="Times New Roman"/>
                <w:b/>
                <w:bCs/>
                <w:sz w:val="20"/>
                <w:szCs w:val="20"/>
              </w:rPr>
            </w:pPr>
            <w:r w:rsidRPr="00AA5833">
              <w:rPr>
                <w:rFonts w:ascii="Times New Roman" w:hAnsi="Times New Roman" w:cs="Times New Roman"/>
                <w:b/>
                <w:bCs/>
                <w:sz w:val="20"/>
                <w:szCs w:val="20"/>
              </w:rPr>
              <w:t>Изплатена сума</w:t>
            </w:r>
          </w:p>
          <w:p w14:paraId="73AB378A" w14:textId="77777777" w:rsidR="00533926" w:rsidRPr="00AA5833" w:rsidRDefault="00533926" w:rsidP="00533926">
            <w:pPr>
              <w:spacing w:after="0" w:line="240" w:lineRule="auto"/>
              <w:ind w:left="10"/>
              <w:jc w:val="center"/>
              <w:rPr>
                <w:rFonts w:ascii="Times New Roman" w:hAnsi="Times New Roman" w:cs="Times New Roman"/>
                <w:b/>
                <w:bCs/>
                <w:sz w:val="20"/>
                <w:szCs w:val="20"/>
              </w:rPr>
            </w:pPr>
            <w:r w:rsidRPr="00AA5833">
              <w:rPr>
                <w:rFonts w:ascii="Times New Roman" w:hAnsi="Times New Roman" w:cs="Times New Roman"/>
                <w:b/>
                <w:bCs/>
                <w:sz w:val="20"/>
                <w:szCs w:val="20"/>
                <w:u w:val="single"/>
              </w:rPr>
              <w:t>общо</w:t>
            </w:r>
          </w:p>
        </w:tc>
      </w:tr>
      <w:tr w:rsidR="00533926" w:rsidRPr="00AA5833" w14:paraId="2C3171B2" w14:textId="77777777" w:rsidTr="00533926">
        <w:trPr>
          <w:trHeight w:val="295"/>
          <w:jc w:val="center"/>
        </w:trPr>
        <w:tc>
          <w:tcPr>
            <w:tcW w:w="793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783C1F4" w14:textId="77777777" w:rsidR="00533926" w:rsidRPr="00AA5833" w:rsidRDefault="00533926" w:rsidP="002A598C">
            <w:pPr>
              <w:numPr>
                <w:ilvl w:val="0"/>
                <w:numId w:val="43"/>
              </w:numPr>
              <w:spacing w:after="0" w:line="240" w:lineRule="auto"/>
              <w:contextualSpacing/>
              <w:jc w:val="center"/>
              <w:rPr>
                <w:rFonts w:ascii="Times New Roman" w:hAnsi="Times New Roman" w:cs="Times New Roman"/>
                <w:b/>
                <w:iCs/>
                <w:sz w:val="20"/>
                <w:szCs w:val="20"/>
              </w:rPr>
            </w:pPr>
            <w:r w:rsidRPr="00AA5833">
              <w:rPr>
                <w:rFonts w:ascii="Times New Roman" w:hAnsi="Times New Roman" w:cs="Times New Roman"/>
                <w:b/>
                <w:iCs/>
                <w:sz w:val="20"/>
                <w:szCs w:val="20"/>
              </w:rPr>
              <w:t>Месечна финансова подкрепа за хора с трайни увреждания по ЗХУ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B483CF" w14:textId="77777777" w:rsidR="00533926" w:rsidRPr="00AA5833" w:rsidRDefault="00533926" w:rsidP="00533926">
            <w:pPr>
              <w:spacing w:after="0" w:line="240" w:lineRule="auto"/>
              <w:rPr>
                <w:rFonts w:ascii="Times New Roman" w:hAnsi="Times New Roman" w:cs="Times New Roman"/>
                <w:b/>
                <w:bCs/>
                <w:i/>
                <w:sz w:val="20"/>
                <w:szCs w:val="20"/>
              </w:rPr>
            </w:pPr>
          </w:p>
        </w:tc>
      </w:tr>
      <w:tr w:rsidR="00533926" w:rsidRPr="00AA5833" w14:paraId="5105C755" w14:textId="77777777" w:rsidTr="00533926">
        <w:trPr>
          <w:trHeight w:val="300"/>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7FE376CD" w14:textId="77777777" w:rsidR="00533926" w:rsidRPr="00AA5833" w:rsidRDefault="00533926" w:rsidP="00533926">
            <w:pPr>
              <w:spacing w:after="0" w:line="240" w:lineRule="auto"/>
              <w:ind w:left="10"/>
              <w:rPr>
                <w:rFonts w:ascii="Times New Roman" w:hAnsi="Times New Roman" w:cs="Times New Roman"/>
                <w:b/>
                <w:bCs/>
                <w:iCs/>
                <w:sz w:val="20"/>
                <w:szCs w:val="20"/>
              </w:rPr>
            </w:pPr>
            <w:r w:rsidRPr="00AA5833">
              <w:rPr>
                <w:rFonts w:ascii="Times New Roman" w:hAnsi="Times New Roman" w:cs="Times New Roman"/>
                <w:b/>
                <w:bCs/>
                <w:iCs/>
                <w:sz w:val="20"/>
                <w:szCs w:val="20"/>
              </w:rPr>
              <w:t>Средномесечен брой лица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4519F11" w14:textId="77777777" w:rsidR="00533926" w:rsidRPr="00AA5833" w:rsidRDefault="00533926" w:rsidP="00533926">
            <w:pPr>
              <w:spacing w:after="0" w:line="240" w:lineRule="auto"/>
              <w:ind w:left="10"/>
              <w:jc w:val="right"/>
              <w:rPr>
                <w:rFonts w:ascii="Times New Roman" w:hAnsi="Times New Roman" w:cs="Times New Roman"/>
                <w:b/>
                <w:bCs/>
                <w:iCs/>
                <w:sz w:val="20"/>
                <w:szCs w:val="20"/>
                <w:highlight w:val="yellow"/>
              </w:rPr>
            </w:pPr>
            <w:r w:rsidRPr="00AA5833">
              <w:rPr>
                <w:rFonts w:ascii="Times New Roman" w:hAnsi="Times New Roman" w:cs="Times New Roman"/>
                <w:b/>
                <w:bCs/>
                <w:iCs/>
                <w:sz w:val="20"/>
                <w:szCs w:val="20"/>
              </w:rPr>
              <w:t>697 525</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A502E1C" w14:textId="77777777" w:rsidR="00533926" w:rsidRPr="00AA5833" w:rsidRDefault="00533926" w:rsidP="00533926">
            <w:pPr>
              <w:spacing w:after="0" w:line="240" w:lineRule="auto"/>
              <w:ind w:left="10"/>
              <w:jc w:val="center"/>
              <w:rPr>
                <w:rFonts w:ascii="Times New Roman" w:hAnsi="Times New Roman" w:cs="Times New Roman"/>
                <w:b/>
                <w:bCs/>
                <w:iCs/>
                <w:sz w:val="20"/>
                <w:szCs w:val="20"/>
              </w:rPr>
            </w:pPr>
            <w:r w:rsidRPr="00AA5833">
              <w:rPr>
                <w:rFonts w:ascii="Times New Roman" w:hAnsi="Times New Roman" w:cs="Times New Roman"/>
                <w:b/>
                <w:bCs/>
                <w:iCs/>
                <w:sz w:val="20"/>
                <w:szCs w:val="20"/>
              </w:rPr>
              <w:t>685 078 764 лв.</w:t>
            </w:r>
          </w:p>
        </w:tc>
      </w:tr>
      <w:tr w:rsidR="00533926" w:rsidRPr="00AA5833" w14:paraId="7792A358" w14:textId="77777777" w:rsidTr="00533926">
        <w:trPr>
          <w:trHeight w:val="425"/>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65BCD594" w14:textId="77777777" w:rsidR="00533926" w:rsidRPr="00AA5833" w:rsidRDefault="00533926" w:rsidP="00533926">
            <w:pPr>
              <w:spacing w:after="0" w:line="240" w:lineRule="auto"/>
              <w:ind w:left="10"/>
              <w:jc w:val="both"/>
              <w:rPr>
                <w:rFonts w:ascii="Times New Roman" w:hAnsi="Times New Roman" w:cs="Times New Roman"/>
                <w:iCs/>
                <w:sz w:val="20"/>
                <w:szCs w:val="20"/>
              </w:rPr>
            </w:pPr>
            <w:r w:rsidRPr="00AA5833">
              <w:rPr>
                <w:rFonts w:ascii="Times New Roman" w:hAnsi="Times New Roman" w:cs="Times New Roman"/>
                <w:iCs/>
                <w:sz w:val="20"/>
                <w:szCs w:val="20"/>
              </w:rPr>
              <w:t xml:space="preserve">в т.ч. по чл. 70, т. 1 от ЗХУ – от 50 до 70,99% степен на увреждане – </w:t>
            </w:r>
            <w:r w:rsidRPr="00AA5833">
              <w:rPr>
                <w:rFonts w:ascii="Times New Roman" w:hAnsi="Times New Roman" w:cs="Times New Roman"/>
                <w:b/>
                <w:bCs/>
                <w:iCs/>
                <w:sz w:val="20"/>
                <w:szCs w:val="20"/>
              </w:rPr>
              <w:t xml:space="preserve">7% от ЛБ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A7678" w14:textId="77777777" w:rsidR="00533926" w:rsidRPr="00AA5833" w:rsidRDefault="00533926" w:rsidP="00533926">
            <w:pPr>
              <w:spacing w:after="0" w:line="240" w:lineRule="auto"/>
              <w:jc w:val="right"/>
              <w:rPr>
                <w:rFonts w:ascii="Times New Roman" w:hAnsi="Times New Roman" w:cs="Times New Roman"/>
                <w:iCs/>
                <w:sz w:val="20"/>
                <w:szCs w:val="20"/>
                <w:highlight w:val="yellow"/>
              </w:rPr>
            </w:pPr>
            <w:r w:rsidRPr="00AA5833">
              <w:rPr>
                <w:rFonts w:ascii="Times New Roman" w:hAnsi="Times New Roman" w:cs="Times New Roman"/>
                <w:iCs/>
                <w:sz w:val="20"/>
                <w:szCs w:val="20"/>
              </w:rPr>
              <w:t>253 535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17F9C0E" w14:textId="77777777" w:rsidR="00533926" w:rsidRPr="00AA5833" w:rsidRDefault="00533926" w:rsidP="00533926">
            <w:pPr>
              <w:spacing w:after="0" w:line="240" w:lineRule="auto"/>
              <w:rPr>
                <w:rFonts w:ascii="Times New Roman" w:hAnsi="Times New Roman" w:cs="Times New Roman"/>
                <w:b/>
                <w:bCs/>
                <w:iCs/>
                <w:sz w:val="20"/>
                <w:szCs w:val="20"/>
              </w:rPr>
            </w:pPr>
          </w:p>
        </w:tc>
      </w:tr>
      <w:tr w:rsidR="00533926" w:rsidRPr="00AA5833" w14:paraId="3E7175D9" w14:textId="77777777" w:rsidTr="00533926">
        <w:trPr>
          <w:trHeight w:val="539"/>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4F915423" w14:textId="77777777" w:rsidR="00533926" w:rsidRPr="00AA5833" w:rsidRDefault="00533926" w:rsidP="00533926">
            <w:pPr>
              <w:spacing w:after="0" w:line="240" w:lineRule="auto"/>
              <w:ind w:left="10"/>
              <w:jc w:val="both"/>
              <w:rPr>
                <w:rFonts w:ascii="Times New Roman" w:hAnsi="Times New Roman" w:cs="Times New Roman"/>
                <w:iCs/>
                <w:sz w:val="20"/>
                <w:szCs w:val="20"/>
              </w:rPr>
            </w:pPr>
            <w:r w:rsidRPr="00AA5833">
              <w:rPr>
                <w:rFonts w:ascii="Times New Roman" w:hAnsi="Times New Roman" w:cs="Times New Roman"/>
                <w:iCs/>
                <w:sz w:val="20"/>
                <w:szCs w:val="20"/>
              </w:rPr>
              <w:t xml:space="preserve">в т.ч. по чл. 70, т. 2 от ЗХУ – от 71 до 90% степен на увреждане – </w:t>
            </w:r>
            <w:r w:rsidRPr="00AA5833">
              <w:rPr>
                <w:rFonts w:ascii="Times New Roman" w:hAnsi="Times New Roman" w:cs="Times New Roman"/>
                <w:b/>
                <w:bCs/>
                <w:iCs/>
                <w:sz w:val="20"/>
                <w:szCs w:val="20"/>
              </w:rPr>
              <w:t xml:space="preserve">15% от ЛБ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5B595" w14:textId="77777777" w:rsidR="00533926" w:rsidRPr="00AA5833" w:rsidRDefault="00533926" w:rsidP="00533926">
            <w:pPr>
              <w:spacing w:after="0" w:line="240" w:lineRule="auto"/>
              <w:jc w:val="right"/>
              <w:rPr>
                <w:rFonts w:ascii="Times New Roman" w:hAnsi="Times New Roman" w:cs="Times New Roman"/>
                <w:iCs/>
                <w:sz w:val="20"/>
                <w:szCs w:val="20"/>
                <w:highlight w:val="yellow"/>
              </w:rPr>
            </w:pPr>
            <w:r w:rsidRPr="00AA5833">
              <w:rPr>
                <w:rFonts w:ascii="Times New Roman" w:hAnsi="Times New Roman" w:cs="Times New Roman"/>
                <w:iCs/>
                <w:sz w:val="20"/>
                <w:szCs w:val="20"/>
              </w:rPr>
              <w:t>270 087</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423DA11" w14:textId="77777777" w:rsidR="00533926" w:rsidRPr="00AA5833" w:rsidRDefault="00533926" w:rsidP="00533926">
            <w:pPr>
              <w:spacing w:after="0" w:line="240" w:lineRule="auto"/>
              <w:rPr>
                <w:rFonts w:ascii="Times New Roman" w:hAnsi="Times New Roman" w:cs="Times New Roman"/>
                <w:b/>
                <w:bCs/>
                <w:iCs/>
                <w:sz w:val="20"/>
                <w:szCs w:val="20"/>
              </w:rPr>
            </w:pPr>
          </w:p>
        </w:tc>
      </w:tr>
      <w:tr w:rsidR="00533926" w:rsidRPr="00AA5833" w14:paraId="633B65B3" w14:textId="77777777" w:rsidTr="00533926">
        <w:trPr>
          <w:trHeight w:val="423"/>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21C2DE1A" w14:textId="77777777" w:rsidR="00533926" w:rsidRPr="00AA5833" w:rsidRDefault="00533926" w:rsidP="00533926">
            <w:pPr>
              <w:spacing w:after="0" w:line="240" w:lineRule="auto"/>
              <w:ind w:left="10"/>
              <w:jc w:val="both"/>
              <w:rPr>
                <w:rFonts w:ascii="Times New Roman" w:hAnsi="Times New Roman" w:cs="Times New Roman"/>
                <w:iCs/>
                <w:sz w:val="20"/>
                <w:szCs w:val="20"/>
              </w:rPr>
            </w:pPr>
            <w:r w:rsidRPr="00AA5833">
              <w:rPr>
                <w:rFonts w:ascii="Times New Roman" w:hAnsi="Times New Roman" w:cs="Times New Roman"/>
                <w:iCs/>
                <w:sz w:val="20"/>
                <w:szCs w:val="20"/>
              </w:rPr>
              <w:t xml:space="preserve">в т.ч. по чл. 70, т. 3 от ЗХУ – над 90% степен на увреждане – </w:t>
            </w:r>
            <w:r w:rsidRPr="00AA5833">
              <w:rPr>
                <w:rFonts w:ascii="Times New Roman" w:hAnsi="Times New Roman" w:cs="Times New Roman"/>
                <w:b/>
                <w:bCs/>
                <w:iCs/>
                <w:sz w:val="20"/>
                <w:szCs w:val="20"/>
              </w:rPr>
              <w:t>25% от ЛБ</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F3DDF" w14:textId="77777777" w:rsidR="00533926" w:rsidRPr="00AA5833" w:rsidRDefault="00533926" w:rsidP="00533926">
            <w:pPr>
              <w:spacing w:after="0" w:line="240" w:lineRule="auto"/>
              <w:jc w:val="right"/>
              <w:rPr>
                <w:rFonts w:ascii="Times New Roman" w:hAnsi="Times New Roman" w:cs="Times New Roman"/>
                <w:iCs/>
                <w:sz w:val="20"/>
                <w:szCs w:val="20"/>
                <w:highlight w:val="yellow"/>
              </w:rPr>
            </w:pPr>
            <w:r w:rsidRPr="00AA5833">
              <w:rPr>
                <w:rFonts w:ascii="Times New Roman" w:hAnsi="Times New Roman" w:cs="Times New Roman"/>
                <w:iCs/>
                <w:sz w:val="20"/>
                <w:szCs w:val="20"/>
              </w:rPr>
              <w:t>131 957</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857737" w14:textId="77777777" w:rsidR="00533926" w:rsidRPr="00AA5833" w:rsidRDefault="00533926" w:rsidP="00533926">
            <w:pPr>
              <w:spacing w:after="0" w:line="240" w:lineRule="auto"/>
              <w:rPr>
                <w:rFonts w:ascii="Times New Roman" w:hAnsi="Times New Roman" w:cs="Times New Roman"/>
                <w:b/>
                <w:bCs/>
                <w:iCs/>
                <w:sz w:val="20"/>
                <w:szCs w:val="20"/>
              </w:rPr>
            </w:pPr>
          </w:p>
        </w:tc>
      </w:tr>
      <w:tr w:rsidR="00533926" w:rsidRPr="00AA5833" w14:paraId="7BAC4B13" w14:textId="77777777" w:rsidTr="00533926">
        <w:trPr>
          <w:trHeight w:val="595"/>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78B9735E" w14:textId="77777777" w:rsidR="00533926" w:rsidRPr="00AA5833" w:rsidRDefault="00533926" w:rsidP="00533926">
            <w:pPr>
              <w:spacing w:after="0" w:line="240" w:lineRule="auto"/>
              <w:ind w:left="10"/>
              <w:jc w:val="both"/>
              <w:rPr>
                <w:rFonts w:ascii="Times New Roman" w:hAnsi="Times New Roman" w:cs="Times New Roman"/>
                <w:iCs/>
                <w:sz w:val="20"/>
                <w:szCs w:val="20"/>
              </w:rPr>
            </w:pPr>
            <w:r w:rsidRPr="00AA5833">
              <w:rPr>
                <w:rFonts w:ascii="Times New Roman" w:hAnsi="Times New Roman" w:cs="Times New Roman"/>
                <w:iCs/>
                <w:sz w:val="20"/>
                <w:szCs w:val="20"/>
              </w:rPr>
              <w:t xml:space="preserve">в т.ч. по чл. 70, т. 4 от ЗХУ –  над 90% степен на увреждане с ЧП, които получават пенсия за инвалидност поради общо заболяване или трудова злополука или професионална болест – </w:t>
            </w:r>
            <w:r w:rsidRPr="00AA5833">
              <w:rPr>
                <w:rFonts w:ascii="Times New Roman" w:hAnsi="Times New Roman" w:cs="Times New Roman"/>
                <w:b/>
                <w:bCs/>
                <w:iCs/>
                <w:sz w:val="20"/>
                <w:szCs w:val="20"/>
              </w:rPr>
              <w:t xml:space="preserve">30% от ЛБ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BDA33" w14:textId="77777777" w:rsidR="00533926" w:rsidRPr="00AA5833" w:rsidRDefault="00533926" w:rsidP="00533926">
            <w:pPr>
              <w:spacing w:after="0" w:line="240" w:lineRule="auto"/>
              <w:jc w:val="right"/>
              <w:rPr>
                <w:rFonts w:ascii="Times New Roman" w:hAnsi="Times New Roman" w:cs="Times New Roman"/>
                <w:iCs/>
                <w:sz w:val="20"/>
                <w:szCs w:val="20"/>
                <w:highlight w:val="yellow"/>
              </w:rPr>
            </w:pPr>
            <w:r w:rsidRPr="00AA5833">
              <w:rPr>
                <w:rFonts w:ascii="Times New Roman" w:hAnsi="Times New Roman" w:cs="Times New Roman"/>
                <w:iCs/>
                <w:sz w:val="20"/>
                <w:szCs w:val="20"/>
              </w:rPr>
              <w:t>24 978</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3EDCDF" w14:textId="77777777" w:rsidR="00533926" w:rsidRPr="00AA5833" w:rsidRDefault="00533926" w:rsidP="00533926">
            <w:pPr>
              <w:spacing w:after="0" w:line="240" w:lineRule="auto"/>
              <w:rPr>
                <w:rFonts w:ascii="Times New Roman" w:hAnsi="Times New Roman" w:cs="Times New Roman"/>
                <w:b/>
                <w:bCs/>
                <w:iCs/>
                <w:sz w:val="20"/>
                <w:szCs w:val="20"/>
              </w:rPr>
            </w:pPr>
          </w:p>
        </w:tc>
      </w:tr>
      <w:tr w:rsidR="00533926" w:rsidRPr="00AA5833" w14:paraId="594913EA" w14:textId="77777777" w:rsidTr="00533926">
        <w:trPr>
          <w:trHeight w:val="861"/>
          <w:jc w:val="center"/>
        </w:trPr>
        <w:tc>
          <w:tcPr>
            <w:tcW w:w="5811" w:type="dxa"/>
            <w:tcBorders>
              <w:top w:val="single" w:sz="4" w:space="0" w:color="auto"/>
              <w:left w:val="single" w:sz="4" w:space="0" w:color="auto"/>
              <w:bottom w:val="single" w:sz="4" w:space="0" w:color="auto"/>
              <w:right w:val="single" w:sz="4" w:space="0" w:color="auto"/>
            </w:tcBorders>
            <w:vAlign w:val="center"/>
            <w:hideMark/>
          </w:tcPr>
          <w:p w14:paraId="1BC8FFAE" w14:textId="77777777" w:rsidR="00533926" w:rsidRPr="00AA5833" w:rsidRDefault="00533926" w:rsidP="00533926">
            <w:pPr>
              <w:spacing w:after="0" w:line="240" w:lineRule="auto"/>
              <w:ind w:left="10"/>
              <w:jc w:val="both"/>
              <w:rPr>
                <w:rFonts w:ascii="Times New Roman" w:hAnsi="Times New Roman" w:cs="Times New Roman"/>
                <w:iCs/>
                <w:sz w:val="20"/>
                <w:szCs w:val="20"/>
              </w:rPr>
            </w:pPr>
            <w:r w:rsidRPr="00AA5833">
              <w:rPr>
                <w:rFonts w:ascii="Times New Roman" w:hAnsi="Times New Roman" w:cs="Times New Roman"/>
                <w:iCs/>
                <w:sz w:val="20"/>
                <w:szCs w:val="20"/>
              </w:rPr>
              <w:t xml:space="preserve">в т.ч. по чл. 70, т. 5 от ЗХУ – над 90% степен на увреждане с ЧП, които получават социална пенсия за инвалидност или пенсия за военна инвалидност, или пенсия за гражданска инвалидност, или наследствена пенсия – </w:t>
            </w:r>
            <w:r w:rsidRPr="00AA5833">
              <w:rPr>
                <w:rFonts w:ascii="Times New Roman" w:hAnsi="Times New Roman" w:cs="Times New Roman"/>
                <w:b/>
                <w:bCs/>
                <w:iCs/>
                <w:sz w:val="20"/>
                <w:szCs w:val="20"/>
              </w:rPr>
              <w:t>57% от ЛБ</w:t>
            </w:r>
            <w:r w:rsidRPr="00AA5833">
              <w:rPr>
                <w:rFonts w:ascii="Times New Roman" w:hAnsi="Times New Roman" w:cs="Times New Roman"/>
                <w:iCs/>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57FB8" w14:textId="77777777" w:rsidR="00533926" w:rsidRPr="00AA5833" w:rsidRDefault="00533926" w:rsidP="00533926">
            <w:pPr>
              <w:spacing w:after="0" w:line="240" w:lineRule="auto"/>
              <w:jc w:val="right"/>
              <w:rPr>
                <w:rFonts w:ascii="Times New Roman" w:hAnsi="Times New Roman" w:cs="Times New Roman"/>
                <w:iCs/>
                <w:sz w:val="20"/>
                <w:szCs w:val="20"/>
                <w:highlight w:val="yellow"/>
              </w:rPr>
            </w:pPr>
            <w:r w:rsidRPr="00AA5833">
              <w:rPr>
                <w:rFonts w:ascii="Times New Roman" w:hAnsi="Times New Roman" w:cs="Times New Roman"/>
                <w:iCs/>
                <w:sz w:val="20"/>
                <w:szCs w:val="20"/>
              </w:rPr>
              <w:t>16 968</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017097" w14:textId="77777777" w:rsidR="00533926" w:rsidRPr="00AA5833" w:rsidRDefault="00533926" w:rsidP="00533926">
            <w:pPr>
              <w:spacing w:after="0" w:line="240" w:lineRule="auto"/>
              <w:rPr>
                <w:rFonts w:ascii="Times New Roman" w:hAnsi="Times New Roman" w:cs="Times New Roman"/>
                <w:b/>
                <w:bCs/>
                <w:iCs/>
                <w:sz w:val="20"/>
                <w:szCs w:val="20"/>
              </w:rPr>
            </w:pPr>
          </w:p>
        </w:tc>
      </w:tr>
    </w:tbl>
    <w:p w14:paraId="638DE7A6" w14:textId="77777777" w:rsidR="00533926" w:rsidRPr="00AA5833" w:rsidRDefault="00533926" w:rsidP="00533926">
      <w:pPr>
        <w:spacing w:after="0" w:line="240" w:lineRule="auto"/>
        <w:jc w:val="both"/>
        <w:rPr>
          <w:rFonts w:ascii="Times New Roman" w:hAnsi="Times New Roman" w:cs="Times New Roman"/>
          <w:sz w:val="24"/>
          <w:szCs w:val="24"/>
        </w:rPr>
      </w:pPr>
    </w:p>
    <w:p w14:paraId="55FCBDDE"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5C0CE36F" w14:textId="77777777" w:rsidR="00533926" w:rsidRPr="00AA5833" w:rsidRDefault="00533926" w:rsidP="00533926">
      <w:pPr>
        <w:spacing w:after="0" w:line="240" w:lineRule="auto"/>
        <w:jc w:val="both"/>
        <w:rPr>
          <w:rFonts w:ascii="Times New Roman" w:hAnsi="Times New Roman" w:cs="Times New Roman"/>
          <w:sz w:val="24"/>
          <w:szCs w:val="24"/>
        </w:rPr>
      </w:pPr>
    </w:p>
    <w:p w14:paraId="757E07D7" w14:textId="77777777" w:rsidR="00533926" w:rsidRPr="00AA5833" w:rsidRDefault="00533926" w:rsidP="00533926">
      <w:pPr>
        <w:tabs>
          <w:tab w:val="left" w:pos="993"/>
        </w:tabs>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10.2.42. Осигуряване на право на безвъзмездна преводаческа услуга на български жестов език на глухи и сляпо-глухи лица по Закона за българския жестов език</w:t>
      </w:r>
    </w:p>
    <w:p w14:paraId="7EFFC03B" w14:textId="77777777" w:rsidR="00533926" w:rsidRPr="00AA5833" w:rsidRDefault="00533926" w:rsidP="00533926">
      <w:pPr>
        <w:tabs>
          <w:tab w:val="left" w:pos="993"/>
        </w:tabs>
        <w:spacing w:after="0" w:line="240" w:lineRule="auto"/>
        <w:jc w:val="both"/>
        <w:rPr>
          <w:rFonts w:ascii="Times New Roman" w:hAnsi="Times New Roman" w:cs="Times New Roman"/>
          <w:b/>
          <w:sz w:val="24"/>
          <w:szCs w:val="24"/>
        </w:rPr>
      </w:pPr>
    </w:p>
    <w:p w14:paraId="347EA4D3" w14:textId="77777777" w:rsidR="00533926" w:rsidRPr="00AA5833" w:rsidRDefault="00533926" w:rsidP="00533926">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AA5833">
        <w:rPr>
          <w:rFonts w:ascii="Times New Roman" w:hAnsi="Times New Roman" w:cs="Times New Roman"/>
          <w:sz w:val="24"/>
          <w:szCs w:val="24"/>
        </w:rPr>
        <w:t>В Държавен вестник, бр. 9 от 02.02.2021 г. е обнародван Законът за българския жестов език (ЗБЖЕ), който урежда обществените отношения, свързани с признаването на българския жестов език за естествен самостоятелен език и със зачитането на правото на глухите и на сляпо-глухите лица на изразяване и на информация чрез българския жестов език.</w:t>
      </w:r>
    </w:p>
    <w:p w14:paraId="79860332" w14:textId="77777777" w:rsidR="00533926" w:rsidRPr="00AA5833" w:rsidRDefault="00533926" w:rsidP="00533926">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AA5833">
        <w:rPr>
          <w:rFonts w:ascii="Times New Roman" w:hAnsi="Times New Roman" w:cs="Times New Roman"/>
          <w:sz w:val="24"/>
          <w:szCs w:val="24"/>
        </w:rPr>
        <w:t>Съгласно чл. 20 глухите и сляпо-глухите лица имат право на безвъзмездна преводаческа услуга на български жестов език до 120 часа годишен лимит. Глухите и сляпо-глухите студенти и докторанти в процеса на обучението си за придобиване на висше образование освен осигурения лимит по ал. 1 имат право на допълнително ползване на преводачески услуги на български жестов език до 60 часа на семестър.</w:t>
      </w:r>
    </w:p>
    <w:p w14:paraId="25359F7C" w14:textId="77777777" w:rsidR="00533926" w:rsidRPr="00AA5833" w:rsidRDefault="00533926" w:rsidP="00533926">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AA5833">
        <w:rPr>
          <w:rFonts w:ascii="Times New Roman" w:hAnsi="Times New Roman" w:cs="Times New Roman"/>
          <w:sz w:val="24"/>
          <w:szCs w:val="24"/>
        </w:rPr>
        <w:t xml:space="preserve">В Държавен вестник, бр. 10 от 31.01.2023 г. е обнародван Закон за изменение и допълнение на Закона за българския жестов език (ЗИД на ЗБЖЕ), с който се променя размера на средствата за заплащане на един час безвъзмездна преводаческа услуга на български жестов  език, предоставена на глухите и сляпо-глухите лица и става в размер на 5 на сто от минималната работна заплата, установена за страната за съответната година. </w:t>
      </w:r>
    </w:p>
    <w:p w14:paraId="15341784" w14:textId="77777777" w:rsidR="00533926" w:rsidRPr="00AA5833" w:rsidRDefault="00533926" w:rsidP="00533926">
      <w:pPr>
        <w:widowControl w:val="0"/>
        <w:autoSpaceDE w:val="0"/>
        <w:autoSpaceDN w:val="0"/>
        <w:adjustRightInd w:val="0"/>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За 2024 г. един час предоставена преводаческа услуга на глухо и сляпо-глухо лице от преводач на български жестов език се заплаща сума в размер на 46,65 лв.</w:t>
      </w:r>
    </w:p>
    <w:p w14:paraId="0A76D0AA"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За периода</w:t>
      </w:r>
      <w:r w:rsidRPr="00AA5833">
        <w:rPr>
          <w:rFonts w:ascii="Times New Roman" w:hAnsi="Times New Roman" w:cs="Times New Roman"/>
          <w:b/>
          <w:sz w:val="24"/>
          <w:szCs w:val="24"/>
        </w:rPr>
        <w:t xml:space="preserve"> </w:t>
      </w:r>
      <w:r w:rsidRPr="00AA5833">
        <w:rPr>
          <w:rFonts w:ascii="Times New Roman" w:hAnsi="Times New Roman" w:cs="Times New Roman"/>
          <w:sz w:val="24"/>
          <w:szCs w:val="24"/>
        </w:rPr>
        <w:t>януари – декември 2024 г.</w:t>
      </w:r>
      <w:r w:rsidRPr="00AA5833">
        <w:rPr>
          <w:rFonts w:ascii="Times New Roman" w:hAnsi="Times New Roman" w:cs="Times New Roman"/>
          <w:b/>
          <w:sz w:val="24"/>
          <w:szCs w:val="24"/>
        </w:rPr>
        <w:t xml:space="preserve"> </w:t>
      </w:r>
      <w:r w:rsidRPr="00AA5833">
        <w:rPr>
          <w:rFonts w:ascii="Times New Roman" w:hAnsi="Times New Roman" w:cs="Times New Roman"/>
          <w:sz w:val="24"/>
          <w:szCs w:val="24"/>
        </w:rPr>
        <w:t xml:space="preserve">по реда и условията на ЗБЖЕ </w:t>
      </w:r>
      <w:r w:rsidRPr="00AA5833">
        <w:rPr>
          <w:rFonts w:ascii="Times New Roman" w:hAnsi="Times New Roman" w:cs="Times New Roman"/>
          <w:b/>
          <w:sz w:val="24"/>
          <w:szCs w:val="24"/>
        </w:rPr>
        <w:t xml:space="preserve">са издадени 298 заповеди </w:t>
      </w:r>
      <w:r w:rsidRPr="00AA5833">
        <w:rPr>
          <w:rFonts w:ascii="Times New Roman" w:hAnsi="Times New Roman" w:cs="Times New Roman"/>
          <w:sz w:val="24"/>
          <w:szCs w:val="24"/>
        </w:rPr>
        <w:t>за осигуряване на правото на безвъзмездна преводаческа услуга на български жестов език на глухи и сляпо-глухи лица. В ДСП са постъпили 654 искания от преводачи на български жестов език за плащане на реализирана преводаческа услуга от глухи и сляпо-глухи лица. Изплатени средства в размер на 184 850,84 лева.</w:t>
      </w:r>
    </w:p>
    <w:p w14:paraId="0B2FB598" w14:textId="77777777" w:rsidR="00533926" w:rsidRPr="00AA5833" w:rsidRDefault="00533926" w:rsidP="00533926">
      <w:pPr>
        <w:spacing w:after="0" w:line="240" w:lineRule="auto"/>
        <w:jc w:val="both"/>
        <w:rPr>
          <w:rFonts w:ascii="Times New Roman" w:hAnsi="Times New Roman" w:cs="Times New Roman"/>
          <w:sz w:val="24"/>
          <w:szCs w:val="24"/>
        </w:rPr>
      </w:pPr>
    </w:p>
    <w:p w14:paraId="405645A9"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НАЦИОНАЛНА ЗДРАВНООСИГУРИТЕЛНА КАСА</w:t>
      </w:r>
    </w:p>
    <w:p w14:paraId="48BB3C23" w14:textId="77777777" w:rsidR="00533926" w:rsidRPr="00AA5833" w:rsidRDefault="00533926" w:rsidP="00533926">
      <w:pPr>
        <w:spacing w:after="0" w:line="240" w:lineRule="auto"/>
        <w:jc w:val="both"/>
        <w:rPr>
          <w:rFonts w:ascii="Times New Roman" w:hAnsi="Times New Roman" w:cs="Times New Roman"/>
          <w:sz w:val="24"/>
          <w:szCs w:val="24"/>
        </w:rPr>
      </w:pPr>
    </w:p>
    <w:p w14:paraId="51FED91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10.2.43. Отпускане, отчитане, заплащане и контрол на помощни средства, приспособления, съоръжения и медицински изделия (ПСПСМИ) и ремонти, предназначени за хора с увреждания</w:t>
      </w:r>
    </w:p>
    <w:p w14:paraId="38DB210C" w14:textId="77777777" w:rsidR="00533926" w:rsidRPr="00AA5833" w:rsidRDefault="00533926" w:rsidP="00533926">
      <w:pPr>
        <w:spacing w:after="0" w:line="240" w:lineRule="auto"/>
        <w:jc w:val="both"/>
        <w:rPr>
          <w:rFonts w:ascii="Times New Roman" w:hAnsi="Times New Roman" w:cs="Times New Roman"/>
          <w:sz w:val="24"/>
          <w:szCs w:val="24"/>
        </w:rPr>
      </w:pPr>
    </w:p>
    <w:p w14:paraId="498F8D18" w14:textId="77777777" w:rsidR="00533926" w:rsidRPr="00AA5833" w:rsidRDefault="00533926" w:rsidP="00533926">
      <w:pPr>
        <w:spacing w:after="0" w:line="240" w:lineRule="auto"/>
        <w:jc w:val="both"/>
        <w:rPr>
          <w:rFonts w:ascii="Times New Roman" w:hAnsi="Times New Roman" w:cs="Times New Roman"/>
          <w:b/>
          <w:bCs/>
          <w:sz w:val="24"/>
          <w:szCs w:val="24"/>
        </w:rPr>
      </w:pPr>
      <w:r w:rsidRPr="00AA5833">
        <w:rPr>
          <w:rFonts w:ascii="Times New Roman" w:eastAsia="Times New Roman" w:hAnsi="Times New Roman" w:cs="Times New Roman"/>
          <w:bCs/>
          <w:sz w:val="24"/>
          <w:szCs w:val="24"/>
        </w:rPr>
        <w:tab/>
        <w:t xml:space="preserve">Съгласно чл. 73, ал. 2 от Закона за хората с увреждания финансирането и предоставянето на ПСПСМИ и ремонти за хората с увреждания се осъществява от НЗОК със средства, предоставени от държавния бюджет с трансфер, чрез бюджета на Министерство на здравеопазването. През 2024 г. чрез трансферни средства Националната здравноосигурителна каса е заплатила </w:t>
      </w:r>
      <w:r w:rsidRPr="00AA5833">
        <w:rPr>
          <w:rFonts w:ascii="Times New Roman" w:hAnsi="Times New Roman" w:cs="Times New Roman"/>
          <w:b/>
          <w:bCs/>
          <w:sz w:val="24"/>
          <w:szCs w:val="24"/>
        </w:rPr>
        <w:t>36 563 503 лв.</w:t>
      </w:r>
    </w:p>
    <w:p w14:paraId="2324B35A" w14:textId="77777777" w:rsidR="00533926" w:rsidRPr="00AA5833" w:rsidRDefault="00533926" w:rsidP="00533926">
      <w:pPr>
        <w:spacing w:after="0" w:line="240" w:lineRule="auto"/>
        <w:jc w:val="both"/>
        <w:rPr>
          <w:rFonts w:ascii="Times New Roman" w:hAnsi="Times New Roman" w:cs="Times New Roman"/>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1793D7C8"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5201512C"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10.3. Създаване на условия за повишаване благосъстоянието на децата и деинституционализация на деца, лица с увреждания и възрастни хора, настанени в специализирани институции, посредством предоставяне на услуги в общността</w:t>
            </w:r>
          </w:p>
        </w:tc>
      </w:tr>
    </w:tbl>
    <w:p w14:paraId="1DC9E27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50265D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2808FAA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УО НА ПРЧР 2021-2027</w:t>
      </w:r>
    </w:p>
    <w:p w14:paraId="7B850945"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39C1A12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10.3.1. Операция „Бъдеще за децата“ </w:t>
      </w:r>
    </w:p>
    <w:p w14:paraId="544FAC5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0F9312F2" w14:textId="77777777" w:rsidR="00230FD6"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r>
      <w:r w:rsidR="00230FD6" w:rsidRPr="00230FD6">
        <w:rPr>
          <w:rFonts w:ascii="Times New Roman" w:hAnsi="Times New Roman" w:cs="Times New Roman"/>
          <w:color w:val="000000"/>
          <w:sz w:val="24"/>
          <w:szCs w:val="24"/>
        </w:rPr>
        <w:t>В ПРЧР 2021-2027 са заделени 81 281 936 лв. в подкрепа на Европейската гаранция за детето , като те бяха програмирани в рамките на операция „Бъдеще за децата“. Нейното изпълнение стартира през 2023 г., като това е първата мярка, с която започна изпълнението на Плана за действие в изпълнение на Препоръка (ЕС) 2021/1004 на Съвета за създаване на Европейска гаранция за детето (2030) в България.</w:t>
      </w:r>
    </w:p>
    <w:p w14:paraId="184A8E2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За първи път с мярката „Бъдеще за децата“ се приложи услугата „Патронажна грижа“ за деца от 0 до 3 г. Останалите дейности по мярката „Бъдеще за децата“ включват здравна профилактика и превенция; програми за превенция в най-уязвимите и маргинализирани общности, като например програми за превенция на ранни бракове и раждания, семейно планиране, подготовка за включване в образователната система; повишаване на здравната култура по отношение превенция на болестите при децата. Проектите по „Бъдеще за децата“ са в етап на изпълнение. </w:t>
      </w:r>
    </w:p>
    <w:p w14:paraId="7F3B550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Сключени са 110 договора на обща стойност 38 429 820 лв. До 31 декември 2024 г. са включени 16 657 деца, на които са предоставени различни видове услуги.</w:t>
      </w:r>
    </w:p>
    <w:p w14:paraId="223949C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0AD1251A"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148911F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982069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10.3.2. Подобряване достъпа до социални услуги за деца </w:t>
      </w:r>
    </w:p>
    <w:p w14:paraId="3C42D579"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6B0452E7"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Съществена роля за подкрепа на децата и семействата, както и за реализиране на процеса на деинституционализация имат социалните услуги, предоставяни от общността и резидентна грижа, които са алтернатива на институционалната грижа за деца. Целенасочените действия за изграждане на мрежа от социални услуги в общността е съществен елемент от цялостния процес на подкрепа и защита правата и интересите на лицата и децата и подкрепа на техните семейства. </w:t>
      </w:r>
    </w:p>
    <w:p w14:paraId="1FED60DB"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Към 31.12.2024 г. на територията на страната функционират </w:t>
      </w:r>
      <w:r w:rsidRPr="00AA5833">
        <w:rPr>
          <w:rFonts w:ascii="Times New Roman" w:eastAsia="Times New Roman" w:hAnsi="Times New Roman" w:cs="Times New Roman"/>
          <w:b/>
          <w:bCs/>
          <w:sz w:val="24"/>
          <w:szCs w:val="24"/>
          <w:lang w:eastAsia="bg-BG"/>
        </w:rPr>
        <w:t xml:space="preserve">760 </w:t>
      </w:r>
      <w:r w:rsidRPr="00AA5833">
        <w:rPr>
          <w:rFonts w:ascii="Times New Roman" w:eastAsia="Times New Roman" w:hAnsi="Times New Roman" w:cs="Times New Roman"/>
          <w:bCs/>
          <w:sz w:val="24"/>
          <w:szCs w:val="24"/>
          <w:lang w:eastAsia="bg-BG"/>
        </w:rPr>
        <w:t xml:space="preserve">социални услуги за деца и семейства, финансирани от държавния бюджет с общ брой потребители  </w:t>
      </w:r>
      <w:r w:rsidRPr="00AA5833">
        <w:rPr>
          <w:rFonts w:ascii="Times New Roman" w:eastAsia="Times New Roman" w:hAnsi="Times New Roman" w:cs="Times New Roman"/>
          <w:b/>
          <w:bCs/>
          <w:sz w:val="24"/>
          <w:szCs w:val="24"/>
          <w:lang w:eastAsia="bg-BG"/>
        </w:rPr>
        <w:t xml:space="preserve">20 192, </w:t>
      </w:r>
      <w:r w:rsidRPr="00AA5833">
        <w:rPr>
          <w:rFonts w:ascii="Times New Roman" w:eastAsia="Times New Roman" w:hAnsi="Times New Roman" w:cs="Times New Roman"/>
          <w:bCs/>
          <w:sz w:val="24"/>
          <w:szCs w:val="24"/>
          <w:lang w:eastAsia="bg-BG"/>
        </w:rPr>
        <w:t>в това число</w:t>
      </w:r>
      <w:r w:rsidRPr="00AA5833">
        <w:rPr>
          <w:rFonts w:ascii="Times New Roman" w:eastAsia="Times New Roman" w:hAnsi="Times New Roman" w:cs="Times New Roman"/>
          <w:b/>
          <w:bCs/>
          <w:sz w:val="24"/>
          <w:szCs w:val="24"/>
          <w:lang w:eastAsia="bg-BG"/>
        </w:rPr>
        <w:t xml:space="preserve"> 309 </w:t>
      </w:r>
      <w:r w:rsidRPr="00AA5833">
        <w:rPr>
          <w:rFonts w:ascii="Times New Roman" w:eastAsia="Times New Roman" w:hAnsi="Times New Roman" w:cs="Times New Roman"/>
          <w:bCs/>
          <w:sz w:val="24"/>
          <w:szCs w:val="24"/>
          <w:lang w:eastAsia="bg-BG"/>
        </w:rPr>
        <w:t>броя социални услуги, предоставящи</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bCs/>
          <w:sz w:val="24"/>
          <w:szCs w:val="24"/>
          <w:lang w:eastAsia="bg-BG"/>
        </w:rPr>
        <w:t xml:space="preserve">резидентна грижа, с общ брой потребители </w:t>
      </w:r>
      <w:r w:rsidRPr="00AA5833">
        <w:rPr>
          <w:rFonts w:ascii="Times New Roman" w:eastAsia="Times New Roman" w:hAnsi="Times New Roman" w:cs="Times New Roman"/>
          <w:b/>
          <w:bCs/>
          <w:sz w:val="24"/>
          <w:szCs w:val="24"/>
          <w:lang w:eastAsia="bg-BG"/>
        </w:rPr>
        <w:t>3 669</w:t>
      </w:r>
      <w:r w:rsidRPr="00AA5833">
        <w:rPr>
          <w:rFonts w:ascii="Times New Roman" w:eastAsia="Times New Roman" w:hAnsi="Times New Roman" w:cs="Times New Roman"/>
          <w:bCs/>
          <w:sz w:val="24"/>
          <w:szCs w:val="24"/>
          <w:lang w:eastAsia="bg-BG"/>
        </w:rPr>
        <w:t>,</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bCs/>
          <w:sz w:val="24"/>
          <w:szCs w:val="24"/>
          <w:lang w:eastAsia="bg-BG"/>
        </w:rPr>
        <w:t>както следва:</w:t>
      </w:r>
      <w:r w:rsidRPr="00AA5833">
        <w:rPr>
          <w:rFonts w:ascii="Times New Roman" w:eastAsia="Times New Roman" w:hAnsi="Times New Roman" w:cs="Times New Roman"/>
          <w:b/>
          <w:bCs/>
          <w:sz w:val="24"/>
          <w:szCs w:val="24"/>
          <w:lang w:eastAsia="bg-BG"/>
        </w:rPr>
        <w:t xml:space="preserve">  </w:t>
      </w:r>
    </w:p>
    <w:p w14:paraId="70A96BA0" w14:textId="77777777" w:rsidR="00533926" w:rsidRPr="00AA5833" w:rsidRDefault="00533926" w:rsidP="002A598C">
      <w:pPr>
        <w:numPr>
          <w:ilvl w:val="0"/>
          <w:numId w:val="44"/>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22</w:t>
      </w:r>
      <w:r w:rsidRPr="00AA5833">
        <w:rPr>
          <w:rFonts w:ascii="Times New Roman" w:hAnsi="Times New Roman" w:cs="Times New Roman"/>
          <w:bCs/>
          <w:sz w:val="24"/>
          <w:szCs w:val="24"/>
        </w:rPr>
        <w:t xml:space="preserve"> Преходни жилища за деца, с общ брой потребители </w:t>
      </w:r>
      <w:r w:rsidRPr="00AA5833">
        <w:rPr>
          <w:rFonts w:ascii="Times New Roman" w:hAnsi="Times New Roman" w:cs="Times New Roman"/>
          <w:b/>
          <w:bCs/>
          <w:sz w:val="24"/>
          <w:szCs w:val="24"/>
        </w:rPr>
        <w:t>174</w:t>
      </w:r>
      <w:r w:rsidRPr="00AA5833">
        <w:rPr>
          <w:rFonts w:ascii="Times New Roman" w:hAnsi="Times New Roman" w:cs="Times New Roman"/>
          <w:bCs/>
          <w:sz w:val="24"/>
          <w:szCs w:val="24"/>
        </w:rPr>
        <w:t xml:space="preserve">; </w:t>
      </w:r>
    </w:p>
    <w:p w14:paraId="2E92D090" w14:textId="77777777" w:rsidR="00533926" w:rsidRPr="00AA5833" w:rsidRDefault="00533926" w:rsidP="002A598C">
      <w:pPr>
        <w:numPr>
          <w:ilvl w:val="0"/>
          <w:numId w:val="44"/>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20</w:t>
      </w:r>
      <w:r w:rsidRPr="00AA5833">
        <w:rPr>
          <w:rFonts w:ascii="Times New Roman" w:hAnsi="Times New Roman" w:cs="Times New Roman"/>
          <w:bCs/>
          <w:sz w:val="24"/>
          <w:szCs w:val="24"/>
        </w:rPr>
        <w:t xml:space="preserve"> Кризисни центрове за деца с общ брой потребители </w:t>
      </w:r>
      <w:r w:rsidRPr="00AA5833">
        <w:rPr>
          <w:rFonts w:ascii="Times New Roman" w:hAnsi="Times New Roman" w:cs="Times New Roman"/>
          <w:b/>
          <w:bCs/>
          <w:sz w:val="24"/>
          <w:szCs w:val="24"/>
        </w:rPr>
        <w:t>212</w:t>
      </w:r>
      <w:r w:rsidRPr="00AA5833">
        <w:rPr>
          <w:rFonts w:ascii="Times New Roman" w:hAnsi="Times New Roman" w:cs="Times New Roman"/>
          <w:bCs/>
          <w:sz w:val="24"/>
          <w:szCs w:val="24"/>
        </w:rPr>
        <w:t xml:space="preserve">; </w:t>
      </w:r>
    </w:p>
    <w:p w14:paraId="5157EC78"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lastRenderedPageBreak/>
        <w:t>267</w:t>
      </w:r>
      <w:r w:rsidRPr="00AA5833">
        <w:rPr>
          <w:rFonts w:ascii="Times New Roman" w:hAnsi="Times New Roman" w:cs="Times New Roman"/>
          <w:bCs/>
          <w:sz w:val="24"/>
          <w:szCs w:val="24"/>
        </w:rPr>
        <w:t xml:space="preserve"> Центрове за настаняване от семеен тип за деца/младежи, с общ брой потребители </w:t>
      </w:r>
      <w:r w:rsidRPr="00AA5833">
        <w:rPr>
          <w:rFonts w:ascii="Times New Roman" w:hAnsi="Times New Roman" w:cs="Times New Roman"/>
          <w:b/>
          <w:bCs/>
          <w:sz w:val="24"/>
          <w:szCs w:val="24"/>
        </w:rPr>
        <w:t>3 283</w:t>
      </w:r>
      <w:r w:rsidRPr="00AA5833">
        <w:rPr>
          <w:rFonts w:ascii="Times New Roman" w:hAnsi="Times New Roman" w:cs="Times New Roman"/>
          <w:bCs/>
          <w:sz w:val="24"/>
          <w:szCs w:val="24"/>
        </w:rPr>
        <w:t xml:space="preserve">. </w:t>
      </w:r>
    </w:p>
    <w:p w14:paraId="35178E5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
          <w:bCs/>
          <w:sz w:val="24"/>
          <w:szCs w:val="24"/>
          <w:lang w:eastAsia="bg-BG"/>
        </w:rPr>
        <w:t xml:space="preserve">и 451 броя, </w:t>
      </w:r>
      <w:r w:rsidRPr="00AA5833">
        <w:rPr>
          <w:rFonts w:ascii="Times New Roman" w:eastAsia="Times New Roman" w:hAnsi="Times New Roman" w:cs="Times New Roman"/>
          <w:bCs/>
          <w:sz w:val="24"/>
          <w:szCs w:val="24"/>
          <w:lang w:eastAsia="bg-BG"/>
        </w:rPr>
        <w:t>предоставящи консултативни услуги</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bCs/>
          <w:sz w:val="24"/>
          <w:szCs w:val="24"/>
          <w:lang w:eastAsia="bg-BG"/>
        </w:rPr>
        <w:t xml:space="preserve">с общ брой потребители </w:t>
      </w:r>
      <w:r w:rsidRPr="00AA5833">
        <w:rPr>
          <w:rFonts w:ascii="Times New Roman" w:eastAsia="Times New Roman" w:hAnsi="Times New Roman" w:cs="Times New Roman"/>
          <w:b/>
          <w:bCs/>
          <w:sz w:val="24"/>
          <w:szCs w:val="24"/>
          <w:lang w:eastAsia="bg-BG"/>
        </w:rPr>
        <w:t>16 523 места,</w:t>
      </w:r>
      <w:r w:rsidRPr="00AA5833">
        <w:rPr>
          <w:rFonts w:ascii="Times New Roman" w:eastAsia="Times New Roman" w:hAnsi="Times New Roman" w:cs="Times New Roman"/>
          <w:bCs/>
          <w:sz w:val="24"/>
          <w:szCs w:val="24"/>
          <w:lang w:eastAsia="bg-BG"/>
        </w:rPr>
        <w:t xml:space="preserve"> от които: </w:t>
      </w:r>
    </w:p>
    <w:p w14:paraId="63BD464C" w14:textId="77777777" w:rsidR="00533926" w:rsidRPr="00AA5833" w:rsidRDefault="00533926" w:rsidP="002A598C">
      <w:pPr>
        <w:numPr>
          <w:ilvl w:val="0"/>
          <w:numId w:val="44"/>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172 </w:t>
      </w:r>
      <w:r w:rsidRPr="00AA5833">
        <w:rPr>
          <w:rFonts w:ascii="Times New Roman" w:hAnsi="Times New Roman" w:cs="Times New Roman"/>
          <w:bCs/>
          <w:sz w:val="24"/>
          <w:szCs w:val="24"/>
        </w:rPr>
        <w:t xml:space="preserve">Центъра за обществена подкрепа, с общ брой потребители </w:t>
      </w:r>
      <w:r w:rsidRPr="00AA5833">
        <w:rPr>
          <w:rFonts w:ascii="Times New Roman" w:hAnsi="Times New Roman" w:cs="Times New Roman"/>
          <w:b/>
          <w:bCs/>
          <w:iCs/>
          <w:sz w:val="24"/>
          <w:szCs w:val="24"/>
        </w:rPr>
        <w:t>8 020</w:t>
      </w:r>
      <w:r w:rsidRPr="00AA5833">
        <w:rPr>
          <w:rFonts w:ascii="Times New Roman" w:hAnsi="Times New Roman" w:cs="Times New Roman"/>
          <w:bCs/>
          <w:sz w:val="24"/>
          <w:szCs w:val="24"/>
        </w:rPr>
        <w:t xml:space="preserve">; </w:t>
      </w:r>
    </w:p>
    <w:p w14:paraId="6F3EBA82"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16 </w:t>
      </w:r>
      <w:r w:rsidRPr="00AA5833">
        <w:rPr>
          <w:rFonts w:ascii="Times New Roman" w:hAnsi="Times New Roman" w:cs="Times New Roman"/>
          <w:bCs/>
          <w:sz w:val="24"/>
          <w:szCs w:val="24"/>
        </w:rPr>
        <w:t xml:space="preserve">Центъра за обществена подкрепа/Общностен център за деца и семейства, с общ брой потребители </w:t>
      </w:r>
      <w:r w:rsidRPr="00AA5833">
        <w:rPr>
          <w:rFonts w:ascii="Times New Roman" w:hAnsi="Times New Roman" w:cs="Times New Roman"/>
          <w:b/>
          <w:bCs/>
          <w:iCs/>
          <w:sz w:val="24"/>
          <w:szCs w:val="24"/>
        </w:rPr>
        <w:t>884</w:t>
      </w:r>
      <w:r w:rsidRPr="00AA5833">
        <w:rPr>
          <w:rFonts w:ascii="Times New Roman" w:hAnsi="Times New Roman" w:cs="Times New Roman"/>
          <w:bCs/>
          <w:sz w:val="24"/>
          <w:szCs w:val="24"/>
        </w:rPr>
        <w:t xml:space="preserve">; </w:t>
      </w:r>
    </w:p>
    <w:p w14:paraId="5485F274" w14:textId="77777777" w:rsidR="00533926" w:rsidRPr="00AA5833" w:rsidRDefault="00533926" w:rsidP="002A598C">
      <w:pPr>
        <w:numPr>
          <w:ilvl w:val="0"/>
          <w:numId w:val="44"/>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28</w:t>
      </w:r>
      <w:r w:rsidRPr="00AA5833">
        <w:rPr>
          <w:rFonts w:ascii="Times New Roman" w:hAnsi="Times New Roman" w:cs="Times New Roman"/>
          <w:bCs/>
          <w:sz w:val="24"/>
          <w:szCs w:val="24"/>
        </w:rPr>
        <w:t xml:space="preserve"> Центъра за </w:t>
      </w:r>
      <w:r w:rsidRPr="00AA5833">
        <w:rPr>
          <w:rFonts w:ascii="Times New Roman" w:hAnsi="Times New Roman" w:cs="Times New Roman"/>
          <w:b/>
          <w:bCs/>
          <w:sz w:val="24"/>
          <w:szCs w:val="24"/>
        </w:rPr>
        <w:t>работа</w:t>
      </w:r>
      <w:r w:rsidRPr="00AA5833">
        <w:rPr>
          <w:rFonts w:ascii="Times New Roman" w:hAnsi="Times New Roman" w:cs="Times New Roman"/>
          <w:bCs/>
          <w:sz w:val="24"/>
          <w:szCs w:val="24"/>
        </w:rPr>
        <w:t xml:space="preserve"> с деца на улицата, с общ брой потребители </w:t>
      </w:r>
      <w:r w:rsidRPr="00AA5833">
        <w:rPr>
          <w:rFonts w:ascii="Times New Roman" w:hAnsi="Times New Roman" w:cs="Times New Roman"/>
          <w:b/>
          <w:bCs/>
          <w:sz w:val="24"/>
          <w:szCs w:val="24"/>
        </w:rPr>
        <w:t>624</w:t>
      </w:r>
      <w:r w:rsidRPr="00AA5833">
        <w:rPr>
          <w:rFonts w:ascii="Times New Roman" w:hAnsi="Times New Roman" w:cs="Times New Roman"/>
          <w:bCs/>
          <w:sz w:val="24"/>
          <w:szCs w:val="24"/>
        </w:rPr>
        <w:t xml:space="preserve">; </w:t>
      </w:r>
    </w:p>
    <w:p w14:paraId="31B33544"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126 </w:t>
      </w:r>
      <w:r w:rsidRPr="00AA5833">
        <w:rPr>
          <w:rFonts w:ascii="Times New Roman" w:hAnsi="Times New Roman" w:cs="Times New Roman"/>
          <w:bCs/>
          <w:sz w:val="24"/>
          <w:szCs w:val="24"/>
        </w:rPr>
        <w:t xml:space="preserve">Дневни центъра за деца и младежи с увреждания, с общ брой потребители </w:t>
      </w:r>
      <w:r w:rsidRPr="00AA5833">
        <w:rPr>
          <w:rFonts w:ascii="Times New Roman" w:hAnsi="Times New Roman" w:cs="Times New Roman"/>
          <w:b/>
          <w:bCs/>
          <w:iCs/>
          <w:sz w:val="24"/>
          <w:szCs w:val="24"/>
        </w:rPr>
        <w:t>3 517</w:t>
      </w:r>
      <w:r w:rsidRPr="00AA5833">
        <w:rPr>
          <w:rFonts w:ascii="Times New Roman" w:hAnsi="Times New Roman" w:cs="Times New Roman"/>
          <w:bCs/>
          <w:sz w:val="24"/>
          <w:szCs w:val="24"/>
        </w:rPr>
        <w:t xml:space="preserve">; </w:t>
      </w:r>
    </w:p>
    <w:p w14:paraId="430F4579"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14 </w:t>
      </w:r>
      <w:r w:rsidRPr="00AA5833">
        <w:rPr>
          <w:rFonts w:ascii="Times New Roman" w:hAnsi="Times New Roman" w:cs="Times New Roman"/>
          <w:bCs/>
          <w:sz w:val="24"/>
          <w:szCs w:val="24"/>
        </w:rPr>
        <w:t xml:space="preserve">Дневни центъра за деца и пълнолетни лица с увреждания; деца и/или пълнолетни лица с увреждания; деца и/или пълнолетни лица с тежки множествени увреждания, с общ брой потребители </w:t>
      </w:r>
      <w:r w:rsidRPr="00AA5833">
        <w:rPr>
          <w:rFonts w:ascii="Times New Roman" w:hAnsi="Times New Roman" w:cs="Times New Roman"/>
          <w:b/>
          <w:bCs/>
          <w:iCs/>
          <w:sz w:val="24"/>
          <w:szCs w:val="24"/>
        </w:rPr>
        <w:t>450</w:t>
      </w:r>
      <w:r w:rsidRPr="00AA5833">
        <w:rPr>
          <w:rFonts w:ascii="Times New Roman" w:hAnsi="Times New Roman" w:cs="Times New Roman"/>
          <w:bCs/>
          <w:sz w:val="24"/>
          <w:szCs w:val="24"/>
        </w:rPr>
        <w:t xml:space="preserve">; </w:t>
      </w:r>
    </w:p>
    <w:p w14:paraId="3BE90FA5"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57 </w:t>
      </w:r>
      <w:r w:rsidRPr="00AA5833">
        <w:rPr>
          <w:rFonts w:ascii="Times New Roman" w:hAnsi="Times New Roman" w:cs="Times New Roman"/>
          <w:bCs/>
          <w:sz w:val="24"/>
          <w:szCs w:val="24"/>
        </w:rPr>
        <w:t xml:space="preserve">Центъра за социална рехабилитация и интеграция за деца, с общ брой потребители </w:t>
      </w:r>
      <w:r w:rsidRPr="00AA5833">
        <w:rPr>
          <w:rFonts w:ascii="Times New Roman" w:hAnsi="Times New Roman" w:cs="Times New Roman"/>
          <w:b/>
          <w:bCs/>
          <w:iCs/>
          <w:sz w:val="24"/>
          <w:szCs w:val="24"/>
        </w:rPr>
        <w:t>2 003</w:t>
      </w:r>
      <w:r w:rsidRPr="00AA5833">
        <w:rPr>
          <w:rFonts w:ascii="Times New Roman" w:hAnsi="Times New Roman" w:cs="Times New Roman"/>
          <w:bCs/>
          <w:sz w:val="24"/>
          <w:szCs w:val="24"/>
        </w:rPr>
        <w:t xml:space="preserve">; </w:t>
      </w:r>
    </w:p>
    <w:p w14:paraId="7709FADD"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5 </w:t>
      </w:r>
      <w:r w:rsidRPr="00AA5833">
        <w:rPr>
          <w:rFonts w:ascii="Times New Roman" w:hAnsi="Times New Roman" w:cs="Times New Roman"/>
          <w:bCs/>
          <w:sz w:val="24"/>
          <w:szCs w:val="24"/>
        </w:rPr>
        <w:t xml:space="preserve">Центъра за социална рехабилитация и интеграция за деца с увреждания (програма Ранна интервенция на уврежданията); за деца (програма Ранна интервенция на уврежданията), с общ брой потребители </w:t>
      </w:r>
      <w:r w:rsidRPr="00AA5833">
        <w:rPr>
          <w:rFonts w:ascii="Times New Roman" w:hAnsi="Times New Roman" w:cs="Times New Roman"/>
          <w:b/>
          <w:bCs/>
          <w:iCs/>
          <w:sz w:val="24"/>
          <w:szCs w:val="24"/>
        </w:rPr>
        <w:t>265</w:t>
      </w:r>
      <w:r w:rsidRPr="00AA5833">
        <w:rPr>
          <w:rFonts w:ascii="Times New Roman" w:hAnsi="Times New Roman" w:cs="Times New Roman"/>
          <w:bCs/>
          <w:sz w:val="24"/>
          <w:szCs w:val="24"/>
        </w:rPr>
        <w:t xml:space="preserve">; </w:t>
      </w:r>
    </w:p>
    <w:p w14:paraId="54E9ECE4"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 </w:t>
      </w:r>
      <w:r w:rsidRPr="00AA5833">
        <w:rPr>
          <w:rFonts w:ascii="Times New Roman" w:hAnsi="Times New Roman" w:cs="Times New Roman"/>
          <w:bCs/>
          <w:sz w:val="24"/>
          <w:szCs w:val="24"/>
        </w:rPr>
        <w:t xml:space="preserve">Център за социална рехабилитация и интеграция за деца от 0 до 7 години с интелектуални затруднения, с общ брой потребители </w:t>
      </w:r>
      <w:r w:rsidRPr="00AA5833">
        <w:rPr>
          <w:rFonts w:ascii="Times New Roman" w:hAnsi="Times New Roman" w:cs="Times New Roman"/>
          <w:b/>
          <w:bCs/>
          <w:iCs/>
          <w:sz w:val="24"/>
          <w:szCs w:val="24"/>
        </w:rPr>
        <w:t>30</w:t>
      </w:r>
      <w:r w:rsidRPr="00AA5833">
        <w:rPr>
          <w:rFonts w:ascii="Times New Roman" w:hAnsi="Times New Roman" w:cs="Times New Roman"/>
          <w:bCs/>
          <w:sz w:val="24"/>
          <w:szCs w:val="24"/>
        </w:rPr>
        <w:t xml:space="preserve">; </w:t>
      </w:r>
    </w:p>
    <w:p w14:paraId="2D31C35E"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 </w:t>
      </w:r>
      <w:r w:rsidRPr="00AA5833">
        <w:rPr>
          <w:rFonts w:ascii="Times New Roman" w:hAnsi="Times New Roman" w:cs="Times New Roman"/>
          <w:bCs/>
          <w:sz w:val="24"/>
          <w:szCs w:val="24"/>
        </w:rPr>
        <w:t xml:space="preserve">Център за социална рехабилитация и интеграция за деца и младежи, с общ брой потребители </w:t>
      </w:r>
      <w:r w:rsidRPr="00AA5833">
        <w:rPr>
          <w:rFonts w:ascii="Times New Roman" w:hAnsi="Times New Roman" w:cs="Times New Roman"/>
          <w:b/>
          <w:bCs/>
          <w:iCs/>
          <w:sz w:val="24"/>
          <w:szCs w:val="24"/>
        </w:rPr>
        <w:t>25</w:t>
      </w:r>
      <w:r w:rsidRPr="00AA5833">
        <w:rPr>
          <w:rFonts w:ascii="Times New Roman" w:hAnsi="Times New Roman" w:cs="Times New Roman"/>
          <w:bCs/>
          <w:sz w:val="24"/>
          <w:szCs w:val="24"/>
        </w:rPr>
        <w:t xml:space="preserve">; </w:t>
      </w:r>
    </w:p>
    <w:p w14:paraId="6920AD23" w14:textId="77777777" w:rsidR="00533926" w:rsidRPr="00AA5833" w:rsidRDefault="00533926" w:rsidP="002A598C">
      <w:pPr>
        <w:numPr>
          <w:ilvl w:val="0"/>
          <w:numId w:val="44"/>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19 </w:t>
      </w:r>
      <w:r w:rsidRPr="00AA5833">
        <w:rPr>
          <w:rFonts w:ascii="Times New Roman" w:hAnsi="Times New Roman" w:cs="Times New Roman"/>
          <w:bCs/>
          <w:sz w:val="24"/>
          <w:szCs w:val="24"/>
        </w:rPr>
        <w:t xml:space="preserve">Центъра за социална рехабилитация и интеграция; за деца и лица; Център за социална рехабилитация и интеграция (с приоритет редки болести), с общ брой потребители </w:t>
      </w:r>
      <w:r w:rsidRPr="00AA5833">
        <w:rPr>
          <w:rFonts w:ascii="Times New Roman" w:hAnsi="Times New Roman" w:cs="Times New Roman"/>
          <w:b/>
          <w:bCs/>
          <w:iCs/>
          <w:sz w:val="24"/>
          <w:szCs w:val="24"/>
        </w:rPr>
        <w:t>630</w:t>
      </w:r>
      <w:r w:rsidRPr="00AA5833">
        <w:rPr>
          <w:rFonts w:ascii="Times New Roman" w:hAnsi="Times New Roman" w:cs="Times New Roman"/>
          <w:bCs/>
          <w:sz w:val="24"/>
          <w:szCs w:val="24"/>
        </w:rPr>
        <w:t xml:space="preserve">; </w:t>
      </w:r>
    </w:p>
    <w:p w14:paraId="259EF634" w14:textId="77777777" w:rsidR="00533926" w:rsidRPr="00AA5833" w:rsidRDefault="00533926" w:rsidP="002A598C">
      <w:pPr>
        <w:numPr>
          <w:ilvl w:val="0"/>
          <w:numId w:val="44"/>
        </w:numPr>
        <w:spacing w:after="0" w:line="240" w:lineRule="auto"/>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12</w:t>
      </w:r>
      <w:r w:rsidRPr="00AA5833">
        <w:rPr>
          <w:rFonts w:ascii="Times New Roman" w:hAnsi="Times New Roman" w:cs="Times New Roman"/>
          <w:bCs/>
          <w:sz w:val="24"/>
          <w:szCs w:val="24"/>
        </w:rPr>
        <w:t xml:space="preserve"> Звена „Майка и бебе“, с общ брой потребители </w:t>
      </w:r>
      <w:r w:rsidRPr="00AA5833">
        <w:rPr>
          <w:rFonts w:ascii="Times New Roman" w:hAnsi="Times New Roman" w:cs="Times New Roman"/>
          <w:b/>
          <w:bCs/>
          <w:sz w:val="24"/>
          <w:szCs w:val="24"/>
        </w:rPr>
        <w:t xml:space="preserve">75. </w:t>
      </w:r>
    </w:p>
    <w:p w14:paraId="5E57DE3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r>
    </w:p>
    <w:p w14:paraId="6BF5B096"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През 2024 г. са създадени</w:t>
      </w:r>
      <w:r w:rsidRPr="00AA5833">
        <w:rPr>
          <w:rFonts w:ascii="Times New Roman" w:eastAsia="Times New Roman" w:hAnsi="Times New Roman" w:cs="Times New Roman"/>
          <w:b/>
          <w:bCs/>
          <w:sz w:val="24"/>
          <w:szCs w:val="24"/>
          <w:lang w:eastAsia="bg-BG"/>
        </w:rPr>
        <w:t xml:space="preserve"> 23 нови социални услуги за деца</w:t>
      </w:r>
      <w:r w:rsidRPr="00AA5833">
        <w:rPr>
          <w:rFonts w:ascii="Times New Roman" w:eastAsia="Times New Roman" w:hAnsi="Times New Roman" w:cs="Times New Roman"/>
          <w:bCs/>
          <w:sz w:val="24"/>
          <w:szCs w:val="24"/>
          <w:lang w:eastAsia="bg-BG"/>
        </w:rPr>
        <w:t xml:space="preserve">, включително 6 социални услуги за резидентна грижа, с общ брой потребители </w:t>
      </w:r>
      <w:r w:rsidRPr="00AA5833">
        <w:rPr>
          <w:rFonts w:ascii="Times New Roman" w:eastAsia="Times New Roman" w:hAnsi="Times New Roman" w:cs="Times New Roman"/>
          <w:b/>
          <w:bCs/>
          <w:sz w:val="24"/>
          <w:szCs w:val="24"/>
          <w:lang w:eastAsia="bg-BG"/>
        </w:rPr>
        <w:t>62,</w:t>
      </w:r>
      <w:r w:rsidRPr="00AA5833">
        <w:rPr>
          <w:rFonts w:ascii="Times New Roman" w:eastAsia="Times New Roman" w:hAnsi="Times New Roman" w:cs="Times New Roman"/>
          <w:bCs/>
          <w:sz w:val="24"/>
          <w:szCs w:val="24"/>
          <w:lang w:eastAsia="bg-BG"/>
        </w:rPr>
        <w:t xml:space="preserve"> както следва: </w:t>
      </w:r>
    </w:p>
    <w:p w14:paraId="4B844FF2" w14:textId="77777777" w:rsidR="00533926" w:rsidRPr="00AA5833" w:rsidRDefault="00533926" w:rsidP="002A598C">
      <w:pPr>
        <w:numPr>
          <w:ilvl w:val="0"/>
          <w:numId w:val="45"/>
        </w:numPr>
        <w:spacing w:after="0" w:line="240" w:lineRule="auto"/>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 xml:space="preserve">8 </w:t>
      </w:r>
      <w:r w:rsidRPr="00AA5833">
        <w:rPr>
          <w:rFonts w:ascii="Times New Roman" w:hAnsi="Times New Roman" w:cs="Times New Roman"/>
          <w:bCs/>
          <w:sz w:val="24"/>
          <w:szCs w:val="24"/>
        </w:rPr>
        <w:t xml:space="preserve">Центъра за обществена подкрепа, с общ брой потребители </w:t>
      </w:r>
      <w:r w:rsidRPr="00AA5833">
        <w:rPr>
          <w:rFonts w:ascii="Times New Roman" w:hAnsi="Times New Roman" w:cs="Times New Roman"/>
          <w:b/>
          <w:bCs/>
          <w:iCs/>
          <w:sz w:val="24"/>
          <w:szCs w:val="24"/>
        </w:rPr>
        <w:t>424</w:t>
      </w:r>
      <w:r w:rsidRPr="00AA5833">
        <w:rPr>
          <w:rFonts w:ascii="Times New Roman" w:hAnsi="Times New Roman" w:cs="Times New Roman"/>
          <w:b/>
          <w:bCs/>
          <w:sz w:val="24"/>
          <w:szCs w:val="24"/>
        </w:rPr>
        <w:t xml:space="preserve">; </w:t>
      </w:r>
    </w:p>
    <w:p w14:paraId="2DFBCEA8" w14:textId="77777777" w:rsidR="00533926" w:rsidRPr="00AA5833" w:rsidRDefault="00533926" w:rsidP="002A598C">
      <w:pPr>
        <w:numPr>
          <w:ilvl w:val="0"/>
          <w:numId w:val="45"/>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 </w:t>
      </w:r>
      <w:r w:rsidRPr="00AA5833">
        <w:rPr>
          <w:rFonts w:ascii="Times New Roman" w:hAnsi="Times New Roman" w:cs="Times New Roman"/>
          <w:bCs/>
          <w:sz w:val="24"/>
          <w:szCs w:val="24"/>
        </w:rPr>
        <w:t xml:space="preserve">Център за обществена подкрепа/Общностен център за деца и семейства, с общ брой потребители </w:t>
      </w:r>
      <w:r w:rsidRPr="00AA5833">
        <w:rPr>
          <w:rFonts w:ascii="Times New Roman" w:hAnsi="Times New Roman" w:cs="Times New Roman"/>
          <w:b/>
          <w:bCs/>
          <w:sz w:val="24"/>
          <w:szCs w:val="24"/>
        </w:rPr>
        <w:t>65</w:t>
      </w:r>
      <w:r w:rsidRPr="00AA5833">
        <w:rPr>
          <w:rFonts w:ascii="Times New Roman" w:hAnsi="Times New Roman" w:cs="Times New Roman"/>
          <w:bCs/>
          <w:sz w:val="24"/>
          <w:szCs w:val="24"/>
        </w:rPr>
        <w:t xml:space="preserve">; </w:t>
      </w:r>
    </w:p>
    <w:p w14:paraId="3033D168" w14:textId="77777777" w:rsidR="00533926" w:rsidRPr="00AA5833" w:rsidRDefault="00533926" w:rsidP="002A598C">
      <w:pPr>
        <w:numPr>
          <w:ilvl w:val="0"/>
          <w:numId w:val="45"/>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5 </w:t>
      </w:r>
      <w:r w:rsidRPr="00AA5833">
        <w:rPr>
          <w:rFonts w:ascii="Times New Roman" w:hAnsi="Times New Roman" w:cs="Times New Roman"/>
          <w:bCs/>
          <w:sz w:val="24"/>
          <w:szCs w:val="24"/>
        </w:rPr>
        <w:t xml:space="preserve">Общностни центъра за деца и семейства, с общ брой потребители </w:t>
      </w:r>
      <w:r w:rsidRPr="00AA5833">
        <w:rPr>
          <w:rFonts w:ascii="Times New Roman" w:hAnsi="Times New Roman" w:cs="Times New Roman"/>
          <w:b/>
          <w:bCs/>
          <w:iCs/>
          <w:sz w:val="24"/>
          <w:szCs w:val="24"/>
        </w:rPr>
        <w:t>251</w:t>
      </w:r>
      <w:r w:rsidRPr="00AA5833">
        <w:rPr>
          <w:rFonts w:ascii="Times New Roman" w:hAnsi="Times New Roman" w:cs="Times New Roman"/>
          <w:bCs/>
          <w:sz w:val="24"/>
          <w:szCs w:val="24"/>
        </w:rPr>
        <w:t xml:space="preserve">; </w:t>
      </w:r>
    </w:p>
    <w:p w14:paraId="4EF55C78" w14:textId="77777777" w:rsidR="00533926" w:rsidRPr="00AA5833" w:rsidRDefault="00533926" w:rsidP="002A598C">
      <w:pPr>
        <w:numPr>
          <w:ilvl w:val="0"/>
          <w:numId w:val="45"/>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2 </w:t>
      </w:r>
      <w:r w:rsidRPr="00AA5833">
        <w:rPr>
          <w:rFonts w:ascii="Times New Roman" w:hAnsi="Times New Roman" w:cs="Times New Roman"/>
          <w:bCs/>
          <w:sz w:val="24"/>
          <w:szCs w:val="24"/>
        </w:rPr>
        <w:t xml:space="preserve">Дневни центъра за подкрепа на деца с увреждания и техните семейства, с общ брой потребители </w:t>
      </w:r>
      <w:r w:rsidRPr="00AA5833">
        <w:rPr>
          <w:rFonts w:ascii="Times New Roman" w:hAnsi="Times New Roman" w:cs="Times New Roman"/>
          <w:b/>
          <w:bCs/>
          <w:iCs/>
          <w:sz w:val="24"/>
          <w:szCs w:val="24"/>
        </w:rPr>
        <w:t>60</w:t>
      </w:r>
      <w:r w:rsidRPr="00AA5833">
        <w:rPr>
          <w:rFonts w:ascii="Times New Roman" w:hAnsi="Times New Roman" w:cs="Times New Roman"/>
          <w:bCs/>
          <w:sz w:val="24"/>
          <w:szCs w:val="24"/>
        </w:rPr>
        <w:t xml:space="preserve">; </w:t>
      </w:r>
    </w:p>
    <w:p w14:paraId="35E951B1" w14:textId="77777777" w:rsidR="00533926" w:rsidRPr="00AA5833" w:rsidRDefault="00533926" w:rsidP="002A598C">
      <w:pPr>
        <w:numPr>
          <w:ilvl w:val="0"/>
          <w:numId w:val="45"/>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 </w:t>
      </w:r>
      <w:r w:rsidRPr="00AA5833">
        <w:rPr>
          <w:rFonts w:ascii="Times New Roman" w:hAnsi="Times New Roman" w:cs="Times New Roman"/>
          <w:bCs/>
          <w:sz w:val="24"/>
          <w:szCs w:val="24"/>
        </w:rPr>
        <w:t xml:space="preserve">Център за социална рехабилитация и интеграция, с общ брой потребители </w:t>
      </w:r>
      <w:r w:rsidRPr="00AA5833">
        <w:rPr>
          <w:rFonts w:ascii="Times New Roman" w:hAnsi="Times New Roman" w:cs="Times New Roman"/>
          <w:b/>
          <w:bCs/>
          <w:iCs/>
          <w:sz w:val="24"/>
          <w:szCs w:val="24"/>
        </w:rPr>
        <w:t>20</w:t>
      </w:r>
      <w:r w:rsidRPr="00AA5833">
        <w:rPr>
          <w:rFonts w:ascii="Times New Roman" w:hAnsi="Times New Roman" w:cs="Times New Roman"/>
          <w:bCs/>
          <w:sz w:val="24"/>
          <w:szCs w:val="24"/>
        </w:rPr>
        <w:t xml:space="preserve">; </w:t>
      </w:r>
    </w:p>
    <w:p w14:paraId="52EFD4EE" w14:textId="77777777" w:rsidR="00533926" w:rsidRPr="00AA5833" w:rsidRDefault="00533926" w:rsidP="002A598C">
      <w:pPr>
        <w:numPr>
          <w:ilvl w:val="0"/>
          <w:numId w:val="45"/>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3 </w:t>
      </w:r>
      <w:r w:rsidRPr="00AA5833">
        <w:rPr>
          <w:rFonts w:ascii="Times New Roman" w:hAnsi="Times New Roman" w:cs="Times New Roman"/>
          <w:bCs/>
          <w:sz w:val="24"/>
          <w:szCs w:val="24"/>
        </w:rPr>
        <w:t xml:space="preserve">Преходни жилища за деца, с общ брой потребители </w:t>
      </w:r>
      <w:r w:rsidRPr="00AA5833">
        <w:rPr>
          <w:rFonts w:ascii="Times New Roman" w:hAnsi="Times New Roman" w:cs="Times New Roman"/>
          <w:b/>
          <w:bCs/>
          <w:iCs/>
          <w:sz w:val="24"/>
          <w:szCs w:val="24"/>
        </w:rPr>
        <w:t>24</w:t>
      </w:r>
      <w:r w:rsidRPr="00AA5833">
        <w:rPr>
          <w:rFonts w:ascii="Times New Roman" w:hAnsi="Times New Roman" w:cs="Times New Roman"/>
          <w:bCs/>
          <w:sz w:val="24"/>
          <w:szCs w:val="24"/>
        </w:rPr>
        <w:t xml:space="preserve">; </w:t>
      </w:r>
    </w:p>
    <w:p w14:paraId="55C8A24D" w14:textId="77777777" w:rsidR="00533926" w:rsidRPr="00AA5833" w:rsidRDefault="00533926" w:rsidP="002A598C">
      <w:pPr>
        <w:numPr>
          <w:ilvl w:val="0"/>
          <w:numId w:val="45"/>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2 </w:t>
      </w:r>
      <w:r w:rsidRPr="00AA5833">
        <w:rPr>
          <w:rFonts w:ascii="Times New Roman" w:hAnsi="Times New Roman" w:cs="Times New Roman"/>
          <w:bCs/>
          <w:sz w:val="24"/>
          <w:szCs w:val="24"/>
        </w:rPr>
        <w:t xml:space="preserve">Центъра за настаняване от семеен тип за деца без увреждания, с общ брой потребители </w:t>
      </w:r>
      <w:r w:rsidRPr="00AA5833">
        <w:rPr>
          <w:rFonts w:ascii="Times New Roman" w:hAnsi="Times New Roman" w:cs="Times New Roman"/>
          <w:b/>
          <w:bCs/>
          <w:iCs/>
          <w:sz w:val="24"/>
          <w:szCs w:val="24"/>
        </w:rPr>
        <w:t>24</w:t>
      </w:r>
      <w:r w:rsidRPr="00AA5833">
        <w:rPr>
          <w:rFonts w:ascii="Times New Roman" w:hAnsi="Times New Roman" w:cs="Times New Roman"/>
          <w:bCs/>
          <w:sz w:val="24"/>
          <w:szCs w:val="24"/>
        </w:rPr>
        <w:t xml:space="preserve">; </w:t>
      </w:r>
    </w:p>
    <w:p w14:paraId="0D0736C6" w14:textId="77777777" w:rsidR="00533926" w:rsidRPr="00AA5833" w:rsidRDefault="00533926" w:rsidP="002A598C">
      <w:pPr>
        <w:numPr>
          <w:ilvl w:val="0"/>
          <w:numId w:val="45"/>
        </w:numPr>
        <w:spacing w:after="0" w:line="240" w:lineRule="auto"/>
        <w:ind w:left="0" w:firstLine="36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 xml:space="preserve">1 </w:t>
      </w:r>
      <w:r w:rsidRPr="00AA5833">
        <w:rPr>
          <w:rFonts w:ascii="Times New Roman" w:hAnsi="Times New Roman" w:cs="Times New Roman"/>
          <w:bCs/>
          <w:sz w:val="24"/>
          <w:szCs w:val="24"/>
        </w:rPr>
        <w:t xml:space="preserve">Център за настаняване от семеен тип за деца с увреждания, с общ брой потребители </w:t>
      </w:r>
      <w:r w:rsidRPr="00AA5833">
        <w:rPr>
          <w:rFonts w:ascii="Times New Roman" w:hAnsi="Times New Roman" w:cs="Times New Roman"/>
          <w:b/>
          <w:bCs/>
          <w:iCs/>
          <w:sz w:val="24"/>
          <w:szCs w:val="24"/>
        </w:rPr>
        <w:t>14</w:t>
      </w:r>
      <w:r w:rsidRPr="00AA5833">
        <w:rPr>
          <w:rFonts w:ascii="Times New Roman" w:hAnsi="Times New Roman" w:cs="Times New Roman"/>
          <w:bCs/>
          <w:sz w:val="24"/>
          <w:szCs w:val="24"/>
        </w:rPr>
        <w:t xml:space="preserve">. </w:t>
      </w:r>
    </w:p>
    <w:p w14:paraId="68CCF264"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Към края на отчетната 2024 г. е </w:t>
      </w:r>
      <w:r w:rsidRPr="00AA5833">
        <w:rPr>
          <w:rFonts w:ascii="Times New Roman" w:eastAsia="Times New Roman" w:hAnsi="Times New Roman" w:cs="Times New Roman"/>
          <w:b/>
          <w:bCs/>
          <w:sz w:val="24"/>
          <w:szCs w:val="24"/>
          <w:lang w:eastAsia="bg-BG"/>
        </w:rPr>
        <w:t xml:space="preserve">увеличен капацитетът </w:t>
      </w:r>
      <w:r w:rsidRPr="00AA5833">
        <w:rPr>
          <w:rFonts w:ascii="Times New Roman" w:eastAsia="Times New Roman" w:hAnsi="Times New Roman" w:cs="Times New Roman"/>
          <w:bCs/>
          <w:sz w:val="24"/>
          <w:szCs w:val="24"/>
          <w:lang w:eastAsia="bg-BG"/>
        </w:rPr>
        <w:t xml:space="preserve">на </w:t>
      </w:r>
      <w:r w:rsidRPr="00AA5833">
        <w:rPr>
          <w:rFonts w:ascii="Times New Roman" w:eastAsia="Times New Roman" w:hAnsi="Times New Roman" w:cs="Times New Roman"/>
          <w:bCs/>
          <w:iCs/>
          <w:sz w:val="24"/>
          <w:szCs w:val="24"/>
          <w:lang w:eastAsia="bg-BG"/>
        </w:rPr>
        <w:t>2</w:t>
      </w:r>
      <w:r w:rsidRPr="00AA5833">
        <w:rPr>
          <w:rFonts w:ascii="Times New Roman" w:eastAsia="Times New Roman" w:hAnsi="Times New Roman" w:cs="Times New Roman"/>
          <w:b/>
          <w:bCs/>
          <w:i/>
          <w:iCs/>
          <w:sz w:val="24"/>
          <w:szCs w:val="24"/>
          <w:lang w:eastAsia="bg-BG"/>
        </w:rPr>
        <w:t xml:space="preserve"> </w:t>
      </w:r>
      <w:r w:rsidRPr="00AA5833">
        <w:rPr>
          <w:rFonts w:ascii="Times New Roman" w:eastAsia="Times New Roman" w:hAnsi="Times New Roman" w:cs="Times New Roman"/>
          <w:bCs/>
          <w:sz w:val="24"/>
          <w:szCs w:val="24"/>
          <w:lang w:eastAsia="bg-BG"/>
        </w:rPr>
        <w:t xml:space="preserve">социални услуги за деца и е </w:t>
      </w:r>
      <w:r w:rsidRPr="00AA5833">
        <w:rPr>
          <w:rFonts w:ascii="Times New Roman" w:eastAsia="Times New Roman" w:hAnsi="Times New Roman" w:cs="Times New Roman"/>
          <w:b/>
          <w:bCs/>
          <w:sz w:val="24"/>
          <w:szCs w:val="24"/>
          <w:lang w:eastAsia="bg-BG"/>
        </w:rPr>
        <w:t xml:space="preserve">променено мястото на предоставяне </w:t>
      </w:r>
      <w:r w:rsidRPr="00AA5833">
        <w:rPr>
          <w:rFonts w:ascii="Times New Roman" w:eastAsia="Times New Roman" w:hAnsi="Times New Roman" w:cs="Times New Roman"/>
          <w:bCs/>
          <w:sz w:val="24"/>
          <w:szCs w:val="24"/>
          <w:lang w:eastAsia="bg-BG"/>
        </w:rPr>
        <w:t xml:space="preserve">на </w:t>
      </w:r>
      <w:r w:rsidRPr="00AA5833">
        <w:rPr>
          <w:rFonts w:ascii="Times New Roman" w:eastAsia="Times New Roman" w:hAnsi="Times New Roman" w:cs="Times New Roman"/>
          <w:bCs/>
          <w:iCs/>
          <w:sz w:val="24"/>
          <w:szCs w:val="24"/>
          <w:lang w:eastAsia="bg-BG"/>
        </w:rPr>
        <w:t>6</w:t>
      </w:r>
      <w:r w:rsidRPr="00AA5833">
        <w:rPr>
          <w:rFonts w:ascii="Times New Roman" w:eastAsia="Times New Roman" w:hAnsi="Times New Roman" w:cs="Times New Roman"/>
          <w:b/>
          <w:bCs/>
          <w:i/>
          <w:iCs/>
          <w:sz w:val="24"/>
          <w:szCs w:val="24"/>
          <w:lang w:eastAsia="bg-BG"/>
        </w:rPr>
        <w:t xml:space="preserve"> </w:t>
      </w:r>
      <w:r w:rsidRPr="00AA5833">
        <w:rPr>
          <w:rFonts w:ascii="Times New Roman" w:eastAsia="Times New Roman" w:hAnsi="Times New Roman" w:cs="Times New Roman"/>
          <w:bCs/>
          <w:sz w:val="24"/>
          <w:szCs w:val="24"/>
          <w:lang w:eastAsia="bg-BG"/>
        </w:rPr>
        <w:t xml:space="preserve">социални услуги за деца. </w:t>
      </w:r>
    </w:p>
    <w:p w14:paraId="197BC377"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В съответствие с провежданите политики за подкрепа на децата и семействата е изградена мрежа от социални услуги, които са пример за интегриран подход при предоставяне на услуги за ранно детско развитие, насочени към информиране и консултиране на родителите и за превенция на рисковете. Ключов елемент от националната система за ранна детска интервенция е разгръщането на мрежа от услуги </w:t>
      </w:r>
      <w:r w:rsidRPr="00AA5833">
        <w:rPr>
          <w:rFonts w:ascii="Times New Roman" w:eastAsia="Times New Roman" w:hAnsi="Times New Roman" w:cs="Times New Roman"/>
          <w:bCs/>
          <w:sz w:val="24"/>
          <w:szCs w:val="24"/>
          <w:lang w:eastAsia="bg-BG"/>
        </w:rPr>
        <w:lastRenderedPageBreak/>
        <w:t xml:space="preserve">с национално покритие, които да предоставят навременна и качествена семейна подкрепа. </w:t>
      </w:r>
    </w:p>
    <w:p w14:paraId="3C067D9A"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Cs/>
          <w:sz w:val="24"/>
          <w:szCs w:val="24"/>
          <w:lang w:eastAsia="bg-BG"/>
        </w:rPr>
        <w:tab/>
        <w:t xml:space="preserve">През календарната 2024 г. новоразкритите социални услуги като дейности делегирани от държавния бюджет, които са продължаващи по проекти за ранна интервенция на уврежданията са </w:t>
      </w:r>
      <w:r w:rsidRPr="00AA5833">
        <w:rPr>
          <w:rFonts w:ascii="Times New Roman" w:eastAsia="Times New Roman" w:hAnsi="Times New Roman" w:cs="Times New Roman"/>
          <w:b/>
          <w:bCs/>
          <w:sz w:val="24"/>
          <w:szCs w:val="24"/>
          <w:lang w:eastAsia="bg-BG"/>
        </w:rPr>
        <w:t>2 броя</w:t>
      </w:r>
      <w:r w:rsidRPr="00AA5833">
        <w:rPr>
          <w:rFonts w:ascii="Times New Roman" w:eastAsia="Times New Roman" w:hAnsi="Times New Roman" w:cs="Times New Roman"/>
          <w:bCs/>
          <w:sz w:val="24"/>
          <w:szCs w:val="24"/>
          <w:lang w:eastAsia="bg-BG"/>
        </w:rPr>
        <w:t xml:space="preserve">, с общ брой потребители </w:t>
      </w:r>
      <w:r w:rsidRPr="00AA5833">
        <w:rPr>
          <w:rFonts w:ascii="Times New Roman" w:eastAsia="Times New Roman" w:hAnsi="Times New Roman" w:cs="Times New Roman"/>
          <w:b/>
          <w:bCs/>
          <w:iCs/>
          <w:sz w:val="24"/>
          <w:szCs w:val="24"/>
          <w:lang w:eastAsia="bg-BG"/>
        </w:rPr>
        <w:t>100</w:t>
      </w:r>
      <w:r w:rsidRPr="00AA5833">
        <w:rPr>
          <w:rFonts w:ascii="Times New Roman" w:eastAsia="Times New Roman" w:hAnsi="Times New Roman" w:cs="Times New Roman"/>
          <w:bCs/>
          <w:sz w:val="24"/>
          <w:szCs w:val="24"/>
          <w:lang w:eastAsia="bg-BG"/>
        </w:rPr>
        <w:t>.</w:t>
      </w:r>
    </w:p>
    <w:p w14:paraId="600D60D3"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7C485D5C"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7F328309"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4FD9F0C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10.3.3. Подобряване достъпа до социални услуги за възрастни хора и хора с увреждания </w:t>
      </w:r>
    </w:p>
    <w:p w14:paraId="76F6A32F" w14:textId="77777777" w:rsidR="00533926"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EDF384F" w14:textId="77777777" w:rsidR="00957A55" w:rsidRPr="00B278BC" w:rsidRDefault="00957A55" w:rsidP="00533926">
      <w:pPr>
        <w:autoSpaceDE w:val="0"/>
        <w:autoSpaceDN w:val="0"/>
        <w:adjustRightInd w:val="0"/>
        <w:spacing w:after="0" w:line="240" w:lineRule="auto"/>
        <w:jc w:val="both"/>
        <w:rPr>
          <w:rFonts w:ascii="Times New Roman" w:hAnsi="Times New Roman" w:cs="Times New Roman"/>
          <w:i/>
          <w:color w:val="000000"/>
          <w:sz w:val="24"/>
          <w:szCs w:val="24"/>
        </w:rPr>
      </w:pPr>
      <w:r w:rsidRPr="00B278BC">
        <w:rPr>
          <w:rFonts w:ascii="Times New Roman" w:hAnsi="Times New Roman" w:cs="Times New Roman"/>
          <w:i/>
          <w:color w:val="000000"/>
          <w:sz w:val="24"/>
          <w:szCs w:val="24"/>
        </w:rPr>
        <w:t>Вж. 10.4.1.</w:t>
      </w:r>
    </w:p>
    <w:p w14:paraId="048020D2" w14:textId="77777777" w:rsidR="00957A55" w:rsidRDefault="00957A55" w:rsidP="00533926">
      <w:pPr>
        <w:spacing w:after="0" w:line="240" w:lineRule="auto"/>
        <w:jc w:val="center"/>
        <w:rPr>
          <w:rFonts w:ascii="Times New Roman" w:eastAsia="Times New Roman" w:hAnsi="Times New Roman" w:cs="Times New Roman"/>
          <w:b/>
          <w:color w:val="0000FF"/>
          <w:sz w:val="24"/>
          <w:szCs w:val="24"/>
          <w:lang w:eastAsia="bg-BG"/>
        </w:rPr>
      </w:pPr>
    </w:p>
    <w:p w14:paraId="4277BDFA" w14:textId="77777777" w:rsidR="00957A55" w:rsidRDefault="00957A55" w:rsidP="00533926">
      <w:pPr>
        <w:spacing w:after="0" w:line="240" w:lineRule="auto"/>
        <w:jc w:val="center"/>
        <w:rPr>
          <w:rFonts w:ascii="Times New Roman" w:eastAsia="Times New Roman" w:hAnsi="Times New Roman" w:cs="Times New Roman"/>
          <w:b/>
          <w:color w:val="0000FF"/>
          <w:sz w:val="24"/>
          <w:szCs w:val="24"/>
          <w:lang w:eastAsia="bg-BG"/>
        </w:rPr>
      </w:pPr>
    </w:p>
    <w:p w14:paraId="06C007AD"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0FF321E3"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7D67B11E"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10.3.4. Процедура за предоставяне на безвъзмездна финансова помощ BG05SFPR002-2.006 „Повишаване на капацитета на служителите на агенцията за социално подпомагане във връзка с модернизиране на системите за социална закрила“ – компонент 1 Програма „Развитие на човешките ресурси“ </w:t>
      </w:r>
    </w:p>
    <w:p w14:paraId="0E02B9D2"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199F72C0" w14:textId="77777777" w:rsidR="00533926" w:rsidRPr="00AA5833" w:rsidRDefault="00533926" w:rsidP="00533926">
      <w:pPr>
        <w:spacing w:after="0" w:line="240" w:lineRule="auto"/>
        <w:ind w:firstLine="710"/>
        <w:jc w:val="both"/>
        <w:rPr>
          <w:rFonts w:ascii="Times New Roman" w:hAnsi="Times New Roman" w:cs="Times New Roman"/>
          <w:sz w:val="24"/>
          <w:szCs w:val="24"/>
        </w:rPr>
      </w:pPr>
      <w:r w:rsidRPr="00AA5833">
        <w:rPr>
          <w:rFonts w:ascii="Times New Roman" w:hAnsi="Times New Roman" w:cs="Times New Roman"/>
          <w:sz w:val="24"/>
          <w:szCs w:val="24"/>
        </w:rPr>
        <w:t xml:space="preserve">Считано от 01.01.2024 г. по Програма „Развитие на човешките ресурси“ (ПРЧР) стартира проект „Повишаване на капацитета на служителите на агенцията за социално подпомагане във връзка с модернизиране на системите за социална закрила“ – Компонент 1 по процедура за директно предоставяне на безвъзмездна финансова помощ BG05SFPR002-2.006, </w:t>
      </w:r>
      <w:r w:rsidRPr="00AA5833">
        <w:rPr>
          <w:rFonts w:ascii="Times New Roman" w:hAnsi="Times New Roman" w:cs="Times New Roman"/>
          <w:b/>
          <w:bCs/>
          <w:sz w:val="24"/>
          <w:szCs w:val="24"/>
        </w:rPr>
        <w:t xml:space="preserve">фокусирана върху продължаване и развитие на приемната грижа. </w:t>
      </w:r>
      <w:r w:rsidRPr="00AA5833">
        <w:rPr>
          <w:rFonts w:ascii="Times New Roman" w:hAnsi="Times New Roman" w:cs="Times New Roman"/>
          <w:bCs/>
          <w:sz w:val="24"/>
          <w:szCs w:val="24"/>
        </w:rPr>
        <w:t>Той обхваща</w:t>
      </w:r>
      <w:r w:rsidRPr="00AA5833">
        <w:rPr>
          <w:rFonts w:ascii="Times New Roman" w:hAnsi="Times New Roman" w:cs="Times New Roman"/>
          <w:b/>
          <w:bCs/>
          <w:sz w:val="24"/>
          <w:szCs w:val="24"/>
        </w:rPr>
        <w:t xml:space="preserve"> </w:t>
      </w:r>
      <w:r w:rsidRPr="00AA5833">
        <w:rPr>
          <w:rFonts w:ascii="Times New Roman" w:hAnsi="Times New Roman" w:cs="Times New Roman"/>
          <w:sz w:val="24"/>
          <w:szCs w:val="24"/>
        </w:rPr>
        <w:t xml:space="preserve">общините, предоставящи дейности по проект „Приеми ме 2015“, също и нови общини, които имат нови действащи приемни семейства с доставчици ДСП. </w:t>
      </w:r>
    </w:p>
    <w:p w14:paraId="1501F1D7" w14:textId="77777777" w:rsidR="00533926" w:rsidRPr="00AA5833" w:rsidRDefault="00533926" w:rsidP="00533926">
      <w:pPr>
        <w:spacing w:after="0" w:line="240" w:lineRule="auto"/>
        <w:ind w:firstLine="710"/>
        <w:jc w:val="both"/>
        <w:rPr>
          <w:rFonts w:ascii="Times New Roman" w:hAnsi="Times New Roman" w:cs="Times New Roman"/>
          <w:b/>
          <w:sz w:val="24"/>
          <w:szCs w:val="24"/>
        </w:rPr>
      </w:pPr>
      <w:r w:rsidRPr="00AA5833">
        <w:rPr>
          <w:rFonts w:ascii="Times New Roman" w:hAnsi="Times New Roman" w:cs="Times New Roman"/>
          <w:sz w:val="24"/>
          <w:szCs w:val="24"/>
        </w:rPr>
        <w:t xml:space="preserve">За 2024 г. за заплати и осигурителни вноски на </w:t>
      </w:r>
      <w:r w:rsidRPr="00AA5833">
        <w:rPr>
          <w:rFonts w:ascii="Times New Roman" w:hAnsi="Times New Roman" w:cs="Times New Roman"/>
          <w:b/>
          <w:sz w:val="24"/>
          <w:szCs w:val="24"/>
        </w:rPr>
        <w:t>професионалните приемни семейства</w:t>
      </w:r>
      <w:r w:rsidRPr="00AA5833">
        <w:rPr>
          <w:rFonts w:ascii="Times New Roman" w:hAnsi="Times New Roman" w:cs="Times New Roman"/>
          <w:sz w:val="24"/>
          <w:szCs w:val="24"/>
        </w:rPr>
        <w:t xml:space="preserve"> и помощи по програмата за </w:t>
      </w:r>
      <w:r w:rsidRPr="00AA5833">
        <w:rPr>
          <w:rFonts w:ascii="Times New Roman" w:hAnsi="Times New Roman" w:cs="Times New Roman"/>
          <w:b/>
          <w:sz w:val="24"/>
          <w:szCs w:val="24"/>
        </w:rPr>
        <w:t>децата</w:t>
      </w:r>
      <w:r w:rsidRPr="00AA5833">
        <w:rPr>
          <w:rFonts w:ascii="Times New Roman" w:hAnsi="Times New Roman" w:cs="Times New Roman"/>
          <w:sz w:val="24"/>
          <w:szCs w:val="24"/>
        </w:rPr>
        <w:t xml:space="preserve">, настанени в приемни семейства (професионални и доброволни) по горепосочения проект е предоставен трансфер в размер на 32 796 143 лева. </w:t>
      </w:r>
    </w:p>
    <w:p w14:paraId="06A78087" w14:textId="77777777" w:rsidR="00533926" w:rsidRPr="00AA5833" w:rsidRDefault="00533926" w:rsidP="00533926">
      <w:pPr>
        <w:spacing w:after="0" w:line="240" w:lineRule="auto"/>
        <w:ind w:firstLine="720"/>
        <w:jc w:val="both"/>
        <w:rPr>
          <w:rFonts w:ascii="Times New Roman" w:eastAsia="Dotum" w:hAnsi="Times New Roman" w:cs="Times New Roman"/>
          <w:b/>
          <w:sz w:val="24"/>
          <w:szCs w:val="24"/>
        </w:rPr>
      </w:pPr>
      <w:r w:rsidRPr="00AA5833">
        <w:rPr>
          <w:rFonts w:ascii="Times New Roman" w:eastAsia="Dotum" w:hAnsi="Times New Roman" w:cs="Times New Roman"/>
          <w:sz w:val="24"/>
          <w:szCs w:val="24"/>
        </w:rPr>
        <w:t>През 2024 г. новите случаи</w:t>
      </w:r>
      <w:r w:rsidRPr="00AA5833">
        <w:rPr>
          <w:rFonts w:ascii="Times New Roman" w:eastAsia="Dotum" w:hAnsi="Times New Roman" w:cs="Times New Roman"/>
          <w:b/>
          <w:sz w:val="24"/>
          <w:szCs w:val="24"/>
        </w:rPr>
        <w:t xml:space="preserve"> </w:t>
      </w:r>
      <w:r w:rsidRPr="00AA5833">
        <w:rPr>
          <w:rFonts w:ascii="Times New Roman" w:eastAsia="Dotum" w:hAnsi="Times New Roman" w:cs="Times New Roman"/>
          <w:sz w:val="24"/>
          <w:szCs w:val="24"/>
        </w:rPr>
        <w:t xml:space="preserve">на деца, настанени в приемни семейства са </w:t>
      </w:r>
      <w:r w:rsidRPr="00AA5833">
        <w:rPr>
          <w:rFonts w:ascii="Times New Roman" w:eastAsia="Dotum" w:hAnsi="Times New Roman" w:cs="Times New Roman"/>
          <w:b/>
          <w:sz w:val="24"/>
          <w:szCs w:val="24"/>
        </w:rPr>
        <w:t xml:space="preserve">702. </w:t>
      </w:r>
    </w:p>
    <w:p w14:paraId="62FA7017" w14:textId="77777777" w:rsidR="00533926" w:rsidRPr="00AA5833" w:rsidRDefault="00533926" w:rsidP="00533926">
      <w:pPr>
        <w:spacing w:after="0" w:line="240" w:lineRule="auto"/>
        <w:ind w:firstLine="720"/>
        <w:jc w:val="both"/>
        <w:rPr>
          <w:rFonts w:ascii="Times New Roman" w:eastAsia="Dotum" w:hAnsi="Times New Roman" w:cs="Times New Roman"/>
          <w:b/>
          <w:sz w:val="24"/>
          <w:szCs w:val="24"/>
          <w:lang w:eastAsia="bg-BG"/>
        </w:rPr>
      </w:pPr>
      <w:r w:rsidRPr="00AA5833">
        <w:rPr>
          <w:rFonts w:ascii="Times New Roman" w:eastAsia="Dotum" w:hAnsi="Times New Roman" w:cs="Times New Roman"/>
          <w:sz w:val="24"/>
          <w:szCs w:val="24"/>
          <w:lang w:eastAsia="bg-BG"/>
        </w:rPr>
        <w:t>Към</w:t>
      </w:r>
      <w:r w:rsidRPr="00AA5833">
        <w:rPr>
          <w:rFonts w:ascii="Times New Roman" w:eastAsia="Dotum" w:hAnsi="Times New Roman" w:cs="Times New Roman"/>
          <w:b/>
          <w:sz w:val="24"/>
          <w:szCs w:val="24"/>
          <w:lang w:eastAsia="bg-BG"/>
        </w:rPr>
        <w:t xml:space="preserve"> </w:t>
      </w:r>
      <w:r w:rsidRPr="00AA5833">
        <w:rPr>
          <w:rFonts w:ascii="Times New Roman" w:eastAsia="Dotum" w:hAnsi="Times New Roman" w:cs="Times New Roman"/>
          <w:sz w:val="24"/>
          <w:szCs w:val="24"/>
          <w:lang w:eastAsia="bg-BG"/>
        </w:rPr>
        <w:t xml:space="preserve">31.12.2024 г. децата, настанени в приемни семейства са </w:t>
      </w:r>
      <w:r w:rsidRPr="00AA5833">
        <w:rPr>
          <w:rFonts w:ascii="Times New Roman" w:eastAsia="Dotum" w:hAnsi="Times New Roman" w:cs="Times New Roman"/>
          <w:b/>
          <w:sz w:val="24"/>
          <w:szCs w:val="24"/>
          <w:lang w:eastAsia="bg-BG"/>
        </w:rPr>
        <w:t xml:space="preserve">1 483 – </w:t>
      </w:r>
      <w:r w:rsidRPr="00AA5833">
        <w:rPr>
          <w:rFonts w:ascii="Times New Roman" w:eastAsia="Dotum" w:hAnsi="Times New Roman" w:cs="Times New Roman"/>
          <w:sz w:val="24"/>
          <w:szCs w:val="24"/>
          <w:lang w:eastAsia="bg-BG"/>
        </w:rPr>
        <w:t xml:space="preserve">в професионални приемни семейства. Пребивавалите в приемни семейства деца през месец декември 2024 г. са </w:t>
      </w:r>
      <w:r w:rsidRPr="00AA5833">
        <w:rPr>
          <w:rFonts w:ascii="Times New Roman" w:eastAsia="Dotum" w:hAnsi="Times New Roman" w:cs="Times New Roman"/>
          <w:b/>
          <w:sz w:val="24"/>
          <w:szCs w:val="24"/>
          <w:lang w:eastAsia="bg-BG"/>
        </w:rPr>
        <w:t>1 541.</w:t>
      </w:r>
    </w:p>
    <w:p w14:paraId="3CAB1346" w14:textId="77777777" w:rsidR="00533926" w:rsidRPr="00AA5833" w:rsidRDefault="00533926" w:rsidP="00533926">
      <w:pPr>
        <w:spacing w:after="0" w:line="240" w:lineRule="auto"/>
        <w:ind w:firstLine="720"/>
        <w:jc w:val="both"/>
        <w:rPr>
          <w:rFonts w:ascii="Times New Roman" w:eastAsia="Dotum" w:hAnsi="Times New Roman" w:cs="Times New Roman"/>
          <w:sz w:val="24"/>
          <w:szCs w:val="24"/>
        </w:rPr>
      </w:pPr>
      <w:r w:rsidRPr="00AA5833">
        <w:rPr>
          <w:rFonts w:ascii="Times New Roman" w:eastAsia="Dotum" w:hAnsi="Times New Roman" w:cs="Times New Roman"/>
          <w:sz w:val="24"/>
          <w:szCs w:val="24"/>
        </w:rPr>
        <w:t xml:space="preserve">Към 31.12.2024 г. в Регистъра на утвърдените приемни семейства са вписани </w:t>
      </w:r>
      <w:r w:rsidRPr="00AA5833">
        <w:rPr>
          <w:rFonts w:ascii="Times New Roman" w:eastAsia="Dotum" w:hAnsi="Times New Roman" w:cs="Times New Roman"/>
          <w:sz w:val="24"/>
          <w:szCs w:val="24"/>
        </w:rPr>
        <w:br/>
      </w:r>
      <w:r w:rsidRPr="00AA5833">
        <w:rPr>
          <w:rFonts w:ascii="Times New Roman" w:eastAsia="Dotum" w:hAnsi="Times New Roman" w:cs="Times New Roman"/>
          <w:b/>
          <w:sz w:val="24"/>
          <w:szCs w:val="24"/>
        </w:rPr>
        <w:t xml:space="preserve">1 721 </w:t>
      </w:r>
      <w:r w:rsidRPr="00AA5833">
        <w:rPr>
          <w:rFonts w:ascii="Times New Roman" w:eastAsia="Dotum" w:hAnsi="Times New Roman" w:cs="Times New Roman"/>
          <w:sz w:val="24"/>
          <w:szCs w:val="24"/>
        </w:rPr>
        <w:t xml:space="preserve">семейства, от които </w:t>
      </w:r>
      <w:r w:rsidRPr="00AA5833">
        <w:rPr>
          <w:rFonts w:ascii="Times New Roman" w:eastAsia="Dotum" w:hAnsi="Times New Roman" w:cs="Times New Roman"/>
          <w:b/>
          <w:sz w:val="24"/>
          <w:szCs w:val="24"/>
        </w:rPr>
        <w:t xml:space="preserve">6 </w:t>
      </w:r>
      <w:r w:rsidRPr="00AA5833">
        <w:rPr>
          <w:rFonts w:ascii="Times New Roman" w:eastAsia="Dotum" w:hAnsi="Times New Roman" w:cs="Times New Roman"/>
          <w:sz w:val="24"/>
          <w:szCs w:val="24"/>
        </w:rPr>
        <w:t xml:space="preserve">доброволни и </w:t>
      </w:r>
      <w:r w:rsidRPr="00AA5833">
        <w:rPr>
          <w:rFonts w:ascii="Times New Roman" w:eastAsia="Dotum" w:hAnsi="Times New Roman" w:cs="Times New Roman"/>
          <w:b/>
          <w:sz w:val="24"/>
          <w:szCs w:val="24"/>
        </w:rPr>
        <w:t>1 715</w:t>
      </w:r>
      <w:r w:rsidRPr="00AA5833">
        <w:rPr>
          <w:rFonts w:ascii="Times New Roman" w:eastAsia="Dotum" w:hAnsi="Times New Roman" w:cs="Times New Roman"/>
          <w:sz w:val="24"/>
          <w:szCs w:val="24"/>
        </w:rPr>
        <w:t xml:space="preserve"> професионални. Общият брой на утвърдените нови приемни семейства от началото на календарната година е </w:t>
      </w:r>
      <w:r w:rsidRPr="00AA5833">
        <w:rPr>
          <w:rFonts w:ascii="Times New Roman" w:eastAsia="Dotum" w:hAnsi="Times New Roman" w:cs="Times New Roman"/>
          <w:b/>
          <w:sz w:val="24"/>
          <w:szCs w:val="24"/>
        </w:rPr>
        <w:t xml:space="preserve">110 </w:t>
      </w:r>
      <w:r w:rsidRPr="00AA5833">
        <w:rPr>
          <w:rFonts w:ascii="Times New Roman" w:eastAsia="Dotum" w:hAnsi="Times New Roman" w:cs="Times New Roman"/>
          <w:sz w:val="24"/>
          <w:szCs w:val="24"/>
        </w:rPr>
        <w:t>професионални приемни семейства.</w:t>
      </w:r>
    </w:p>
    <w:p w14:paraId="0A0F3402" w14:textId="77777777" w:rsidR="00533926" w:rsidRPr="00AA5833" w:rsidRDefault="00533926" w:rsidP="00533926">
      <w:pPr>
        <w:spacing w:after="0" w:line="240" w:lineRule="auto"/>
        <w:ind w:firstLine="720"/>
        <w:jc w:val="both"/>
        <w:rPr>
          <w:rFonts w:ascii="Times New Roman" w:eastAsia="Dotum" w:hAnsi="Times New Roman" w:cs="Times New Roman"/>
          <w:sz w:val="24"/>
          <w:szCs w:val="24"/>
        </w:rPr>
      </w:pPr>
    </w:p>
    <w:p w14:paraId="044AE07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БЪЛГАРСКИ ЧЕРВЕН КРЪСТ</w:t>
      </w:r>
    </w:p>
    <w:p w14:paraId="4791B707" w14:textId="77777777" w:rsidR="00533926" w:rsidRPr="00AA5833" w:rsidRDefault="00533926" w:rsidP="00533926">
      <w:pPr>
        <w:spacing w:after="0" w:line="240" w:lineRule="auto"/>
        <w:jc w:val="center"/>
        <w:rPr>
          <w:rFonts w:ascii="Times New Roman" w:eastAsia="Dotum" w:hAnsi="Times New Roman" w:cs="Times New Roman"/>
          <w:sz w:val="24"/>
          <w:szCs w:val="24"/>
        </w:rPr>
      </w:pPr>
    </w:p>
    <w:p w14:paraId="3C276F2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10.3.5. Прилагане на обучителни модули и реализиране на кампании, насочени към деца и млади хора в риск. Провеждане на обучения на доброволци в сферата на социално-помощната дейност, работа с деца в риск, превенция на насилието, промотиране на хуманитарните ценности, толерантността и недискриминацията </w:t>
      </w:r>
    </w:p>
    <w:p w14:paraId="4FE0A67A" w14:textId="77777777" w:rsidR="00533926" w:rsidRPr="00AA5833" w:rsidRDefault="00533926" w:rsidP="00533926">
      <w:pPr>
        <w:spacing w:after="0" w:line="240" w:lineRule="auto"/>
        <w:ind w:firstLine="720"/>
        <w:jc w:val="both"/>
        <w:rPr>
          <w:rFonts w:ascii="Times New Roman" w:eastAsia="Dotum" w:hAnsi="Times New Roman" w:cs="Times New Roman"/>
          <w:b/>
          <w:sz w:val="24"/>
          <w:szCs w:val="24"/>
        </w:rPr>
      </w:pPr>
    </w:p>
    <w:p w14:paraId="785F78B3" w14:textId="77777777" w:rsidR="00533926" w:rsidRPr="00AA5833" w:rsidRDefault="00533926" w:rsidP="00533926">
      <w:pPr>
        <w:shd w:val="clear" w:color="auto" w:fill="FFFFFF"/>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През 2024 г. са проведени различни кампании и инициативи, насочени към деца и млади хора в риск по темите: социално-помощна дейност, работа с деца в риск, </w:t>
      </w:r>
      <w:r w:rsidRPr="00AA5833">
        <w:rPr>
          <w:rFonts w:ascii="Times New Roman" w:eastAsia="Times New Roman" w:hAnsi="Times New Roman" w:cs="Times New Roman"/>
          <w:sz w:val="24"/>
          <w:szCs w:val="24"/>
          <w:lang w:eastAsia="bg-BG"/>
        </w:rPr>
        <w:lastRenderedPageBreak/>
        <w:t xml:space="preserve">превенция на насилието, промотиране на хуманитарните ценности, толерантността и недискриминацията и превенция на трафика на хора, чрез които са достигнати общо над </w:t>
      </w:r>
      <w:r w:rsidRPr="00AA5833">
        <w:rPr>
          <w:rFonts w:ascii="Times New Roman" w:eastAsia="Times New Roman" w:hAnsi="Times New Roman" w:cs="Times New Roman"/>
          <w:b/>
          <w:sz w:val="24"/>
          <w:szCs w:val="24"/>
          <w:lang w:eastAsia="bg-BG"/>
        </w:rPr>
        <w:t>250 500 души</w:t>
      </w:r>
      <w:r w:rsidRPr="00AA5833">
        <w:rPr>
          <w:rFonts w:ascii="Times New Roman" w:eastAsia="Times New Roman" w:hAnsi="Times New Roman" w:cs="Times New Roman"/>
          <w:sz w:val="24"/>
          <w:szCs w:val="24"/>
          <w:lang w:eastAsia="bg-BG"/>
        </w:rPr>
        <w:t>. Партньорствата с държавни институции и други НПО по различни чувствителни за обществото теми са от съществено значение при реализирането на програмите и достигането на още по-широк кръг от хора. Чрез популяризирането на дейностите и кампаниите в социалните мрежи се повишава информираността на обществото по тези теми.</w:t>
      </w:r>
    </w:p>
    <w:p w14:paraId="01A657D4" w14:textId="77777777" w:rsidR="00533926" w:rsidRPr="00AA5833" w:rsidRDefault="00533926" w:rsidP="00533926">
      <w:pPr>
        <w:spacing w:after="0" w:line="240" w:lineRule="auto"/>
        <w:ind w:firstLine="709"/>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Реализирани са общо 157 посещения и благотворителни инициативи в социални услуги за деца.</w:t>
      </w:r>
      <w:r w:rsidRPr="00AA5833">
        <w:rPr>
          <w:rFonts w:ascii="Times New Roman" w:eastAsia="Times New Roman" w:hAnsi="Times New Roman" w:cs="Times New Roman"/>
          <w:b/>
          <w:sz w:val="24"/>
          <w:szCs w:val="24"/>
          <w:lang w:eastAsia="bg-BG"/>
        </w:rPr>
        <w:t xml:space="preserve"> </w:t>
      </w:r>
      <w:r w:rsidRPr="00AA5833">
        <w:rPr>
          <w:rFonts w:ascii="Times New Roman" w:eastAsia="Times New Roman" w:hAnsi="Times New Roman" w:cs="Times New Roman"/>
          <w:sz w:val="24"/>
          <w:szCs w:val="24"/>
          <w:lang w:eastAsia="bg-BG"/>
        </w:rPr>
        <w:t xml:space="preserve">Тези дейности дават възможност на доброволците на практика да допълнят и приложат знанията си, придобити по време на обученията, които се осъществяват на национално и областно ниво. </w:t>
      </w:r>
    </w:p>
    <w:p w14:paraId="6584099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Обучителната програма на Българския младежки червен кръст по хуманитарно образование цели насърчаване на толерантността сред младите хора. Работата по тази програма позволява от една страна да се засегнат чувствителни за обществото теми, а от друга, предоставя възможност доброволците да използват иновативни подходи за провеждане на дейности сред децата, младите хора и местните общности. В рамките на обучителната система на БМЧК, обучения по темите са преминали </w:t>
      </w:r>
      <w:r w:rsidRPr="00AA5833">
        <w:rPr>
          <w:rFonts w:ascii="Times New Roman" w:eastAsia="Times New Roman" w:hAnsi="Times New Roman" w:cs="Times New Roman"/>
          <w:b/>
          <w:sz w:val="24"/>
          <w:szCs w:val="24"/>
          <w:lang w:eastAsia="bg-BG"/>
        </w:rPr>
        <w:t>2 600</w:t>
      </w:r>
      <w:r w:rsidRPr="00AA5833">
        <w:rPr>
          <w:rFonts w:ascii="Times New Roman" w:eastAsia="Times New Roman" w:hAnsi="Times New Roman" w:cs="Times New Roman"/>
          <w:sz w:val="24"/>
          <w:szCs w:val="24"/>
          <w:lang w:eastAsia="bg-BG"/>
        </w:rPr>
        <w:t xml:space="preserve"> доброволци на организацията.</w:t>
      </w:r>
    </w:p>
    <w:p w14:paraId="15712B8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Чрез различни инициативи по места, както и в социалните мрежи, доброволците на БМЧК отбелязват важни дни като: Международния ден за борба с расовата дискриминация, Международния ден на толерантността, Международния ден за възпоменание на жертвите на Холокоста, Международния ден срещу хомофобията и трансфобията, „Деня на розовата фланелка”, обявен за Световен ден за борба с тормоза в училище, Световния ден на мира, Международния ден на белия бастун, както и други важни дати, целящи повишаване на чувствителността на обществото към различни прояви на насилие и дискриминация.</w:t>
      </w:r>
    </w:p>
    <w:p w14:paraId="319F52B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48347E82" w14:textId="77777777" w:rsidR="00533926" w:rsidRPr="00AA5833" w:rsidRDefault="00533926" w:rsidP="00533926">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color w:val="0000FF"/>
          <w:sz w:val="24"/>
          <w:szCs w:val="24"/>
          <w:lang w:eastAsia="bg-BG"/>
        </w:rPr>
        <w:t>БЪЛГАРСКИ ЧЕРВЕН КРЪСТ</w:t>
      </w:r>
    </w:p>
    <w:p w14:paraId="20E62722" w14:textId="77777777" w:rsidR="00533926" w:rsidRPr="00AA5833" w:rsidRDefault="00533926" w:rsidP="00533926">
      <w:pPr>
        <w:spacing w:after="0" w:line="240" w:lineRule="auto"/>
        <w:jc w:val="both"/>
        <w:rPr>
          <w:rFonts w:ascii="Times New Roman" w:eastAsia="Dotum" w:hAnsi="Times New Roman" w:cs="Times New Roman"/>
          <w:b/>
          <w:sz w:val="24"/>
          <w:szCs w:val="24"/>
        </w:rPr>
      </w:pPr>
    </w:p>
    <w:p w14:paraId="3877F80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10.3.6. Провеждане на благотворителни и фондонабирателни кампании, насочени към деца и млади хора в риск </w:t>
      </w:r>
    </w:p>
    <w:p w14:paraId="6D72F29E" w14:textId="77777777" w:rsidR="00533926" w:rsidRPr="00AA5833" w:rsidRDefault="00533926" w:rsidP="00533926">
      <w:pPr>
        <w:autoSpaceDE w:val="0"/>
        <w:autoSpaceDN w:val="0"/>
        <w:adjustRightInd w:val="0"/>
        <w:spacing w:after="0" w:line="240" w:lineRule="auto"/>
        <w:rPr>
          <w:rFonts w:ascii="Times New Roman" w:hAnsi="Times New Roman" w:cs="Times New Roman"/>
          <w:b/>
          <w:color w:val="FF0000"/>
          <w:sz w:val="24"/>
          <w:szCs w:val="24"/>
        </w:rPr>
      </w:pPr>
    </w:p>
    <w:p w14:paraId="6DD27B93"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Всяка година доброволците на БМЧК осъществяват многобройни благотворителни, фондонабирателни и информационни кампании в помощ на децата и младите хора. През 2024 г. са проведени над 100 благотворителни и фондонабирателни кампании, насочени към деца и млади хора в риск, чрез които са достигнати над </w:t>
      </w:r>
      <w:r w:rsidRPr="00AA5833">
        <w:rPr>
          <w:rFonts w:ascii="Times New Roman" w:eastAsia="Times New Roman" w:hAnsi="Times New Roman" w:cs="Times New Roman"/>
          <w:b/>
          <w:sz w:val="24"/>
          <w:szCs w:val="24"/>
          <w:lang w:eastAsia="bg-BG"/>
        </w:rPr>
        <w:t>14 000 души</w:t>
      </w:r>
      <w:r w:rsidRPr="00AA5833">
        <w:rPr>
          <w:rFonts w:ascii="Times New Roman" w:eastAsia="Times New Roman" w:hAnsi="Times New Roman" w:cs="Times New Roman"/>
          <w:sz w:val="24"/>
          <w:szCs w:val="24"/>
          <w:lang w:eastAsia="bg-BG"/>
        </w:rPr>
        <w:t xml:space="preserve">. Голяма част от събитията и кампаниите се организират и провеждат на местно ниво, като са съобразени с индивидуалните потребности на уязвимите лица и целят да подпомагат социалното им включване в общността. Акциите и кампаниите, насочени към деца и младежи в риск добиват широка популярност, а винаги когато са организирани от други млади хора, местните общности се чувстват още по-ангажирани.  </w:t>
      </w:r>
    </w:p>
    <w:p w14:paraId="3EDBB10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поредна година се осъществи традиционната за БМЧК кампания „</w:t>
      </w:r>
      <w:r w:rsidRPr="00AA5833">
        <w:rPr>
          <w:rFonts w:ascii="Times New Roman" w:eastAsia="Times New Roman" w:hAnsi="Times New Roman" w:cs="Times New Roman"/>
          <w:b/>
          <w:sz w:val="24"/>
          <w:szCs w:val="24"/>
          <w:lang w:eastAsia="bg-BG"/>
        </w:rPr>
        <w:t>Деца помагат на деца</w:t>
      </w:r>
      <w:r w:rsidRPr="00AA5833">
        <w:rPr>
          <w:rFonts w:ascii="Times New Roman" w:eastAsia="Times New Roman" w:hAnsi="Times New Roman" w:cs="Times New Roman"/>
          <w:sz w:val="24"/>
          <w:szCs w:val="24"/>
          <w:lang w:eastAsia="bg-BG"/>
        </w:rPr>
        <w:t xml:space="preserve">“, която има за основна цел да стимулира детската благотворителност и да формира и развие нагласи за благотворителност сред младите хора. Акцентът в нея е насочен към подрастващите – и като даряваща, и като приемаща страна. Кампанията „Деца помагат на деца“ подготвя и мотивира за благотворителни действия учениците от българските училища, насочени към децата от социални институции и социално уязвими деца. </w:t>
      </w:r>
    </w:p>
    <w:p w14:paraId="0D2473A1"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През 2024 г. продължи и националната кампания на БМЧК за подаряване на играчки на деца, хоспитализирани през коледните и новогодишни празници. Кампаниите и програмите, в които младежите участват най-активно са:</w:t>
      </w:r>
    </w:p>
    <w:p w14:paraId="4A749F89" w14:textId="77777777" w:rsidR="00533926" w:rsidRPr="00AA5833" w:rsidRDefault="00533926" w:rsidP="002A598C">
      <w:pPr>
        <w:numPr>
          <w:ilvl w:val="0"/>
          <w:numId w:val="8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Програма „Топъл обяд“ чрез участие във фондонабирателните кампании и дейности по програмата;</w:t>
      </w:r>
    </w:p>
    <w:p w14:paraId="77191F83" w14:textId="77777777" w:rsidR="00533926" w:rsidRPr="00AA5833" w:rsidRDefault="00533926" w:rsidP="002A598C">
      <w:pPr>
        <w:numPr>
          <w:ilvl w:val="0"/>
          <w:numId w:val="8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Отбелязването на Световния ден на прехраната чрез благотворителни акции за събиране на храни, предоставени след това на социално слаби лица чрез пакети или трапезарии;</w:t>
      </w:r>
    </w:p>
    <w:p w14:paraId="19DACF24" w14:textId="77777777" w:rsidR="00533926" w:rsidRPr="00AA5833" w:rsidRDefault="00533926" w:rsidP="002A598C">
      <w:pPr>
        <w:numPr>
          <w:ilvl w:val="0"/>
          <w:numId w:val="8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Кампания „Даряване на дрехи“ – младежите участват активно с промотирането и популяризирането на дейностите по кампанията;</w:t>
      </w:r>
    </w:p>
    <w:p w14:paraId="7A4956F1" w14:textId="77777777" w:rsidR="00533926" w:rsidRPr="00AA5833" w:rsidRDefault="00533926" w:rsidP="002A598C">
      <w:pPr>
        <w:numPr>
          <w:ilvl w:val="0"/>
          <w:numId w:val="82"/>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Събития, организирани по повод Международния ден на възрастните хора; благотворителна кампания „Купи и дари“ и други. </w:t>
      </w:r>
    </w:p>
    <w:p w14:paraId="6A99449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600203EF" w14:textId="77777777" w:rsidTr="00533926">
        <w:trPr>
          <w:trHeight w:val="441"/>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14E994E6" w14:textId="77777777" w:rsidR="00533926" w:rsidRPr="00AA5833" w:rsidRDefault="00533926" w:rsidP="00533926">
            <w:pPr>
              <w:spacing w:after="0" w:line="240" w:lineRule="auto"/>
              <w:jc w:val="both"/>
              <w:rPr>
                <w:rFonts w:ascii="Times New Roman" w:eastAsia="Times New Roman" w:hAnsi="Times New Roman" w:cs="Times New Roman"/>
                <w:b/>
                <w:bCs/>
                <w:color w:val="000000"/>
                <w:sz w:val="24"/>
                <w:szCs w:val="24"/>
              </w:rPr>
            </w:pPr>
            <w:r w:rsidRPr="00AA5833">
              <w:rPr>
                <w:rFonts w:ascii="Times New Roman" w:eastAsia="Times New Roman" w:hAnsi="Times New Roman" w:cs="Times New Roman"/>
                <w:b/>
                <w:bCs/>
                <w:color w:val="000000"/>
                <w:sz w:val="24"/>
                <w:szCs w:val="24"/>
              </w:rPr>
              <w:t>10.4. Създаване на условия за подобряване качеството на живот на хората с ментални проблеми, настанени в специализирани институции</w:t>
            </w:r>
          </w:p>
        </w:tc>
      </w:tr>
    </w:tbl>
    <w:p w14:paraId="485DD37F" w14:textId="77777777" w:rsidR="00533926" w:rsidRPr="00AA5833" w:rsidRDefault="00533926" w:rsidP="00533926">
      <w:pPr>
        <w:spacing w:after="0" w:line="240" w:lineRule="auto"/>
        <w:ind w:firstLine="709"/>
        <w:jc w:val="both"/>
        <w:rPr>
          <w:rFonts w:ascii="Times New Roman" w:eastAsia="Times New Roman" w:hAnsi="Times New Roman" w:cs="Times New Roman"/>
          <w:b/>
          <w:caps/>
          <w:color w:val="FF0000"/>
          <w:sz w:val="24"/>
          <w:szCs w:val="24"/>
        </w:rPr>
      </w:pPr>
    </w:p>
    <w:p w14:paraId="528789A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34B88F54" w14:textId="77777777" w:rsidR="00533926" w:rsidRPr="00AA5833" w:rsidRDefault="00533926" w:rsidP="00533926">
      <w:pPr>
        <w:spacing w:after="0" w:line="240" w:lineRule="auto"/>
        <w:ind w:firstLine="709"/>
        <w:jc w:val="both"/>
        <w:rPr>
          <w:rFonts w:ascii="Times New Roman" w:eastAsia="Times New Roman" w:hAnsi="Times New Roman" w:cs="Times New Roman"/>
          <w:b/>
          <w:caps/>
          <w:color w:val="FF0000"/>
          <w:sz w:val="24"/>
          <w:szCs w:val="24"/>
        </w:rPr>
      </w:pPr>
    </w:p>
    <w:p w14:paraId="275F642E"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10.4.1. Подобряване достъпа до социални услуги за възрастни хора и хора с увреждания</w:t>
      </w:r>
    </w:p>
    <w:p w14:paraId="11930A50" w14:textId="77777777" w:rsidR="00533926" w:rsidRPr="00AA5833" w:rsidRDefault="00533926" w:rsidP="00533926">
      <w:pPr>
        <w:widowControl w:val="0"/>
        <w:shd w:val="clear" w:color="auto" w:fill="FFFFFF"/>
        <w:spacing w:after="0" w:line="240" w:lineRule="auto"/>
        <w:ind w:firstLine="709"/>
        <w:jc w:val="both"/>
        <w:rPr>
          <w:rFonts w:ascii="Times New Roman" w:hAnsi="Times New Roman" w:cs="Times New Roman"/>
          <w:sz w:val="24"/>
          <w:szCs w:val="24"/>
          <w:lang w:eastAsia="bg-BG" w:bidi="bg-BG"/>
        </w:rPr>
      </w:pPr>
    </w:p>
    <w:p w14:paraId="50FF4B1F"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ab/>
        <w:t xml:space="preserve">Към 31.12.2024 г. </w:t>
      </w:r>
      <w:r w:rsidRPr="00AA5833">
        <w:rPr>
          <w:rFonts w:ascii="Times New Roman" w:eastAsia="Times New Roman" w:hAnsi="Times New Roman" w:cs="Times New Roman"/>
          <w:bCs/>
          <w:sz w:val="24"/>
          <w:szCs w:val="24"/>
          <w:lang w:eastAsia="bg-BG"/>
        </w:rPr>
        <w:t xml:space="preserve">на територията на страната функционират </w:t>
      </w:r>
      <w:r w:rsidRPr="00AA5833">
        <w:rPr>
          <w:rFonts w:ascii="Times New Roman" w:eastAsia="Times New Roman" w:hAnsi="Times New Roman" w:cs="Times New Roman"/>
          <w:b/>
          <w:bCs/>
          <w:sz w:val="24"/>
          <w:szCs w:val="24"/>
          <w:lang w:eastAsia="bg-BG"/>
        </w:rPr>
        <w:t xml:space="preserve">1 119 </w:t>
      </w:r>
      <w:r w:rsidRPr="00AA5833">
        <w:rPr>
          <w:rFonts w:ascii="Times New Roman" w:eastAsia="Times New Roman" w:hAnsi="Times New Roman" w:cs="Times New Roman"/>
          <w:bCs/>
          <w:sz w:val="24"/>
          <w:szCs w:val="24"/>
          <w:lang w:eastAsia="bg-BG"/>
        </w:rPr>
        <w:t xml:space="preserve">социални услуги за пълнолетни лица, финансирани от държавния бюджет с общ брой потребители </w:t>
      </w:r>
      <w:r w:rsidRPr="00AA5833">
        <w:rPr>
          <w:rFonts w:ascii="Times New Roman" w:eastAsia="Times New Roman" w:hAnsi="Times New Roman" w:cs="Times New Roman"/>
          <w:b/>
          <w:bCs/>
          <w:sz w:val="24"/>
          <w:szCs w:val="24"/>
          <w:lang w:eastAsia="bg-BG"/>
        </w:rPr>
        <w:t xml:space="preserve">44 896, </w:t>
      </w:r>
      <w:r w:rsidRPr="00AA5833">
        <w:rPr>
          <w:rFonts w:ascii="Times New Roman" w:eastAsia="Times New Roman" w:hAnsi="Times New Roman" w:cs="Times New Roman"/>
          <w:bCs/>
          <w:sz w:val="24"/>
          <w:szCs w:val="24"/>
          <w:lang w:eastAsia="bg-BG"/>
        </w:rPr>
        <w:t>от които:</w:t>
      </w:r>
    </w:p>
    <w:p w14:paraId="6CF1B69B" w14:textId="77777777" w:rsidR="00533926" w:rsidRPr="00AA5833" w:rsidRDefault="00533926" w:rsidP="002A598C">
      <w:pPr>
        <w:numPr>
          <w:ilvl w:val="0"/>
          <w:numId w:val="53"/>
        </w:numPr>
        <w:spacing w:after="0" w:line="240" w:lineRule="auto"/>
        <w:contextualSpacing/>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150 броя специализирани институции, с общ брой потребители 9 993, както следва:</w:t>
      </w:r>
    </w:p>
    <w:p w14:paraId="0FF74A0E"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21</w:t>
      </w:r>
      <w:r w:rsidRPr="00AA5833">
        <w:rPr>
          <w:rFonts w:ascii="Times New Roman" w:hAnsi="Times New Roman" w:cs="Times New Roman"/>
          <w:bCs/>
          <w:sz w:val="24"/>
          <w:szCs w:val="24"/>
        </w:rPr>
        <w:t xml:space="preserve"> Дома за пълнолетни лица с умствена изостаналост, с общ потребители </w:t>
      </w:r>
      <w:r w:rsidRPr="00AA5833">
        <w:rPr>
          <w:rFonts w:ascii="Times New Roman" w:hAnsi="Times New Roman" w:cs="Times New Roman"/>
          <w:b/>
          <w:bCs/>
          <w:sz w:val="24"/>
          <w:szCs w:val="24"/>
        </w:rPr>
        <w:t>1 550</w:t>
      </w:r>
      <w:r w:rsidRPr="00AA5833">
        <w:rPr>
          <w:rFonts w:ascii="Times New Roman" w:hAnsi="Times New Roman" w:cs="Times New Roman"/>
          <w:bCs/>
          <w:sz w:val="24"/>
          <w:szCs w:val="24"/>
        </w:rPr>
        <w:t>;</w:t>
      </w:r>
    </w:p>
    <w:p w14:paraId="1CE0A460"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8</w:t>
      </w:r>
      <w:r w:rsidRPr="00AA5833">
        <w:rPr>
          <w:rFonts w:ascii="Times New Roman" w:hAnsi="Times New Roman" w:cs="Times New Roman"/>
          <w:bCs/>
          <w:sz w:val="24"/>
          <w:szCs w:val="24"/>
        </w:rPr>
        <w:t xml:space="preserve"> Дома за пълнолетни лица с психични разстройства, с общ потребители </w:t>
      </w:r>
      <w:r w:rsidRPr="00AA5833">
        <w:rPr>
          <w:rFonts w:ascii="Times New Roman" w:hAnsi="Times New Roman" w:cs="Times New Roman"/>
          <w:b/>
          <w:bCs/>
          <w:sz w:val="24"/>
          <w:szCs w:val="24"/>
        </w:rPr>
        <w:t>602</w:t>
      </w:r>
      <w:r w:rsidRPr="00AA5833">
        <w:rPr>
          <w:rFonts w:ascii="Times New Roman" w:hAnsi="Times New Roman" w:cs="Times New Roman"/>
          <w:bCs/>
          <w:sz w:val="24"/>
          <w:szCs w:val="24"/>
        </w:rPr>
        <w:t>;</w:t>
      </w:r>
    </w:p>
    <w:p w14:paraId="710EAD92"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21</w:t>
      </w:r>
      <w:r w:rsidRPr="00AA5833">
        <w:rPr>
          <w:rFonts w:ascii="Times New Roman" w:hAnsi="Times New Roman" w:cs="Times New Roman"/>
          <w:bCs/>
          <w:sz w:val="24"/>
          <w:szCs w:val="24"/>
        </w:rPr>
        <w:t xml:space="preserve"> Дома за пълнолетни лица с физически увреждания, с общ потребители</w:t>
      </w:r>
      <w:r w:rsidRPr="00AA5833">
        <w:rPr>
          <w:rFonts w:ascii="Times New Roman" w:hAnsi="Times New Roman" w:cs="Times New Roman"/>
          <w:bCs/>
          <w:sz w:val="24"/>
          <w:szCs w:val="24"/>
        </w:rPr>
        <w:tab/>
      </w:r>
      <w:r w:rsidRPr="00AA5833">
        <w:rPr>
          <w:rFonts w:ascii="Times New Roman" w:hAnsi="Times New Roman" w:cs="Times New Roman"/>
          <w:b/>
          <w:bCs/>
          <w:sz w:val="24"/>
          <w:szCs w:val="24"/>
        </w:rPr>
        <w:t>1 278</w:t>
      </w:r>
      <w:r w:rsidRPr="00AA5833">
        <w:rPr>
          <w:rFonts w:ascii="Times New Roman" w:hAnsi="Times New Roman" w:cs="Times New Roman"/>
          <w:bCs/>
          <w:sz w:val="24"/>
          <w:szCs w:val="24"/>
        </w:rPr>
        <w:t>;</w:t>
      </w:r>
    </w:p>
    <w:p w14:paraId="5B25AACE"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4</w:t>
      </w:r>
      <w:r w:rsidRPr="00AA5833">
        <w:rPr>
          <w:rFonts w:ascii="Times New Roman" w:hAnsi="Times New Roman" w:cs="Times New Roman"/>
          <w:bCs/>
          <w:sz w:val="24"/>
          <w:szCs w:val="24"/>
        </w:rPr>
        <w:t xml:space="preserve"> Дома за пълнолетни лица със сетивни нарушения, с общ брой потребители </w:t>
      </w:r>
      <w:r w:rsidRPr="00AA5833">
        <w:rPr>
          <w:rFonts w:ascii="Times New Roman" w:hAnsi="Times New Roman" w:cs="Times New Roman"/>
          <w:b/>
          <w:bCs/>
          <w:sz w:val="24"/>
          <w:szCs w:val="24"/>
        </w:rPr>
        <w:t>101</w:t>
      </w:r>
      <w:r w:rsidRPr="00AA5833">
        <w:rPr>
          <w:rFonts w:ascii="Times New Roman" w:hAnsi="Times New Roman" w:cs="Times New Roman"/>
          <w:bCs/>
          <w:sz w:val="24"/>
          <w:szCs w:val="24"/>
        </w:rPr>
        <w:t>;</w:t>
      </w:r>
    </w:p>
    <w:p w14:paraId="4F1688E9"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14</w:t>
      </w:r>
      <w:r w:rsidRPr="00AA5833">
        <w:rPr>
          <w:rFonts w:ascii="Times New Roman" w:hAnsi="Times New Roman" w:cs="Times New Roman"/>
          <w:bCs/>
          <w:sz w:val="24"/>
          <w:szCs w:val="24"/>
        </w:rPr>
        <w:t xml:space="preserve"> Дома за пълнолетни лица с деменция, с общ броя потребители </w:t>
      </w:r>
      <w:r w:rsidRPr="00AA5833">
        <w:rPr>
          <w:rFonts w:ascii="Times New Roman" w:hAnsi="Times New Roman" w:cs="Times New Roman"/>
          <w:b/>
          <w:bCs/>
          <w:sz w:val="24"/>
          <w:szCs w:val="24"/>
        </w:rPr>
        <w:t>832</w:t>
      </w:r>
      <w:r w:rsidRPr="00AA5833">
        <w:rPr>
          <w:rFonts w:ascii="Times New Roman" w:hAnsi="Times New Roman" w:cs="Times New Roman"/>
          <w:bCs/>
          <w:sz w:val="24"/>
          <w:szCs w:val="24"/>
        </w:rPr>
        <w:t>;</w:t>
      </w:r>
    </w:p>
    <w:p w14:paraId="2E8F37F3" w14:textId="77777777" w:rsidR="00533926" w:rsidRPr="00AA5833" w:rsidRDefault="00533926" w:rsidP="002A598C">
      <w:pPr>
        <w:numPr>
          <w:ilvl w:val="0"/>
          <w:numId w:val="49"/>
        </w:numPr>
        <w:spacing w:after="0" w:line="240" w:lineRule="auto"/>
        <w:ind w:left="357"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 xml:space="preserve">82 </w:t>
      </w:r>
      <w:r w:rsidRPr="00AA5833">
        <w:rPr>
          <w:rFonts w:ascii="Times New Roman" w:hAnsi="Times New Roman" w:cs="Times New Roman"/>
          <w:bCs/>
          <w:sz w:val="24"/>
          <w:szCs w:val="24"/>
        </w:rPr>
        <w:t xml:space="preserve">Дома за стари хора, с общ брой потребители </w:t>
      </w:r>
      <w:r w:rsidRPr="00AA5833">
        <w:rPr>
          <w:rFonts w:ascii="Times New Roman" w:hAnsi="Times New Roman" w:cs="Times New Roman"/>
          <w:b/>
          <w:bCs/>
          <w:sz w:val="24"/>
          <w:szCs w:val="24"/>
        </w:rPr>
        <w:t>5 598</w:t>
      </w:r>
      <w:r w:rsidRPr="00AA5833">
        <w:rPr>
          <w:rFonts w:ascii="Times New Roman" w:hAnsi="Times New Roman" w:cs="Times New Roman"/>
          <w:bCs/>
          <w:sz w:val="24"/>
          <w:szCs w:val="24"/>
        </w:rPr>
        <w:t>;</w:t>
      </w:r>
    </w:p>
    <w:p w14:paraId="47622EEF" w14:textId="77777777" w:rsidR="00533926" w:rsidRPr="00AA5833" w:rsidRDefault="00533926" w:rsidP="002A598C">
      <w:pPr>
        <w:numPr>
          <w:ilvl w:val="0"/>
          <w:numId w:val="53"/>
        </w:numPr>
        <w:spacing w:after="0" w:line="240" w:lineRule="auto"/>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265 броя социални услуги в общността, предоставящи консултативни услуги с общ брой потребители 7 522, от които:</w:t>
      </w:r>
    </w:p>
    <w:p w14:paraId="1CAF4F82" w14:textId="77777777" w:rsidR="00533926" w:rsidRPr="00AA5833" w:rsidRDefault="00533926" w:rsidP="002A598C">
      <w:pPr>
        <w:numPr>
          <w:ilvl w:val="0"/>
          <w:numId w:val="50"/>
        </w:numPr>
        <w:spacing w:after="0" w:line="240" w:lineRule="auto"/>
        <w:ind w:left="714" w:hanging="357"/>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113</w:t>
      </w:r>
      <w:r w:rsidRPr="00AA5833">
        <w:rPr>
          <w:rFonts w:ascii="Times New Roman" w:hAnsi="Times New Roman" w:cs="Times New Roman"/>
          <w:bCs/>
          <w:sz w:val="24"/>
          <w:szCs w:val="24"/>
        </w:rPr>
        <w:t xml:space="preserve"> Дневни центъра за пълнолетни лица с увреждания-общо, с общ брой потребители </w:t>
      </w:r>
      <w:r w:rsidRPr="00AA5833">
        <w:rPr>
          <w:rFonts w:ascii="Times New Roman" w:hAnsi="Times New Roman" w:cs="Times New Roman"/>
          <w:b/>
          <w:bCs/>
          <w:sz w:val="24"/>
          <w:szCs w:val="24"/>
        </w:rPr>
        <w:t>2 970</w:t>
      </w:r>
      <w:r w:rsidRPr="00AA5833">
        <w:rPr>
          <w:rFonts w:ascii="Times New Roman" w:hAnsi="Times New Roman" w:cs="Times New Roman"/>
          <w:bCs/>
          <w:sz w:val="24"/>
          <w:szCs w:val="24"/>
        </w:rPr>
        <w:t>;</w:t>
      </w:r>
    </w:p>
    <w:p w14:paraId="0C89E90C" w14:textId="77777777" w:rsidR="00533926" w:rsidRPr="00AA5833" w:rsidRDefault="00533926" w:rsidP="002A598C">
      <w:pPr>
        <w:numPr>
          <w:ilvl w:val="0"/>
          <w:numId w:val="50"/>
        </w:numPr>
        <w:spacing w:after="0" w:line="240" w:lineRule="auto"/>
        <w:ind w:left="714" w:hanging="357"/>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36</w:t>
      </w:r>
      <w:r w:rsidRPr="00AA5833">
        <w:rPr>
          <w:rFonts w:ascii="Times New Roman" w:hAnsi="Times New Roman" w:cs="Times New Roman"/>
          <w:bCs/>
          <w:sz w:val="24"/>
          <w:szCs w:val="24"/>
        </w:rPr>
        <w:t xml:space="preserve"> Дневни центъра за стари хора, с брой потребители </w:t>
      </w:r>
      <w:r w:rsidRPr="00AA5833">
        <w:rPr>
          <w:rFonts w:ascii="Times New Roman" w:hAnsi="Times New Roman" w:cs="Times New Roman"/>
          <w:b/>
          <w:bCs/>
          <w:sz w:val="24"/>
          <w:szCs w:val="24"/>
        </w:rPr>
        <w:t>889</w:t>
      </w:r>
      <w:r w:rsidRPr="00AA5833">
        <w:rPr>
          <w:rFonts w:ascii="Times New Roman" w:hAnsi="Times New Roman" w:cs="Times New Roman"/>
          <w:bCs/>
          <w:sz w:val="24"/>
          <w:szCs w:val="24"/>
        </w:rPr>
        <w:t>;</w:t>
      </w:r>
    </w:p>
    <w:p w14:paraId="21BE3B64" w14:textId="77777777" w:rsidR="00533926" w:rsidRPr="00AA5833" w:rsidRDefault="00533926" w:rsidP="002A598C">
      <w:pPr>
        <w:numPr>
          <w:ilvl w:val="0"/>
          <w:numId w:val="50"/>
        </w:numPr>
        <w:spacing w:after="0" w:line="240" w:lineRule="auto"/>
        <w:ind w:left="714" w:hanging="357"/>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115</w:t>
      </w:r>
      <w:r w:rsidRPr="00AA5833">
        <w:rPr>
          <w:rFonts w:ascii="Times New Roman" w:hAnsi="Times New Roman" w:cs="Times New Roman"/>
          <w:bCs/>
          <w:sz w:val="24"/>
          <w:szCs w:val="24"/>
        </w:rPr>
        <w:t xml:space="preserve"> Центъра за социална рехабилитация и интеграция за лица, с общ брой потребители </w:t>
      </w:r>
      <w:r w:rsidRPr="00AA5833">
        <w:rPr>
          <w:rFonts w:ascii="Times New Roman" w:hAnsi="Times New Roman" w:cs="Times New Roman"/>
          <w:b/>
          <w:bCs/>
          <w:sz w:val="24"/>
          <w:szCs w:val="24"/>
        </w:rPr>
        <w:t>3 633</w:t>
      </w:r>
      <w:r w:rsidRPr="00AA5833">
        <w:rPr>
          <w:rFonts w:ascii="Times New Roman" w:hAnsi="Times New Roman" w:cs="Times New Roman"/>
          <w:bCs/>
          <w:sz w:val="24"/>
          <w:szCs w:val="24"/>
        </w:rPr>
        <w:t>;</w:t>
      </w:r>
    </w:p>
    <w:p w14:paraId="19F9307D" w14:textId="77777777" w:rsidR="00533926" w:rsidRPr="00AA5833" w:rsidRDefault="00533926" w:rsidP="002A598C">
      <w:pPr>
        <w:numPr>
          <w:ilvl w:val="0"/>
          <w:numId w:val="50"/>
        </w:numPr>
        <w:spacing w:after="0" w:line="240" w:lineRule="auto"/>
        <w:ind w:left="714" w:hanging="357"/>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Център за социална рехабилитация и интеграция (с приоритет възрастни и деца с нисък ръст, с брой потребители </w:t>
      </w:r>
      <w:r w:rsidRPr="00AA5833">
        <w:rPr>
          <w:rFonts w:ascii="Times New Roman" w:hAnsi="Times New Roman" w:cs="Times New Roman"/>
          <w:b/>
          <w:bCs/>
          <w:sz w:val="24"/>
          <w:szCs w:val="24"/>
        </w:rPr>
        <w:t>30</w:t>
      </w:r>
      <w:r w:rsidRPr="00AA5833">
        <w:rPr>
          <w:rFonts w:ascii="Times New Roman" w:hAnsi="Times New Roman" w:cs="Times New Roman"/>
          <w:bCs/>
          <w:sz w:val="24"/>
          <w:szCs w:val="24"/>
        </w:rPr>
        <w:t>;</w:t>
      </w:r>
    </w:p>
    <w:p w14:paraId="07C5F7FE" w14:textId="77777777" w:rsidR="00533926" w:rsidRPr="00AA5833" w:rsidRDefault="00533926" w:rsidP="002A598C">
      <w:pPr>
        <w:numPr>
          <w:ilvl w:val="0"/>
          <w:numId w:val="53"/>
        </w:numPr>
        <w:spacing w:after="0" w:line="240" w:lineRule="auto"/>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441 броя социални услуги за резидентна грижа, с общ брой потребители 5 671, както следва:</w:t>
      </w:r>
    </w:p>
    <w:p w14:paraId="50C770D0" w14:textId="77777777" w:rsidR="00533926" w:rsidRPr="00AA5833" w:rsidRDefault="00533926" w:rsidP="002A598C">
      <w:pPr>
        <w:numPr>
          <w:ilvl w:val="0"/>
          <w:numId w:val="50"/>
        </w:numPr>
        <w:spacing w:after="0" w:line="240" w:lineRule="auto"/>
        <w:ind w:hanging="294"/>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29</w:t>
      </w:r>
      <w:r w:rsidRPr="00AA5833">
        <w:rPr>
          <w:rFonts w:ascii="Times New Roman" w:hAnsi="Times New Roman" w:cs="Times New Roman"/>
          <w:bCs/>
          <w:sz w:val="24"/>
          <w:szCs w:val="24"/>
        </w:rPr>
        <w:t xml:space="preserve"> Защитени жилища за лица с психични разстройства, с общ брой потребители </w:t>
      </w:r>
      <w:r w:rsidRPr="00AA5833">
        <w:rPr>
          <w:rFonts w:ascii="Times New Roman" w:hAnsi="Times New Roman" w:cs="Times New Roman"/>
          <w:b/>
          <w:bCs/>
          <w:sz w:val="24"/>
          <w:szCs w:val="24"/>
        </w:rPr>
        <w:t>248</w:t>
      </w:r>
      <w:r w:rsidRPr="00AA5833">
        <w:rPr>
          <w:rFonts w:ascii="Times New Roman" w:hAnsi="Times New Roman" w:cs="Times New Roman"/>
          <w:bCs/>
          <w:sz w:val="24"/>
          <w:szCs w:val="24"/>
        </w:rPr>
        <w:t>;</w:t>
      </w:r>
    </w:p>
    <w:p w14:paraId="0E3FB57B" w14:textId="77777777" w:rsidR="00533926" w:rsidRPr="00AA5833" w:rsidRDefault="00533926" w:rsidP="002A598C">
      <w:pPr>
        <w:numPr>
          <w:ilvl w:val="0"/>
          <w:numId w:val="50"/>
        </w:numPr>
        <w:spacing w:after="0" w:line="240" w:lineRule="auto"/>
        <w:ind w:hanging="294"/>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87</w:t>
      </w:r>
      <w:r w:rsidRPr="00AA5833">
        <w:rPr>
          <w:rFonts w:ascii="Times New Roman" w:hAnsi="Times New Roman" w:cs="Times New Roman"/>
          <w:bCs/>
          <w:sz w:val="24"/>
          <w:szCs w:val="24"/>
        </w:rPr>
        <w:t xml:space="preserve"> Защитени жилища за лица с умствена изостаналост, с общ брой потребители </w:t>
      </w:r>
      <w:r w:rsidRPr="00AA5833">
        <w:rPr>
          <w:rFonts w:ascii="Times New Roman" w:hAnsi="Times New Roman" w:cs="Times New Roman"/>
          <w:b/>
          <w:bCs/>
          <w:sz w:val="24"/>
          <w:szCs w:val="24"/>
        </w:rPr>
        <w:t>685</w:t>
      </w:r>
      <w:r w:rsidRPr="00AA5833">
        <w:rPr>
          <w:rFonts w:ascii="Times New Roman" w:hAnsi="Times New Roman" w:cs="Times New Roman"/>
          <w:bCs/>
          <w:sz w:val="24"/>
          <w:szCs w:val="24"/>
        </w:rPr>
        <w:t>;</w:t>
      </w:r>
    </w:p>
    <w:p w14:paraId="3D21E1F6" w14:textId="77777777" w:rsidR="00533926" w:rsidRPr="00AA5833" w:rsidRDefault="00533926" w:rsidP="002A598C">
      <w:pPr>
        <w:numPr>
          <w:ilvl w:val="0"/>
          <w:numId w:val="50"/>
        </w:numPr>
        <w:spacing w:after="0" w:line="240" w:lineRule="auto"/>
        <w:ind w:hanging="294"/>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lastRenderedPageBreak/>
        <w:t>13</w:t>
      </w:r>
      <w:r w:rsidRPr="00AA5833">
        <w:rPr>
          <w:rFonts w:ascii="Times New Roman" w:hAnsi="Times New Roman" w:cs="Times New Roman"/>
          <w:bCs/>
          <w:sz w:val="24"/>
          <w:szCs w:val="24"/>
        </w:rPr>
        <w:t xml:space="preserve"> Защитени жилища за лица с физически увреждания, с общ брой потребители </w:t>
      </w:r>
      <w:r w:rsidRPr="00AA5833">
        <w:rPr>
          <w:rFonts w:ascii="Times New Roman" w:hAnsi="Times New Roman" w:cs="Times New Roman"/>
          <w:b/>
          <w:bCs/>
          <w:sz w:val="24"/>
          <w:szCs w:val="24"/>
        </w:rPr>
        <w:t>100</w:t>
      </w:r>
      <w:r w:rsidRPr="00AA5833">
        <w:rPr>
          <w:rFonts w:ascii="Times New Roman" w:hAnsi="Times New Roman" w:cs="Times New Roman"/>
          <w:bCs/>
          <w:sz w:val="24"/>
          <w:szCs w:val="24"/>
        </w:rPr>
        <w:t>;</w:t>
      </w:r>
    </w:p>
    <w:p w14:paraId="57E66FA2"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24</w:t>
      </w:r>
      <w:r w:rsidRPr="00AA5833">
        <w:rPr>
          <w:rFonts w:ascii="Times New Roman" w:hAnsi="Times New Roman" w:cs="Times New Roman"/>
          <w:bCs/>
          <w:sz w:val="24"/>
          <w:szCs w:val="24"/>
        </w:rPr>
        <w:t xml:space="preserve"> Наблюдавани жилища, с общ брой потребители </w:t>
      </w:r>
      <w:r w:rsidRPr="00AA5833">
        <w:rPr>
          <w:rFonts w:ascii="Times New Roman" w:hAnsi="Times New Roman" w:cs="Times New Roman"/>
          <w:b/>
          <w:bCs/>
          <w:sz w:val="24"/>
          <w:szCs w:val="24"/>
        </w:rPr>
        <w:t>118</w:t>
      </w:r>
      <w:r w:rsidRPr="00AA5833">
        <w:rPr>
          <w:rFonts w:ascii="Times New Roman" w:hAnsi="Times New Roman" w:cs="Times New Roman"/>
          <w:bCs/>
          <w:sz w:val="24"/>
          <w:szCs w:val="24"/>
        </w:rPr>
        <w:t>;</w:t>
      </w:r>
    </w:p>
    <w:p w14:paraId="3E558ED1"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10</w:t>
      </w:r>
      <w:r w:rsidRPr="00AA5833">
        <w:rPr>
          <w:rFonts w:ascii="Times New Roman" w:hAnsi="Times New Roman" w:cs="Times New Roman"/>
          <w:bCs/>
          <w:sz w:val="24"/>
          <w:szCs w:val="24"/>
        </w:rPr>
        <w:t xml:space="preserve"> Преходни жилища, с общ брой потребители </w:t>
      </w:r>
      <w:r w:rsidRPr="00AA5833">
        <w:rPr>
          <w:rFonts w:ascii="Times New Roman" w:hAnsi="Times New Roman" w:cs="Times New Roman"/>
          <w:b/>
          <w:bCs/>
          <w:sz w:val="24"/>
          <w:szCs w:val="24"/>
        </w:rPr>
        <w:t>89</w:t>
      </w:r>
      <w:r w:rsidRPr="00AA5833">
        <w:rPr>
          <w:rFonts w:ascii="Times New Roman" w:hAnsi="Times New Roman" w:cs="Times New Roman"/>
          <w:bCs/>
          <w:sz w:val="24"/>
          <w:szCs w:val="24"/>
        </w:rPr>
        <w:t>;</w:t>
      </w:r>
    </w:p>
    <w:p w14:paraId="7354B027"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12</w:t>
      </w:r>
      <w:r w:rsidRPr="00AA5833">
        <w:rPr>
          <w:rFonts w:ascii="Times New Roman" w:hAnsi="Times New Roman" w:cs="Times New Roman"/>
          <w:bCs/>
          <w:sz w:val="24"/>
          <w:szCs w:val="24"/>
        </w:rPr>
        <w:t xml:space="preserve"> Центъра за настаняване от семеен тип за младежи с увреждания, с общ брой потребители </w:t>
      </w:r>
      <w:r w:rsidRPr="00AA5833">
        <w:rPr>
          <w:rFonts w:ascii="Times New Roman" w:hAnsi="Times New Roman" w:cs="Times New Roman"/>
          <w:b/>
          <w:bCs/>
          <w:sz w:val="24"/>
          <w:szCs w:val="24"/>
        </w:rPr>
        <w:t>168</w:t>
      </w:r>
      <w:r w:rsidRPr="00AA5833">
        <w:rPr>
          <w:rFonts w:ascii="Times New Roman" w:hAnsi="Times New Roman" w:cs="Times New Roman"/>
          <w:bCs/>
          <w:sz w:val="24"/>
          <w:szCs w:val="24"/>
        </w:rPr>
        <w:t>;</w:t>
      </w:r>
    </w:p>
    <w:p w14:paraId="12F6CC45"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77</w:t>
      </w:r>
      <w:r w:rsidRPr="00AA5833">
        <w:rPr>
          <w:rFonts w:ascii="Times New Roman" w:hAnsi="Times New Roman" w:cs="Times New Roman"/>
          <w:bCs/>
          <w:sz w:val="24"/>
          <w:szCs w:val="24"/>
        </w:rPr>
        <w:t xml:space="preserve"> Център за настаняване от семеен тип за пълнолетни лица с психични разстройства, с общ брой потребители </w:t>
      </w:r>
      <w:r w:rsidRPr="00AA5833">
        <w:rPr>
          <w:rFonts w:ascii="Times New Roman" w:hAnsi="Times New Roman" w:cs="Times New Roman"/>
          <w:b/>
          <w:bCs/>
          <w:sz w:val="24"/>
          <w:szCs w:val="24"/>
        </w:rPr>
        <w:t>1 108;</w:t>
      </w:r>
    </w:p>
    <w:p w14:paraId="21072F89"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38</w:t>
      </w:r>
      <w:r w:rsidRPr="00AA5833">
        <w:rPr>
          <w:rFonts w:ascii="Times New Roman" w:hAnsi="Times New Roman" w:cs="Times New Roman"/>
          <w:bCs/>
          <w:sz w:val="24"/>
          <w:szCs w:val="24"/>
        </w:rPr>
        <w:t xml:space="preserve"> Центъра за настаняване от семеен тип за пълнолетни лица с деменция, с общ брой потребители </w:t>
      </w:r>
      <w:r w:rsidRPr="00AA5833">
        <w:rPr>
          <w:rFonts w:ascii="Times New Roman" w:hAnsi="Times New Roman" w:cs="Times New Roman"/>
          <w:b/>
          <w:bCs/>
          <w:sz w:val="24"/>
          <w:szCs w:val="24"/>
        </w:rPr>
        <w:t>536</w:t>
      </w:r>
      <w:r w:rsidRPr="00AA5833">
        <w:rPr>
          <w:rFonts w:ascii="Times New Roman" w:hAnsi="Times New Roman" w:cs="Times New Roman"/>
          <w:bCs/>
          <w:sz w:val="24"/>
          <w:szCs w:val="24"/>
        </w:rPr>
        <w:t>;</w:t>
      </w:r>
    </w:p>
    <w:p w14:paraId="2BB764A7"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75</w:t>
      </w:r>
      <w:r w:rsidRPr="00AA5833">
        <w:rPr>
          <w:rFonts w:ascii="Times New Roman" w:hAnsi="Times New Roman" w:cs="Times New Roman"/>
          <w:bCs/>
          <w:sz w:val="24"/>
          <w:szCs w:val="24"/>
        </w:rPr>
        <w:t xml:space="preserve"> Центъра за настаняване от семеен тип за пълнолетни лица с умствена изостаналост, с общ брой потребители </w:t>
      </w:r>
      <w:r w:rsidRPr="00AA5833">
        <w:rPr>
          <w:rFonts w:ascii="Times New Roman" w:hAnsi="Times New Roman" w:cs="Times New Roman"/>
          <w:b/>
          <w:bCs/>
          <w:sz w:val="24"/>
          <w:szCs w:val="24"/>
        </w:rPr>
        <w:t>1 017</w:t>
      </w:r>
      <w:r w:rsidRPr="00AA5833">
        <w:rPr>
          <w:rFonts w:ascii="Times New Roman" w:hAnsi="Times New Roman" w:cs="Times New Roman"/>
          <w:bCs/>
          <w:sz w:val="24"/>
          <w:szCs w:val="24"/>
        </w:rPr>
        <w:t>;</w:t>
      </w:r>
    </w:p>
    <w:p w14:paraId="359D11E4"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32</w:t>
      </w:r>
      <w:r w:rsidRPr="00AA5833">
        <w:rPr>
          <w:rFonts w:ascii="Times New Roman" w:hAnsi="Times New Roman" w:cs="Times New Roman"/>
          <w:bCs/>
          <w:sz w:val="24"/>
          <w:szCs w:val="24"/>
        </w:rPr>
        <w:t xml:space="preserve"> Центъра за настаняване от семеен тип за пълнолетни лица с физически увреждания, с общ брой потребители </w:t>
      </w:r>
      <w:r w:rsidRPr="00AA5833">
        <w:rPr>
          <w:rFonts w:ascii="Times New Roman" w:hAnsi="Times New Roman" w:cs="Times New Roman"/>
          <w:b/>
          <w:bCs/>
          <w:sz w:val="24"/>
          <w:szCs w:val="24"/>
        </w:rPr>
        <w:t>443</w:t>
      </w:r>
      <w:r w:rsidRPr="00AA5833">
        <w:rPr>
          <w:rFonts w:ascii="Times New Roman" w:hAnsi="Times New Roman" w:cs="Times New Roman"/>
          <w:bCs/>
          <w:sz w:val="24"/>
          <w:szCs w:val="24"/>
        </w:rPr>
        <w:t>;</w:t>
      </w:r>
    </w:p>
    <w:p w14:paraId="65C42CA5" w14:textId="77777777" w:rsidR="00533926" w:rsidRPr="00AA5833" w:rsidRDefault="00533926" w:rsidP="002A598C">
      <w:pPr>
        <w:numPr>
          <w:ilvl w:val="0"/>
          <w:numId w:val="51"/>
        </w:numPr>
        <w:spacing w:after="0" w:line="240" w:lineRule="auto"/>
        <w:ind w:left="426" w:firstLine="0"/>
        <w:contextualSpacing/>
        <w:jc w:val="both"/>
        <w:rPr>
          <w:rFonts w:ascii="Times New Roman" w:hAnsi="Times New Roman" w:cs="Times New Roman"/>
          <w:b/>
          <w:bCs/>
          <w:sz w:val="24"/>
          <w:szCs w:val="24"/>
        </w:rPr>
      </w:pPr>
      <w:r w:rsidRPr="00AA5833">
        <w:rPr>
          <w:rFonts w:ascii="Times New Roman" w:hAnsi="Times New Roman" w:cs="Times New Roman"/>
          <w:b/>
          <w:bCs/>
          <w:sz w:val="24"/>
          <w:szCs w:val="24"/>
        </w:rPr>
        <w:t>8</w:t>
      </w:r>
      <w:r w:rsidRPr="00AA5833">
        <w:rPr>
          <w:rFonts w:ascii="Times New Roman" w:hAnsi="Times New Roman" w:cs="Times New Roman"/>
          <w:bCs/>
          <w:sz w:val="24"/>
          <w:szCs w:val="24"/>
        </w:rPr>
        <w:t xml:space="preserve"> Центъра за настаняване от семеен тип за стари хора, с общ брой потребители </w:t>
      </w:r>
      <w:r w:rsidRPr="00AA5833">
        <w:rPr>
          <w:rFonts w:ascii="Times New Roman" w:hAnsi="Times New Roman" w:cs="Times New Roman"/>
          <w:b/>
          <w:bCs/>
          <w:sz w:val="24"/>
          <w:szCs w:val="24"/>
        </w:rPr>
        <w:t>113</w:t>
      </w:r>
      <w:r w:rsidRPr="00AA5833">
        <w:rPr>
          <w:rFonts w:ascii="Times New Roman" w:hAnsi="Times New Roman" w:cs="Times New Roman"/>
          <w:bCs/>
          <w:sz w:val="24"/>
          <w:szCs w:val="24"/>
        </w:rPr>
        <w:t>;</w:t>
      </w:r>
    </w:p>
    <w:p w14:paraId="31F1A775" w14:textId="77777777" w:rsidR="00533926" w:rsidRPr="00AA5833" w:rsidRDefault="00533926" w:rsidP="002A598C">
      <w:pPr>
        <w:numPr>
          <w:ilvl w:val="0"/>
          <w:numId w:val="52"/>
        </w:numPr>
        <w:spacing w:after="0" w:line="240" w:lineRule="auto"/>
        <w:ind w:left="426"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13</w:t>
      </w:r>
      <w:r w:rsidRPr="00AA5833">
        <w:rPr>
          <w:rFonts w:ascii="Times New Roman" w:hAnsi="Times New Roman" w:cs="Times New Roman"/>
          <w:bCs/>
          <w:sz w:val="24"/>
          <w:szCs w:val="24"/>
        </w:rPr>
        <w:t xml:space="preserve"> Кризисни центрове за лица, с общ брой потребители </w:t>
      </w:r>
      <w:r w:rsidRPr="00AA5833">
        <w:rPr>
          <w:rFonts w:ascii="Times New Roman" w:hAnsi="Times New Roman" w:cs="Times New Roman"/>
          <w:b/>
          <w:bCs/>
          <w:sz w:val="24"/>
          <w:szCs w:val="24"/>
        </w:rPr>
        <w:t>161</w:t>
      </w:r>
      <w:r w:rsidRPr="00AA5833">
        <w:rPr>
          <w:rFonts w:ascii="Times New Roman" w:hAnsi="Times New Roman" w:cs="Times New Roman"/>
          <w:bCs/>
          <w:sz w:val="24"/>
          <w:szCs w:val="24"/>
        </w:rPr>
        <w:t xml:space="preserve">; </w:t>
      </w:r>
    </w:p>
    <w:p w14:paraId="1EB21477" w14:textId="77777777" w:rsidR="00533926" w:rsidRPr="00AA5833" w:rsidRDefault="00533926" w:rsidP="002A598C">
      <w:pPr>
        <w:numPr>
          <w:ilvl w:val="0"/>
          <w:numId w:val="52"/>
        </w:numPr>
        <w:tabs>
          <w:tab w:val="left" w:pos="709"/>
          <w:tab w:val="left" w:pos="993"/>
        </w:tabs>
        <w:spacing w:after="0" w:line="240" w:lineRule="auto"/>
        <w:ind w:left="426"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16</w:t>
      </w:r>
      <w:r w:rsidRPr="00AA5833">
        <w:rPr>
          <w:rFonts w:ascii="Times New Roman" w:hAnsi="Times New Roman" w:cs="Times New Roman"/>
          <w:bCs/>
          <w:sz w:val="24"/>
          <w:szCs w:val="24"/>
        </w:rPr>
        <w:tab/>
        <w:t xml:space="preserve">Центрове за временно настаняване за лица, с общ брой потребители </w:t>
      </w:r>
      <w:r w:rsidRPr="00AA5833">
        <w:rPr>
          <w:rFonts w:ascii="Times New Roman" w:hAnsi="Times New Roman" w:cs="Times New Roman"/>
          <w:b/>
          <w:bCs/>
          <w:sz w:val="24"/>
          <w:szCs w:val="24"/>
        </w:rPr>
        <w:t>735</w:t>
      </w:r>
      <w:r w:rsidRPr="00AA5833">
        <w:rPr>
          <w:rFonts w:ascii="Times New Roman" w:hAnsi="Times New Roman" w:cs="Times New Roman"/>
          <w:bCs/>
          <w:sz w:val="24"/>
          <w:szCs w:val="24"/>
        </w:rPr>
        <w:t>;</w:t>
      </w:r>
      <w:r w:rsidRPr="00AA5833">
        <w:rPr>
          <w:rFonts w:ascii="Times New Roman" w:hAnsi="Times New Roman" w:cs="Times New Roman"/>
          <w:b/>
          <w:bCs/>
          <w:sz w:val="24"/>
          <w:szCs w:val="24"/>
        </w:rPr>
        <w:t xml:space="preserve"> </w:t>
      </w:r>
    </w:p>
    <w:p w14:paraId="30C7CE5B" w14:textId="77777777" w:rsidR="00533926" w:rsidRPr="00AA5833" w:rsidRDefault="00533926" w:rsidP="002A598C">
      <w:pPr>
        <w:numPr>
          <w:ilvl w:val="0"/>
          <w:numId w:val="52"/>
        </w:numPr>
        <w:tabs>
          <w:tab w:val="left" w:pos="709"/>
          <w:tab w:val="left" w:pos="993"/>
        </w:tabs>
        <w:spacing w:after="0" w:line="240" w:lineRule="auto"/>
        <w:ind w:left="426" w:firstLine="0"/>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7</w:t>
      </w:r>
      <w:r w:rsidRPr="00AA5833">
        <w:rPr>
          <w:rFonts w:ascii="Times New Roman" w:hAnsi="Times New Roman" w:cs="Times New Roman"/>
          <w:bCs/>
          <w:sz w:val="24"/>
          <w:szCs w:val="24"/>
        </w:rPr>
        <w:t xml:space="preserve"> Приюти за лица, с общ брой потребители </w:t>
      </w:r>
      <w:r w:rsidRPr="00AA5833">
        <w:rPr>
          <w:rFonts w:ascii="Times New Roman" w:hAnsi="Times New Roman" w:cs="Times New Roman"/>
          <w:b/>
          <w:bCs/>
          <w:sz w:val="24"/>
          <w:szCs w:val="24"/>
        </w:rPr>
        <w:t>150</w:t>
      </w:r>
      <w:r w:rsidRPr="00AA5833">
        <w:rPr>
          <w:rFonts w:ascii="Times New Roman" w:hAnsi="Times New Roman" w:cs="Times New Roman"/>
          <w:bCs/>
          <w:sz w:val="24"/>
          <w:szCs w:val="24"/>
        </w:rPr>
        <w:t>.</w:t>
      </w:r>
    </w:p>
    <w:p w14:paraId="7C444A94" w14:textId="77777777" w:rsidR="00533926" w:rsidRPr="00AA5833" w:rsidRDefault="00533926" w:rsidP="00533926">
      <w:pPr>
        <w:spacing w:after="0" w:line="240" w:lineRule="auto"/>
        <w:ind w:firstLine="709"/>
        <w:jc w:val="both"/>
        <w:rPr>
          <w:rFonts w:ascii="Times New Roman" w:eastAsia="Times New Roman" w:hAnsi="Times New Roman" w:cs="Times New Roman"/>
          <w:b/>
          <w:caps/>
          <w:color w:val="FF0000"/>
          <w:sz w:val="24"/>
          <w:szCs w:val="24"/>
        </w:rPr>
      </w:pPr>
    </w:p>
    <w:p w14:paraId="62EE019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5FBF87A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p>
    <w:p w14:paraId="51C4A375"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10.4.2. Създаване на социални услуги за хора с увреждания и възрастни хора</w:t>
      </w:r>
    </w:p>
    <w:p w14:paraId="7FBF8E66"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p>
    <w:p w14:paraId="72C6E985"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bidi="bg-BG"/>
        </w:rPr>
      </w:pPr>
      <w:r w:rsidRPr="00AA5833">
        <w:rPr>
          <w:rFonts w:ascii="Times New Roman" w:eastAsia="Times New Roman" w:hAnsi="Times New Roman" w:cs="Times New Roman"/>
          <w:bCs/>
          <w:sz w:val="24"/>
          <w:szCs w:val="24"/>
          <w:lang w:eastAsia="bg-BG" w:bidi="bg-BG"/>
        </w:rPr>
        <w:tab/>
        <w:t>С приемането на Националната стратегия за дългосрочна грижа (НСДГ) през 2014 година стартира процесът на цялостната реформа в системата на грижата за пълнолетните лица, която установи концептуалната рамка за изграждането и развитието на ефективна съвременна система от социални и интегрирани услуги за дългосрочна грижа и се постави специален акцент върху деинституционализацията на грижата за хората с увреждания и възрастните хора.</w:t>
      </w:r>
    </w:p>
    <w:p w14:paraId="53F986E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bidi="bg-BG"/>
        </w:rPr>
      </w:pPr>
      <w:r w:rsidRPr="00AA5833">
        <w:rPr>
          <w:rFonts w:ascii="Times New Roman" w:eastAsia="Times New Roman" w:hAnsi="Times New Roman" w:cs="Times New Roman"/>
          <w:bCs/>
          <w:sz w:val="24"/>
          <w:szCs w:val="24"/>
          <w:lang w:eastAsia="bg-BG" w:bidi="bg-BG"/>
        </w:rPr>
        <w:tab/>
        <w:t>В приетия План за действие за изпълнение на НСДГ за периода 2022 – 2027 г. е предвидено създаване на нови социални и интегрирани здравно-социални услуги в общността, в които лицата, които са настанени към момента в домовете за хора с увреждания, да продължат живота си с подходяща подкрепа, съгласно принципите за деинституционализация. Паралелно е предвидено изграждане на нови подкрепящи услуги, които осигуряват подкрепа за дневни занимания, застъпничество и посредничество, обучение в умения и развитие на трудови умения, с което се подпомага социалното включване в общността. Броят на местата в новите услуги ще бъде по-голям и тяхното изграждане ще е насочено и към удовлетворяване на потребности на хора от общността.</w:t>
      </w:r>
    </w:p>
    <w:p w14:paraId="26BA3CCB"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Ключово място в Плана за действие за периода 2022 – 2027 г. за изпълнение на НСДГ е отредено на мерки и дейности, насочени към осигуряване на подкрепа в домашна среда, развитие на качествени и достъпни социални и интегрирани здравно-социални услуги, закриване на 41 домове за хора с увреждания и реформиране на 82 съществуващи домове за стари хора, повишаване на ефективността на системата за дългосрочна грижа и изграждане на необходимата инфраструктура за предоставяне на услугите. През разглеждания период продължи изпълнението на заложените в Плана за действие мерки по предоставяне на услуги, както и в домашна среда.</w:t>
      </w:r>
    </w:p>
    <w:p w14:paraId="51BAF38A"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bidi="bg-BG"/>
        </w:rPr>
      </w:pPr>
      <w:r w:rsidRPr="00AA5833">
        <w:rPr>
          <w:rFonts w:ascii="Times New Roman" w:eastAsia="Times New Roman" w:hAnsi="Times New Roman" w:cs="Times New Roman"/>
          <w:bCs/>
          <w:sz w:val="24"/>
          <w:szCs w:val="24"/>
          <w:lang w:eastAsia="bg-BG" w:bidi="bg-BG"/>
        </w:rPr>
        <w:lastRenderedPageBreak/>
        <w:tab/>
        <w:t xml:space="preserve">Създаването на услугите ще бъде насочено към осигуряване на по-голяма автономност и независимост на хората, така че да бъдат стимулирани към водене на относително самостоятелен начин на живот. </w:t>
      </w:r>
    </w:p>
    <w:p w14:paraId="0C1DCD0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Със ЗСУ за първи път се въведе планиране на национално ниво на социалните услуги, финансирани от държавния бюджет, чрез разработване на Национална карта на социалните услуги. По този начин държавата пое ангажимент за създаване на пълна мрежа от социални услуги в цялата страна в дългосрочен план. Националното планиране е особено важно, тъй като то е основанието за определяне на пакета от социални услуги на ниво община и област, за които следва да се осигури финансиране от държавния бюджет. В картата се определи и максималният брой потребители на всички социални услуги, за които се осигурява изцяло или частично финансиране от държавния бюджет.</w:t>
      </w:r>
    </w:p>
    <w:p w14:paraId="6E4F3B7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С Решение №574 от 08.08.2024 г. Министерският съвет прие Националната карта на социалните услуги.</w:t>
      </w:r>
    </w:p>
    <w:p w14:paraId="70AA2238"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Със Заповед № РД01-2684/18.12.2024 г. на изпълнителния директор на АСП е създадена междуведомствена работна група с участието на всички заинтересовани страни за разработване на предложение за стандарти за финансиране на социалните услуги, които се финансират от държавния бюджет за 2026 г., съгласно чл. 45, ал. 1 от ЗСУ, с натурални и стойностни показатели.</w:t>
      </w:r>
    </w:p>
    <w:p w14:paraId="49EFA944"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През 2024 г. са създадени 25 броя нови социални услуги, с общ брой потребители 469, както следва: </w:t>
      </w:r>
    </w:p>
    <w:p w14:paraId="0A3D7757" w14:textId="77777777" w:rsidR="00533926" w:rsidRPr="00AA5833" w:rsidRDefault="00533926" w:rsidP="002A598C">
      <w:pPr>
        <w:numPr>
          <w:ilvl w:val="0"/>
          <w:numId w:val="53"/>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
          <w:bCs/>
          <w:sz w:val="24"/>
          <w:szCs w:val="24"/>
          <w:lang w:eastAsia="bg-BG"/>
        </w:rPr>
        <w:t>Социални услуги за резидентна грижа – 18 бр., с общ капацитет 239 места</w:t>
      </w:r>
      <w:r w:rsidRPr="00AA5833">
        <w:rPr>
          <w:rFonts w:ascii="Times New Roman" w:eastAsia="Times New Roman" w:hAnsi="Times New Roman" w:cs="Times New Roman"/>
          <w:bCs/>
          <w:sz w:val="24"/>
          <w:szCs w:val="24"/>
          <w:lang w:eastAsia="bg-BG"/>
        </w:rPr>
        <w:t xml:space="preserve">: </w:t>
      </w:r>
    </w:p>
    <w:p w14:paraId="7317EBB7"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Центъра за настаняване от семеен тип за пълнолетни лица с умствена изостаналост, с общ капацитет </w:t>
      </w:r>
      <w:r w:rsidRPr="00AA5833">
        <w:rPr>
          <w:rFonts w:ascii="Times New Roman" w:hAnsi="Times New Roman" w:cs="Times New Roman"/>
          <w:bCs/>
          <w:iCs/>
          <w:sz w:val="24"/>
          <w:szCs w:val="24"/>
        </w:rPr>
        <w:t xml:space="preserve">33 </w:t>
      </w:r>
      <w:r w:rsidRPr="00AA5833">
        <w:rPr>
          <w:rFonts w:ascii="Times New Roman" w:hAnsi="Times New Roman" w:cs="Times New Roman"/>
          <w:bCs/>
          <w:sz w:val="24"/>
          <w:szCs w:val="24"/>
        </w:rPr>
        <w:t xml:space="preserve">места; </w:t>
      </w:r>
    </w:p>
    <w:p w14:paraId="77BAC4A3"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4</w:t>
      </w:r>
      <w:r w:rsidRPr="00AA5833">
        <w:rPr>
          <w:rFonts w:ascii="Times New Roman" w:hAnsi="Times New Roman" w:cs="Times New Roman"/>
          <w:bCs/>
          <w:sz w:val="24"/>
          <w:szCs w:val="24"/>
        </w:rPr>
        <w:t xml:space="preserve"> Центъра за настаняване от семеен тип за пълнолетни лица с психични разстройства, с общ капацитет </w:t>
      </w:r>
      <w:r w:rsidRPr="00AA5833">
        <w:rPr>
          <w:rFonts w:ascii="Times New Roman" w:hAnsi="Times New Roman" w:cs="Times New Roman"/>
          <w:bCs/>
          <w:iCs/>
          <w:sz w:val="24"/>
          <w:szCs w:val="24"/>
        </w:rPr>
        <w:t xml:space="preserve">54 </w:t>
      </w:r>
      <w:r w:rsidRPr="00AA5833">
        <w:rPr>
          <w:rFonts w:ascii="Times New Roman" w:hAnsi="Times New Roman" w:cs="Times New Roman"/>
          <w:bCs/>
          <w:sz w:val="24"/>
          <w:szCs w:val="24"/>
        </w:rPr>
        <w:t xml:space="preserve">места; </w:t>
      </w:r>
    </w:p>
    <w:p w14:paraId="5316967A"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Център за настаняване от семеен тип за пълнолетни лица с деменция, с капацитет </w:t>
      </w:r>
      <w:r w:rsidRPr="00AA5833">
        <w:rPr>
          <w:rFonts w:ascii="Times New Roman" w:hAnsi="Times New Roman" w:cs="Times New Roman"/>
          <w:bCs/>
          <w:iCs/>
          <w:sz w:val="24"/>
          <w:szCs w:val="24"/>
        </w:rPr>
        <w:t xml:space="preserve">15 </w:t>
      </w:r>
      <w:r w:rsidRPr="00AA5833">
        <w:rPr>
          <w:rFonts w:ascii="Times New Roman" w:hAnsi="Times New Roman" w:cs="Times New Roman"/>
          <w:bCs/>
          <w:sz w:val="24"/>
          <w:szCs w:val="24"/>
        </w:rPr>
        <w:t xml:space="preserve">места; </w:t>
      </w:r>
    </w:p>
    <w:p w14:paraId="2497AA80"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Центъра за настаняване от семеен тип за пълнолетни лица с физически увреждания, с общ капацитет </w:t>
      </w:r>
      <w:r w:rsidRPr="00AA5833">
        <w:rPr>
          <w:rFonts w:ascii="Times New Roman" w:hAnsi="Times New Roman" w:cs="Times New Roman"/>
          <w:bCs/>
          <w:iCs/>
          <w:sz w:val="24"/>
          <w:szCs w:val="24"/>
        </w:rPr>
        <w:t xml:space="preserve">29 </w:t>
      </w:r>
      <w:r w:rsidRPr="00AA5833">
        <w:rPr>
          <w:rFonts w:ascii="Times New Roman" w:hAnsi="Times New Roman" w:cs="Times New Roman"/>
          <w:bCs/>
          <w:sz w:val="24"/>
          <w:szCs w:val="24"/>
        </w:rPr>
        <w:t xml:space="preserve">места; </w:t>
      </w:r>
    </w:p>
    <w:p w14:paraId="6974C4B8"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Център за настаняване от семеен тип за деца/младежи с увреждания с потребност от постоянни медицински грижи, с капацитет </w:t>
      </w:r>
      <w:r w:rsidRPr="00AA5833">
        <w:rPr>
          <w:rFonts w:ascii="Times New Roman" w:hAnsi="Times New Roman" w:cs="Times New Roman"/>
          <w:bCs/>
          <w:iCs/>
          <w:sz w:val="24"/>
          <w:szCs w:val="24"/>
        </w:rPr>
        <w:t xml:space="preserve">9 </w:t>
      </w:r>
      <w:r w:rsidRPr="00AA5833">
        <w:rPr>
          <w:rFonts w:ascii="Times New Roman" w:hAnsi="Times New Roman" w:cs="Times New Roman"/>
          <w:bCs/>
          <w:sz w:val="24"/>
          <w:szCs w:val="24"/>
        </w:rPr>
        <w:t xml:space="preserve">места; </w:t>
      </w:r>
    </w:p>
    <w:p w14:paraId="3FABA6FA"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Наблюдавани жилища, с общ капацитет </w:t>
      </w:r>
      <w:r w:rsidRPr="00AA5833">
        <w:rPr>
          <w:rFonts w:ascii="Times New Roman" w:hAnsi="Times New Roman" w:cs="Times New Roman"/>
          <w:bCs/>
          <w:iCs/>
          <w:sz w:val="24"/>
          <w:szCs w:val="24"/>
        </w:rPr>
        <w:t xml:space="preserve">8 </w:t>
      </w:r>
      <w:r w:rsidRPr="00AA5833">
        <w:rPr>
          <w:rFonts w:ascii="Times New Roman" w:hAnsi="Times New Roman" w:cs="Times New Roman"/>
          <w:bCs/>
          <w:sz w:val="24"/>
          <w:szCs w:val="24"/>
        </w:rPr>
        <w:t xml:space="preserve">места; </w:t>
      </w:r>
    </w:p>
    <w:p w14:paraId="3731A062"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Приюти, с общ капацитет </w:t>
      </w:r>
      <w:r w:rsidRPr="00AA5833">
        <w:rPr>
          <w:rFonts w:ascii="Times New Roman" w:hAnsi="Times New Roman" w:cs="Times New Roman"/>
          <w:bCs/>
          <w:iCs/>
          <w:sz w:val="24"/>
          <w:szCs w:val="24"/>
        </w:rPr>
        <w:t xml:space="preserve">20 </w:t>
      </w:r>
      <w:r w:rsidRPr="00AA5833">
        <w:rPr>
          <w:rFonts w:ascii="Times New Roman" w:hAnsi="Times New Roman" w:cs="Times New Roman"/>
          <w:bCs/>
          <w:sz w:val="24"/>
          <w:szCs w:val="24"/>
        </w:rPr>
        <w:t xml:space="preserve">места; </w:t>
      </w:r>
    </w:p>
    <w:p w14:paraId="05E2A819"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Кризисни центрове, общ с капацитет </w:t>
      </w:r>
      <w:r w:rsidRPr="00AA5833">
        <w:rPr>
          <w:rFonts w:ascii="Times New Roman" w:hAnsi="Times New Roman" w:cs="Times New Roman"/>
          <w:bCs/>
          <w:iCs/>
          <w:sz w:val="24"/>
          <w:szCs w:val="24"/>
        </w:rPr>
        <w:t xml:space="preserve">25 </w:t>
      </w:r>
      <w:r w:rsidRPr="00AA5833">
        <w:rPr>
          <w:rFonts w:ascii="Times New Roman" w:hAnsi="Times New Roman" w:cs="Times New Roman"/>
          <w:bCs/>
          <w:sz w:val="24"/>
          <w:szCs w:val="24"/>
        </w:rPr>
        <w:t xml:space="preserve">места; </w:t>
      </w:r>
    </w:p>
    <w:p w14:paraId="6357680C" w14:textId="77777777" w:rsidR="00533926" w:rsidRPr="00AA5833" w:rsidRDefault="00533926" w:rsidP="002A598C">
      <w:pPr>
        <w:numPr>
          <w:ilvl w:val="0"/>
          <w:numId w:val="46"/>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2</w:t>
      </w:r>
      <w:r w:rsidRPr="00AA5833">
        <w:rPr>
          <w:rFonts w:ascii="Times New Roman" w:hAnsi="Times New Roman" w:cs="Times New Roman"/>
          <w:bCs/>
          <w:sz w:val="24"/>
          <w:szCs w:val="24"/>
        </w:rPr>
        <w:t xml:space="preserve"> Центърa за временно настаняване, с oбщ капацитет </w:t>
      </w:r>
      <w:r w:rsidRPr="00AA5833">
        <w:rPr>
          <w:rFonts w:ascii="Times New Roman" w:hAnsi="Times New Roman" w:cs="Times New Roman"/>
          <w:bCs/>
          <w:iCs/>
          <w:sz w:val="24"/>
          <w:szCs w:val="24"/>
        </w:rPr>
        <w:t xml:space="preserve">46 </w:t>
      </w:r>
      <w:r w:rsidRPr="00AA5833">
        <w:rPr>
          <w:rFonts w:ascii="Times New Roman" w:hAnsi="Times New Roman" w:cs="Times New Roman"/>
          <w:bCs/>
          <w:sz w:val="24"/>
          <w:szCs w:val="24"/>
        </w:rPr>
        <w:t xml:space="preserve">места. </w:t>
      </w:r>
    </w:p>
    <w:p w14:paraId="2B3F9191" w14:textId="77777777" w:rsidR="00533926" w:rsidRPr="00AA5833" w:rsidRDefault="00533926" w:rsidP="002A598C">
      <w:pPr>
        <w:numPr>
          <w:ilvl w:val="0"/>
          <w:numId w:val="53"/>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Calibri" w:hAnsi="Times New Roman" w:cs="Times New Roman"/>
          <w:b/>
          <w:sz w:val="24"/>
          <w:szCs w:val="24"/>
        </w:rPr>
        <w:t xml:space="preserve">Подкрепящи специализирани услуги </w:t>
      </w:r>
      <w:r w:rsidRPr="00AA5833">
        <w:rPr>
          <w:rFonts w:ascii="Times New Roman" w:eastAsia="Times New Roman" w:hAnsi="Times New Roman" w:cs="Times New Roman"/>
          <w:b/>
          <w:bCs/>
          <w:sz w:val="24"/>
          <w:szCs w:val="24"/>
          <w:lang w:eastAsia="bg-BG"/>
        </w:rPr>
        <w:t>- 7 броя, с общ брой потребители 230</w:t>
      </w:r>
      <w:r w:rsidRPr="00AA5833">
        <w:rPr>
          <w:rFonts w:ascii="Times New Roman" w:eastAsia="Times New Roman" w:hAnsi="Times New Roman" w:cs="Times New Roman"/>
          <w:bCs/>
          <w:sz w:val="24"/>
          <w:szCs w:val="24"/>
          <w:lang w:eastAsia="bg-BG"/>
        </w:rPr>
        <w:t xml:space="preserve">: </w:t>
      </w:r>
    </w:p>
    <w:p w14:paraId="40C02F28" w14:textId="77777777" w:rsidR="00533926" w:rsidRPr="00AA5833" w:rsidRDefault="00533926" w:rsidP="002A598C">
      <w:pPr>
        <w:numPr>
          <w:ilvl w:val="0"/>
          <w:numId w:val="47"/>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4</w:t>
      </w:r>
      <w:r w:rsidRPr="00AA5833">
        <w:rPr>
          <w:rFonts w:ascii="Times New Roman" w:hAnsi="Times New Roman" w:cs="Times New Roman"/>
          <w:bCs/>
          <w:sz w:val="24"/>
          <w:szCs w:val="24"/>
        </w:rPr>
        <w:t xml:space="preserve"> Центрове за социална рехабилитация и интеграция, с общ капацитет </w:t>
      </w:r>
      <w:r w:rsidRPr="00AA5833">
        <w:rPr>
          <w:rFonts w:ascii="Times New Roman" w:hAnsi="Times New Roman" w:cs="Times New Roman"/>
          <w:bCs/>
          <w:iCs/>
          <w:sz w:val="24"/>
          <w:szCs w:val="24"/>
        </w:rPr>
        <w:t xml:space="preserve">140 </w:t>
      </w:r>
      <w:r w:rsidRPr="00AA5833">
        <w:rPr>
          <w:rFonts w:ascii="Times New Roman" w:hAnsi="Times New Roman" w:cs="Times New Roman"/>
          <w:bCs/>
          <w:sz w:val="24"/>
          <w:szCs w:val="24"/>
        </w:rPr>
        <w:t xml:space="preserve">места; </w:t>
      </w:r>
    </w:p>
    <w:p w14:paraId="27DDF650" w14:textId="77777777" w:rsidR="00533926" w:rsidRPr="00AA5833" w:rsidRDefault="00533926" w:rsidP="002A598C">
      <w:pPr>
        <w:numPr>
          <w:ilvl w:val="0"/>
          <w:numId w:val="47"/>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3</w:t>
      </w:r>
      <w:r w:rsidRPr="00AA5833">
        <w:rPr>
          <w:rFonts w:ascii="Times New Roman" w:hAnsi="Times New Roman" w:cs="Times New Roman"/>
          <w:bCs/>
          <w:sz w:val="24"/>
          <w:szCs w:val="24"/>
        </w:rPr>
        <w:t xml:space="preserve"> Дневни центрове за пълнолетни лица с увреждания, с общ капацитет </w:t>
      </w:r>
      <w:r w:rsidRPr="00AA5833">
        <w:rPr>
          <w:rFonts w:ascii="Times New Roman" w:hAnsi="Times New Roman" w:cs="Times New Roman"/>
          <w:bCs/>
          <w:iCs/>
          <w:sz w:val="24"/>
          <w:szCs w:val="24"/>
        </w:rPr>
        <w:t xml:space="preserve">90 </w:t>
      </w:r>
      <w:r w:rsidRPr="00AA5833">
        <w:rPr>
          <w:rFonts w:ascii="Times New Roman" w:hAnsi="Times New Roman" w:cs="Times New Roman"/>
          <w:bCs/>
          <w:sz w:val="24"/>
          <w:szCs w:val="24"/>
        </w:rPr>
        <w:t xml:space="preserve">места. </w:t>
      </w:r>
    </w:p>
    <w:p w14:paraId="093F1A4E"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Cs/>
          <w:sz w:val="24"/>
          <w:szCs w:val="24"/>
          <w:lang w:eastAsia="bg-BG"/>
        </w:rPr>
        <w:tab/>
        <w:t xml:space="preserve">През 2024 г. е променен броят на потребителите (увеличан) </w:t>
      </w:r>
      <w:r w:rsidRPr="00AA5833">
        <w:rPr>
          <w:rFonts w:ascii="Times New Roman" w:eastAsia="Calibri" w:hAnsi="Times New Roman" w:cs="Times New Roman"/>
          <w:sz w:val="24"/>
          <w:szCs w:val="24"/>
        </w:rPr>
        <w:t>в 10 социални услуги със 120 – в 7 подкрепящи специализирани услуги със 109 и в 3 социални услуги за резидентна грижа с 11, а именно:</w:t>
      </w:r>
    </w:p>
    <w:p w14:paraId="54E0E180" w14:textId="77777777" w:rsidR="00533926" w:rsidRPr="00AA5833" w:rsidRDefault="00533926" w:rsidP="002A598C">
      <w:pPr>
        <w:numPr>
          <w:ilvl w:val="0"/>
          <w:numId w:val="48"/>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Център за настаняване от семеен тип за пълнолетни лица с деменция с 6 броя; </w:t>
      </w:r>
    </w:p>
    <w:p w14:paraId="5237CA0F" w14:textId="77777777" w:rsidR="00533926" w:rsidRPr="00AA5833" w:rsidRDefault="00533926" w:rsidP="002A598C">
      <w:pPr>
        <w:numPr>
          <w:ilvl w:val="0"/>
          <w:numId w:val="48"/>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Защитено жилище за лица с психични разстройства с 4 броя; </w:t>
      </w:r>
    </w:p>
    <w:p w14:paraId="414F8421" w14:textId="77777777" w:rsidR="00533926" w:rsidRPr="00AA5833" w:rsidRDefault="00533926" w:rsidP="002A598C">
      <w:pPr>
        <w:numPr>
          <w:ilvl w:val="0"/>
          <w:numId w:val="48"/>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1</w:t>
      </w:r>
      <w:r w:rsidRPr="00AA5833">
        <w:rPr>
          <w:rFonts w:ascii="Times New Roman" w:hAnsi="Times New Roman" w:cs="Times New Roman"/>
          <w:bCs/>
          <w:sz w:val="24"/>
          <w:szCs w:val="24"/>
        </w:rPr>
        <w:t xml:space="preserve"> Защитено жилище за лица с умствена изостаналост с </w:t>
      </w:r>
      <w:r w:rsidRPr="00AA5833">
        <w:rPr>
          <w:rFonts w:ascii="Times New Roman" w:hAnsi="Times New Roman" w:cs="Times New Roman"/>
          <w:bCs/>
          <w:iCs/>
          <w:sz w:val="24"/>
          <w:szCs w:val="24"/>
        </w:rPr>
        <w:t xml:space="preserve">1 </w:t>
      </w:r>
      <w:r w:rsidRPr="00AA5833">
        <w:rPr>
          <w:rFonts w:ascii="Times New Roman" w:hAnsi="Times New Roman" w:cs="Times New Roman"/>
          <w:bCs/>
          <w:sz w:val="24"/>
          <w:szCs w:val="24"/>
        </w:rPr>
        <w:t xml:space="preserve">броя; </w:t>
      </w:r>
    </w:p>
    <w:p w14:paraId="228CC84C" w14:textId="77777777" w:rsidR="00533926" w:rsidRPr="00AA5833" w:rsidRDefault="00533926" w:rsidP="002A598C">
      <w:pPr>
        <w:numPr>
          <w:ilvl w:val="0"/>
          <w:numId w:val="48"/>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4</w:t>
      </w:r>
      <w:r w:rsidRPr="00AA5833">
        <w:rPr>
          <w:rFonts w:ascii="Times New Roman" w:hAnsi="Times New Roman" w:cs="Times New Roman"/>
          <w:bCs/>
          <w:sz w:val="24"/>
          <w:szCs w:val="24"/>
        </w:rPr>
        <w:t xml:space="preserve"> Дневни центрове за пълнолетни лица с увреждания с 64 броя; </w:t>
      </w:r>
    </w:p>
    <w:p w14:paraId="0DECCB14" w14:textId="77777777" w:rsidR="00533926" w:rsidRPr="00AA5833" w:rsidRDefault="00533926" w:rsidP="002A598C">
      <w:pPr>
        <w:numPr>
          <w:ilvl w:val="0"/>
          <w:numId w:val="48"/>
        </w:numPr>
        <w:spacing w:after="0" w:line="240" w:lineRule="auto"/>
        <w:contextualSpacing/>
        <w:jc w:val="both"/>
        <w:rPr>
          <w:rFonts w:ascii="Times New Roman" w:hAnsi="Times New Roman" w:cs="Times New Roman"/>
          <w:bCs/>
          <w:sz w:val="24"/>
          <w:szCs w:val="24"/>
        </w:rPr>
      </w:pPr>
      <w:r w:rsidRPr="00AA5833">
        <w:rPr>
          <w:rFonts w:ascii="Times New Roman" w:hAnsi="Times New Roman" w:cs="Times New Roman"/>
          <w:b/>
          <w:bCs/>
          <w:sz w:val="24"/>
          <w:szCs w:val="24"/>
        </w:rPr>
        <w:t>3</w:t>
      </w:r>
      <w:r w:rsidRPr="00AA5833">
        <w:rPr>
          <w:rFonts w:ascii="Times New Roman" w:hAnsi="Times New Roman" w:cs="Times New Roman"/>
          <w:bCs/>
          <w:sz w:val="24"/>
          <w:szCs w:val="24"/>
        </w:rPr>
        <w:t xml:space="preserve"> Центъра за социална рехабилитация и интеграция с 45 броя. </w:t>
      </w:r>
    </w:p>
    <w:p w14:paraId="50376BF9"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През отчетния период е променен броят на потребителите (намален) на Дом за пълнолетни лица с умствена изостаналост с 66 броя. </w:t>
      </w:r>
    </w:p>
    <w:p w14:paraId="793601A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27EA4779"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lastRenderedPageBreak/>
        <w:t>АГЕНЦИЯ ЗА СОЦИАЛНО ПОДПОМАГАНЕ</w:t>
      </w:r>
    </w:p>
    <w:p w14:paraId="61C4C4B2"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54BAD567" w14:textId="77777777" w:rsidR="00533926" w:rsidRPr="00AA5833" w:rsidRDefault="00533926" w:rsidP="00533926">
      <w:pPr>
        <w:spacing w:after="0" w:line="240" w:lineRule="auto"/>
        <w:contextualSpacing/>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10.4.3. Закриване на домовете за пълнолетни лица с увреждания</w:t>
      </w:r>
    </w:p>
    <w:p w14:paraId="1E99AA1C" w14:textId="77777777" w:rsidR="00533926" w:rsidRPr="00AA5833" w:rsidRDefault="00533926" w:rsidP="00533926">
      <w:pPr>
        <w:spacing w:after="0" w:line="240" w:lineRule="auto"/>
        <w:contextualSpacing/>
        <w:jc w:val="both"/>
        <w:rPr>
          <w:rFonts w:ascii="Times New Roman" w:eastAsia="Times New Roman" w:hAnsi="Times New Roman" w:cs="Times New Roman"/>
          <w:b/>
          <w:bCs/>
          <w:sz w:val="24"/>
          <w:szCs w:val="24"/>
          <w:lang w:eastAsia="bg-BG"/>
        </w:rPr>
      </w:pPr>
    </w:p>
    <w:p w14:paraId="081FB7E9" w14:textId="77777777" w:rsidR="00533926" w:rsidRPr="00AA5833" w:rsidRDefault="00533926" w:rsidP="00533926">
      <w:pPr>
        <w:spacing w:after="0" w:line="240" w:lineRule="auto"/>
        <w:contextualSpacing/>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В резултат от изпълнението на процеса на деинституционализация на грижата за възрастните хора и хората с увреждания в периода м. януари – м. декември 2024 г. са закрити общо 2 специализирани институции за хора с увреждания със 131 потребители.</w:t>
      </w:r>
    </w:p>
    <w:p w14:paraId="43DF20EA" w14:textId="77777777" w:rsidR="00533926" w:rsidRPr="00AA5833" w:rsidRDefault="00533926" w:rsidP="00533926">
      <w:pPr>
        <w:spacing w:after="0" w:line="240" w:lineRule="auto"/>
        <w:rPr>
          <w:rFonts w:ascii="Times New Roman" w:eastAsia="Times New Roman" w:hAnsi="Times New Roman" w:cs="Times New Roman"/>
          <w:b/>
          <w:bCs/>
          <w:sz w:val="24"/>
          <w:szCs w:val="24"/>
          <w:lang w:eastAsia="bg-BG"/>
        </w:rPr>
      </w:pPr>
    </w:p>
    <w:p w14:paraId="61FE7E7B"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АГЕНЦИЯ ЗА СОЦИАЛНО ПОДПОМАГАНЕ</w:t>
      </w:r>
    </w:p>
    <w:p w14:paraId="7B472DD7" w14:textId="77777777" w:rsidR="00533926" w:rsidRPr="00AA5833" w:rsidRDefault="00533926" w:rsidP="00533926">
      <w:pPr>
        <w:spacing w:after="0" w:line="240" w:lineRule="auto"/>
        <w:rPr>
          <w:rFonts w:ascii="Times New Roman" w:eastAsia="Times New Roman" w:hAnsi="Times New Roman" w:cs="Times New Roman"/>
          <w:b/>
          <w:bCs/>
          <w:sz w:val="24"/>
          <w:szCs w:val="24"/>
          <w:lang w:eastAsia="bg-BG"/>
        </w:rPr>
      </w:pPr>
    </w:p>
    <w:p w14:paraId="74B6864A" w14:textId="77777777" w:rsidR="00533926" w:rsidRPr="00AA5833" w:rsidRDefault="00533926" w:rsidP="00533926">
      <w:pPr>
        <w:spacing w:after="0" w:line="240" w:lineRule="auto"/>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10.4.4. Предоставяне на социалната услуга „Асистентска подкрепа“ за лицата с увреждания по реда на Закона за социалните услуги (ЗСУ)</w:t>
      </w:r>
    </w:p>
    <w:p w14:paraId="194AC862" w14:textId="77777777" w:rsidR="00533926" w:rsidRPr="00AA5833" w:rsidRDefault="00533926" w:rsidP="00533926">
      <w:pPr>
        <w:spacing w:after="0" w:line="240" w:lineRule="auto"/>
        <w:rPr>
          <w:rFonts w:ascii="Times New Roman" w:eastAsia="Times New Roman" w:hAnsi="Times New Roman" w:cs="Times New Roman"/>
          <w:b/>
          <w:bCs/>
          <w:sz w:val="24"/>
          <w:szCs w:val="24"/>
          <w:lang w:eastAsia="bg-BG"/>
        </w:rPr>
      </w:pPr>
    </w:p>
    <w:p w14:paraId="64F6290C" w14:textId="77777777" w:rsidR="00533926" w:rsidRPr="00AA5833" w:rsidRDefault="00533926" w:rsidP="00533926">
      <w:pPr>
        <w:spacing w:after="0" w:line="240" w:lineRule="auto"/>
        <w:ind w:firstLine="709"/>
        <w:contextualSpacing/>
        <w:jc w:val="both"/>
        <w:rPr>
          <w:rFonts w:ascii="Times New Roman" w:eastAsia="Calibri" w:hAnsi="Times New Roman" w:cs="Times New Roman"/>
          <w:sz w:val="24"/>
          <w:szCs w:val="24"/>
          <w:highlight w:val="yellow"/>
        </w:rPr>
      </w:pPr>
      <w:r w:rsidRPr="00AA5833">
        <w:rPr>
          <w:rFonts w:ascii="Times New Roman" w:eastAsia="Calibri" w:hAnsi="Times New Roman" w:cs="Times New Roman"/>
          <w:sz w:val="24"/>
          <w:szCs w:val="24"/>
        </w:rPr>
        <w:t xml:space="preserve">Социалната услуга асистентска подкрепа по реда на ЗСУ с финансиране от държавния бюджет продължи без прекъсване и през 2024 г.  същата се предоставя в 263 общини с възможност за подкрепа на 21 710 потребители. </w:t>
      </w:r>
    </w:p>
    <w:p w14:paraId="52919C35" w14:textId="77777777" w:rsidR="00533926" w:rsidRPr="00AA5833" w:rsidRDefault="00533926" w:rsidP="00533926">
      <w:pPr>
        <w:spacing w:after="0" w:line="240" w:lineRule="auto"/>
        <w:ind w:firstLine="709"/>
        <w:jc w:val="both"/>
        <w:rPr>
          <w:rFonts w:ascii="Times New Roman" w:eastAsia="Times New Roman" w:hAnsi="Times New Roman" w:cs="Times New Roman"/>
          <w:b/>
          <w:caps/>
          <w:color w:val="FF0000"/>
          <w:sz w:val="24"/>
          <w:szCs w:val="24"/>
        </w:rPr>
      </w:pP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33926" w:rsidRPr="00AA5833" w14:paraId="405C6419" w14:textId="77777777" w:rsidTr="00533926">
        <w:trPr>
          <w:trHeight w:val="441"/>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72277D8"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rPr>
            </w:pPr>
            <w:r w:rsidRPr="00AA5833">
              <w:rPr>
                <w:rFonts w:ascii="Times New Roman" w:eastAsia="Times New Roman" w:hAnsi="Times New Roman" w:cs="Times New Roman"/>
                <w:b/>
                <w:bCs/>
                <w:color w:val="000000"/>
                <w:sz w:val="24"/>
                <w:szCs w:val="24"/>
              </w:rPr>
              <w:t>10.5. Обезпечаване постигането на по-високи критерии и стандарти в социалните услуги за уязвимите групи от населението с оглед подобряване качеството на живот и успешното им социално включване и реализация</w:t>
            </w:r>
          </w:p>
        </w:tc>
      </w:tr>
    </w:tbl>
    <w:p w14:paraId="3378E9A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p>
    <w:p w14:paraId="40A77119" w14:textId="77777777" w:rsidR="00533926" w:rsidRPr="002E676E"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2E676E">
        <w:rPr>
          <w:rFonts w:ascii="Times New Roman" w:eastAsia="Times New Roman" w:hAnsi="Times New Roman" w:cs="Times New Roman"/>
          <w:b/>
          <w:color w:val="0000FF"/>
          <w:sz w:val="24"/>
          <w:szCs w:val="24"/>
          <w:lang w:eastAsia="bg-BG"/>
        </w:rPr>
        <w:t>АГЕНЦИЯ ЗА КАЧЕСТВОТО НА СОЦИАЛНИТЕ УСЛУГИ</w:t>
      </w:r>
    </w:p>
    <w:p w14:paraId="72AA9AFB" w14:textId="77777777" w:rsidR="00533926" w:rsidRPr="002E676E" w:rsidRDefault="00533926" w:rsidP="00521F5E">
      <w:pPr>
        <w:autoSpaceDE w:val="0"/>
        <w:autoSpaceDN w:val="0"/>
        <w:adjustRightInd w:val="0"/>
        <w:spacing w:after="0" w:line="240" w:lineRule="auto"/>
        <w:jc w:val="center"/>
        <w:rPr>
          <w:rFonts w:ascii="Times New Roman" w:hAnsi="Times New Roman" w:cs="Times New Roman"/>
          <w:b/>
          <w:color w:val="000000"/>
          <w:sz w:val="24"/>
          <w:szCs w:val="24"/>
        </w:rPr>
      </w:pPr>
    </w:p>
    <w:p w14:paraId="1608734A" w14:textId="77777777" w:rsidR="00533926" w:rsidRPr="00521F5E" w:rsidRDefault="00533926" w:rsidP="00521F5E">
      <w:pPr>
        <w:autoSpaceDE w:val="0"/>
        <w:autoSpaceDN w:val="0"/>
        <w:adjustRightInd w:val="0"/>
        <w:spacing w:after="0" w:line="240" w:lineRule="auto"/>
        <w:jc w:val="both"/>
        <w:rPr>
          <w:rFonts w:ascii="Times New Roman" w:hAnsi="Times New Roman" w:cs="Times New Roman"/>
          <w:b/>
          <w:color w:val="000000"/>
          <w:sz w:val="24"/>
          <w:szCs w:val="24"/>
        </w:rPr>
      </w:pPr>
      <w:r w:rsidRPr="00521F5E">
        <w:rPr>
          <w:rFonts w:ascii="Times New Roman" w:hAnsi="Times New Roman" w:cs="Times New Roman"/>
          <w:b/>
          <w:color w:val="000000"/>
          <w:sz w:val="24"/>
          <w:szCs w:val="24"/>
        </w:rPr>
        <w:t xml:space="preserve">10.5.1. Оказване на методическа подкрепа за спазване на нормативно определените стандарти и критерии за качество на социалните услуги на доставчиците на социални услуги </w:t>
      </w:r>
    </w:p>
    <w:p w14:paraId="5D3BAB22" w14:textId="77777777" w:rsidR="00533926" w:rsidRPr="00521F5E" w:rsidRDefault="00533926" w:rsidP="00521F5E">
      <w:pPr>
        <w:autoSpaceDE w:val="0"/>
        <w:autoSpaceDN w:val="0"/>
        <w:adjustRightInd w:val="0"/>
        <w:spacing w:after="0" w:line="240" w:lineRule="auto"/>
        <w:jc w:val="both"/>
        <w:rPr>
          <w:rFonts w:ascii="Times New Roman" w:hAnsi="Times New Roman" w:cs="Times New Roman"/>
          <w:b/>
          <w:color w:val="000000"/>
          <w:sz w:val="24"/>
          <w:szCs w:val="24"/>
        </w:rPr>
      </w:pPr>
    </w:p>
    <w:p w14:paraId="55211B9B" w14:textId="77777777" w:rsidR="00521F5E" w:rsidRPr="00521F5E" w:rsidRDefault="00521F5E" w:rsidP="00521F5E">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521F5E">
        <w:rPr>
          <w:rFonts w:ascii="Times New Roman" w:eastAsia="Calibri" w:hAnsi="Times New Roman" w:cs="Times New Roman"/>
          <w:sz w:val="24"/>
          <w:szCs w:val="24"/>
        </w:rPr>
        <w:t>Една от основните цели на Агенцията е не само да идентифицира нарушенията, но и да предостави методическа подкрепа на доставчиците за тяхното преодоляване, която се осъществява както по врем</w:t>
      </w:r>
      <w:r>
        <w:rPr>
          <w:rFonts w:ascii="Times New Roman" w:eastAsia="Calibri" w:hAnsi="Times New Roman" w:cs="Times New Roman"/>
          <w:sz w:val="24"/>
          <w:szCs w:val="24"/>
        </w:rPr>
        <w:t>е на извършване на контролната ѝ</w:t>
      </w:r>
      <w:r w:rsidRPr="00521F5E">
        <w:rPr>
          <w:rFonts w:ascii="Times New Roman" w:eastAsia="Calibri" w:hAnsi="Times New Roman" w:cs="Times New Roman"/>
          <w:sz w:val="24"/>
          <w:szCs w:val="24"/>
        </w:rPr>
        <w:t xml:space="preserve"> дейност, така и чрез даването на писмени методически насоки.</w:t>
      </w:r>
    </w:p>
    <w:p w14:paraId="722CE47E" w14:textId="77777777" w:rsidR="00521F5E" w:rsidRPr="00521F5E" w:rsidRDefault="00521F5E" w:rsidP="00521F5E">
      <w:pPr>
        <w:autoSpaceDE w:val="0"/>
        <w:autoSpaceDN w:val="0"/>
        <w:adjustRightInd w:val="0"/>
        <w:spacing w:after="0" w:line="240" w:lineRule="auto"/>
        <w:ind w:right="-1" w:firstLine="708"/>
        <w:jc w:val="both"/>
        <w:rPr>
          <w:rFonts w:ascii="Times New Roman" w:eastAsia="Times New Roman" w:hAnsi="Times New Roman" w:cs="Times New Roman"/>
          <w:color w:val="000000"/>
          <w:sz w:val="24"/>
          <w:szCs w:val="24"/>
          <w:lang w:eastAsia="bg-BG"/>
        </w:rPr>
      </w:pPr>
      <w:r w:rsidRPr="00521F5E">
        <w:rPr>
          <w:rFonts w:ascii="Times New Roman" w:eastAsia="Times New Roman" w:hAnsi="Times New Roman" w:cs="Times New Roman"/>
          <w:color w:val="000000"/>
          <w:sz w:val="24"/>
          <w:szCs w:val="24"/>
          <w:lang w:eastAsia="bg-BG"/>
        </w:rPr>
        <w:t>През 2024 г. на 146 доставчика на социални услуги е оказана писмена методическа подкрепа в областта на разработването на вътрешната документация за организиране на дейностите по предоставяне на услугите, в областта на управлението на човешкия ресурс, свързан с прякото предоставяне на услугите на потребителите, както и с осигуряването на сигурна и безопасна среда на потребителите на услуги и спазване на техните права. Отделно от това всяко едно от дадените 59 задължителни предписания през 2024 г. е придружено от методически насоки, подпомагащи доставчиците при тяхното изпълнение.</w:t>
      </w:r>
    </w:p>
    <w:p w14:paraId="3F46B826" w14:textId="77777777" w:rsidR="00521F5E" w:rsidRPr="00521F5E" w:rsidRDefault="00521F5E" w:rsidP="00521F5E">
      <w:pPr>
        <w:autoSpaceDE w:val="0"/>
        <w:autoSpaceDN w:val="0"/>
        <w:adjustRightInd w:val="0"/>
        <w:spacing w:after="0" w:line="240" w:lineRule="auto"/>
        <w:ind w:right="-1" w:firstLine="708"/>
        <w:jc w:val="both"/>
        <w:rPr>
          <w:rFonts w:ascii="Times New Roman" w:eastAsia="Times New Roman" w:hAnsi="Times New Roman" w:cs="Times New Roman"/>
          <w:color w:val="000000"/>
          <w:sz w:val="24"/>
          <w:szCs w:val="24"/>
          <w:lang w:eastAsia="bg-BG"/>
        </w:rPr>
      </w:pPr>
      <w:r w:rsidRPr="00521F5E">
        <w:rPr>
          <w:rFonts w:ascii="Times New Roman" w:eastAsia="Times New Roman" w:hAnsi="Times New Roman" w:cs="Times New Roman"/>
          <w:color w:val="000000"/>
          <w:sz w:val="24"/>
          <w:szCs w:val="24"/>
          <w:lang w:eastAsia="bg-BG"/>
        </w:rPr>
        <w:t>С цел непрекъснатото усъвършенстване на качеството на осъществяваните от АКСУ де</w:t>
      </w:r>
      <w:r w:rsidR="002F72F9">
        <w:rPr>
          <w:rFonts w:ascii="Times New Roman" w:eastAsia="Times New Roman" w:hAnsi="Times New Roman" w:cs="Times New Roman"/>
          <w:color w:val="000000"/>
          <w:sz w:val="24"/>
          <w:szCs w:val="24"/>
          <w:lang w:eastAsia="bg-BG"/>
        </w:rPr>
        <w:t>йности, на официалната интернет-</w:t>
      </w:r>
      <w:r w:rsidRPr="00521F5E">
        <w:rPr>
          <w:rFonts w:ascii="Times New Roman" w:eastAsia="Times New Roman" w:hAnsi="Times New Roman" w:cs="Times New Roman"/>
          <w:color w:val="000000"/>
          <w:sz w:val="24"/>
          <w:szCs w:val="24"/>
          <w:lang w:eastAsia="bg-BG"/>
        </w:rPr>
        <w:t>страница продължава да е достъпна и Анкетата за обратна връзка от доставчиците на социални услуги, предназначена да измери тяхното мнение за процеса на извършените от страна на Агенцията проверки в предоставяните от тях социални услуги.</w:t>
      </w:r>
    </w:p>
    <w:p w14:paraId="171365BF" w14:textId="77777777" w:rsidR="00521F5E" w:rsidRPr="00AA5833" w:rsidRDefault="00521F5E"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E32FEFE"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ЗА ИКОНОМИЧЕСКИ ИЗСЛЕДВАНИЯ – БАН</w:t>
      </w:r>
    </w:p>
    <w:p w14:paraId="656D2F5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8BEDB8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10.5.2. Разработване на научно-приложен проект: „Гъвкавост на социалната подкрепа в условията на кризи (опит и уроци от периода на COVID-19 пандемията 2020-2022 г.) </w:t>
      </w:r>
    </w:p>
    <w:p w14:paraId="3CF799B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1D1B225"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Проект „Гъвкавост на социалната подкрепа в условията на кризи (опит и уроци от периода на COVID-19 пандемията 2020-2022 г.)” </w:t>
      </w:r>
      <w:r w:rsidRPr="00AA5833">
        <w:rPr>
          <w:rFonts w:ascii="Times New Roman" w:eastAsia="Calibri" w:hAnsi="Times New Roman" w:cs="Times New Roman"/>
          <w:sz w:val="24"/>
          <w:szCs w:val="24"/>
        </w:rPr>
        <w:t xml:space="preserve">се финансира от бюджетната субсидия на БАН, поради което разходите не могат да бъдат конкретизирани, тъй като финансирането не е проектно. </w:t>
      </w:r>
    </w:p>
    <w:p w14:paraId="64ABD7AF"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Извършва се оценка на промените в социалната подкрепа на групи в риск в условията на последната здравна и икономическа криза, с оглед формулирането на концептуално виждане относно характеристиките на политиката в тази област в условията на кризи. Извършва се </w:t>
      </w:r>
      <w:r w:rsidRPr="00AA5833">
        <w:rPr>
          <w:rFonts w:ascii="Times New Roman" w:hAnsi="Times New Roman" w:cs="Times New Roman"/>
          <w:sz w:val="24"/>
          <w:szCs w:val="24"/>
        </w:rPr>
        <w:t>оценка на параметрите и промените в съществуващи механизми и програми за социална подкрепа (целеви групи, съдържание на подкрепата, механизми, обхват, финансиране, администриране).</w:t>
      </w:r>
    </w:p>
    <w:p w14:paraId="2F7E2ECB"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Извършва се оценка на съдържанието и параметрите на нововъведени мерки или програми за социална подкрепа (целеви групи, съдържание на подкрепата, механизми, обхват, финансиране, администриране).</w:t>
      </w:r>
    </w:p>
    <w:p w14:paraId="16D5E08A"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Разработва се концептуално виждане (включващо цел/и, принципи, подходи, механизми – вкл. управленски) относно провеждането на координирана гъвкава социална подкрепа при кризи.</w:t>
      </w:r>
    </w:p>
    <w:p w14:paraId="2613C9DA" w14:textId="77777777" w:rsidR="00533926" w:rsidRPr="00AA5833" w:rsidRDefault="00533926" w:rsidP="00533926">
      <w:pPr>
        <w:spacing w:after="0" w:line="240" w:lineRule="auto"/>
        <w:ind w:firstLine="709"/>
        <w:jc w:val="both"/>
        <w:rPr>
          <w:rFonts w:ascii="Times New Roman" w:hAnsi="Times New Roman" w:cs="Times New Roman"/>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33926" w:rsidRPr="00AA5833" w14:paraId="32ED3C55" w14:textId="77777777" w:rsidTr="00533926">
        <w:tc>
          <w:tcPr>
            <w:tcW w:w="9356" w:type="dxa"/>
            <w:shd w:val="clear" w:color="auto" w:fill="FFFF99"/>
          </w:tcPr>
          <w:p w14:paraId="6033811E"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bCs/>
                <w:sz w:val="24"/>
                <w:szCs w:val="24"/>
                <w:lang w:eastAsia="bg-BG"/>
              </w:rPr>
              <w:t>10.6. Формиране на ефективна медийна стратегия за борба за нулева толерантност към проявите на предразсъдъци, сегрегация и дискриминация спрямо пол, възраст, етническа  принадлежност и увреждане</w:t>
            </w:r>
          </w:p>
        </w:tc>
      </w:tr>
    </w:tbl>
    <w:p w14:paraId="523059F3"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33926" w:rsidRPr="00AA5833" w14:paraId="6FCD8222" w14:textId="77777777" w:rsidTr="00533926">
        <w:tc>
          <w:tcPr>
            <w:tcW w:w="9356" w:type="dxa"/>
            <w:shd w:val="clear" w:color="auto" w:fill="FFFF99"/>
          </w:tcPr>
          <w:p w14:paraId="23F7ADA6"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bCs/>
                <w:sz w:val="24"/>
                <w:szCs w:val="24"/>
                <w:lang w:eastAsia="bg-BG"/>
              </w:rPr>
              <w:t>10.7. Усъвършенстване на механизма на социално подпомагане и осъществяване на преход от социални помощи към социални инвестиции в обучение, квалификация и създаване на нови работни места</w:t>
            </w:r>
          </w:p>
        </w:tc>
      </w:tr>
    </w:tbl>
    <w:p w14:paraId="3A064179"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33926" w:rsidRPr="00AA5833" w14:paraId="36FCC52B" w14:textId="77777777" w:rsidTr="00533926">
        <w:tc>
          <w:tcPr>
            <w:tcW w:w="9356" w:type="dxa"/>
            <w:shd w:val="clear" w:color="auto" w:fill="FFFF99"/>
          </w:tcPr>
          <w:p w14:paraId="1D0A80D2"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bCs/>
                <w:sz w:val="24"/>
                <w:szCs w:val="24"/>
                <w:lang w:eastAsia="bg-BG"/>
              </w:rPr>
              <w:t>10.8. Децентрализация на предоставянето на социални услуги</w:t>
            </w:r>
          </w:p>
        </w:tc>
      </w:tr>
    </w:tbl>
    <w:p w14:paraId="1A24C409"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p w14:paraId="0F8156B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6FE7EB2A"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F3597C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Социалните услуги в България са децентрализирани. Съгласно Закона за социалните услуги общинските съвети определят общинската политика в областта на социалните услуги в съответствие с установените потребности на общинско ниво и приоритетите на държавната политика. Кметовете на общини провеждат общинската политика в областта на социалните услуги в съответствие с решенията на общинския съвет. Кметовете извършват анализ на потребностите от социални услуги в общината и предлагат на общинския съвет организацията и начина на управление на социалните услуги на територията на общината, които се финансират със средства от държавния и общинския бюджет. Техен ангажимент е и да предлагат на общинския съвет създаване, прекратяване, промяна на броя на потребителите и промяна на мястото на предоставяне на социалните услуги, които се финансират от държавния бюджет, от общинския бюджет и при условията на публично-частно партньорство.</w:t>
      </w:r>
      <w:r w:rsidRPr="00AA5833">
        <w:rPr>
          <w:sz w:val="24"/>
          <w:szCs w:val="24"/>
        </w:rPr>
        <w:t xml:space="preserve"> </w:t>
      </w:r>
      <w:r w:rsidRPr="00AA5833">
        <w:rPr>
          <w:rFonts w:ascii="Times New Roman" w:eastAsia="Times New Roman" w:hAnsi="Times New Roman" w:cs="Times New Roman"/>
          <w:bCs/>
          <w:sz w:val="24"/>
          <w:szCs w:val="24"/>
          <w:lang w:eastAsia="bg-BG"/>
        </w:rPr>
        <w:t xml:space="preserve">С оглед осигуряване на пълната мрежа от социални услуги в цялата страна в дългосрочен план, със ЗСУ за първи път се въведе планиране на национално ниво на социалните услуги, финансирани от държавния бюджет, чрез Националната карта на социалните услуги, която беше приета с Решение на Министерския съвет № 574 от 08.08.2024 г. Планирането на социалните услуги на национално ниво чрез Националната карта цели да осигури равен достъп до социални услуги на територията на цялата страна. В нея са включени всички социални и интегрирани здравно-социални услуги на общинско и областно ниво, за които се осигурява финансиране от държавния бюджет, както и максималният брой на </w:t>
      </w:r>
      <w:r w:rsidRPr="00AA5833">
        <w:rPr>
          <w:rFonts w:ascii="Times New Roman" w:eastAsia="Times New Roman" w:hAnsi="Times New Roman" w:cs="Times New Roman"/>
          <w:bCs/>
          <w:sz w:val="24"/>
          <w:szCs w:val="24"/>
          <w:lang w:eastAsia="bg-BG"/>
        </w:rPr>
        <w:lastRenderedPageBreak/>
        <w:t>потребителите на тези услуги. Всички социални услуги, включени в Картата, са услуги, които съответстват на приоритетите на държавната политика в областта на социалните услуги. Съгласно Закона за социалните услуги всички услуги по Картата следва да бъдат създадени до 2035 г.</w:t>
      </w:r>
    </w:p>
    <w:p w14:paraId="360D82E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Cs/>
          <w:sz w:val="24"/>
          <w:szCs w:val="24"/>
          <w:lang w:eastAsia="bg-BG"/>
        </w:rPr>
        <w:tab/>
        <w:t>Кметовете управляват предоставянето на социалните услуги на територията на общината, които се финансират със средства от държавния и общинския бюджет и отговарят за спазване на стандартите за качество на социалните услуги на територията на общината. Те могат да възлагат предоставянето на социални услуги, които се финансират със средства от държавния и общинския бюджет, на частни доставчици на социални услуги. Те са ангажирани и с осъществяването на контрол и мониторинг на социалните услуги, които се предоставят на територията на общината и се финансират със средства от държавния и общинския бюджет. Те са отговорни и следят за законосъобразното разходване на средствата от държавния и общинския бюджет за финансиране на социалните услуги на територията на общината. Кметовете извършват анализ на състоянието и ефективността на социалните услуги, които се предоставят на територията на общината, и предлагат на общинския съвет мерки за подобряване на качеството и ефективността на услугите, поддържат актуална информация за всички социални услуги и за техните доставчици и осъществяват контрол относно своевременното събиране на таксите за ползване на социални услуги на територията на общината, които се финансират със средства от държавния и общинския бюджет.</w:t>
      </w:r>
    </w:p>
    <w:p w14:paraId="3F63427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5DFA913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70A1188F" w14:textId="77777777" w:rsidR="00533926" w:rsidRPr="00AA5833" w:rsidRDefault="00533926" w:rsidP="00533926">
      <w:pPr>
        <w:spacing w:after="0" w:line="240" w:lineRule="auto"/>
        <w:rPr>
          <w:rFonts w:ascii="Times New Roman" w:eastAsia="Times New Roman" w:hAnsi="Times New Roman" w:cs="Times New Roman"/>
          <w:sz w:val="20"/>
          <w:szCs w:val="20"/>
          <w:highlight w:val="yellow"/>
          <w:lang w:eastAsia="bg-BG"/>
        </w:rPr>
      </w:pPr>
    </w:p>
    <w:p w14:paraId="6F380747"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10.8.1. Проект „Общности на грижата“ (Caring Communities)</w:t>
      </w:r>
    </w:p>
    <w:p w14:paraId="537C2D32" w14:textId="77777777" w:rsidR="00533926" w:rsidRPr="00AA5833" w:rsidRDefault="00533926" w:rsidP="00533926">
      <w:pPr>
        <w:spacing w:after="0" w:line="240" w:lineRule="auto"/>
        <w:rPr>
          <w:rFonts w:ascii="Times New Roman" w:eastAsia="Times New Roman" w:hAnsi="Times New Roman" w:cs="Times New Roman"/>
          <w:sz w:val="24"/>
          <w:szCs w:val="24"/>
          <w:lang w:eastAsia="bg-BG"/>
        </w:rPr>
      </w:pPr>
    </w:p>
    <w:p w14:paraId="5DDEC17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Проектът е със срок на изпълнение 2024-2026 г. и се финансира по програмата „Дунав“ на Европейската комисия. Общият бюджет на проекта за 2024 г. е на стойност 27 472,95</w:t>
      </w:r>
      <w:r w:rsidRPr="00AA5833">
        <w:rPr>
          <w:rFonts w:ascii="Times New Roman" w:eastAsia="Times New Roman" w:hAnsi="Times New Roman" w:cs="Times New Roman"/>
          <w:b/>
          <w:bCs/>
          <w:sz w:val="24"/>
          <w:szCs w:val="24"/>
          <w:lang w:eastAsia="bg-BG"/>
        </w:rPr>
        <w:t xml:space="preserve"> </w:t>
      </w:r>
      <w:r w:rsidRPr="00AA5833">
        <w:rPr>
          <w:rFonts w:ascii="Times New Roman" w:eastAsia="Times New Roman" w:hAnsi="Times New Roman" w:cs="Times New Roman"/>
          <w:sz w:val="24"/>
          <w:szCs w:val="24"/>
          <w:lang w:eastAsia="bg-BG"/>
        </w:rPr>
        <w:t>лева. В рамките на проекта през 2024 г. са изнесени доклади на национални и международни форуми и е организирана международна конференция.</w:t>
      </w:r>
    </w:p>
    <w:p w14:paraId="45B1A895" w14:textId="77777777" w:rsidR="0024180C"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Основните резултати от проекта са:</w:t>
      </w:r>
    </w:p>
    <w:p w14:paraId="4B9D439B" w14:textId="77777777" w:rsidR="00533926" w:rsidRPr="0024180C" w:rsidRDefault="00533926" w:rsidP="0024180C">
      <w:pPr>
        <w:pStyle w:val="ListParagraph"/>
        <w:numPr>
          <w:ilvl w:val="0"/>
          <w:numId w:val="68"/>
        </w:numPr>
        <w:ind w:left="0" w:firstLine="360"/>
        <w:jc w:val="both"/>
      </w:pPr>
      <w:r w:rsidRPr="0024180C">
        <w:t>Чрез приложението на транснационален подход са изведени модели за подобряване на качеството на живот на хората, нуждаещи се от грижи, в селските и градските райони на Дунавския регион.</w:t>
      </w:r>
    </w:p>
    <w:p w14:paraId="6B37653A" w14:textId="77777777" w:rsidR="00533926" w:rsidRPr="00AA5833" w:rsidRDefault="00533926" w:rsidP="0024180C">
      <w:pPr>
        <w:pStyle w:val="ListParagraph"/>
        <w:numPr>
          <w:ilvl w:val="0"/>
          <w:numId w:val="68"/>
        </w:numPr>
        <w:ind w:left="0" w:firstLine="360"/>
        <w:jc w:val="both"/>
      </w:pPr>
      <w:r w:rsidRPr="00AA5833">
        <w:t xml:space="preserve">Изграден е иновационен капацитет и структури за междурегионално сътрудничество между различни публични </w:t>
      </w:r>
      <w:r w:rsidR="0024180C">
        <w:t>и частни заинтересовани страни –</w:t>
      </w:r>
      <w:r w:rsidRPr="00AA5833">
        <w:t xml:space="preserve"> подкрепени от научен мониторинг.</w:t>
      </w:r>
    </w:p>
    <w:p w14:paraId="47334CB1"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Резултатите от проекта имат пряко въздействие на различни нива: национално, регионално и европейско.</w:t>
      </w:r>
    </w:p>
    <w:p w14:paraId="16120E6D" w14:textId="77777777" w:rsidR="00533926" w:rsidRPr="00AA5833" w:rsidRDefault="00533926" w:rsidP="00533926">
      <w:pPr>
        <w:spacing w:after="0" w:line="240" w:lineRule="auto"/>
        <w:jc w:val="both"/>
        <w:rPr>
          <w:rFonts w:ascii="Times New Roman" w:eastAsia="Times New Roman" w:hAnsi="Times New Roman" w:cs="Times New Roman"/>
          <w:b/>
          <w:caps/>
          <w:color w:val="0000FF"/>
          <w:sz w:val="24"/>
          <w:szCs w:val="24"/>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33926" w:rsidRPr="00AA5833" w14:paraId="5F130676" w14:textId="77777777" w:rsidTr="00533926">
        <w:trPr>
          <w:trHeight w:val="285"/>
        </w:trPr>
        <w:tc>
          <w:tcPr>
            <w:tcW w:w="9356" w:type="dxa"/>
            <w:shd w:val="clear" w:color="auto" w:fill="FFFF99"/>
          </w:tcPr>
          <w:p w14:paraId="4DC02332" w14:textId="77777777" w:rsidR="00533926" w:rsidRPr="00AA5833" w:rsidRDefault="00533926" w:rsidP="00533926">
            <w:pPr>
              <w:spacing w:after="0" w:line="240" w:lineRule="auto"/>
              <w:jc w:val="both"/>
              <w:rPr>
                <w:rFonts w:ascii="Times New Roman" w:hAnsi="Times New Roman" w:cs="Times New Roman"/>
                <w:b/>
                <w:sz w:val="24"/>
                <w:szCs w:val="24"/>
                <w:lang w:eastAsia="bg-BG"/>
              </w:rPr>
            </w:pPr>
            <w:r w:rsidRPr="00AA5833">
              <w:rPr>
                <w:rFonts w:ascii="Times New Roman" w:hAnsi="Times New Roman" w:cs="Times New Roman"/>
                <w:b/>
                <w:bCs/>
                <w:sz w:val="24"/>
                <w:szCs w:val="24"/>
                <w:lang w:eastAsia="bg-BG"/>
              </w:rPr>
              <w:t>10.9. Разработване и прилагане на единна държавна политика за подкрепа на рисковите семейства с деца</w:t>
            </w:r>
            <w:r w:rsidRPr="00AA5833">
              <w:rPr>
                <w:rFonts w:ascii="Times New Roman" w:hAnsi="Times New Roman" w:cs="Times New Roman"/>
                <w:b/>
                <w:sz w:val="24"/>
                <w:szCs w:val="24"/>
                <w:lang w:eastAsia="bg-BG"/>
              </w:rPr>
              <w:t>.</w:t>
            </w:r>
          </w:p>
        </w:tc>
      </w:tr>
    </w:tbl>
    <w:p w14:paraId="77EBB9C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2942EA20"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ТРУДА И СОЦИАЛНАТА ПОЛИТИКА</w:t>
      </w:r>
    </w:p>
    <w:p w14:paraId="071C979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6EEFED51"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tab/>
        <w:t xml:space="preserve">За подобряване на подкрепата за децата и семействата, включително от уязвими групи, е необходимо реализирането на интегрирана политика, която да гарантира достъпа им до услуги във всички сфери на обществения живот чрез междуинституционално сътрудничество и координация на действията. Това е многосекторна политика, която се реализира чрез мерки от всички системи, имащи отношение към децата и семействата, в т.ч. както от страна на социалната система, така </w:t>
      </w:r>
      <w:r w:rsidRPr="00AA5833">
        <w:rPr>
          <w:rFonts w:ascii="Times New Roman" w:eastAsia="Times New Roman" w:hAnsi="Times New Roman" w:cs="Times New Roman"/>
          <w:sz w:val="24"/>
          <w:szCs w:val="24"/>
          <w:lang w:eastAsia="bg-BG"/>
        </w:rPr>
        <w:lastRenderedPageBreak/>
        <w:t>и на здравеопазването, образованието, данъчната политика, правосъдието и съдебната система, културата, спорта, развитие на инфраструктурата и други. Координираща роля в този процес има председателят на Държавната агенция за закрила на детето като специализиран орган на Министерския съвет за ръководство, координиране и контрол в областта на закрилата на детето. Политиките за подкрепа на децата и семействата са сред приоритетите на Министерството на труда и социалната политика. В основата им е прилагането на принципа, че семейството е най-добрата среда за отглеждането и развитието на всяко дете, като целта е превенция на рисковете, с акцент върху риска от разделяне и изоставяне на детето. Усилията са насочени към подкрепа на родителите при изпълнение на родителската им функция, включително в периода на ранното детство, предоставяне на подходящи социални услуги, оказване на финансова подкрепа чрез отпускане на социални и семейни помощи, осигуряване на условия за гарантиране на правата на децата, създаване на условия за по-добро съвместяване на професионалния и личния живот, трудова заетост, професионална реализация и други.</w:t>
      </w:r>
    </w:p>
    <w:p w14:paraId="0570337E"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533926" w:rsidRPr="00AA5833" w14:paraId="4B4A6D7E" w14:textId="77777777" w:rsidTr="00533926">
        <w:tc>
          <w:tcPr>
            <w:tcW w:w="9356" w:type="dxa"/>
            <w:shd w:val="clear" w:color="auto" w:fill="FFFF99"/>
          </w:tcPr>
          <w:p w14:paraId="3C740E03"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b/>
                <w:bCs/>
                <w:sz w:val="24"/>
                <w:szCs w:val="24"/>
                <w:lang w:eastAsia="bg-BG"/>
              </w:rPr>
              <w:t>10.9.1. Разработване на предложения за ролите и отговорностите на институциите, отговорни за правата и закрилата на децата и разработване на цялостна концепция за реформа, насочена към гарантиране правата на всички деца и семейства</w:t>
            </w:r>
          </w:p>
        </w:tc>
      </w:tr>
    </w:tbl>
    <w:p w14:paraId="015763E7"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10A04254"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ВЪТРЕШНИТЕ РАБОТИ</w:t>
      </w:r>
    </w:p>
    <w:p w14:paraId="6F1D46D6"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p>
    <w:p w14:paraId="51337F88"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sz w:val="24"/>
          <w:szCs w:val="24"/>
        </w:rPr>
        <w:t>10.9.1.1. Създаване на по-добри условия за гарантиране правото на детето на живот и развитие в сигурна и безопасна среда</w:t>
      </w:r>
    </w:p>
    <w:p w14:paraId="3FB06956" w14:textId="77777777" w:rsidR="00533926" w:rsidRPr="00AA5833" w:rsidRDefault="00533926" w:rsidP="00533926">
      <w:pPr>
        <w:spacing w:after="0" w:line="240" w:lineRule="auto"/>
        <w:jc w:val="both"/>
        <w:rPr>
          <w:rFonts w:ascii="Times New Roman" w:hAnsi="Times New Roman" w:cs="Times New Roman"/>
          <w:b/>
          <w:sz w:val="24"/>
          <w:szCs w:val="24"/>
        </w:rPr>
      </w:pPr>
    </w:p>
    <w:p w14:paraId="6DC5D56A"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noProof/>
          <w:sz w:val="24"/>
          <w:szCs w:val="24"/>
        </w:rPr>
        <w:tab/>
        <w:t xml:space="preserve">Служителите на ГДБОП – МВР </w:t>
      </w:r>
      <w:r w:rsidRPr="00AA5833">
        <w:rPr>
          <w:rFonts w:ascii="Times New Roman" w:eastAsia="Calibri" w:hAnsi="Times New Roman" w:cs="Times New Roman"/>
          <w:color w:val="000000"/>
          <w:sz w:val="24"/>
          <w:szCs w:val="24"/>
        </w:rPr>
        <w:t xml:space="preserve">осъществяват активно сътрудничество с всички </w:t>
      </w:r>
      <w:r w:rsidRPr="00AA5833">
        <w:rPr>
          <w:rFonts w:ascii="Times New Roman" w:eastAsia="MS Mincho" w:hAnsi="Times New Roman" w:cs="Times New Roman"/>
          <w:color w:val="000000"/>
          <w:sz w:val="24"/>
          <w:szCs w:val="24"/>
        </w:rPr>
        <w:t>институции</w:t>
      </w:r>
      <w:r w:rsidRPr="00AA5833">
        <w:rPr>
          <w:rFonts w:ascii="Times New Roman" w:eastAsia="Calibri" w:hAnsi="Times New Roman" w:cs="Times New Roman"/>
          <w:color w:val="000000"/>
          <w:sz w:val="24"/>
          <w:szCs w:val="24"/>
        </w:rPr>
        <w:t xml:space="preserve"> и неправителствени организации, имащи компетенции по противодействието на трафика на хора. </w:t>
      </w:r>
      <w:r w:rsidRPr="00AA5833">
        <w:rPr>
          <w:rFonts w:ascii="Times New Roman" w:hAnsi="Times New Roman" w:cs="Times New Roman"/>
          <w:noProof/>
          <w:color w:val="000000"/>
          <w:sz w:val="24"/>
          <w:szCs w:val="24"/>
        </w:rPr>
        <w:t xml:space="preserve">Предвид трансграничния характер на престъплението, взаимодействието се осъществява чрез полицейските офицерите за връзка и по каналите на Европол и Интерпол. </w:t>
      </w:r>
      <w:r w:rsidRPr="00AA5833">
        <w:rPr>
          <w:rFonts w:ascii="Times New Roman" w:hAnsi="Times New Roman" w:cs="Times New Roman"/>
          <w:sz w:val="24"/>
          <w:szCs w:val="24"/>
        </w:rPr>
        <w:t xml:space="preserve">Обучени са служители за повишаване на професионалната подготовка и познанията по отношение на спецификите на престъплението, ранната идентификация на жертвите и механизма за взаимодействие между институциите, ангажирани в борбата с този вид престъпна дейност. </w:t>
      </w:r>
      <w:r w:rsidRPr="00AA5833">
        <w:rPr>
          <w:rFonts w:ascii="Times New Roman" w:hAnsi="Times New Roman" w:cs="Times New Roman"/>
          <w:noProof/>
          <w:color w:val="FF0000"/>
          <w:sz w:val="24"/>
          <w:szCs w:val="24"/>
        </w:rPr>
        <w:t xml:space="preserve">  </w:t>
      </w:r>
    </w:p>
    <w:p w14:paraId="59994728"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За постигане на ефективност в борбата с трафика на хора от особено значение е активната превенция. В тази връзка на национално ниво се отделя съществено внимание върху повишаване на осведомеността на обществото и създаване на отношение за нетърпимост към престъпната дейност. Мерките са насочени предимно към рисковите групи </w:t>
      </w:r>
      <w:r w:rsidRPr="00AA5833">
        <w:rPr>
          <w:rFonts w:ascii="Times New Roman" w:hAnsi="Times New Roman" w:cs="Times New Roman"/>
          <w:noProof/>
          <w:sz w:val="24"/>
          <w:szCs w:val="24"/>
        </w:rPr>
        <w:t>–</w:t>
      </w:r>
      <w:r w:rsidRPr="00AA5833">
        <w:rPr>
          <w:rFonts w:ascii="Times New Roman" w:hAnsi="Times New Roman" w:cs="Times New Roman"/>
          <w:sz w:val="24"/>
          <w:szCs w:val="24"/>
        </w:rPr>
        <w:t xml:space="preserve"> деца, жени и представители на етническите малцинства, както и към българските граждани, търсещи реализация в чужбина. Периодично се оказва експертна помощ и съдействие на други държавни органи при разработване и реализиране на информационни кампании.  </w:t>
      </w:r>
    </w:p>
    <w:p w14:paraId="684BA8EA"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noProof/>
          <w:color w:val="000000"/>
          <w:sz w:val="24"/>
          <w:szCs w:val="24"/>
        </w:rPr>
        <w:tab/>
        <w:t>През 2024</w:t>
      </w:r>
      <w:r w:rsidRPr="00AA5833">
        <w:rPr>
          <w:rFonts w:ascii="Times New Roman" w:eastAsia="Calibri" w:hAnsi="Times New Roman" w:cs="Times New Roman"/>
          <w:noProof/>
          <w:color w:val="000000"/>
          <w:sz w:val="24"/>
          <w:szCs w:val="24"/>
        </w:rPr>
        <w:t xml:space="preserve"> </w:t>
      </w:r>
      <w:r w:rsidRPr="00AA5833">
        <w:rPr>
          <w:rFonts w:ascii="Times New Roman" w:hAnsi="Times New Roman" w:cs="Times New Roman"/>
          <w:noProof/>
          <w:color w:val="000000"/>
          <w:sz w:val="24"/>
          <w:szCs w:val="24"/>
        </w:rPr>
        <w:t xml:space="preserve">г. служители </w:t>
      </w:r>
      <w:r w:rsidRPr="00AA5833">
        <w:rPr>
          <w:rFonts w:ascii="Times New Roman" w:eastAsia="Calibri" w:hAnsi="Times New Roman" w:cs="Times New Roman"/>
          <w:noProof/>
          <w:color w:val="000000"/>
          <w:sz w:val="24"/>
          <w:szCs w:val="24"/>
        </w:rPr>
        <w:t xml:space="preserve">на ГДБОП са </w:t>
      </w:r>
      <w:r w:rsidRPr="00AA5833">
        <w:rPr>
          <w:rFonts w:ascii="Times New Roman" w:hAnsi="Times New Roman" w:cs="Times New Roman"/>
          <w:noProof/>
          <w:color w:val="000000"/>
          <w:sz w:val="24"/>
          <w:szCs w:val="24"/>
        </w:rPr>
        <w:t xml:space="preserve">участвали в редица обучения, конференции, кръгли маси и семинари по линия „Трафик на хора“. </w:t>
      </w:r>
      <w:r w:rsidRPr="00AA5833">
        <w:rPr>
          <w:rFonts w:ascii="Times New Roman" w:eastAsia="Calibri" w:hAnsi="Times New Roman" w:cs="Times New Roman"/>
          <w:color w:val="000000"/>
          <w:sz w:val="24"/>
          <w:szCs w:val="24"/>
        </w:rPr>
        <w:t>Проведено е обучение на оператори на горещата телефонна линия за получаване на сигнали за трафик на хора, обслужвана от НПО ‚Кампания А21“.</w:t>
      </w:r>
    </w:p>
    <w:p w14:paraId="399BFB9D" w14:textId="77777777" w:rsidR="00533926" w:rsidRPr="00AA5833" w:rsidRDefault="00533926" w:rsidP="00533926">
      <w:pPr>
        <w:spacing w:after="0" w:line="240" w:lineRule="auto"/>
        <w:jc w:val="both"/>
        <w:rPr>
          <w:rFonts w:ascii="Times New Roman" w:eastAsia="Calibri" w:hAnsi="Times New Roman" w:cs="Times New Roman"/>
          <w:color w:val="000000"/>
          <w:sz w:val="24"/>
          <w:szCs w:val="24"/>
        </w:rPr>
      </w:pPr>
      <w:r w:rsidRPr="00AA5833">
        <w:rPr>
          <w:rFonts w:ascii="Times New Roman" w:hAnsi="Times New Roman" w:cs="Times New Roman"/>
          <w:sz w:val="24"/>
          <w:szCs w:val="24"/>
        </w:rPr>
        <w:tab/>
        <w:t xml:space="preserve">В рамките на кампания през октомври 2024 г. </w:t>
      </w:r>
      <w:r w:rsidRPr="00AA5833">
        <w:rPr>
          <w:rFonts w:ascii="Times New Roman" w:hAnsi="Times New Roman" w:cs="Times New Roman"/>
          <w:noProof/>
          <w:color w:val="000000"/>
          <w:sz w:val="24"/>
          <w:szCs w:val="24"/>
        </w:rPr>
        <w:t>в училище „Св. св. Кирил и Методий“ в село Челопеч, обл. Софийска, е проведено обучение на ученици на тема: „Същност на трафика на хора. Рискове от попадане в мрежите на трафика и как потенциалните жертви да се предпазят от него“</w:t>
      </w:r>
      <w:r w:rsidRPr="00AA5833">
        <w:rPr>
          <w:rFonts w:ascii="Times New Roman" w:hAnsi="Times New Roman" w:cs="Times New Roman"/>
          <w:sz w:val="24"/>
          <w:szCs w:val="24"/>
        </w:rPr>
        <w:t>. Служители участват и в изготвянето на</w:t>
      </w:r>
      <w:r w:rsidRPr="00AA5833">
        <w:rPr>
          <w:rFonts w:ascii="Times New Roman" w:hAnsi="Times New Roman" w:cs="Times New Roman"/>
          <w:noProof/>
          <w:sz w:val="24"/>
          <w:szCs w:val="24"/>
        </w:rPr>
        <w:t xml:space="preserve"> наръчници и информационни материали, свързани </w:t>
      </w:r>
      <w:r w:rsidRPr="00AA5833">
        <w:rPr>
          <w:rFonts w:ascii="Times New Roman" w:hAnsi="Times New Roman" w:cs="Times New Roman"/>
          <w:sz w:val="24"/>
          <w:szCs w:val="24"/>
        </w:rPr>
        <w:t xml:space="preserve">с ранната идентификация на жертвите и механизма за взаимодействие между институциите, като допринасят </w:t>
      </w:r>
      <w:r w:rsidRPr="00AA5833">
        <w:rPr>
          <w:rFonts w:ascii="Times New Roman" w:hAnsi="Times New Roman" w:cs="Times New Roman"/>
          <w:noProof/>
          <w:sz w:val="24"/>
          <w:szCs w:val="24"/>
        </w:rPr>
        <w:t>за повишаване</w:t>
      </w:r>
      <w:r w:rsidRPr="00AA5833">
        <w:rPr>
          <w:rFonts w:ascii="Times New Roman" w:hAnsi="Times New Roman" w:cs="Times New Roman"/>
          <w:sz w:val="24"/>
          <w:szCs w:val="24"/>
        </w:rPr>
        <w:t xml:space="preserve"> на </w:t>
      </w:r>
      <w:r w:rsidRPr="00AA5833">
        <w:rPr>
          <w:rFonts w:ascii="Times New Roman" w:hAnsi="Times New Roman" w:cs="Times New Roman"/>
          <w:sz w:val="24"/>
          <w:szCs w:val="24"/>
        </w:rPr>
        <w:lastRenderedPageBreak/>
        <w:t>професионалната подготовка и познанията на работещите по проблема. Периодично оказват и експертна помощ на специализирани органи при разработване и реализиране на кампании</w:t>
      </w:r>
      <w:r w:rsidRPr="00AA5833">
        <w:rPr>
          <w:rFonts w:ascii="Times New Roman" w:hAnsi="Times New Roman" w:cs="Times New Roman"/>
          <w:noProof/>
          <w:sz w:val="24"/>
          <w:szCs w:val="24"/>
        </w:rPr>
        <w:t xml:space="preserve"> </w:t>
      </w:r>
      <w:r w:rsidRPr="00AA5833">
        <w:rPr>
          <w:rFonts w:ascii="Times New Roman" w:hAnsi="Times New Roman" w:cs="Times New Roman"/>
          <w:sz w:val="24"/>
          <w:szCs w:val="24"/>
        </w:rPr>
        <w:t>за повишаване на обществената осведоменост.</w:t>
      </w:r>
      <w:r w:rsidRPr="00AA5833">
        <w:rPr>
          <w:rFonts w:ascii="Times New Roman" w:eastAsia="Calibri" w:hAnsi="Times New Roman" w:cs="Times New Roman"/>
          <w:color w:val="000000"/>
          <w:sz w:val="24"/>
          <w:szCs w:val="24"/>
        </w:rPr>
        <w:t xml:space="preserve"> </w:t>
      </w:r>
    </w:p>
    <w:p w14:paraId="30109160" w14:textId="77777777" w:rsidR="00533926" w:rsidRPr="00AA5833" w:rsidRDefault="00533926" w:rsidP="00533926">
      <w:pPr>
        <w:spacing w:after="0" w:line="240" w:lineRule="auto"/>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В края на ноември 2024 г., служител на ГДБОП </w:t>
      </w:r>
      <w:r w:rsidRPr="00AA5833">
        <w:rPr>
          <w:rFonts w:ascii="Times New Roman" w:hAnsi="Times New Roman" w:cs="Times New Roman"/>
          <w:noProof/>
          <w:sz w:val="24"/>
          <w:szCs w:val="24"/>
        </w:rPr>
        <w:t>– МВР</w:t>
      </w:r>
      <w:r w:rsidRPr="00AA5833">
        <w:rPr>
          <w:rFonts w:ascii="Times New Roman" w:hAnsi="Times New Roman" w:cs="Times New Roman"/>
          <w:color w:val="000000"/>
          <w:sz w:val="24"/>
          <w:szCs w:val="24"/>
        </w:rPr>
        <w:t xml:space="preserve"> участва като лектор в обучителен семинар на тема: „Трафик на хора: Практики в разследването и преследването. Закрила и подкрепа на жертвите“, организиран от </w:t>
      </w:r>
      <w:r w:rsidRPr="00AA5833">
        <w:rPr>
          <w:rFonts w:ascii="Times New Roman" w:hAnsi="Times New Roman" w:cs="Times New Roman"/>
          <w:noProof/>
          <w:sz w:val="24"/>
          <w:szCs w:val="24"/>
        </w:rPr>
        <w:t>Националната комисия за борба с трафика на хора (НКБТХ)</w:t>
      </w:r>
      <w:r w:rsidRPr="00AA5833">
        <w:rPr>
          <w:rFonts w:ascii="Times New Roman" w:hAnsi="Times New Roman" w:cs="Times New Roman"/>
          <w:color w:val="000000"/>
          <w:sz w:val="24"/>
          <w:szCs w:val="24"/>
        </w:rPr>
        <w:t xml:space="preserve"> и Фондация „Ханс Зайдел“, проведен в гр. Пловдив. </w:t>
      </w:r>
    </w:p>
    <w:p w14:paraId="06A5D377"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eastAsia="Calibri" w:hAnsi="Times New Roman" w:cs="Times New Roman"/>
          <w:color w:val="000000"/>
          <w:sz w:val="24"/>
          <w:szCs w:val="24"/>
        </w:rPr>
        <w:tab/>
        <w:t xml:space="preserve">За противодействие на трафика на хора на национално ниво е изграден цялостен механизъм, в който ГДБОП е </w:t>
      </w:r>
      <w:r w:rsidRPr="00AA5833">
        <w:rPr>
          <w:rFonts w:ascii="Times New Roman" w:eastAsia="Calibri" w:hAnsi="Times New Roman" w:cs="Times New Roman"/>
          <w:sz w:val="24"/>
          <w:szCs w:val="24"/>
        </w:rPr>
        <w:t xml:space="preserve">активен участник съвместно с други държавни институции, работещи активно по проблема – </w:t>
      </w:r>
      <w:r w:rsidRPr="00AA5833">
        <w:rPr>
          <w:rFonts w:ascii="Times New Roman" w:hAnsi="Times New Roman" w:cs="Times New Roman"/>
          <w:noProof/>
          <w:sz w:val="24"/>
          <w:szCs w:val="24"/>
        </w:rPr>
        <w:t>Прокуратурата на Република България (ПРБ)</w:t>
      </w:r>
      <w:r w:rsidRPr="00AA5833">
        <w:rPr>
          <w:rFonts w:ascii="Times New Roman" w:eastAsia="Calibri" w:hAnsi="Times New Roman" w:cs="Times New Roman"/>
          <w:sz w:val="24"/>
          <w:szCs w:val="24"/>
        </w:rPr>
        <w:t xml:space="preserve">, </w:t>
      </w:r>
      <w:r w:rsidRPr="00AA5833">
        <w:rPr>
          <w:rFonts w:ascii="Times New Roman" w:hAnsi="Times New Roman" w:cs="Times New Roman"/>
          <w:sz w:val="24"/>
          <w:szCs w:val="24"/>
        </w:rPr>
        <w:t>НКБТХ, ДАЗД, Министерството на труда и социалната политика, организации от неправителствения сектор и други.</w:t>
      </w:r>
      <w:r w:rsidRPr="00AA5833">
        <w:rPr>
          <w:rFonts w:ascii="Times New Roman" w:hAnsi="Times New Roman" w:cs="Times New Roman"/>
          <w:noProof/>
          <w:sz w:val="24"/>
          <w:szCs w:val="24"/>
        </w:rPr>
        <w:t xml:space="preserve"> </w:t>
      </w:r>
      <w:r w:rsidRPr="00AA5833">
        <w:rPr>
          <w:rFonts w:ascii="Times New Roman" w:hAnsi="Times New Roman" w:cs="Times New Roman"/>
          <w:sz w:val="24"/>
          <w:szCs w:val="24"/>
        </w:rPr>
        <w:t>Оказана е експертна помощ и съдействие при разработването и реализирането на информационни кампании и обучения по темата.</w:t>
      </w:r>
    </w:p>
    <w:p w14:paraId="22AE2990" w14:textId="77777777" w:rsidR="00533926" w:rsidRPr="00AA5833" w:rsidRDefault="00533926" w:rsidP="00533926">
      <w:pPr>
        <w:spacing w:after="0" w:line="240" w:lineRule="auto"/>
        <w:jc w:val="both"/>
        <w:rPr>
          <w:rFonts w:ascii="Times New Roman" w:hAnsi="Times New Roman" w:cs="Times New Roman"/>
          <w:noProof/>
          <w:color w:val="000000"/>
          <w:sz w:val="24"/>
          <w:szCs w:val="24"/>
        </w:rPr>
      </w:pPr>
      <w:r w:rsidRPr="00AA5833">
        <w:rPr>
          <w:rFonts w:ascii="Times New Roman" w:hAnsi="Times New Roman" w:cs="Times New Roman"/>
          <w:noProof/>
          <w:color w:val="000000"/>
          <w:sz w:val="24"/>
          <w:szCs w:val="24"/>
        </w:rPr>
        <w:tab/>
        <w:t xml:space="preserve">Служител на </w:t>
      </w:r>
      <w:r w:rsidRPr="00AA5833">
        <w:rPr>
          <w:rFonts w:ascii="Times New Roman" w:hAnsi="Times New Roman" w:cs="Times New Roman"/>
          <w:noProof/>
          <w:sz w:val="24"/>
          <w:szCs w:val="24"/>
        </w:rPr>
        <w:t xml:space="preserve">ГДБОП </w:t>
      </w:r>
      <w:r w:rsidRPr="00AA5833">
        <w:rPr>
          <w:rFonts w:ascii="Times New Roman" w:hAnsi="Times New Roman" w:cs="Times New Roman"/>
          <w:noProof/>
          <w:color w:val="000000"/>
          <w:sz w:val="24"/>
          <w:szCs w:val="24"/>
        </w:rPr>
        <w:t xml:space="preserve">участва в Постоянната работна група към НКБТХ, както и в изготвянето на годишната „Национална програма за предотвратяване и противодействие на трафика на хора и закрила на жертвите“.  Друг служител е национален експерт в работна група по линия на EMPACT </w:t>
      </w:r>
      <w:r w:rsidRPr="00AA5833">
        <w:rPr>
          <w:rFonts w:ascii="Times New Roman" w:hAnsi="Times New Roman" w:cs="Times New Roman"/>
          <w:noProof/>
          <w:sz w:val="24"/>
          <w:szCs w:val="24"/>
        </w:rPr>
        <w:t>–</w:t>
      </w:r>
      <w:r w:rsidRPr="00AA5833">
        <w:rPr>
          <w:rFonts w:ascii="Times New Roman" w:hAnsi="Times New Roman" w:cs="Times New Roman"/>
          <w:noProof/>
          <w:color w:val="000000"/>
          <w:sz w:val="24"/>
          <w:szCs w:val="24"/>
        </w:rPr>
        <w:t xml:space="preserve"> приоритетна област „Трафик на хора”, където Република България е лидер на оперативна дейност. </w:t>
      </w:r>
    </w:p>
    <w:p w14:paraId="0E7D4F09" w14:textId="77777777" w:rsidR="00533926" w:rsidRPr="00AA5833" w:rsidRDefault="00533926" w:rsidP="00533926">
      <w:pPr>
        <w:tabs>
          <w:tab w:val="left" w:pos="1276"/>
        </w:tabs>
        <w:spacing w:after="0" w:line="240" w:lineRule="auto"/>
        <w:ind w:firstLine="851"/>
        <w:contextualSpacing/>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 xml:space="preserve">През 2024 г., ГДБОП е ко-лидер на дейност „Нелегално комерсиално сурогатство и продажба на бебета“ от Оперативния план за действие на EMPACT, приоритетна област „Трафик на хора“. </w:t>
      </w:r>
    </w:p>
    <w:p w14:paraId="784DB7F3" w14:textId="77777777" w:rsidR="00533926" w:rsidRPr="00AA5833" w:rsidRDefault="00533926" w:rsidP="00533926">
      <w:pPr>
        <w:spacing w:after="0" w:line="240" w:lineRule="auto"/>
        <w:ind w:firstLine="851"/>
        <w:jc w:val="both"/>
        <w:rPr>
          <w:rFonts w:ascii="Times New Roman" w:eastAsia="Calibri" w:hAnsi="Times New Roman" w:cs="Times New Roman"/>
          <w:sz w:val="24"/>
          <w:szCs w:val="24"/>
        </w:rPr>
      </w:pPr>
      <w:r w:rsidRPr="00AA5833">
        <w:rPr>
          <w:rFonts w:ascii="Times New Roman" w:hAnsi="Times New Roman" w:cs="Times New Roman"/>
          <w:sz w:val="24"/>
          <w:szCs w:val="24"/>
        </w:rPr>
        <w:t xml:space="preserve">През 2024 г. </w:t>
      </w:r>
      <w:r w:rsidRPr="00AA5833">
        <w:rPr>
          <w:rFonts w:ascii="Times New Roman" w:eastAsia="Calibri" w:hAnsi="Times New Roman" w:cs="Times New Roman"/>
          <w:sz w:val="24"/>
          <w:szCs w:val="24"/>
        </w:rPr>
        <w:t>е</w:t>
      </w:r>
      <w:r w:rsidRPr="00AA5833">
        <w:rPr>
          <w:rFonts w:ascii="Times New Roman" w:hAnsi="Times New Roman" w:cs="Times New Roman"/>
          <w:sz w:val="24"/>
          <w:szCs w:val="24"/>
        </w:rPr>
        <w:t xml:space="preserve"> оказано</w:t>
      </w:r>
      <w:r w:rsidRPr="00AA5833">
        <w:rPr>
          <w:rFonts w:ascii="Times New Roman" w:eastAsia="Calibri" w:hAnsi="Times New Roman" w:cs="Times New Roman"/>
          <w:sz w:val="24"/>
          <w:szCs w:val="24"/>
        </w:rPr>
        <w:t xml:space="preserve"> съдействие на 67 жертви на трафик на хора да се завърнат на българска територия, като са посрещнати и им е оказана помощ</w:t>
      </w:r>
      <w:r w:rsidRPr="00AA5833">
        <w:rPr>
          <w:rFonts w:ascii="Times New Roman" w:eastAsia="Calibri" w:hAnsi="Times New Roman" w:cs="Times New Roman"/>
          <w:sz w:val="24"/>
          <w:szCs w:val="24"/>
          <w:lang w:bidi="bg-BG"/>
        </w:rPr>
        <w:t xml:space="preserve"> спрямо конкретните нужди</w:t>
      </w:r>
      <w:r w:rsidRPr="00AA5833">
        <w:rPr>
          <w:rFonts w:ascii="Times New Roman" w:eastAsia="Calibri" w:hAnsi="Times New Roman" w:cs="Times New Roman"/>
          <w:sz w:val="24"/>
          <w:szCs w:val="24"/>
        </w:rPr>
        <w:t xml:space="preserve">. </w:t>
      </w:r>
    </w:p>
    <w:p w14:paraId="5896E182"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ДЪРЖАВНА АГЕНЦИЯ ЗА ЗАКРИЛА НА ДЕТЕТО</w:t>
      </w:r>
    </w:p>
    <w:p w14:paraId="2F56185C" w14:textId="77777777" w:rsidR="00533926" w:rsidRPr="00AA5833" w:rsidRDefault="00533926" w:rsidP="00533926">
      <w:pPr>
        <w:spacing w:after="0" w:line="240" w:lineRule="auto"/>
        <w:jc w:val="center"/>
        <w:rPr>
          <w:rFonts w:ascii="Times New Roman" w:eastAsia="Times New Roman" w:hAnsi="Times New Roman" w:cs="Times New Roman"/>
          <w:b/>
          <w:sz w:val="24"/>
          <w:szCs w:val="24"/>
          <w:lang w:eastAsia="bg-BG"/>
        </w:rPr>
      </w:pPr>
    </w:p>
    <w:p w14:paraId="14F15CFD"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През 2024 г. Държавната агенция за закрила на детето активно организира и провежда дейности, свързани с разработването на проект на Национална стратегия за детето 2024 – 2030 г. Регулярно са организирани заседания на работната група и на експертно ниво. Проведени са срещи със заинтересованите страни, включително работодатели, синдикати и неправителствени организации. Обсъдени са предложенията и бележките по проекта. Информация за проекта на стратегическия документ е изпратен на заместник министър-председателя и министър на външните работи за сведение.</w:t>
      </w:r>
    </w:p>
    <w:p w14:paraId="0A89080A"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на документ беше обсъден със Съвета на децата към председателя на ДАЗД и беше подкрепен от всички членове. На заседание на Националния съвет за закрила на детето проектът е единодушно приет. Документацията е изпратена до министъра на труда и социалната политика за внасяне в МС за обществено обсъждане.</w:t>
      </w:r>
    </w:p>
    <w:p w14:paraId="46062EF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tblGrid>
      <w:tr w:rsidR="00533926" w:rsidRPr="00AA5833" w14:paraId="3F6B1EE2"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76449092" w14:textId="77777777" w:rsidR="00533926" w:rsidRPr="00AA5833" w:rsidRDefault="00EF004C" w:rsidP="00533926">
            <w:pPr>
              <w:spacing w:after="0" w:line="240" w:lineRule="auto"/>
              <w:rPr>
                <w:rFonts w:ascii="Times New Roman" w:eastAsia="Times New Roman" w:hAnsi="Times New Roman" w:cs="Times New Roman"/>
                <w:color w:val="000000"/>
                <w:sz w:val="24"/>
                <w:szCs w:val="24"/>
                <w:lang w:eastAsia="bg-BG"/>
              </w:rPr>
            </w:pPr>
            <w:r>
              <w:rPr>
                <w:rFonts w:ascii="Times New Roman" w:eastAsia="Times New Roman" w:hAnsi="Times New Roman" w:cs="Times New Roman"/>
                <w:b/>
                <w:color w:val="000000"/>
                <w:sz w:val="24"/>
                <w:szCs w:val="24"/>
                <w:lang w:eastAsia="bg-BG"/>
              </w:rPr>
              <w:t>10.10. Международно</w:t>
            </w:r>
            <w:r w:rsidR="00533926" w:rsidRPr="00AA5833">
              <w:rPr>
                <w:rFonts w:ascii="Times New Roman" w:eastAsia="Times New Roman" w:hAnsi="Times New Roman" w:cs="Times New Roman"/>
                <w:b/>
                <w:color w:val="000000"/>
                <w:sz w:val="24"/>
                <w:szCs w:val="24"/>
                <w:lang w:eastAsia="bg-BG"/>
              </w:rPr>
              <w:t xml:space="preserve"> сътрудничество в областта на демографските въпроси</w:t>
            </w:r>
          </w:p>
        </w:tc>
      </w:tr>
    </w:tbl>
    <w:p w14:paraId="0B8CA909"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2E3D6515"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ВЪНШНИТЕ РАБОТИ</w:t>
      </w:r>
    </w:p>
    <w:p w14:paraId="045BB3EB" w14:textId="77777777" w:rsidR="00533926" w:rsidRPr="00AA5833" w:rsidRDefault="00533926" w:rsidP="00533926">
      <w:pPr>
        <w:spacing w:after="0" w:line="240" w:lineRule="auto"/>
        <w:jc w:val="both"/>
        <w:rPr>
          <w:rFonts w:ascii="Times New Roman" w:eastAsia="Times New Roman" w:hAnsi="Times New Roman" w:cs="Times New Roman"/>
          <w:b/>
          <w:color w:val="0000FF"/>
          <w:sz w:val="24"/>
          <w:szCs w:val="24"/>
          <w:lang w:eastAsia="bg-BG"/>
        </w:rPr>
      </w:pPr>
    </w:p>
    <w:p w14:paraId="4D11F751"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10.10.1. Развитие на сътрудничеството за изпълнение на Дневния ред на ООН 2030 и Целите за устойчиво развитие на глобално, регионално и национално ниво, в които демографските предизвикателства и преодоляване на неравенствата са важен аспект.</w:t>
      </w:r>
    </w:p>
    <w:p w14:paraId="4549BA10"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3873D746"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През 2024 г. МВнР оказваше текущо съдействие по компетентност за осъществяване на българско участие в събития и инициативи на ООН и предоставяне на актуална информация относно Целите на ООН за устойчиво развитие и Дневен ред 2030 </w:t>
      </w:r>
      <w:r w:rsidRPr="00AA5833">
        <w:rPr>
          <w:rFonts w:ascii="Times New Roman" w:eastAsia="Calibri" w:hAnsi="Times New Roman" w:cs="Times New Roman"/>
          <w:sz w:val="24"/>
          <w:szCs w:val="24"/>
        </w:rPr>
        <w:lastRenderedPageBreak/>
        <w:t xml:space="preserve">по въпроси, свързани с демографията като хоризонтален въпрос, в контекста на устойчивото развитие. </w:t>
      </w:r>
    </w:p>
    <w:p w14:paraId="4F165BA4"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Акцентите на демографските въпроси бяха свързани с 30-ата годишнина от Международната конференция за населението и развитието 1994 г. в Кайро, както и както и 30-ата годишнина от Пекинската декларация и Платформа за действие, 1995 г., две важни събития, разглеждани в контекста на изпълнението на  Дневния ред на ООН до 2030. </w:t>
      </w:r>
    </w:p>
    <w:p w14:paraId="27C679CC"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МВнР проследява с внимание  и участва с делегация и национално изказване в 57-ата сесия на Комисията на ООН по население и развитие, фокусирана към изпълнението на Програмата за действие на Международната конференция за населението и развитието и нейният принос за последващите действия и прегледа на Програмата за устойчиво развитие до 2030 г. през десетилетието на действия и резултати за устойчиво развитие. </w:t>
      </w:r>
    </w:p>
    <w:p w14:paraId="043B4B1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Дипломатите от ПП Ню Йорк участваха в Годишната сесия на Съвместния изпълнителен съвет на ПРООН/ФООНН/ЮНОПС, която разглежда важни въпроси на населението и развитието и дава принос към принципа „Да не бъде никой пренебрегнат“ (LNOB) като централен трансформиращ принцип на ДРР и ЦУР. България участва в Изпълнителния съвет на УНИЦЕФ, ООН-Жени и Световната продоволствена програма и дава принос към интегрирания подход към устойчиви инвестиции в хората и планетата с фокус към предизвикателствата на климатичните промени.</w:t>
      </w:r>
    </w:p>
    <w:p w14:paraId="71BBC1B6"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България участва в Политическия форум на високо равнище с делегация, ръководена от  заместник-министър Невяна Митева, като беше поставен акцент на участието ни в Министерския сегмент с национално изказване, в съпътстващо събитие по прехраната, бяха проведени редица срещи, в. т.ч. и със заместник-изпълнителния директор на Фонда на ООН за населението, на които беше потвърден ангажимента на страната ни за изпълнение на ДРР2030. Форумът прие Политическа декларация, която препотвърди значимостта на Дневен ред 2030 като основна пътна карта за устойчиво развитие, както и необходимостта от засилен мултилатерализъм и глобална солидарност за постигане на прогрес в изпълнението на ЦУР и ДРР.</w:t>
      </w:r>
    </w:p>
    <w:p w14:paraId="4B034A98"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България участва и проследява с повишен интерес форумите на Икономическата комисия на ООН за Европа (ИКЕ на ООН), свързани с устойчивото развитие и демографията като хоризонтален въпрос, които предоставят платформа за споделяне на добри практики, анализиране на проблемите, отговор на предизвикателствата и развитието.</w:t>
      </w:r>
    </w:p>
    <w:p w14:paraId="58517D36"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Регионалният форум по устойчиво развитие за региона на ИКЕ на ООН е важно ежегодно събитие, в което България традиционно участва с повишено внимание към акцентите на демографските предизвикателства. Поставихме акцент на ЦУР 2 за преодоляване на глада, постигане на сигурност на прехраната и насърчаване на устойчиво селско стопанство с участието на представители на МЗХ. Регионалният форум предлага възможности за обмен и партньорско споделяне как да се ускори напредъкът по ЦУР в контекста на проблемите  в регионален и глобален аспект.</w:t>
      </w:r>
    </w:p>
    <w:p w14:paraId="493D7235"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октомври 2024 г. България участва в Регионалния преглед (Пекин+30), представи Национален доклад за напредъка, което даде видимост на приноса ни към изпълнението на Пекинската декларация и платформа за действие, отбеляза приемственост и подкрепа към важността на Регионалните прегледи.</w:t>
      </w:r>
    </w:p>
    <w:p w14:paraId="5553432E"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76451313" w14:textId="77777777" w:rsidR="00533926" w:rsidRPr="00AA5833" w:rsidRDefault="00533926" w:rsidP="00533926">
      <w:pPr>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ВЪНШНИТЕ РАБОТИ</w:t>
      </w:r>
    </w:p>
    <w:p w14:paraId="52F9B829"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511AEB43" w14:textId="77777777" w:rsidR="00533926" w:rsidRPr="00AA5833" w:rsidRDefault="00533926" w:rsidP="00533926">
      <w:pPr>
        <w:spacing w:after="0" w:line="240" w:lineRule="auto"/>
        <w:jc w:val="both"/>
        <w:rPr>
          <w:rFonts w:ascii="Times New Roman" w:eastAsia="Calibri" w:hAnsi="Times New Roman" w:cs="Times New Roman"/>
          <w:b/>
          <w:sz w:val="24"/>
          <w:szCs w:val="24"/>
        </w:rPr>
      </w:pPr>
      <w:r w:rsidRPr="00AA5833">
        <w:rPr>
          <w:rFonts w:ascii="Times New Roman" w:eastAsia="Calibri" w:hAnsi="Times New Roman" w:cs="Times New Roman"/>
          <w:b/>
          <w:sz w:val="24"/>
          <w:szCs w:val="24"/>
        </w:rPr>
        <w:t xml:space="preserve">10.10.2. Развитие и обогатяване на сътрудничеството с Фонда на ООН за население по приоритетни за България и Фонда въпроси като демография, равни </w:t>
      </w:r>
      <w:r w:rsidRPr="00AA5833">
        <w:rPr>
          <w:rFonts w:ascii="Times New Roman" w:eastAsia="Calibri" w:hAnsi="Times New Roman" w:cs="Times New Roman"/>
          <w:b/>
          <w:sz w:val="24"/>
          <w:szCs w:val="24"/>
        </w:rPr>
        <w:lastRenderedPageBreak/>
        <w:t>възможности, сексуално и репродуктивно здраве, младежки политики, подобряване на диалога и взаимодействието в национален, регионален и</w:t>
      </w:r>
      <w:r w:rsidRPr="00AA5833">
        <w:rPr>
          <w:b/>
        </w:rPr>
        <w:t xml:space="preserve"> </w:t>
      </w:r>
      <w:r w:rsidRPr="00AA5833">
        <w:rPr>
          <w:rFonts w:ascii="Times New Roman" w:eastAsia="Calibri" w:hAnsi="Times New Roman" w:cs="Times New Roman"/>
          <w:b/>
          <w:sz w:val="24"/>
          <w:szCs w:val="24"/>
        </w:rPr>
        <w:t>глобален план в контекста на устойчивото развитие, ICPD +30, ПДПД - Пекин + 30.</w:t>
      </w:r>
    </w:p>
    <w:p w14:paraId="10C05889" w14:textId="77777777" w:rsidR="00533926" w:rsidRPr="00AA5833" w:rsidRDefault="00533926" w:rsidP="00533926">
      <w:pPr>
        <w:spacing w:after="0" w:line="240" w:lineRule="auto"/>
        <w:jc w:val="both"/>
        <w:rPr>
          <w:rFonts w:ascii="Times New Roman" w:eastAsia="Calibri" w:hAnsi="Times New Roman" w:cs="Times New Roman"/>
          <w:sz w:val="24"/>
          <w:szCs w:val="24"/>
        </w:rPr>
      </w:pPr>
    </w:p>
    <w:p w14:paraId="3E114886"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Сред основните акценти на международното сътрудничество по демографски въпроси е партньорството ни в сферата на приоритетите на България и компетентност на Фонда на ООН за населението на регионално и глобално ниво. </w:t>
      </w:r>
    </w:p>
    <w:p w14:paraId="381824D5"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МВнР допринася за развитие и обогатяване на сътрудничеството с Фонда на ООН за население по приоритетни за България и Фонда въпроси като демография, равни възможности, сексуално и репродуктивно здраве, подобряване на диалога и взаимодействието в национален, регионален и глобален план в контекста на устойчивото развитие и ангажиментите от Кайро, Найроби (ICPD) и София (Министерска конференция по демографска устойчивост, София 2021). </w:t>
      </w:r>
    </w:p>
    <w:p w14:paraId="1149C54A"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През последните години България има отлично сътрудничество с ФООНН, което повишава видимостта на страната ни и приноса ни по проблемите на демографията. Организираме и провеждаме съвместни инициативи и паралелни събития в рамките на големите форуми на ООН. </w:t>
      </w:r>
      <w:bookmarkStart w:id="20" w:name="_Hlk201675168"/>
      <w:r w:rsidRPr="00AA5833">
        <w:rPr>
          <w:rFonts w:ascii="Times New Roman" w:eastAsia="Calibri" w:hAnsi="Times New Roman" w:cs="Times New Roman"/>
          <w:sz w:val="24"/>
          <w:szCs w:val="24"/>
        </w:rPr>
        <w:t>Сред акцентите по демографските въпроси в контекста на устойчивото развитие е изпълнението на посланията от Кайро и Найроби, ICPD +30, както и Пекин + 30.</w:t>
      </w:r>
    </w:p>
    <w:bookmarkEnd w:id="20"/>
    <w:p w14:paraId="56226D6A"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През 2024 г. по покана на Фонда на ООН за населението (ФООНН), България беше съ-домакин на Втория Глобален диалог по демографското разнообразие (Дака, 15-16 май 2024 г.), организиран от ФООНН и домакинстван съвместно от Бангладеш, България и Япония. Поканата към България за това глобално честване на ICPD30 е признание за отличното ни сътрудничество с ФООНН, както и за ролята, която страната ни има в разработването на политики, споделянето на добри практики и опит по въпросите на демографията в контекста на Дневен ред 2030 както в региона на Европа, така и на глобално равнище.</w:t>
      </w:r>
    </w:p>
    <w:p w14:paraId="01CC6AEE" w14:textId="77777777" w:rsidR="00533926" w:rsidRPr="00AA5833" w:rsidRDefault="00533926" w:rsidP="00533926">
      <w:pPr>
        <w:spacing w:after="0" w:line="240" w:lineRule="auto"/>
        <w:jc w:val="both"/>
        <w:rPr>
          <w:rFonts w:ascii="Times New Roman" w:eastAsia="Calibri" w:hAnsi="Times New Roman" w:cs="Times New Roman"/>
          <w:sz w:val="24"/>
          <w:szCs w:val="24"/>
        </w:rPr>
      </w:pPr>
      <w:bookmarkStart w:id="21" w:name="_Hlk201671100"/>
      <w:r w:rsidRPr="00AA5833">
        <w:rPr>
          <w:rFonts w:ascii="Times New Roman" w:eastAsia="Calibri" w:hAnsi="Times New Roman" w:cs="Times New Roman"/>
          <w:sz w:val="24"/>
          <w:szCs w:val="24"/>
        </w:rPr>
        <w:tab/>
        <w:t>Сътрудничеството ни с Фонда дава видимост на  приноса  и усилията на България, свързани с водещата роля на страната ни по демографската устойчивост и инициативите с международно значение, обявени от Софийската конференция: Декада за демографската устойчивост, 2022-2032 и Софийски Алианс – платформа за обмен на опит и добри практики и политики по отношение на демографските въпроси.</w:t>
      </w:r>
    </w:p>
    <w:p w14:paraId="1A2EE3C3"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Първата по рода си, Софийската конференция по демографската устойчивост „Да изградим демографското бъдеще на Европа: „Пътища на обществата за просперитет в свят на бърза демографска промяна“ получи силен международен отзвук и референции от ФООНН и в проведените международни форуми през 2024 г. </w:t>
      </w:r>
    </w:p>
    <w:p w14:paraId="13E46545" w14:textId="77777777" w:rsidR="00533926" w:rsidRPr="00AA5833" w:rsidRDefault="00533926" w:rsidP="00533926">
      <w:pPr>
        <w:spacing w:after="0" w:line="240" w:lineRule="auto"/>
        <w:jc w:val="both"/>
        <w:rPr>
          <w:rFonts w:ascii="Times New Roman" w:eastAsia="Calibri" w:hAnsi="Times New Roman" w:cs="Times New Roman"/>
          <w:sz w:val="24"/>
          <w:szCs w:val="24"/>
        </w:rPr>
      </w:pPr>
      <w:r w:rsidRPr="00AA5833">
        <w:rPr>
          <w:rFonts w:ascii="Times New Roman" w:eastAsia="Calibri" w:hAnsi="Times New Roman" w:cs="Times New Roman"/>
          <w:sz w:val="24"/>
          <w:szCs w:val="24"/>
        </w:rPr>
        <w:tab/>
        <w:t xml:space="preserve">Конференцията постави акцент на демографските предизвикателства и превръщането им във възможност, дава видимост на приноса на България за обединяване на усилията на заинтересованите страни за изпълнение на Дневен ред на ООН 2030 и Целите за устойчиво развитие на глобално, регионално и национално ниво.  </w:t>
      </w:r>
    </w:p>
    <w:bookmarkEnd w:id="21"/>
    <w:p w14:paraId="3C0DBFBD" w14:textId="77777777" w:rsidR="00533926" w:rsidRPr="00AA5833" w:rsidRDefault="00533926" w:rsidP="00533926">
      <w:pPr>
        <w:spacing w:after="0" w:line="240" w:lineRule="auto"/>
        <w:jc w:val="both"/>
        <w:rPr>
          <w:rFonts w:ascii="Times New Roman" w:eastAsia="Calibri"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632E95E3"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00CC99"/>
            <w:hideMark/>
          </w:tcPr>
          <w:p w14:paraId="76818DEC"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Г. Приоритет ІV. Ограничаване на диспропорциите в териториалното разпределение на населението и обезлюдяването в някои региони и селата</w:t>
            </w:r>
          </w:p>
        </w:tc>
      </w:tr>
    </w:tbl>
    <w:p w14:paraId="0D3908C0" w14:textId="77777777" w:rsidR="00533926" w:rsidRPr="00AA5833" w:rsidRDefault="00533926" w:rsidP="00533926">
      <w:pPr>
        <w:spacing w:after="0" w:line="240" w:lineRule="auto"/>
        <w:jc w:val="both"/>
        <w:rPr>
          <w:rFonts w:ascii="Times New Roman"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3EBB558"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33"/>
            <w:hideMark/>
          </w:tcPr>
          <w:p w14:paraId="601154B6"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eastAsia="Times New Roman" w:hAnsi="Times New Roman" w:cs="Times New Roman"/>
                <w:b/>
                <w:color w:val="000000"/>
                <w:sz w:val="24"/>
                <w:szCs w:val="24"/>
              </w:rPr>
              <w:t>Направление 11 – Ограничаване на диспропорциите в териториалното разпределение на населението и обезлюдяването в някои региони и селата</w:t>
            </w:r>
          </w:p>
        </w:tc>
      </w:tr>
    </w:tbl>
    <w:p w14:paraId="5498A1AC" w14:textId="77777777" w:rsidR="00533926" w:rsidRPr="00AA5833" w:rsidRDefault="00533926" w:rsidP="00533926">
      <w:pPr>
        <w:spacing w:after="0" w:line="240" w:lineRule="auto"/>
        <w:jc w:val="both"/>
        <w:rPr>
          <w:rFonts w:ascii="Times New Roman"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6DF6866D"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7E7F1FDE" w14:textId="77777777" w:rsidR="00533926" w:rsidRPr="00AA5833" w:rsidRDefault="00533926" w:rsidP="00533926">
            <w:pPr>
              <w:spacing w:after="0" w:line="240" w:lineRule="auto"/>
              <w:jc w:val="both"/>
              <w:rPr>
                <w:rFonts w:ascii="Times New Roman" w:eastAsia="Times New Roman" w:hAnsi="Times New Roman" w:cs="Times New Roman"/>
                <w:sz w:val="24"/>
                <w:szCs w:val="24"/>
              </w:rPr>
            </w:pPr>
            <w:r w:rsidRPr="00AA5833">
              <w:rPr>
                <w:rFonts w:ascii="Times New Roman" w:eastAsia="Times New Roman" w:hAnsi="Times New Roman" w:cs="Times New Roman"/>
                <w:b/>
                <w:color w:val="000000"/>
                <w:sz w:val="24"/>
                <w:szCs w:val="24"/>
                <w:lang w:eastAsia="bg-BG"/>
              </w:rPr>
              <w:t>11.1. Намаляване на регионалните диспропорции чрез децентрализация и създаване на регионален капацитет за динамично икономическо развитие</w:t>
            </w:r>
          </w:p>
        </w:tc>
      </w:tr>
    </w:tbl>
    <w:p w14:paraId="258FEA5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p>
    <w:p w14:paraId="1D1D4D3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lastRenderedPageBreak/>
        <w:t xml:space="preserve">МИНИСТЕРСТВО НА РЕГИОНАЛНОТО РАЗВИТИЕ И БЛАГОУСТРОЙСТВОТО, </w:t>
      </w:r>
    </w:p>
    <w:p w14:paraId="08271EE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ОПЕРАТИВНА ПРОГРАМА „РЕГИОНИ В Растеж“ 2014-2020</w:t>
      </w:r>
    </w:p>
    <w:p w14:paraId="5FD85B8D" w14:textId="77777777" w:rsidR="00533926" w:rsidRPr="00AA5833" w:rsidRDefault="00533926" w:rsidP="00533926">
      <w:pPr>
        <w:spacing w:after="0" w:line="240" w:lineRule="auto"/>
        <w:jc w:val="center"/>
        <w:rPr>
          <w:rFonts w:ascii="Times New Roman" w:eastAsia="Times New Roman" w:hAnsi="Times New Roman" w:cs="Times New Roman"/>
          <w:b/>
          <w:caps/>
          <w:sz w:val="24"/>
          <w:szCs w:val="24"/>
          <w:lang w:eastAsia="bg-BG"/>
        </w:rPr>
      </w:pPr>
    </w:p>
    <w:p w14:paraId="0A3D2AC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Териториалният фокус на оперативна програма „Региони в растеж“ 2014-2020 г. (ОПРР 2014-2020) следва формулирания в Националната концепция за пространствено развитие полицентричен модел на развитие на мрежата от градове в Република България, който включва мрежа от 67 конкретни големи, средни и малки градове, равномерно разположени по територията на страната. С предвидената подкрепа за инвестиции в градовете, ОПРР 2014-2020 допринася за по-равномерно териториално разпределение на населението, оптимизиране на концентрацията на населението в столицата и някои по-големи областни центрове и за постигане на основната стратегическа цел на Националната стратегия за демографско развитие на Република България 2012 - 2030 г. за забавяне темповете на намаляване на броя на населението с тенденция за стабилизирането му в дългосрочен план и осигуряване на високо качество на човешкия капитал. </w:t>
      </w:r>
    </w:p>
    <w:p w14:paraId="67A000F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Основният фокус на ОПРР 2014-2020 е насочен към провеждане на целенасочена политика за устойчиво и интегрирано градско развитие в 39 големи и средно големи градове по Приоритетна ос 1 „Устойчиво и интегрирано градско развитие“ с финансов ресурс в размер на 1.501 млрд. лв. Инвестициите за градско развитие са в изпълнение на одобрените Интегрирани планове за градско възстановяване и развитие на 39-те градове и са насочени към реализиране по координиран и интегриран начин на мерки за обновяване на градски пространства, съчетани с мерки за модернизация на образователна инфраструктура, социални жилища, социална инфраструктура, спортни съоръжения и подкрепа за културни институции като читалища, театри, опери, музеи, галерии и др. Мерките включват още енергийна ефективност в жилищни сгради, студентски общежития и публични административни сгради, мерки за насърчаване на частните инвестиции в зони с потенциал за икономическо развитие в тези градове, както и интегрирани проекти за устойчив градски транспорт.</w:t>
      </w:r>
    </w:p>
    <w:p w14:paraId="005205A9"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Подкрепата за останалите 28 малки градове на страната, част от полицентричния модел за развитие на територията, се реализира по Приоритетна ос 2 „Подкрепа за енергийна ефективност в опорни центрове в периферни райони“ на програмата. Инвестициите са насочени към прилагане на мерки за енергийна ефективност в жилищни и в административни сгради на държавната и общинската администрация и в общински сгради на социалната, културната и образователната инфраструктура в тези градове. С предвидената подкрепа се подпомага малкият и средният бизнес, повишаването на енергийна ефективност на сградите и намаляване на вредното въздействие върху околната среда, а като краен резултат ще се постигне подобряване на условията за живот на техните жители, създаване на икономически потенциал за привличане на инвестиции, създаване на заетост и намаляване на вътрешната и външната миграция от населените места.</w:t>
      </w:r>
    </w:p>
    <w:p w14:paraId="65AFD685"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 изпълнението на мерки за финансиране на инфраструктурни инвестиции за подобряване на свързаността и достъпността на населените места, развитие на базова инфраструктура, насочена към бизнеса, подобряване на градската среда и на туристическата конкурентоспособност се допринася за цялостно подобряване на средата за развитие на бизнеса и насърчаване на икономическата активност в регионите на страната. Продължават инвестициите в мерките за подобряване на енергийната ефективност в жилищния сектор, както и в административни сгради на държавната и общинска администрация, финансирани по Оперативна програма „Региони в растеж“ 2014-2020. Освен приноса към решаването на проблемите, свързани с ниските равнища </w:t>
      </w:r>
      <w:r w:rsidRPr="00AA5833">
        <w:rPr>
          <w:rFonts w:ascii="Times New Roman" w:eastAsia="Times New Roman" w:hAnsi="Times New Roman" w:cs="Times New Roman"/>
          <w:sz w:val="24"/>
          <w:szCs w:val="24"/>
          <w:lang w:eastAsia="bg-BG"/>
        </w:rPr>
        <w:lastRenderedPageBreak/>
        <w:t>на енергийна ефективности и високите въглеродни емисии в дългосрочен аспект се цели повишаване на качеството на живота, подобряване на публичните услуги, с оглед по-добро обслужване на населението в периферните райони и запазване и надграждане на съществуващите административни услуги. Интервенциите допринасят за постигането на целите на енергийната политика на Република България, като част от по-широкия комплекс от мерки, които трябва да бъдат взети за смекчаване на процесите на упадък и емиграция на населението от малките градове и съседните им селски райони.</w:t>
      </w:r>
    </w:p>
    <w:p w14:paraId="25C59A04"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Чрез подкрепа за инвестиции в мерки за развитие на интегриран градски транспорт със средства от ЕФРР се цели да се подобри качеството на въздуха в градовете и да се повиши енергийната ефективност в транспортния сектор като част от общата политика за енергийна ефективност.</w:t>
      </w:r>
    </w:p>
    <w:p w14:paraId="28B24A52"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В подкрепа на политиката за осигуряване на приобщаващо образование и намаляване на преждевременно напусналите училище се изпълняват инфраструктурни мерки и доставка на оборудване и обзавеждане на образователни институции (детски ясли и градини, основни и средни училища). Една от основните цели е да се подобри достъпът до предучилищно образование и да се улесни преходът към целодневна образователна система в училищата. </w:t>
      </w:r>
    </w:p>
    <w:p w14:paraId="5AD9EE79"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 изпълнението на мерките за модернизиране на инфраструктурата на висшите училища се създават предпоставки за модерно и съобразено с търсенето на пазара на труда образование. Модернизираната инфраструктура допринася за цялостно повишаване на привлекателността на висшето образование и впоследствие постигане на по-висок дял на хора с висше образование. Подкрепата на политиката за развитие на висшето образование е от национално значение и ефектът от реализираните инфраструктурни инвестиции оказва въздействие върху цялостното социално-икономическо развитие на страната.</w:t>
      </w:r>
    </w:p>
    <w:p w14:paraId="759E8B1E"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Подкрепата по ОПРР 2014-2020 за изграждане на социални жилища за уязвими групи от населението има за цел осигуряване на подслон и достъп до качествена среда за живот на поносими цени, като инфраструктурните мерки по ОПРР се комбинират с меки мерки по ОПРЧР за активно приобщаване към пазара на труда, образователната и здравна грижа за представителите на целевите групи. </w:t>
      </w:r>
    </w:p>
    <w:p w14:paraId="5E4C0511"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 инвестициите в инфраструктура за деинституционализация на грижите за деца и възрастни по ОПРР 2014-2020 се продължава реформата за замяна на институционалния модел на грижа в семейството или в близка до семейната среда в общността. </w:t>
      </w:r>
    </w:p>
    <w:p w14:paraId="256B5117"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Модернизацията на националната система за спешна медицинска помощ, стартирала в края на 2018 г., цели да се осигури равен достъп на цялото население до спешна медицинска помощ, съответстваща на най-добрите европейски практики и изисквания за своевременност, достатъчност, качество и безопасност.</w:t>
      </w:r>
    </w:p>
    <w:p w14:paraId="2112B91F" w14:textId="77777777" w:rsidR="00533926" w:rsidRPr="00AA5833" w:rsidRDefault="00533926" w:rsidP="00533926">
      <w:pPr>
        <w:spacing w:after="0" w:line="240" w:lineRule="auto"/>
        <w:ind w:firstLine="708"/>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Заложените по ОПРР 2014-2020 мерки кореспондират в пълна степен с нуждите от подобряване на достъпа до жилище на уязвимите групи и за постигането на националните цели за предотвратяване на бедност, социално включване на населението и подобряване на достъпа до социални услуги. Обхватът на въздействие на мерките по ОПРР 2014-2020 г. е на национално, регионално и общинско/местно ниво, като мерките по ОПРР 2014-2020 г. следва да се отчетат като изпълнени.</w:t>
      </w:r>
    </w:p>
    <w:p w14:paraId="6654A4F7"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Планираните за изпълнение мерки по Програма „Развитие на регионите“ 2021-2027 г. (ПРР) надграждат резултатите, постигнати по ОПРР 2014-2020 г. ПРР прилага нов интегриран териториален подход</w:t>
      </w:r>
      <w:r w:rsidRPr="00AA5833">
        <w:t xml:space="preserve"> </w:t>
      </w:r>
      <w:r w:rsidRPr="00AA5833">
        <w:rPr>
          <w:rFonts w:ascii="Times New Roman" w:eastAsia="Times New Roman" w:hAnsi="Times New Roman" w:cs="Times New Roman"/>
          <w:bCs/>
          <w:sz w:val="24"/>
          <w:szCs w:val="24"/>
          <w:lang w:eastAsia="bg-BG"/>
        </w:rPr>
        <w:t>по двата основни приоритета на програмата чрез изпълнението на интегрирани териториални инвестиции (ИТИ), като изпълнението му се реализира в две основни фази:</w:t>
      </w:r>
    </w:p>
    <w:p w14:paraId="5849753D" w14:textId="77777777" w:rsidR="00533926" w:rsidRPr="00AA5833" w:rsidRDefault="00533926" w:rsidP="002A598C">
      <w:pPr>
        <w:numPr>
          <w:ilvl w:val="0"/>
          <w:numId w:val="78"/>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lastRenderedPageBreak/>
        <w:t>Фаза 1: Подбор на проектни идеи/концепции за ИТИ от съответния териториалния орган;</w:t>
      </w:r>
    </w:p>
    <w:p w14:paraId="15239960" w14:textId="77777777" w:rsidR="00533926" w:rsidRPr="00AA5833" w:rsidRDefault="00533926" w:rsidP="002A598C">
      <w:pPr>
        <w:numPr>
          <w:ilvl w:val="0"/>
          <w:numId w:val="78"/>
        </w:numPr>
        <w:spacing w:after="0" w:line="240" w:lineRule="auto"/>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Фаза 2: Провеждане на процедура за директно предоставяне на БФП (оценка на проектни предложения) от Управляващия орган (УО) на ПРР.</w:t>
      </w:r>
    </w:p>
    <w:p w14:paraId="11BFC72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Към отчетния период е финализирана фаза 1 по Приоритет 1 „Интегрирано градско развитие“ и по Приоритет 2 „Интегрирано териториално развитие на регионите“ </w:t>
      </w:r>
    </w:p>
    <w:p w14:paraId="0547DD64"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През четвърто тримесечие на 2024 г. стартира фаза 2 по двата приоритета, като бяха обявени процедури за директно предоставяне на безвъзмездна финансова помощ, в съответствие с изискванията на програмата. В тази връзка към  31.12.2024 г. не могат да бъдат отчетени конкретни резултати по предложените от ГД СППРР индикатори за изпълнението на мерките, поради сложния двуфазен механизъм за изпълнение на програмата. След извършен анализ на резултатите от представените концепции (Фаза 1 на Приоритет 2) ще бъде обявена 2-ра покана за подаване на Концепции за интегрирани териториални инвестиции, която ще бъде насочена към здравна, образователна, социална, инфраструктура и жилищно настаняване. Поканата се очаква да бъде отворена през месец април 2025 г. </w:t>
      </w:r>
    </w:p>
    <w:p w14:paraId="3104FDF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7901F9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5F18871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4B02A59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11.1.1. Подобряване на общинска образователна инфраструктура от местно значение в рамките на интегрираните планове за градско възстановяване и развитие на 39 града</w:t>
      </w:r>
    </w:p>
    <w:p w14:paraId="3F985D5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3419C4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i/>
          <w:sz w:val="24"/>
          <w:szCs w:val="24"/>
        </w:rPr>
      </w:pPr>
      <w:r w:rsidRPr="00AA5833">
        <w:rPr>
          <w:rFonts w:ascii="Times New Roman" w:hAnsi="Times New Roman" w:cs="Times New Roman"/>
          <w:i/>
          <w:sz w:val="24"/>
          <w:szCs w:val="24"/>
        </w:rPr>
        <w:t>(виж мярка 11.1.7.)</w:t>
      </w:r>
    </w:p>
    <w:p w14:paraId="17147F06" w14:textId="77777777" w:rsidR="002E676E" w:rsidRDefault="002E676E"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p>
    <w:p w14:paraId="0859C40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76C0FE0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4DE3E1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11.1.2. Подобряване на общинска социална инфраструктура в рамките на интегрираните планове за градско възстановяване и развитие на 39 града</w:t>
      </w:r>
    </w:p>
    <w:p w14:paraId="3CFFDED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3F143DE3"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i/>
          <w:sz w:val="24"/>
          <w:szCs w:val="24"/>
        </w:rPr>
      </w:pPr>
      <w:r w:rsidRPr="00AA5833">
        <w:rPr>
          <w:rFonts w:ascii="Times New Roman" w:hAnsi="Times New Roman" w:cs="Times New Roman"/>
          <w:i/>
          <w:sz w:val="24"/>
          <w:szCs w:val="24"/>
        </w:rPr>
        <w:t>(виж мярка 11.1.8.)</w:t>
      </w:r>
    </w:p>
    <w:p w14:paraId="0697034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A64D3F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3925890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06652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11.1.3. Подобряване на културна и спортна инфраструктура и индустриални зони в рамките на интегрираните планове за градско възстановяване и развитие на 39 града </w:t>
      </w:r>
    </w:p>
    <w:p w14:paraId="4064397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FFCE357"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 xml:space="preserve">Мярката е изпълнена. Мярката, насочена към развитие на базова техническа инфраструктура в зони за въздействие с потенциал за икономическо развитие от Интегрирани планове за градско възстановяване и развитие (ИПГВР), свързани с подобряване на условията за икономическа активност, надграждане, реконструкция и строителство на техническа инфраструктура, свързана с бизнеса и предприемачеството се изпълнява по Приоритетна ос 1 „Устойчиво и интегрирано градско развитие“. </w:t>
      </w:r>
    </w:p>
    <w:p w14:paraId="03AA766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color w:val="000000"/>
          <w:sz w:val="24"/>
          <w:szCs w:val="24"/>
        </w:rPr>
      </w:pPr>
      <w:r w:rsidRPr="00AA5833">
        <w:rPr>
          <w:rFonts w:ascii="Times New Roman" w:hAnsi="Times New Roman" w:cs="Times New Roman"/>
          <w:color w:val="000000"/>
          <w:sz w:val="24"/>
          <w:szCs w:val="24"/>
        </w:rPr>
        <w:tab/>
        <w:t>Към 31.12.2024 г. са изпълнени 5 договора за финансиране на икономически зони на обща стойност 27,9 млн. лева и 33 проекта, включващи обекти на културната инфраструктура на стойност 81,7 млн. лева. Постигнати са 168 814,95 кв.м.</w:t>
      </w:r>
    </w:p>
    <w:p w14:paraId="3D8CC8D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D02039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3150EB76"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865D06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11.1.4. Подобряване на градска среда в рамките на интегрираните планове за градско възстановяване и развитие на 39 града </w:t>
      </w:r>
    </w:p>
    <w:p w14:paraId="44F8E4A5"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B6876F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е изпълнена. Към 2024 г. са изпълнени </w:t>
      </w:r>
      <w:r w:rsidRPr="00AA5833">
        <w:rPr>
          <w:rFonts w:ascii="Times New Roman" w:eastAsia="Times New Roman" w:hAnsi="Times New Roman" w:cs="Times New Roman"/>
          <w:b/>
          <w:sz w:val="24"/>
          <w:szCs w:val="24"/>
          <w:lang w:eastAsia="bg-BG"/>
        </w:rPr>
        <w:t>63</w:t>
      </w:r>
      <w:r w:rsidRPr="00AA5833">
        <w:rPr>
          <w:rFonts w:ascii="Times New Roman" w:eastAsia="Times New Roman" w:hAnsi="Times New Roman" w:cs="Times New Roman"/>
          <w:sz w:val="24"/>
          <w:szCs w:val="24"/>
          <w:lang w:eastAsia="bg-BG"/>
        </w:rPr>
        <w:t xml:space="preserve"> проекта на стойност 337,5 млн. лева по Приоритетна ос 1 „Устойчиво и интегрирано градско развитие“ по мярката, насочена към подобряване на качеството на градската среда чрез изграждане и възстановяване на елементи на градската среда. Постигнатият резултат е 5 167 417,12 кв.м.</w:t>
      </w:r>
    </w:p>
    <w:p w14:paraId="11A9BB1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77AA8B6"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77A71BA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0DD48E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11.1.5. Подобряване на енергийната ефективност в административни сгради на държавната и общинската администрация в рамките на интегрираните планове за градско възстановяване и развитие на 39 града</w:t>
      </w:r>
    </w:p>
    <w:p w14:paraId="2441F75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11B9C9E0"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i/>
          <w:sz w:val="24"/>
          <w:szCs w:val="24"/>
        </w:rPr>
      </w:pPr>
      <w:r w:rsidRPr="00AA5833">
        <w:rPr>
          <w:rFonts w:ascii="Times New Roman" w:hAnsi="Times New Roman" w:cs="Times New Roman"/>
          <w:i/>
          <w:sz w:val="24"/>
          <w:szCs w:val="24"/>
        </w:rPr>
        <w:t>(виж мярка 11.1.6.)</w:t>
      </w:r>
    </w:p>
    <w:p w14:paraId="1F825BFC" w14:textId="77777777" w:rsidR="00EA3959" w:rsidRDefault="00EA3959"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p>
    <w:p w14:paraId="670FA291"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5DDC949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23CCDE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11.1.6. Подобряване на енергийната ефективност в административни сгради на държавната и общинската администрация и общински публични сгради на образователната, културната и социалната инфраструктура в 28 града</w:t>
      </w:r>
    </w:p>
    <w:p w14:paraId="21B4E6F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40DAB42"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Мерките са изпълнени. Мерките имат за цел повишаване на енергийната ефективност и намаляване на вредните емисии в атмосферата, изпълнявани по Приоритетна ос 1 „Устойчиво и интегрирано градско развитие“ и Приоритетна ос 2 „Подкрепа на енергийната ефективност в опорни центрове в периферните райони“. </w:t>
      </w:r>
    </w:p>
    <w:p w14:paraId="0B6FE3CA"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Към 2024 г. по Приоритетна ос 1 са сключени 15 ДБФП за подобряване на системите на градския транспорт на обща стойност 218,6 млн. лв. и 56 ДБФП за енергийна ефективност в жилищни и административни сгради на обща стойност 92 млн. лв. Приключили са 70 проекта на стойност 309,1 млн. лева. Постигнатият резултат е 30 127 276,27 kWh/година и 3 510</w:t>
      </w:r>
      <w:r w:rsidRPr="00AA5833">
        <w:rPr>
          <w:rFonts w:ascii="Times New Roman" w:hAnsi="Times New Roman" w:cs="Times New Roman"/>
          <w:sz w:val="24"/>
          <w:szCs w:val="24"/>
        </w:rPr>
        <w:t xml:space="preserve"> </w:t>
      </w:r>
      <w:r w:rsidRPr="00AA5833">
        <w:rPr>
          <w:rFonts w:ascii="Times New Roman" w:eastAsia="Times New Roman" w:hAnsi="Times New Roman" w:cs="Times New Roman"/>
          <w:sz w:val="24"/>
          <w:szCs w:val="24"/>
          <w:lang w:eastAsia="bg-BG"/>
        </w:rPr>
        <w:t xml:space="preserve">домакинства, преминали в по-горен клас на енергопотребление. По Приоритетна ос 2 изпълнени 229 проекта на стойност 208,4 млн. лв. Постигнатият резултат е 72 474 901,94 kWh/година и 8 790 домакинства, преминали в по-горен клас на енергопотребление. </w:t>
      </w:r>
    </w:p>
    <w:p w14:paraId="5E826392"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Приоритетна ос 1 „Устойчиво и интегрирано градско развитие“ на ОПРР 2014-2020 се реализират мерки за модернизация на обекти на социалната инфраструктура чрез строителство, реконструкция, оборудване и обзавеждане на обекти на социалната, културната и спортната инфраструктура. Към 2024 г. са изпълнени 19 проекта на стойност 17,6 млн. лв. за модернизация на обекти на социалната инфраструктура. Постигнатият резултат е 102 312 лица население, ползващо подобрени социални услуги.</w:t>
      </w:r>
    </w:p>
    <w:p w14:paraId="4B32B1CE" w14:textId="77777777" w:rsidR="00533926" w:rsidRPr="00AA5833" w:rsidRDefault="00533926" w:rsidP="0053392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14:paraId="72DBF68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7B8DE9A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0E492CCC"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11.1.7. Подобряване на материалната база в образователни институции на средното и висшето образование от регионално и национално значение</w:t>
      </w:r>
    </w:p>
    <w:p w14:paraId="28483719"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5767B4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Мерките са изпълнени. Мерките за подобряване на материалната база в образователни институции (детски ясли и градини, основни и средни училища) и подобряване на достъпа до качествено приобщаващо предучилищно и училищно образование се изпълняват по Приоритетна ос 1 „Устойчиво и интегрирано градско развитие“ и Приоритетна ос 3 „Регионална образователна инфраструктура“. </w:t>
      </w:r>
    </w:p>
    <w:p w14:paraId="5D63E0F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Приоритетна ос 1 инвестиционен приоритет „Образователна инфраструктура“ са приключили са 43 бр. ДБФП на стойност 325,1 млн. лв. Постигнатият напредък е 126 996 лица капацитет на подпомогнатата инфраструктура, предназначена за грижи за децата или образование. По Приоритетна ос 3 са приключили са 53 бр. на стойност 122,9 млн. лв. за обновяване на професионални гимназии, спортни училища и училища по култура и изкуство. Постигнатият напредък е 52 495</w:t>
      </w:r>
      <w:r w:rsidRPr="00AA5833" w:rsidDel="00986BC1">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лица капацитет на подпомогнатата инфраструктура, предназначена за грижи за децата или образование.</w:t>
      </w:r>
    </w:p>
    <w:p w14:paraId="5BB9D737"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Подобряването на материалната база на висшите училища чрез строителство, реконструкция, ремонт, оборудване и обзавеждане на висши училища се реализира чрез Приоритетна ос 3 „Регионална образователна инфраструктура“, като са сключени 13 ДБФП. Всички 13 проекта са изпълнени на обща стойност на предоставената БФП 37.7 млн. лв. Постигнатият напредък е 64 137 лица капацитет на подпомогнатата инфраструктура, предназначена за грижи за децата или образование. </w:t>
      </w:r>
    </w:p>
    <w:p w14:paraId="03824C6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38B8A7D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p>
    <w:p w14:paraId="1F0C8A7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11.1.8. Подобряване на здравната инфраструктура от системата на спешната медицинска помощ</w:t>
      </w:r>
    </w:p>
    <w:p w14:paraId="3F291ED8"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27912AF9"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Мерките са изпълнени. Мерките за подобряване на жилищните условия за уязвими групи (за изграждане/реконструкция на социални жилища за хора в неравностойно положение, вкл. за маргинализирани групи) и на регионална здравна инфраструктура (системата на спешната медицинска помощ) се реализират съответно по Приоритетна ос 1 „Устойчиво и интегрирано градско развитие“ и Приоритетна ос 4 „Регионална здравна инфраструктура“ по ОПРР 2014-2020. </w:t>
      </w:r>
    </w:p>
    <w:p w14:paraId="072A588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Към 2024 г. по Приоритетна ос 1 за проекти за изграждане/реконструкция на социални жилища за хора в неравностойно положение, вкл. за маргинализирани групи са приключили 18 проекта на стойност 44,3 млн. лв. Постигнатият напредък е 928 рехабилитирани жилища в градските райони. В рамките на процедурите за предоставяне на БФП по Приоритетна ос 4 „Регионална здравна инфраструктура“ по ОПРР 2014-2020 с конкретен бенефициент МЗ се изпълнява голям проект на стойност 131 млн. лева за подобряване на системата на спешната медицинска помощ. Изпълнени се още 2 ДБФП – „Борба с COVID 19“ и  „Осигуряване на въздушни превозни средства за реакция при спешни медицински състояния“. Постигнатият напредък е доставени 369 линейки и 1 хеликоптер. Общо по Приоритетна ос 4  са сключени 3 ДБФП на стойност 193 млн. лв. </w:t>
      </w:r>
    </w:p>
    <w:p w14:paraId="7E92936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82E7D6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0A8E03A2"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p w14:paraId="052E133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11.1.9. Подобряване на достъпа до социални услуги в общността и продължаване процеса на деинституционализация</w:t>
      </w:r>
    </w:p>
    <w:p w14:paraId="53A371F4"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lastRenderedPageBreak/>
        <w:t xml:space="preserve"> </w:t>
      </w:r>
    </w:p>
    <w:p w14:paraId="40578318"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е изпълнена. Мерките за осигуряване на достъп до социални услуги в общността и продължаване на процеса на деинституционализация чрез разкриване на нови социални услуги за деца и семейства, възрастни хора и хора с увреждания и премахване на институционалния модел на грижа се реализират по Приоритетна ос 5 „Регионална социална инфраструктура“ на ОПРР 2014-2020. </w:t>
      </w:r>
    </w:p>
    <w:p w14:paraId="784D074F"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Към 2024 г. по процедура „Подкрепа за деинституционализация на грижите за деца“ са сключени 53 ДБФП. По процедура за предоставяне на БФП за деинституционализация  на грижите за възрастни хора и хората с увреждания са сключени 26 ДБФП. По двете процедури са приключили всички 79 договора на стойност 57,3 млн. лева. Постигнатият резултат е 183 подкрепени обекти на социалната инфраструктура в процеса на деинституционализация. </w:t>
      </w:r>
    </w:p>
    <w:p w14:paraId="3E1E488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AD0386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1111BD50"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7098685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11.1.10. Подобряване на туристическата инфраструктура в рамките на интегриран туристически продукт</w:t>
      </w:r>
    </w:p>
    <w:p w14:paraId="21E8FB33"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 xml:space="preserve"> </w:t>
      </w:r>
    </w:p>
    <w:p w14:paraId="01F9A295"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е изпълнена. Мярката е фокусирана върху подобряване на условията за икономическа активност, чрез развитие на културни и исторически атракции от национално и световно значение, включително туристическа и техническа инфраструктура в рамките на интегриран туристически продукт, която се реализира чрез механизъм за предоставяне на подкрепа по ОПРР – Приоритетна ос 6 „Регионален туризъм“. Одобрени са от Комитета за наблюдение на ОПРР 2014-2020 критерии за избор на операции. Сключено е финансово споразумение за изпълнение на финансови инструменти на стойност 21,2 млн. лв. Към 2024 са изпълнени 16 проекта на стойност 93,7 млн. лв. </w:t>
      </w:r>
    </w:p>
    <w:p w14:paraId="60DED371"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5F62816C"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610C083D"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25A4FD9B"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r w:rsidRPr="00AA5833">
        <w:rPr>
          <w:rFonts w:ascii="Times New Roman" w:hAnsi="Times New Roman" w:cs="Times New Roman"/>
          <w:b/>
          <w:color w:val="000000"/>
          <w:sz w:val="24"/>
          <w:szCs w:val="24"/>
        </w:rPr>
        <w:t>11.1.11. Подобряване на регионалната пътна инфраструктура</w:t>
      </w:r>
    </w:p>
    <w:p w14:paraId="45A1D6EF"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6CBF6E6E"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Мярката е изпълнена. Мярката, свързана с подобряване на достъпността и свързаността чрез строителство, реконструкция и рехабилитация на първокласни, второкласни и третокласни пътища, е реализирана чрез Приоритетна ос 7 „Регионална пътна инфраструктура“ на ОПРР 2014-2020. По мярката са приключили 36 договора на стойност 466 млн. лева. Постигнатият резултат е 606,78 дължина на реконструирани или модернизирани пътища. </w:t>
      </w:r>
    </w:p>
    <w:p w14:paraId="06FC697A"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1C671602" w14:textId="77777777" w:rsidR="00533926" w:rsidRPr="00AA5833" w:rsidRDefault="00533926" w:rsidP="00533926">
      <w:pPr>
        <w:autoSpaceDE w:val="0"/>
        <w:autoSpaceDN w:val="0"/>
        <w:adjustRightInd w:val="0"/>
        <w:spacing w:after="0" w:line="240" w:lineRule="auto"/>
        <w:jc w:val="both"/>
        <w:rPr>
          <w:rFonts w:ascii="Times New Roman" w:hAnsi="Times New Roman" w:cs="Times New Roman"/>
          <w:b/>
          <w:color w:val="000000"/>
          <w:sz w:val="24"/>
          <w:szCs w:val="24"/>
        </w:rPr>
      </w:pPr>
    </w:p>
    <w:p w14:paraId="39C4166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МИНИСТЕРСТВО НА РЕГИОНАЛНОТО РАЗВИТИЕ И БЛАГОУСТРОЙСТВОТО</w:t>
      </w:r>
    </w:p>
    <w:p w14:paraId="329C58CB"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aps/>
          <w:sz w:val="24"/>
          <w:szCs w:val="24"/>
          <w:lang w:eastAsia="bg-BG"/>
        </w:rPr>
      </w:pPr>
    </w:p>
    <w:p w14:paraId="33072263"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От т. 11.1.12 до т. 11.1.15 към 31.12.2024 г. не могат да бъдат отчетени конкретни резултати по предложените от Главна дирекция „Стратегическо планиране и програми за регионално развитие“ индикатори за изпълнението на мерките, поради сложния двуфазен механизъм за изпълнение на Програма „Развитие на регионите“ 2021-2027 г. След извършен анализ на резултатите от представените концепции (Фаза 1 на Приоритет </w:t>
      </w:r>
      <w:r w:rsidRPr="00AA5833">
        <w:rPr>
          <w:rFonts w:ascii="Times New Roman" w:eastAsia="Times New Roman" w:hAnsi="Times New Roman" w:cs="Times New Roman"/>
          <w:bCs/>
          <w:sz w:val="24"/>
          <w:szCs w:val="24"/>
          <w:lang w:eastAsia="bg-BG"/>
        </w:rPr>
        <w:lastRenderedPageBreak/>
        <w:t>2) ще бъде обявена 2-ра покана за подаване на Концепции за интегрирани териториални инвестиции, която ще бъде насочена към здравна, образователна, социална, инфраструктура и жилищно настаняване. Поканата се очаква да бъде отворена през месец април 2025 г.</w:t>
      </w:r>
    </w:p>
    <w:p w14:paraId="33BF041C" w14:textId="77777777" w:rsidR="00533926" w:rsidRPr="00AA5833" w:rsidRDefault="00533926" w:rsidP="00533926">
      <w:pPr>
        <w:autoSpaceDE w:val="0"/>
        <w:autoSpaceDN w:val="0"/>
        <w:adjustRightInd w:val="0"/>
        <w:spacing w:after="0" w:line="240" w:lineRule="auto"/>
        <w:jc w:val="both"/>
        <w:rPr>
          <w:rFonts w:ascii="Times New Roman" w:eastAsia="Times New Roman" w:hAnsi="Times New Roman" w:cs="Times New Roman"/>
          <w:b/>
          <w:bCs/>
          <w:caps/>
          <w:color w:val="0000FF"/>
          <w:sz w:val="24"/>
          <w:szCs w:val="24"/>
          <w:lang w:eastAsia="bg-BG"/>
        </w:rPr>
      </w:pPr>
      <w:r w:rsidRPr="00AA5833">
        <w:rPr>
          <w:rFonts w:ascii="Times New Roman" w:eastAsia="Times New Roman" w:hAnsi="Times New Roman" w:cs="Times New Roman"/>
          <w:b/>
          <w:bCs/>
          <w:caps/>
          <w:color w:val="0000FF"/>
          <w:sz w:val="24"/>
          <w:szCs w:val="24"/>
          <w:lang w:eastAsia="bg-BG"/>
        </w:rPr>
        <w:t xml:space="preserve"> </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ADAE5EE"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420D7F56" w14:textId="77777777" w:rsidR="00533926" w:rsidRPr="00AA5833" w:rsidRDefault="00533926" w:rsidP="00533926">
            <w:pPr>
              <w:spacing w:after="0" w:line="240" w:lineRule="auto"/>
              <w:rPr>
                <w:rFonts w:ascii="Times New Roman" w:eastAsia="Times New Roman" w:hAnsi="Times New Roman" w:cs="Times New Roman"/>
                <w:sz w:val="24"/>
                <w:szCs w:val="24"/>
              </w:rPr>
            </w:pPr>
            <w:r w:rsidRPr="00AA5833">
              <w:rPr>
                <w:rFonts w:ascii="Times New Roman" w:eastAsia="Times New Roman" w:hAnsi="Times New Roman" w:cs="Times New Roman"/>
                <w:b/>
                <w:color w:val="000000"/>
                <w:sz w:val="24"/>
                <w:szCs w:val="24"/>
                <w:lang w:eastAsia="bg-BG"/>
              </w:rPr>
              <w:t>11.2. Възраждане на селските райони</w:t>
            </w:r>
          </w:p>
        </w:tc>
      </w:tr>
    </w:tbl>
    <w:p w14:paraId="5AB38D36" w14:textId="77777777" w:rsidR="00533926" w:rsidRPr="00AA5833" w:rsidRDefault="00533926" w:rsidP="00533926">
      <w:pPr>
        <w:spacing w:after="0" w:line="240" w:lineRule="auto"/>
        <w:ind w:left="1428"/>
        <w:contextualSpacing/>
        <w:jc w:val="both"/>
        <w:rPr>
          <w:rFonts w:ascii="Times New Roman" w:eastAsia="Times New Roman" w:hAnsi="Times New Roman" w:cs="Times New Roman"/>
          <w:color w:val="00B0F0"/>
          <w:sz w:val="24"/>
          <w:szCs w:val="24"/>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533926" w:rsidRPr="00AA5833" w14:paraId="274F51A0" w14:textId="77777777" w:rsidTr="00533926">
        <w:trPr>
          <w:trHeight w:val="147"/>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353D41D6"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11.3. Мобилизиране на регионалните и местни институционални възможности и ресурси в изпълнение на политиката за регионално развитие</w:t>
            </w:r>
          </w:p>
          <w:p w14:paraId="0A1373D4" w14:textId="77777777" w:rsidR="00533926" w:rsidRPr="00AA5833" w:rsidRDefault="00533926" w:rsidP="00533926">
            <w:pPr>
              <w:spacing w:after="0" w:line="240" w:lineRule="auto"/>
              <w:rPr>
                <w:rFonts w:ascii="Times New Roman" w:eastAsia="Times New Roman" w:hAnsi="Times New Roman" w:cs="Times New Roman"/>
                <w:sz w:val="24"/>
                <w:szCs w:val="24"/>
              </w:rPr>
            </w:pPr>
          </w:p>
        </w:tc>
      </w:tr>
    </w:tbl>
    <w:p w14:paraId="28FB3726"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p w14:paraId="487F8658"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5F51BA21"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p w14:paraId="5D5E6DDC"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11.3.1. Проект „Подобряване позицията на фермерите в хранителните вериги за доставка, чрез свързване на производители и потребители и посредством обучения на посланици“ (COCOREADO: Connecting Consumers and producers to REbalance farmers’ position through AmbassaDOrs trainings)</w:t>
      </w:r>
    </w:p>
    <w:p w14:paraId="0AA98404"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p w14:paraId="243A40EE"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eastAsia="Times New Roman" w:hAnsi="Times New Roman" w:cs="Times New Roman"/>
          <w:sz w:val="24"/>
          <w:szCs w:val="24"/>
          <w:lang w:eastAsia="bg-BG"/>
        </w:rPr>
        <w:tab/>
        <w:t xml:space="preserve">Проектът е със срок на изпълнение 2020-2024 г. и е финансиран от Европейската комисия по Рамкова програма Програмата „Хоризонт 2020“. За 2024 г. финансирането е в размер на </w:t>
      </w:r>
      <w:r w:rsidRPr="00AA5833">
        <w:rPr>
          <w:rFonts w:ascii="Times New Roman" w:hAnsi="Times New Roman" w:cs="Times New Roman"/>
          <w:sz w:val="24"/>
          <w:szCs w:val="24"/>
        </w:rPr>
        <w:t>72 710.58 лв.</w:t>
      </w:r>
    </w:p>
    <w:p w14:paraId="69D9BC21"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В рамките на проекта през 2024 г. са публикувани статии в престижни международни издания и са изнесени доклади на национални и международни форуми.</w:t>
      </w:r>
    </w:p>
    <w:p w14:paraId="61133DBD"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Основните резултати от проекта са:</w:t>
      </w:r>
    </w:p>
    <w:p w14:paraId="3A347040" w14:textId="77777777" w:rsidR="00533926" w:rsidRPr="00AA5833" w:rsidRDefault="00533926" w:rsidP="002A598C">
      <w:pPr>
        <w:numPr>
          <w:ilvl w:val="0"/>
          <w:numId w:val="69"/>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Разширяване на възможностите за младите хора в селските райони съвместно да създават иновативни решения, които едновременно са изгодни за фермерите, отговарят на нуждите на потребителите и подобряват условията за устойчиви обществени поръчки на местни и сезонни храни. </w:t>
      </w:r>
    </w:p>
    <w:p w14:paraId="08C31302" w14:textId="77777777" w:rsidR="00533926" w:rsidRPr="00AA5833" w:rsidRDefault="00533926" w:rsidP="002A598C">
      <w:pPr>
        <w:numPr>
          <w:ilvl w:val="0"/>
          <w:numId w:val="69"/>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Създадена е база данни със съществуващи иновативни инициативи в различни региони на Европа. </w:t>
      </w:r>
    </w:p>
    <w:p w14:paraId="3EBCD957" w14:textId="77777777" w:rsidR="00533926" w:rsidRPr="00AA5833" w:rsidRDefault="00533926" w:rsidP="002A598C">
      <w:pPr>
        <w:numPr>
          <w:ilvl w:val="0"/>
          <w:numId w:val="69"/>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Идентифицирани са добри практики, които подобряват позицията на фермерите във веригите за доставки на храни и свързват потребители и производители от гледна точка на техния потенциал за прилагане в различни национални контексти. </w:t>
      </w:r>
    </w:p>
    <w:p w14:paraId="6DEABF7C" w14:textId="77777777" w:rsidR="00533926" w:rsidRPr="00AA5833" w:rsidRDefault="00533926" w:rsidP="002A598C">
      <w:pPr>
        <w:numPr>
          <w:ilvl w:val="0"/>
          <w:numId w:val="69"/>
        </w:numPr>
        <w:spacing w:after="0" w:line="240" w:lineRule="auto"/>
        <w:ind w:firstLine="360"/>
        <w:contextualSpacing/>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bCs/>
          <w:sz w:val="24"/>
          <w:szCs w:val="24"/>
          <w:lang w:eastAsia="bg-BG"/>
        </w:rPr>
        <w:t xml:space="preserve">Създадена е посланическа мрежа, чрез която ще се инвестира в обучения, образователни материали и инструменти за подкрепа на съвместното създаване на пилотни иновативни инициативи в различни земеделски системи. </w:t>
      </w:r>
    </w:p>
    <w:p w14:paraId="61C0F2ED" w14:textId="77777777" w:rsidR="00533926" w:rsidRPr="00AA5833" w:rsidRDefault="00533926" w:rsidP="00533926">
      <w:pPr>
        <w:spacing w:after="0" w:line="240" w:lineRule="auto"/>
        <w:jc w:val="both"/>
        <w:rPr>
          <w:sz w:val="24"/>
          <w:szCs w:val="24"/>
        </w:rPr>
      </w:pPr>
      <w:r w:rsidRPr="00AA5833">
        <w:rPr>
          <w:rFonts w:ascii="Times New Roman" w:eastAsia="Times New Roman" w:hAnsi="Times New Roman" w:cs="Times New Roman"/>
          <w:sz w:val="24"/>
          <w:szCs w:val="24"/>
          <w:lang w:eastAsia="bg-BG"/>
        </w:rPr>
        <w:tab/>
        <w:t>Въздействието на проекта е на регионално, национално ниво и европейско ниво.</w:t>
      </w:r>
    </w:p>
    <w:p w14:paraId="42346A1B"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6424FFD2"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6FD758E2"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11.4. Рационално разпределение на местни (локални) инфраструктури и услуги за осигуряване на балансиран растеж на регионите, въвеждане на клъстерен подход за развитие на икономиката и бизнес средата </w:t>
            </w:r>
          </w:p>
          <w:p w14:paraId="3379D674" w14:textId="77777777" w:rsidR="00533926" w:rsidRPr="00AA5833" w:rsidRDefault="00533926" w:rsidP="00533926">
            <w:pPr>
              <w:spacing w:after="0" w:line="240" w:lineRule="auto"/>
              <w:rPr>
                <w:rFonts w:ascii="Times New Roman" w:eastAsia="Times New Roman" w:hAnsi="Times New Roman" w:cs="Times New Roman"/>
                <w:sz w:val="24"/>
                <w:szCs w:val="24"/>
              </w:rPr>
            </w:pPr>
          </w:p>
        </w:tc>
      </w:tr>
    </w:tbl>
    <w:p w14:paraId="7A7719C4" w14:textId="77777777" w:rsidR="00533926" w:rsidRPr="00AA5833" w:rsidRDefault="00533926" w:rsidP="00533926">
      <w:pPr>
        <w:spacing w:after="0" w:line="240" w:lineRule="auto"/>
        <w:ind w:firstLine="709"/>
        <w:jc w:val="both"/>
        <w:rPr>
          <w:rFonts w:ascii="Times New Roman" w:eastAsia="Times New Roman" w:hAnsi="Times New Roman" w:cs="Times New Roman"/>
          <w:sz w:val="24"/>
          <w:szCs w:val="24"/>
          <w:lang w:eastAsia="bg-BG"/>
        </w:rPr>
      </w:pPr>
    </w:p>
    <w:p w14:paraId="4624656B"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МИНИСТЕРСТВО НА ИНОВАЦИИТЕ И РАСТЕЖА</w:t>
      </w:r>
    </w:p>
    <w:p w14:paraId="7D53A564"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ПРОГРАМА „КОНКУРЕНТОСПОСОБНОСТ И ИНОВАЦИИ В ПРЕДПРИЯТИЯТА” 2021-2027 г. (ПКИП)</w:t>
      </w:r>
    </w:p>
    <w:p w14:paraId="0CFCE046"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p>
    <w:p w14:paraId="5C34831E" w14:textId="77777777" w:rsidR="00533926" w:rsidRPr="00AA5833" w:rsidRDefault="00533926" w:rsidP="00533926">
      <w:pPr>
        <w:spacing w:after="0" w:line="240" w:lineRule="auto"/>
        <w:ind w:right="142"/>
        <w:jc w:val="both"/>
        <w:rPr>
          <w:rFonts w:ascii="Times New Roman" w:eastAsia="Times New Roman" w:hAnsi="Times New Roman" w:cs="Times New Roman"/>
          <w:b/>
          <w:sz w:val="20"/>
          <w:szCs w:val="20"/>
          <w:lang w:eastAsia="bg-BG"/>
        </w:rPr>
      </w:pPr>
      <w:r w:rsidRPr="00AA5833">
        <w:rPr>
          <w:rFonts w:ascii="Times New Roman" w:eastAsia="Times New Roman" w:hAnsi="Times New Roman" w:cs="Times New Roman"/>
          <w:b/>
          <w:sz w:val="24"/>
          <w:szCs w:val="24"/>
          <w:lang w:eastAsia="bg-BG"/>
        </w:rPr>
        <w:t xml:space="preserve">11.4.1. Процедура чрез директно предоставяне на безвъзмездна финансова помощ (БФП): BG16RFPR001-1.006 „Утвърждаване на България като конкурентна </w:t>
      </w:r>
      <w:r w:rsidRPr="00AA5833">
        <w:rPr>
          <w:rFonts w:ascii="Times New Roman" w:eastAsia="Times New Roman" w:hAnsi="Times New Roman" w:cs="Times New Roman"/>
          <w:b/>
          <w:sz w:val="24"/>
          <w:szCs w:val="24"/>
          <w:lang w:eastAsia="bg-BG"/>
        </w:rPr>
        <w:lastRenderedPageBreak/>
        <w:t>инвестиционна дестинация чрез подкрепа на дейността на Българска Агенция за инвестиции (БАИ)“, по Програма „Конкурентоспособност и иновации в предприятията” 2021-2027 г. (ПКИП), Приоритет 1. Иновации и растеж</w:t>
      </w:r>
    </w:p>
    <w:p w14:paraId="6596FDBF" w14:textId="77777777" w:rsidR="00533926" w:rsidRPr="00AA5833" w:rsidRDefault="00533926" w:rsidP="00533926">
      <w:pPr>
        <w:spacing w:after="0" w:line="240" w:lineRule="auto"/>
        <w:ind w:right="142"/>
        <w:jc w:val="both"/>
        <w:rPr>
          <w:rFonts w:ascii="Times New Roman" w:eastAsia="Times New Roman" w:hAnsi="Times New Roman" w:cs="Times New Roman"/>
          <w:b/>
          <w:sz w:val="20"/>
          <w:szCs w:val="20"/>
          <w:lang w:eastAsia="bg-BG"/>
        </w:rPr>
      </w:pPr>
    </w:p>
    <w:p w14:paraId="6C917F25"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 17.05.2024 г. е обявена процедура чрез директно предоставяне на безвъзмездна финансова помощ (БФП): BG16RFPR001-1.006 „Утвърждаване на България като конкурентна инвестиционна дестинация чрез подкрепа на дейността на Българска Агенция за инвестиции (БАИ)“, по Програма „Конкурентоспособност и иновации в предприятията” 2021-2027 г. (ПКИП), Приоритет 1. Иновации и растеж.  Бюджета по процедурата е в размер на 7 000 000 лв. (3 579 043.17 евро). Целта на процедурата е повишаване дела на чуждестранните инвестиции в България с фокус върху районите, отличаващи се с по-ниска инвестиционна активност чрез дейности, осъществявани от страна на БАИ. Предстои сключване на договор.</w:t>
      </w:r>
    </w:p>
    <w:p w14:paraId="24C7AAD3"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p>
    <w:p w14:paraId="1AF12836"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МИНИСТЕРСТВО НА ИНОВАЦИИТЕ И РАСТЕЖА</w:t>
      </w:r>
    </w:p>
    <w:p w14:paraId="30A06501"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ПРОГРАМА „КОНКУРЕНТОСПОСОБНОСТ И ИНОВАЦИИ В ПРЕДПРИЯТИЯТА” 2021-2027 г. (ПКИП)</w:t>
      </w:r>
    </w:p>
    <w:p w14:paraId="144F927C"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p>
    <w:p w14:paraId="4BB35E96" w14:textId="77777777" w:rsidR="00533926" w:rsidRPr="00AA5833" w:rsidRDefault="00533926" w:rsidP="00533926">
      <w:pPr>
        <w:spacing w:after="0" w:line="240" w:lineRule="auto"/>
        <w:ind w:right="142"/>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11.4.2. Процедура чрез директно предоставяне на БФП: Предоставяне на комплексни услуги на предприятията от Северните райони на България с цел подкрепа на тяхното устойчиво развитие и растеж чрез подпомагане дейността на Изпълнителна агенция за насърчаване на малките и средните предприятия (ИАНМСП) по Програма „Конкурентоспособност и иновации в предприятията” 2021-2027 г. (ПКИП), Приоритет 1. Иновации и растеж</w:t>
      </w:r>
    </w:p>
    <w:p w14:paraId="3B407B88"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p>
    <w:p w14:paraId="33CFDE7C"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 14.10.2024 г. е обявена процедура чрез директно предоставяне на БФП: Предоставяне на комплексни услуги на предприятията от Северните райони на България с цел подкрепа на тяхното устойчиво развитие и растеж чрез подпомагане дейността на Изпълнителна агенция за насърчаване на малките и средните предприятия (ИАНМСП) по Програма „Конкурентоспособност и иновации в предприятията” 2021-2027 г. (ПКИП), Приоритет 1. Иновации и растеж. Размер на БФП по процедурата възлиза на 9 779 150 лв. (5 000 000 евро). Целта на процедурата е повишаване на конкурентоспособността и устойчивото развитие на микро, малките и средните предприятия в Северните райони на България чрез предоставяне на комплексни услуги в области като достъп до финансиране, бизнес развитие, пазарно присъствие и други. Предстои сключване на договор.</w:t>
      </w:r>
    </w:p>
    <w:p w14:paraId="4896F8DD"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p>
    <w:p w14:paraId="62D60A81"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МИНИСТЕРСТВО НА ИНОВАЦИИТЕ И РАСТЕЖА</w:t>
      </w:r>
    </w:p>
    <w:p w14:paraId="485DD6FF"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ПРОГРАМА „НАУЧНИ ИЗСЛЕДВАНИЯ, ИНОВАЦИИ И ДИГИТАЛИЗАЦИЯ ЗА ИНТЕЛИГЕНТНА ТРАНСФОРМАЦИЯ” 2021-2027 г. (ПНИИДИТ)</w:t>
      </w:r>
    </w:p>
    <w:p w14:paraId="530DD033"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53F90D04"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11.4.3. Процедура чрез директно предоставяне на безвъзмездна финансова помощ „Устойчиво развитие на Центрове за върхови постижения и Центрове за компетентност, в т.ч. и на конкретни инфраструктури или техни обединения от НПКНИ“ по Програма „Научни изследвания, иновации и дигитализация за интелигентна трансформация” 2021-2027 г. (ПНИИДИТ), Приоритет 1 „Устойчиво развитие на българската научноизследователска и иновационна екосистема”.</w:t>
      </w:r>
    </w:p>
    <w:p w14:paraId="14754027" w14:textId="77777777" w:rsidR="00533926" w:rsidRPr="00AA5833" w:rsidRDefault="00533926" w:rsidP="00533926">
      <w:pPr>
        <w:spacing w:after="0" w:line="240" w:lineRule="auto"/>
        <w:jc w:val="both"/>
        <w:rPr>
          <w:rFonts w:ascii="Times New Roman" w:eastAsia="Times New Roman" w:hAnsi="Times New Roman" w:cs="Times New Roman"/>
          <w:b/>
          <w:bCs/>
          <w:color w:val="0000FF"/>
          <w:sz w:val="24"/>
          <w:szCs w:val="24"/>
          <w:lang w:eastAsia="bg-BG"/>
        </w:rPr>
      </w:pPr>
    </w:p>
    <w:p w14:paraId="712AC8A5"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Програма „Научни изследвания, иновации и дигитализация за интелигентна трансформация“ (ПНИИДИТ) е одобрена с Решение на Европейската комисия № C(2022) </w:t>
      </w:r>
      <w:r w:rsidRPr="00AA5833">
        <w:rPr>
          <w:rFonts w:ascii="Times New Roman" w:eastAsia="Times New Roman" w:hAnsi="Times New Roman" w:cs="Times New Roman"/>
          <w:bCs/>
          <w:sz w:val="24"/>
          <w:szCs w:val="24"/>
          <w:lang w:eastAsia="bg-BG"/>
        </w:rPr>
        <w:lastRenderedPageBreak/>
        <w:t>9227 от 05.10.2022 г. Бюджетът на ПНИИДИТ е в размер на 1 093 446 112 евро, като одобреното финансиране от ЕС е в 885 510 000 евро (осигурено от Европейския фонд за регионално развитие), а националното финансиране възлиза на 207 936 112 евро от държавния бюджет на Република България. ПНИИДИТ подкрепя приоритетите на България за прилагане на общата политика за развитието на научните изследвания и иновациите и за цифровизация на публичния сектор с оглед създаване на условия за управление, базирано на данни в полза на ускореното икономическо развитие на всички райони на страната.</w:t>
      </w:r>
    </w:p>
    <w:p w14:paraId="11604FCA"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Идентифицираните нужди се адресират чрез подкрепа за пълноценно оползотворяване на капацитета на изградените през периода 2014-2020 г. Центрове за върхови постижения (ЦВП) и Центрове за компетентност (ЦК), както и ще се подкрепят и други ключови научноизследователски звена/инфраструктури, посочени в НПКНИ в полза на интелигентното икономическо развитие на страната и развитие на капацитета на регионалните научноизследователски и иновационни екосистеми в съответствие с потенциала и бизнес нуждите на </w:t>
      </w:r>
      <w:r w:rsidRPr="00935659">
        <w:rPr>
          <w:rFonts w:ascii="Times New Roman" w:eastAsia="Times New Roman" w:hAnsi="Times New Roman" w:cs="Times New Roman"/>
          <w:bCs/>
          <w:sz w:val="24"/>
          <w:szCs w:val="24"/>
          <w:lang w:eastAsia="bg-BG"/>
        </w:rPr>
        <w:t>отделните райони.</w:t>
      </w:r>
      <w:r w:rsidR="00935659" w:rsidRPr="00935659">
        <w:rPr>
          <w:rFonts w:ascii="Times New Roman" w:eastAsia="Times New Roman" w:hAnsi="Times New Roman" w:cs="Times New Roman"/>
          <w:bCs/>
          <w:sz w:val="24"/>
          <w:szCs w:val="24"/>
        </w:rPr>
        <w:t xml:space="preserve"> </w:t>
      </w:r>
      <w:r w:rsidR="00935659" w:rsidRPr="00935659">
        <w:rPr>
          <w:rFonts w:ascii="Times New Roman" w:eastAsia="Times New Roman" w:hAnsi="Times New Roman" w:cs="Times New Roman"/>
          <w:bCs/>
          <w:sz w:val="24"/>
          <w:szCs w:val="24"/>
          <w:lang w:eastAsia="bg-BG"/>
        </w:rPr>
        <w:t>На 25.03.2024 г. ИАПО обявява процедура чрез директно предоставяне на безвъзмездна финансова помощ BG16RFPR002-1.014 с общ размер на безвъзмездната финансова помощ (БФП) 336 000 465 лв. (финансиране от ЕФРР и националния бюджет). Срокът за кандидатстване е 14.04.2025 г.</w:t>
      </w:r>
    </w:p>
    <w:p w14:paraId="36E1B6F3" w14:textId="77777777" w:rsidR="00533926" w:rsidRPr="00AA5833" w:rsidRDefault="00533926" w:rsidP="00533926">
      <w:pPr>
        <w:spacing w:after="0" w:line="240" w:lineRule="auto"/>
        <w:ind w:firstLine="708"/>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През 2024 г. по ПНИИДИТ са одобрени от Комитета за наблюдение Методологията и критериите за подбор на операции по: процедура за конкурентен подбор „Подкрепа за развитие на съществуващи иновационни клъстери“, процедура за конкурентен подбор „Зелени и цифрови партньорства за интелигентна трансформация“, процедура за директно предоставяне на БФП „Подкрепа за български научни организации с проекти, преминали праговете за оценка по Хоризонт Европа – HORIZON-WIDERA-2023-ACCESS-02 (Twinning)“, </w:t>
      </w:r>
      <w:r w:rsidR="00935659" w:rsidRPr="00935659">
        <w:rPr>
          <w:rFonts w:ascii="Times New Roman" w:eastAsia="Times New Roman" w:hAnsi="Times New Roman" w:cs="Times New Roman"/>
          <w:bCs/>
          <w:sz w:val="24"/>
          <w:szCs w:val="24"/>
          <w:lang w:eastAsia="bg-BG"/>
        </w:rPr>
        <w:t>процедура за директно предоставяне „Подкрепа за български научни организации, изпълняващи проекти/отличени с „Печат за високи постижения“ по програма „Хоризонт Европа”, конкурс HO</w:t>
      </w:r>
      <w:r w:rsidR="00935659">
        <w:rPr>
          <w:rFonts w:ascii="Times New Roman" w:eastAsia="Times New Roman" w:hAnsi="Times New Roman" w:cs="Times New Roman"/>
          <w:bCs/>
          <w:sz w:val="24"/>
          <w:szCs w:val="24"/>
          <w:lang w:eastAsia="bg-BG"/>
        </w:rPr>
        <w:t>RIZON-WIDERA-2023-ACCESS-01-01:</w:t>
      </w:r>
      <w:r w:rsidR="00935659" w:rsidRPr="00935659">
        <w:rPr>
          <w:rFonts w:ascii="Times New Roman" w:eastAsia="Times New Roman" w:hAnsi="Times New Roman" w:cs="Times New Roman"/>
          <w:bCs/>
          <w:sz w:val="24"/>
          <w:szCs w:val="24"/>
          <w:lang w:eastAsia="bg-BG"/>
        </w:rPr>
        <w:t>Teaming for Excellence, фаза 2</w:t>
      </w:r>
      <w:r w:rsidR="00935659">
        <w:rPr>
          <w:rFonts w:ascii="Times New Roman" w:eastAsia="Times New Roman" w:hAnsi="Times New Roman" w:cs="Times New Roman"/>
          <w:bCs/>
          <w:sz w:val="24"/>
          <w:szCs w:val="24"/>
          <w:lang w:eastAsia="bg-BG"/>
        </w:rPr>
        <w:t xml:space="preserve">, </w:t>
      </w:r>
      <w:r w:rsidRPr="00AA5833">
        <w:rPr>
          <w:rFonts w:ascii="Times New Roman" w:eastAsia="Times New Roman" w:hAnsi="Times New Roman" w:cs="Times New Roman"/>
          <w:bCs/>
          <w:sz w:val="24"/>
          <w:szCs w:val="24"/>
          <w:lang w:eastAsia="bg-BG"/>
        </w:rPr>
        <w:t>процедура за директно предоставяне „Подкрепа за български иновационни предприятия с проекти, получили „Печат за високи постижения“ и процедура за директно предоставяне „Допълващо финансиране на одобрени от Европейската комисия проекти по програма „Цифрова Европа“.</w:t>
      </w:r>
    </w:p>
    <w:p w14:paraId="0C345575" w14:textId="77777777" w:rsidR="00533926" w:rsidRPr="00AA5833" w:rsidRDefault="00533926" w:rsidP="00533926">
      <w:pPr>
        <w:spacing w:after="0" w:line="240" w:lineRule="auto"/>
        <w:jc w:val="both"/>
        <w:rPr>
          <w:rFonts w:ascii="Times New Roman" w:eastAsia="Times New Roman" w:hAnsi="Times New Roman" w:cs="Times New Roman"/>
          <w:bCs/>
          <w:iCs/>
          <w:sz w:val="24"/>
          <w:szCs w:val="24"/>
          <w:lang w:eastAsia="bg-BG" w:bidi="bg-BG"/>
        </w:rPr>
      </w:pPr>
      <w:r w:rsidRPr="00AA5833">
        <w:rPr>
          <w:rFonts w:ascii="Times New Roman" w:eastAsia="Times New Roman" w:hAnsi="Times New Roman" w:cs="Times New Roman"/>
          <w:bCs/>
          <w:sz w:val="24"/>
          <w:szCs w:val="24"/>
          <w:lang w:eastAsia="bg-BG"/>
        </w:rPr>
        <w:tab/>
      </w:r>
      <w:r w:rsidRPr="00AA5833">
        <w:rPr>
          <w:rFonts w:ascii="Times New Roman" w:eastAsia="Times New Roman" w:hAnsi="Times New Roman" w:cs="Times New Roman"/>
          <w:bCs/>
          <w:iCs/>
          <w:sz w:val="24"/>
          <w:szCs w:val="24"/>
          <w:lang w:eastAsia="bg-BG" w:bidi="bg-BG"/>
        </w:rPr>
        <w:t>Процедурата  за подкрепа за развитие на съществуващи иновационни клъстери е с общ бюджет от близо 49 млн. лв. Целта на тази процедура е да се подкрепят жизнеспособни иновационни клъстери, които работят ефективно на регионално ниво и могат да демонстрират конкретни резултати за подпомагане, насърчаване, представителство и защита на регионалния капацитет за въвеждане и развитие на иновации чрез засилване на сътрудничеството между бизнеса и научно-изследователските организации, университетите, неправителствените организации и други заинтересовани страни.</w:t>
      </w:r>
    </w:p>
    <w:p w14:paraId="4EBF206D" w14:textId="77777777" w:rsidR="00533926" w:rsidRPr="00AA5833" w:rsidRDefault="00533926" w:rsidP="00533926">
      <w:pPr>
        <w:spacing w:after="0" w:line="240" w:lineRule="auto"/>
        <w:jc w:val="both"/>
        <w:rPr>
          <w:rFonts w:ascii="Times New Roman" w:eastAsia="Times New Roman" w:hAnsi="Times New Roman" w:cs="Times New Roman"/>
          <w:bCs/>
          <w:iCs/>
          <w:sz w:val="24"/>
          <w:szCs w:val="24"/>
          <w:lang w:eastAsia="bg-BG" w:bidi="bg-BG"/>
        </w:rPr>
      </w:pPr>
      <w:r w:rsidRPr="00AA5833">
        <w:rPr>
          <w:rFonts w:ascii="Times New Roman" w:eastAsia="Times New Roman" w:hAnsi="Times New Roman" w:cs="Times New Roman"/>
          <w:bCs/>
          <w:iCs/>
          <w:sz w:val="24"/>
          <w:szCs w:val="24"/>
          <w:lang w:eastAsia="bg-BG" w:bidi="bg-BG"/>
        </w:rPr>
        <w:tab/>
        <w:t>Процедурата за конкурентен подбор на проекти за създаване на зелени и цифрови партньорства за интелигентна трансформация е с бюджет от почти 61 млн. лева. С тях малките и средните предприятия с помощта на научната експертиза на изследователските звена и лаборатории ще могат да реализират дейности за тестване, съзряване и утвърждаване на иновативни технологии/продукти в областта на зелените и цифровите решения, както и да реализират проучвания и разработване на устойчиви бизнес планове и модели за потенциала за комерсиализация на пазари с висока добавена стойност.</w:t>
      </w:r>
    </w:p>
    <w:p w14:paraId="154BD4E9" w14:textId="77777777" w:rsidR="00533926" w:rsidRPr="00AA5833" w:rsidRDefault="00533926" w:rsidP="00533926">
      <w:pPr>
        <w:spacing w:after="0" w:line="240" w:lineRule="auto"/>
        <w:jc w:val="both"/>
        <w:rPr>
          <w:rFonts w:ascii="Times New Roman" w:eastAsia="Times New Roman" w:hAnsi="Times New Roman" w:cs="Times New Roman"/>
          <w:bCs/>
          <w:iCs/>
          <w:sz w:val="24"/>
          <w:szCs w:val="24"/>
          <w:lang w:eastAsia="bg-BG" w:bidi="bg-BG"/>
        </w:rPr>
      </w:pPr>
      <w:r w:rsidRPr="00AA5833">
        <w:rPr>
          <w:rFonts w:ascii="Times New Roman" w:eastAsia="Times New Roman" w:hAnsi="Times New Roman" w:cs="Times New Roman"/>
          <w:bCs/>
          <w:iCs/>
          <w:sz w:val="24"/>
          <w:szCs w:val="24"/>
          <w:lang w:eastAsia="bg-BG" w:bidi="bg-BG"/>
        </w:rPr>
        <w:tab/>
        <w:t xml:space="preserve">На 31.03.2023 г. е подписано споразумение с ФМФИБ ЕАД (процедура BG16RFPR002-1.006 Финансови инструменти по програма „Научни изследвания, </w:t>
      </w:r>
      <w:r w:rsidRPr="00AA5833">
        <w:rPr>
          <w:rFonts w:ascii="Times New Roman" w:eastAsia="Times New Roman" w:hAnsi="Times New Roman" w:cs="Times New Roman"/>
          <w:bCs/>
          <w:iCs/>
          <w:sz w:val="24"/>
          <w:szCs w:val="24"/>
          <w:lang w:eastAsia="bg-BG" w:bidi="bg-BG"/>
        </w:rPr>
        <w:lastRenderedPageBreak/>
        <w:t>иновации и дигитализация за интелигентна трансформация“ 2021-2027), с което е даден мандат на Холдинговия фонд да управлява финансовия инструмент за технологичен трансфер по програмата, с бюджет от 60 033 613,44 евро (117 415 542,17 лв.).  През месец февруари-март 2024 г. са проведени пазарни консултации със заинтересованите страни. Проведени са срещи между УО на ПНИИДИТ и ФМФИБ ЕАД за обсъждане на резултатите от проведените пазарни консултации и изчистване на концепцията за структурата и прилагането на финансов инструмент „Фонд за технологичен трансфер“. Към момента ФМФИБ е в процес на структуриране и извеждане на рамката за изпълнение на инструмента, включително аспектите свързани с комбинацията с БФП в една операция. Очаква се обявяване на процедура за избор на финансов посредник през 2025 г.</w:t>
      </w:r>
    </w:p>
    <w:p w14:paraId="1933A3EC"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p w14:paraId="6D244DD4"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МИНИСТЕРСТВО НА ИНОВАЦИИТЕ И РАСТЕЖА</w:t>
      </w:r>
    </w:p>
    <w:p w14:paraId="24CAA797" w14:textId="77777777" w:rsidR="00533926" w:rsidRPr="00AA5833" w:rsidRDefault="00533926" w:rsidP="00533926">
      <w:pPr>
        <w:spacing w:after="0" w:line="240" w:lineRule="auto"/>
        <w:jc w:val="center"/>
        <w:rPr>
          <w:rFonts w:ascii="Times New Roman" w:eastAsia="Times New Roman" w:hAnsi="Times New Roman" w:cs="Times New Roman"/>
          <w:b/>
          <w:bCs/>
          <w:color w:val="0000FF"/>
          <w:sz w:val="24"/>
          <w:szCs w:val="24"/>
          <w:lang w:eastAsia="bg-BG"/>
        </w:rPr>
      </w:pPr>
      <w:r w:rsidRPr="00AA5833">
        <w:rPr>
          <w:rFonts w:ascii="Times New Roman" w:eastAsia="Times New Roman" w:hAnsi="Times New Roman" w:cs="Times New Roman"/>
          <w:b/>
          <w:bCs/>
          <w:color w:val="0000FF"/>
          <w:sz w:val="24"/>
          <w:szCs w:val="24"/>
          <w:lang w:eastAsia="bg-BG"/>
        </w:rPr>
        <w:t>ПРОГРАМА „НАУЧНИ ИЗСЛЕДВАНИЯ, ИНОВАЦИИ И ДИГИТАЛИЗАЦИЯ ЗА ИНТЕЛИГЕНТНА ТРАНСФОРМАЦИЯ” 2021-2027 г. (ПНИИДИТ)</w:t>
      </w:r>
    </w:p>
    <w:p w14:paraId="0D8C2326"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542D33BB"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11.4.4. Процедура на подбор на проектни предложения, вкл. в изпълнение на одобрени концепции за ИТИ „Подкрепа за развитие на съществуващи иновационни клъстери“ по Програма „Научни изследвания, иновации и дигитализация за интелигентна трансформация” 2021-2027 г. (ПНИИДИТ), Приоритет 1 „Устойчиво развитие на българската научноизследователска и иновационна екосистема”.</w:t>
      </w:r>
    </w:p>
    <w:p w14:paraId="65267F59"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p>
    <w:p w14:paraId="10F06130" w14:textId="77777777" w:rsidR="00533926" w:rsidRPr="00AA5833" w:rsidRDefault="00533926" w:rsidP="00533926">
      <w:pPr>
        <w:spacing w:after="0" w:line="240" w:lineRule="auto"/>
        <w:jc w:val="center"/>
        <w:rPr>
          <w:rFonts w:ascii="Times New Roman" w:eastAsia="Times New Roman" w:hAnsi="Times New Roman" w:cs="Times New Roman"/>
          <w:b/>
          <w:sz w:val="24"/>
          <w:szCs w:val="24"/>
          <w:lang w:eastAsia="bg-BG"/>
        </w:rPr>
      </w:pPr>
      <w:r w:rsidRPr="00AA5833">
        <w:rPr>
          <w:rFonts w:ascii="Times New Roman" w:hAnsi="Times New Roman" w:cs="Times New Roman"/>
          <w:i/>
          <w:sz w:val="24"/>
          <w:szCs w:val="24"/>
        </w:rPr>
        <w:t>(виж мярка 11.4.3.)</w:t>
      </w:r>
    </w:p>
    <w:p w14:paraId="70CD1878" w14:textId="77777777" w:rsidR="00533926" w:rsidRPr="00AA5833" w:rsidRDefault="00533926" w:rsidP="00533926">
      <w:pPr>
        <w:spacing w:after="0" w:line="240" w:lineRule="auto"/>
        <w:rPr>
          <w:rFonts w:ascii="Times New Roman" w:eastAsia="Times New Roman" w:hAnsi="Times New Roman" w:cs="Times New Roman"/>
          <w:b/>
          <w:color w:val="0000FF"/>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18FC3BA0"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0730AFFA"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11.5. Провеждане на диференцирана регионална политика в изостаналите райони </w:t>
            </w:r>
          </w:p>
          <w:p w14:paraId="71DBD160" w14:textId="77777777" w:rsidR="00533926" w:rsidRPr="00AA5833" w:rsidRDefault="00533926" w:rsidP="00533926">
            <w:pPr>
              <w:spacing w:after="0" w:line="240" w:lineRule="auto"/>
              <w:jc w:val="both"/>
              <w:rPr>
                <w:rFonts w:ascii="Times New Roman" w:eastAsia="Times New Roman" w:hAnsi="Times New Roman" w:cs="Times New Roman"/>
                <w:sz w:val="24"/>
                <w:szCs w:val="24"/>
              </w:rPr>
            </w:pPr>
          </w:p>
        </w:tc>
      </w:tr>
    </w:tbl>
    <w:p w14:paraId="1F882465" w14:textId="77777777" w:rsidR="00533926" w:rsidRPr="00AA5833" w:rsidRDefault="00533926" w:rsidP="00533926">
      <w:pPr>
        <w:spacing w:after="0" w:line="240" w:lineRule="auto"/>
        <w:jc w:val="both"/>
        <w:rPr>
          <w:rFonts w:ascii="Times New Roman" w:hAnsi="Times New Roman" w:cs="Times New Roman"/>
          <w:b/>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3A51B86B"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44E9042B"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11.6. Развитие на устойчиви, динамични и сплотени градски центрове, свързани помежду си и допринасящи за благосъстоянието на заобикалящите ги по-слабо урбанизирани територии </w:t>
            </w:r>
          </w:p>
        </w:tc>
      </w:tr>
    </w:tbl>
    <w:p w14:paraId="6C1CAFB1"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p w14:paraId="238D1CCD"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7796B5EB"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6BCDE337" w14:textId="77777777" w:rsidR="00533926" w:rsidRPr="00AA5833" w:rsidRDefault="00533926" w:rsidP="00533926">
      <w:pPr>
        <w:spacing w:after="0" w:line="240" w:lineRule="auto"/>
        <w:jc w:val="both"/>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11.6.1. Проект (Европейски форум за градско земеделие (EFUA: European Forum for a Comprehensive Vision on Urban Agriculture)</w:t>
      </w:r>
    </w:p>
    <w:p w14:paraId="5492B615"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p>
    <w:p w14:paraId="1B601C4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 xml:space="preserve">Проектът е със срок на изпълнение 2020-2024 г. и е финансиран от Европейската комисия по Рамкова програма „Хоризонт 2020“. За 2024 г. финансирането е в размер на </w:t>
      </w:r>
      <w:r w:rsidRPr="00AA5833">
        <w:rPr>
          <w:rFonts w:ascii="Times New Roman" w:eastAsia="Times New Roman" w:hAnsi="Times New Roman" w:cs="Times New Roman"/>
          <w:bCs/>
          <w:sz w:val="24"/>
          <w:szCs w:val="24"/>
          <w:lang w:eastAsia="bg-BG"/>
        </w:rPr>
        <w:t>64 637,38 лв.</w:t>
      </w:r>
      <w:r w:rsidRPr="00AA5833">
        <w:rPr>
          <w:rFonts w:ascii="Times New Roman" w:eastAsia="Times New Roman" w:hAnsi="Times New Roman" w:cs="Times New Roman"/>
          <w:sz w:val="24"/>
          <w:szCs w:val="24"/>
          <w:lang w:eastAsia="bg-BG"/>
        </w:rPr>
        <w:t xml:space="preserve"> В рамките на проекта през 2024 г. са публикувани статии в престижни международни издания и са изнесени доклади на национални и международни форуми и е организирана една международна конференция в България.</w:t>
      </w:r>
    </w:p>
    <w:p w14:paraId="51295856"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Основните резултати от проекта са:</w:t>
      </w:r>
    </w:p>
    <w:p w14:paraId="3A2EA9D8"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Създадена е обща рамка и разбиране на градското земеделие в Европа.</w:t>
      </w:r>
    </w:p>
    <w:p w14:paraId="2B368BB4"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Идентифицирани и събрани са съществуващи изследвания и публикации в областта на градското земеделие и е направена оценка на липсващите данни. </w:t>
      </w:r>
    </w:p>
    <w:p w14:paraId="669A2FC3"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Формулирана е рамка, описваща видовете градско земеделие, техните ползи, предизвикателства и рискове за развитие. </w:t>
      </w:r>
    </w:p>
    <w:p w14:paraId="44272E98"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Проведен е анализ на добрите практики и управление на градското земеделие в Европа, което обхваща неговото планиране и поддържане в социален, икономически и политически контекст. </w:t>
      </w:r>
    </w:p>
    <w:p w14:paraId="2E33667F"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lastRenderedPageBreak/>
        <w:t>Формулирани са насоки за бъдещите политики на Европейския съюз на ниво град за следващите две десетилетия, базирайки се на по-добро разбиране на тези практики.</w:t>
      </w:r>
    </w:p>
    <w:p w14:paraId="04EFD17C"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 xml:space="preserve">Практическите приноси на проекта включват участие на членове на Института по философия и социология към БАН в работни групи за подкрепа на Столична община с предложения за промени в нормативната уредба, регулираща градското земеделие. </w:t>
      </w:r>
    </w:p>
    <w:p w14:paraId="7F443020" w14:textId="77777777" w:rsidR="00533926" w:rsidRPr="00AA5833" w:rsidRDefault="00533926" w:rsidP="002A598C">
      <w:pPr>
        <w:numPr>
          <w:ilvl w:val="0"/>
          <w:numId w:val="61"/>
        </w:numPr>
        <w:spacing w:after="0" w:line="240" w:lineRule="auto"/>
        <w:ind w:firstLine="360"/>
        <w:contextualSpacing/>
        <w:jc w:val="both"/>
        <w:rPr>
          <w:rFonts w:ascii="Times New Roman" w:hAnsi="Times New Roman" w:cs="Times New Roman"/>
          <w:sz w:val="24"/>
          <w:szCs w:val="24"/>
        </w:rPr>
      </w:pPr>
      <w:r w:rsidRPr="00AA5833">
        <w:rPr>
          <w:rFonts w:ascii="Times New Roman" w:hAnsi="Times New Roman" w:cs="Times New Roman"/>
          <w:sz w:val="24"/>
          <w:szCs w:val="24"/>
        </w:rPr>
        <w:t>Проектът организира международна конференция, която събра експерти и учени от единадесет страни. Конференцията доведе до разработването на Декларация за развитието на градското земеделие в Европа, която ще бъде представена на Европейския парламент.</w:t>
      </w:r>
    </w:p>
    <w:p w14:paraId="75F730A9" w14:textId="77777777" w:rsidR="00533926" w:rsidRPr="00AA5833" w:rsidRDefault="00533926" w:rsidP="00533926">
      <w:pPr>
        <w:spacing w:after="0" w:line="240" w:lineRule="auto"/>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ab/>
        <w:t>Въздействието на проекта е на национално ниво и в международен сравнителен план.</w:t>
      </w:r>
    </w:p>
    <w:p w14:paraId="2712B91C"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7BA00C2D"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14542870"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11.7. Оптимизиране на концентрацията на населението в големите градове и столицата </w:t>
            </w:r>
          </w:p>
        </w:tc>
      </w:tr>
    </w:tbl>
    <w:p w14:paraId="46002317"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0B1485FE"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0E4F163B"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11.8. Разработване на програма за решаване на проблема с “гетоизацията” чрез създаване на градоустройствени планове в кварталите с концентрация на бедност, рехабилитация на тези квартали, осигуряване на техническа инфраструктура и др.</w:t>
            </w:r>
          </w:p>
        </w:tc>
      </w:tr>
    </w:tbl>
    <w:p w14:paraId="2D65095D" w14:textId="77777777" w:rsidR="00533926" w:rsidRPr="00AA5833" w:rsidRDefault="00533926" w:rsidP="00533926">
      <w:pPr>
        <w:spacing w:after="0" w:line="240" w:lineRule="auto"/>
        <w:ind w:firstLine="708"/>
        <w:jc w:val="both"/>
        <w:rPr>
          <w:rFonts w:ascii="Times New Roman" w:eastAsia="Times New Roman" w:hAnsi="Times New Roman" w:cs="Times New Roman"/>
          <w:bCs/>
          <w:color w:val="000000"/>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5BF4B83E"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1824EF15"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 xml:space="preserve">11.9. Устойчиво подобряване на жилищните условия за ромите, чрез гарантиране на изпълнението на Плана за действие </w:t>
            </w:r>
            <w:r w:rsidRPr="00AA5833">
              <w:rPr>
                <w:rFonts w:ascii="Times New Roman" w:eastAsia="Times New Roman" w:hAnsi="Times New Roman" w:cs="Times New Roman"/>
                <w:b/>
                <w:bCs/>
                <w:color w:val="000000"/>
                <w:sz w:val="24"/>
                <w:szCs w:val="24"/>
                <w:lang w:eastAsia="bg-BG"/>
              </w:rPr>
              <w:t>за периода 2015-2020 г. за изпълнение на Националната стратегия на Република България за интегриране на ромите (2012-2020 г.)</w:t>
            </w:r>
          </w:p>
        </w:tc>
      </w:tr>
    </w:tbl>
    <w:p w14:paraId="564D0487" w14:textId="77777777" w:rsidR="00533926" w:rsidRPr="00AA5833" w:rsidRDefault="00533926" w:rsidP="00533926">
      <w:pPr>
        <w:spacing w:after="0" w:line="240" w:lineRule="auto"/>
        <w:rPr>
          <w:rFonts w:ascii="Times New Roman" w:eastAsia="Times New Roman" w:hAnsi="Times New Roman" w:cs="Times New Roman"/>
          <w:b/>
          <w:sz w:val="24"/>
          <w:szCs w:val="24"/>
          <w:lang w:eastAsia="bg-BG"/>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5"/>
      </w:tblGrid>
      <w:tr w:rsidR="00533926" w:rsidRPr="00AA5833" w14:paraId="7CF570F9"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63B39F5C"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11.10. Насърчаване на заетостта и инвестициите в селските райони с цел задържане на младите хора и преодоляване на тенденцията на застаряване на населението в тях</w:t>
            </w:r>
          </w:p>
        </w:tc>
      </w:tr>
    </w:tbl>
    <w:p w14:paraId="6EFBF784" w14:textId="77777777" w:rsidR="00533926" w:rsidRPr="00AA5833" w:rsidRDefault="00533926" w:rsidP="00533926">
      <w:pPr>
        <w:autoSpaceDE w:val="0"/>
        <w:autoSpaceDN w:val="0"/>
        <w:adjustRightInd w:val="0"/>
        <w:spacing w:after="0" w:line="240" w:lineRule="auto"/>
        <w:jc w:val="center"/>
        <w:rPr>
          <w:rFonts w:ascii="Times New Roman" w:hAnsi="Times New Roman" w:cs="Times New Roman"/>
          <w:b/>
          <w:color w:val="000000"/>
          <w:sz w:val="24"/>
          <w:szCs w:val="24"/>
        </w:rPr>
      </w:pP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533926" w:rsidRPr="00AA5833" w14:paraId="43B93FDA" w14:textId="77777777" w:rsidTr="00533926">
        <w:trPr>
          <w:trHeight w:val="107"/>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535374EB"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t>11.11. Подобряване на транспортната, търговската и други обслужващи инфраструктури на селските и пограничните райони за задържане на населението в тях</w:t>
            </w:r>
          </w:p>
        </w:tc>
      </w:tr>
    </w:tbl>
    <w:p w14:paraId="34D357ED" w14:textId="77777777" w:rsidR="00533926" w:rsidRPr="00AA5833" w:rsidRDefault="00533926" w:rsidP="00533926">
      <w:pPr>
        <w:spacing w:after="0" w:line="240" w:lineRule="auto"/>
        <w:jc w:val="both"/>
        <w:rPr>
          <w:rFonts w:ascii="Times New Roman" w:hAnsi="Times New Roman" w:cs="Times New Roman"/>
          <w:b/>
          <w:sz w:val="24"/>
          <w:szCs w:val="24"/>
        </w:rPr>
      </w:pPr>
    </w:p>
    <w:p w14:paraId="2AE0EEB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1233F273" w14:textId="77777777" w:rsidR="00533926" w:rsidRPr="00AA5833" w:rsidRDefault="00533926" w:rsidP="00533926">
      <w:pPr>
        <w:spacing w:after="0" w:line="240" w:lineRule="auto"/>
        <w:jc w:val="both"/>
        <w:rPr>
          <w:rFonts w:ascii="Times New Roman" w:hAnsi="Times New Roman" w:cs="Times New Roman"/>
          <w:b/>
          <w:sz w:val="24"/>
          <w:szCs w:val="24"/>
        </w:rPr>
      </w:pPr>
    </w:p>
    <w:p w14:paraId="6DE8F02E"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11.11.1. Подобряване на уличната инфраструктура в населени места в селските райони</w:t>
      </w:r>
    </w:p>
    <w:p w14:paraId="1C52FCB7" w14:textId="77777777" w:rsidR="00533926" w:rsidRPr="00AA5833" w:rsidRDefault="00533926" w:rsidP="00533926">
      <w:pPr>
        <w:spacing w:after="0" w:line="240" w:lineRule="auto"/>
        <w:ind w:firstLine="708"/>
        <w:contextualSpacing/>
        <w:jc w:val="both"/>
        <w:outlineLvl w:val="0"/>
        <w:rPr>
          <w:rFonts w:ascii="Times New Roman" w:eastAsia="Calibri" w:hAnsi="Times New Roman" w:cs="Times New Roman"/>
          <w:bCs/>
          <w:sz w:val="24"/>
          <w:szCs w:val="24"/>
        </w:rPr>
      </w:pPr>
      <w:r w:rsidRPr="00AA5833">
        <w:rPr>
          <w:rFonts w:ascii="Times New Roman" w:hAnsi="Times New Roman" w:cs="Times New Roman"/>
          <w:sz w:val="24"/>
          <w:szCs w:val="24"/>
        </w:rPr>
        <w:t xml:space="preserve">По </w:t>
      </w:r>
      <w:r w:rsidRPr="00AA5833">
        <w:rPr>
          <w:rFonts w:ascii="Times New Roman" w:hAnsi="Times New Roman" w:cs="Times New Roman"/>
          <w:bCs/>
          <w:sz w:val="24"/>
          <w:szCs w:val="24"/>
          <w:shd w:val="clear" w:color="auto" w:fill="FEFEFE"/>
        </w:rPr>
        <w:t xml:space="preserve">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w:t>
      </w:r>
      <w:r w:rsidRPr="00AA5833">
        <w:rPr>
          <w:rFonts w:ascii="Times New Roman" w:hAnsi="Times New Roman" w:cs="Times New Roman"/>
          <w:sz w:val="24"/>
          <w:szCs w:val="24"/>
        </w:rPr>
        <w:t xml:space="preserve">от ПРСР 2014–2020 г. през 2022 г. е открита Процедура чрез подбор на проектни предложения </w:t>
      </w:r>
      <w:r w:rsidRPr="00AA5833">
        <w:rPr>
          <w:rFonts w:ascii="Times New Roman" w:hAnsi="Times New Roman" w:cs="Times New Roman"/>
          <w:bCs/>
          <w:sz w:val="24"/>
          <w:szCs w:val="24"/>
          <w:shd w:val="clear" w:color="auto" w:fill="FEFEFE"/>
        </w:rPr>
        <w:t>№BG06RDNP001-7.017 – Улици „</w:t>
      </w:r>
      <w:r w:rsidRPr="00AA5833">
        <w:rPr>
          <w:rFonts w:ascii="Times New Roman" w:hAnsi="Times New Roman" w:cs="Times New Roman"/>
          <w:sz w:val="24"/>
          <w:szCs w:val="24"/>
        </w:rPr>
        <w:t xml:space="preserve">Строителство, реконструкция и/или рехабилитация на нови и съществуващи улици и тротоари и съоръженията и принадлежностите към тях“. </w:t>
      </w:r>
      <w:r w:rsidRPr="00AA5833">
        <w:rPr>
          <w:rFonts w:ascii="Times New Roman" w:eastAsia="Calibri" w:hAnsi="Times New Roman" w:cs="Times New Roman"/>
          <w:bCs/>
          <w:sz w:val="24"/>
          <w:szCs w:val="24"/>
        </w:rPr>
        <w:t xml:space="preserve">Целта на подкрепата е подобряване на уличната инфраструктура в населени места в селските райони. </w:t>
      </w:r>
    </w:p>
    <w:p w14:paraId="36B5B074"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sz w:val="24"/>
          <w:szCs w:val="24"/>
        </w:rPr>
        <w:t xml:space="preserve">Бюджетът по Процедура „Улици“, след увеличение през 2024 г., е </w:t>
      </w:r>
      <w:r w:rsidRPr="00AA5833">
        <w:rPr>
          <w:rFonts w:ascii="Times New Roman" w:hAnsi="Times New Roman" w:cs="Times New Roman"/>
          <w:bCs/>
          <w:sz w:val="24"/>
          <w:szCs w:val="24"/>
        </w:rPr>
        <w:t xml:space="preserve">в размер на </w:t>
      </w:r>
      <w:r w:rsidRPr="00AA5833">
        <w:rPr>
          <w:rFonts w:ascii="Times New Roman" w:hAnsi="Times New Roman" w:cs="Times New Roman"/>
          <w:sz w:val="24"/>
          <w:szCs w:val="24"/>
        </w:rPr>
        <w:t xml:space="preserve">148 млн. </w:t>
      </w:r>
      <w:r w:rsidRPr="00AA5833">
        <w:rPr>
          <w:rFonts w:ascii="Times New Roman" w:hAnsi="Times New Roman" w:cs="Times New Roman"/>
          <w:bCs/>
          <w:sz w:val="24"/>
          <w:szCs w:val="24"/>
        </w:rPr>
        <w:t>лева</w:t>
      </w:r>
      <w:r w:rsidRPr="00AA5833">
        <w:rPr>
          <w:rFonts w:ascii="Times New Roman" w:hAnsi="Times New Roman" w:cs="Times New Roman"/>
          <w:sz w:val="24"/>
          <w:szCs w:val="24"/>
        </w:rPr>
        <w:t xml:space="preserve">. До 2023 г. са подадени 109 проектни предложения с обща стойност на заявените разходи в размер на близо 200 млн. лева. </w:t>
      </w:r>
      <w:r w:rsidRPr="00AA5833">
        <w:rPr>
          <w:rFonts w:ascii="Times New Roman" w:hAnsi="Times New Roman" w:cs="Times New Roman"/>
          <w:bCs/>
          <w:sz w:val="24"/>
          <w:szCs w:val="24"/>
        </w:rPr>
        <w:t xml:space="preserve">След приключване на работата на оценителната комисия през 2023 г. има сключени 39 броя договори с кандидати общини </w:t>
      </w:r>
      <w:r w:rsidRPr="00AA5833">
        <w:rPr>
          <w:rFonts w:ascii="Times New Roman" w:hAnsi="Times New Roman" w:cs="Times New Roman"/>
          <w:bCs/>
          <w:sz w:val="24"/>
          <w:szCs w:val="24"/>
        </w:rPr>
        <w:lastRenderedPageBreak/>
        <w:t>от селските райони, с обща стойност на одобрените разходи в размер на около 72,4 млн. лева. През 2024 г. след увеличаване на размера на бюджета по процедурата са сключени 42 броя договори с бенефициенти общини.</w:t>
      </w:r>
    </w:p>
    <w:p w14:paraId="733F1FEA"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bCs/>
          <w:sz w:val="24"/>
          <w:szCs w:val="24"/>
        </w:rPr>
        <w:t>По сключените административни договори с бенефициентите, които са общини от селските райони, се очаква окончателно плащане по Процедурата през месец декември 2025 г.</w:t>
      </w:r>
    </w:p>
    <w:p w14:paraId="57B842AD"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p>
    <w:p w14:paraId="52E2CBA0"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61AA9EBA"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p>
    <w:p w14:paraId="69982B19"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11.11.2. Подобряване на транспортната свързаност и достъпност на по-отдалечените населени места в селските райони</w:t>
      </w:r>
    </w:p>
    <w:p w14:paraId="0DBA3CA5"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p>
    <w:p w14:paraId="3CB54242"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2022 г. е открита Процедура чрез подбор на проектни предложения </w:t>
      </w:r>
      <w:r w:rsidRPr="00AA5833">
        <w:rPr>
          <w:rFonts w:ascii="Times New Roman" w:hAnsi="Times New Roman" w:cs="Times New Roman"/>
          <w:bCs/>
          <w:sz w:val="24"/>
          <w:szCs w:val="24"/>
          <w:shd w:val="clear" w:color="auto" w:fill="FEFEFE"/>
        </w:rPr>
        <w:t>№BG06RDNP001-7.019 – Пътища „</w:t>
      </w:r>
      <w:r w:rsidRPr="00AA5833">
        <w:rPr>
          <w:rFonts w:ascii="Times New Roman" w:hAnsi="Times New Roman" w:cs="Times New Roman"/>
          <w:sz w:val="24"/>
          <w:szCs w:val="24"/>
        </w:rPr>
        <w:t xml:space="preserve">Строителство, реконструкция и/или рехабилитация на съществуващи общински пътища и съоръженията и принадлежностите към тях“ по </w:t>
      </w:r>
      <w:r w:rsidRPr="00AA5833">
        <w:rPr>
          <w:rFonts w:ascii="Times New Roman" w:hAnsi="Times New Roman" w:cs="Times New Roman"/>
          <w:bCs/>
          <w:sz w:val="24"/>
          <w:szCs w:val="24"/>
          <w:shd w:val="clear" w:color="auto" w:fill="FEFEFE"/>
        </w:rPr>
        <w:t xml:space="preserve">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w:t>
      </w:r>
      <w:r w:rsidRPr="00AA5833">
        <w:rPr>
          <w:rFonts w:ascii="Times New Roman" w:hAnsi="Times New Roman" w:cs="Times New Roman"/>
          <w:sz w:val="24"/>
          <w:szCs w:val="24"/>
        </w:rPr>
        <w:t xml:space="preserve">от ПРСР 2014–2020 г. </w:t>
      </w:r>
    </w:p>
    <w:p w14:paraId="10BBC049"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sz w:val="24"/>
          <w:szCs w:val="24"/>
        </w:rPr>
        <w:t xml:space="preserve">Бюджетът по Процедура „Пътища“, след увеличение през 2024 г., е </w:t>
      </w:r>
      <w:r w:rsidRPr="00AA5833">
        <w:rPr>
          <w:rFonts w:ascii="Times New Roman" w:hAnsi="Times New Roman" w:cs="Times New Roman"/>
          <w:bCs/>
          <w:sz w:val="24"/>
          <w:szCs w:val="24"/>
        </w:rPr>
        <w:t xml:space="preserve">в размер на </w:t>
      </w:r>
      <w:r w:rsidRPr="00AA5833">
        <w:rPr>
          <w:rFonts w:ascii="Times New Roman" w:hAnsi="Times New Roman" w:cs="Times New Roman"/>
          <w:sz w:val="24"/>
          <w:szCs w:val="24"/>
        </w:rPr>
        <w:t>119,7 млн. лева</w:t>
      </w:r>
      <w:r w:rsidRPr="00AA5833">
        <w:rPr>
          <w:rFonts w:ascii="Times New Roman" w:hAnsi="Times New Roman" w:cs="Times New Roman"/>
          <w:bCs/>
          <w:sz w:val="24"/>
          <w:szCs w:val="24"/>
        </w:rPr>
        <w:t>. До 2023 г. са подадени 51 проектни предложения с обща стойност на заявените разходи в размер на над 135 млн. лева. След приключване на работата на оценителната комисия през 2023 г. има сключени 35 броя договори с кандидати, с обща стойност на одобрените разходи в размер на около 99,8 млн. лева. През 2024 г. след увеличаване на размера на бюджета по процедурата са сключени 8 броя договори с бенефициенти общини.</w:t>
      </w:r>
    </w:p>
    <w:p w14:paraId="0DCC6FFD"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bCs/>
          <w:sz w:val="24"/>
          <w:szCs w:val="24"/>
        </w:rPr>
        <w:t>По сключените административни договори с бенефициентите, които са общини от селските райони, се очаква окончателно плащане през месец декември 2025 г.</w:t>
      </w:r>
    </w:p>
    <w:p w14:paraId="76F0EA9D" w14:textId="77777777" w:rsidR="00533926" w:rsidRPr="00AA5833" w:rsidRDefault="00533926" w:rsidP="00533926">
      <w:pPr>
        <w:tabs>
          <w:tab w:val="left" w:pos="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b/>
          <w:bCs/>
          <w:i/>
          <w:sz w:val="24"/>
          <w:szCs w:val="24"/>
        </w:rPr>
      </w:pPr>
    </w:p>
    <w:p w14:paraId="1365819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3829881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C5705CB"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11.11.3. Подобряване на достъпа до качествена и чиста питейна вода в малките населени места в селските райони</w:t>
      </w:r>
    </w:p>
    <w:p w14:paraId="21860701"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p>
    <w:p w14:paraId="2DC76511" w14:textId="77777777" w:rsidR="00533926" w:rsidRPr="00AA5833" w:rsidRDefault="00533926" w:rsidP="00533926">
      <w:pPr>
        <w:spacing w:after="0" w:line="240" w:lineRule="auto"/>
        <w:ind w:firstLine="709"/>
        <w:jc w:val="both"/>
        <w:rPr>
          <w:rFonts w:ascii="Times New Roman" w:hAnsi="Times New Roman" w:cs="Times New Roman"/>
          <w:sz w:val="24"/>
          <w:szCs w:val="24"/>
        </w:rPr>
      </w:pPr>
      <w:r w:rsidRPr="00AA5833">
        <w:rPr>
          <w:rFonts w:ascii="Times New Roman" w:hAnsi="Times New Roman" w:cs="Times New Roman"/>
          <w:sz w:val="24"/>
          <w:szCs w:val="24"/>
        </w:rPr>
        <w:t xml:space="preserve">През 2022 г. е открита Процедура чрез подбор на проектни предложения </w:t>
      </w:r>
      <w:r w:rsidRPr="00AA5833">
        <w:rPr>
          <w:rFonts w:ascii="Times New Roman" w:hAnsi="Times New Roman" w:cs="Times New Roman"/>
          <w:bCs/>
          <w:sz w:val="24"/>
          <w:szCs w:val="24"/>
          <w:shd w:val="clear" w:color="auto" w:fill="FEFEFE"/>
        </w:rPr>
        <w:t>№BG06RDNP001-7.021 – Вода „Изграждане, реконструкция и/или рехабилитация на водоснабдителни системи и съоръжения в агломерации с под 2000 е.ж. в селските райони</w:t>
      </w:r>
      <w:r w:rsidRPr="00AA5833">
        <w:rPr>
          <w:rFonts w:ascii="Times New Roman" w:hAnsi="Times New Roman" w:cs="Times New Roman"/>
          <w:sz w:val="24"/>
          <w:szCs w:val="24"/>
        </w:rPr>
        <w:t xml:space="preserve">“ по </w:t>
      </w:r>
      <w:r w:rsidRPr="00AA5833">
        <w:rPr>
          <w:rFonts w:ascii="Times New Roman" w:hAnsi="Times New Roman" w:cs="Times New Roman"/>
          <w:bCs/>
          <w:sz w:val="24"/>
          <w:szCs w:val="24"/>
          <w:shd w:val="clear" w:color="auto" w:fill="FEFEFE"/>
        </w:rPr>
        <w:t xml:space="preserve">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w:t>
      </w:r>
      <w:r w:rsidRPr="00AA5833">
        <w:rPr>
          <w:rFonts w:ascii="Times New Roman" w:hAnsi="Times New Roman" w:cs="Times New Roman"/>
          <w:sz w:val="24"/>
          <w:szCs w:val="24"/>
        </w:rPr>
        <w:t xml:space="preserve">от ПРСР 2014–2020 г. </w:t>
      </w:r>
    </w:p>
    <w:p w14:paraId="557CFD63"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sz w:val="24"/>
          <w:szCs w:val="24"/>
        </w:rPr>
        <w:t xml:space="preserve">Бюджетът по Процедура „Вода“ е </w:t>
      </w:r>
      <w:r w:rsidRPr="00AA5833">
        <w:rPr>
          <w:rFonts w:ascii="Times New Roman" w:hAnsi="Times New Roman" w:cs="Times New Roman"/>
          <w:bCs/>
          <w:sz w:val="24"/>
          <w:szCs w:val="24"/>
        </w:rPr>
        <w:t xml:space="preserve">в размер на </w:t>
      </w:r>
      <w:r w:rsidRPr="00AA5833">
        <w:rPr>
          <w:rFonts w:ascii="Times New Roman" w:hAnsi="Times New Roman" w:cs="Times New Roman"/>
          <w:sz w:val="24"/>
          <w:szCs w:val="24"/>
        </w:rPr>
        <w:t xml:space="preserve">97,8 млн. </w:t>
      </w:r>
      <w:r w:rsidRPr="00AA5833">
        <w:rPr>
          <w:rFonts w:ascii="Times New Roman" w:hAnsi="Times New Roman" w:cs="Times New Roman"/>
          <w:bCs/>
          <w:sz w:val="24"/>
          <w:szCs w:val="24"/>
        </w:rPr>
        <w:t xml:space="preserve">лева. През 2023 г. са сключени 35 броя договори с кандидати, с обща стойност на одобрените разходи в размер на 89,9 млн. </w:t>
      </w:r>
      <w:r w:rsidRPr="00AA5833">
        <w:rPr>
          <w:rFonts w:ascii="Times New Roman" w:hAnsi="Times New Roman" w:cs="Times New Roman"/>
          <w:sz w:val="24"/>
          <w:szCs w:val="24"/>
        </w:rPr>
        <w:t>лева</w:t>
      </w:r>
      <w:r w:rsidRPr="00AA5833">
        <w:rPr>
          <w:rFonts w:ascii="Times New Roman" w:hAnsi="Times New Roman" w:cs="Times New Roman"/>
          <w:bCs/>
          <w:sz w:val="24"/>
          <w:szCs w:val="24"/>
        </w:rPr>
        <w:t>. През 2024 г. не е увеличаван бюджетът по процедурата</w:t>
      </w:r>
      <w:r w:rsidRPr="00AA5833">
        <w:rPr>
          <w:rFonts w:ascii="Times New Roman" w:hAnsi="Times New Roman" w:cs="Times New Roman"/>
          <w:bCs/>
          <w:sz w:val="24"/>
          <w:szCs w:val="24"/>
          <w:shd w:val="clear" w:color="auto" w:fill="FEFEFE"/>
        </w:rPr>
        <w:t>, поради което не са сключвани нови договори.</w:t>
      </w:r>
    </w:p>
    <w:p w14:paraId="3711B25B"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r w:rsidRPr="00AA5833">
        <w:rPr>
          <w:rFonts w:ascii="Times New Roman" w:hAnsi="Times New Roman" w:cs="Times New Roman"/>
          <w:bCs/>
          <w:sz w:val="24"/>
          <w:szCs w:val="24"/>
        </w:rPr>
        <w:t>По сключените административни договори с бенефициентите, които са общини от селските райони, се очаква окончателно плащане през месец декември 2025 г.</w:t>
      </w:r>
    </w:p>
    <w:p w14:paraId="3CF41C68"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p>
    <w:p w14:paraId="7BF2A954"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МИНИСТЕРСТВО НА ЗЕМЕДЕЛИЕТО И ХРАНИТЕ</w:t>
      </w:r>
    </w:p>
    <w:p w14:paraId="2756FCC5" w14:textId="77777777" w:rsidR="00533926" w:rsidRPr="00AA5833" w:rsidRDefault="00533926" w:rsidP="00533926">
      <w:pPr>
        <w:spacing w:after="0" w:line="240" w:lineRule="auto"/>
        <w:ind w:firstLine="709"/>
        <w:jc w:val="both"/>
        <w:rPr>
          <w:rFonts w:ascii="Times New Roman" w:hAnsi="Times New Roman" w:cs="Times New Roman"/>
          <w:bCs/>
          <w:sz w:val="24"/>
          <w:szCs w:val="24"/>
        </w:rPr>
      </w:pPr>
    </w:p>
    <w:p w14:paraId="4F2BD1C8"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t>11.11.4. Подобряване на енергийната ефективност на общински сгради, в които се предоставят обществени услуги, в селските райони</w:t>
      </w:r>
    </w:p>
    <w:p w14:paraId="5F1BB2AE" w14:textId="77777777" w:rsidR="00533926" w:rsidRPr="00AA5833" w:rsidRDefault="00533926" w:rsidP="00533926">
      <w:pPr>
        <w:overflowPunct w:val="0"/>
        <w:autoSpaceDE w:val="0"/>
        <w:autoSpaceDN w:val="0"/>
        <w:adjustRightInd w:val="0"/>
        <w:spacing w:after="0" w:line="240" w:lineRule="auto"/>
        <w:jc w:val="both"/>
        <w:textAlignment w:val="baseline"/>
        <w:rPr>
          <w:rFonts w:ascii="Times New Roman" w:eastAsia="Calibri" w:hAnsi="Times New Roman" w:cs="Times New Roman"/>
          <w:b/>
          <w:bCs/>
          <w:sz w:val="24"/>
          <w:szCs w:val="24"/>
        </w:rPr>
      </w:pPr>
      <w:r w:rsidRPr="00AA5833">
        <w:rPr>
          <w:rFonts w:ascii="Times New Roman" w:eastAsia="Calibri" w:hAnsi="Times New Roman" w:cs="Times New Roman"/>
          <w:b/>
          <w:bCs/>
          <w:sz w:val="24"/>
          <w:szCs w:val="24"/>
        </w:rPr>
        <w:lastRenderedPageBreak/>
        <w:t xml:space="preserve"> </w:t>
      </w:r>
    </w:p>
    <w:p w14:paraId="44A2B2EC" w14:textId="77777777" w:rsidR="00533926" w:rsidRPr="00AA5833" w:rsidRDefault="00533926" w:rsidP="00533926">
      <w:pPr>
        <w:spacing w:after="0" w:line="240" w:lineRule="auto"/>
        <w:jc w:val="both"/>
        <w:rPr>
          <w:rFonts w:ascii="Times New Roman" w:hAnsi="Times New Roman" w:cs="Times New Roman"/>
          <w:sz w:val="24"/>
          <w:szCs w:val="24"/>
        </w:rPr>
      </w:pPr>
      <w:r w:rsidRPr="00AA5833">
        <w:rPr>
          <w:rFonts w:ascii="Times New Roman" w:hAnsi="Times New Roman" w:cs="Times New Roman"/>
          <w:sz w:val="24"/>
          <w:szCs w:val="24"/>
        </w:rPr>
        <w:tab/>
        <w:t xml:space="preserve">През 2022 г. е открита Процедура чрез подбор на проектни предложения </w:t>
      </w:r>
      <w:r w:rsidRPr="00AA5833">
        <w:rPr>
          <w:rFonts w:ascii="Times New Roman" w:hAnsi="Times New Roman" w:cs="Times New Roman"/>
          <w:bCs/>
          <w:sz w:val="24"/>
          <w:szCs w:val="24"/>
          <w:shd w:val="clear" w:color="auto" w:fill="FEFEFE"/>
        </w:rPr>
        <w:t xml:space="preserve">№BG06RDNP001-7.020 – </w:t>
      </w:r>
      <w:r w:rsidRPr="00AA5833">
        <w:rPr>
          <w:rFonts w:ascii="Times New Roman" w:hAnsi="Times New Roman" w:cs="Times New Roman"/>
          <w:sz w:val="24"/>
          <w:szCs w:val="24"/>
        </w:rPr>
        <w:t xml:space="preserve">Енергийна ефективност „Реконструкция, ремонт, оборудване и/или обзавеждане на общински сгради, в които се предоставят обществени услуги, с цел подобряване на тяхната енергийна ефективност“ по </w:t>
      </w:r>
      <w:r w:rsidRPr="00AA5833">
        <w:rPr>
          <w:rFonts w:ascii="Times New Roman" w:hAnsi="Times New Roman" w:cs="Times New Roman"/>
          <w:bCs/>
          <w:sz w:val="24"/>
          <w:szCs w:val="24"/>
          <w:shd w:val="clear" w:color="auto" w:fill="FEFEFE"/>
        </w:rPr>
        <w:t xml:space="preserve">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w:t>
      </w:r>
      <w:r w:rsidRPr="00AA5833">
        <w:rPr>
          <w:rFonts w:ascii="Times New Roman" w:hAnsi="Times New Roman" w:cs="Times New Roman"/>
          <w:sz w:val="24"/>
          <w:szCs w:val="24"/>
        </w:rPr>
        <w:t xml:space="preserve">от ПРСР 2014-2020 г. </w:t>
      </w:r>
    </w:p>
    <w:p w14:paraId="30B6EF49"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sz w:val="24"/>
          <w:szCs w:val="24"/>
        </w:rPr>
        <w:tab/>
        <w:t xml:space="preserve">Бюджетът по процедурата, след увеличение през 2024 г., е </w:t>
      </w:r>
      <w:r w:rsidRPr="00AA5833">
        <w:rPr>
          <w:rFonts w:ascii="Times New Roman" w:hAnsi="Times New Roman" w:cs="Times New Roman"/>
          <w:bCs/>
          <w:sz w:val="24"/>
          <w:szCs w:val="24"/>
        </w:rPr>
        <w:t xml:space="preserve">в размер на </w:t>
      </w:r>
      <w:r w:rsidRPr="00AA5833">
        <w:rPr>
          <w:rFonts w:ascii="Times New Roman" w:hAnsi="Times New Roman" w:cs="Times New Roman"/>
          <w:sz w:val="24"/>
          <w:szCs w:val="24"/>
          <w:lang w:eastAsia="en-GB"/>
        </w:rPr>
        <w:t xml:space="preserve">95,1 млн. </w:t>
      </w:r>
      <w:r w:rsidRPr="00AA5833">
        <w:rPr>
          <w:rFonts w:ascii="Times New Roman" w:hAnsi="Times New Roman" w:cs="Times New Roman"/>
          <w:bCs/>
          <w:sz w:val="24"/>
          <w:szCs w:val="24"/>
        </w:rPr>
        <w:t>лева. До 2023 г. са подадени 122 проектни предложения с обща стойност на заявените разходи в размер на над 104 млн. лева.</w:t>
      </w:r>
      <w:r w:rsidRPr="00AA5833">
        <w:rPr>
          <w:rFonts w:ascii="Times New Roman" w:hAnsi="Times New Roman" w:cs="Times New Roman"/>
          <w:bCs/>
          <w:color w:val="FF0000"/>
          <w:sz w:val="24"/>
          <w:szCs w:val="24"/>
        </w:rPr>
        <w:t xml:space="preserve"> </w:t>
      </w:r>
      <w:r w:rsidRPr="00AA5833">
        <w:rPr>
          <w:rFonts w:ascii="Times New Roman" w:hAnsi="Times New Roman" w:cs="Times New Roman"/>
          <w:bCs/>
          <w:sz w:val="24"/>
          <w:szCs w:val="24"/>
        </w:rPr>
        <w:t xml:space="preserve">След приключване на работата на оценителната комисия през 2023 г. има сключени 76 броя договори с кандидати, с обща стойност на одобрените разходи в размер на </w:t>
      </w:r>
      <w:r w:rsidRPr="00AA5833">
        <w:rPr>
          <w:rFonts w:ascii="Times New Roman" w:hAnsi="Times New Roman" w:cs="Times New Roman"/>
          <w:sz w:val="24"/>
          <w:szCs w:val="24"/>
        </w:rPr>
        <w:t>63,3 млн. лева</w:t>
      </w:r>
      <w:r w:rsidRPr="00AA5833">
        <w:rPr>
          <w:rFonts w:ascii="Times New Roman" w:hAnsi="Times New Roman" w:cs="Times New Roman"/>
          <w:bCs/>
          <w:sz w:val="24"/>
          <w:szCs w:val="24"/>
        </w:rPr>
        <w:t>. През 2024 г. след увеличаване на размера на бюджета по процедурата са сключени 42 броя договори с бенефициенти общини.</w:t>
      </w:r>
    </w:p>
    <w:p w14:paraId="75069E68" w14:textId="77777777" w:rsidR="00533926" w:rsidRPr="00AA5833" w:rsidRDefault="00533926" w:rsidP="00533926">
      <w:pPr>
        <w:spacing w:after="0" w:line="240" w:lineRule="auto"/>
        <w:jc w:val="both"/>
        <w:rPr>
          <w:rFonts w:ascii="Times New Roman" w:hAnsi="Times New Roman" w:cs="Times New Roman"/>
          <w:bCs/>
          <w:sz w:val="24"/>
          <w:szCs w:val="24"/>
        </w:rPr>
      </w:pPr>
      <w:r w:rsidRPr="00AA5833">
        <w:rPr>
          <w:rFonts w:ascii="Times New Roman" w:hAnsi="Times New Roman" w:cs="Times New Roman"/>
          <w:bCs/>
          <w:sz w:val="24"/>
          <w:szCs w:val="24"/>
        </w:rPr>
        <w:tab/>
        <w:t>По сключените административни договори с бенефициентите, които са общини от селските райони, се очаква окончателно плащане през месец декември 2025 г.</w:t>
      </w:r>
    </w:p>
    <w:p w14:paraId="19F7E249" w14:textId="77777777" w:rsidR="00533926" w:rsidRPr="00AA5833" w:rsidRDefault="00533926" w:rsidP="00533926">
      <w:pPr>
        <w:spacing w:after="0" w:line="240" w:lineRule="auto"/>
        <w:jc w:val="both"/>
        <w:rPr>
          <w:rFonts w:ascii="Times New Roman" w:hAnsi="Times New Roman" w:cs="Times New Roman"/>
          <w:b/>
          <w:sz w:val="24"/>
          <w:szCs w:val="24"/>
        </w:rPr>
      </w:pP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533926" w:rsidRPr="00AA5833" w14:paraId="2A5691FA" w14:textId="77777777" w:rsidTr="00533926">
        <w:trPr>
          <w:trHeight w:val="107"/>
        </w:trPr>
        <w:tc>
          <w:tcPr>
            <w:tcW w:w="5000" w:type="pct"/>
            <w:tcBorders>
              <w:top w:val="single" w:sz="4" w:space="0" w:color="auto"/>
              <w:left w:val="single" w:sz="4" w:space="0" w:color="auto"/>
              <w:bottom w:val="single" w:sz="4" w:space="0" w:color="auto"/>
              <w:right w:val="single" w:sz="4" w:space="0" w:color="auto"/>
            </w:tcBorders>
            <w:shd w:val="clear" w:color="auto" w:fill="FFFF99"/>
          </w:tcPr>
          <w:p w14:paraId="55B0D094"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bCs/>
                <w:color w:val="000000"/>
                <w:sz w:val="24"/>
                <w:szCs w:val="24"/>
                <w:lang w:eastAsia="bg-BG"/>
              </w:rPr>
              <w:t xml:space="preserve">11.12. Опазване и поддържане на екологична и ергономична среда за живот </w:t>
            </w:r>
          </w:p>
          <w:p w14:paraId="7B3E913C"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p>
        </w:tc>
      </w:tr>
    </w:tbl>
    <w:p w14:paraId="562ADBF1" w14:textId="77777777" w:rsidR="00533926" w:rsidRPr="00AA5833" w:rsidRDefault="00533926" w:rsidP="00533926">
      <w:pPr>
        <w:spacing w:after="0" w:line="240" w:lineRule="auto"/>
        <w:rPr>
          <w:rFonts w:ascii="Times New Roman" w:eastAsia="Times New Roman" w:hAnsi="Times New Roman" w:cs="Times New Roman"/>
          <w:bCs/>
          <w:sz w:val="20"/>
          <w:szCs w:val="20"/>
          <w:highlight w:val="yellow"/>
          <w:lang w:eastAsia="bg-BG"/>
        </w:rPr>
      </w:pPr>
    </w:p>
    <w:p w14:paraId="45448843"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712C58C4" w14:textId="77777777" w:rsidR="00533926" w:rsidRPr="00AA5833" w:rsidRDefault="00533926" w:rsidP="00533926">
      <w:pPr>
        <w:spacing w:after="0" w:line="240" w:lineRule="auto"/>
        <w:rPr>
          <w:rFonts w:ascii="Times New Roman" w:eastAsia="Times New Roman" w:hAnsi="Times New Roman" w:cs="Times New Roman"/>
          <w:bCs/>
          <w:sz w:val="20"/>
          <w:szCs w:val="20"/>
          <w:highlight w:val="yellow"/>
          <w:lang w:eastAsia="bg-BG"/>
        </w:rPr>
      </w:pPr>
    </w:p>
    <w:p w14:paraId="4D563CA8"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11.12.1. Проект „Повишаване ролята на гласа на служителите за иновациите на работното място“ (BROADVOICE: Broadening the spectrum of employee voice in workplace innovation)</w:t>
      </w:r>
    </w:p>
    <w:p w14:paraId="0061D0C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43930A4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със срок на изпълнение 2023-2025 г. и се финансира от Европейската комисия. През 2024 г. се работи с финансирането, получено през 2023 г. В рамките на проекта през 2024 г. са публикувани статии в престижни международни издания и са изнесени доклади на национални и международни форуми.</w:t>
      </w:r>
    </w:p>
    <w:p w14:paraId="7AFF2C06"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Основният резултат от проекта е: изведена е ролята на представителите на работниците и институциите в областта на индустриалните отношения (по-специално колективното договаряне, съвместното определяне, консултациите) за насърчаване, регулиране и прилагане на иновации на работното място чрез пряко изразяване на мнението на работниците в Европа.</w:t>
      </w:r>
    </w:p>
    <w:p w14:paraId="2A48DAAB"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Въздействието на проекта е на национално ниво и в международен сравнителен план.</w:t>
      </w:r>
    </w:p>
    <w:p w14:paraId="47F98898"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7587F2A0"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4AFA0B15"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bCs/>
                <w:sz w:val="24"/>
                <w:szCs w:val="24"/>
              </w:rPr>
              <w:t xml:space="preserve">11.13. Разработване на областни и/или общински демографски стратегии, съобразно спецификите на демографското развитие на населението </w:t>
            </w:r>
          </w:p>
        </w:tc>
      </w:tr>
    </w:tbl>
    <w:p w14:paraId="7B73E7B2"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p>
    <w:p w14:paraId="288C965F"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347173FC" w14:textId="77777777" w:rsidR="00533926" w:rsidRPr="00AA5833" w:rsidRDefault="00533926" w:rsidP="00533926">
      <w:pPr>
        <w:spacing w:after="0" w:line="240" w:lineRule="auto"/>
        <w:rPr>
          <w:rFonts w:ascii="Times New Roman" w:hAnsi="Times New Roman" w:cs="Times New Roman"/>
          <w:sz w:val="24"/>
          <w:szCs w:val="24"/>
        </w:rPr>
      </w:pPr>
    </w:p>
    <w:p w14:paraId="7F7B4A3B"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 xml:space="preserve">11.13.1. Проект „Качество на живот и благополучие в контекста на професионалните общности и тяхната активност“ </w:t>
      </w:r>
    </w:p>
    <w:p w14:paraId="37DBC8C6" w14:textId="77777777" w:rsidR="00533926" w:rsidRPr="00AA5833" w:rsidRDefault="00533926" w:rsidP="00533926">
      <w:pPr>
        <w:spacing w:after="0" w:line="240" w:lineRule="auto"/>
        <w:rPr>
          <w:rFonts w:ascii="Times New Roman" w:eastAsia="Times New Roman" w:hAnsi="Times New Roman" w:cs="Times New Roman"/>
          <w:bCs/>
          <w:sz w:val="24"/>
          <w:szCs w:val="24"/>
          <w:lang w:eastAsia="bg-BG"/>
        </w:rPr>
      </w:pPr>
    </w:p>
    <w:p w14:paraId="05B219D7"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 xml:space="preserve">Проектът е със срок на изпълнение 2023-2027 г. и се финансира от Фонд „Научни изследвания“ при МОН. През 2024 г. са получени финансови средства в размер на 100 000 лв. В рамките на проекта през 2024 г. са публикувани статии в престижни </w:t>
      </w:r>
      <w:r w:rsidRPr="00AA5833">
        <w:rPr>
          <w:rFonts w:ascii="Times New Roman" w:eastAsia="Times New Roman" w:hAnsi="Times New Roman" w:cs="Times New Roman"/>
          <w:bCs/>
          <w:sz w:val="24"/>
          <w:szCs w:val="24"/>
          <w:lang w:eastAsia="bg-BG"/>
        </w:rPr>
        <w:lastRenderedPageBreak/>
        <w:t>международни издания и са изнесени доклади на национални и международни форуми, подготвени са сравнителни изследователски доклади.</w:t>
      </w:r>
    </w:p>
    <w:p w14:paraId="1C9612A4"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4455E6A2" w14:textId="77777777" w:rsidR="00533926" w:rsidRPr="00AA5833" w:rsidRDefault="00533926" w:rsidP="002A598C">
      <w:pPr>
        <w:numPr>
          <w:ilvl w:val="0"/>
          <w:numId w:val="70"/>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Разработена е авторова концепция за индикатори за качество на живот на професионални общности.</w:t>
      </w:r>
    </w:p>
    <w:p w14:paraId="2E7DB283" w14:textId="77777777" w:rsidR="00533926" w:rsidRPr="00AA5833" w:rsidRDefault="00533926" w:rsidP="002A598C">
      <w:pPr>
        <w:numPr>
          <w:ilvl w:val="0"/>
          <w:numId w:val="70"/>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Набрана е информация за качеството на живот на пет професионални общности.</w:t>
      </w:r>
    </w:p>
    <w:p w14:paraId="27362761" w14:textId="77777777" w:rsidR="00533926" w:rsidRPr="00AA5833" w:rsidRDefault="00533926" w:rsidP="002A598C">
      <w:pPr>
        <w:numPr>
          <w:ilvl w:val="0"/>
          <w:numId w:val="70"/>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Изведени са различни модели на качество на живот на професионалните общности.</w:t>
      </w:r>
    </w:p>
    <w:p w14:paraId="63917B45" w14:textId="77777777" w:rsidR="00533926" w:rsidRPr="00AA5833" w:rsidRDefault="00533926" w:rsidP="002A598C">
      <w:pPr>
        <w:numPr>
          <w:ilvl w:val="0"/>
          <w:numId w:val="70"/>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Направена е съпоставка на качеството на живот и неговите различни измерения при пет професионални общности.</w:t>
      </w:r>
    </w:p>
    <w:p w14:paraId="5F32E766" w14:textId="77777777" w:rsidR="00533926" w:rsidRPr="00AA5833" w:rsidRDefault="00533926" w:rsidP="00533926">
      <w:p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Въздействието на проекта е на национално и регионално ниво и в сравнителен професионален план.</w:t>
      </w:r>
    </w:p>
    <w:p w14:paraId="3EE40C05" w14:textId="77777777" w:rsidR="00533926" w:rsidRPr="00AA5833" w:rsidRDefault="00533926" w:rsidP="00533926">
      <w:pPr>
        <w:spacing w:after="0" w:line="240" w:lineRule="auto"/>
        <w:rPr>
          <w:rFonts w:ascii="Times New Roman" w:hAnsi="Times New Roman" w:cs="Times New Roman"/>
          <w:sz w:val="24"/>
          <w:szCs w:val="24"/>
        </w:rPr>
      </w:pPr>
    </w:p>
    <w:p w14:paraId="4DADFF19" w14:textId="77777777" w:rsidR="00533926" w:rsidRPr="00AA5833" w:rsidRDefault="00533926" w:rsidP="00533926">
      <w:pPr>
        <w:autoSpaceDE w:val="0"/>
        <w:autoSpaceDN w:val="0"/>
        <w:adjustRightInd w:val="0"/>
        <w:spacing w:after="0" w:line="240" w:lineRule="auto"/>
        <w:jc w:val="center"/>
        <w:rPr>
          <w:rFonts w:ascii="Times New Roman" w:eastAsia="Times New Roman" w:hAnsi="Times New Roman" w:cs="Times New Roman"/>
          <w:b/>
          <w:color w:val="0000FF"/>
          <w:sz w:val="24"/>
          <w:szCs w:val="24"/>
          <w:lang w:eastAsia="bg-BG"/>
        </w:rPr>
      </w:pPr>
      <w:r w:rsidRPr="00AA5833">
        <w:rPr>
          <w:rFonts w:ascii="Times New Roman" w:eastAsia="Times New Roman" w:hAnsi="Times New Roman" w:cs="Times New Roman"/>
          <w:b/>
          <w:color w:val="0000FF"/>
          <w:sz w:val="24"/>
          <w:szCs w:val="24"/>
          <w:lang w:eastAsia="bg-BG"/>
        </w:rPr>
        <w:t>ИНСТИТУТ ПО ФИЛОСИФИЯ И СОЦИОЛОГИЯ – БАН</w:t>
      </w:r>
    </w:p>
    <w:p w14:paraId="27202F69" w14:textId="77777777" w:rsidR="00533926" w:rsidRPr="00AA5833" w:rsidRDefault="00533926" w:rsidP="00533926">
      <w:pPr>
        <w:spacing w:after="0" w:line="240" w:lineRule="auto"/>
        <w:jc w:val="both"/>
        <w:rPr>
          <w:rFonts w:ascii="Times New Roman" w:hAnsi="Times New Roman" w:cs="Times New Roman"/>
          <w:sz w:val="24"/>
          <w:szCs w:val="24"/>
        </w:rPr>
      </w:pPr>
    </w:p>
    <w:p w14:paraId="18C79402" w14:textId="77777777" w:rsidR="00533926" w:rsidRPr="00AA5833" w:rsidRDefault="00533926" w:rsidP="00533926">
      <w:pPr>
        <w:spacing w:after="0" w:line="240" w:lineRule="auto"/>
        <w:jc w:val="both"/>
        <w:rPr>
          <w:rFonts w:ascii="Times New Roman" w:eastAsia="Times New Roman" w:hAnsi="Times New Roman" w:cs="Times New Roman"/>
          <w:b/>
          <w:bCs/>
          <w:sz w:val="24"/>
          <w:szCs w:val="24"/>
          <w:lang w:eastAsia="bg-BG"/>
        </w:rPr>
      </w:pPr>
      <w:r w:rsidRPr="00AA5833">
        <w:rPr>
          <w:rFonts w:ascii="Times New Roman" w:eastAsia="Times New Roman" w:hAnsi="Times New Roman" w:cs="Times New Roman"/>
          <w:b/>
          <w:bCs/>
          <w:sz w:val="24"/>
          <w:szCs w:val="24"/>
          <w:lang w:eastAsia="bg-BG"/>
        </w:rPr>
        <w:t>11.13.2. Проект „EUROFOUND“ (Национални кореспонденти на Европейската фондация за подобряване на условията на живот и труд в Европа)</w:t>
      </w:r>
    </w:p>
    <w:p w14:paraId="3B85C16E"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p>
    <w:p w14:paraId="155A755A"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Проектът е със срок на изпълнение 2022-2026 г.</w:t>
      </w:r>
      <w:r w:rsidRPr="00AA5833">
        <w:rPr>
          <w:rFonts w:ascii="Arial" w:hAnsi="Arial" w:cs="Arial"/>
          <w:bCs/>
          <w:color w:val="000000"/>
          <w:sz w:val="24"/>
          <w:szCs w:val="24"/>
          <w:shd w:val="clear" w:color="auto" w:fill="FFFFFF"/>
        </w:rPr>
        <w:t xml:space="preserve"> </w:t>
      </w:r>
      <w:r w:rsidRPr="00AA5833">
        <w:rPr>
          <w:rFonts w:ascii="Times New Roman" w:eastAsia="Times New Roman" w:hAnsi="Times New Roman" w:cs="Times New Roman"/>
          <w:bCs/>
          <w:sz w:val="24"/>
          <w:szCs w:val="24"/>
          <w:lang w:eastAsia="bg-BG"/>
        </w:rPr>
        <w:t>и се финансира от Европейската комисия. През 2024 г. са получени финансови средства в размер на 55 612,07 лв. В рамките на проекта през 2024 г. са публикувани статии в престижни международни издания и са изнесени доклади на национални и международни форуми, подготвени са сравнителни изследователски доклади.</w:t>
      </w:r>
    </w:p>
    <w:p w14:paraId="4A54AFBF" w14:textId="77777777" w:rsidR="00533926" w:rsidRPr="00AA5833" w:rsidRDefault="00533926" w:rsidP="00533926">
      <w:pPr>
        <w:spacing w:after="0" w:line="240" w:lineRule="auto"/>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ab/>
        <w:t>Основните резултати от проекта са:</w:t>
      </w:r>
    </w:p>
    <w:p w14:paraId="2DE7191D"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Изготвени са сравнителни изследователски доклади (CAR) за развитието на пазара на труда, политиките за заетост, преструктурирането на компании, както и по теми, свързани със социалната политика;</w:t>
      </w:r>
    </w:p>
    <w:p w14:paraId="15BB4880"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Проучена е представителността на социалните партньори (REP); </w:t>
      </w:r>
    </w:p>
    <w:p w14:paraId="4CD91D9B"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Изготвени са тримесечни доклади за индустриалните отношения; </w:t>
      </w:r>
    </w:p>
    <w:p w14:paraId="4051AB9C"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 xml:space="preserve">Събрана е информация за преструктуриране на компании (fact-sheets); </w:t>
      </w:r>
    </w:p>
    <w:p w14:paraId="18315385"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Подготвени са статии по ключови проблеми на трудовия живот и са осъвременени бази данни за законовата рамка в областта на труда;</w:t>
      </w:r>
    </w:p>
    <w:p w14:paraId="375DD29C"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Картографирани са политики и практики на индустриалните отношения;</w:t>
      </w:r>
    </w:p>
    <w:p w14:paraId="2565747A" w14:textId="77777777" w:rsidR="00533926" w:rsidRPr="00AA5833" w:rsidRDefault="00533926" w:rsidP="002A598C">
      <w:pPr>
        <w:numPr>
          <w:ilvl w:val="0"/>
          <w:numId w:val="71"/>
        </w:numPr>
        <w:spacing w:after="0" w:line="240" w:lineRule="auto"/>
        <w:ind w:firstLine="360"/>
        <w:contextualSpacing/>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Изготвени са пан-европейски сравнителни анализи и разработки.</w:t>
      </w:r>
    </w:p>
    <w:p w14:paraId="403242F0" w14:textId="77777777" w:rsidR="00533926" w:rsidRPr="00AA5833" w:rsidRDefault="00533926" w:rsidP="00533926">
      <w:pPr>
        <w:spacing w:after="0" w:line="240" w:lineRule="auto"/>
        <w:ind w:firstLine="709"/>
        <w:jc w:val="both"/>
        <w:rPr>
          <w:rFonts w:ascii="Times New Roman" w:eastAsia="Times New Roman" w:hAnsi="Times New Roman" w:cs="Times New Roman"/>
          <w:bCs/>
          <w:sz w:val="24"/>
          <w:szCs w:val="24"/>
          <w:lang w:eastAsia="bg-BG"/>
        </w:rPr>
      </w:pPr>
      <w:r w:rsidRPr="00AA5833">
        <w:rPr>
          <w:rFonts w:ascii="Times New Roman" w:eastAsia="Times New Roman" w:hAnsi="Times New Roman" w:cs="Times New Roman"/>
          <w:bCs/>
          <w:sz w:val="24"/>
          <w:szCs w:val="24"/>
          <w:lang w:eastAsia="bg-BG"/>
        </w:rPr>
        <w:t>Въздействието на проекта е на национално ниво и в европейски сравнителен план.</w:t>
      </w:r>
    </w:p>
    <w:p w14:paraId="633ECA20"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0FF229AF"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7ADD1EC3" w14:textId="77777777" w:rsidR="00533926" w:rsidRPr="00AA5833" w:rsidRDefault="00533926" w:rsidP="00533926">
            <w:pPr>
              <w:spacing w:after="0" w:line="240" w:lineRule="auto"/>
              <w:jc w:val="both"/>
              <w:rPr>
                <w:rFonts w:ascii="Times New Roman" w:hAnsi="Times New Roman" w:cs="Times New Roman"/>
                <w:b/>
                <w:sz w:val="24"/>
                <w:szCs w:val="24"/>
              </w:rPr>
            </w:pPr>
            <w:r w:rsidRPr="00AA5833">
              <w:rPr>
                <w:rFonts w:ascii="Times New Roman" w:hAnsi="Times New Roman" w:cs="Times New Roman"/>
                <w:b/>
                <w:bCs/>
                <w:sz w:val="24"/>
                <w:szCs w:val="24"/>
              </w:rPr>
              <w:t>11.14. Разработване на дългосрочен план за реновиране и използване на сградния фонд в региони и райони със значително намаляване на броя на населението и с тенденции към обезлюдяване, разработване на пилотни проекти за изграждане на териториални комплекси за възрастни хора</w:t>
            </w:r>
          </w:p>
        </w:tc>
      </w:tr>
    </w:tbl>
    <w:p w14:paraId="5835E861"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2AD45580" w14:textId="77777777" w:rsidTr="00533926">
        <w:trPr>
          <w:trHeight w:val="602"/>
        </w:trPr>
        <w:tc>
          <w:tcPr>
            <w:tcW w:w="5000" w:type="pct"/>
            <w:tcBorders>
              <w:top w:val="single" w:sz="4" w:space="0" w:color="auto"/>
              <w:left w:val="single" w:sz="4" w:space="0" w:color="auto"/>
              <w:bottom w:val="single" w:sz="4" w:space="0" w:color="auto"/>
              <w:right w:val="single" w:sz="4" w:space="0" w:color="auto"/>
            </w:tcBorders>
            <w:shd w:val="clear" w:color="auto" w:fill="00CC99"/>
            <w:hideMark/>
          </w:tcPr>
          <w:p w14:paraId="2720A7DB" w14:textId="77777777" w:rsidR="00533926" w:rsidRPr="00AA5833" w:rsidRDefault="00533926" w:rsidP="00533926">
            <w:pPr>
              <w:spacing w:after="0" w:line="240" w:lineRule="auto"/>
              <w:jc w:val="both"/>
              <w:rPr>
                <w:rFonts w:ascii="Times New Roman" w:eastAsia="Times New Roman" w:hAnsi="Times New Roman" w:cs="Times New Roman"/>
                <w:color w:val="000000"/>
                <w:sz w:val="24"/>
                <w:szCs w:val="24"/>
              </w:rPr>
            </w:pPr>
            <w:r w:rsidRPr="00AA5833">
              <w:rPr>
                <w:rFonts w:ascii="Times New Roman" w:hAnsi="Times New Roman" w:cs="Times New Roman"/>
                <w:b/>
                <w:bCs/>
                <w:color w:val="000000"/>
                <w:sz w:val="24"/>
                <w:szCs w:val="24"/>
              </w:rPr>
              <w:t>Приоритет V. Адаптиране и синхронизиране на нормативната база с обществените потребности за балансирано демографско развитие на населението и развитие на качеството на човешкия капитал</w:t>
            </w:r>
          </w:p>
        </w:tc>
      </w:tr>
    </w:tbl>
    <w:p w14:paraId="2EE0DA48"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6650D928"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66FF99"/>
            <w:hideMark/>
          </w:tcPr>
          <w:p w14:paraId="0322BA47" w14:textId="77777777" w:rsidR="00533926" w:rsidRPr="00AA5833" w:rsidRDefault="00533926" w:rsidP="00533926">
            <w:pPr>
              <w:spacing w:after="0" w:line="240" w:lineRule="auto"/>
              <w:jc w:val="both"/>
              <w:rPr>
                <w:rFonts w:ascii="Times New Roman" w:eastAsia="Times New Roman" w:hAnsi="Times New Roman" w:cs="Times New Roman"/>
                <w:b/>
                <w:sz w:val="24"/>
                <w:szCs w:val="24"/>
              </w:rPr>
            </w:pPr>
            <w:r w:rsidRPr="00AA5833">
              <w:rPr>
                <w:rFonts w:ascii="Times New Roman" w:hAnsi="Times New Roman" w:cs="Times New Roman"/>
                <w:b/>
                <w:bCs/>
                <w:color w:val="000000"/>
                <w:sz w:val="24"/>
                <w:szCs w:val="24"/>
              </w:rPr>
              <w:t>Направление 12. Въвеждане на задължителна оценка на въздействието върху демографското развитие на населението и качеството на човешкия капитал на всеки нов, изменян или допълван нормативен акт на държавата</w:t>
            </w:r>
          </w:p>
        </w:tc>
      </w:tr>
    </w:tbl>
    <w:p w14:paraId="46A7C98C"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4A39CEA6"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DEBCD90" w14:textId="77777777" w:rsidR="00533926" w:rsidRPr="00AA5833" w:rsidRDefault="00533926" w:rsidP="00533926">
            <w:pPr>
              <w:spacing w:after="0" w:line="240" w:lineRule="auto"/>
              <w:jc w:val="both"/>
              <w:rPr>
                <w:rFonts w:ascii="Times New Roman" w:eastAsia="Times New Roman" w:hAnsi="Times New Roman" w:cs="Times New Roman"/>
                <w:b/>
                <w:color w:val="000000"/>
                <w:sz w:val="24"/>
                <w:szCs w:val="24"/>
                <w:lang w:eastAsia="bg-BG"/>
              </w:rPr>
            </w:pPr>
            <w:r w:rsidRPr="00AA5833">
              <w:rPr>
                <w:rFonts w:ascii="Times New Roman" w:eastAsia="Times New Roman" w:hAnsi="Times New Roman" w:cs="Times New Roman"/>
                <w:b/>
                <w:color w:val="000000"/>
                <w:sz w:val="24"/>
                <w:szCs w:val="24"/>
                <w:lang w:eastAsia="bg-BG"/>
              </w:rPr>
              <w:lastRenderedPageBreak/>
              <w:t>12.1. Годишен преглед на законодателството и оценка на въздействието му върху демографските процеси (раждаемост, смъртност, миграции) и развитието на качеството на човешкия капитал. Включване на този преглед в Годишния доклад/отчет за изпълнение на Националната стратегия за демографско развитие</w:t>
            </w:r>
          </w:p>
        </w:tc>
      </w:tr>
    </w:tbl>
    <w:p w14:paraId="26B99F22" w14:textId="77777777" w:rsidR="00533926" w:rsidRPr="00AA5833" w:rsidRDefault="00533926" w:rsidP="00533926">
      <w:pPr>
        <w:spacing w:after="0" w:line="240" w:lineRule="auto"/>
        <w:rPr>
          <w:rFonts w:ascii="Times New Roman" w:hAnsi="Times New Roman" w:cs="Times New Roman"/>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288FC50F"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3A1A9340" w14:textId="77777777" w:rsidR="00533926" w:rsidRPr="00AA5833" w:rsidRDefault="00533926" w:rsidP="00533926">
            <w:pPr>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12.2. Поддържане на съответствие на българското законодателство с правото на ЕС в областта на демографското развитие на населението, равните възможности за всички и безопасността и здравето при работа</w:t>
            </w:r>
          </w:p>
        </w:tc>
      </w:tr>
    </w:tbl>
    <w:p w14:paraId="2E879CE1" w14:textId="77777777" w:rsidR="00533926" w:rsidRPr="00AA5833" w:rsidRDefault="00533926" w:rsidP="00533926">
      <w:pPr>
        <w:spacing w:after="0" w:line="240" w:lineRule="auto"/>
        <w:rPr>
          <w:rFonts w:ascii="Times New Roman" w:hAnsi="Times New Roman" w:cs="Times New Roman"/>
          <w:b/>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533926" w:rsidRPr="00AA5833" w14:paraId="6B0BD88B" w14:textId="77777777" w:rsidTr="00533926">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FFFF99"/>
            <w:hideMark/>
          </w:tcPr>
          <w:p w14:paraId="239A21B5" w14:textId="77777777" w:rsidR="00533926" w:rsidRPr="00AA5833" w:rsidRDefault="00533926" w:rsidP="00533926">
            <w:pPr>
              <w:spacing w:after="0" w:line="240" w:lineRule="auto"/>
              <w:rPr>
                <w:rFonts w:ascii="Times New Roman" w:hAnsi="Times New Roman" w:cs="Times New Roman"/>
                <w:b/>
                <w:sz w:val="24"/>
                <w:szCs w:val="24"/>
              </w:rPr>
            </w:pPr>
            <w:r w:rsidRPr="00AA5833">
              <w:rPr>
                <w:rFonts w:ascii="Times New Roman" w:hAnsi="Times New Roman" w:cs="Times New Roman"/>
                <w:b/>
                <w:sz w:val="24"/>
                <w:szCs w:val="24"/>
              </w:rPr>
              <w:t>12.3. Усъвършенстване и допълване на нормативната и методическа уредба за създаване на условия за балансирано демографско развитие на населението и повишаване на качеството на човешкия капитал</w:t>
            </w:r>
          </w:p>
        </w:tc>
      </w:tr>
    </w:tbl>
    <w:p w14:paraId="407F4AC0" w14:textId="77777777" w:rsidR="00533926" w:rsidRPr="00AA5833" w:rsidRDefault="00533926" w:rsidP="00533926">
      <w:pPr>
        <w:spacing w:after="0" w:line="240" w:lineRule="auto"/>
        <w:jc w:val="both"/>
        <w:rPr>
          <w:rFonts w:ascii="Times New Roman" w:hAnsi="Times New Roman" w:cs="Times New Roman"/>
          <w:b/>
          <w:bCs/>
          <w:sz w:val="24"/>
          <w:szCs w:val="24"/>
        </w:rPr>
      </w:pPr>
    </w:p>
    <w:p w14:paraId="6E638422" w14:textId="77777777" w:rsidR="006438B6" w:rsidRPr="00AA5833" w:rsidRDefault="006438B6" w:rsidP="00533926">
      <w:pPr>
        <w:spacing w:after="0" w:line="240" w:lineRule="auto"/>
        <w:jc w:val="both"/>
        <w:rPr>
          <w:rFonts w:ascii="Times New Roman" w:hAnsi="Times New Roman" w:cs="Times New Roman"/>
          <w:b/>
          <w:bCs/>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946CA4" w:rsidRPr="008B4756" w14:paraId="40A4D7B7" w14:textId="77777777" w:rsidTr="00946CA4">
        <w:trPr>
          <w:jc w:val="center"/>
        </w:trPr>
        <w:tc>
          <w:tcPr>
            <w:tcW w:w="9067" w:type="dxa"/>
            <w:tcBorders>
              <w:top w:val="single" w:sz="4" w:space="0" w:color="auto"/>
              <w:left w:val="single" w:sz="4" w:space="0" w:color="auto"/>
              <w:bottom w:val="single" w:sz="4" w:space="0" w:color="auto"/>
              <w:right w:val="single" w:sz="4" w:space="0" w:color="auto"/>
            </w:tcBorders>
            <w:shd w:val="clear" w:color="auto" w:fill="00CC99"/>
            <w:vAlign w:val="center"/>
          </w:tcPr>
          <w:p w14:paraId="7AD10B21" w14:textId="77777777" w:rsidR="00946CA4" w:rsidRPr="00AA5833" w:rsidRDefault="00946CA4" w:rsidP="00256FEC">
            <w:pPr>
              <w:spacing w:after="0" w:line="240" w:lineRule="auto"/>
              <w:jc w:val="both"/>
              <w:rPr>
                <w:rFonts w:ascii="Times New Roman" w:eastAsia="Times New Roman" w:hAnsi="Times New Roman" w:cs="Times New Roman"/>
                <w:b/>
                <w:color w:val="000000"/>
                <w:sz w:val="24"/>
                <w:szCs w:val="24"/>
                <w:lang w:eastAsia="bg-BG"/>
              </w:rPr>
            </w:pPr>
            <w:r w:rsidRPr="008B4756">
              <w:rPr>
                <w:rFonts w:ascii="Times New Roman" w:eastAsia="Times New Roman" w:hAnsi="Times New Roman" w:cs="Times New Roman"/>
                <w:b/>
                <w:color w:val="000000"/>
                <w:sz w:val="24"/>
                <w:szCs w:val="24"/>
                <w:lang w:eastAsia="bg-BG"/>
              </w:rPr>
              <w:t xml:space="preserve">ЧАСТ V. ТЕКУЩО СЪСТОЯНИЕ КЪМ 2024 г. НА СЪСТАВНИТЕ ПОКАЗАТЕЛИ ЗА БАЛАНСИРАНО ДЕМОГРАФСКО РАЗВИТИЕ НА НАСЕЛЕНИЕТО И ПОВИШАВАНЕ НА КАЧЕСТВОТО НА ЧОВЕШКИТЕ РЕСУРСИ В РЕПУБЛИКА БЪЛГАРИЯ </w:t>
            </w:r>
          </w:p>
        </w:tc>
      </w:tr>
    </w:tbl>
    <w:p w14:paraId="0EF46286" w14:textId="77777777" w:rsidR="00186559" w:rsidRPr="00AA5833" w:rsidRDefault="00186559" w:rsidP="00533926">
      <w:pPr>
        <w:spacing w:after="0" w:line="240" w:lineRule="auto"/>
        <w:jc w:val="both"/>
        <w:rPr>
          <w:rFonts w:ascii="Times New Roman" w:hAnsi="Times New Roman" w:cs="Times New Roman"/>
          <w:b/>
          <w:bCs/>
          <w:sz w:val="24"/>
          <w:szCs w:val="24"/>
        </w:rPr>
      </w:pPr>
    </w:p>
    <w:p w14:paraId="50745664" w14:textId="77777777" w:rsidR="00186559" w:rsidRPr="00AA5833" w:rsidRDefault="00186559" w:rsidP="00533926">
      <w:pPr>
        <w:spacing w:after="0" w:line="240" w:lineRule="auto"/>
        <w:jc w:val="both"/>
        <w:rPr>
          <w:rFonts w:ascii="Times New Roman" w:hAnsi="Times New Roman" w:cs="Times New Roman"/>
          <w:b/>
          <w:bCs/>
          <w:sz w:val="24"/>
          <w:szCs w:val="24"/>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1485"/>
        <w:gridCol w:w="1493"/>
        <w:gridCol w:w="1387"/>
        <w:gridCol w:w="1494"/>
      </w:tblGrid>
      <w:tr w:rsidR="00186559" w:rsidRPr="00186559" w14:paraId="164D368D" w14:textId="77777777" w:rsidTr="002E676E">
        <w:tc>
          <w:tcPr>
            <w:tcW w:w="9062" w:type="dxa"/>
            <w:gridSpan w:val="5"/>
            <w:shd w:val="clear" w:color="auto" w:fill="E5DFEC"/>
          </w:tcPr>
          <w:p w14:paraId="1A231E83"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СЪСТАВЕН ПОКАЗАТЕЛ 1</w:t>
            </w:r>
          </w:p>
          <w:p w14:paraId="50563572"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ЗАБАВЯНЕ НА ТЕМПА НА НАМАЛЯВАНЕТО НА БРОЯ НА НАСЕЛЕНИЕТО</w:t>
            </w:r>
          </w:p>
        </w:tc>
      </w:tr>
      <w:tr w:rsidR="00186559" w:rsidRPr="00186559" w14:paraId="09F13FEC" w14:textId="77777777" w:rsidTr="002E676E">
        <w:tblPrEx>
          <w:tblLook w:val="01E0" w:firstRow="1" w:lastRow="1" w:firstColumn="1" w:lastColumn="1" w:noHBand="0" w:noVBand="0"/>
        </w:tblPrEx>
        <w:tc>
          <w:tcPr>
            <w:tcW w:w="3203" w:type="dxa"/>
          </w:tcPr>
          <w:p w14:paraId="2B32746C"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Индикатори</w:t>
            </w:r>
          </w:p>
        </w:tc>
        <w:tc>
          <w:tcPr>
            <w:tcW w:w="1485" w:type="dxa"/>
          </w:tcPr>
          <w:p w14:paraId="49A92BB9"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79FF45E6"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2009 г.</w:t>
            </w:r>
          </w:p>
        </w:tc>
        <w:tc>
          <w:tcPr>
            <w:tcW w:w="1493" w:type="dxa"/>
          </w:tcPr>
          <w:p w14:paraId="512985C2"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40FD5166"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2023 г.</w:t>
            </w:r>
          </w:p>
        </w:tc>
        <w:tc>
          <w:tcPr>
            <w:tcW w:w="1387" w:type="dxa"/>
          </w:tcPr>
          <w:p w14:paraId="51287B70"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1914592C"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2024 г.</w:t>
            </w:r>
          </w:p>
        </w:tc>
        <w:tc>
          <w:tcPr>
            <w:tcW w:w="1494" w:type="dxa"/>
          </w:tcPr>
          <w:p w14:paraId="3CADAC86"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Цел</w:t>
            </w:r>
          </w:p>
          <w:p w14:paraId="6DC06BB7"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2030 г.</w:t>
            </w:r>
          </w:p>
        </w:tc>
      </w:tr>
      <w:tr w:rsidR="00186559" w:rsidRPr="00186559" w14:paraId="0CDF49FA" w14:textId="77777777" w:rsidTr="00DD04BC">
        <w:tblPrEx>
          <w:tblLook w:val="01E0" w:firstRow="1" w:lastRow="1" w:firstColumn="1" w:lastColumn="1" w:noHBand="0" w:noVBand="0"/>
        </w:tblPrEx>
        <w:tc>
          <w:tcPr>
            <w:tcW w:w="3203" w:type="dxa"/>
            <w:vAlign w:val="bottom"/>
          </w:tcPr>
          <w:p w14:paraId="072DFEB4"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Брой на населението -милиони</w:t>
            </w:r>
          </w:p>
        </w:tc>
        <w:tc>
          <w:tcPr>
            <w:tcW w:w="1485" w:type="dxa"/>
          </w:tcPr>
          <w:p w14:paraId="0A90FB3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7.564</w:t>
            </w:r>
          </w:p>
        </w:tc>
        <w:tc>
          <w:tcPr>
            <w:tcW w:w="1493" w:type="dxa"/>
          </w:tcPr>
          <w:p w14:paraId="770111F6"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6.446</w:t>
            </w:r>
          </w:p>
        </w:tc>
        <w:tc>
          <w:tcPr>
            <w:tcW w:w="1387" w:type="dxa"/>
          </w:tcPr>
          <w:p w14:paraId="7F1B0D0A"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6.437</w:t>
            </w:r>
          </w:p>
        </w:tc>
        <w:tc>
          <w:tcPr>
            <w:tcW w:w="1494" w:type="dxa"/>
          </w:tcPr>
          <w:p w14:paraId="4BD0307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7.000</w:t>
            </w:r>
          </w:p>
        </w:tc>
      </w:tr>
      <w:tr w:rsidR="00186559" w:rsidRPr="00186559" w14:paraId="2C1449EF" w14:textId="77777777" w:rsidTr="00DD04BC">
        <w:tc>
          <w:tcPr>
            <w:tcW w:w="3203" w:type="dxa"/>
          </w:tcPr>
          <w:p w14:paraId="6D25B703"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Тотален коефициент на плодовитост (брой деца на една жена)</w:t>
            </w:r>
          </w:p>
        </w:tc>
        <w:tc>
          <w:tcPr>
            <w:tcW w:w="1485" w:type="dxa"/>
          </w:tcPr>
          <w:p w14:paraId="5AEADAF6"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1.57</w:t>
            </w:r>
          </w:p>
        </w:tc>
        <w:tc>
          <w:tcPr>
            <w:tcW w:w="1493" w:type="dxa"/>
          </w:tcPr>
          <w:p w14:paraId="7EDEE65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1.81</w:t>
            </w:r>
          </w:p>
        </w:tc>
        <w:tc>
          <w:tcPr>
            <w:tcW w:w="1387" w:type="dxa"/>
          </w:tcPr>
          <w:p w14:paraId="48382CD7"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1.72</w:t>
            </w:r>
          </w:p>
        </w:tc>
        <w:tc>
          <w:tcPr>
            <w:tcW w:w="1494" w:type="dxa"/>
          </w:tcPr>
          <w:p w14:paraId="2E1D10A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1.5</w:t>
            </w:r>
          </w:p>
        </w:tc>
      </w:tr>
      <w:tr w:rsidR="00186559" w:rsidRPr="00186559" w14:paraId="62D45190" w14:textId="77777777" w:rsidTr="00DD04BC">
        <w:tc>
          <w:tcPr>
            <w:tcW w:w="3203" w:type="dxa"/>
            <w:shd w:val="clear" w:color="auto" w:fill="auto"/>
          </w:tcPr>
          <w:p w14:paraId="21650DF3"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Очаквана продължителност на живота на жените при раждане в години</w:t>
            </w:r>
          </w:p>
        </w:tc>
        <w:tc>
          <w:tcPr>
            <w:tcW w:w="1485" w:type="dxa"/>
            <w:shd w:val="clear" w:color="auto" w:fill="auto"/>
          </w:tcPr>
          <w:p w14:paraId="3CD4D8A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77.1</w:t>
            </w:r>
          </w:p>
        </w:tc>
        <w:tc>
          <w:tcPr>
            <w:tcW w:w="1493" w:type="dxa"/>
            <w:shd w:val="clear" w:color="auto" w:fill="auto"/>
          </w:tcPr>
          <w:p w14:paraId="4C87588D"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77.3</w:t>
            </w:r>
          </w:p>
        </w:tc>
        <w:tc>
          <w:tcPr>
            <w:tcW w:w="1387" w:type="dxa"/>
          </w:tcPr>
          <w:p w14:paraId="7F5CFEA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79.3</w:t>
            </w:r>
          </w:p>
        </w:tc>
        <w:tc>
          <w:tcPr>
            <w:tcW w:w="1494" w:type="dxa"/>
            <w:shd w:val="clear" w:color="auto" w:fill="auto"/>
          </w:tcPr>
          <w:p w14:paraId="2DA30A7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81</w:t>
            </w:r>
          </w:p>
        </w:tc>
      </w:tr>
      <w:tr w:rsidR="00186559" w:rsidRPr="00186559" w14:paraId="2079044F" w14:textId="77777777" w:rsidTr="00DD04BC">
        <w:tc>
          <w:tcPr>
            <w:tcW w:w="3203" w:type="dxa"/>
          </w:tcPr>
          <w:p w14:paraId="0649EA37"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Очаквана продължителност на живота на мъжете при раждане по години</w:t>
            </w:r>
          </w:p>
        </w:tc>
        <w:tc>
          <w:tcPr>
            <w:tcW w:w="1485" w:type="dxa"/>
          </w:tcPr>
          <w:p w14:paraId="5CAAFED8"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69.9</w:t>
            </w:r>
          </w:p>
        </w:tc>
        <w:tc>
          <w:tcPr>
            <w:tcW w:w="1493" w:type="dxa"/>
          </w:tcPr>
          <w:p w14:paraId="26FF8D8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69.9</w:t>
            </w:r>
          </w:p>
        </w:tc>
        <w:tc>
          <w:tcPr>
            <w:tcW w:w="1387" w:type="dxa"/>
          </w:tcPr>
          <w:p w14:paraId="34E4F41E"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71.9</w:t>
            </w:r>
          </w:p>
        </w:tc>
        <w:tc>
          <w:tcPr>
            <w:tcW w:w="1494" w:type="dxa"/>
          </w:tcPr>
          <w:p w14:paraId="4E7603B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76</w:t>
            </w:r>
          </w:p>
        </w:tc>
      </w:tr>
      <w:tr w:rsidR="00186559" w:rsidRPr="00186559" w14:paraId="1ACE0DC3" w14:textId="77777777" w:rsidTr="00DD04BC">
        <w:tc>
          <w:tcPr>
            <w:tcW w:w="3203" w:type="dxa"/>
          </w:tcPr>
          <w:p w14:paraId="5DA6FE19"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Средна продължителност на живота за жените на 65-годишна възраст през следващите години</w:t>
            </w:r>
          </w:p>
        </w:tc>
        <w:tc>
          <w:tcPr>
            <w:tcW w:w="1485" w:type="dxa"/>
          </w:tcPr>
          <w:p w14:paraId="6A6EF626"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16.7</w:t>
            </w:r>
          </w:p>
        </w:tc>
        <w:tc>
          <w:tcPr>
            <w:tcW w:w="1493" w:type="dxa"/>
          </w:tcPr>
          <w:p w14:paraId="3DE5ED5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17.1</w:t>
            </w:r>
          </w:p>
        </w:tc>
        <w:tc>
          <w:tcPr>
            <w:tcW w:w="1387" w:type="dxa"/>
          </w:tcPr>
          <w:p w14:paraId="38CE0A47"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18.6</w:t>
            </w:r>
          </w:p>
        </w:tc>
        <w:tc>
          <w:tcPr>
            <w:tcW w:w="1494" w:type="dxa"/>
          </w:tcPr>
          <w:p w14:paraId="536D151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20</w:t>
            </w:r>
          </w:p>
        </w:tc>
      </w:tr>
      <w:tr w:rsidR="00186559" w:rsidRPr="00186559" w14:paraId="4D56958E" w14:textId="77777777" w:rsidTr="00DD04BC">
        <w:tc>
          <w:tcPr>
            <w:tcW w:w="3203" w:type="dxa"/>
          </w:tcPr>
          <w:p w14:paraId="6DF2AA7C"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Средна продължителност на живота за мъжете на 65-годишна възраст през следващите години</w:t>
            </w:r>
          </w:p>
        </w:tc>
        <w:tc>
          <w:tcPr>
            <w:tcW w:w="1485" w:type="dxa"/>
          </w:tcPr>
          <w:p w14:paraId="11833D2D"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13.5</w:t>
            </w:r>
          </w:p>
        </w:tc>
        <w:tc>
          <w:tcPr>
            <w:tcW w:w="1493" w:type="dxa"/>
          </w:tcPr>
          <w:p w14:paraId="72CEB10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13.0</w:t>
            </w:r>
          </w:p>
        </w:tc>
        <w:tc>
          <w:tcPr>
            <w:tcW w:w="1387" w:type="dxa"/>
          </w:tcPr>
          <w:p w14:paraId="7E693C0A"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14.5</w:t>
            </w:r>
          </w:p>
        </w:tc>
        <w:tc>
          <w:tcPr>
            <w:tcW w:w="1494" w:type="dxa"/>
          </w:tcPr>
          <w:p w14:paraId="26315354"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17</w:t>
            </w:r>
          </w:p>
        </w:tc>
      </w:tr>
      <w:tr w:rsidR="00186559" w:rsidRPr="00186559" w14:paraId="3096BC6D" w14:textId="77777777" w:rsidTr="00DD04BC">
        <w:tc>
          <w:tcPr>
            <w:tcW w:w="3203" w:type="dxa"/>
          </w:tcPr>
          <w:p w14:paraId="0DB452D6"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Естествен прираст (раждания минус умирания) в брой - хил.</w:t>
            </w:r>
          </w:p>
        </w:tc>
        <w:tc>
          <w:tcPr>
            <w:tcW w:w="1485" w:type="dxa"/>
          </w:tcPr>
          <w:p w14:paraId="59DAA4F2"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-27.1</w:t>
            </w:r>
          </w:p>
        </w:tc>
        <w:tc>
          <w:tcPr>
            <w:tcW w:w="1493" w:type="dxa"/>
          </w:tcPr>
          <w:p w14:paraId="33F6C38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-43.8</w:t>
            </w:r>
          </w:p>
        </w:tc>
        <w:tc>
          <w:tcPr>
            <w:tcW w:w="1387" w:type="dxa"/>
          </w:tcPr>
          <w:p w14:paraId="1CB74C2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- 47. 3</w:t>
            </w:r>
          </w:p>
        </w:tc>
        <w:tc>
          <w:tcPr>
            <w:tcW w:w="1494" w:type="dxa"/>
          </w:tcPr>
          <w:p w14:paraId="3EF0A27F"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-38</w:t>
            </w:r>
          </w:p>
        </w:tc>
      </w:tr>
      <w:tr w:rsidR="00186559" w:rsidRPr="00186559" w14:paraId="0331D85F" w14:textId="77777777" w:rsidTr="00DD04BC">
        <w:tc>
          <w:tcPr>
            <w:tcW w:w="3203" w:type="dxa"/>
          </w:tcPr>
          <w:p w14:paraId="21C776B8"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lastRenderedPageBreak/>
              <w:t>Нетна миграция (включително корекции) в  брой - хил.</w:t>
            </w:r>
          </w:p>
        </w:tc>
        <w:tc>
          <w:tcPr>
            <w:tcW w:w="1485" w:type="dxa"/>
          </w:tcPr>
          <w:p w14:paraId="7C22318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-15.7</w:t>
            </w:r>
          </w:p>
        </w:tc>
        <w:tc>
          <w:tcPr>
            <w:tcW w:w="1493" w:type="dxa"/>
          </w:tcPr>
          <w:p w14:paraId="46D218B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+41.6</w:t>
            </w:r>
          </w:p>
        </w:tc>
        <w:tc>
          <w:tcPr>
            <w:tcW w:w="1387" w:type="dxa"/>
          </w:tcPr>
          <w:p w14:paraId="050A682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+39.2</w:t>
            </w:r>
          </w:p>
        </w:tc>
        <w:tc>
          <w:tcPr>
            <w:tcW w:w="1494" w:type="dxa"/>
          </w:tcPr>
          <w:p w14:paraId="7B4AE4A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-0.5</w:t>
            </w:r>
          </w:p>
        </w:tc>
      </w:tr>
      <w:tr w:rsidR="00186559" w:rsidRPr="00186559" w14:paraId="1B4F27F5" w14:textId="77777777" w:rsidTr="00DD04BC">
        <w:tc>
          <w:tcPr>
            <w:tcW w:w="3203" w:type="dxa"/>
            <w:tcBorders>
              <w:bottom w:val="single" w:sz="4" w:space="0" w:color="auto"/>
            </w:tcBorders>
          </w:tcPr>
          <w:p w14:paraId="2A466CEF" w14:textId="77777777" w:rsidR="00186559" w:rsidRPr="00186559" w:rsidRDefault="00186559" w:rsidP="00186559">
            <w:pPr>
              <w:spacing w:after="0" w:line="240" w:lineRule="auto"/>
              <w:jc w:val="both"/>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Средна възраст на жените при раждане на дете - години</w:t>
            </w:r>
          </w:p>
        </w:tc>
        <w:tc>
          <w:tcPr>
            <w:tcW w:w="1485" w:type="dxa"/>
            <w:tcBorders>
              <w:bottom w:val="single" w:sz="4" w:space="0" w:color="auto"/>
            </w:tcBorders>
          </w:tcPr>
          <w:p w14:paraId="6ACDDE0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27.1</w:t>
            </w:r>
          </w:p>
        </w:tc>
        <w:tc>
          <w:tcPr>
            <w:tcW w:w="1493" w:type="dxa"/>
            <w:tcBorders>
              <w:bottom w:val="single" w:sz="4" w:space="0" w:color="auto"/>
            </w:tcBorders>
          </w:tcPr>
          <w:p w14:paraId="76CC5F4D"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29.2</w:t>
            </w:r>
          </w:p>
        </w:tc>
        <w:tc>
          <w:tcPr>
            <w:tcW w:w="1387" w:type="dxa"/>
            <w:tcBorders>
              <w:bottom w:val="single" w:sz="4" w:space="0" w:color="auto"/>
            </w:tcBorders>
          </w:tcPr>
          <w:p w14:paraId="1971116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29.1</w:t>
            </w:r>
          </w:p>
        </w:tc>
        <w:tc>
          <w:tcPr>
            <w:tcW w:w="1494" w:type="dxa"/>
            <w:tcBorders>
              <w:bottom w:val="single" w:sz="4" w:space="0" w:color="auto"/>
            </w:tcBorders>
          </w:tcPr>
          <w:p w14:paraId="21B441D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27.0</w:t>
            </w:r>
          </w:p>
        </w:tc>
      </w:tr>
    </w:tbl>
    <w:p w14:paraId="46BC9AB9" w14:textId="77777777" w:rsidR="00533926" w:rsidRDefault="00533926" w:rsidP="00533926">
      <w:pPr>
        <w:spacing w:after="0" w:line="240" w:lineRule="auto"/>
        <w:jc w:val="both"/>
        <w:rPr>
          <w:rFonts w:ascii="Times New Roman" w:hAnsi="Times New Roman" w:cs="Times New Roman"/>
          <w:b/>
          <w:bCs/>
          <w:sz w:val="24"/>
          <w:szCs w:val="24"/>
        </w:rPr>
      </w:pPr>
    </w:p>
    <w:p w14:paraId="4C88984D" w14:textId="77777777" w:rsidR="002E676E" w:rsidRDefault="002E676E" w:rsidP="00533926">
      <w:pPr>
        <w:spacing w:after="0" w:line="240" w:lineRule="auto"/>
        <w:jc w:val="both"/>
        <w:rPr>
          <w:rFonts w:ascii="Times New Roman" w:hAnsi="Times New Roman" w:cs="Times New Roman"/>
          <w:b/>
          <w:bCs/>
          <w:sz w:val="24"/>
          <w:szCs w:val="24"/>
        </w:rPr>
      </w:pPr>
    </w:p>
    <w:tbl>
      <w:tblPr>
        <w:tblW w:w="9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387"/>
        <w:gridCol w:w="1744"/>
        <w:gridCol w:w="1415"/>
        <w:gridCol w:w="1591"/>
      </w:tblGrid>
      <w:tr w:rsidR="00186559" w:rsidRPr="00AA5833" w14:paraId="0549B8F3" w14:textId="77777777" w:rsidTr="002E676E">
        <w:trPr>
          <w:jc w:val="right"/>
        </w:trPr>
        <w:tc>
          <w:tcPr>
            <w:tcW w:w="9062" w:type="dxa"/>
            <w:gridSpan w:val="5"/>
            <w:tcBorders>
              <w:top w:val="single" w:sz="4" w:space="0" w:color="auto"/>
              <w:left w:val="single" w:sz="4" w:space="0" w:color="auto"/>
              <w:bottom w:val="single" w:sz="4" w:space="0" w:color="auto"/>
              <w:right w:val="single" w:sz="4" w:space="0" w:color="auto"/>
            </w:tcBorders>
            <w:shd w:val="clear" w:color="auto" w:fill="E5DFEC"/>
          </w:tcPr>
          <w:p w14:paraId="2F47ADC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СЪСТАВЕН ПОКАЗАТЕЛ 2</w:t>
            </w:r>
          </w:p>
          <w:p w14:paraId="6BE32D3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АДАПТИРАНЕ НА ПОЛИТИКАТА ЗА СЕМЕЙСТВАТА И ДЕЦАТА КЪМ СТАРЕЕНЕТО НА НАСЕЛЕНИЕТО. РАВНОПОСТАВЕНОСТ МЕЖДУ ПОЛОВЕТЕ В СЕМЕЙСТВОТО И СЪЧЕТАВАНЕ НА СЕМЕЕН С ТРУДОВ ЖИВОТ</w:t>
            </w:r>
          </w:p>
        </w:tc>
      </w:tr>
      <w:tr w:rsidR="00186559" w:rsidRPr="00AA5833" w14:paraId="29977E73" w14:textId="77777777" w:rsidTr="002E676E">
        <w:tblPrEx>
          <w:tblLook w:val="01E0" w:firstRow="1" w:lastRow="1" w:firstColumn="1" w:lastColumn="1" w:noHBand="0" w:noVBand="0"/>
        </w:tblPrEx>
        <w:trPr>
          <w:jc w:val="right"/>
        </w:trPr>
        <w:tc>
          <w:tcPr>
            <w:tcW w:w="2925" w:type="dxa"/>
          </w:tcPr>
          <w:p w14:paraId="7848F766"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Индикатори</w:t>
            </w:r>
          </w:p>
        </w:tc>
        <w:tc>
          <w:tcPr>
            <w:tcW w:w="1387" w:type="dxa"/>
          </w:tcPr>
          <w:p w14:paraId="2247FBF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3E99180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2009 г.</w:t>
            </w:r>
          </w:p>
        </w:tc>
        <w:tc>
          <w:tcPr>
            <w:tcW w:w="1744" w:type="dxa"/>
          </w:tcPr>
          <w:p w14:paraId="123AB4D5"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71381A6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2023 г.</w:t>
            </w:r>
          </w:p>
        </w:tc>
        <w:tc>
          <w:tcPr>
            <w:tcW w:w="1415" w:type="dxa"/>
          </w:tcPr>
          <w:p w14:paraId="1058F4A0"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3FAD5B7E"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2024 г.</w:t>
            </w:r>
          </w:p>
        </w:tc>
        <w:tc>
          <w:tcPr>
            <w:tcW w:w="1591" w:type="dxa"/>
          </w:tcPr>
          <w:p w14:paraId="789BC18B"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Цел</w:t>
            </w:r>
          </w:p>
          <w:p w14:paraId="0A5CEA5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2030 г.</w:t>
            </w:r>
          </w:p>
        </w:tc>
      </w:tr>
      <w:tr w:rsidR="00186559" w:rsidRPr="00AA5833" w14:paraId="02479F91" w14:textId="77777777" w:rsidTr="00B362CC">
        <w:trPr>
          <w:jc w:val="right"/>
        </w:trPr>
        <w:tc>
          <w:tcPr>
            <w:tcW w:w="2925" w:type="dxa"/>
            <w:tcBorders>
              <w:top w:val="single" w:sz="4" w:space="0" w:color="auto"/>
              <w:left w:val="single" w:sz="4" w:space="0" w:color="auto"/>
              <w:bottom w:val="single" w:sz="4" w:space="0" w:color="auto"/>
            </w:tcBorders>
            <w:vAlign w:val="center"/>
          </w:tcPr>
          <w:p w14:paraId="33DAD00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жени 20-64 години, в %</w:t>
            </w:r>
          </w:p>
        </w:tc>
        <w:tc>
          <w:tcPr>
            <w:tcW w:w="1387" w:type="dxa"/>
            <w:tcBorders>
              <w:top w:val="single" w:sz="4" w:space="0" w:color="auto"/>
              <w:bottom w:val="single" w:sz="4" w:space="0" w:color="auto"/>
            </w:tcBorders>
          </w:tcPr>
          <w:p w14:paraId="6C6A821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64.0</w:t>
            </w:r>
          </w:p>
        </w:tc>
        <w:tc>
          <w:tcPr>
            <w:tcW w:w="1744" w:type="dxa"/>
            <w:tcBorders>
              <w:top w:val="single" w:sz="4" w:space="0" w:color="auto"/>
              <w:bottom w:val="single" w:sz="4" w:space="0" w:color="auto"/>
            </w:tcBorders>
          </w:tcPr>
          <w:p w14:paraId="4D0E84E0" w14:textId="77777777" w:rsidR="00186559" w:rsidRPr="00AA5833" w:rsidRDefault="00186559" w:rsidP="002E676E">
            <w:pPr>
              <w:spacing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72.6</w:t>
            </w:r>
          </w:p>
        </w:tc>
        <w:tc>
          <w:tcPr>
            <w:tcW w:w="1415" w:type="dxa"/>
            <w:tcBorders>
              <w:top w:val="single" w:sz="4" w:space="0" w:color="auto"/>
              <w:bottom w:val="single" w:sz="4" w:space="0" w:color="auto"/>
            </w:tcBorders>
          </w:tcPr>
          <w:p w14:paraId="410C6668" w14:textId="77777777" w:rsidR="00186559" w:rsidRPr="00AA5833" w:rsidRDefault="00186559" w:rsidP="002E676E">
            <w:pPr>
              <w:spacing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73.1</w:t>
            </w:r>
          </w:p>
        </w:tc>
        <w:tc>
          <w:tcPr>
            <w:tcW w:w="1591" w:type="dxa"/>
            <w:tcBorders>
              <w:top w:val="single" w:sz="4" w:space="0" w:color="auto"/>
              <w:bottom w:val="single" w:sz="4" w:space="0" w:color="auto"/>
              <w:right w:val="single" w:sz="4" w:space="0" w:color="auto"/>
            </w:tcBorders>
          </w:tcPr>
          <w:p w14:paraId="13C1863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76</w:t>
            </w:r>
          </w:p>
        </w:tc>
      </w:tr>
      <w:tr w:rsidR="00186559" w:rsidRPr="00AA5833" w14:paraId="21A2745C" w14:textId="77777777" w:rsidTr="00B362CC">
        <w:trPr>
          <w:trHeight w:val="570"/>
          <w:jc w:val="right"/>
        </w:trPr>
        <w:tc>
          <w:tcPr>
            <w:tcW w:w="2925" w:type="dxa"/>
            <w:tcBorders>
              <w:top w:val="single" w:sz="4" w:space="0" w:color="auto"/>
            </w:tcBorders>
            <w:vAlign w:val="center"/>
          </w:tcPr>
          <w:p w14:paraId="10C12325"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мъже 20-64 години, в % </w:t>
            </w:r>
          </w:p>
        </w:tc>
        <w:tc>
          <w:tcPr>
            <w:tcW w:w="1387" w:type="dxa"/>
            <w:tcBorders>
              <w:top w:val="single" w:sz="4" w:space="0" w:color="auto"/>
            </w:tcBorders>
          </w:tcPr>
          <w:p w14:paraId="5C6DEF0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73.8</w:t>
            </w:r>
          </w:p>
        </w:tc>
        <w:tc>
          <w:tcPr>
            <w:tcW w:w="1744" w:type="dxa"/>
            <w:tcBorders>
              <w:top w:val="single" w:sz="4" w:space="0" w:color="auto"/>
            </w:tcBorders>
          </w:tcPr>
          <w:p w14:paraId="0077ACF3" w14:textId="77777777" w:rsidR="00186559" w:rsidRPr="00AA5833" w:rsidRDefault="00186559" w:rsidP="002E676E">
            <w:pPr>
              <w:spacing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79.9</w:t>
            </w:r>
          </w:p>
        </w:tc>
        <w:tc>
          <w:tcPr>
            <w:tcW w:w="1415" w:type="dxa"/>
            <w:tcBorders>
              <w:top w:val="single" w:sz="4" w:space="0" w:color="auto"/>
            </w:tcBorders>
          </w:tcPr>
          <w:p w14:paraId="0A328BBF" w14:textId="77777777" w:rsidR="00186559" w:rsidRPr="00AA5833" w:rsidRDefault="00186559" w:rsidP="002E676E">
            <w:pPr>
              <w:spacing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80.3</w:t>
            </w:r>
          </w:p>
        </w:tc>
        <w:tc>
          <w:tcPr>
            <w:tcW w:w="1591" w:type="dxa"/>
            <w:tcBorders>
              <w:top w:val="single" w:sz="4" w:space="0" w:color="auto"/>
            </w:tcBorders>
          </w:tcPr>
          <w:p w14:paraId="5027CAF8"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76</w:t>
            </w:r>
          </w:p>
        </w:tc>
      </w:tr>
      <w:tr w:rsidR="00186559" w:rsidRPr="00AA5833" w14:paraId="3CDFD912" w14:textId="77777777" w:rsidTr="00B362CC">
        <w:trPr>
          <w:jc w:val="right"/>
        </w:trPr>
        <w:tc>
          <w:tcPr>
            <w:tcW w:w="2925" w:type="dxa"/>
            <w:vAlign w:val="center"/>
          </w:tcPr>
          <w:p w14:paraId="7056AA90"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жени 25-54 с най-малко 1 дете </w:t>
            </w:r>
          </w:p>
        </w:tc>
        <w:tc>
          <w:tcPr>
            <w:tcW w:w="1387" w:type="dxa"/>
          </w:tcPr>
          <w:p w14:paraId="47DA388B" w14:textId="77777777" w:rsidR="00186559" w:rsidRPr="00AA5833" w:rsidRDefault="00186559" w:rsidP="002E676E">
            <w:pPr>
              <w:spacing w:after="0" w:line="60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71.7</w:t>
            </w:r>
          </w:p>
        </w:tc>
        <w:tc>
          <w:tcPr>
            <w:tcW w:w="1744" w:type="dxa"/>
          </w:tcPr>
          <w:p w14:paraId="19B80B6F" w14:textId="77777777" w:rsidR="00186559" w:rsidRPr="00AA5833" w:rsidRDefault="00186559" w:rsidP="002E676E">
            <w:pPr>
              <w:spacing w:line="600" w:lineRule="auto"/>
              <w:jc w:val="right"/>
              <w:rPr>
                <w:rFonts w:ascii="Times New Roman" w:hAnsi="Times New Roman" w:cs="Times New Roman"/>
                <w:sz w:val="24"/>
                <w:szCs w:val="24"/>
              </w:rPr>
            </w:pPr>
            <w:r w:rsidRPr="00AA5833">
              <w:rPr>
                <w:rFonts w:ascii="Times New Roman" w:hAnsi="Times New Roman" w:cs="Times New Roman"/>
                <w:sz w:val="24"/>
                <w:szCs w:val="24"/>
              </w:rPr>
              <w:t>76.1</w:t>
            </w:r>
          </w:p>
        </w:tc>
        <w:tc>
          <w:tcPr>
            <w:tcW w:w="1415" w:type="dxa"/>
          </w:tcPr>
          <w:p w14:paraId="449B5A1F" w14:textId="77777777" w:rsidR="00186559" w:rsidRPr="00AA5833" w:rsidRDefault="00186559" w:rsidP="002E676E">
            <w:pPr>
              <w:spacing w:line="600" w:lineRule="auto"/>
              <w:jc w:val="right"/>
              <w:rPr>
                <w:rFonts w:ascii="Times New Roman" w:hAnsi="Times New Roman" w:cs="Times New Roman"/>
                <w:sz w:val="24"/>
                <w:szCs w:val="24"/>
              </w:rPr>
            </w:pPr>
            <w:r w:rsidRPr="00AA5833">
              <w:rPr>
                <w:rFonts w:ascii="Times New Roman" w:hAnsi="Times New Roman" w:cs="Times New Roman"/>
                <w:sz w:val="24"/>
                <w:szCs w:val="24"/>
              </w:rPr>
              <w:t>79.4</w:t>
            </w:r>
          </w:p>
        </w:tc>
        <w:tc>
          <w:tcPr>
            <w:tcW w:w="1591" w:type="dxa"/>
          </w:tcPr>
          <w:p w14:paraId="16DD24F7" w14:textId="77777777" w:rsidR="00186559" w:rsidRPr="00AA5833" w:rsidRDefault="00186559" w:rsidP="002E676E">
            <w:pPr>
              <w:spacing w:after="0" w:line="60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w:t>
            </w:r>
          </w:p>
        </w:tc>
      </w:tr>
      <w:tr w:rsidR="00186559" w:rsidRPr="00AA5833" w14:paraId="39E96D67" w14:textId="77777777" w:rsidTr="00B362CC">
        <w:trPr>
          <w:jc w:val="right"/>
        </w:trPr>
        <w:tc>
          <w:tcPr>
            <w:tcW w:w="2925" w:type="dxa"/>
            <w:vAlign w:val="center"/>
          </w:tcPr>
          <w:p w14:paraId="729749FF"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мъже 25-54 с най-малко 1 дете </w:t>
            </w:r>
          </w:p>
        </w:tc>
        <w:tc>
          <w:tcPr>
            <w:tcW w:w="1387" w:type="dxa"/>
          </w:tcPr>
          <w:p w14:paraId="30FEC04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85.5</w:t>
            </w:r>
          </w:p>
        </w:tc>
        <w:tc>
          <w:tcPr>
            <w:tcW w:w="1744" w:type="dxa"/>
          </w:tcPr>
          <w:p w14:paraId="3822914C" w14:textId="77777777" w:rsidR="00186559" w:rsidRPr="00AA5833" w:rsidRDefault="00186559" w:rsidP="00A60E62">
            <w:pPr>
              <w:jc w:val="right"/>
              <w:rPr>
                <w:rFonts w:ascii="Times New Roman" w:hAnsi="Times New Roman" w:cs="Times New Roman"/>
                <w:sz w:val="24"/>
                <w:szCs w:val="24"/>
              </w:rPr>
            </w:pPr>
            <w:r w:rsidRPr="00AA5833">
              <w:rPr>
                <w:rFonts w:ascii="Times New Roman" w:hAnsi="Times New Roman" w:cs="Times New Roman"/>
                <w:sz w:val="24"/>
                <w:szCs w:val="24"/>
              </w:rPr>
              <w:t>89.1</w:t>
            </w:r>
          </w:p>
        </w:tc>
        <w:tc>
          <w:tcPr>
            <w:tcW w:w="1415" w:type="dxa"/>
          </w:tcPr>
          <w:p w14:paraId="212CEAFA" w14:textId="77777777" w:rsidR="00186559" w:rsidRPr="00AA5833" w:rsidRDefault="00186559" w:rsidP="00A60E62">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91.5</w:t>
            </w:r>
          </w:p>
        </w:tc>
        <w:tc>
          <w:tcPr>
            <w:tcW w:w="1591" w:type="dxa"/>
          </w:tcPr>
          <w:p w14:paraId="533F2E8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90</w:t>
            </w:r>
          </w:p>
        </w:tc>
      </w:tr>
      <w:tr w:rsidR="00186559" w:rsidRPr="00AA5833" w14:paraId="4AA08755" w14:textId="77777777" w:rsidTr="00B362CC">
        <w:trPr>
          <w:jc w:val="right"/>
        </w:trPr>
        <w:tc>
          <w:tcPr>
            <w:tcW w:w="2925" w:type="dxa"/>
            <w:vAlign w:val="center"/>
          </w:tcPr>
          <w:p w14:paraId="4B16D944"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Разлика заплащането на двата пола (некоригирана) в % </w:t>
            </w:r>
            <w:r w:rsidRPr="00AA5833">
              <w:rPr>
                <w:rFonts w:ascii="Times New Roman" w:eastAsia="Times New Roman" w:hAnsi="Times New Roman" w:cs="Times New Roman"/>
                <w:sz w:val="24"/>
                <w:szCs w:val="24"/>
                <w:vertAlign w:val="superscript"/>
                <w:lang w:eastAsia="bg-BG"/>
              </w:rPr>
              <w:t>1)</w:t>
            </w:r>
          </w:p>
        </w:tc>
        <w:tc>
          <w:tcPr>
            <w:tcW w:w="1387" w:type="dxa"/>
          </w:tcPr>
          <w:p w14:paraId="4699DF2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12.5</w:t>
            </w:r>
          </w:p>
        </w:tc>
        <w:tc>
          <w:tcPr>
            <w:tcW w:w="1744" w:type="dxa"/>
          </w:tcPr>
          <w:p w14:paraId="181349D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13.1</w:t>
            </w:r>
          </w:p>
        </w:tc>
        <w:tc>
          <w:tcPr>
            <w:tcW w:w="1415" w:type="dxa"/>
          </w:tcPr>
          <w:p w14:paraId="37039E8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591" w:type="dxa"/>
          </w:tcPr>
          <w:p w14:paraId="20E6A04E"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w:t>
            </w:r>
          </w:p>
        </w:tc>
      </w:tr>
      <w:tr w:rsidR="00186559" w:rsidRPr="00AA5833" w14:paraId="34782ED2" w14:textId="77777777" w:rsidTr="00B362CC">
        <w:trPr>
          <w:jc w:val="right"/>
        </w:trPr>
        <w:tc>
          <w:tcPr>
            <w:tcW w:w="2925" w:type="dxa"/>
            <w:vAlign w:val="center"/>
          </w:tcPr>
          <w:p w14:paraId="0B74AE29"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Заети жени, работещи на непълно време, % </w:t>
            </w:r>
          </w:p>
        </w:tc>
        <w:tc>
          <w:tcPr>
            <w:tcW w:w="1387" w:type="dxa"/>
          </w:tcPr>
          <w:p w14:paraId="164A0C0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2.7</w:t>
            </w:r>
          </w:p>
        </w:tc>
        <w:tc>
          <w:tcPr>
            <w:tcW w:w="1744" w:type="dxa"/>
          </w:tcPr>
          <w:p w14:paraId="31BD0832" w14:textId="77777777" w:rsidR="00186559" w:rsidRPr="00AA5833" w:rsidRDefault="00186559" w:rsidP="002E676E">
            <w:pPr>
              <w:jc w:val="right"/>
              <w:rPr>
                <w:rFonts w:ascii="Times New Roman" w:hAnsi="Times New Roman" w:cs="Times New Roman"/>
                <w:sz w:val="24"/>
                <w:szCs w:val="24"/>
              </w:rPr>
            </w:pPr>
            <w:r w:rsidRPr="00AA5833">
              <w:rPr>
                <w:rFonts w:ascii="Times New Roman" w:hAnsi="Times New Roman" w:cs="Times New Roman"/>
                <w:sz w:val="24"/>
                <w:szCs w:val="24"/>
              </w:rPr>
              <w:t>1.9</w:t>
            </w:r>
          </w:p>
        </w:tc>
        <w:tc>
          <w:tcPr>
            <w:tcW w:w="1415" w:type="dxa"/>
          </w:tcPr>
          <w:p w14:paraId="3BF025D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1.9</w:t>
            </w:r>
          </w:p>
        </w:tc>
        <w:tc>
          <w:tcPr>
            <w:tcW w:w="1591" w:type="dxa"/>
          </w:tcPr>
          <w:p w14:paraId="06E9052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w:t>
            </w:r>
          </w:p>
        </w:tc>
      </w:tr>
      <w:tr w:rsidR="00186559" w:rsidRPr="00AA5833" w14:paraId="66ECDEE1" w14:textId="77777777" w:rsidTr="00B362CC">
        <w:trPr>
          <w:jc w:val="right"/>
        </w:trPr>
        <w:tc>
          <w:tcPr>
            <w:tcW w:w="2925" w:type="dxa"/>
            <w:vAlign w:val="center"/>
          </w:tcPr>
          <w:p w14:paraId="01A8ECDC"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Заети мъже, работещи на непълно работно време, % </w:t>
            </w:r>
          </w:p>
        </w:tc>
        <w:tc>
          <w:tcPr>
            <w:tcW w:w="1387" w:type="dxa"/>
          </w:tcPr>
          <w:p w14:paraId="48935AB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2.0</w:t>
            </w:r>
          </w:p>
        </w:tc>
        <w:tc>
          <w:tcPr>
            <w:tcW w:w="1744" w:type="dxa"/>
          </w:tcPr>
          <w:p w14:paraId="580CBB95" w14:textId="77777777" w:rsidR="00186559" w:rsidRPr="00AA5833" w:rsidRDefault="00186559" w:rsidP="002E676E">
            <w:pPr>
              <w:jc w:val="right"/>
              <w:rPr>
                <w:rFonts w:ascii="Times New Roman" w:hAnsi="Times New Roman" w:cs="Times New Roman"/>
                <w:sz w:val="24"/>
                <w:szCs w:val="24"/>
              </w:rPr>
            </w:pPr>
            <w:r w:rsidRPr="00AA5833">
              <w:rPr>
                <w:rFonts w:ascii="Times New Roman" w:hAnsi="Times New Roman" w:cs="Times New Roman"/>
                <w:sz w:val="24"/>
                <w:szCs w:val="24"/>
              </w:rPr>
              <w:t>1.6</w:t>
            </w:r>
          </w:p>
        </w:tc>
        <w:tc>
          <w:tcPr>
            <w:tcW w:w="1415" w:type="dxa"/>
          </w:tcPr>
          <w:p w14:paraId="7B852DE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1.7</w:t>
            </w:r>
          </w:p>
        </w:tc>
        <w:tc>
          <w:tcPr>
            <w:tcW w:w="1591" w:type="dxa"/>
          </w:tcPr>
          <w:p w14:paraId="3F3ECA8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w:t>
            </w:r>
          </w:p>
        </w:tc>
      </w:tr>
      <w:tr w:rsidR="00186559" w:rsidRPr="00AA5833" w14:paraId="60033D36" w14:textId="77777777" w:rsidTr="00B362CC">
        <w:trPr>
          <w:jc w:val="right"/>
        </w:trPr>
        <w:tc>
          <w:tcPr>
            <w:tcW w:w="2925" w:type="dxa"/>
            <w:vAlign w:val="center"/>
          </w:tcPr>
          <w:p w14:paraId="282F5A45"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Среден брой отработени часове на седмица, жени </w:t>
            </w:r>
          </w:p>
        </w:tc>
        <w:tc>
          <w:tcPr>
            <w:tcW w:w="1387" w:type="dxa"/>
          </w:tcPr>
          <w:p w14:paraId="3BA6DE8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39.9</w:t>
            </w:r>
          </w:p>
        </w:tc>
        <w:tc>
          <w:tcPr>
            <w:tcW w:w="1744" w:type="dxa"/>
          </w:tcPr>
          <w:p w14:paraId="0BB4F775" w14:textId="77777777" w:rsidR="00186559" w:rsidRPr="00AA5833" w:rsidRDefault="00186559" w:rsidP="002E676E">
            <w:pPr>
              <w:jc w:val="right"/>
              <w:rPr>
                <w:rFonts w:ascii="Times New Roman" w:hAnsi="Times New Roman" w:cs="Times New Roman"/>
                <w:sz w:val="24"/>
                <w:szCs w:val="24"/>
              </w:rPr>
            </w:pPr>
            <w:r w:rsidRPr="00AA5833">
              <w:rPr>
                <w:rFonts w:ascii="Times New Roman" w:hAnsi="Times New Roman" w:cs="Times New Roman"/>
                <w:sz w:val="24"/>
                <w:szCs w:val="24"/>
              </w:rPr>
              <w:t>38.7</w:t>
            </w:r>
          </w:p>
        </w:tc>
        <w:tc>
          <w:tcPr>
            <w:tcW w:w="1415" w:type="dxa"/>
          </w:tcPr>
          <w:p w14:paraId="3885FF5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38.8</w:t>
            </w:r>
          </w:p>
          <w:p w14:paraId="07A2BE6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591" w:type="dxa"/>
          </w:tcPr>
          <w:p w14:paraId="096E1AB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40</w:t>
            </w:r>
          </w:p>
        </w:tc>
      </w:tr>
      <w:tr w:rsidR="00186559" w:rsidRPr="00AA5833" w14:paraId="7AC67835" w14:textId="77777777" w:rsidTr="00B362CC">
        <w:trPr>
          <w:jc w:val="right"/>
        </w:trPr>
        <w:tc>
          <w:tcPr>
            <w:tcW w:w="2925" w:type="dxa"/>
            <w:vAlign w:val="center"/>
          </w:tcPr>
          <w:p w14:paraId="775027F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Среден брой отработени часове на седмица, мъже </w:t>
            </w:r>
          </w:p>
        </w:tc>
        <w:tc>
          <w:tcPr>
            <w:tcW w:w="1387" w:type="dxa"/>
          </w:tcPr>
          <w:p w14:paraId="591934E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40.8</w:t>
            </w:r>
          </w:p>
        </w:tc>
        <w:tc>
          <w:tcPr>
            <w:tcW w:w="1744" w:type="dxa"/>
          </w:tcPr>
          <w:p w14:paraId="370F2835" w14:textId="77777777" w:rsidR="00186559" w:rsidRPr="00AA5833" w:rsidRDefault="00186559" w:rsidP="002E676E">
            <w:pPr>
              <w:jc w:val="right"/>
              <w:rPr>
                <w:rFonts w:ascii="Times New Roman" w:hAnsi="Times New Roman" w:cs="Times New Roman"/>
                <w:sz w:val="24"/>
                <w:szCs w:val="24"/>
              </w:rPr>
            </w:pPr>
            <w:r w:rsidRPr="00AA5833">
              <w:rPr>
                <w:rFonts w:ascii="Times New Roman" w:hAnsi="Times New Roman" w:cs="Times New Roman"/>
                <w:sz w:val="24"/>
                <w:szCs w:val="24"/>
              </w:rPr>
              <w:t>39.1</w:t>
            </w:r>
          </w:p>
        </w:tc>
        <w:tc>
          <w:tcPr>
            <w:tcW w:w="1415" w:type="dxa"/>
          </w:tcPr>
          <w:p w14:paraId="5B864C2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39.1</w:t>
            </w:r>
          </w:p>
          <w:p w14:paraId="4A233D6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591" w:type="dxa"/>
          </w:tcPr>
          <w:p w14:paraId="44F80AE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40</w:t>
            </w:r>
          </w:p>
        </w:tc>
      </w:tr>
      <w:tr w:rsidR="00186559" w:rsidRPr="00AA5833" w14:paraId="65EE0637" w14:textId="77777777" w:rsidTr="00B362CC">
        <w:trPr>
          <w:jc w:val="right"/>
        </w:trPr>
        <w:tc>
          <w:tcPr>
            <w:tcW w:w="2925" w:type="dxa"/>
            <w:vAlign w:val="center"/>
          </w:tcPr>
          <w:p w14:paraId="2AFE8FFA"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Деца посещаващи детски заведения (0-2 години), %</w:t>
            </w:r>
          </w:p>
        </w:tc>
        <w:tc>
          <w:tcPr>
            <w:tcW w:w="1387" w:type="dxa"/>
          </w:tcPr>
          <w:p w14:paraId="02E6341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16.7</w:t>
            </w:r>
          </w:p>
        </w:tc>
        <w:tc>
          <w:tcPr>
            <w:tcW w:w="1744" w:type="dxa"/>
          </w:tcPr>
          <w:p w14:paraId="546896F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23.1</w:t>
            </w:r>
          </w:p>
        </w:tc>
        <w:tc>
          <w:tcPr>
            <w:tcW w:w="1415" w:type="dxa"/>
          </w:tcPr>
          <w:p w14:paraId="4B74684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23.3</w:t>
            </w:r>
          </w:p>
        </w:tc>
        <w:tc>
          <w:tcPr>
            <w:tcW w:w="1591" w:type="dxa"/>
          </w:tcPr>
          <w:p w14:paraId="4BD282B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30</w:t>
            </w:r>
          </w:p>
        </w:tc>
      </w:tr>
      <w:tr w:rsidR="00186559" w:rsidRPr="00AA5833" w14:paraId="44BA8FC5" w14:textId="77777777" w:rsidTr="00B362CC">
        <w:trPr>
          <w:jc w:val="right"/>
        </w:trPr>
        <w:tc>
          <w:tcPr>
            <w:tcW w:w="2925" w:type="dxa"/>
          </w:tcPr>
          <w:p w14:paraId="7771545A"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Деца посещаващи детски заведения (от 3 години до възрастта за започване на училище), %</w:t>
            </w:r>
          </w:p>
        </w:tc>
        <w:tc>
          <w:tcPr>
            <w:tcW w:w="1387" w:type="dxa"/>
          </w:tcPr>
          <w:p w14:paraId="51BE01D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67.0</w:t>
            </w:r>
          </w:p>
        </w:tc>
        <w:tc>
          <w:tcPr>
            <w:tcW w:w="1744" w:type="dxa"/>
          </w:tcPr>
          <w:p w14:paraId="015AA78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88.0</w:t>
            </w:r>
          </w:p>
        </w:tc>
        <w:tc>
          <w:tcPr>
            <w:tcW w:w="1415" w:type="dxa"/>
          </w:tcPr>
          <w:p w14:paraId="0DDA700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88.7</w:t>
            </w:r>
          </w:p>
        </w:tc>
        <w:tc>
          <w:tcPr>
            <w:tcW w:w="1591" w:type="dxa"/>
          </w:tcPr>
          <w:p w14:paraId="100902B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w:t>
            </w:r>
          </w:p>
        </w:tc>
      </w:tr>
      <w:tr w:rsidR="00186559" w:rsidRPr="00AA5833" w14:paraId="7ED923A4" w14:textId="77777777" w:rsidTr="00B362CC">
        <w:trPr>
          <w:jc w:val="right"/>
        </w:trPr>
        <w:tc>
          <w:tcPr>
            <w:tcW w:w="2925" w:type="dxa"/>
          </w:tcPr>
          <w:p w14:paraId="442A53D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Деца (0-17 г.) в риск от бедност след социалните трансфери, %</w:t>
            </w:r>
          </w:p>
        </w:tc>
        <w:tc>
          <w:tcPr>
            <w:tcW w:w="1387" w:type="dxa"/>
          </w:tcPr>
          <w:p w14:paraId="26E03EF8"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24.9</w:t>
            </w:r>
          </w:p>
        </w:tc>
        <w:tc>
          <w:tcPr>
            <w:tcW w:w="1744" w:type="dxa"/>
          </w:tcPr>
          <w:p w14:paraId="03DC895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26.9</w:t>
            </w:r>
          </w:p>
        </w:tc>
        <w:tc>
          <w:tcPr>
            <w:tcW w:w="1415" w:type="dxa"/>
          </w:tcPr>
          <w:p w14:paraId="3E8D6888"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28.2</w:t>
            </w:r>
          </w:p>
        </w:tc>
        <w:tc>
          <w:tcPr>
            <w:tcW w:w="1591" w:type="dxa"/>
          </w:tcPr>
          <w:p w14:paraId="51EFFD6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w:t>
            </w:r>
          </w:p>
        </w:tc>
      </w:tr>
      <w:tr w:rsidR="00186559" w:rsidRPr="00AA5833" w14:paraId="054765A6" w14:textId="77777777" w:rsidTr="00B362CC">
        <w:trPr>
          <w:jc w:val="right"/>
        </w:trPr>
        <w:tc>
          <w:tcPr>
            <w:tcW w:w="2925" w:type="dxa"/>
          </w:tcPr>
          <w:p w14:paraId="6B3958DD"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Деца (0-17 г.), живеещи в домакинства без заети лица, %</w:t>
            </w:r>
          </w:p>
        </w:tc>
        <w:tc>
          <w:tcPr>
            <w:tcW w:w="1387" w:type="dxa"/>
          </w:tcPr>
          <w:p w14:paraId="12131418"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11.9</w:t>
            </w:r>
          </w:p>
        </w:tc>
        <w:tc>
          <w:tcPr>
            <w:tcW w:w="1744" w:type="dxa"/>
          </w:tcPr>
          <w:p w14:paraId="00F68F4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8.8</w:t>
            </w:r>
          </w:p>
        </w:tc>
        <w:tc>
          <w:tcPr>
            <w:tcW w:w="1415" w:type="dxa"/>
          </w:tcPr>
          <w:p w14:paraId="0DE4216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7.8</w:t>
            </w:r>
          </w:p>
        </w:tc>
        <w:tc>
          <w:tcPr>
            <w:tcW w:w="1591" w:type="dxa"/>
          </w:tcPr>
          <w:p w14:paraId="03E1B77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w:t>
            </w:r>
          </w:p>
        </w:tc>
      </w:tr>
      <w:tr w:rsidR="00186559" w:rsidRPr="00AA5833" w14:paraId="5B8D440A" w14:textId="77777777" w:rsidTr="00B362CC">
        <w:trPr>
          <w:jc w:val="right"/>
        </w:trPr>
        <w:tc>
          <w:tcPr>
            <w:tcW w:w="2925" w:type="dxa"/>
          </w:tcPr>
          <w:p w14:paraId="1F13493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Социални помощи за подкрепа на семейството, (% в натура) </w:t>
            </w:r>
          </w:p>
        </w:tc>
        <w:tc>
          <w:tcPr>
            <w:tcW w:w="1387" w:type="dxa"/>
          </w:tcPr>
          <w:p w14:paraId="41ED86A2"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22.4</w:t>
            </w:r>
          </w:p>
        </w:tc>
        <w:tc>
          <w:tcPr>
            <w:tcW w:w="1744" w:type="dxa"/>
          </w:tcPr>
          <w:p w14:paraId="5052D26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5" w:type="dxa"/>
          </w:tcPr>
          <w:p w14:paraId="145E779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591" w:type="dxa"/>
          </w:tcPr>
          <w:p w14:paraId="071F6C6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32</w:t>
            </w:r>
          </w:p>
        </w:tc>
      </w:tr>
    </w:tbl>
    <w:p w14:paraId="55781111" w14:textId="77777777" w:rsidR="00186559" w:rsidRPr="00AA5833" w:rsidRDefault="00186559" w:rsidP="00186559">
      <w:pPr>
        <w:spacing w:after="0" w:line="240" w:lineRule="auto"/>
        <w:jc w:val="both"/>
        <w:rPr>
          <w:rFonts w:ascii="Times New Roman" w:eastAsia="Times New Roman" w:hAnsi="Times New Roman" w:cs="Times New Roman"/>
          <w:sz w:val="18"/>
          <w:szCs w:val="18"/>
          <w:lang w:eastAsia="bg-BG"/>
        </w:rPr>
      </w:pPr>
      <w:r w:rsidRPr="00AA5833">
        <w:rPr>
          <w:rFonts w:ascii="Times New Roman" w:eastAsia="Times New Roman" w:hAnsi="Times New Roman" w:cs="Times New Roman"/>
          <w:sz w:val="18"/>
          <w:szCs w:val="18"/>
          <w:vertAlign w:val="superscript"/>
          <w:lang w:eastAsia="bg-BG"/>
        </w:rPr>
        <w:t>1)</w:t>
      </w:r>
      <w:r w:rsidRPr="00AA5833">
        <w:rPr>
          <w:rFonts w:ascii="Times New Roman" w:eastAsia="Times New Roman" w:hAnsi="Times New Roman" w:cs="Times New Roman"/>
          <w:sz w:val="18"/>
          <w:szCs w:val="18"/>
          <w:lang w:eastAsia="bg-BG"/>
        </w:rPr>
        <w:t xml:space="preserve"> Съвкупността се състои от всички наети лица по трудово или служебно правоотношение и обхваща предприятията с 10 и повече наети лица от всички икономически дейности с изключение на „Селско, горско, ловно и рибно стопанство“.</w:t>
      </w:r>
    </w:p>
    <w:p w14:paraId="7A33A66B" w14:textId="77777777" w:rsidR="00533926" w:rsidRDefault="00533926" w:rsidP="00533926">
      <w:pPr>
        <w:spacing w:after="0" w:line="240" w:lineRule="auto"/>
        <w:jc w:val="both"/>
        <w:rPr>
          <w:rFonts w:ascii="Times New Roman" w:hAnsi="Times New Roman" w:cs="Times New Roman"/>
          <w:b/>
          <w:bCs/>
          <w:sz w:val="24"/>
          <w:szCs w:val="24"/>
        </w:rPr>
      </w:pPr>
    </w:p>
    <w:p w14:paraId="2A8450A2" w14:textId="77777777" w:rsidR="002E676E" w:rsidRDefault="002E676E" w:rsidP="00533926">
      <w:pPr>
        <w:spacing w:after="0" w:line="240" w:lineRule="auto"/>
        <w:jc w:val="both"/>
        <w:rPr>
          <w:rFonts w:ascii="Times New Roman" w:hAnsi="Times New Roman" w:cs="Times New Roman"/>
          <w:b/>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406"/>
        <w:gridCol w:w="1406"/>
        <w:gridCol w:w="1406"/>
        <w:gridCol w:w="1568"/>
        <w:gridCol w:w="1150"/>
      </w:tblGrid>
      <w:tr w:rsidR="00186559" w:rsidRPr="00AA5833" w14:paraId="0A163F6D" w14:textId="77777777" w:rsidTr="00A60E62">
        <w:tc>
          <w:tcPr>
            <w:tcW w:w="9067" w:type="dxa"/>
            <w:gridSpan w:val="6"/>
            <w:shd w:val="clear" w:color="auto" w:fill="E5DFEC"/>
          </w:tcPr>
          <w:p w14:paraId="311610C6"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СЪСТАВЕН ПОКАЗАТЕЛ 3</w:t>
            </w:r>
          </w:p>
          <w:p w14:paraId="368E3F1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АДАПТИРАНЕ НА ПОЛИТИКАТА НА ПАЗАРА НА ТРУДА КЪМ СТАРЕЕНЕТО НА НАСЕЛЕНИЕТО</w:t>
            </w:r>
          </w:p>
        </w:tc>
      </w:tr>
      <w:tr w:rsidR="00186559" w:rsidRPr="00AA5833" w14:paraId="1A11F292" w14:textId="77777777" w:rsidTr="00A60E62">
        <w:tblPrEx>
          <w:tblLook w:val="01E0" w:firstRow="1" w:lastRow="1" w:firstColumn="1" w:lastColumn="1" w:noHBand="0" w:noVBand="0"/>
        </w:tblPrEx>
        <w:tc>
          <w:tcPr>
            <w:tcW w:w="2437" w:type="dxa"/>
          </w:tcPr>
          <w:p w14:paraId="128C00AF"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Индикатори</w:t>
            </w:r>
          </w:p>
        </w:tc>
        <w:tc>
          <w:tcPr>
            <w:tcW w:w="1387" w:type="dxa"/>
          </w:tcPr>
          <w:p w14:paraId="2002E303"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29CBAEBA"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2009 г.</w:t>
            </w:r>
          </w:p>
        </w:tc>
        <w:tc>
          <w:tcPr>
            <w:tcW w:w="1387" w:type="dxa"/>
          </w:tcPr>
          <w:p w14:paraId="05FAD7B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033309B0"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2023 г.</w:t>
            </w:r>
          </w:p>
        </w:tc>
        <w:tc>
          <w:tcPr>
            <w:tcW w:w="1387" w:type="dxa"/>
          </w:tcPr>
          <w:p w14:paraId="580755DD"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2C75F095"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2024 г.</w:t>
            </w:r>
          </w:p>
        </w:tc>
        <w:tc>
          <w:tcPr>
            <w:tcW w:w="1619" w:type="dxa"/>
          </w:tcPr>
          <w:p w14:paraId="439B40D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Бележки </w:t>
            </w:r>
          </w:p>
        </w:tc>
        <w:tc>
          <w:tcPr>
            <w:tcW w:w="850" w:type="dxa"/>
          </w:tcPr>
          <w:p w14:paraId="36129713"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Цел</w:t>
            </w:r>
          </w:p>
          <w:p w14:paraId="023A852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2030 г.</w:t>
            </w:r>
          </w:p>
        </w:tc>
      </w:tr>
      <w:tr w:rsidR="00186559" w:rsidRPr="00AA5833" w14:paraId="41468F9A" w14:textId="77777777" w:rsidTr="00B362CC">
        <w:tc>
          <w:tcPr>
            <w:tcW w:w="2437" w:type="dxa"/>
            <w:vAlign w:val="center"/>
          </w:tcPr>
          <w:p w14:paraId="3D938BA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жени 55-64 години, в %</w:t>
            </w:r>
          </w:p>
        </w:tc>
        <w:tc>
          <w:tcPr>
            <w:tcW w:w="1418" w:type="dxa"/>
          </w:tcPr>
          <w:p w14:paraId="60607FFF" w14:textId="77777777" w:rsidR="00186559" w:rsidRPr="00AA5833" w:rsidRDefault="00186559" w:rsidP="00A60E62">
            <w:pPr>
              <w:spacing w:after="0"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39.2</w:t>
            </w:r>
          </w:p>
        </w:tc>
        <w:tc>
          <w:tcPr>
            <w:tcW w:w="1418" w:type="dxa"/>
          </w:tcPr>
          <w:p w14:paraId="711B31AD" w14:textId="77777777" w:rsidR="00186559" w:rsidRPr="00AA5833" w:rsidRDefault="00186559" w:rsidP="00A60E62">
            <w:pPr>
              <w:spacing w:line="360" w:lineRule="auto"/>
              <w:jc w:val="right"/>
              <w:rPr>
                <w:rFonts w:ascii="Times New Roman" w:hAnsi="Times New Roman" w:cs="Times New Roman"/>
                <w:sz w:val="24"/>
                <w:szCs w:val="24"/>
              </w:rPr>
            </w:pPr>
            <w:r w:rsidRPr="00AA5833">
              <w:rPr>
                <w:rFonts w:ascii="Times New Roman" w:hAnsi="Times New Roman" w:cs="Times New Roman"/>
                <w:sz w:val="24"/>
                <w:szCs w:val="24"/>
              </w:rPr>
              <w:t>65.3</w:t>
            </w:r>
          </w:p>
        </w:tc>
        <w:tc>
          <w:tcPr>
            <w:tcW w:w="1418" w:type="dxa"/>
          </w:tcPr>
          <w:p w14:paraId="3B4DA419"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66.2</w:t>
            </w:r>
          </w:p>
          <w:p w14:paraId="2C9D1C70" w14:textId="77777777" w:rsidR="00186559" w:rsidRPr="00AA5833" w:rsidRDefault="00186559" w:rsidP="00A60E62">
            <w:pPr>
              <w:spacing w:after="0" w:line="360" w:lineRule="auto"/>
              <w:jc w:val="right"/>
              <w:rPr>
                <w:rFonts w:ascii="Times New Roman" w:eastAsia="Times New Roman" w:hAnsi="Times New Roman" w:cs="Times New Roman"/>
                <w:sz w:val="24"/>
                <w:szCs w:val="24"/>
                <w:lang w:eastAsia="bg-BG"/>
              </w:rPr>
            </w:pPr>
          </w:p>
        </w:tc>
        <w:tc>
          <w:tcPr>
            <w:tcW w:w="1418" w:type="dxa"/>
          </w:tcPr>
          <w:p w14:paraId="2258C7DC" w14:textId="77777777" w:rsidR="00186559" w:rsidRPr="00AA5833" w:rsidRDefault="00186559" w:rsidP="00A60E62">
            <w:pPr>
              <w:spacing w:after="0" w:line="360" w:lineRule="auto"/>
              <w:jc w:val="right"/>
              <w:rPr>
                <w:rFonts w:ascii="Times New Roman" w:eastAsia="Times New Roman" w:hAnsi="Times New Roman" w:cs="Times New Roman"/>
                <w:sz w:val="24"/>
                <w:szCs w:val="24"/>
                <w:lang w:eastAsia="bg-BG"/>
              </w:rPr>
            </w:pPr>
          </w:p>
        </w:tc>
        <w:tc>
          <w:tcPr>
            <w:tcW w:w="1418" w:type="dxa"/>
          </w:tcPr>
          <w:p w14:paraId="42F80E3A"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60</w:t>
            </w:r>
          </w:p>
        </w:tc>
      </w:tr>
      <w:tr w:rsidR="00186559" w:rsidRPr="00AA5833" w14:paraId="3F6833A9" w14:textId="77777777" w:rsidTr="00B362CC">
        <w:tc>
          <w:tcPr>
            <w:tcW w:w="2437" w:type="dxa"/>
            <w:vAlign w:val="center"/>
          </w:tcPr>
          <w:p w14:paraId="4AFFDA3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мъже 55-64 години, в % </w:t>
            </w:r>
          </w:p>
        </w:tc>
        <w:tc>
          <w:tcPr>
            <w:tcW w:w="1418" w:type="dxa"/>
          </w:tcPr>
          <w:p w14:paraId="54625C12" w14:textId="77777777" w:rsidR="00186559" w:rsidRPr="00A60E62" w:rsidRDefault="00186559" w:rsidP="00A60E62">
            <w:pPr>
              <w:spacing w:after="0"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54.1</w:t>
            </w:r>
          </w:p>
        </w:tc>
        <w:tc>
          <w:tcPr>
            <w:tcW w:w="1418" w:type="dxa"/>
          </w:tcPr>
          <w:p w14:paraId="5C73094F" w14:textId="77777777" w:rsidR="00186559" w:rsidRPr="00A60E62" w:rsidRDefault="00186559" w:rsidP="00A60E62">
            <w:pPr>
              <w:spacing w:after="0"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74.0</w:t>
            </w:r>
          </w:p>
        </w:tc>
        <w:tc>
          <w:tcPr>
            <w:tcW w:w="1418" w:type="dxa"/>
          </w:tcPr>
          <w:p w14:paraId="443915AF" w14:textId="77777777" w:rsidR="00186559" w:rsidRPr="00A60E62" w:rsidRDefault="00186559" w:rsidP="00A60E62">
            <w:pPr>
              <w:spacing w:after="0"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73.8</w:t>
            </w:r>
          </w:p>
          <w:p w14:paraId="5D01A953" w14:textId="77777777" w:rsidR="00186559" w:rsidRPr="00A60E62" w:rsidRDefault="00186559" w:rsidP="00A60E62">
            <w:pPr>
              <w:spacing w:after="0"/>
              <w:rPr>
                <w:rFonts w:ascii="Times New Roman" w:eastAsia="Times New Roman" w:hAnsi="Times New Roman" w:cs="Times New Roman"/>
                <w:sz w:val="24"/>
                <w:szCs w:val="24"/>
                <w:lang w:eastAsia="bg-BG"/>
              </w:rPr>
            </w:pPr>
          </w:p>
        </w:tc>
        <w:tc>
          <w:tcPr>
            <w:tcW w:w="1418" w:type="dxa"/>
          </w:tcPr>
          <w:p w14:paraId="23C9AB52" w14:textId="77777777" w:rsidR="00186559" w:rsidRPr="00A60E62" w:rsidRDefault="00186559" w:rsidP="00A60E62">
            <w:pPr>
              <w:spacing w:after="0"/>
              <w:rPr>
                <w:rFonts w:ascii="Times New Roman" w:eastAsia="Times New Roman" w:hAnsi="Times New Roman" w:cs="Times New Roman"/>
                <w:sz w:val="24"/>
                <w:szCs w:val="24"/>
                <w:lang w:eastAsia="bg-BG"/>
              </w:rPr>
            </w:pPr>
          </w:p>
        </w:tc>
        <w:tc>
          <w:tcPr>
            <w:tcW w:w="1418" w:type="dxa"/>
          </w:tcPr>
          <w:p w14:paraId="0ABE3E49" w14:textId="77777777" w:rsidR="00186559" w:rsidRPr="00A60E62" w:rsidRDefault="00186559" w:rsidP="00A60E62">
            <w:pPr>
              <w:spacing w:after="0"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60</w:t>
            </w:r>
          </w:p>
        </w:tc>
      </w:tr>
      <w:tr w:rsidR="00186559" w:rsidRPr="00AA5833" w14:paraId="5BD77367" w14:textId="77777777" w:rsidTr="00B362CC">
        <w:tc>
          <w:tcPr>
            <w:tcW w:w="2437" w:type="dxa"/>
            <w:vAlign w:val="center"/>
          </w:tcPr>
          <w:p w14:paraId="1B92BCA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жени 55-59 години, в % </w:t>
            </w:r>
          </w:p>
        </w:tc>
        <w:tc>
          <w:tcPr>
            <w:tcW w:w="1418" w:type="dxa"/>
          </w:tcPr>
          <w:p w14:paraId="675B24FB"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62.0</w:t>
            </w:r>
          </w:p>
        </w:tc>
        <w:tc>
          <w:tcPr>
            <w:tcW w:w="1418" w:type="dxa"/>
          </w:tcPr>
          <w:p w14:paraId="2EA6AFBD"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78.5</w:t>
            </w:r>
          </w:p>
        </w:tc>
        <w:tc>
          <w:tcPr>
            <w:tcW w:w="1418" w:type="dxa"/>
          </w:tcPr>
          <w:p w14:paraId="4BB0B77B"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79.9</w:t>
            </w:r>
          </w:p>
        </w:tc>
        <w:tc>
          <w:tcPr>
            <w:tcW w:w="1418" w:type="dxa"/>
          </w:tcPr>
          <w:p w14:paraId="557BD102"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0A0E2614" w14:textId="77777777" w:rsidR="00186559" w:rsidRPr="00AA5833" w:rsidRDefault="00186559" w:rsidP="00A60E62">
            <w:pPr>
              <w:spacing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70</w:t>
            </w:r>
          </w:p>
        </w:tc>
      </w:tr>
      <w:tr w:rsidR="00186559" w:rsidRPr="00AA5833" w14:paraId="0615D9FF" w14:textId="77777777" w:rsidTr="00B362CC">
        <w:trPr>
          <w:trHeight w:val="1989"/>
        </w:trPr>
        <w:tc>
          <w:tcPr>
            <w:tcW w:w="2437" w:type="dxa"/>
            <w:vAlign w:val="center"/>
          </w:tcPr>
          <w:p w14:paraId="737321B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мъже 55-59 години, в %</w:t>
            </w:r>
          </w:p>
        </w:tc>
        <w:tc>
          <w:tcPr>
            <w:tcW w:w="1418" w:type="dxa"/>
          </w:tcPr>
          <w:p w14:paraId="22E14785"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67.4</w:t>
            </w:r>
          </w:p>
        </w:tc>
        <w:tc>
          <w:tcPr>
            <w:tcW w:w="1418" w:type="dxa"/>
          </w:tcPr>
          <w:p w14:paraId="37816B4B"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80.6</w:t>
            </w:r>
          </w:p>
        </w:tc>
        <w:tc>
          <w:tcPr>
            <w:tcW w:w="1418" w:type="dxa"/>
          </w:tcPr>
          <w:p w14:paraId="7AFDFC00" w14:textId="77777777" w:rsidR="00186559" w:rsidRPr="00AA5833" w:rsidRDefault="00186559" w:rsidP="00492A1A">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81.2</w:t>
            </w:r>
          </w:p>
        </w:tc>
        <w:tc>
          <w:tcPr>
            <w:tcW w:w="1418" w:type="dxa"/>
          </w:tcPr>
          <w:p w14:paraId="7CB99172"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760DAF95"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70</w:t>
            </w:r>
          </w:p>
        </w:tc>
      </w:tr>
      <w:tr w:rsidR="00186559" w:rsidRPr="00AA5833" w14:paraId="4F05DDCA" w14:textId="77777777" w:rsidTr="00B362CC">
        <w:trPr>
          <w:trHeight w:val="1531"/>
        </w:trPr>
        <w:tc>
          <w:tcPr>
            <w:tcW w:w="2437" w:type="dxa"/>
            <w:vAlign w:val="center"/>
          </w:tcPr>
          <w:p w14:paraId="0F58D0A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жени 60-64 години, в %</w:t>
            </w:r>
          </w:p>
        </w:tc>
        <w:tc>
          <w:tcPr>
            <w:tcW w:w="1418" w:type="dxa"/>
          </w:tcPr>
          <w:p w14:paraId="5D492EF1"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17.7</w:t>
            </w:r>
          </w:p>
        </w:tc>
        <w:tc>
          <w:tcPr>
            <w:tcW w:w="1418" w:type="dxa"/>
          </w:tcPr>
          <w:p w14:paraId="5B9ACE0F"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53.2</w:t>
            </w:r>
          </w:p>
        </w:tc>
        <w:tc>
          <w:tcPr>
            <w:tcW w:w="1418" w:type="dxa"/>
          </w:tcPr>
          <w:p w14:paraId="5CDFEE9D"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53.1</w:t>
            </w:r>
          </w:p>
          <w:p w14:paraId="15D1DCB9"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2F0D56F6"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2DCDE639"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55</w:t>
            </w:r>
          </w:p>
        </w:tc>
      </w:tr>
      <w:tr w:rsidR="00186559" w:rsidRPr="00AA5833" w14:paraId="1634289F" w14:textId="77777777" w:rsidTr="00B362CC">
        <w:tc>
          <w:tcPr>
            <w:tcW w:w="2437" w:type="dxa"/>
            <w:vAlign w:val="center"/>
          </w:tcPr>
          <w:p w14:paraId="2F1A7A5B"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мъже 60-64 години, в %</w:t>
            </w:r>
          </w:p>
        </w:tc>
        <w:tc>
          <w:tcPr>
            <w:tcW w:w="1418" w:type="dxa"/>
          </w:tcPr>
          <w:p w14:paraId="25D4C515"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41.4</w:t>
            </w:r>
          </w:p>
        </w:tc>
        <w:tc>
          <w:tcPr>
            <w:tcW w:w="1418" w:type="dxa"/>
          </w:tcPr>
          <w:p w14:paraId="6E99902A"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67.4</w:t>
            </w:r>
          </w:p>
        </w:tc>
        <w:tc>
          <w:tcPr>
            <w:tcW w:w="1418" w:type="dxa"/>
          </w:tcPr>
          <w:p w14:paraId="143C9DC9"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66.1</w:t>
            </w:r>
          </w:p>
          <w:p w14:paraId="747DEBAD"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1DC74CE0"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01DCFF20"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55</w:t>
            </w:r>
          </w:p>
        </w:tc>
      </w:tr>
      <w:tr w:rsidR="00186559" w:rsidRPr="00AA5833" w14:paraId="3CFC49E3" w14:textId="77777777" w:rsidTr="00B362CC">
        <w:tc>
          <w:tcPr>
            <w:tcW w:w="2437" w:type="dxa"/>
            <w:vAlign w:val="center"/>
          </w:tcPr>
          <w:p w14:paraId="6A0725D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жени 65-69 години, в %</w:t>
            </w:r>
          </w:p>
        </w:tc>
        <w:tc>
          <w:tcPr>
            <w:tcW w:w="1418" w:type="dxa"/>
          </w:tcPr>
          <w:p w14:paraId="2F4498C8"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4.3</w:t>
            </w:r>
          </w:p>
        </w:tc>
        <w:tc>
          <w:tcPr>
            <w:tcW w:w="1418" w:type="dxa"/>
          </w:tcPr>
          <w:p w14:paraId="75A5F00B"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13.9</w:t>
            </w:r>
          </w:p>
        </w:tc>
        <w:tc>
          <w:tcPr>
            <w:tcW w:w="1418" w:type="dxa"/>
          </w:tcPr>
          <w:p w14:paraId="79F6C975"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13.9</w:t>
            </w:r>
          </w:p>
        </w:tc>
        <w:tc>
          <w:tcPr>
            <w:tcW w:w="1418" w:type="dxa"/>
          </w:tcPr>
          <w:p w14:paraId="0B9B8A43"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6913F073"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w:t>
            </w:r>
          </w:p>
        </w:tc>
      </w:tr>
      <w:tr w:rsidR="00186559" w:rsidRPr="00AA5833" w14:paraId="079B25FD" w14:textId="77777777" w:rsidTr="00B362CC">
        <w:tc>
          <w:tcPr>
            <w:tcW w:w="2437" w:type="dxa"/>
            <w:vAlign w:val="center"/>
          </w:tcPr>
          <w:p w14:paraId="35AB68B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мъже 65-69 години, в % </w:t>
            </w:r>
          </w:p>
        </w:tc>
        <w:tc>
          <w:tcPr>
            <w:tcW w:w="1418" w:type="dxa"/>
          </w:tcPr>
          <w:p w14:paraId="0BDC6FB3"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12.8</w:t>
            </w:r>
          </w:p>
        </w:tc>
        <w:tc>
          <w:tcPr>
            <w:tcW w:w="1418" w:type="dxa"/>
          </w:tcPr>
          <w:p w14:paraId="22B5E33F" w14:textId="77777777" w:rsidR="00186559" w:rsidRPr="00A60E62" w:rsidRDefault="00186559" w:rsidP="00A60E62">
            <w:pPr>
              <w:spacing w:line="360" w:lineRule="auto"/>
              <w:jc w:val="right"/>
              <w:rPr>
                <w:rFonts w:ascii="Times New Roman" w:eastAsia="Times New Roman" w:hAnsi="Times New Roman" w:cs="Times New Roman"/>
                <w:sz w:val="24"/>
                <w:szCs w:val="24"/>
                <w:lang w:eastAsia="bg-BG"/>
              </w:rPr>
            </w:pPr>
            <w:r w:rsidRPr="00A60E62">
              <w:rPr>
                <w:rFonts w:ascii="Times New Roman" w:eastAsia="Times New Roman" w:hAnsi="Times New Roman" w:cs="Times New Roman"/>
                <w:sz w:val="24"/>
                <w:szCs w:val="24"/>
                <w:lang w:eastAsia="bg-BG"/>
              </w:rPr>
              <w:t>24.1</w:t>
            </w:r>
          </w:p>
        </w:tc>
        <w:tc>
          <w:tcPr>
            <w:tcW w:w="1418" w:type="dxa"/>
          </w:tcPr>
          <w:p w14:paraId="36DBAAB9"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24.3</w:t>
            </w:r>
          </w:p>
        </w:tc>
        <w:tc>
          <w:tcPr>
            <w:tcW w:w="1418" w:type="dxa"/>
          </w:tcPr>
          <w:p w14:paraId="243155F2"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Pr>
          <w:p w14:paraId="13BAFD7B"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15</w:t>
            </w:r>
          </w:p>
        </w:tc>
      </w:tr>
      <w:tr w:rsidR="00186559" w:rsidRPr="00AA5833" w14:paraId="6F85913D" w14:textId="77777777" w:rsidTr="00B362CC">
        <w:tc>
          <w:tcPr>
            <w:tcW w:w="2437" w:type="dxa"/>
            <w:vAlign w:val="center"/>
          </w:tcPr>
          <w:p w14:paraId="660D0744"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Средна възраст за излизане от пазара на труда, жени</w:t>
            </w:r>
          </w:p>
        </w:tc>
        <w:tc>
          <w:tcPr>
            <w:tcW w:w="1418" w:type="dxa"/>
          </w:tcPr>
          <w:p w14:paraId="1CDCA9ED"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64.1</w:t>
            </w:r>
          </w:p>
        </w:tc>
        <w:tc>
          <w:tcPr>
            <w:tcW w:w="1418" w:type="dxa"/>
          </w:tcPr>
          <w:p w14:paraId="586FA3FD"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8" w:type="dxa"/>
          </w:tcPr>
          <w:p w14:paraId="4DF31845" w14:textId="77777777" w:rsidR="00186559" w:rsidRPr="00AA5833" w:rsidRDefault="00186559" w:rsidP="00A60E62">
            <w:pPr>
              <w:spacing w:after="0" w:line="240" w:lineRule="auto"/>
              <w:jc w:val="right"/>
              <w:rPr>
                <w:rFonts w:ascii="Times New Roman" w:eastAsia="Times New Roman" w:hAnsi="Times New Roman" w:cs="Times New Roman"/>
                <w:sz w:val="24"/>
                <w:szCs w:val="24"/>
                <w:lang w:eastAsia="bg-BG"/>
              </w:rPr>
            </w:pPr>
          </w:p>
        </w:tc>
        <w:tc>
          <w:tcPr>
            <w:tcW w:w="1418" w:type="dxa"/>
          </w:tcPr>
          <w:p w14:paraId="01F6F679" w14:textId="77777777" w:rsidR="00186559" w:rsidRPr="00AA5833" w:rsidRDefault="00186559" w:rsidP="00A60E62">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Показателят не се изчислява</w:t>
            </w:r>
          </w:p>
        </w:tc>
        <w:tc>
          <w:tcPr>
            <w:tcW w:w="1418" w:type="dxa"/>
          </w:tcPr>
          <w:p w14:paraId="7A5A268B"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67</w:t>
            </w:r>
          </w:p>
        </w:tc>
      </w:tr>
      <w:tr w:rsidR="00186559" w:rsidRPr="00A60E62" w14:paraId="5455A9DB" w14:textId="77777777" w:rsidTr="00B362CC">
        <w:tc>
          <w:tcPr>
            <w:tcW w:w="2437" w:type="dxa"/>
            <w:tcBorders>
              <w:top w:val="single" w:sz="4" w:space="0" w:color="auto"/>
              <w:left w:val="single" w:sz="4" w:space="0" w:color="auto"/>
              <w:bottom w:val="single" w:sz="4" w:space="0" w:color="auto"/>
              <w:right w:val="single" w:sz="4" w:space="0" w:color="auto"/>
            </w:tcBorders>
            <w:vAlign w:val="center"/>
          </w:tcPr>
          <w:p w14:paraId="7221D3E8"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Средна възраст за излизане от пазара на труда, мъже </w:t>
            </w:r>
          </w:p>
        </w:tc>
        <w:tc>
          <w:tcPr>
            <w:tcW w:w="1418" w:type="dxa"/>
            <w:tcBorders>
              <w:top w:val="single" w:sz="4" w:space="0" w:color="auto"/>
              <w:left w:val="single" w:sz="4" w:space="0" w:color="auto"/>
              <w:bottom w:val="single" w:sz="4" w:space="0" w:color="auto"/>
              <w:right w:val="single" w:sz="4" w:space="0" w:color="auto"/>
            </w:tcBorders>
          </w:tcPr>
          <w:p w14:paraId="16CB6A23"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64.1</w:t>
            </w:r>
          </w:p>
        </w:tc>
        <w:tc>
          <w:tcPr>
            <w:tcW w:w="1418" w:type="dxa"/>
            <w:tcBorders>
              <w:top w:val="single" w:sz="4" w:space="0" w:color="auto"/>
              <w:left w:val="single" w:sz="4" w:space="0" w:color="auto"/>
              <w:bottom w:val="single" w:sz="4" w:space="0" w:color="auto"/>
              <w:right w:val="single" w:sz="4" w:space="0" w:color="auto"/>
            </w:tcBorders>
          </w:tcPr>
          <w:p w14:paraId="14B38820"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8" w:type="dxa"/>
            <w:tcBorders>
              <w:top w:val="single" w:sz="4" w:space="0" w:color="auto"/>
              <w:left w:val="single" w:sz="4" w:space="0" w:color="auto"/>
              <w:bottom w:val="single" w:sz="4" w:space="0" w:color="auto"/>
              <w:right w:val="single" w:sz="4" w:space="0" w:color="auto"/>
            </w:tcBorders>
          </w:tcPr>
          <w:p w14:paraId="4679EB12"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Borders>
              <w:top w:val="single" w:sz="4" w:space="0" w:color="auto"/>
              <w:left w:val="single" w:sz="4" w:space="0" w:color="auto"/>
              <w:bottom w:val="single" w:sz="4" w:space="0" w:color="auto"/>
              <w:right w:val="single" w:sz="4" w:space="0" w:color="auto"/>
            </w:tcBorders>
          </w:tcPr>
          <w:p w14:paraId="4E3BFB43" w14:textId="77777777" w:rsidR="00186559" w:rsidRPr="00AA5833" w:rsidRDefault="00186559" w:rsidP="00A60E62">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Показателят не се изчислява</w:t>
            </w:r>
          </w:p>
        </w:tc>
        <w:tc>
          <w:tcPr>
            <w:tcW w:w="1418" w:type="dxa"/>
            <w:tcBorders>
              <w:top w:val="single" w:sz="4" w:space="0" w:color="auto"/>
              <w:left w:val="single" w:sz="4" w:space="0" w:color="auto"/>
              <w:bottom w:val="single" w:sz="4" w:space="0" w:color="auto"/>
              <w:right w:val="single" w:sz="4" w:space="0" w:color="auto"/>
            </w:tcBorders>
          </w:tcPr>
          <w:p w14:paraId="6E231E7E"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67</w:t>
            </w:r>
          </w:p>
        </w:tc>
      </w:tr>
      <w:tr w:rsidR="00186559" w:rsidRPr="00AA5833" w14:paraId="6126EFFB" w14:textId="77777777" w:rsidTr="00B362CC">
        <w:tc>
          <w:tcPr>
            <w:tcW w:w="2437" w:type="dxa"/>
            <w:tcBorders>
              <w:top w:val="single" w:sz="4" w:space="0" w:color="auto"/>
              <w:left w:val="single" w:sz="4" w:space="0" w:color="auto"/>
              <w:bottom w:val="single" w:sz="4" w:space="0" w:color="auto"/>
              <w:right w:val="single" w:sz="4" w:space="0" w:color="auto"/>
            </w:tcBorders>
            <w:vAlign w:val="center"/>
          </w:tcPr>
          <w:p w14:paraId="7562078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Неактивни по здравословни причини, население 50-64 години, в %</w:t>
            </w:r>
          </w:p>
        </w:tc>
        <w:tc>
          <w:tcPr>
            <w:tcW w:w="1418" w:type="dxa"/>
            <w:tcBorders>
              <w:top w:val="single" w:sz="4" w:space="0" w:color="auto"/>
              <w:left w:val="single" w:sz="4" w:space="0" w:color="auto"/>
              <w:bottom w:val="single" w:sz="4" w:space="0" w:color="auto"/>
              <w:right w:val="single" w:sz="4" w:space="0" w:color="auto"/>
            </w:tcBorders>
          </w:tcPr>
          <w:p w14:paraId="4CC8B9FD"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22.3</w:t>
            </w:r>
          </w:p>
        </w:tc>
        <w:tc>
          <w:tcPr>
            <w:tcW w:w="1418" w:type="dxa"/>
            <w:tcBorders>
              <w:top w:val="single" w:sz="4" w:space="0" w:color="auto"/>
              <w:left w:val="single" w:sz="4" w:space="0" w:color="auto"/>
              <w:bottom w:val="single" w:sz="4" w:space="0" w:color="auto"/>
              <w:right w:val="single" w:sz="4" w:space="0" w:color="auto"/>
            </w:tcBorders>
          </w:tcPr>
          <w:p w14:paraId="4B93EBDC"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27.2</w:t>
            </w:r>
          </w:p>
        </w:tc>
        <w:tc>
          <w:tcPr>
            <w:tcW w:w="1418" w:type="dxa"/>
            <w:tcBorders>
              <w:top w:val="single" w:sz="4" w:space="0" w:color="auto"/>
              <w:left w:val="single" w:sz="4" w:space="0" w:color="auto"/>
              <w:bottom w:val="single" w:sz="4" w:space="0" w:color="auto"/>
              <w:right w:val="single" w:sz="4" w:space="0" w:color="auto"/>
            </w:tcBorders>
          </w:tcPr>
          <w:p w14:paraId="04CC45AB"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27.0</w:t>
            </w:r>
          </w:p>
        </w:tc>
        <w:tc>
          <w:tcPr>
            <w:tcW w:w="1418" w:type="dxa"/>
            <w:tcBorders>
              <w:top w:val="single" w:sz="4" w:space="0" w:color="auto"/>
              <w:left w:val="single" w:sz="4" w:space="0" w:color="auto"/>
              <w:bottom w:val="single" w:sz="4" w:space="0" w:color="auto"/>
              <w:right w:val="single" w:sz="4" w:space="0" w:color="auto"/>
            </w:tcBorders>
          </w:tcPr>
          <w:p w14:paraId="2B99766E"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Borders>
              <w:top w:val="single" w:sz="4" w:space="0" w:color="auto"/>
              <w:left w:val="single" w:sz="4" w:space="0" w:color="auto"/>
              <w:bottom w:val="single" w:sz="4" w:space="0" w:color="auto"/>
              <w:right w:val="single" w:sz="4" w:space="0" w:color="auto"/>
            </w:tcBorders>
          </w:tcPr>
          <w:p w14:paraId="3961347A"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w:t>
            </w:r>
          </w:p>
        </w:tc>
      </w:tr>
      <w:tr w:rsidR="00186559" w:rsidRPr="00AA5833" w14:paraId="386A6488" w14:textId="77777777" w:rsidTr="00B362CC">
        <w:tc>
          <w:tcPr>
            <w:tcW w:w="2437" w:type="dxa"/>
            <w:tcBorders>
              <w:top w:val="single" w:sz="4" w:space="0" w:color="auto"/>
              <w:left w:val="single" w:sz="4" w:space="0" w:color="auto"/>
              <w:bottom w:val="single" w:sz="4" w:space="0" w:color="auto"/>
              <w:right w:val="single" w:sz="4" w:space="0" w:color="auto"/>
            </w:tcBorders>
            <w:vAlign w:val="center"/>
          </w:tcPr>
          <w:p w14:paraId="2DD14AD9"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Използване на Интернет, население 55-64 години, в %</w:t>
            </w:r>
          </w:p>
        </w:tc>
        <w:tc>
          <w:tcPr>
            <w:tcW w:w="1418" w:type="dxa"/>
            <w:tcBorders>
              <w:top w:val="single" w:sz="4" w:space="0" w:color="auto"/>
              <w:left w:val="single" w:sz="4" w:space="0" w:color="auto"/>
              <w:bottom w:val="single" w:sz="4" w:space="0" w:color="auto"/>
              <w:right w:val="single" w:sz="4" w:space="0" w:color="auto"/>
            </w:tcBorders>
          </w:tcPr>
          <w:p w14:paraId="5131386E"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13.9</w:t>
            </w:r>
          </w:p>
        </w:tc>
        <w:tc>
          <w:tcPr>
            <w:tcW w:w="1418" w:type="dxa"/>
            <w:tcBorders>
              <w:top w:val="single" w:sz="4" w:space="0" w:color="auto"/>
              <w:left w:val="single" w:sz="4" w:space="0" w:color="auto"/>
              <w:bottom w:val="single" w:sz="4" w:space="0" w:color="auto"/>
              <w:right w:val="single" w:sz="4" w:space="0" w:color="auto"/>
            </w:tcBorders>
          </w:tcPr>
          <w:p w14:paraId="684EA661"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73.3</w:t>
            </w:r>
          </w:p>
        </w:tc>
        <w:tc>
          <w:tcPr>
            <w:tcW w:w="1418" w:type="dxa"/>
            <w:tcBorders>
              <w:top w:val="single" w:sz="4" w:space="0" w:color="auto"/>
              <w:left w:val="single" w:sz="4" w:space="0" w:color="auto"/>
              <w:bottom w:val="single" w:sz="4" w:space="0" w:color="auto"/>
              <w:right w:val="single" w:sz="4" w:space="0" w:color="auto"/>
            </w:tcBorders>
          </w:tcPr>
          <w:p w14:paraId="2C51CFF3"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77.9</w:t>
            </w:r>
          </w:p>
        </w:tc>
        <w:tc>
          <w:tcPr>
            <w:tcW w:w="1418" w:type="dxa"/>
            <w:tcBorders>
              <w:top w:val="single" w:sz="4" w:space="0" w:color="auto"/>
              <w:left w:val="single" w:sz="4" w:space="0" w:color="auto"/>
              <w:bottom w:val="single" w:sz="4" w:space="0" w:color="auto"/>
              <w:right w:val="single" w:sz="4" w:space="0" w:color="auto"/>
            </w:tcBorders>
          </w:tcPr>
          <w:p w14:paraId="59A368A7"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p>
        </w:tc>
        <w:tc>
          <w:tcPr>
            <w:tcW w:w="1418" w:type="dxa"/>
            <w:tcBorders>
              <w:top w:val="single" w:sz="4" w:space="0" w:color="auto"/>
              <w:left w:val="single" w:sz="4" w:space="0" w:color="auto"/>
              <w:bottom w:val="single" w:sz="4" w:space="0" w:color="auto"/>
              <w:right w:val="single" w:sz="4" w:space="0" w:color="auto"/>
            </w:tcBorders>
          </w:tcPr>
          <w:p w14:paraId="6CF2C487" w14:textId="77777777" w:rsidR="00186559" w:rsidRPr="00AA5833" w:rsidRDefault="00186559" w:rsidP="00A60E62">
            <w:pPr>
              <w:spacing w:line="36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70</w:t>
            </w:r>
          </w:p>
        </w:tc>
      </w:tr>
    </w:tbl>
    <w:p w14:paraId="649F880D" w14:textId="77777777" w:rsidR="00186559" w:rsidRDefault="00186559" w:rsidP="00533926">
      <w:pPr>
        <w:spacing w:after="0" w:line="240" w:lineRule="auto"/>
        <w:jc w:val="both"/>
        <w:rPr>
          <w:rFonts w:ascii="Times New Roman" w:hAnsi="Times New Roman" w:cs="Times New Roman"/>
          <w:b/>
          <w:bCs/>
          <w:sz w:val="24"/>
          <w:szCs w:val="24"/>
        </w:rPr>
      </w:pPr>
    </w:p>
    <w:p w14:paraId="573341F9" w14:textId="77777777" w:rsidR="00B362CC" w:rsidRDefault="00B362CC" w:rsidP="00533926">
      <w:pPr>
        <w:spacing w:after="0" w:line="240" w:lineRule="auto"/>
        <w:jc w:val="both"/>
        <w:rPr>
          <w:rFonts w:ascii="Times New Roman" w:hAnsi="Times New Roman" w:cs="Times New Roman"/>
          <w:b/>
          <w:bCs/>
          <w:sz w:val="24"/>
          <w:szCs w:val="24"/>
        </w:rPr>
      </w:pPr>
    </w:p>
    <w:p w14:paraId="6476D2D5"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418"/>
        <w:gridCol w:w="1417"/>
        <w:gridCol w:w="1418"/>
        <w:gridCol w:w="1559"/>
        <w:gridCol w:w="850"/>
      </w:tblGrid>
      <w:tr w:rsidR="00186559" w:rsidRPr="00186559" w14:paraId="67BEBF4F" w14:textId="77777777" w:rsidTr="002E676E">
        <w:tc>
          <w:tcPr>
            <w:tcW w:w="9067" w:type="dxa"/>
            <w:gridSpan w:val="6"/>
            <w:shd w:val="clear" w:color="auto" w:fill="E5DFEC"/>
          </w:tcPr>
          <w:p w14:paraId="3D832C5E"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СЪСТАВЕН ПОКАЗАТЕЛ 4</w:t>
            </w:r>
          </w:p>
          <w:p w14:paraId="6C49D6B5" w14:textId="77777777" w:rsidR="00186559" w:rsidRPr="00186559" w:rsidRDefault="00186559" w:rsidP="00186559">
            <w:pPr>
              <w:spacing w:after="0" w:line="240" w:lineRule="auto"/>
              <w:jc w:val="center"/>
              <w:rPr>
                <w:rFonts w:ascii="Times New Roman" w:eastAsia="Times New Roman" w:hAnsi="Times New Roman" w:cs="Times New Roman"/>
                <w:sz w:val="24"/>
                <w:szCs w:val="24"/>
                <w:lang w:eastAsia="bg-BG"/>
              </w:rPr>
            </w:pPr>
            <w:r w:rsidRPr="00186559">
              <w:rPr>
                <w:rFonts w:ascii="Times New Roman" w:eastAsia="Times New Roman" w:hAnsi="Times New Roman" w:cs="Times New Roman"/>
                <w:b/>
                <w:sz w:val="24"/>
                <w:szCs w:val="24"/>
                <w:lang w:eastAsia="bg-BG"/>
              </w:rPr>
              <w:t>АДАПТИРАНЕ НА ОБРАЗОВАТЕЛНАТА ПОЛИТИКА КЪМ СТАРЕЕНЕТО НА НАСЕЛЕНИЕТО. НАРАСТВАНЕ НА ПРИНОСА НА ОБРАЗОВАТЕЛНАТА СИСТЕМА ЗА ПОВИШАВАНЕ НА ПРОИЗВОДИТЕЛНОСТТА И МОБИЛНОСТТА НА НАСЕЛЕНИЕТО НА ПАЗАРА НА ТРУДА</w:t>
            </w:r>
            <w:r w:rsidRPr="00186559">
              <w:rPr>
                <w:rFonts w:ascii="Times New Roman" w:eastAsia="Times New Roman" w:hAnsi="Times New Roman" w:cs="Times New Roman"/>
                <w:sz w:val="24"/>
                <w:szCs w:val="24"/>
                <w:lang w:eastAsia="bg-BG"/>
              </w:rPr>
              <w:t xml:space="preserve">  </w:t>
            </w:r>
          </w:p>
        </w:tc>
      </w:tr>
      <w:tr w:rsidR="00186559" w:rsidRPr="00186559" w14:paraId="1D6E4E03" w14:textId="77777777" w:rsidTr="002E676E">
        <w:tblPrEx>
          <w:tblLook w:val="01E0" w:firstRow="1" w:lastRow="1" w:firstColumn="1" w:lastColumn="1" w:noHBand="0" w:noVBand="0"/>
        </w:tblPrEx>
        <w:trPr>
          <w:trHeight w:val="590"/>
        </w:trPr>
        <w:tc>
          <w:tcPr>
            <w:tcW w:w="2405" w:type="dxa"/>
          </w:tcPr>
          <w:p w14:paraId="1BBE26B9"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Индикатори</w:t>
            </w:r>
          </w:p>
        </w:tc>
        <w:tc>
          <w:tcPr>
            <w:tcW w:w="1418" w:type="dxa"/>
          </w:tcPr>
          <w:p w14:paraId="68E045B2"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7EDEAA3B"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2009 г.</w:t>
            </w:r>
          </w:p>
        </w:tc>
        <w:tc>
          <w:tcPr>
            <w:tcW w:w="1417" w:type="dxa"/>
          </w:tcPr>
          <w:p w14:paraId="3F35A134"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077626D4"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2023 г.</w:t>
            </w:r>
          </w:p>
        </w:tc>
        <w:tc>
          <w:tcPr>
            <w:tcW w:w="1418" w:type="dxa"/>
          </w:tcPr>
          <w:p w14:paraId="5ABC4BCF"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Състояние</w:t>
            </w:r>
          </w:p>
          <w:p w14:paraId="04B53844"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2024 г.</w:t>
            </w:r>
          </w:p>
        </w:tc>
        <w:tc>
          <w:tcPr>
            <w:tcW w:w="1559" w:type="dxa"/>
          </w:tcPr>
          <w:p w14:paraId="373C4A0B"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 xml:space="preserve">Бележки </w:t>
            </w:r>
          </w:p>
        </w:tc>
        <w:tc>
          <w:tcPr>
            <w:tcW w:w="850" w:type="dxa"/>
          </w:tcPr>
          <w:p w14:paraId="1EF14A76"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Цел</w:t>
            </w:r>
          </w:p>
          <w:p w14:paraId="29C248C4" w14:textId="77777777" w:rsidR="00186559" w:rsidRPr="00186559" w:rsidRDefault="00186559" w:rsidP="00186559">
            <w:pPr>
              <w:spacing w:after="0" w:line="240" w:lineRule="auto"/>
              <w:jc w:val="center"/>
              <w:rPr>
                <w:rFonts w:ascii="Times New Roman" w:eastAsia="Times New Roman" w:hAnsi="Times New Roman" w:cs="Times New Roman"/>
                <w:b/>
                <w:sz w:val="24"/>
                <w:szCs w:val="24"/>
                <w:lang w:eastAsia="bg-BG"/>
              </w:rPr>
            </w:pPr>
            <w:r w:rsidRPr="00186559">
              <w:rPr>
                <w:rFonts w:ascii="Times New Roman" w:eastAsia="Times New Roman" w:hAnsi="Times New Roman" w:cs="Times New Roman"/>
                <w:b/>
                <w:sz w:val="24"/>
                <w:szCs w:val="24"/>
                <w:lang w:eastAsia="bg-BG"/>
              </w:rPr>
              <w:t>2030 г.</w:t>
            </w:r>
          </w:p>
        </w:tc>
      </w:tr>
      <w:tr w:rsidR="00186559" w:rsidRPr="00186559" w14:paraId="22E2F5D8" w14:textId="77777777" w:rsidTr="00B362CC">
        <w:trPr>
          <w:trHeight w:val="557"/>
        </w:trPr>
        <w:tc>
          <w:tcPr>
            <w:tcW w:w="2405" w:type="dxa"/>
            <w:tcBorders>
              <w:top w:val="single" w:sz="4" w:space="0" w:color="auto"/>
              <w:left w:val="single" w:sz="4" w:space="0" w:color="auto"/>
              <w:bottom w:val="single" w:sz="4" w:space="0" w:color="auto"/>
              <w:right w:val="single" w:sz="4" w:space="0" w:color="auto"/>
            </w:tcBorders>
            <w:vAlign w:val="center"/>
          </w:tcPr>
          <w:p w14:paraId="2BB39585"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Ранно напускане на системата на образование и обучение, жени 18-24 години, в %</w:t>
            </w:r>
          </w:p>
        </w:tc>
        <w:tc>
          <w:tcPr>
            <w:tcW w:w="1418" w:type="dxa"/>
            <w:tcBorders>
              <w:top w:val="single" w:sz="4" w:space="0" w:color="auto"/>
              <w:left w:val="single" w:sz="4" w:space="0" w:color="auto"/>
              <w:bottom w:val="single" w:sz="4" w:space="0" w:color="auto"/>
              <w:right w:val="single" w:sz="4" w:space="0" w:color="auto"/>
            </w:tcBorders>
          </w:tcPr>
          <w:p w14:paraId="237BCD49" w14:textId="77777777" w:rsidR="00186559" w:rsidRPr="00186559" w:rsidRDefault="00186559" w:rsidP="00186559">
            <w:pPr>
              <w:spacing w:after="0" w:line="72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15.8</w:t>
            </w:r>
          </w:p>
        </w:tc>
        <w:tc>
          <w:tcPr>
            <w:tcW w:w="1417" w:type="dxa"/>
            <w:tcBorders>
              <w:top w:val="single" w:sz="4" w:space="0" w:color="auto"/>
              <w:left w:val="single" w:sz="4" w:space="0" w:color="auto"/>
              <w:bottom w:val="single" w:sz="4" w:space="0" w:color="auto"/>
              <w:right w:val="single" w:sz="4" w:space="0" w:color="auto"/>
            </w:tcBorders>
          </w:tcPr>
          <w:p w14:paraId="5F7F2550" w14:textId="77777777" w:rsidR="00186559" w:rsidRPr="00186559" w:rsidRDefault="00186559" w:rsidP="00186559">
            <w:pPr>
              <w:spacing w:after="0" w:line="72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9.2</w:t>
            </w:r>
          </w:p>
        </w:tc>
        <w:tc>
          <w:tcPr>
            <w:tcW w:w="1418" w:type="dxa"/>
            <w:tcBorders>
              <w:top w:val="single" w:sz="4" w:space="0" w:color="auto"/>
              <w:left w:val="single" w:sz="4" w:space="0" w:color="auto"/>
              <w:bottom w:val="single" w:sz="4" w:space="0" w:color="auto"/>
              <w:right w:val="single" w:sz="4" w:space="0" w:color="auto"/>
            </w:tcBorders>
          </w:tcPr>
          <w:p w14:paraId="2BC745F4" w14:textId="77777777" w:rsidR="00186559" w:rsidRPr="00186559" w:rsidRDefault="00C106DC" w:rsidP="00C106DC">
            <w:pPr>
              <w:spacing w:after="0" w:line="720" w:lineRule="auto"/>
              <w:jc w:val="right"/>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186559" w:rsidRPr="00186559">
              <w:rPr>
                <w:rFonts w:ascii="Times New Roman" w:eastAsia="Times New Roman" w:hAnsi="Times New Roman" w:cs="Times New Roman"/>
                <w:sz w:val="24"/>
                <w:szCs w:val="24"/>
                <w:lang w:eastAsia="bg-BG"/>
              </w:rPr>
              <w:t>8.2</w:t>
            </w:r>
          </w:p>
        </w:tc>
        <w:tc>
          <w:tcPr>
            <w:tcW w:w="1559" w:type="dxa"/>
            <w:tcBorders>
              <w:top w:val="single" w:sz="4" w:space="0" w:color="auto"/>
              <w:left w:val="single" w:sz="4" w:space="0" w:color="auto"/>
              <w:bottom w:val="single" w:sz="4" w:space="0" w:color="auto"/>
              <w:right w:val="single" w:sz="4" w:space="0" w:color="auto"/>
            </w:tcBorders>
          </w:tcPr>
          <w:p w14:paraId="16D37DF5" w14:textId="77777777" w:rsidR="00186559" w:rsidRPr="00186559" w:rsidRDefault="00186559" w:rsidP="00186559">
            <w:pPr>
              <w:spacing w:after="0" w:line="720" w:lineRule="auto"/>
              <w:jc w:val="right"/>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4A93CB16" w14:textId="77777777" w:rsidR="00186559" w:rsidRPr="00186559" w:rsidRDefault="00186559" w:rsidP="00492A1A">
            <w:pPr>
              <w:spacing w:after="0" w:line="240" w:lineRule="auto"/>
              <w:ind w:left="-235"/>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под</w:t>
            </w:r>
            <w:r w:rsidR="00492A1A">
              <w:rPr>
                <w:rFonts w:ascii="Times New Roman" w:eastAsia="Times New Roman" w:hAnsi="Times New Roman" w:cs="Times New Roman"/>
                <w:sz w:val="24"/>
                <w:szCs w:val="24"/>
                <w:lang w:eastAsia="bg-BG"/>
              </w:rPr>
              <w:t xml:space="preserve"> </w:t>
            </w:r>
            <w:r w:rsidRPr="00186559">
              <w:rPr>
                <w:rFonts w:ascii="Times New Roman" w:eastAsia="Times New Roman" w:hAnsi="Times New Roman" w:cs="Times New Roman"/>
                <w:sz w:val="24"/>
                <w:szCs w:val="24"/>
                <w:lang w:eastAsia="bg-BG"/>
              </w:rPr>
              <w:t>10</w:t>
            </w:r>
          </w:p>
        </w:tc>
      </w:tr>
      <w:tr w:rsidR="00186559" w:rsidRPr="00186559" w14:paraId="5191036C" w14:textId="77777777" w:rsidTr="00B362CC">
        <w:trPr>
          <w:trHeight w:val="1312"/>
        </w:trPr>
        <w:tc>
          <w:tcPr>
            <w:tcW w:w="2405" w:type="dxa"/>
            <w:tcBorders>
              <w:top w:val="single" w:sz="4" w:space="0" w:color="auto"/>
              <w:left w:val="single" w:sz="4" w:space="0" w:color="auto"/>
              <w:bottom w:val="single" w:sz="4" w:space="0" w:color="auto"/>
              <w:right w:val="single" w:sz="4" w:space="0" w:color="auto"/>
            </w:tcBorders>
            <w:vAlign w:val="center"/>
          </w:tcPr>
          <w:p w14:paraId="77FE13B1"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Ранно напускане на системата на образование и обучение, мъже 18-24 години, в %</w:t>
            </w:r>
          </w:p>
        </w:tc>
        <w:tc>
          <w:tcPr>
            <w:tcW w:w="1418" w:type="dxa"/>
            <w:tcBorders>
              <w:top w:val="single" w:sz="4" w:space="0" w:color="auto"/>
              <w:left w:val="single" w:sz="4" w:space="0" w:color="auto"/>
              <w:bottom w:val="single" w:sz="4" w:space="0" w:color="auto"/>
              <w:right w:val="single" w:sz="4" w:space="0" w:color="auto"/>
            </w:tcBorders>
          </w:tcPr>
          <w:p w14:paraId="69465E4A" w14:textId="77777777" w:rsidR="00186559" w:rsidRPr="00186559" w:rsidRDefault="00186559" w:rsidP="00186559">
            <w:pPr>
              <w:spacing w:after="0" w:line="72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13.7</w:t>
            </w:r>
          </w:p>
        </w:tc>
        <w:tc>
          <w:tcPr>
            <w:tcW w:w="1417" w:type="dxa"/>
            <w:tcBorders>
              <w:top w:val="single" w:sz="4" w:space="0" w:color="auto"/>
              <w:left w:val="single" w:sz="4" w:space="0" w:color="auto"/>
              <w:bottom w:val="single" w:sz="4" w:space="0" w:color="auto"/>
              <w:right w:val="single" w:sz="4" w:space="0" w:color="auto"/>
            </w:tcBorders>
          </w:tcPr>
          <w:p w14:paraId="4B9C39CA" w14:textId="77777777" w:rsidR="00186559" w:rsidRPr="00186559" w:rsidRDefault="00186559" w:rsidP="00186559">
            <w:pPr>
              <w:spacing w:after="0" w:line="720" w:lineRule="auto"/>
              <w:jc w:val="right"/>
              <w:rPr>
                <w:rFonts w:ascii="Times New Roman" w:hAnsi="Times New Roman" w:cs="Times New Roman"/>
                <w:sz w:val="24"/>
                <w:szCs w:val="24"/>
              </w:rPr>
            </w:pPr>
            <w:r w:rsidRPr="00186559">
              <w:rPr>
                <w:rFonts w:ascii="Times New Roman" w:hAnsi="Times New Roman" w:cs="Times New Roman"/>
                <w:sz w:val="24"/>
                <w:szCs w:val="24"/>
              </w:rPr>
              <w:t>9.4</w:t>
            </w:r>
          </w:p>
        </w:tc>
        <w:tc>
          <w:tcPr>
            <w:tcW w:w="1418" w:type="dxa"/>
            <w:tcBorders>
              <w:top w:val="single" w:sz="4" w:space="0" w:color="auto"/>
              <w:left w:val="single" w:sz="4" w:space="0" w:color="auto"/>
              <w:bottom w:val="single" w:sz="4" w:space="0" w:color="auto"/>
              <w:right w:val="single" w:sz="4" w:space="0" w:color="auto"/>
            </w:tcBorders>
          </w:tcPr>
          <w:p w14:paraId="4361CC5B" w14:textId="77777777" w:rsidR="00186559" w:rsidRPr="00186559" w:rsidRDefault="00186559" w:rsidP="00186559">
            <w:pPr>
              <w:spacing w:after="0" w:line="72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8.1</w:t>
            </w:r>
          </w:p>
        </w:tc>
        <w:tc>
          <w:tcPr>
            <w:tcW w:w="1559" w:type="dxa"/>
            <w:tcBorders>
              <w:top w:val="single" w:sz="4" w:space="0" w:color="auto"/>
              <w:left w:val="single" w:sz="4" w:space="0" w:color="auto"/>
              <w:bottom w:val="single" w:sz="4" w:space="0" w:color="auto"/>
              <w:right w:val="single" w:sz="4" w:space="0" w:color="auto"/>
            </w:tcBorders>
          </w:tcPr>
          <w:p w14:paraId="19E98DF6"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2FF7D41C" w14:textId="77777777" w:rsidR="00186559" w:rsidRPr="00186559" w:rsidRDefault="00186559" w:rsidP="00186559">
            <w:pPr>
              <w:spacing w:after="0" w:line="240" w:lineRule="auto"/>
              <w:ind w:left="-235"/>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под 10</w:t>
            </w:r>
          </w:p>
        </w:tc>
      </w:tr>
      <w:tr w:rsidR="00186559" w:rsidRPr="00186559" w14:paraId="77445975" w14:textId="77777777" w:rsidTr="00B362CC">
        <w:trPr>
          <w:trHeight w:val="1191"/>
        </w:trPr>
        <w:tc>
          <w:tcPr>
            <w:tcW w:w="2405" w:type="dxa"/>
            <w:tcBorders>
              <w:top w:val="single" w:sz="4" w:space="0" w:color="auto"/>
              <w:left w:val="single" w:sz="4" w:space="0" w:color="auto"/>
              <w:bottom w:val="single" w:sz="4" w:space="0" w:color="auto"/>
              <w:right w:val="single" w:sz="4" w:space="0" w:color="auto"/>
            </w:tcBorders>
            <w:vAlign w:val="center"/>
          </w:tcPr>
          <w:p w14:paraId="433D2A7D"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Образователни постижения, жени с висше образование на 30-34 годишна възраст, в % </w:t>
            </w:r>
          </w:p>
        </w:tc>
        <w:tc>
          <w:tcPr>
            <w:tcW w:w="1418" w:type="dxa"/>
            <w:tcBorders>
              <w:top w:val="single" w:sz="4" w:space="0" w:color="auto"/>
              <w:left w:val="single" w:sz="4" w:space="0" w:color="auto"/>
              <w:bottom w:val="single" w:sz="4" w:space="0" w:color="auto"/>
              <w:right w:val="single" w:sz="4" w:space="0" w:color="auto"/>
            </w:tcBorders>
          </w:tcPr>
          <w:p w14:paraId="1C93D89A" w14:textId="77777777" w:rsidR="00186559" w:rsidRPr="00186559" w:rsidRDefault="00186559" w:rsidP="00186559">
            <w:pPr>
              <w:spacing w:after="0" w:line="60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35.6</w:t>
            </w:r>
          </w:p>
        </w:tc>
        <w:tc>
          <w:tcPr>
            <w:tcW w:w="1417" w:type="dxa"/>
            <w:tcBorders>
              <w:top w:val="single" w:sz="4" w:space="0" w:color="auto"/>
              <w:left w:val="single" w:sz="4" w:space="0" w:color="auto"/>
              <w:bottom w:val="single" w:sz="4" w:space="0" w:color="auto"/>
              <w:right w:val="single" w:sz="4" w:space="0" w:color="auto"/>
            </w:tcBorders>
          </w:tcPr>
          <w:p w14:paraId="6EE94197" w14:textId="77777777" w:rsidR="00186559" w:rsidRPr="00186559" w:rsidRDefault="00186559" w:rsidP="00186559">
            <w:pPr>
              <w:spacing w:after="0" w:line="60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42.7</w:t>
            </w:r>
          </w:p>
        </w:tc>
        <w:tc>
          <w:tcPr>
            <w:tcW w:w="1418" w:type="dxa"/>
            <w:tcBorders>
              <w:top w:val="single" w:sz="4" w:space="0" w:color="auto"/>
              <w:left w:val="single" w:sz="4" w:space="0" w:color="auto"/>
              <w:bottom w:val="single" w:sz="4" w:space="0" w:color="auto"/>
              <w:right w:val="single" w:sz="4" w:space="0" w:color="auto"/>
            </w:tcBorders>
          </w:tcPr>
          <w:p w14:paraId="05864029" w14:textId="77777777" w:rsidR="00186559" w:rsidRPr="00186559" w:rsidRDefault="00186559" w:rsidP="00C106DC">
            <w:pPr>
              <w:spacing w:after="0" w:line="60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49.1</w:t>
            </w:r>
          </w:p>
        </w:tc>
        <w:tc>
          <w:tcPr>
            <w:tcW w:w="1559" w:type="dxa"/>
            <w:tcBorders>
              <w:top w:val="single" w:sz="4" w:space="0" w:color="auto"/>
              <w:left w:val="single" w:sz="4" w:space="0" w:color="auto"/>
              <w:bottom w:val="single" w:sz="4" w:space="0" w:color="auto"/>
              <w:right w:val="single" w:sz="4" w:space="0" w:color="auto"/>
            </w:tcBorders>
          </w:tcPr>
          <w:p w14:paraId="0A581394" w14:textId="77777777" w:rsidR="00186559" w:rsidRPr="00186559" w:rsidRDefault="00186559" w:rsidP="00186559">
            <w:pPr>
              <w:spacing w:after="0" w:line="600" w:lineRule="auto"/>
              <w:jc w:val="center"/>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6FF3CE75" w14:textId="77777777" w:rsidR="00186559" w:rsidRPr="00186559" w:rsidRDefault="00186559" w:rsidP="00186559">
            <w:pPr>
              <w:spacing w:after="0" w:line="60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40</w:t>
            </w:r>
          </w:p>
        </w:tc>
      </w:tr>
      <w:tr w:rsidR="00186559" w:rsidRPr="00186559" w14:paraId="507787B2"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1428E08E"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Образователни постижения, мъже с висше образование на 30-34 годишна възраст, в %</w:t>
            </w:r>
          </w:p>
        </w:tc>
        <w:tc>
          <w:tcPr>
            <w:tcW w:w="1418" w:type="dxa"/>
            <w:tcBorders>
              <w:top w:val="single" w:sz="4" w:space="0" w:color="auto"/>
              <w:left w:val="single" w:sz="4" w:space="0" w:color="auto"/>
              <w:bottom w:val="single" w:sz="4" w:space="0" w:color="auto"/>
              <w:right w:val="single" w:sz="4" w:space="0" w:color="auto"/>
            </w:tcBorders>
          </w:tcPr>
          <w:p w14:paraId="7F3B759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20.4</w:t>
            </w:r>
          </w:p>
        </w:tc>
        <w:tc>
          <w:tcPr>
            <w:tcW w:w="1417" w:type="dxa"/>
            <w:tcBorders>
              <w:top w:val="single" w:sz="4" w:space="0" w:color="auto"/>
              <w:left w:val="single" w:sz="4" w:space="0" w:color="auto"/>
              <w:bottom w:val="single" w:sz="4" w:space="0" w:color="auto"/>
              <w:right w:val="single" w:sz="4" w:space="0" w:color="auto"/>
            </w:tcBorders>
          </w:tcPr>
          <w:p w14:paraId="271AD8B4"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27.7</w:t>
            </w:r>
          </w:p>
        </w:tc>
        <w:tc>
          <w:tcPr>
            <w:tcW w:w="1418" w:type="dxa"/>
            <w:tcBorders>
              <w:top w:val="single" w:sz="4" w:space="0" w:color="auto"/>
              <w:left w:val="single" w:sz="4" w:space="0" w:color="auto"/>
              <w:bottom w:val="single" w:sz="4" w:space="0" w:color="auto"/>
              <w:right w:val="single" w:sz="4" w:space="0" w:color="auto"/>
            </w:tcBorders>
          </w:tcPr>
          <w:p w14:paraId="4BF849BB" w14:textId="77777777" w:rsidR="00186559" w:rsidRPr="00186559" w:rsidRDefault="00186559" w:rsidP="00C106DC">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30.8</w:t>
            </w:r>
          </w:p>
        </w:tc>
        <w:tc>
          <w:tcPr>
            <w:tcW w:w="1559" w:type="dxa"/>
            <w:tcBorders>
              <w:top w:val="single" w:sz="4" w:space="0" w:color="auto"/>
              <w:left w:val="single" w:sz="4" w:space="0" w:color="auto"/>
              <w:bottom w:val="single" w:sz="4" w:space="0" w:color="auto"/>
              <w:right w:val="single" w:sz="4" w:space="0" w:color="auto"/>
            </w:tcBorders>
          </w:tcPr>
          <w:p w14:paraId="0F316AB2" w14:textId="77777777" w:rsidR="00186559" w:rsidRPr="00186559" w:rsidRDefault="00186559" w:rsidP="00186559">
            <w:pPr>
              <w:spacing w:after="0" w:line="240" w:lineRule="auto"/>
              <w:jc w:val="center"/>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75D6E762"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40</w:t>
            </w:r>
          </w:p>
        </w:tc>
      </w:tr>
      <w:tr w:rsidR="00186559" w:rsidRPr="00186559" w14:paraId="0034831F" w14:textId="77777777" w:rsidTr="00B362CC">
        <w:trPr>
          <w:trHeight w:val="961"/>
        </w:trPr>
        <w:tc>
          <w:tcPr>
            <w:tcW w:w="2405" w:type="dxa"/>
            <w:tcBorders>
              <w:top w:val="single" w:sz="4" w:space="0" w:color="auto"/>
              <w:left w:val="single" w:sz="4" w:space="0" w:color="auto"/>
              <w:bottom w:val="single" w:sz="4" w:space="0" w:color="auto"/>
              <w:right w:val="single" w:sz="4" w:space="0" w:color="auto"/>
            </w:tcBorders>
            <w:vAlign w:val="center"/>
          </w:tcPr>
          <w:p w14:paraId="149DA37D"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Дипломирани висшисти – 20-29 години на 1 000 души от населението на тази възраст, в </w:t>
            </w:r>
            <w:r w:rsidRPr="00186559">
              <w:rPr>
                <w:rFonts w:ascii="Times New Roman" w:eastAsia="Times New Roman" w:hAnsi="Times New Roman" w:cs="Times New Roman"/>
                <w:color w:val="000000"/>
                <w:sz w:val="24"/>
                <w:szCs w:val="24"/>
                <w:lang w:eastAsia="bg-BG"/>
              </w:rPr>
              <w:t>‰</w:t>
            </w:r>
          </w:p>
        </w:tc>
        <w:tc>
          <w:tcPr>
            <w:tcW w:w="1418" w:type="dxa"/>
            <w:tcBorders>
              <w:top w:val="single" w:sz="4" w:space="0" w:color="auto"/>
              <w:left w:val="single" w:sz="4" w:space="0" w:color="auto"/>
              <w:bottom w:val="single" w:sz="4" w:space="0" w:color="auto"/>
              <w:right w:val="single" w:sz="4" w:space="0" w:color="auto"/>
            </w:tcBorders>
          </w:tcPr>
          <w:p w14:paraId="7E95B47E"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42.8</w:t>
            </w:r>
          </w:p>
        </w:tc>
        <w:tc>
          <w:tcPr>
            <w:tcW w:w="1417" w:type="dxa"/>
            <w:tcBorders>
              <w:top w:val="single" w:sz="4" w:space="0" w:color="auto"/>
              <w:left w:val="single" w:sz="4" w:space="0" w:color="auto"/>
              <w:bottom w:val="single" w:sz="4" w:space="0" w:color="auto"/>
              <w:right w:val="single" w:sz="4" w:space="0" w:color="auto"/>
            </w:tcBorders>
          </w:tcPr>
          <w:p w14:paraId="503A4DE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50.2</w:t>
            </w:r>
          </w:p>
        </w:tc>
        <w:tc>
          <w:tcPr>
            <w:tcW w:w="1418" w:type="dxa"/>
            <w:tcBorders>
              <w:top w:val="single" w:sz="4" w:space="0" w:color="auto"/>
              <w:left w:val="single" w:sz="4" w:space="0" w:color="auto"/>
              <w:bottom w:val="single" w:sz="4" w:space="0" w:color="auto"/>
              <w:right w:val="single" w:sz="4" w:space="0" w:color="auto"/>
            </w:tcBorders>
          </w:tcPr>
          <w:p w14:paraId="67CC0BD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53.2</w:t>
            </w:r>
          </w:p>
        </w:tc>
        <w:tc>
          <w:tcPr>
            <w:tcW w:w="1559" w:type="dxa"/>
            <w:tcBorders>
              <w:top w:val="single" w:sz="4" w:space="0" w:color="auto"/>
              <w:left w:val="single" w:sz="4" w:space="0" w:color="auto"/>
              <w:bottom w:val="single" w:sz="4" w:space="0" w:color="auto"/>
              <w:right w:val="single" w:sz="4" w:space="0" w:color="auto"/>
            </w:tcBorders>
          </w:tcPr>
          <w:p w14:paraId="19EFC872"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Коефициентите са изчислени като отношение </w:t>
            </w:r>
            <w:r w:rsidRPr="00186559">
              <w:rPr>
                <w:rFonts w:ascii="Times New Roman" w:eastAsia="Times New Roman" w:hAnsi="Times New Roman" w:cs="Times New Roman"/>
                <w:sz w:val="24"/>
                <w:szCs w:val="24"/>
                <w:lang w:eastAsia="bg-BG"/>
              </w:rPr>
              <w:lastRenderedPageBreak/>
              <w:t>между броя на придобилите висше образование през референтната година и броя на населението към 31 декември на същата година.</w:t>
            </w:r>
          </w:p>
        </w:tc>
        <w:tc>
          <w:tcPr>
            <w:tcW w:w="850" w:type="dxa"/>
            <w:tcBorders>
              <w:top w:val="single" w:sz="4" w:space="0" w:color="auto"/>
              <w:left w:val="single" w:sz="4" w:space="0" w:color="auto"/>
              <w:bottom w:val="single" w:sz="4" w:space="0" w:color="auto"/>
              <w:right w:val="single" w:sz="4" w:space="0" w:color="auto"/>
            </w:tcBorders>
          </w:tcPr>
          <w:p w14:paraId="1EE988DF"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lastRenderedPageBreak/>
              <w:t>60</w:t>
            </w:r>
          </w:p>
        </w:tc>
      </w:tr>
      <w:tr w:rsidR="00186559" w:rsidRPr="00186559" w14:paraId="1FD92615" w14:textId="77777777" w:rsidTr="00B362CC">
        <w:trPr>
          <w:trHeight w:val="1545"/>
        </w:trPr>
        <w:tc>
          <w:tcPr>
            <w:tcW w:w="2405" w:type="dxa"/>
            <w:tcBorders>
              <w:top w:val="single" w:sz="4" w:space="0" w:color="auto"/>
              <w:left w:val="single" w:sz="4" w:space="0" w:color="auto"/>
              <w:bottom w:val="single" w:sz="4" w:space="0" w:color="auto"/>
              <w:right w:val="single" w:sz="4" w:space="0" w:color="auto"/>
            </w:tcBorders>
            <w:vAlign w:val="center"/>
          </w:tcPr>
          <w:p w14:paraId="7996E0E6" w14:textId="77777777" w:rsidR="00186559" w:rsidRPr="00186559" w:rsidRDefault="00186559" w:rsidP="00186559">
            <w:pPr>
              <w:spacing w:after="0" w:line="240" w:lineRule="auto"/>
              <w:rPr>
                <w:rFonts w:ascii="Times New Roman" w:eastAsia="Times New Roman" w:hAnsi="Times New Roman" w:cs="Times New Roman"/>
                <w:color w:val="FF0000"/>
                <w:sz w:val="24"/>
                <w:szCs w:val="24"/>
                <w:lang w:eastAsia="bg-BG"/>
              </w:rPr>
            </w:pPr>
            <w:r w:rsidRPr="00186559">
              <w:rPr>
                <w:rFonts w:ascii="Times New Roman" w:eastAsia="Times New Roman" w:hAnsi="Times New Roman" w:cs="Times New Roman"/>
                <w:sz w:val="24"/>
                <w:szCs w:val="24"/>
                <w:lang w:eastAsia="bg-BG"/>
              </w:rPr>
              <w:t>Коефициент на заетост по ниво на образование (висше), възраст 20-64 г., в %</w:t>
            </w:r>
          </w:p>
        </w:tc>
        <w:tc>
          <w:tcPr>
            <w:tcW w:w="1418" w:type="dxa"/>
            <w:tcBorders>
              <w:top w:val="single" w:sz="4" w:space="0" w:color="auto"/>
              <w:left w:val="single" w:sz="4" w:space="0" w:color="auto"/>
              <w:bottom w:val="single" w:sz="4" w:space="0" w:color="auto"/>
              <w:right w:val="single" w:sz="4" w:space="0" w:color="auto"/>
            </w:tcBorders>
          </w:tcPr>
          <w:p w14:paraId="2C3ED0F1"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85.5</w:t>
            </w:r>
          </w:p>
        </w:tc>
        <w:tc>
          <w:tcPr>
            <w:tcW w:w="1417" w:type="dxa"/>
            <w:tcBorders>
              <w:top w:val="single" w:sz="4" w:space="0" w:color="auto"/>
              <w:left w:val="single" w:sz="4" w:space="0" w:color="auto"/>
              <w:bottom w:val="single" w:sz="4" w:space="0" w:color="auto"/>
              <w:right w:val="single" w:sz="4" w:space="0" w:color="auto"/>
            </w:tcBorders>
          </w:tcPr>
          <w:p w14:paraId="00E2794F"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90.2</w:t>
            </w:r>
          </w:p>
        </w:tc>
        <w:tc>
          <w:tcPr>
            <w:tcW w:w="1418" w:type="dxa"/>
            <w:tcBorders>
              <w:top w:val="single" w:sz="4" w:space="0" w:color="auto"/>
              <w:left w:val="single" w:sz="4" w:space="0" w:color="auto"/>
              <w:bottom w:val="single" w:sz="4" w:space="0" w:color="auto"/>
              <w:right w:val="single" w:sz="4" w:space="0" w:color="auto"/>
            </w:tcBorders>
          </w:tcPr>
          <w:p w14:paraId="0B547151" w14:textId="77777777" w:rsidR="00186559" w:rsidRPr="00186559" w:rsidRDefault="00186559" w:rsidP="00A60E62">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90.5</w:t>
            </w:r>
          </w:p>
        </w:tc>
        <w:tc>
          <w:tcPr>
            <w:tcW w:w="1559" w:type="dxa"/>
            <w:tcBorders>
              <w:top w:val="single" w:sz="4" w:space="0" w:color="auto"/>
              <w:left w:val="single" w:sz="4" w:space="0" w:color="auto"/>
              <w:bottom w:val="single" w:sz="4" w:space="0" w:color="auto"/>
              <w:right w:val="single" w:sz="4" w:space="0" w:color="auto"/>
            </w:tcBorders>
          </w:tcPr>
          <w:p w14:paraId="418BEAF2"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Коефициент на заетост по ниво на образование . висше, възраст 20-64, в %</w:t>
            </w:r>
          </w:p>
        </w:tc>
        <w:tc>
          <w:tcPr>
            <w:tcW w:w="850" w:type="dxa"/>
            <w:tcBorders>
              <w:top w:val="single" w:sz="4" w:space="0" w:color="auto"/>
              <w:left w:val="single" w:sz="4" w:space="0" w:color="auto"/>
              <w:bottom w:val="single" w:sz="4" w:space="0" w:color="auto"/>
              <w:right w:val="single" w:sz="4" w:space="0" w:color="auto"/>
            </w:tcBorders>
          </w:tcPr>
          <w:p w14:paraId="2FC125F0"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90</w:t>
            </w:r>
          </w:p>
        </w:tc>
      </w:tr>
      <w:tr w:rsidR="00186559" w:rsidRPr="00186559" w14:paraId="4A181CDD"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6896A874" w14:textId="77777777" w:rsidR="00186559" w:rsidRPr="00186559" w:rsidRDefault="00186559" w:rsidP="00186559">
            <w:pPr>
              <w:spacing w:after="0" w:line="240" w:lineRule="auto"/>
              <w:rPr>
                <w:rFonts w:ascii="Times New Roman" w:eastAsia="Times New Roman" w:hAnsi="Times New Roman" w:cs="Times New Roman"/>
                <w:color w:val="FF0000"/>
                <w:sz w:val="24"/>
                <w:szCs w:val="24"/>
                <w:lang w:eastAsia="bg-BG"/>
              </w:rPr>
            </w:pPr>
            <w:r w:rsidRPr="00186559">
              <w:rPr>
                <w:rFonts w:ascii="Times New Roman" w:eastAsia="Times New Roman" w:hAnsi="Times New Roman" w:cs="Times New Roman"/>
                <w:sz w:val="24"/>
                <w:szCs w:val="24"/>
                <w:lang w:eastAsia="bg-BG"/>
              </w:rPr>
              <w:t xml:space="preserve">Коефициент на заетост по ниво на образование (по-високо от средно), 20-64, в% </w:t>
            </w:r>
          </w:p>
        </w:tc>
        <w:tc>
          <w:tcPr>
            <w:tcW w:w="1418" w:type="dxa"/>
            <w:tcBorders>
              <w:top w:val="single" w:sz="4" w:space="0" w:color="auto"/>
              <w:left w:val="single" w:sz="4" w:space="0" w:color="auto"/>
              <w:bottom w:val="single" w:sz="4" w:space="0" w:color="auto"/>
              <w:right w:val="single" w:sz="4" w:space="0" w:color="auto"/>
            </w:tcBorders>
          </w:tcPr>
          <w:p w14:paraId="76C94626"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71.6</w:t>
            </w:r>
          </w:p>
        </w:tc>
        <w:tc>
          <w:tcPr>
            <w:tcW w:w="1417" w:type="dxa"/>
            <w:tcBorders>
              <w:top w:val="single" w:sz="4" w:space="0" w:color="auto"/>
              <w:left w:val="single" w:sz="4" w:space="0" w:color="auto"/>
              <w:bottom w:val="single" w:sz="4" w:space="0" w:color="auto"/>
              <w:right w:val="single" w:sz="4" w:space="0" w:color="auto"/>
            </w:tcBorders>
          </w:tcPr>
          <w:p w14:paraId="2295221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75.8</w:t>
            </w:r>
          </w:p>
        </w:tc>
        <w:tc>
          <w:tcPr>
            <w:tcW w:w="1418" w:type="dxa"/>
            <w:tcBorders>
              <w:top w:val="single" w:sz="4" w:space="0" w:color="auto"/>
              <w:left w:val="single" w:sz="4" w:space="0" w:color="auto"/>
              <w:bottom w:val="single" w:sz="4" w:space="0" w:color="auto"/>
              <w:right w:val="single" w:sz="4" w:space="0" w:color="auto"/>
            </w:tcBorders>
          </w:tcPr>
          <w:p w14:paraId="4E4A3ADA" w14:textId="77777777" w:rsidR="00186559" w:rsidRPr="00186559" w:rsidRDefault="00186559" w:rsidP="00A60E62">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75.4</w:t>
            </w:r>
          </w:p>
        </w:tc>
        <w:tc>
          <w:tcPr>
            <w:tcW w:w="1559" w:type="dxa"/>
            <w:tcBorders>
              <w:top w:val="single" w:sz="4" w:space="0" w:color="auto"/>
              <w:left w:val="single" w:sz="4" w:space="0" w:color="auto"/>
              <w:bottom w:val="single" w:sz="4" w:space="0" w:color="auto"/>
              <w:right w:val="single" w:sz="4" w:space="0" w:color="auto"/>
            </w:tcBorders>
          </w:tcPr>
          <w:p w14:paraId="10C09D42"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Коефициент на заетост по ниво на образование – средно, възраст 20-64 г., в %</w:t>
            </w:r>
          </w:p>
        </w:tc>
        <w:tc>
          <w:tcPr>
            <w:tcW w:w="850" w:type="dxa"/>
            <w:tcBorders>
              <w:top w:val="single" w:sz="4" w:space="0" w:color="auto"/>
              <w:left w:val="single" w:sz="4" w:space="0" w:color="auto"/>
              <w:bottom w:val="single" w:sz="4" w:space="0" w:color="auto"/>
              <w:right w:val="single" w:sz="4" w:space="0" w:color="auto"/>
            </w:tcBorders>
          </w:tcPr>
          <w:p w14:paraId="485D9B3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80</w:t>
            </w:r>
          </w:p>
        </w:tc>
      </w:tr>
      <w:tr w:rsidR="00186559" w:rsidRPr="00186559" w14:paraId="1B3BB7AF" w14:textId="77777777" w:rsidTr="00B362CC">
        <w:trPr>
          <w:trHeight w:val="1716"/>
        </w:trPr>
        <w:tc>
          <w:tcPr>
            <w:tcW w:w="2405" w:type="dxa"/>
            <w:tcBorders>
              <w:top w:val="single" w:sz="4" w:space="0" w:color="auto"/>
              <w:left w:val="single" w:sz="4" w:space="0" w:color="auto"/>
              <w:bottom w:val="single" w:sz="4" w:space="0" w:color="auto"/>
              <w:right w:val="single" w:sz="4" w:space="0" w:color="auto"/>
            </w:tcBorders>
            <w:vAlign w:val="center"/>
          </w:tcPr>
          <w:p w14:paraId="1A18379C"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Коефициент на заетост по ниво на образование (средно и по-малко от средно основно и по-ниско), 20-64,%</w:t>
            </w:r>
          </w:p>
        </w:tc>
        <w:tc>
          <w:tcPr>
            <w:tcW w:w="1418" w:type="dxa"/>
            <w:tcBorders>
              <w:top w:val="single" w:sz="4" w:space="0" w:color="auto"/>
              <w:left w:val="single" w:sz="4" w:space="0" w:color="auto"/>
              <w:bottom w:val="single" w:sz="4" w:space="0" w:color="auto"/>
              <w:right w:val="single" w:sz="4" w:space="0" w:color="auto"/>
            </w:tcBorders>
          </w:tcPr>
          <w:p w14:paraId="2E1A0FA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45.0</w:t>
            </w:r>
          </w:p>
        </w:tc>
        <w:tc>
          <w:tcPr>
            <w:tcW w:w="1417" w:type="dxa"/>
            <w:tcBorders>
              <w:top w:val="single" w:sz="4" w:space="0" w:color="auto"/>
              <w:left w:val="single" w:sz="4" w:space="0" w:color="auto"/>
              <w:bottom w:val="single" w:sz="4" w:space="0" w:color="auto"/>
              <w:right w:val="single" w:sz="4" w:space="0" w:color="auto"/>
            </w:tcBorders>
          </w:tcPr>
          <w:p w14:paraId="38D81592"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50.2</w:t>
            </w:r>
          </w:p>
        </w:tc>
        <w:tc>
          <w:tcPr>
            <w:tcW w:w="1418" w:type="dxa"/>
            <w:tcBorders>
              <w:top w:val="single" w:sz="4" w:space="0" w:color="auto"/>
              <w:left w:val="single" w:sz="4" w:space="0" w:color="auto"/>
              <w:bottom w:val="single" w:sz="4" w:space="0" w:color="auto"/>
              <w:right w:val="single" w:sz="4" w:space="0" w:color="auto"/>
            </w:tcBorders>
          </w:tcPr>
          <w:p w14:paraId="54C064F2" w14:textId="77777777" w:rsidR="00186559" w:rsidRPr="00186559" w:rsidRDefault="00186559" w:rsidP="00A60E62">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48.5</w:t>
            </w:r>
          </w:p>
        </w:tc>
        <w:tc>
          <w:tcPr>
            <w:tcW w:w="1559" w:type="dxa"/>
            <w:tcBorders>
              <w:top w:val="single" w:sz="4" w:space="0" w:color="auto"/>
              <w:left w:val="single" w:sz="4" w:space="0" w:color="auto"/>
              <w:bottom w:val="single" w:sz="4" w:space="0" w:color="auto"/>
              <w:right w:val="single" w:sz="4" w:space="0" w:color="auto"/>
            </w:tcBorders>
          </w:tcPr>
          <w:p w14:paraId="73ED68C2"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Коефициент на заетост по ниво на образование - основно и по-ниско, възраст 20-64, в %</w:t>
            </w:r>
          </w:p>
        </w:tc>
        <w:tc>
          <w:tcPr>
            <w:tcW w:w="850" w:type="dxa"/>
            <w:tcBorders>
              <w:top w:val="single" w:sz="4" w:space="0" w:color="auto"/>
              <w:left w:val="single" w:sz="4" w:space="0" w:color="auto"/>
              <w:bottom w:val="single" w:sz="4" w:space="0" w:color="auto"/>
              <w:right w:val="single" w:sz="4" w:space="0" w:color="auto"/>
            </w:tcBorders>
          </w:tcPr>
          <w:p w14:paraId="75D8DA4D"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50</w:t>
            </w:r>
          </w:p>
        </w:tc>
      </w:tr>
      <w:tr w:rsidR="00186559" w:rsidRPr="00186559" w14:paraId="33D0B8DE"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5D0263DA"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Общ дял на публичните разходи за образование,% от БВП </w:t>
            </w:r>
          </w:p>
        </w:tc>
        <w:tc>
          <w:tcPr>
            <w:tcW w:w="1418" w:type="dxa"/>
            <w:tcBorders>
              <w:top w:val="single" w:sz="4" w:space="0" w:color="auto"/>
              <w:left w:val="single" w:sz="4" w:space="0" w:color="auto"/>
              <w:bottom w:val="single" w:sz="4" w:space="0" w:color="auto"/>
              <w:right w:val="single" w:sz="4" w:space="0" w:color="auto"/>
            </w:tcBorders>
          </w:tcPr>
          <w:p w14:paraId="3FBD93A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4.1</w:t>
            </w:r>
          </w:p>
        </w:tc>
        <w:tc>
          <w:tcPr>
            <w:tcW w:w="1417" w:type="dxa"/>
            <w:tcBorders>
              <w:top w:val="single" w:sz="4" w:space="0" w:color="auto"/>
              <w:left w:val="single" w:sz="4" w:space="0" w:color="auto"/>
              <w:bottom w:val="single" w:sz="4" w:space="0" w:color="auto"/>
              <w:right w:val="single" w:sz="4" w:space="0" w:color="auto"/>
            </w:tcBorders>
          </w:tcPr>
          <w:p w14:paraId="66D5AE34"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4.1</w:t>
            </w:r>
          </w:p>
        </w:tc>
        <w:tc>
          <w:tcPr>
            <w:tcW w:w="1418" w:type="dxa"/>
            <w:tcBorders>
              <w:top w:val="single" w:sz="4" w:space="0" w:color="auto"/>
              <w:left w:val="single" w:sz="4" w:space="0" w:color="auto"/>
              <w:bottom w:val="single" w:sz="4" w:space="0" w:color="auto"/>
              <w:right w:val="single" w:sz="4" w:space="0" w:color="auto"/>
            </w:tcBorders>
          </w:tcPr>
          <w:p w14:paraId="2E88E080"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p>
        </w:tc>
        <w:tc>
          <w:tcPr>
            <w:tcW w:w="1559" w:type="dxa"/>
            <w:tcBorders>
              <w:top w:val="single" w:sz="4" w:space="0" w:color="auto"/>
              <w:left w:val="single" w:sz="4" w:space="0" w:color="auto"/>
              <w:bottom w:val="single" w:sz="4" w:space="0" w:color="auto"/>
              <w:right w:val="single" w:sz="4" w:space="0" w:color="auto"/>
            </w:tcBorders>
          </w:tcPr>
          <w:p w14:paraId="54195FA5"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Данните за 2024 г. ще бъдат изготвени и изпратени в Евростат до края на месец ноември 2025 г. В началото на 2026 г. ще бъдат валидирани </w:t>
            </w:r>
            <w:r w:rsidRPr="00186559">
              <w:rPr>
                <w:rFonts w:ascii="Times New Roman" w:eastAsia="Times New Roman" w:hAnsi="Times New Roman" w:cs="Times New Roman"/>
                <w:sz w:val="24"/>
                <w:szCs w:val="24"/>
                <w:lang w:eastAsia="bg-BG"/>
              </w:rPr>
              <w:lastRenderedPageBreak/>
              <w:t>и официално публикувани</w:t>
            </w:r>
          </w:p>
        </w:tc>
        <w:tc>
          <w:tcPr>
            <w:tcW w:w="850" w:type="dxa"/>
            <w:tcBorders>
              <w:top w:val="single" w:sz="4" w:space="0" w:color="auto"/>
              <w:left w:val="single" w:sz="4" w:space="0" w:color="auto"/>
              <w:bottom w:val="single" w:sz="4" w:space="0" w:color="auto"/>
              <w:right w:val="single" w:sz="4" w:space="0" w:color="auto"/>
            </w:tcBorders>
          </w:tcPr>
          <w:p w14:paraId="6C773247"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lastRenderedPageBreak/>
              <w:t>6</w:t>
            </w:r>
          </w:p>
        </w:tc>
      </w:tr>
      <w:tr w:rsidR="00186559" w:rsidRPr="00186559" w14:paraId="258D03BC" w14:textId="77777777" w:rsidTr="00B362CC">
        <w:trPr>
          <w:trHeight w:val="2039"/>
        </w:trPr>
        <w:tc>
          <w:tcPr>
            <w:tcW w:w="2405" w:type="dxa"/>
            <w:tcBorders>
              <w:top w:val="single" w:sz="4" w:space="0" w:color="auto"/>
              <w:left w:val="single" w:sz="4" w:space="0" w:color="auto"/>
              <w:bottom w:val="single" w:sz="4" w:space="0" w:color="auto"/>
              <w:right w:val="single" w:sz="4" w:space="0" w:color="auto"/>
            </w:tcBorders>
            <w:vAlign w:val="center"/>
          </w:tcPr>
          <w:p w14:paraId="6950E5DA"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Учене през целия живот (население на възраст 25-64 години в областта на образованието и обучението), в %</w:t>
            </w:r>
          </w:p>
        </w:tc>
        <w:tc>
          <w:tcPr>
            <w:tcW w:w="1418" w:type="dxa"/>
            <w:tcBorders>
              <w:top w:val="single" w:sz="4" w:space="0" w:color="auto"/>
              <w:left w:val="single" w:sz="4" w:space="0" w:color="auto"/>
              <w:bottom w:val="single" w:sz="4" w:space="0" w:color="auto"/>
              <w:right w:val="single" w:sz="4" w:space="0" w:color="auto"/>
            </w:tcBorders>
          </w:tcPr>
          <w:p w14:paraId="5F8EC7CA"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1.6</w:t>
            </w:r>
          </w:p>
        </w:tc>
        <w:tc>
          <w:tcPr>
            <w:tcW w:w="1417" w:type="dxa"/>
            <w:tcBorders>
              <w:top w:val="single" w:sz="4" w:space="0" w:color="auto"/>
              <w:left w:val="single" w:sz="4" w:space="0" w:color="auto"/>
              <w:bottom w:val="single" w:sz="4" w:space="0" w:color="auto"/>
              <w:right w:val="single" w:sz="4" w:space="0" w:color="auto"/>
            </w:tcBorders>
          </w:tcPr>
          <w:p w14:paraId="03938A4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1.4</w:t>
            </w:r>
          </w:p>
        </w:tc>
        <w:tc>
          <w:tcPr>
            <w:tcW w:w="1418" w:type="dxa"/>
            <w:tcBorders>
              <w:top w:val="single" w:sz="4" w:space="0" w:color="auto"/>
              <w:left w:val="single" w:sz="4" w:space="0" w:color="auto"/>
              <w:bottom w:val="single" w:sz="4" w:space="0" w:color="auto"/>
              <w:right w:val="single" w:sz="4" w:space="0" w:color="auto"/>
            </w:tcBorders>
          </w:tcPr>
          <w:p w14:paraId="4E2D2707"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1.8</w:t>
            </w:r>
          </w:p>
          <w:p w14:paraId="353F11D5"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p>
        </w:tc>
        <w:tc>
          <w:tcPr>
            <w:tcW w:w="1559" w:type="dxa"/>
            <w:tcBorders>
              <w:top w:val="single" w:sz="4" w:space="0" w:color="auto"/>
              <w:left w:val="single" w:sz="4" w:space="0" w:color="auto"/>
              <w:bottom w:val="single" w:sz="4" w:space="0" w:color="auto"/>
              <w:right w:val="single" w:sz="4" w:space="0" w:color="auto"/>
            </w:tcBorders>
          </w:tcPr>
          <w:p w14:paraId="4F9BED7F"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Учене през целия живот (население на възраст 25-64 години, участващо в образование и обучение), в %</w:t>
            </w:r>
          </w:p>
        </w:tc>
        <w:tc>
          <w:tcPr>
            <w:tcW w:w="850" w:type="dxa"/>
            <w:tcBorders>
              <w:top w:val="single" w:sz="4" w:space="0" w:color="auto"/>
              <w:left w:val="single" w:sz="4" w:space="0" w:color="auto"/>
              <w:bottom w:val="single" w:sz="4" w:space="0" w:color="auto"/>
              <w:right w:val="single" w:sz="4" w:space="0" w:color="auto"/>
            </w:tcBorders>
          </w:tcPr>
          <w:p w14:paraId="2BF3082A"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10</w:t>
            </w:r>
          </w:p>
        </w:tc>
      </w:tr>
      <w:tr w:rsidR="00186559" w:rsidRPr="00186559" w14:paraId="5C658811"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2DD4F9EC"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Брутни вътрешни разходи за развитие на селските райони, % от БВП</w:t>
            </w:r>
          </w:p>
        </w:tc>
        <w:tc>
          <w:tcPr>
            <w:tcW w:w="1418" w:type="dxa"/>
            <w:tcBorders>
              <w:top w:val="single" w:sz="4" w:space="0" w:color="auto"/>
              <w:left w:val="single" w:sz="4" w:space="0" w:color="auto"/>
              <w:bottom w:val="single" w:sz="4" w:space="0" w:color="auto"/>
              <w:right w:val="single" w:sz="4" w:space="0" w:color="auto"/>
            </w:tcBorders>
          </w:tcPr>
          <w:p w14:paraId="5E84962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0.5</w:t>
            </w:r>
          </w:p>
        </w:tc>
        <w:tc>
          <w:tcPr>
            <w:tcW w:w="1417" w:type="dxa"/>
            <w:tcBorders>
              <w:top w:val="single" w:sz="4" w:space="0" w:color="auto"/>
              <w:left w:val="single" w:sz="4" w:space="0" w:color="auto"/>
              <w:bottom w:val="single" w:sz="4" w:space="0" w:color="auto"/>
              <w:right w:val="single" w:sz="4" w:space="0" w:color="auto"/>
            </w:tcBorders>
          </w:tcPr>
          <w:p w14:paraId="1F81DBBF"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w:t>
            </w:r>
          </w:p>
        </w:tc>
        <w:tc>
          <w:tcPr>
            <w:tcW w:w="1418" w:type="dxa"/>
            <w:tcBorders>
              <w:top w:val="single" w:sz="4" w:space="0" w:color="auto"/>
              <w:left w:val="single" w:sz="4" w:space="0" w:color="auto"/>
              <w:bottom w:val="single" w:sz="4" w:space="0" w:color="auto"/>
              <w:right w:val="single" w:sz="4" w:space="0" w:color="auto"/>
            </w:tcBorders>
          </w:tcPr>
          <w:p w14:paraId="53D7E5F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p>
        </w:tc>
        <w:tc>
          <w:tcPr>
            <w:tcW w:w="1559" w:type="dxa"/>
            <w:tcBorders>
              <w:top w:val="single" w:sz="4" w:space="0" w:color="auto"/>
              <w:left w:val="single" w:sz="4" w:space="0" w:color="auto"/>
              <w:bottom w:val="single" w:sz="4" w:space="0" w:color="auto"/>
              <w:right w:val="single" w:sz="4" w:space="0" w:color="auto"/>
            </w:tcBorders>
          </w:tcPr>
          <w:p w14:paraId="1C9EC5D9"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1218CC62"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w:t>
            </w:r>
          </w:p>
        </w:tc>
      </w:tr>
      <w:tr w:rsidR="00186559" w:rsidRPr="00186559" w14:paraId="2DD3D4D2"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3E21E46B"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Процент от работещото население,  работещи в секторите на високите технологии, в %</w:t>
            </w:r>
          </w:p>
        </w:tc>
        <w:tc>
          <w:tcPr>
            <w:tcW w:w="1418" w:type="dxa"/>
            <w:tcBorders>
              <w:top w:val="single" w:sz="4" w:space="0" w:color="auto"/>
              <w:left w:val="single" w:sz="4" w:space="0" w:color="auto"/>
              <w:bottom w:val="single" w:sz="4" w:space="0" w:color="auto"/>
              <w:right w:val="single" w:sz="4" w:space="0" w:color="auto"/>
            </w:tcBorders>
          </w:tcPr>
          <w:p w14:paraId="3544BA75"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2.8</w:t>
            </w:r>
          </w:p>
        </w:tc>
        <w:tc>
          <w:tcPr>
            <w:tcW w:w="1417" w:type="dxa"/>
            <w:tcBorders>
              <w:top w:val="single" w:sz="4" w:space="0" w:color="auto"/>
              <w:left w:val="single" w:sz="4" w:space="0" w:color="auto"/>
              <w:bottom w:val="single" w:sz="4" w:space="0" w:color="auto"/>
              <w:right w:val="single" w:sz="4" w:space="0" w:color="auto"/>
            </w:tcBorders>
          </w:tcPr>
          <w:p w14:paraId="28B1EF5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5.1</w:t>
            </w:r>
          </w:p>
        </w:tc>
        <w:tc>
          <w:tcPr>
            <w:tcW w:w="1418" w:type="dxa"/>
            <w:tcBorders>
              <w:top w:val="single" w:sz="4" w:space="0" w:color="auto"/>
              <w:left w:val="single" w:sz="4" w:space="0" w:color="auto"/>
              <w:bottom w:val="single" w:sz="4" w:space="0" w:color="auto"/>
              <w:right w:val="single" w:sz="4" w:space="0" w:color="auto"/>
            </w:tcBorders>
          </w:tcPr>
          <w:p w14:paraId="4D370E4E"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5.1</w:t>
            </w:r>
          </w:p>
        </w:tc>
        <w:tc>
          <w:tcPr>
            <w:tcW w:w="1559" w:type="dxa"/>
            <w:tcBorders>
              <w:top w:val="single" w:sz="4" w:space="0" w:color="auto"/>
              <w:left w:val="single" w:sz="4" w:space="0" w:color="auto"/>
              <w:bottom w:val="single" w:sz="4" w:space="0" w:color="auto"/>
              <w:right w:val="single" w:sz="4" w:space="0" w:color="auto"/>
            </w:tcBorders>
          </w:tcPr>
          <w:p w14:paraId="542CA74B"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501AC3B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10</w:t>
            </w:r>
          </w:p>
        </w:tc>
      </w:tr>
      <w:tr w:rsidR="00186559" w:rsidRPr="00186559" w14:paraId="1E4323D1"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329847BE"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 xml:space="preserve">Използване на Интернет, в % </w:t>
            </w:r>
          </w:p>
        </w:tc>
        <w:tc>
          <w:tcPr>
            <w:tcW w:w="1418" w:type="dxa"/>
            <w:tcBorders>
              <w:top w:val="single" w:sz="4" w:space="0" w:color="auto"/>
              <w:left w:val="single" w:sz="4" w:space="0" w:color="auto"/>
              <w:bottom w:val="single" w:sz="4" w:space="0" w:color="auto"/>
              <w:right w:val="single" w:sz="4" w:space="0" w:color="auto"/>
            </w:tcBorders>
          </w:tcPr>
          <w:p w14:paraId="17051A7E" w14:textId="77777777" w:rsidR="00186559" w:rsidRPr="00186559" w:rsidRDefault="00186559" w:rsidP="00186559">
            <w:pPr>
              <w:spacing w:after="0" w:line="48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39.7</w:t>
            </w:r>
          </w:p>
        </w:tc>
        <w:tc>
          <w:tcPr>
            <w:tcW w:w="1417" w:type="dxa"/>
            <w:tcBorders>
              <w:top w:val="single" w:sz="4" w:space="0" w:color="auto"/>
              <w:left w:val="single" w:sz="4" w:space="0" w:color="auto"/>
              <w:bottom w:val="single" w:sz="4" w:space="0" w:color="auto"/>
              <w:right w:val="single" w:sz="4" w:space="0" w:color="auto"/>
            </w:tcBorders>
          </w:tcPr>
          <w:p w14:paraId="39D61EC7" w14:textId="77777777" w:rsidR="00186559" w:rsidRPr="00186559" w:rsidRDefault="00186559" w:rsidP="00186559">
            <w:pPr>
              <w:spacing w:after="0" w:line="48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79.8</w:t>
            </w:r>
          </w:p>
        </w:tc>
        <w:tc>
          <w:tcPr>
            <w:tcW w:w="1418" w:type="dxa"/>
            <w:tcBorders>
              <w:top w:val="single" w:sz="4" w:space="0" w:color="auto"/>
              <w:left w:val="single" w:sz="4" w:space="0" w:color="auto"/>
              <w:bottom w:val="single" w:sz="4" w:space="0" w:color="auto"/>
              <w:right w:val="single" w:sz="4" w:space="0" w:color="auto"/>
            </w:tcBorders>
          </w:tcPr>
          <w:p w14:paraId="66678B50" w14:textId="77777777" w:rsidR="00186559" w:rsidRPr="00186559" w:rsidRDefault="00186559" w:rsidP="00186559">
            <w:pPr>
              <w:spacing w:after="0" w:line="48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81.9</w:t>
            </w:r>
          </w:p>
        </w:tc>
        <w:tc>
          <w:tcPr>
            <w:tcW w:w="1559" w:type="dxa"/>
            <w:tcBorders>
              <w:top w:val="single" w:sz="4" w:space="0" w:color="auto"/>
              <w:left w:val="single" w:sz="4" w:space="0" w:color="auto"/>
              <w:bottom w:val="single" w:sz="4" w:space="0" w:color="auto"/>
              <w:right w:val="single" w:sz="4" w:space="0" w:color="auto"/>
            </w:tcBorders>
          </w:tcPr>
          <w:p w14:paraId="2D585FCB" w14:textId="77777777" w:rsidR="00186559" w:rsidRPr="00186559" w:rsidRDefault="00186559" w:rsidP="00186559">
            <w:pPr>
              <w:spacing w:after="0" w:line="480" w:lineRule="auto"/>
              <w:jc w:val="right"/>
              <w:rPr>
                <w:rFonts w:ascii="Times New Roman" w:eastAsia="Times New Roman" w:hAnsi="Times New Roman" w:cs="Times New Roman"/>
                <w:sz w:val="24"/>
                <w:szCs w:val="24"/>
                <w:lang w:eastAsia="bg-BG"/>
              </w:rPr>
            </w:pPr>
          </w:p>
        </w:tc>
        <w:tc>
          <w:tcPr>
            <w:tcW w:w="850" w:type="dxa"/>
            <w:tcBorders>
              <w:top w:val="single" w:sz="4" w:space="0" w:color="auto"/>
              <w:left w:val="single" w:sz="4" w:space="0" w:color="auto"/>
              <w:bottom w:val="single" w:sz="4" w:space="0" w:color="auto"/>
              <w:right w:val="single" w:sz="4" w:space="0" w:color="auto"/>
            </w:tcBorders>
          </w:tcPr>
          <w:p w14:paraId="325FBF85" w14:textId="77777777" w:rsidR="00186559" w:rsidRPr="00186559" w:rsidRDefault="00186559" w:rsidP="00186559">
            <w:pPr>
              <w:spacing w:after="0" w:line="48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80</w:t>
            </w:r>
          </w:p>
        </w:tc>
      </w:tr>
      <w:tr w:rsidR="00186559" w:rsidRPr="00186559" w14:paraId="565C7DB4" w14:textId="77777777" w:rsidTr="00B362CC">
        <w:tc>
          <w:tcPr>
            <w:tcW w:w="2405" w:type="dxa"/>
            <w:tcBorders>
              <w:top w:val="single" w:sz="4" w:space="0" w:color="auto"/>
              <w:left w:val="single" w:sz="4" w:space="0" w:color="auto"/>
              <w:bottom w:val="single" w:sz="4" w:space="0" w:color="auto"/>
              <w:right w:val="single" w:sz="4" w:space="0" w:color="auto"/>
            </w:tcBorders>
            <w:vAlign w:val="center"/>
          </w:tcPr>
          <w:p w14:paraId="10C1BBE1"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Производителност на труда на един зает (2000 = 100)</w:t>
            </w:r>
          </w:p>
        </w:tc>
        <w:tc>
          <w:tcPr>
            <w:tcW w:w="1418" w:type="dxa"/>
            <w:tcBorders>
              <w:top w:val="single" w:sz="4" w:space="0" w:color="auto"/>
              <w:left w:val="single" w:sz="4" w:space="0" w:color="auto"/>
              <w:bottom w:val="single" w:sz="4" w:space="0" w:color="auto"/>
              <w:right w:val="single" w:sz="4" w:space="0" w:color="auto"/>
            </w:tcBorders>
          </w:tcPr>
          <w:p w14:paraId="73516DFE"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130.0</w:t>
            </w:r>
          </w:p>
        </w:tc>
        <w:tc>
          <w:tcPr>
            <w:tcW w:w="1417" w:type="dxa"/>
            <w:tcBorders>
              <w:top w:val="single" w:sz="4" w:space="0" w:color="auto"/>
              <w:left w:val="single" w:sz="4" w:space="0" w:color="auto"/>
              <w:bottom w:val="single" w:sz="4" w:space="0" w:color="auto"/>
              <w:right w:val="single" w:sz="4" w:space="0" w:color="auto"/>
            </w:tcBorders>
          </w:tcPr>
          <w:p w14:paraId="15F59F83"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122.5</w:t>
            </w:r>
          </w:p>
        </w:tc>
        <w:tc>
          <w:tcPr>
            <w:tcW w:w="1418" w:type="dxa"/>
            <w:tcBorders>
              <w:top w:val="single" w:sz="4" w:space="0" w:color="auto"/>
              <w:left w:val="single" w:sz="4" w:space="0" w:color="auto"/>
              <w:bottom w:val="single" w:sz="4" w:space="0" w:color="auto"/>
              <w:right w:val="single" w:sz="4" w:space="0" w:color="auto"/>
            </w:tcBorders>
          </w:tcPr>
          <w:p w14:paraId="0AF53059"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p>
        </w:tc>
        <w:tc>
          <w:tcPr>
            <w:tcW w:w="1559" w:type="dxa"/>
            <w:tcBorders>
              <w:top w:val="single" w:sz="4" w:space="0" w:color="auto"/>
              <w:left w:val="single" w:sz="4" w:space="0" w:color="auto"/>
              <w:bottom w:val="single" w:sz="4" w:space="0" w:color="auto"/>
              <w:right w:val="single" w:sz="4" w:space="0" w:color="auto"/>
            </w:tcBorders>
          </w:tcPr>
          <w:p w14:paraId="7B4C6BF1" w14:textId="77777777" w:rsidR="00186559" w:rsidRPr="00186559" w:rsidRDefault="00186559" w:rsidP="00186559">
            <w:pPr>
              <w:spacing w:after="0" w:line="240" w:lineRule="auto"/>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Предварителни данни за Индекса на физическия обем за 2023 г. (2015=100)</w:t>
            </w:r>
          </w:p>
        </w:tc>
        <w:tc>
          <w:tcPr>
            <w:tcW w:w="850" w:type="dxa"/>
            <w:tcBorders>
              <w:top w:val="single" w:sz="4" w:space="0" w:color="auto"/>
              <w:left w:val="single" w:sz="4" w:space="0" w:color="auto"/>
              <w:bottom w:val="single" w:sz="4" w:space="0" w:color="auto"/>
              <w:right w:val="single" w:sz="4" w:space="0" w:color="auto"/>
            </w:tcBorders>
          </w:tcPr>
          <w:p w14:paraId="3DD603CC" w14:textId="77777777" w:rsidR="00186559" w:rsidRPr="00186559" w:rsidRDefault="00186559" w:rsidP="00186559">
            <w:pPr>
              <w:spacing w:after="0" w:line="240" w:lineRule="auto"/>
              <w:jc w:val="right"/>
              <w:rPr>
                <w:rFonts w:ascii="Times New Roman" w:eastAsia="Times New Roman" w:hAnsi="Times New Roman" w:cs="Times New Roman"/>
                <w:sz w:val="24"/>
                <w:szCs w:val="24"/>
                <w:lang w:eastAsia="bg-BG"/>
              </w:rPr>
            </w:pPr>
            <w:r w:rsidRPr="00186559">
              <w:rPr>
                <w:rFonts w:ascii="Times New Roman" w:eastAsia="Times New Roman" w:hAnsi="Times New Roman" w:cs="Times New Roman"/>
                <w:sz w:val="24"/>
                <w:szCs w:val="24"/>
                <w:lang w:eastAsia="bg-BG"/>
              </w:rPr>
              <w:t>:</w:t>
            </w:r>
          </w:p>
        </w:tc>
      </w:tr>
    </w:tbl>
    <w:p w14:paraId="354F3F01" w14:textId="77777777" w:rsidR="00186559" w:rsidRPr="00AA5833" w:rsidRDefault="00186559" w:rsidP="00533926">
      <w:pPr>
        <w:spacing w:after="0" w:line="240" w:lineRule="auto"/>
        <w:jc w:val="both"/>
        <w:rPr>
          <w:rFonts w:ascii="Times New Roman" w:hAnsi="Times New Roman" w:cs="Times New Roman"/>
          <w:b/>
          <w:bCs/>
          <w:sz w:val="24"/>
          <w:szCs w:val="24"/>
        </w:rPr>
      </w:pPr>
    </w:p>
    <w:p w14:paraId="3C30D052" w14:textId="77777777" w:rsidR="00186559" w:rsidRPr="00AA5833" w:rsidRDefault="00186559" w:rsidP="00186559">
      <w:pPr>
        <w:spacing w:after="0" w:line="240" w:lineRule="auto"/>
        <w:rPr>
          <w:rFonts w:ascii="Times New Roman" w:eastAsia="Times New Roman" w:hAnsi="Times New Roman" w:cs="Times New Roman"/>
          <w:sz w:val="24"/>
          <w:szCs w:val="24"/>
          <w:lang w:eastAsia="bg-BG"/>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397"/>
        <w:gridCol w:w="1397"/>
        <w:gridCol w:w="1387"/>
        <w:gridCol w:w="1925"/>
        <w:gridCol w:w="793"/>
      </w:tblGrid>
      <w:tr w:rsidR="00186559" w:rsidRPr="00AA5833" w14:paraId="295F5885" w14:textId="77777777" w:rsidTr="00FE7ACB">
        <w:tc>
          <w:tcPr>
            <w:tcW w:w="9062" w:type="dxa"/>
            <w:gridSpan w:val="6"/>
            <w:shd w:val="clear" w:color="auto" w:fill="E5DFEC"/>
          </w:tcPr>
          <w:p w14:paraId="37B4B427"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СЪСТАВЕН ПОКАЗАТЕЛ 5</w:t>
            </w:r>
          </w:p>
          <w:p w14:paraId="2A70184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МИГРАЦИЯ И ИНТЕГРАЦИЯ</w:t>
            </w:r>
          </w:p>
        </w:tc>
      </w:tr>
      <w:tr w:rsidR="00186559" w:rsidRPr="00AA5833" w14:paraId="73915A81" w14:textId="77777777" w:rsidTr="00FE7ACB">
        <w:tblPrEx>
          <w:tblLook w:val="01E0" w:firstRow="1" w:lastRow="1" w:firstColumn="1" w:lastColumn="1" w:noHBand="0" w:noVBand="0"/>
        </w:tblPrEx>
        <w:tc>
          <w:tcPr>
            <w:tcW w:w="2163" w:type="dxa"/>
          </w:tcPr>
          <w:p w14:paraId="49D3B72A"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Индикатори</w:t>
            </w:r>
          </w:p>
        </w:tc>
        <w:tc>
          <w:tcPr>
            <w:tcW w:w="1397" w:type="dxa"/>
          </w:tcPr>
          <w:p w14:paraId="5A269FB9"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16CA5167"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2009 г.</w:t>
            </w:r>
          </w:p>
        </w:tc>
        <w:tc>
          <w:tcPr>
            <w:tcW w:w="1397" w:type="dxa"/>
          </w:tcPr>
          <w:p w14:paraId="6AA1A40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561F5313"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2023 г.</w:t>
            </w:r>
          </w:p>
        </w:tc>
        <w:tc>
          <w:tcPr>
            <w:tcW w:w="1387" w:type="dxa"/>
          </w:tcPr>
          <w:p w14:paraId="0AC2DD44"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70AF399D"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2024 г.</w:t>
            </w:r>
          </w:p>
        </w:tc>
        <w:tc>
          <w:tcPr>
            <w:tcW w:w="1925" w:type="dxa"/>
          </w:tcPr>
          <w:p w14:paraId="0D4239EB"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 xml:space="preserve">Бележки </w:t>
            </w:r>
          </w:p>
        </w:tc>
        <w:tc>
          <w:tcPr>
            <w:tcW w:w="793" w:type="dxa"/>
          </w:tcPr>
          <w:p w14:paraId="40B4A5D7"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Цел</w:t>
            </w:r>
          </w:p>
          <w:p w14:paraId="6D4B0F28"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2030 г.</w:t>
            </w:r>
          </w:p>
        </w:tc>
      </w:tr>
      <w:tr w:rsidR="00186559" w:rsidRPr="00AA5833" w14:paraId="0F7722BB"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2A49F32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Дял на чужди граждани от населението в %</w:t>
            </w:r>
          </w:p>
        </w:tc>
        <w:tc>
          <w:tcPr>
            <w:tcW w:w="1397" w:type="dxa"/>
            <w:tcBorders>
              <w:top w:val="single" w:sz="4" w:space="0" w:color="auto"/>
              <w:left w:val="single" w:sz="4" w:space="0" w:color="auto"/>
              <w:bottom w:val="single" w:sz="4" w:space="0" w:color="auto"/>
              <w:right w:val="single" w:sz="4" w:space="0" w:color="auto"/>
            </w:tcBorders>
          </w:tcPr>
          <w:p w14:paraId="72014B52"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0.3</w:t>
            </w:r>
          </w:p>
        </w:tc>
        <w:tc>
          <w:tcPr>
            <w:tcW w:w="1397" w:type="dxa"/>
            <w:tcBorders>
              <w:top w:val="single" w:sz="4" w:space="0" w:color="auto"/>
              <w:left w:val="single" w:sz="4" w:space="0" w:color="auto"/>
              <w:bottom w:val="single" w:sz="4" w:space="0" w:color="auto"/>
              <w:right w:val="single" w:sz="4" w:space="0" w:color="auto"/>
            </w:tcBorders>
          </w:tcPr>
          <w:p w14:paraId="36B37F2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1.8</w:t>
            </w:r>
          </w:p>
        </w:tc>
        <w:tc>
          <w:tcPr>
            <w:tcW w:w="1387" w:type="dxa"/>
            <w:tcBorders>
              <w:top w:val="single" w:sz="4" w:space="0" w:color="auto"/>
              <w:left w:val="single" w:sz="4" w:space="0" w:color="auto"/>
              <w:bottom w:val="single" w:sz="4" w:space="0" w:color="auto"/>
              <w:right w:val="single" w:sz="4" w:space="0" w:color="auto"/>
            </w:tcBorders>
          </w:tcPr>
          <w:p w14:paraId="1F22BAE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2.3</w:t>
            </w:r>
          </w:p>
        </w:tc>
        <w:tc>
          <w:tcPr>
            <w:tcW w:w="1925" w:type="dxa"/>
            <w:tcBorders>
              <w:top w:val="single" w:sz="4" w:space="0" w:color="auto"/>
              <w:left w:val="single" w:sz="4" w:space="0" w:color="auto"/>
              <w:bottom w:val="single" w:sz="4" w:space="0" w:color="auto"/>
              <w:right w:val="single" w:sz="4" w:space="0" w:color="auto"/>
            </w:tcBorders>
          </w:tcPr>
          <w:p w14:paraId="126872A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Лицата с непоказано гражданство не се включват.</w:t>
            </w:r>
          </w:p>
        </w:tc>
        <w:tc>
          <w:tcPr>
            <w:tcW w:w="793" w:type="dxa"/>
            <w:tcBorders>
              <w:top w:val="single" w:sz="4" w:space="0" w:color="auto"/>
              <w:left w:val="single" w:sz="4" w:space="0" w:color="auto"/>
              <w:bottom w:val="single" w:sz="4" w:space="0" w:color="auto"/>
              <w:right w:val="single" w:sz="4" w:space="0" w:color="auto"/>
            </w:tcBorders>
          </w:tcPr>
          <w:p w14:paraId="4C024E0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w:t>
            </w:r>
          </w:p>
        </w:tc>
      </w:tr>
      <w:tr w:rsidR="00186559" w:rsidRPr="00AA5833" w14:paraId="07E1E291"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687C1368"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на граждани на България, жени, 25-54, в %</w:t>
            </w:r>
          </w:p>
        </w:tc>
        <w:tc>
          <w:tcPr>
            <w:tcW w:w="1397" w:type="dxa"/>
            <w:tcBorders>
              <w:top w:val="single" w:sz="4" w:space="0" w:color="auto"/>
              <w:left w:val="single" w:sz="4" w:space="0" w:color="auto"/>
              <w:bottom w:val="single" w:sz="4" w:space="0" w:color="auto"/>
              <w:right w:val="single" w:sz="4" w:space="0" w:color="auto"/>
            </w:tcBorders>
          </w:tcPr>
          <w:p w14:paraId="7B0174D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75.8</w:t>
            </w:r>
          </w:p>
        </w:tc>
        <w:tc>
          <w:tcPr>
            <w:tcW w:w="1397" w:type="dxa"/>
            <w:tcBorders>
              <w:top w:val="single" w:sz="4" w:space="0" w:color="auto"/>
              <w:left w:val="single" w:sz="4" w:space="0" w:color="auto"/>
              <w:bottom w:val="single" w:sz="4" w:space="0" w:color="auto"/>
              <w:right w:val="single" w:sz="4" w:space="0" w:color="auto"/>
            </w:tcBorders>
          </w:tcPr>
          <w:p w14:paraId="01EB4F52"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80.0</w:t>
            </w:r>
          </w:p>
          <w:p w14:paraId="3B4EA4B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387" w:type="dxa"/>
            <w:tcBorders>
              <w:top w:val="single" w:sz="4" w:space="0" w:color="auto"/>
              <w:left w:val="single" w:sz="4" w:space="0" w:color="auto"/>
              <w:bottom w:val="single" w:sz="4" w:space="0" w:color="auto"/>
              <w:right w:val="single" w:sz="4" w:space="0" w:color="auto"/>
            </w:tcBorders>
          </w:tcPr>
          <w:p w14:paraId="5312464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81.2</w:t>
            </w:r>
          </w:p>
          <w:p w14:paraId="7F1F8A1A" w14:textId="77777777" w:rsidR="00186559" w:rsidRPr="00AA5833" w:rsidRDefault="00186559" w:rsidP="002E676E">
            <w:pPr>
              <w:spacing w:after="0" w:line="240" w:lineRule="auto"/>
              <w:jc w:val="center"/>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780205FF" w14:textId="77777777" w:rsidR="00186559" w:rsidRPr="00AA5833" w:rsidRDefault="00186559" w:rsidP="002E676E">
            <w:pPr>
              <w:spacing w:after="0" w:line="240" w:lineRule="auto"/>
              <w:jc w:val="center"/>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tcPr>
          <w:p w14:paraId="00ACFFE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w:t>
            </w:r>
          </w:p>
        </w:tc>
      </w:tr>
      <w:tr w:rsidR="00186559" w:rsidRPr="00AA5833" w14:paraId="4EA4A821"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7FBD7724"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Коефициент на заетост на граждани на България, мъже, 25-54, в %</w:t>
            </w:r>
          </w:p>
        </w:tc>
        <w:tc>
          <w:tcPr>
            <w:tcW w:w="1397" w:type="dxa"/>
            <w:tcBorders>
              <w:top w:val="single" w:sz="4" w:space="0" w:color="auto"/>
              <w:left w:val="single" w:sz="4" w:space="0" w:color="auto"/>
              <w:bottom w:val="single" w:sz="4" w:space="0" w:color="auto"/>
              <w:right w:val="single" w:sz="4" w:space="0" w:color="auto"/>
            </w:tcBorders>
          </w:tcPr>
          <w:p w14:paraId="22909AB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82.7</w:t>
            </w:r>
          </w:p>
        </w:tc>
        <w:tc>
          <w:tcPr>
            <w:tcW w:w="1397" w:type="dxa"/>
            <w:tcBorders>
              <w:top w:val="single" w:sz="4" w:space="0" w:color="auto"/>
              <w:left w:val="single" w:sz="4" w:space="0" w:color="auto"/>
              <w:bottom w:val="single" w:sz="4" w:space="0" w:color="auto"/>
              <w:right w:val="single" w:sz="4" w:space="0" w:color="auto"/>
            </w:tcBorders>
          </w:tcPr>
          <w:p w14:paraId="208B959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85.9</w:t>
            </w:r>
          </w:p>
        </w:tc>
        <w:tc>
          <w:tcPr>
            <w:tcW w:w="1387" w:type="dxa"/>
            <w:tcBorders>
              <w:top w:val="single" w:sz="4" w:space="0" w:color="auto"/>
              <w:left w:val="single" w:sz="4" w:space="0" w:color="auto"/>
              <w:bottom w:val="single" w:sz="4" w:space="0" w:color="auto"/>
              <w:right w:val="single" w:sz="4" w:space="0" w:color="auto"/>
            </w:tcBorders>
          </w:tcPr>
          <w:p w14:paraId="25F60C5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87.0</w:t>
            </w:r>
          </w:p>
          <w:p w14:paraId="6B44E4B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4D07ECC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tcPr>
          <w:p w14:paraId="4414022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90</w:t>
            </w:r>
          </w:p>
        </w:tc>
      </w:tr>
      <w:tr w:rsidR="00186559" w:rsidRPr="00AA5833" w14:paraId="697517D7" w14:textId="77777777" w:rsidTr="00E7750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1DD2D8C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Коефициент на заетост на граждани от страни извън ЕС-27, жени, 25-54, в % </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3CD2F52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0413AF1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0231AC21" w14:textId="77777777" w:rsidR="00A60E62" w:rsidRDefault="00A60E62" w:rsidP="002E676E">
            <w:pPr>
              <w:spacing w:after="0" w:line="240" w:lineRule="auto"/>
              <w:jc w:val="right"/>
              <w:rPr>
                <w:rFonts w:ascii="Times New Roman" w:eastAsia="Times New Roman" w:hAnsi="Times New Roman" w:cs="Times New Roman"/>
                <w:sz w:val="24"/>
                <w:szCs w:val="24"/>
                <w:lang w:eastAsia="bg-BG"/>
              </w:rPr>
            </w:pPr>
          </w:p>
          <w:p w14:paraId="46A5112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87" w:type="dxa"/>
            <w:tcBorders>
              <w:top w:val="single" w:sz="4" w:space="0" w:color="auto"/>
              <w:left w:val="single" w:sz="4" w:space="0" w:color="auto"/>
              <w:bottom w:val="single" w:sz="4" w:space="0" w:color="auto"/>
              <w:right w:val="single" w:sz="4" w:space="0" w:color="auto"/>
            </w:tcBorders>
          </w:tcPr>
          <w:p w14:paraId="458F0019"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shd w:val="clear" w:color="auto" w:fill="auto"/>
          </w:tcPr>
          <w:p w14:paraId="1A03992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1717070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80</w:t>
            </w:r>
          </w:p>
        </w:tc>
      </w:tr>
      <w:tr w:rsidR="00186559" w:rsidRPr="00AA5833" w14:paraId="3F7B656A" w14:textId="77777777" w:rsidTr="00E7750C">
        <w:trPr>
          <w:trHeight w:val="702"/>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4C2088D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Коефициент на заетост на граждани от страни извън ЕС-27, мъже, 25-54, в %</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172DA17B" w14:textId="77777777" w:rsidR="00186559" w:rsidRPr="00AA5833" w:rsidRDefault="00186559" w:rsidP="00A60E62">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auto" w:fill="auto"/>
          </w:tcPr>
          <w:p w14:paraId="4C98A03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1646F7C2" w14:textId="77777777" w:rsidR="00A60E62" w:rsidRDefault="00A60E62" w:rsidP="00A60E62">
            <w:pPr>
              <w:spacing w:after="0" w:line="240" w:lineRule="auto"/>
              <w:jc w:val="right"/>
              <w:rPr>
                <w:rFonts w:ascii="Times New Roman" w:eastAsia="Times New Roman" w:hAnsi="Times New Roman" w:cs="Times New Roman"/>
                <w:sz w:val="24"/>
                <w:szCs w:val="24"/>
                <w:lang w:eastAsia="bg-BG"/>
              </w:rPr>
            </w:pPr>
          </w:p>
          <w:p w14:paraId="3B9B9389" w14:textId="77777777" w:rsidR="00186559" w:rsidRPr="00AA5833" w:rsidRDefault="00186559" w:rsidP="00A60E62">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87" w:type="dxa"/>
            <w:tcBorders>
              <w:top w:val="single" w:sz="4" w:space="0" w:color="auto"/>
              <w:left w:val="single" w:sz="4" w:space="0" w:color="auto"/>
              <w:bottom w:val="single" w:sz="4" w:space="0" w:color="auto"/>
              <w:right w:val="single" w:sz="4" w:space="0" w:color="auto"/>
            </w:tcBorders>
          </w:tcPr>
          <w:p w14:paraId="5A77C23D" w14:textId="77777777" w:rsidR="00186559" w:rsidRPr="00AA5833" w:rsidRDefault="00186559" w:rsidP="002E676E">
            <w:pPr>
              <w:spacing w:after="0" w:line="240" w:lineRule="auto"/>
              <w:jc w:val="center"/>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shd w:val="clear" w:color="auto" w:fill="auto"/>
          </w:tcPr>
          <w:p w14:paraId="3F638556" w14:textId="77777777" w:rsidR="00186559" w:rsidRPr="00AA5833" w:rsidRDefault="00186559" w:rsidP="002E676E">
            <w:pPr>
              <w:spacing w:after="0" w:line="240" w:lineRule="auto"/>
              <w:jc w:val="center"/>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14:paraId="67FF12A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90</w:t>
            </w:r>
          </w:p>
        </w:tc>
      </w:tr>
      <w:tr w:rsidR="00186559" w:rsidRPr="00AA5833" w14:paraId="0D59E811"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7BEE57B0"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Образователно равнище (висше), граждани на България, 25-49 години, в %</w:t>
            </w:r>
          </w:p>
        </w:tc>
        <w:tc>
          <w:tcPr>
            <w:tcW w:w="1397" w:type="dxa"/>
            <w:tcBorders>
              <w:top w:val="single" w:sz="4" w:space="0" w:color="auto"/>
              <w:left w:val="single" w:sz="4" w:space="0" w:color="auto"/>
              <w:bottom w:val="single" w:sz="4" w:space="0" w:color="auto"/>
              <w:right w:val="single" w:sz="4" w:space="0" w:color="auto"/>
            </w:tcBorders>
          </w:tcPr>
          <w:p w14:paraId="01A70662"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24.5</w:t>
            </w:r>
          </w:p>
        </w:tc>
        <w:tc>
          <w:tcPr>
            <w:tcW w:w="1397" w:type="dxa"/>
            <w:tcBorders>
              <w:top w:val="single" w:sz="4" w:space="0" w:color="auto"/>
              <w:left w:val="single" w:sz="4" w:space="0" w:color="auto"/>
              <w:bottom w:val="single" w:sz="4" w:space="0" w:color="auto"/>
              <w:right w:val="single" w:sz="4" w:space="0" w:color="auto"/>
            </w:tcBorders>
          </w:tcPr>
          <w:p w14:paraId="7FAC926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33.9</w:t>
            </w:r>
          </w:p>
        </w:tc>
        <w:tc>
          <w:tcPr>
            <w:tcW w:w="1387" w:type="dxa"/>
            <w:tcBorders>
              <w:top w:val="single" w:sz="4" w:space="0" w:color="auto"/>
              <w:left w:val="single" w:sz="4" w:space="0" w:color="auto"/>
              <w:bottom w:val="single" w:sz="4" w:space="0" w:color="auto"/>
              <w:right w:val="single" w:sz="4" w:space="0" w:color="auto"/>
            </w:tcBorders>
          </w:tcPr>
          <w:p w14:paraId="1A7A3B9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37.9</w:t>
            </w:r>
          </w:p>
          <w:p w14:paraId="5E4DB725"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667800B9"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Образователно равнище - висше, граждани на България, 25-49 години, в %</w:t>
            </w:r>
          </w:p>
        </w:tc>
        <w:tc>
          <w:tcPr>
            <w:tcW w:w="793" w:type="dxa"/>
            <w:tcBorders>
              <w:top w:val="single" w:sz="4" w:space="0" w:color="auto"/>
              <w:left w:val="single" w:sz="4" w:space="0" w:color="auto"/>
              <w:bottom w:val="single" w:sz="4" w:space="0" w:color="auto"/>
              <w:right w:val="single" w:sz="4" w:space="0" w:color="auto"/>
            </w:tcBorders>
          </w:tcPr>
          <w:p w14:paraId="24C0A3D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60</w:t>
            </w:r>
          </w:p>
        </w:tc>
      </w:tr>
      <w:tr w:rsidR="00186559" w:rsidRPr="00AA5833" w14:paraId="24E4CC82" w14:textId="77777777" w:rsidTr="00E7750C">
        <w:trPr>
          <w:trHeight w:val="1584"/>
        </w:trPr>
        <w:tc>
          <w:tcPr>
            <w:tcW w:w="2163" w:type="dxa"/>
            <w:tcBorders>
              <w:top w:val="single" w:sz="4" w:space="0" w:color="auto"/>
              <w:left w:val="single" w:sz="4" w:space="0" w:color="auto"/>
              <w:bottom w:val="single" w:sz="4" w:space="0" w:color="auto"/>
              <w:right w:val="single" w:sz="4" w:space="0" w:color="auto"/>
            </w:tcBorders>
            <w:vAlign w:val="center"/>
          </w:tcPr>
          <w:p w14:paraId="4D2884C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Образователно равнище (по-малко от средното, основно и по-ниско), граждани на България, 25-49 години, в %</w:t>
            </w:r>
          </w:p>
        </w:tc>
        <w:tc>
          <w:tcPr>
            <w:tcW w:w="1397" w:type="dxa"/>
            <w:tcBorders>
              <w:top w:val="single" w:sz="4" w:space="0" w:color="auto"/>
              <w:left w:val="single" w:sz="4" w:space="0" w:color="auto"/>
              <w:bottom w:val="single" w:sz="4" w:space="0" w:color="auto"/>
              <w:right w:val="single" w:sz="4" w:space="0" w:color="auto"/>
            </w:tcBorders>
          </w:tcPr>
          <w:p w14:paraId="267BA842" w14:textId="77777777" w:rsidR="00186559" w:rsidRPr="00AA5833" w:rsidRDefault="00186559" w:rsidP="002E676E">
            <w:pPr>
              <w:spacing w:after="0" w:line="240" w:lineRule="auto"/>
              <w:jc w:val="right"/>
              <w:rPr>
                <w:rFonts w:ascii="Times New Roman" w:eastAsia="Times New Roman" w:hAnsi="Times New Roman" w:cs="Times New Roman"/>
                <w:strike/>
                <w:sz w:val="24"/>
                <w:szCs w:val="24"/>
                <w:lang w:eastAsia="bg-BG"/>
              </w:rPr>
            </w:pPr>
            <w:r w:rsidRPr="00AA5833">
              <w:rPr>
                <w:rFonts w:ascii="Times New Roman" w:eastAsia="Times New Roman" w:hAnsi="Times New Roman" w:cs="Times New Roman"/>
                <w:sz w:val="24"/>
                <w:szCs w:val="24"/>
                <w:lang w:eastAsia="bg-BG"/>
              </w:rPr>
              <w:t>18.7</w:t>
            </w:r>
          </w:p>
        </w:tc>
        <w:tc>
          <w:tcPr>
            <w:tcW w:w="1397" w:type="dxa"/>
            <w:tcBorders>
              <w:top w:val="single" w:sz="4" w:space="0" w:color="auto"/>
              <w:left w:val="single" w:sz="4" w:space="0" w:color="auto"/>
              <w:bottom w:val="single" w:sz="4" w:space="0" w:color="auto"/>
              <w:right w:val="single" w:sz="4" w:space="0" w:color="auto"/>
            </w:tcBorders>
          </w:tcPr>
          <w:p w14:paraId="70F2A226" w14:textId="77777777" w:rsidR="00186559" w:rsidRPr="00AA5833" w:rsidRDefault="00186559" w:rsidP="002E676E">
            <w:pPr>
              <w:spacing w:after="0" w:line="240" w:lineRule="auto"/>
              <w:jc w:val="right"/>
              <w:rPr>
                <w:rFonts w:ascii="Times New Roman" w:hAnsi="Times New Roman" w:cs="Times New Roman"/>
                <w:sz w:val="24"/>
                <w:szCs w:val="24"/>
              </w:rPr>
            </w:pPr>
            <w:r w:rsidRPr="00AA5833">
              <w:rPr>
                <w:rFonts w:ascii="Times New Roman" w:hAnsi="Times New Roman" w:cs="Times New Roman"/>
                <w:sz w:val="24"/>
                <w:szCs w:val="24"/>
              </w:rPr>
              <w:t>14.8</w:t>
            </w:r>
          </w:p>
        </w:tc>
        <w:tc>
          <w:tcPr>
            <w:tcW w:w="1387" w:type="dxa"/>
            <w:tcBorders>
              <w:top w:val="single" w:sz="4" w:space="0" w:color="auto"/>
              <w:left w:val="single" w:sz="4" w:space="0" w:color="auto"/>
              <w:bottom w:val="single" w:sz="4" w:space="0" w:color="auto"/>
              <w:right w:val="single" w:sz="4" w:space="0" w:color="auto"/>
            </w:tcBorders>
          </w:tcPr>
          <w:p w14:paraId="2743722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12.7</w:t>
            </w:r>
          </w:p>
          <w:p w14:paraId="617F472A"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6AD9FFE8"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Образователно равнище - основно и по-ниско, граждани на България, 25-49 години, в %</w:t>
            </w:r>
          </w:p>
        </w:tc>
        <w:tc>
          <w:tcPr>
            <w:tcW w:w="793" w:type="dxa"/>
            <w:tcBorders>
              <w:top w:val="single" w:sz="4" w:space="0" w:color="auto"/>
              <w:left w:val="single" w:sz="4" w:space="0" w:color="auto"/>
              <w:bottom w:val="single" w:sz="4" w:space="0" w:color="auto"/>
              <w:right w:val="single" w:sz="4" w:space="0" w:color="auto"/>
            </w:tcBorders>
          </w:tcPr>
          <w:p w14:paraId="483B457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 10</w:t>
            </w:r>
          </w:p>
        </w:tc>
      </w:tr>
      <w:tr w:rsidR="00186559" w:rsidRPr="00AA5833" w14:paraId="15C4757E"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78866EBD"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Образователно равнище (висше), граждани от страни извън ЕС-27, 25-49 години, в % </w:t>
            </w:r>
          </w:p>
        </w:tc>
        <w:tc>
          <w:tcPr>
            <w:tcW w:w="1397" w:type="dxa"/>
            <w:tcBorders>
              <w:top w:val="single" w:sz="4" w:space="0" w:color="auto"/>
              <w:left w:val="single" w:sz="4" w:space="0" w:color="auto"/>
              <w:bottom w:val="single" w:sz="4" w:space="0" w:color="auto"/>
              <w:right w:val="single" w:sz="4" w:space="0" w:color="auto"/>
            </w:tcBorders>
          </w:tcPr>
          <w:p w14:paraId="58534EDB" w14:textId="77777777" w:rsidR="00186559" w:rsidRPr="00AA5833" w:rsidRDefault="00186559" w:rsidP="002E676E">
            <w:pPr>
              <w:spacing w:after="0" w:line="240" w:lineRule="auto"/>
              <w:jc w:val="right"/>
              <w:rPr>
                <w:rFonts w:ascii="Times New Roman" w:eastAsia="Times New Roman" w:hAnsi="Times New Roman" w:cs="Times New Roman"/>
                <w:strike/>
                <w:sz w:val="24"/>
                <w:szCs w:val="24"/>
                <w:lang w:eastAsia="bg-BG"/>
              </w:rPr>
            </w:pPr>
            <w:r w:rsidRPr="00AA5833">
              <w:rPr>
                <w:rFonts w:ascii="Times New Roman" w:eastAsia="Times New Roman" w:hAnsi="Times New Roman" w:cs="Times New Roman"/>
                <w:strike/>
                <w:sz w:val="24"/>
                <w:szCs w:val="24"/>
                <w:lang w:eastAsia="bg-BG"/>
              </w:rPr>
              <w:t>:</w:t>
            </w:r>
          </w:p>
        </w:tc>
        <w:tc>
          <w:tcPr>
            <w:tcW w:w="1397" w:type="dxa"/>
            <w:tcBorders>
              <w:top w:val="single" w:sz="4" w:space="0" w:color="auto"/>
              <w:left w:val="single" w:sz="4" w:space="0" w:color="auto"/>
              <w:bottom w:val="single" w:sz="4" w:space="0" w:color="auto"/>
              <w:right w:val="single" w:sz="4" w:space="0" w:color="auto"/>
            </w:tcBorders>
          </w:tcPr>
          <w:p w14:paraId="0F050DB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87" w:type="dxa"/>
            <w:tcBorders>
              <w:top w:val="single" w:sz="4" w:space="0" w:color="auto"/>
              <w:left w:val="single" w:sz="4" w:space="0" w:color="auto"/>
              <w:bottom w:val="single" w:sz="4" w:space="0" w:color="auto"/>
              <w:right w:val="single" w:sz="4" w:space="0" w:color="auto"/>
            </w:tcBorders>
          </w:tcPr>
          <w:p w14:paraId="4FEAE284" w14:textId="77777777" w:rsidR="00186559" w:rsidRPr="00AA5833" w:rsidRDefault="00186559" w:rsidP="002E676E">
            <w:pPr>
              <w:spacing w:after="0" w:line="240" w:lineRule="auto"/>
              <w:jc w:val="both"/>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0100CA08" w14:textId="77777777" w:rsidR="00186559" w:rsidRPr="00AA5833" w:rsidRDefault="00186559" w:rsidP="002E676E">
            <w:pPr>
              <w:spacing w:after="0" w:line="240" w:lineRule="auto"/>
              <w:jc w:val="both"/>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tcPr>
          <w:p w14:paraId="165353D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60</w:t>
            </w:r>
          </w:p>
        </w:tc>
      </w:tr>
      <w:tr w:rsidR="00186559" w:rsidRPr="00AA5833" w14:paraId="5929BDC7" w14:textId="77777777" w:rsidTr="00E7750C">
        <w:tc>
          <w:tcPr>
            <w:tcW w:w="2163" w:type="dxa"/>
            <w:tcBorders>
              <w:top w:val="single" w:sz="4" w:space="0" w:color="auto"/>
              <w:left w:val="single" w:sz="4" w:space="0" w:color="auto"/>
              <w:bottom w:val="single" w:sz="4" w:space="0" w:color="auto"/>
              <w:right w:val="single" w:sz="4" w:space="0" w:color="auto"/>
            </w:tcBorders>
            <w:vAlign w:val="center"/>
          </w:tcPr>
          <w:p w14:paraId="2CDC1098"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Образователно равнище (по-малко от средното основно и по-ниско), граждани от страни извън ЕС-27, 25-49 години, в %</w:t>
            </w:r>
          </w:p>
        </w:tc>
        <w:tc>
          <w:tcPr>
            <w:tcW w:w="1397" w:type="dxa"/>
            <w:tcBorders>
              <w:top w:val="single" w:sz="4" w:space="0" w:color="auto"/>
              <w:left w:val="single" w:sz="4" w:space="0" w:color="auto"/>
              <w:bottom w:val="single" w:sz="4" w:space="0" w:color="auto"/>
              <w:right w:val="single" w:sz="4" w:space="0" w:color="auto"/>
            </w:tcBorders>
          </w:tcPr>
          <w:p w14:paraId="117560B0" w14:textId="77777777" w:rsidR="00186559" w:rsidRPr="00AA5833" w:rsidRDefault="00186559" w:rsidP="002E676E">
            <w:pPr>
              <w:spacing w:after="0" w:line="240" w:lineRule="auto"/>
              <w:jc w:val="right"/>
              <w:rPr>
                <w:rFonts w:ascii="Times New Roman" w:eastAsia="Times New Roman" w:hAnsi="Times New Roman" w:cs="Times New Roman"/>
                <w:strike/>
                <w:sz w:val="24"/>
                <w:szCs w:val="24"/>
                <w:lang w:eastAsia="bg-BG"/>
              </w:rPr>
            </w:pPr>
            <w:r w:rsidRPr="00AA5833">
              <w:rPr>
                <w:rFonts w:ascii="Times New Roman" w:eastAsia="Times New Roman" w:hAnsi="Times New Roman" w:cs="Times New Roman"/>
                <w:strike/>
                <w:sz w:val="24"/>
                <w:szCs w:val="24"/>
                <w:lang w:eastAsia="bg-BG"/>
              </w:rPr>
              <w:t>:</w:t>
            </w:r>
          </w:p>
        </w:tc>
        <w:tc>
          <w:tcPr>
            <w:tcW w:w="1397" w:type="dxa"/>
            <w:tcBorders>
              <w:top w:val="single" w:sz="4" w:space="0" w:color="auto"/>
              <w:left w:val="single" w:sz="4" w:space="0" w:color="auto"/>
              <w:bottom w:val="single" w:sz="4" w:space="0" w:color="auto"/>
              <w:right w:val="single" w:sz="4" w:space="0" w:color="auto"/>
            </w:tcBorders>
          </w:tcPr>
          <w:p w14:paraId="5F0B0A6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387" w:type="dxa"/>
            <w:tcBorders>
              <w:top w:val="single" w:sz="4" w:space="0" w:color="auto"/>
              <w:left w:val="single" w:sz="4" w:space="0" w:color="auto"/>
              <w:bottom w:val="single" w:sz="4" w:space="0" w:color="auto"/>
              <w:right w:val="single" w:sz="4" w:space="0" w:color="auto"/>
            </w:tcBorders>
          </w:tcPr>
          <w:p w14:paraId="459A038B" w14:textId="77777777" w:rsidR="00186559" w:rsidRPr="00AA5833" w:rsidRDefault="00186559" w:rsidP="002E676E">
            <w:pPr>
              <w:spacing w:after="0" w:line="240" w:lineRule="auto"/>
              <w:jc w:val="both"/>
              <w:rPr>
                <w:rFonts w:ascii="Times New Roman" w:eastAsia="Times New Roman" w:hAnsi="Times New Roman" w:cs="Times New Roman"/>
                <w:sz w:val="24"/>
                <w:szCs w:val="24"/>
                <w:lang w:eastAsia="bg-BG"/>
              </w:rPr>
            </w:pPr>
          </w:p>
        </w:tc>
        <w:tc>
          <w:tcPr>
            <w:tcW w:w="1925" w:type="dxa"/>
            <w:tcBorders>
              <w:top w:val="single" w:sz="4" w:space="0" w:color="auto"/>
              <w:left w:val="single" w:sz="4" w:space="0" w:color="auto"/>
              <w:bottom w:val="single" w:sz="4" w:space="0" w:color="auto"/>
              <w:right w:val="single" w:sz="4" w:space="0" w:color="auto"/>
            </w:tcBorders>
          </w:tcPr>
          <w:p w14:paraId="4086B4A0" w14:textId="77777777" w:rsidR="00186559" w:rsidRPr="00AA5833" w:rsidRDefault="00186559" w:rsidP="002E676E">
            <w:pPr>
              <w:spacing w:after="0" w:line="240" w:lineRule="auto"/>
              <w:jc w:val="both"/>
              <w:rPr>
                <w:rFonts w:ascii="Times New Roman" w:eastAsia="Times New Roman" w:hAnsi="Times New Roman" w:cs="Times New Roman"/>
                <w:sz w:val="24"/>
                <w:szCs w:val="24"/>
                <w:lang w:eastAsia="bg-BG"/>
              </w:rPr>
            </w:pPr>
          </w:p>
        </w:tc>
        <w:tc>
          <w:tcPr>
            <w:tcW w:w="793" w:type="dxa"/>
            <w:tcBorders>
              <w:top w:val="single" w:sz="4" w:space="0" w:color="auto"/>
              <w:left w:val="single" w:sz="4" w:space="0" w:color="auto"/>
              <w:bottom w:val="single" w:sz="4" w:space="0" w:color="auto"/>
              <w:right w:val="single" w:sz="4" w:space="0" w:color="auto"/>
            </w:tcBorders>
          </w:tcPr>
          <w:p w14:paraId="0ACC42C2"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0</w:t>
            </w:r>
          </w:p>
        </w:tc>
      </w:tr>
    </w:tbl>
    <w:p w14:paraId="31626910" w14:textId="77777777" w:rsidR="00186559" w:rsidRPr="00AA5833" w:rsidRDefault="00186559" w:rsidP="00186559">
      <w:pPr>
        <w:spacing w:after="0" w:line="240" w:lineRule="auto"/>
        <w:jc w:val="right"/>
        <w:rPr>
          <w:rFonts w:ascii="Times New Roman" w:eastAsia="Times New Roman" w:hAnsi="Times New Roman" w:cs="Times New Roman"/>
          <w:sz w:val="24"/>
          <w:szCs w:val="24"/>
          <w:lang w:eastAsia="bg-BG"/>
        </w:rPr>
      </w:pPr>
    </w:p>
    <w:p w14:paraId="276568A0" w14:textId="77777777" w:rsidR="00186559" w:rsidRPr="00AA5833" w:rsidRDefault="00186559" w:rsidP="00186559">
      <w:pPr>
        <w:spacing w:after="0" w:line="240" w:lineRule="auto"/>
        <w:jc w:val="right"/>
        <w:rPr>
          <w:rFonts w:ascii="Times New Roman" w:eastAsia="Times New Roman" w:hAnsi="Times New Roman" w:cs="Times New Roman"/>
          <w:sz w:val="24"/>
          <w:szCs w:val="24"/>
          <w:lang w:eastAsia="bg-BG"/>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508"/>
        <w:gridCol w:w="1417"/>
        <w:gridCol w:w="1560"/>
        <w:gridCol w:w="1708"/>
        <w:gridCol w:w="696"/>
      </w:tblGrid>
      <w:tr w:rsidR="00186559" w:rsidRPr="00AA5833" w14:paraId="4A3C45C2" w14:textId="77777777" w:rsidTr="009D23CF">
        <w:tc>
          <w:tcPr>
            <w:tcW w:w="9062" w:type="dxa"/>
            <w:gridSpan w:val="6"/>
            <w:shd w:val="clear" w:color="auto" w:fill="E5DFEC"/>
          </w:tcPr>
          <w:p w14:paraId="786B857B"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СЪСТАВЕН ПОКАЗАТЕЛ 6</w:t>
            </w:r>
          </w:p>
          <w:p w14:paraId="4FECCB33"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ПОДОБРЯВАНЕ НА ЗДРАВНИЯ СТАТУС НА НАСЕЛЕНИЕТО</w:t>
            </w:r>
          </w:p>
        </w:tc>
      </w:tr>
      <w:tr w:rsidR="00186559" w:rsidRPr="00AA5833" w14:paraId="4E6A6DC0" w14:textId="77777777" w:rsidTr="009D23CF">
        <w:tblPrEx>
          <w:tblLook w:val="01E0" w:firstRow="1" w:lastRow="1" w:firstColumn="1" w:lastColumn="1" w:noHBand="0" w:noVBand="0"/>
        </w:tblPrEx>
        <w:tc>
          <w:tcPr>
            <w:tcW w:w="2173" w:type="dxa"/>
          </w:tcPr>
          <w:p w14:paraId="054D0257"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Индикатори</w:t>
            </w:r>
          </w:p>
        </w:tc>
        <w:tc>
          <w:tcPr>
            <w:tcW w:w="1508" w:type="dxa"/>
          </w:tcPr>
          <w:p w14:paraId="765F756E"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4728F525"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2009 г.</w:t>
            </w:r>
          </w:p>
        </w:tc>
        <w:tc>
          <w:tcPr>
            <w:tcW w:w="1417" w:type="dxa"/>
          </w:tcPr>
          <w:p w14:paraId="095173C5"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Състояние</w:t>
            </w:r>
          </w:p>
          <w:p w14:paraId="14D3128D"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2023 г.</w:t>
            </w:r>
          </w:p>
        </w:tc>
        <w:tc>
          <w:tcPr>
            <w:tcW w:w="1560" w:type="dxa"/>
          </w:tcPr>
          <w:p w14:paraId="007B77BB"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Състояние</w:t>
            </w:r>
          </w:p>
          <w:p w14:paraId="1BACDF8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2024 г.</w:t>
            </w:r>
          </w:p>
        </w:tc>
        <w:tc>
          <w:tcPr>
            <w:tcW w:w="1708" w:type="dxa"/>
          </w:tcPr>
          <w:p w14:paraId="520735E6"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 xml:space="preserve">Бележки </w:t>
            </w:r>
          </w:p>
        </w:tc>
        <w:tc>
          <w:tcPr>
            <w:tcW w:w="696" w:type="dxa"/>
          </w:tcPr>
          <w:p w14:paraId="79AB9C5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Цел</w:t>
            </w:r>
          </w:p>
          <w:p w14:paraId="4798DD31"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lastRenderedPageBreak/>
              <w:t>2030 г.</w:t>
            </w:r>
          </w:p>
        </w:tc>
      </w:tr>
      <w:tr w:rsidR="00186559" w:rsidRPr="00AA5833" w14:paraId="3715F755"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64014D7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Значително намаляване на</w:t>
            </w:r>
          </w:p>
          <w:p w14:paraId="2106C67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Детската смъртност, в ‰</w:t>
            </w:r>
          </w:p>
        </w:tc>
        <w:tc>
          <w:tcPr>
            <w:tcW w:w="1508" w:type="dxa"/>
            <w:tcBorders>
              <w:top w:val="single" w:sz="4" w:space="0" w:color="auto"/>
              <w:left w:val="single" w:sz="4" w:space="0" w:color="auto"/>
              <w:bottom w:val="single" w:sz="4" w:space="0" w:color="auto"/>
              <w:right w:val="single" w:sz="4" w:space="0" w:color="auto"/>
            </w:tcBorders>
          </w:tcPr>
          <w:p w14:paraId="1BF7DDEE" w14:textId="77777777" w:rsidR="00186559" w:rsidRPr="00AA5833" w:rsidRDefault="00186559" w:rsidP="002E676E">
            <w:pPr>
              <w:spacing w:after="0" w:line="276"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9.0</w:t>
            </w:r>
          </w:p>
        </w:tc>
        <w:tc>
          <w:tcPr>
            <w:tcW w:w="1417" w:type="dxa"/>
            <w:tcBorders>
              <w:top w:val="single" w:sz="4" w:space="0" w:color="auto"/>
              <w:left w:val="single" w:sz="4" w:space="0" w:color="auto"/>
              <w:bottom w:val="single" w:sz="4" w:space="0" w:color="auto"/>
              <w:right w:val="single" w:sz="4" w:space="0" w:color="auto"/>
            </w:tcBorders>
          </w:tcPr>
          <w:p w14:paraId="0F09B720" w14:textId="77777777" w:rsidR="00186559" w:rsidRPr="00AA5833" w:rsidRDefault="00186559" w:rsidP="002E676E">
            <w:pPr>
              <w:spacing w:after="0" w:line="276"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4.9</w:t>
            </w:r>
          </w:p>
        </w:tc>
        <w:tc>
          <w:tcPr>
            <w:tcW w:w="1560" w:type="dxa"/>
            <w:tcBorders>
              <w:top w:val="single" w:sz="4" w:space="0" w:color="auto"/>
              <w:left w:val="single" w:sz="4" w:space="0" w:color="auto"/>
              <w:bottom w:val="single" w:sz="4" w:space="0" w:color="auto"/>
              <w:right w:val="single" w:sz="4" w:space="0" w:color="auto"/>
            </w:tcBorders>
          </w:tcPr>
          <w:p w14:paraId="02C2FAEE" w14:textId="77777777" w:rsidR="00186559" w:rsidRPr="00AA5833" w:rsidRDefault="00186559" w:rsidP="002E676E">
            <w:pPr>
              <w:spacing w:after="0" w:line="276"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4.5</w:t>
            </w:r>
          </w:p>
        </w:tc>
        <w:tc>
          <w:tcPr>
            <w:tcW w:w="1708" w:type="dxa"/>
            <w:tcBorders>
              <w:top w:val="single" w:sz="4" w:space="0" w:color="auto"/>
              <w:left w:val="single" w:sz="4" w:space="0" w:color="auto"/>
              <w:bottom w:val="single" w:sz="4" w:space="0" w:color="auto"/>
              <w:right w:val="single" w:sz="4" w:space="0" w:color="auto"/>
            </w:tcBorders>
          </w:tcPr>
          <w:p w14:paraId="0D2127B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Това не е показател за намаление, коефициент на детска смъртност! </w:t>
            </w:r>
          </w:p>
        </w:tc>
        <w:tc>
          <w:tcPr>
            <w:tcW w:w="696" w:type="dxa"/>
            <w:tcBorders>
              <w:top w:val="single" w:sz="4" w:space="0" w:color="auto"/>
              <w:left w:val="single" w:sz="4" w:space="0" w:color="auto"/>
              <w:bottom w:val="single" w:sz="4" w:space="0" w:color="auto"/>
              <w:right w:val="single" w:sz="4" w:space="0" w:color="auto"/>
            </w:tcBorders>
          </w:tcPr>
          <w:p w14:paraId="4BFCAA1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 7</w:t>
            </w:r>
          </w:p>
        </w:tc>
      </w:tr>
      <w:tr w:rsidR="00186559" w:rsidRPr="00AA5833" w14:paraId="27B96D4C"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60BE5144"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Задължително имунизиране на всички деца с основните ваксини, прилагани във възрастта 0-1 г. и нарастване на обхвата на ваксинираните, в %</w:t>
            </w:r>
          </w:p>
        </w:tc>
        <w:tc>
          <w:tcPr>
            <w:tcW w:w="1508" w:type="dxa"/>
            <w:tcBorders>
              <w:top w:val="single" w:sz="4" w:space="0" w:color="auto"/>
              <w:left w:val="single" w:sz="4" w:space="0" w:color="auto"/>
              <w:bottom w:val="single" w:sz="4" w:space="0" w:color="auto"/>
              <w:right w:val="single" w:sz="4" w:space="0" w:color="auto"/>
            </w:tcBorders>
          </w:tcPr>
          <w:p w14:paraId="0040924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7" w:type="dxa"/>
            <w:tcBorders>
              <w:top w:val="single" w:sz="4" w:space="0" w:color="auto"/>
              <w:left w:val="single" w:sz="4" w:space="0" w:color="auto"/>
              <w:bottom w:val="single" w:sz="4" w:space="0" w:color="auto"/>
              <w:right w:val="single" w:sz="4" w:space="0" w:color="auto"/>
            </w:tcBorders>
          </w:tcPr>
          <w:p w14:paraId="4839130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560" w:type="dxa"/>
            <w:tcBorders>
              <w:top w:val="single" w:sz="4" w:space="0" w:color="auto"/>
              <w:left w:val="single" w:sz="4" w:space="0" w:color="auto"/>
              <w:bottom w:val="single" w:sz="4" w:space="0" w:color="auto"/>
              <w:right w:val="single" w:sz="4" w:space="0" w:color="auto"/>
            </w:tcBorders>
          </w:tcPr>
          <w:p w14:paraId="509AB2F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708" w:type="dxa"/>
            <w:tcBorders>
              <w:top w:val="single" w:sz="4" w:space="0" w:color="auto"/>
              <w:left w:val="single" w:sz="4" w:space="0" w:color="auto"/>
              <w:bottom w:val="single" w:sz="4" w:space="0" w:color="auto"/>
              <w:right w:val="single" w:sz="4" w:space="0" w:color="auto"/>
            </w:tcBorders>
          </w:tcPr>
          <w:p w14:paraId="59D1101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696" w:type="dxa"/>
            <w:tcBorders>
              <w:top w:val="single" w:sz="4" w:space="0" w:color="auto"/>
              <w:left w:val="single" w:sz="4" w:space="0" w:color="auto"/>
              <w:bottom w:val="single" w:sz="4" w:space="0" w:color="auto"/>
              <w:right w:val="single" w:sz="4" w:space="0" w:color="auto"/>
            </w:tcBorders>
          </w:tcPr>
          <w:p w14:paraId="4463121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99.5</w:t>
            </w:r>
          </w:p>
        </w:tc>
      </w:tr>
      <w:tr w:rsidR="00186559" w:rsidRPr="00AA5833" w14:paraId="708B8F8E" w14:textId="77777777" w:rsidTr="009D23CF">
        <w:trPr>
          <w:trHeight w:val="2451"/>
        </w:trPr>
        <w:tc>
          <w:tcPr>
            <w:tcW w:w="2173" w:type="dxa"/>
            <w:tcBorders>
              <w:top w:val="single" w:sz="4" w:space="0" w:color="auto"/>
              <w:left w:val="single" w:sz="4" w:space="0" w:color="auto"/>
              <w:bottom w:val="single" w:sz="4" w:space="0" w:color="auto"/>
              <w:right w:val="single" w:sz="4" w:space="0" w:color="auto"/>
            </w:tcBorders>
            <w:shd w:val="clear" w:color="auto" w:fill="auto"/>
          </w:tcPr>
          <w:p w14:paraId="0FA2C2E5" w14:textId="77777777" w:rsidR="009D23CF"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i/>
                <w:sz w:val="24"/>
                <w:szCs w:val="24"/>
                <w:lang w:eastAsia="bg-BG"/>
              </w:rPr>
              <w:t>Увеличаване на средната продължителност на живота, в години</w:t>
            </w:r>
            <w:r w:rsidRPr="00AA5833">
              <w:rPr>
                <w:rFonts w:ascii="Times New Roman" w:eastAsia="Times New Roman" w:hAnsi="Times New Roman" w:cs="Times New Roman"/>
                <w:sz w:val="24"/>
                <w:szCs w:val="24"/>
                <w:lang w:eastAsia="bg-BG"/>
              </w:rPr>
              <w:t xml:space="preserve">  </w:t>
            </w:r>
          </w:p>
          <w:p w14:paraId="721B8D3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Средна възраст на населението – в години</w:t>
            </w:r>
          </w:p>
        </w:tc>
        <w:tc>
          <w:tcPr>
            <w:tcW w:w="1508" w:type="dxa"/>
            <w:tcBorders>
              <w:top w:val="single" w:sz="4" w:space="0" w:color="auto"/>
              <w:left w:val="single" w:sz="4" w:space="0" w:color="auto"/>
              <w:bottom w:val="single" w:sz="4" w:space="0" w:color="auto"/>
              <w:right w:val="single" w:sz="4" w:space="0" w:color="auto"/>
            </w:tcBorders>
          </w:tcPr>
          <w:p w14:paraId="2604DEB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41.2</w:t>
            </w:r>
          </w:p>
        </w:tc>
        <w:tc>
          <w:tcPr>
            <w:tcW w:w="1417" w:type="dxa"/>
            <w:tcBorders>
              <w:top w:val="single" w:sz="4" w:space="0" w:color="auto"/>
              <w:left w:val="single" w:sz="4" w:space="0" w:color="auto"/>
              <w:bottom w:val="single" w:sz="4" w:space="0" w:color="auto"/>
              <w:right w:val="single" w:sz="4" w:space="0" w:color="auto"/>
            </w:tcBorders>
          </w:tcPr>
          <w:p w14:paraId="23E07EE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45.2</w:t>
            </w:r>
          </w:p>
        </w:tc>
        <w:tc>
          <w:tcPr>
            <w:tcW w:w="1560" w:type="dxa"/>
            <w:tcBorders>
              <w:top w:val="single" w:sz="4" w:space="0" w:color="auto"/>
              <w:left w:val="single" w:sz="4" w:space="0" w:color="auto"/>
              <w:bottom w:val="single" w:sz="4" w:space="0" w:color="auto"/>
              <w:right w:val="single" w:sz="4" w:space="0" w:color="auto"/>
            </w:tcBorders>
          </w:tcPr>
          <w:p w14:paraId="7672144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45.3</w:t>
            </w:r>
          </w:p>
        </w:tc>
        <w:tc>
          <w:tcPr>
            <w:tcW w:w="1708" w:type="dxa"/>
            <w:tcBorders>
              <w:top w:val="single" w:sz="4" w:space="0" w:color="auto"/>
              <w:left w:val="single" w:sz="4" w:space="0" w:color="auto"/>
              <w:bottom w:val="single" w:sz="4" w:space="0" w:color="auto"/>
              <w:right w:val="single" w:sz="4" w:space="0" w:color="auto"/>
            </w:tcBorders>
          </w:tcPr>
          <w:p w14:paraId="1180BAE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Увеличаването на средната продължителност на живота, в години  не е показател.</w:t>
            </w:r>
          </w:p>
          <w:p w14:paraId="128E813E"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0000D4C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Средна възраст за 2009 г. е 41.8</w:t>
            </w:r>
          </w:p>
          <w:p w14:paraId="3AEFCB68"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696" w:type="dxa"/>
            <w:tcBorders>
              <w:top w:val="single" w:sz="4" w:space="0" w:color="auto"/>
              <w:left w:val="single" w:sz="4" w:space="0" w:color="auto"/>
              <w:bottom w:val="single" w:sz="4" w:space="0" w:color="auto"/>
              <w:right w:val="single" w:sz="4" w:space="0" w:color="auto"/>
            </w:tcBorders>
          </w:tcPr>
          <w:p w14:paraId="1C5B2AF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43</w:t>
            </w:r>
          </w:p>
        </w:tc>
      </w:tr>
      <w:tr w:rsidR="00186559" w:rsidRPr="00AA5833" w14:paraId="727C8C40"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350F2E47" w14:textId="77777777" w:rsidR="00186559" w:rsidRPr="00AA5833" w:rsidRDefault="00186559" w:rsidP="002E676E">
            <w:pPr>
              <w:spacing w:after="0" w:line="240" w:lineRule="auto"/>
              <w:rPr>
                <w:rFonts w:ascii="Times New Roman" w:eastAsia="Times New Roman" w:hAnsi="Times New Roman" w:cs="Times New Roman"/>
                <w:sz w:val="24"/>
                <w:szCs w:val="24"/>
                <w:highlight w:val="yellow"/>
                <w:lang w:eastAsia="bg-BG"/>
              </w:rPr>
            </w:pPr>
            <w:r w:rsidRPr="00AA5833">
              <w:rPr>
                <w:rFonts w:ascii="Times New Roman" w:eastAsia="Times New Roman" w:hAnsi="Times New Roman" w:cs="Times New Roman"/>
                <w:sz w:val="24"/>
                <w:szCs w:val="24"/>
                <w:lang w:eastAsia="bg-BG"/>
              </w:rPr>
              <w:t>(Намаляване) на майчината смъртност на 100 000 живородени</w:t>
            </w:r>
          </w:p>
        </w:tc>
        <w:tc>
          <w:tcPr>
            <w:tcW w:w="1508" w:type="dxa"/>
            <w:tcBorders>
              <w:top w:val="single" w:sz="4" w:space="0" w:color="auto"/>
              <w:left w:val="single" w:sz="4" w:space="0" w:color="auto"/>
              <w:bottom w:val="single" w:sz="4" w:space="0" w:color="auto"/>
              <w:right w:val="single" w:sz="4" w:space="0" w:color="auto"/>
            </w:tcBorders>
          </w:tcPr>
          <w:p w14:paraId="226F1EA7" w14:textId="77777777" w:rsidR="00186559" w:rsidRPr="00AA5833" w:rsidRDefault="00186559" w:rsidP="002E676E">
            <w:pPr>
              <w:spacing w:after="0" w:line="240" w:lineRule="auto"/>
              <w:jc w:val="right"/>
              <w:rPr>
                <w:rFonts w:ascii="Times New Roman" w:eastAsia="Times New Roman" w:hAnsi="Times New Roman" w:cs="Times New Roman"/>
                <w:sz w:val="24"/>
                <w:szCs w:val="24"/>
                <w:highlight w:val="yellow"/>
                <w:lang w:eastAsia="bg-BG"/>
              </w:rPr>
            </w:pPr>
            <w:r w:rsidRPr="00AA5833">
              <w:rPr>
                <w:rFonts w:ascii="Times New Roman" w:eastAsia="Times New Roman" w:hAnsi="Times New Roman" w:cs="Times New Roman"/>
                <w:sz w:val="24"/>
                <w:szCs w:val="24"/>
                <w:lang w:eastAsia="bg-BG"/>
              </w:rPr>
              <w:t>4.9</w:t>
            </w:r>
          </w:p>
        </w:tc>
        <w:tc>
          <w:tcPr>
            <w:tcW w:w="1417" w:type="dxa"/>
            <w:tcBorders>
              <w:top w:val="single" w:sz="4" w:space="0" w:color="auto"/>
              <w:left w:val="single" w:sz="4" w:space="0" w:color="auto"/>
              <w:bottom w:val="single" w:sz="4" w:space="0" w:color="auto"/>
              <w:right w:val="single" w:sz="4" w:space="0" w:color="auto"/>
            </w:tcBorders>
          </w:tcPr>
          <w:p w14:paraId="1BF7C3B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8.7</w:t>
            </w:r>
          </w:p>
        </w:tc>
        <w:tc>
          <w:tcPr>
            <w:tcW w:w="1560" w:type="dxa"/>
            <w:tcBorders>
              <w:top w:val="single" w:sz="4" w:space="0" w:color="auto"/>
              <w:left w:val="single" w:sz="4" w:space="0" w:color="auto"/>
              <w:bottom w:val="single" w:sz="4" w:space="0" w:color="auto"/>
              <w:right w:val="single" w:sz="4" w:space="0" w:color="auto"/>
            </w:tcBorders>
          </w:tcPr>
          <w:p w14:paraId="0B1CDFB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708" w:type="dxa"/>
            <w:tcBorders>
              <w:top w:val="single" w:sz="4" w:space="0" w:color="auto"/>
              <w:left w:val="single" w:sz="4" w:space="0" w:color="auto"/>
              <w:bottom w:val="single" w:sz="4" w:space="0" w:color="auto"/>
              <w:right w:val="single" w:sz="4" w:space="0" w:color="auto"/>
            </w:tcBorders>
          </w:tcPr>
          <w:p w14:paraId="6DBE14F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Брой умрелите жени от усложнения на бременността, раждането и послеродовия период (Клас XV, МКБ-10) на 100000 живородени</w:t>
            </w:r>
          </w:p>
        </w:tc>
        <w:tc>
          <w:tcPr>
            <w:tcW w:w="696" w:type="dxa"/>
            <w:tcBorders>
              <w:top w:val="single" w:sz="4" w:space="0" w:color="auto"/>
              <w:left w:val="single" w:sz="4" w:space="0" w:color="auto"/>
              <w:bottom w:val="single" w:sz="4" w:space="0" w:color="auto"/>
              <w:right w:val="single" w:sz="4" w:space="0" w:color="auto"/>
            </w:tcBorders>
          </w:tcPr>
          <w:p w14:paraId="303814A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 5</w:t>
            </w:r>
          </w:p>
        </w:tc>
      </w:tr>
      <w:tr w:rsidR="00186559" w:rsidRPr="00AA5833" w14:paraId="33D83C36"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2F1D67B1"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Увеличаване на дела на бременните жени, обхванати от здравни грижи и наблюдение на бременността, в % </w:t>
            </w:r>
          </w:p>
        </w:tc>
        <w:tc>
          <w:tcPr>
            <w:tcW w:w="1508" w:type="dxa"/>
            <w:tcBorders>
              <w:top w:val="single" w:sz="4" w:space="0" w:color="auto"/>
              <w:left w:val="single" w:sz="4" w:space="0" w:color="auto"/>
              <w:bottom w:val="single" w:sz="4" w:space="0" w:color="auto"/>
              <w:right w:val="single" w:sz="4" w:space="0" w:color="auto"/>
            </w:tcBorders>
          </w:tcPr>
          <w:p w14:paraId="161FAF4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7" w:type="dxa"/>
            <w:tcBorders>
              <w:top w:val="single" w:sz="4" w:space="0" w:color="auto"/>
              <w:left w:val="single" w:sz="4" w:space="0" w:color="auto"/>
              <w:bottom w:val="single" w:sz="4" w:space="0" w:color="auto"/>
              <w:right w:val="single" w:sz="4" w:space="0" w:color="auto"/>
            </w:tcBorders>
          </w:tcPr>
          <w:p w14:paraId="5893A5D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560" w:type="dxa"/>
            <w:tcBorders>
              <w:top w:val="single" w:sz="4" w:space="0" w:color="auto"/>
              <w:left w:val="single" w:sz="4" w:space="0" w:color="auto"/>
              <w:bottom w:val="single" w:sz="4" w:space="0" w:color="auto"/>
              <w:right w:val="single" w:sz="4" w:space="0" w:color="auto"/>
            </w:tcBorders>
          </w:tcPr>
          <w:p w14:paraId="334EC0D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708" w:type="dxa"/>
            <w:tcBorders>
              <w:top w:val="single" w:sz="4" w:space="0" w:color="auto"/>
              <w:left w:val="single" w:sz="4" w:space="0" w:color="auto"/>
              <w:bottom w:val="single" w:sz="4" w:space="0" w:color="auto"/>
              <w:right w:val="single" w:sz="4" w:space="0" w:color="auto"/>
            </w:tcBorders>
          </w:tcPr>
          <w:p w14:paraId="6F47C7D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696" w:type="dxa"/>
            <w:tcBorders>
              <w:top w:val="single" w:sz="4" w:space="0" w:color="auto"/>
              <w:left w:val="single" w:sz="4" w:space="0" w:color="auto"/>
              <w:bottom w:val="single" w:sz="4" w:space="0" w:color="auto"/>
              <w:right w:val="single" w:sz="4" w:space="0" w:color="auto"/>
            </w:tcBorders>
          </w:tcPr>
          <w:p w14:paraId="2FCBADD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95%</w:t>
            </w:r>
          </w:p>
        </w:tc>
      </w:tr>
      <w:tr w:rsidR="00186559" w:rsidRPr="00AA5833" w14:paraId="0370E896"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098AC52D"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 xml:space="preserve">Рязко намаляване на броя на абортите, в брой аборти на 1000 живородени деца </w:t>
            </w:r>
          </w:p>
        </w:tc>
        <w:tc>
          <w:tcPr>
            <w:tcW w:w="1508" w:type="dxa"/>
            <w:tcBorders>
              <w:top w:val="single" w:sz="4" w:space="0" w:color="auto"/>
              <w:left w:val="single" w:sz="4" w:space="0" w:color="auto"/>
              <w:bottom w:val="single" w:sz="4" w:space="0" w:color="auto"/>
              <w:right w:val="single" w:sz="4" w:space="0" w:color="auto"/>
            </w:tcBorders>
          </w:tcPr>
          <w:p w14:paraId="2BBB15D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7" w:type="dxa"/>
            <w:tcBorders>
              <w:top w:val="single" w:sz="4" w:space="0" w:color="auto"/>
              <w:left w:val="single" w:sz="4" w:space="0" w:color="auto"/>
              <w:bottom w:val="single" w:sz="4" w:space="0" w:color="auto"/>
              <w:right w:val="single" w:sz="4" w:space="0" w:color="auto"/>
            </w:tcBorders>
          </w:tcPr>
          <w:p w14:paraId="4342497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560" w:type="dxa"/>
            <w:tcBorders>
              <w:top w:val="single" w:sz="4" w:space="0" w:color="auto"/>
              <w:left w:val="single" w:sz="4" w:space="0" w:color="auto"/>
              <w:bottom w:val="single" w:sz="4" w:space="0" w:color="auto"/>
              <w:right w:val="single" w:sz="4" w:space="0" w:color="auto"/>
            </w:tcBorders>
          </w:tcPr>
          <w:p w14:paraId="61099BC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708" w:type="dxa"/>
            <w:tcBorders>
              <w:top w:val="single" w:sz="4" w:space="0" w:color="auto"/>
              <w:left w:val="single" w:sz="4" w:space="0" w:color="auto"/>
              <w:bottom w:val="single" w:sz="4" w:space="0" w:color="auto"/>
              <w:right w:val="single" w:sz="4" w:space="0" w:color="auto"/>
            </w:tcBorders>
          </w:tcPr>
          <w:p w14:paraId="48A9B53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696" w:type="dxa"/>
            <w:tcBorders>
              <w:top w:val="single" w:sz="4" w:space="0" w:color="auto"/>
              <w:left w:val="single" w:sz="4" w:space="0" w:color="auto"/>
              <w:bottom w:val="single" w:sz="4" w:space="0" w:color="auto"/>
              <w:right w:val="single" w:sz="4" w:space="0" w:color="auto"/>
            </w:tcBorders>
          </w:tcPr>
          <w:p w14:paraId="319A31B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 200</w:t>
            </w:r>
          </w:p>
        </w:tc>
      </w:tr>
      <w:tr w:rsidR="00186559" w:rsidRPr="00AA5833" w14:paraId="1C1FECB9" w14:textId="77777777" w:rsidTr="009D23CF">
        <w:tc>
          <w:tcPr>
            <w:tcW w:w="2173" w:type="dxa"/>
            <w:tcBorders>
              <w:top w:val="single" w:sz="4" w:space="0" w:color="auto"/>
              <w:left w:val="single" w:sz="4" w:space="0" w:color="auto"/>
              <w:bottom w:val="single" w:sz="4" w:space="0" w:color="auto"/>
              <w:right w:val="single" w:sz="4" w:space="0" w:color="auto"/>
            </w:tcBorders>
            <w:shd w:val="clear" w:color="auto" w:fill="auto"/>
          </w:tcPr>
          <w:p w14:paraId="1D97661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Намаляване наполовина на юношеската плодовитост, в промили</w:t>
            </w:r>
          </w:p>
        </w:tc>
        <w:tc>
          <w:tcPr>
            <w:tcW w:w="1508" w:type="dxa"/>
            <w:tcBorders>
              <w:top w:val="single" w:sz="4" w:space="0" w:color="auto"/>
              <w:left w:val="single" w:sz="4" w:space="0" w:color="auto"/>
              <w:bottom w:val="single" w:sz="4" w:space="0" w:color="auto"/>
              <w:right w:val="single" w:sz="4" w:space="0" w:color="auto"/>
            </w:tcBorders>
          </w:tcPr>
          <w:p w14:paraId="5434182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7" w:type="dxa"/>
            <w:tcBorders>
              <w:top w:val="single" w:sz="4" w:space="0" w:color="auto"/>
              <w:left w:val="single" w:sz="4" w:space="0" w:color="auto"/>
              <w:bottom w:val="single" w:sz="4" w:space="0" w:color="auto"/>
              <w:right w:val="single" w:sz="4" w:space="0" w:color="auto"/>
            </w:tcBorders>
          </w:tcPr>
          <w:p w14:paraId="6D9093C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560" w:type="dxa"/>
            <w:tcBorders>
              <w:top w:val="single" w:sz="4" w:space="0" w:color="auto"/>
              <w:left w:val="single" w:sz="4" w:space="0" w:color="auto"/>
              <w:bottom w:val="single" w:sz="4" w:space="0" w:color="auto"/>
              <w:right w:val="single" w:sz="4" w:space="0" w:color="auto"/>
            </w:tcBorders>
          </w:tcPr>
          <w:p w14:paraId="5E81DE75"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708" w:type="dxa"/>
            <w:tcBorders>
              <w:top w:val="single" w:sz="4" w:space="0" w:color="auto"/>
              <w:left w:val="single" w:sz="4" w:space="0" w:color="auto"/>
              <w:bottom w:val="single" w:sz="4" w:space="0" w:color="auto"/>
              <w:right w:val="single" w:sz="4" w:space="0" w:color="auto"/>
            </w:tcBorders>
          </w:tcPr>
          <w:p w14:paraId="37400BF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696" w:type="dxa"/>
            <w:tcBorders>
              <w:top w:val="single" w:sz="4" w:space="0" w:color="auto"/>
              <w:left w:val="single" w:sz="4" w:space="0" w:color="auto"/>
              <w:bottom w:val="single" w:sz="4" w:space="0" w:color="auto"/>
              <w:right w:val="single" w:sz="4" w:space="0" w:color="auto"/>
            </w:tcBorders>
          </w:tcPr>
          <w:p w14:paraId="2F16E36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под 10</w:t>
            </w:r>
          </w:p>
        </w:tc>
      </w:tr>
    </w:tbl>
    <w:p w14:paraId="0FC92F0E" w14:textId="77777777" w:rsidR="00186559" w:rsidRPr="00AA5833" w:rsidRDefault="00186559" w:rsidP="00186559">
      <w:pPr>
        <w:spacing w:after="0" w:line="240" w:lineRule="auto"/>
        <w:rPr>
          <w:rFonts w:ascii="Times New Roman" w:eastAsia="Times New Roman" w:hAnsi="Times New Roman" w:cs="Times New Roman"/>
          <w:sz w:val="24"/>
          <w:szCs w:val="24"/>
          <w:lang w:eastAsia="bg-BG"/>
        </w:rPr>
      </w:pPr>
    </w:p>
    <w:p w14:paraId="341EE841" w14:textId="77777777" w:rsidR="00186559" w:rsidRDefault="00186559" w:rsidP="00186559">
      <w:pPr>
        <w:spacing w:after="0" w:line="240" w:lineRule="auto"/>
        <w:rPr>
          <w:rFonts w:ascii="Times New Roman" w:eastAsia="Times New Roman" w:hAnsi="Times New Roman" w:cs="Times New Roman"/>
          <w:sz w:val="24"/>
          <w:szCs w:val="24"/>
          <w:lang w:eastAsia="bg-BG"/>
        </w:rPr>
      </w:pPr>
    </w:p>
    <w:p w14:paraId="20C0D9FC" w14:textId="77777777" w:rsidR="00EF4DA0" w:rsidRDefault="00EF4DA0" w:rsidP="00186559">
      <w:pPr>
        <w:spacing w:after="0" w:line="240" w:lineRule="auto"/>
        <w:rPr>
          <w:rFonts w:ascii="Times New Roman" w:eastAsia="Times New Roman" w:hAnsi="Times New Roman" w:cs="Times New Roman"/>
          <w:sz w:val="24"/>
          <w:szCs w:val="24"/>
          <w:lang w:eastAsia="bg-BG"/>
        </w:rPr>
      </w:pPr>
    </w:p>
    <w:p w14:paraId="21776041" w14:textId="77777777" w:rsidR="00EF4DA0" w:rsidRDefault="00EF4DA0" w:rsidP="00186559">
      <w:pPr>
        <w:spacing w:after="0" w:line="240" w:lineRule="auto"/>
        <w:rPr>
          <w:rFonts w:ascii="Times New Roman" w:eastAsia="Times New Roman" w:hAnsi="Times New Roman" w:cs="Times New Roman"/>
          <w:sz w:val="24"/>
          <w:szCs w:val="24"/>
          <w:lang w:eastAsia="bg-BG"/>
        </w:rPr>
      </w:pPr>
    </w:p>
    <w:p w14:paraId="7BB470EE" w14:textId="77777777" w:rsidR="00186559" w:rsidRPr="00AA5833" w:rsidRDefault="00186559" w:rsidP="00186559">
      <w:pPr>
        <w:spacing w:after="0" w:line="240" w:lineRule="auto"/>
        <w:rPr>
          <w:rFonts w:ascii="Times New Roman" w:eastAsia="Times New Roman" w:hAnsi="Times New Roman" w:cs="Times New Roman"/>
          <w:sz w:val="24"/>
          <w:szCs w:val="24"/>
          <w:lang w:eastAsia="bg-BG"/>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417"/>
        <w:gridCol w:w="1276"/>
        <w:gridCol w:w="1843"/>
        <w:gridCol w:w="709"/>
      </w:tblGrid>
      <w:tr w:rsidR="00186559" w:rsidRPr="00AA5833" w14:paraId="03B5CF1A" w14:textId="77777777" w:rsidTr="00577DCB">
        <w:tc>
          <w:tcPr>
            <w:tcW w:w="8926" w:type="dxa"/>
            <w:gridSpan w:val="6"/>
            <w:shd w:val="clear" w:color="auto" w:fill="E5DFEC"/>
          </w:tcPr>
          <w:p w14:paraId="545D5A10"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СЪСТАВЕН ПОКАЗАТЕЛ 7</w:t>
            </w:r>
          </w:p>
          <w:p w14:paraId="1C54FE8B" w14:textId="77777777" w:rsidR="00186559" w:rsidRPr="00AA5833" w:rsidRDefault="00186559" w:rsidP="002E676E">
            <w:pPr>
              <w:spacing w:after="0" w:line="240" w:lineRule="auto"/>
              <w:jc w:val="center"/>
              <w:rPr>
                <w:rFonts w:ascii="Times New Roman" w:eastAsia="Times New Roman" w:hAnsi="Times New Roman" w:cs="Times New Roman"/>
                <w:sz w:val="24"/>
                <w:szCs w:val="24"/>
                <w:lang w:eastAsia="bg-BG"/>
              </w:rPr>
            </w:pPr>
            <w:r w:rsidRPr="00AA5833">
              <w:rPr>
                <w:rFonts w:ascii="Times New Roman" w:eastAsia="Times New Roman" w:hAnsi="Times New Roman" w:cs="Times New Roman"/>
                <w:b/>
                <w:sz w:val="24"/>
                <w:szCs w:val="24"/>
                <w:lang w:eastAsia="bg-BG"/>
              </w:rPr>
              <w:t xml:space="preserve">АДАПТИРАНЕ НА ПОЛИТИКИТЕ ЗА СОЦИАЛНО ОСИГУРЯВАНЕ, СОЦИАЛНО ПОДПОМАГАНЕ И ЗДРАВЕОПАЗВАНЕ КЪМ СТАРЕЕНЕТО НА НАСЕЛЕНИЕТО. ГАРАНТИРАНЕ НА УСТОЙЧИВОСТ НА ПУБЛИЧНИТЕ ФИНАНСИ </w:t>
            </w:r>
          </w:p>
        </w:tc>
      </w:tr>
      <w:tr w:rsidR="00186559" w:rsidRPr="00AA5833" w14:paraId="5358B405" w14:textId="77777777" w:rsidTr="00577DCB">
        <w:tblPrEx>
          <w:tblLook w:val="01E0" w:firstRow="1" w:lastRow="1" w:firstColumn="1" w:lastColumn="1" w:noHBand="0" w:noVBand="0"/>
        </w:tblPrEx>
        <w:trPr>
          <w:trHeight w:val="759"/>
        </w:trPr>
        <w:tc>
          <w:tcPr>
            <w:tcW w:w="2263" w:type="dxa"/>
          </w:tcPr>
          <w:p w14:paraId="70D6B930"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Индикатори</w:t>
            </w:r>
          </w:p>
        </w:tc>
        <w:tc>
          <w:tcPr>
            <w:tcW w:w="1418" w:type="dxa"/>
          </w:tcPr>
          <w:p w14:paraId="788B4EB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13587C8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2009 г.</w:t>
            </w:r>
          </w:p>
        </w:tc>
        <w:tc>
          <w:tcPr>
            <w:tcW w:w="1417" w:type="dxa"/>
          </w:tcPr>
          <w:p w14:paraId="44AD4498"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462D4BFE"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2023 г.</w:t>
            </w:r>
          </w:p>
        </w:tc>
        <w:tc>
          <w:tcPr>
            <w:tcW w:w="1276" w:type="dxa"/>
          </w:tcPr>
          <w:p w14:paraId="52C921C5"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Състояние</w:t>
            </w:r>
          </w:p>
          <w:p w14:paraId="09215BE2"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2024 г.</w:t>
            </w:r>
          </w:p>
        </w:tc>
        <w:tc>
          <w:tcPr>
            <w:tcW w:w="1843" w:type="dxa"/>
          </w:tcPr>
          <w:p w14:paraId="5FCEB45B"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Бележки</w:t>
            </w:r>
          </w:p>
        </w:tc>
        <w:tc>
          <w:tcPr>
            <w:tcW w:w="709" w:type="dxa"/>
          </w:tcPr>
          <w:p w14:paraId="17E9FD4C"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Цел</w:t>
            </w:r>
          </w:p>
          <w:p w14:paraId="06A71837" w14:textId="77777777" w:rsidR="00186559" w:rsidRPr="00AA5833" w:rsidRDefault="00186559" w:rsidP="002E676E">
            <w:pPr>
              <w:spacing w:after="0" w:line="240" w:lineRule="auto"/>
              <w:jc w:val="center"/>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b/>
                <w:sz w:val="24"/>
                <w:szCs w:val="24"/>
                <w:lang w:eastAsia="bg-BG"/>
              </w:rPr>
              <w:t>2030 г.</w:t>
            </w:r>
          </w:p>
        </w:tc>
      </w:tr>
      <w:tr w:rsidR="00186559" w:rsidRPr="00AA5833" w14:paraId="340E121B" w14:textId="77777777" w:rsidTr="00577DCB">
        <w:tc>
          <w:tcPr>
            <w:tcW w:w="2263" w:type="dxa"/>
            <w:tcBorders>
              <w:top w:val="single" w:sz="4" w:space="0" w:color="auto"/>
              <w:left w:val="single" w:sz="4" w:space="0" w:color="auto"/>
              <w:bottom w:val="single" w:sz="4" w:space="0" w:color="auto"/>
              <w:right w:val="single" w:sz="4" w:space="0" w:color="auto"/>
            </w:tcBorders>
          </w:tcPr>
          <w:p w14:paraId="0CFF0CF2"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БВП</w:t>
            </w:r>
          </w:p>
        </w:tc>
        <w:tc>
          <w:tcPr>
            <w:tcW w:w="1418" w:type="dxa"/>
            <w:tcBorders>
              <w:top w:val="single" w:sz="4" w:space="0" w:color="auto"/>
              <w:left w:val="single" w:sz="4" w:space="0" w:color="auto"/>
              <w:bottom w:val="single" w:sz="4" w:space="0" w:color="auto"/>
              <w:right w:val="single" w:sz="4" w:space="0" w:color="auto"/>
            </w:tcBorders>
          </w:tcPr>
          <w:p w14:paraId="2FA04D52"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73.2 </w:t>
            </w:r>
          </w:p>
          <w:p w14:paraId="33C31F7A"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млрд. BGN</w:t>
            </w:r>
          </w:p>
          <w:p w14:paraId="5F9B593E"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tc>
        <w:tc>
          <w:tcPr>
            <w:tcW w:w="1417" w:type="dxa"/>
            <w:tcBorders>
              <w:top w:val="single" w:sz="4" w:space="0" w:color="auto"/>
              <w:left w:val="single" w:sz="4" w:space="0" w:color="auto"/>
              <w:bottom w:val="single" w:sz="4" w:space="0" w:color="auto"/>
              <w:right w:val="single" w:sz="4" w:space="0" w:color="auto"/>
            </w:tcBorders>
          </w:tcPr>
          <w:p w14:paraId="65BB9C21"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183.7 млрд.BGN</w:t>
            </w:r>
          </w:p>
          <w:p w14:paraId="69617A73"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p w14:paraId="5BA36D29"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279FA081" w14:textId="77777777" w:rsidR="00186559" w:rsidRPr="00AA5833" w:rsidRDefault="00186559" w:rsidP="00EF4DA0">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202.9</w:t>
            </w:r>
            <w:r w:rsidR="009D23CF" w:rsidRPr="00AA5833">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млрд.BGN</w:t>
            </w:r>
          </w:p>
        </w:tc>
        <w:tc>
          <w:tcPr>
            <w:tcW w:w="1843" w:type="dxa"/>
            <w:tcBorders>
              <w:top w:val="single" w:sz="4" w:space="0" w:color="auto"/>
              <w:left w:val="single" w:sz="4" w:space="0" w:color="auto"/>
              <w:bottom w:val="single" w:sz="4" w:space="0" w:color="auto"/>
              <w:right w:val="single" w:sz="4" w:space="0" w:color="auto"/>
            </w:tcBorders>
          </w:tcPr>
          <w:p w14:paraId="31DD29D7" w14:textId="77777777" w:rsidR="00186559" w:rsidRPr="00AA5833" w:rsidRDefault="00186559" w:rsidP="00577DCB">
            <w:pPr>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2024 г. –предварителни данни</w:t>
            </w:r>
          </w:p>
          <w:p w14:paraId="0C9AE0B2"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2CAAB9F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2CAE415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r>
      <w:tr w:rsidR="00186559" w:rsidRPr="00AA5833" w14:paraId="43B80746" w14:textId="77777777" w:rsidTr="00577DCB">
        <w:trPr>
          <w:trHeight w:val="634"/>
        </w:trPr>
        <w:tc>
          <w:tcPr>
            <w:tcW w:w="2263" w:type="dxa"/>
            <w:tcBorders>
              <w:top w:val="single" w:sz="4" w:space="0" w:color="auto"/>
              <w:left w:val="single" w:sz="4" w:space="0" w:color="auto"/>
              <w:bottom w:val="single" w:sz="4" w:space="0" w:color="auto"/>
              <w:right w:val="single" w:sz="4" w:space="0" w:color="auto"/>
            </w:tcBorders>
          </w:tcPr>
          <w:p w14:paraId="1AD96BA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БВП на човек от населението в СПС спрямо средното ниво за ЕС, в %</w:t>
            </w:r>
          </w:p>
        </w:tc>
        <w:tc>
          <w:tcPr>
            <w:tcW w:w="1418" w:type="dxa"/>
            <w:tcBorders>
              <w:top w:val="single" w:sz="4" w:space="0" w:color="auto"/>
              <w:left w:val="single" w:sz="4" w:space="0" w:color="auto"/>
              <w:bottom w:val="single" w:sz="4" w:space="0" w:color="auto"/>
              <w:right w:val="single" w:sz="4" w:space="0" w:color="auto"/>
            </w:tcBorders>
          </w:tcPr>
          <w:p w14:paraId="2204ABD5"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44</w:t>
            </w:r>
          </w:p>
        </w:tc>
        <w:tc>
          <w:tcPr>
            <w:tcW w:w="1417" w:type="dxa"/>
            <w:tcBorders>
              <w:top w:val="single" w:sz="4" w:space="0" w:color="auto"/>
              <w:left w:val="single" w:sz="4" w:space="0" w:color="auto"/>
              <w:bottom w:val="single" w:sz="4" w:space="0" w:color="auto"/>
              <w:right w:val="single" w:sz="4" w:space="0" w:color="auto"/>
            </w:tcBorders>
          </w:tcPr>
          <w:p w14:paraId="2840D802"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64</w:t>
            </w:r>
          </w:p>
        </w:tc>
        <w:tc>
          <w:tcPr>
            <w:tcW w:w="1276" w:type="dxa"/>
            <w:tcBorders>
              <w:top w:val="single" w:sz="4" w:space="0" w:color="auto"/>
              <w:left w:val="single" w:sz="4" w:space="0" w:color="auto"/>
              <w:bottom w:val="single" w:sz="4" w:space="0" w:color="auto"/>
              <w:right w:val="single" w:sz="4" w:space="0" w:color="auto"/>
            </w:tcBorders>
          </w:tcPr>
          <w:p w14:paraId="5AAB7F18"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66</w:t>
            </w:r>
          </w:p>
        </w:tc>
        <w:tc>
          <w:tcPr>
            <w:tcW w:w="1843" w:type="dxa"/>
            <w:tcBorders>
              <w:top w:val="single" w:sz="4" w:space="0" w:color="auto"/>
              <w:left w:val="single" w:sz="4" w:space="0" w:color="auto"/>
              <w:bottom w:val="single" w:sz="4" w:space="0" w:color="auto"/>
              <w:right w:val="single" w:sz="4" w:space="0" w:color="auto"/>
            </w:tcBorders>
          </w:tcPr>
          <w:p w14:paraId="0037A8AB"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За 2024 г. –предварителни данни</w:t>
            </w:r>
          </w:p>
        </w:tc>
        <w:tc>
          <w:tcPr>
            <w:tcW w:w="709" w:type="dxa"/>
            <w:tcBorders>
              <w:top w:val="single" w:sz="4" w:space="0" w:color="auto"/>
              <w:left w:val="single" w:sz="4" w:space="0" w:color="auto"/>
              <w:bottom w:val="single" w:sz="4" w:space="0" w:color="auto"/>
              <w:right w:val="single" w:sz="4" w:space="0" w:color="auto"/>
            </w:tcBorders>
          </w:tcPr>
          <w:p w14:paraId="724E5FA4"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70</w:t>
            </w:r>
          </w:p>
        </w:tc>
      </w:tr>
      <w:tr w:rsidR="00186559" w:rsidRPr="00AA5833" w14:paraId="40F50E89" w14:textId="77777777" w:rsidTr="00577DCB">
        <w:tc>
          <w:tcPr>
            <w:tcW w:w="2263" w:type="dxa"/>
            <w:tcBorders>
              <w:top w:val="single" w:sz="4" w:space="0" w:color="auto"/>
              <w:left w:val="single" w:sz="4" w:space="0" w:color="auto"/>
              <w:bottom w:val="single" w:sz="4" w:space="0" w:color="auto"/>
              <w:right w:val="single" w:sz="4" w:space="0" w:color="auto"/>
            </w:tcBorders>
          </w:tcPr>
          <w:p w14:paraId="05FBD17D"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Държавен  консолидиран брутен дълг, % от БВП</w:t>
            </w:r>
          </w:p>
        </w:tc>
        <w:tc>
          <w:tcPr>
            <w:tcW w:w="1418" w:type="dxa"/>
            <w:tcBorders>
              <w:top w:val="single" w:sz="4" w:space="0" w:color="auto"/>
              <w:left w:val="single" w:sz="4" w:space="0" w:color="auto"/>
              <w:bottom w:val="single" w:sz="4" w:space="0" w:color="auto"/>
              <w:right w:val="single" w:sz="4" w:space="0" w:color="auto"/>
            </w:tcBorders>
          </w:tcPr>
          <w:p w14:paraId="28A05FB6"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13.7</w:t>
            </w:r>
          </w:p>
        </w:tc>
        <w:tc>
          <w:tcPr>
            <w:tcW w:w="1417" w:type="dxa"/>
            <w:tcBorders>
              <w:top w:val="single" w:sz="4" w:space="0" w:color="auto"/>
              <w:left w:val="single" w:sz="4" w:space="0" w:color="auto"/>
              <w:bottom w:val="single" w:sz="4" w:space="0" w:color="auto"/>
              <w:right w:val="single" w:sz="4" w:space="0" w:color="auto"/>
            </w:tcBorders>
          </w:tcPr>
          <w:p w14:paraId="2B847E8B"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22.9</w:t>
            </w:r>
          </w:p>
        </w:tc>
        <w:tc>
          <w:tcPr>
            <w:tcW w:w="1276" w:type="dxa"/>
            <w:tcBorders>
              <w:top w:val="single" w:sz="4" w:space="0" w:color="auto"/>
              <w:left w:val="single" w:sz="4" w:space="0" w:color="auto"/>
              <w:bottom w:val="single" w:sz="4" w:space="0" w:color="auto"/>
              <w:right w:val="single" w:sz="4" w:space="0" w:color="auto"/>
            </w:tcBorders>
          </w:tcPr>
          <w:p w14:paraId="14F76188"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24.1*</w:t>
            </w:r>
          </w:p>
        </w:tc>
        <w:tc>
          <w:tcPr>
            <w:tcW w:w="1843" w:type="dxa"/>
            <w:tcBorders>
              <w:top w:val="single" w:sz="4" w:space="0" w:color="auto"/>
              <w:left w:val="single" w:sz="4" w:space="0" w:color="auto"/>
              <w:bottom w:val="single" w:sz="4" w:space="0" w:color="auto"/>
              <w:right w:val="single" w:sz="4" w:space="0" w:color="auto"/>
            </w:tcBorders>
          </w:tcPr>
          <w:p w14:paraId="7165595F"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Предварителни данни за 2024 г. и окончателни за 2023 г.</w:t>
            </w:r>
          </w:p>
        </w:tc>
        <w:tc>
          <w:tcPr>
            <w:tcW w:w="709" w:type="dxa"/>
            <w:tcBorders>
              <w:top w:val="single" w:sz="4" w:space="0" w:color="auto"/>
              <w:left w:val="single" w:sz="4" w:space="0" w:color="auto"/>
              <w:bottom w:val="single" w:sz="4" w:space="0" w:color="auto"/>
              <w:right w:val="single" w:sz="4" w:space="0" w:color="auto"/>
            </w:tcBorders>
          </w:tcPr>
          <w:p w14:paraId="58228FD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14</w:t>
            </w:r>
          </w:p>
        </w:tc>
      </w:tr>
      <w:tr w:rsidR="00186559" w:rsidRPr="00AA5833" w14:paraId="0D66B97E" w14:textId="77777777" w:rsidTr="00577DCB">
        <w:tc>
          <w:tcPr>
            <w:tcW w:w="2263" w:type="dxa"/>
            <w:tcBorders>
              <w:top w:val="single" w:sz="4" w:space="0" w:color="auto"/>
              <w:left w:val="single" w:sz="4" w:space="0" w:color="auto"/>
              <w:bottom w:val="single" w:sz="4" w:space="0" w:color="auto"/>
              <w:right w:val="single" w:sz="4" w:space="0" w:color="auto"/>
            </w:tcBorders>
          </w:tcPr>
          <w:p w14:paraId="143B7909"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Държавен първичен баланс, % от БВП</w:t>
            </w:r>
          </w:p>
        </w:tc>
        <w:tc>
          <w:tcPr>
            <w:tcW w:w="1418" w:type="dxa"/>
            <w:tcBorders>
              <w:top w:val="single" w:sz="4" w:space="0" w:color="auto"/>
              <w:left w:val="single" w:sz="4" w:space="0" w:color="auto"/>
              <w:bottom w:val="single" w:sz="4" w:space="0" w:color="auto"/>
              <w:right w:val="single" w:sz="4" w:space="0" w:color="auto"/>
            </w:tcBorders>
          </w:tcPr>
          <w:p w14:paraId="489F0AE3"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4.4</w:t>
            </w:r>
          </w:p>
        </w:tc>
        <w:tc>
          <w:tcPr>
            <w:tcW w:w="1417" w:type="dxa"/>
            <w:tcBorders>
              <w:top w:val="single" w:sz="4" w:space="0" w:color="auto"/>
              <w:left w:val="single" w:sz="4" w:space="0" w:color="auto"/>
              <w:bottom w:val="single" w:sz="4" w:space="0" w:color="auto"/>
              <w:right w:val="single" w:sz="4" w:space="0" w:color="auto"/>
            </w:tcBorders>
          </w:tcPr>
          <w:p w14:paraId="18717E49"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55066580"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7170B511"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0BDF37A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- 3</w:t>
            </w:r>
          </w:p>
        </w:tc>
      </w:tr>
      <w:tr w:rsidR="00186559" w:rsidRPr="00AA5833" w14:paraId="2650A1FC" w14:textId="77777777" w:rsidTr="00577DCB">
        <w:tc>
          <w:tcPr>
            <w:tcW w:w="2263" w:type="dxa"/>
            <w:tcBorders>
              <w:top w:val="single" w:sz="4" w:space="0" w:color="auto"/>
              <w:left w:val="single" w:sz="4" w:space="0" w:color="auto"/>
              <w:bottom w:val="single" w:sz="4" w:space="0" w:color="auto"/>
              <w:right w:val="single" w:sz="4" w:space="0" w:color="auto"/>
            </w:tcBorders>
          </w:tcPr>
          <w:p w14:paraId="38E6D69D"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Общи бюджетни приходи, % от БВП </w:t>
            </w:r>
          </w:p>
        </w:tc>
        <w:tc>
          <w:tcPr>
            <w:tcW w:w="1418" w:type="dxa"/>
            <w:tcBorders>
              <w:top w:val="single" w:sz="4" w:space="0" w:color="auto"/>
              <w:left w:val="single" w:sz="4" w:space="0" w:color="auto"/>
              <w:bottom w:val="single" w:sz="4" w:space="0" w:color="auto"/>
              <w:right w:val="single" w:sz="4" w:space="0" w:color="auto"/>
            </w:tcBorders>
          </w:tcPr>
          <w:p w14:paraId="0AC41596"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35.9</w:t>
            </w:r>
          </w:p>
        </w:tc>
        <w:tc>
          <w:tcPr>
            <w:tcW w:w="1417" w:type="dxa"/>
            <w:tcBorders>
              <w:top w:val="single" w:sz="4" w:space="0" w:color="auto"/>
              <w:left w:val="single" w:sz="4" w:space="0" w:color="auto"/>
              <w:bottom w:val="single" w:sz="4" w:space="0" w:color="auto"/>
              <w:right w:val="single" w:sz="4" w:space="0" w:color="auto"/>
            </w:tcBorders>
          </w:tcPr>
          <w:p w14:paraId="1F7CD916"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37.9*</w:t>
            </w:r>
          </w:p>
        </w:tc>
        <w:tc>
          <w:tcPr>
            <w:tcW w:w="1276" w:type="dxa"/>
            <w:tcBorders>
              <w:top w:val="single" w:sz="4" w:space="0" w:color="auto"/>
              <w:left w:val="single" w:sz="4" w:space="0" w:color="auto"/>
              <w:bottom w:val="single" w:sz="4" w:space="0" w:color="auto"/>
              <w:right w:val="single" w:sz="4" w:space="0" w:color="auto"/>
            </w:tcBorders>
          </w:tcPr>
          <w:p w14:paraId="13A0E04F" w14:textId="77777777" w:rsidR="00186559" w:rsidRPr="00AA5833" w:rsidRDefault="00186559" w:rsidP="00EF4DA0">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1DC9FCD6"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Данните за 2023 г. са предварителни</w:t>
            </w:r>
          </w:p>
        </w:tc>
        <w:tc>
          <w:tcPr>
            <w:tcW w:w="709" w:type="dxa"/>
            <w:tcBorders>
              <w:top w:val="single" w:sz="4" w:space="0" w:color="auto"/>
              <w:left w:val="single" w:sz="4" w:space="0" w:color="auto"/>
              <w:bottom w:val="single" w:sz="4" w:space="0" w:color="auto"/>
              <w:right w:val="single" w:sz="4" w:space="0" w:color="auto"/>
            </w:tcBorders>
          </w:tcPr>
          <w:p w14:paraId="68F551D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45</w:t>
            </w:r>
          </w:p>
        </w:tc>
      </w:tr>
      <w:tr w:rsidR="00186559" w:rsidRPr="00AA5833" w14:paraId="34394707" w14:textId="77777777" w:rsidTr="00577DCB">
        <w:tc>
          <w:tcPr>
            <w:tcW w:w="2263" w:type="dxa"/>
            <w:tcBorders>
              <w:top w:val="single" w:sz="4" w:space="0" w:color="auto"/>
              <w:left w:val="single" w:sz="4" w:space="0" w:color="auto"/>
              <w:bottom w:val="single" w:sz="4" w:space="0" w:color="auto"/>
              <w:right w:val="single" w:sz="4" w:space="0" w:color="auto"/>
            </w:tcBorders>
          </w:tcPr>
          <w:p w14:paraId="7E62F8F7"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Публични разходи за пенсии, % от БВП</w:t>
            </w:r>
          </w:p>
        </w:tc>
        <w:tc>
          <w:tcPr>
            <w:tcW w:w="1418" w:type="dxa"/>
            <w:tcBorders>
              <w:top w:val="single" w:sz="4" w:space="0" w:color="auto"/>
              <w:left w:val="single" w:sz="4" w:space="0" w:color="auto"/>
              <w:bottom w:val="single" w:sz="4" w:space="0" w:color="auto"/>
              <w:right w:val="single" w:sz="4" w:space="0" w:color="auto"/>
            </w:tcBorders>
          </w:tcPr>
          <w:p w14:paraId="35F6135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9.24</w:t>
            </w:r>
          </w:p>
        </w:tc>
        <w:tc>
          <w:tcPr>
            <w:tcW w:w="1417" w:type="dxa"/>
            <w:tcBorders>
              <w:top w:val="single" w:sz="4" w:space="0" w:color="auto"/>
              <w:left w:val="single" w:sz="4" w:space="0" w:color="auto"/>
              <w:bottom w:val="single" w:sz="4" w:space="0" w:color="auto"/>
              <w:right w:val="single" w:sz="4" w:space="0" w:color="auto"/>
            </w:tcBorders>
          </w:tcPr>
          <w:p w14:paraId="3C4FE05E"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10.3</w:t>
            </w:r>
          </w:p>
        </w:tc>
        <w:tc>
          <w:tcPr>
            <w:tcW w:w="1276" w:type="dxa"/>
            <w:tcBorders>
              <w:top w:val="single" w:sz="4" w:space="0" w:color="auto"/>
              <w:left w:val="single" w:sz="4" w:space="0" w:color="auto"/>
              <w:bottom w:val="single" w:sz="4" w:space="0" w:color="auto"/>
              <w:right w:val="single" w:sz="4" w:space="0" w:color="auto"/>
            </w:tcBorders>
          </w:tcPr>
          <w:p w14:paraId="5F5F5D1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688377F3"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Данните за 2024 г. ще бъдат изготвени и изпратени в Евростат до края на месец </w:t>
            </w:r>
            <w:r w:rsidRPr="00AA5833">
              <w:rPr>
                <w:rFonts w:ascii="Times New Roman" w:eastAsia="Times New Roman" w:hAnsi="Times New Roman" w:cs="Times New Roman"/>
                <w:sz w:val="24"/>
                <w:szCs w:val="24"/>
                <w:lang w:eastAsia="bg-BG"/>
              </w:rPr>
              <w:lastRenderedPageBreak/>
              <w:t>ноември 2025 г. В началото на 2026 г. ще бъдат валидирани и официално публикувани.</w:t>
            </w:r>
          </w:p>
        </w:tc>
        <w:tc>
          <w:tcPr>
            <w:tcW w:w="709" w:type="dxa"/>
            <w:tcBorders>
              <w:top w:val="single" w:sz="4" w:space="0" w:color="auto"/>
              <w:left w:val="single" w:sz="4" w:space="0" w:color="auto"/>
              <w:bottom w:val="single" w:sz="4" w:space="0" w:color="auto"/>
              <w:right w:val="single" w:sz="4" w:space="0" w:color="auto"/>
            </w:tcBorders>
          </w:tcPr>
          <w:p w14:paraId="169D866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lastRenderedPageBreak/>
              <w:t>4</w:t>
            </w:r>
          </w:p>
        </w:tc>
      </w:tr>
      <w:tr w:rsidR="00186559" w:rsidRPr="00AA5833" w14:paraId="18FA18C2" w14:textId="77777777" w:rsidTr="00577DCB">
        <w:tc>
          <w:tcPr>
            <w:tcW w:w="2263" w:type="dxa"/>
            <w:tcBorders>
              <w:top w:val="single" w:sz="4" w:space="0" w:color="auto"/>
              <w:left w:val="single" w:sz="4" w:space="0" w:color="auto"/>
              <w:bottom w:val="single" w:sz="4" w:space="0" w:color="auto"/>
              <w:right w:val="single" w:sz="4" w:space="0" w:color="auto"/>
            </w:tcBorders>
          </w:tcPr>
          <w:p w14:paraId="1466A0D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Публични разходи за здравни и болнични грижи, % от БВП</w:t>
            </w:r>
          </w:p>
        </w:tc>
        <w:tc>
          <w:tcPr>
            <w:tcW w:w="1418" w:type="dxa"/>
            <w:tcBorders>
              <w:top w:val="single" w:sz="4" w:space="0" w:color="auto"/>
              <w:left w:val="single" w:sz="4" w:space="0" w:color="auto"/>
              <w:bottom w:val="single" w:sz="4" w:space="0" w:color="auto"/>
              <w:right w:val="single" w:sz="4" w:space="0" w:color="auto"/>
            </w:tcBorders>
          </w:tcPr>
          <w:p w14:paraId="40348AD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3.96</w:t>
            </w:r>
          </w:p>
        </w:tc>
        <w:tc>
          <w:tcPr>
            <w:tcW w:w="1417" w:type="dxa"/>
            <w:tcBorders>
              <w:top w:val="single" w:sz="4" w:space="0" w:color="auto"/>
              <w:left w:val="single" w:sz="4" w:space="0" w:color="auto"/>
              <w:bottom w:val="single" w:sz="4" w:space="0" w:color="auto"/>
              <w:right w:val="single" w:sz="4" w:space="0" w:color="auto"/>
            </w:tcBorders>
          </w:tcPr>
          <w:p w14:paraId="3ABFC2F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5.5</w:t>
            </w:r>
          </w:p>
        </w:tc>
        <w:tc>
          <w:tcPr>
            <w:tcW w:w="1276" w:type="dxa"/>
            <w:tcBorders>
              <w:top w:val="single" w:sz="4" w:space="0" w:color="auto"/>
              <w:left w:val="single" w:sz="4" w:space="0" w:color="auto"/>
              <w:bottom w:val="single" w:sz="4" w:space="0" w:color="auto"/>
              <w:right w:val="single" w:sz="4" w:space="0" w:color="auto"/>
            </w:tcBorders>
          </w:tcPr>
          <w:p w14:paraId="69A805B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6DEFA128"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Данните за 2024 г. ще бъдат изготвени и изпратени в Евростат до края на месец ноември 2025 г. В началото на 2026 г. ще бъдат валидирани и официално публикувани.</w:t>
            </w:r>
          </w:p>
        </w:tc>
        <w:tc>
          <w:tcPr>
            <w:tcW w:w="709" w:type="dxa"/>
            <w:tcBorders>
              <w:top w:val="single" w:sz="4" w:space="0" w:color="auto"/>
              <w:left w:val="single" w:sz="4" w:space="0" w:color="auto"/>
              <w:bottom w:val="single" w:sz="4" w:space="0" w:color="auto"/>
              <w:right w:val="single" w:sz="4" w:space="0" w:color="auto"/>
            </w:tcBorders>
          </w:tcPr>
          <w:p w14:paraId="1D06626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5</w:t>
            </w:r>
          </w:p>
        </w:tc>
      </w:tr>
      <w:tr w:rsidR="00186559" w:rsidRPr="00AA5833" w14:paraId="10497AEB" w14:textId="77777777" w:rsidTr="00577DCB">
        <w:tc>
          <w:tcPr>
            <w:tcW w:w="2263" w:type="dxa"/>
            <w:tcBorders>
              <w:top w:val="single" w:sz="4" w:space="0" w:color="auto"/>
              <w:left w:val="single" w:sz="4" w:space="0" w:color="auto"/>
              <w:bottom w:val="single" w:sz="4" w:space="0" w:color="auto"/>
              <w:right w:val="single" w:sz="4" w:space="0" w:color="auto"/>
            </w:tcBorders>
          </w:tcPr>
          <w:p w14:paraId="4D94904F"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Публични  разходи за семействата и децата, % от БВП </w:t>
            </w:r>
          </w:p>
        </w:tc>
        <w:tc>
          <w:tcPr>
            <w:tcW w:w="1418" w:type="dxa"/>
            <w:tcBorders>
              <w:top w:val="single" w:sz="4" w:space="0" w:color="auto"/>
              <w:left w:val="single" w:sz="4" w:space="0" w:color="auto"/>
              <w:bottom w:val="single" w:sz="4" w:space="0" w:color="auto"/>
              <w:right w:val="single" w:sz="4" w:space="0" w:color="auto"/>
            </w:tcBorders>
          </w:tcPr>
          <w:p w14:paraId="57710BA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2.01</w:t>
            </w:r>
          </w:p>
        </w:tc>
        <w:tc>
          <w:tcPr>
            <w:tcW w:w="1417" w:type="dxa"/>
            <w:tcBorders>
              <w:top w:val="single" w:sz="4" w:space="0" w:color="auto"/>
              <w:left w:val="single" w:sz="4" w:space="0" w:color="auto"/>
              <w:bottom w:val="single" w:sz="4" w:space="0" w:color="auto"/>
              <w:right w:val="single" w:sz="4" w:space="0" w:color="auto"/>
            </w:tcBorders>
          </w:tcPr>
          <w:p w14:paraId="26D7ECA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1.9</w:t>
            </w:r>
          </w:p>
        </w:tc>
        <w:tc>
          <w:tcPr>
            <w:tcW w:w="1276" w:type="dxa"/>
            <w:tcBorders>
              <w:top w:val="single" w:sz="4" w:space="0" w:color="auto"/>
              <w:left w:val="single" w:sz="4" w:space="0" w:color="auto"/>
              <w:bottom w:val="single" w:sz="4" w:space="0" w:color="auto"/>
              <w:right w:val="single" w:sz="4" w:space="0" w:color="auto"/>
            </w:tcBorders>
          </w:tcPr>
          <w:p w14:paraId="449F130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25AA6C4F"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Данните за 2024 г. ще бъдат изготвени и изпратени в Евростат до края на месец ноември 2025 г. В началото на 2026 г. ще бъдат валидирани и официално публикувани.</w:t>
            </w:r>
          </w:p>
        </w:tc>
        <w:tc>
          <w:tcPr>
            <w:tcW w:w="709" w:type="dxa"/>
            <w:tcBorders>
              <w:top w:val="single" w:sz="4" w:space="0" w:color="auto"/>
              <w:left w:val="single" w:sz="4" w:space="0" w:color="auto"/>
              <w:bottom w:val="single" w:sz="4" w:space="0" w:color="auto"/>
              <w:right w:val="single" w:sz="4" w:space="0" w:color="auto"/>
            </w:tcBorders>
          </w:tcPr>
          <w:p w14:paraId="1609C7FA"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w:t>
            </w:r>
          </w:p>
        </w:tc>
      </w:tr>
      <w:tr w:rsidR="00186559" w:rsidRPr="00AA5833" w14:paraId="304AB972" w14:textId="77777777" w:rsidTr="00577DCB">
        <w:tc>
          <w:tcPr>
            <w:tcW w:w="2263" w:type="dxa"/>
            <w:tcBorders>
              <w:top w:val="single" w:sz="4" w:space="0" w:color="auto"/>
              <w:left w:val="single" w:sz="4" w:space="0" w:color="auto"/>
              <w:bottom w:val="single" w:sz="4" w:space="0" w:color="auto"/>
              <w:right w:val="single" w:sz="4" w:space="0" w:color="auto"/>
            </w:tcBorders>
          </w:tcPr>
          <w:p w14:paraId="6DFD4C94"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Публични  разходи за социално подпомагане, % от БВП </w:t>
            </w:r>
          </w:p>
        </w:tc>
        <w:tc>
          <w:tcPr>
            <w:tcW w:w="1418" w:type="dxa"/>
            <w:tcBorders>
              <w:top w:val="single" w:sz="4" w:space="0" w:color="auto"/>
              <w:left w:val="single" w:sz="4" w:space="0" w:color="auto"/>
              <w:bottom w:val="single" w:sz="4" w:space="0" w:color="auto"/>
              <w:right w:val="single" w:sz="4" w:space="0" w:color="auto"/>
            </w:tcBorders>
          </w:tcPr>
          <w:p w14:paraId="296FC75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12.88</w:t>
            </w:r>
          </w:p>
        </w:tc>
        <w:tc>
          <w:tcPr>
            <w:tcW w:w="1417" w:type="dxa"/>
            <w:tcBorders>
              <w:top w:val="single" w:sz="4" w:space="0" w:color="auto"/>
              <w:left w:val="single" w:sz="4" w:space="0" w:color="auto"/>
              <w:bottom w:val="single" w:sz="4" w:space="0" w:color="auto"/>
              <w:right w:val="single" w:sz="4" w:space="0" w:color="auto"/>
            </w:tcBorders>
          </w:tcPr>
          <w:p w14:paraId="403F654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13.79</w:t>
            </w:r>
          </w:p>
        </w:tc>
        <w:tc>
          <w:tcPr>
            <w:tcW w:w="1276" w:type="dxa"/>
            <w:tcBorders>
              <w:top w:val="single" w:sz="4" w:space="0" w:color="auto"/>
              <w:left w:val="single" w:sz="4" w:space="0" w:color="auto"/>
              <w:bottom w:val="single" w:sz="4" w:space="0" w:color="auto"/>
              <w:right w:val="single" w:sz="4" w:space="0" w:color="auto"/>
            </w:tcBorders>
          </w:tcPr>
          <w:p w14:paraId="5B1DBE6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1F1EF659"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p w14:paraId="01DD884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2AC0E9E0"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Данните за 2024 г. ще бъдат изготвени и изпратени в Евростат до края на месец ноември 2025 г. В началото на 2026 г. ще бъдат валидирани и официално публикувани.</w:t>
            </w:r>
          </w:p>
        </w:tc>
        <w:tc>
          <w:tcPr>
            <w:tcW w:w="709" w:type="dxa"/>
            <w:tcBorders>
              <w:top w:val="single" w:sz="4" w:space="0" w:color="auto"/>
              <w:left w:val="single" w:sz="4" w:space="0" w:color="auto"/>
              <w:bottom w:val="single" w:sz="4" w:space="0" w:color="auto"/>
              <w:right w:val="single" w:sz="4" w:space="0" w:color="auto"/>
            </w:tcBorders>
          </w:tcPr>
          <w:p w14:paraId="45D8FC1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10</w:t>
            </w:r>
          </w:p>
        </w:tc>
      </w:tr>
      <w:tr w:rsidR="00186559" w:rsidRPr="00AA5833" w14:paraId="1F9F9011" w14:textId="77777777" w:rsidTr="00577DCB">
        <w:tc>
          <w:tcPr>
            <w:tcW w:w="2263" w:type="dxa"/>
            <w:tcBorders>
              <w:top w:val="single" w:sz="4" w:space="0" w:color="auto"/>
              <w:left w:val="single" w:sz="4" w:space="0" w:color="auto"/>
              <w:bottom w:val="single" w:sz="4" w:space="0" w:color="auto"/>
              <w:right w:val="single" w:sz="4" w:space="0" w:color="auto"/>
            </w:tcBorders>
          </w:tcPr>
          <w:p w14:paraId="3DB916C4" w14:textId="77777777" w:rsidR="00186559" w:rsidRPr="00AA5833" w:rsidRDefault="00186559" w:rsidP="002E676E">
            <w:pPr>
              <w:spacing w:after="0" w:line="240" w:lineRule="auto"/>
              <w:rPr>
                <w:rFonts w:ascii="Times New Roman" w:eastAsia="Times New Roman" w:hAnsi="Times New Roman" w:cs="Times New Roman"/>
                <w:b/>
                <w:sz w:val="24"/>
                <w:szCs w:val="24"/>
                <w:lang w:eastAsia="bg-BG"/>
              </w:rPr>
            </w:pPr>
            <w:r w:rsidRPr="00AA5833">
              <w:rPr>
                <w:rFonts w:ascii="Times New Roman" w:eastAsia="Times New Roman" w:hAnsi="Times New Roman" w:cs="Times New Roman"/>
                <w:sz w:val="24"/>
                <w:szCs w:val="24"/>
                <w:lang w:eastAsia="bg-BG"/>
              </w:rPr>
              <w:lastRenderedPageBreak/>
              <w:t>Разходи за социално подпомагане, паритет на покупателната способност/ inhab.</w:t>
            </w:r>
          </w:p>
        </w:tc>
        <w:tc>
          <w:tcPr>
            <w:tcW w:w="1418" w:type="dxa"/>
            <w:tcBorders>
              <w:top w:val="single" w:sz="4" w:space="0" w:color="auto"/>
              <w:left w:val="single" w:sz="4" w:space="0" w:color="auto"/>
              <w:bottom w:val="single" w:sz="4" w:space="0" w:color="auto"/>
              <w:right w:val="single" w:sz="4" w:space="0" w:color="auto"/>
            </w:tcBorders>
          </w:tcPr>
          <w:p w14:paraId="00AB3A91"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1 604.3</w:t>
            </w:r>
          </w:p>
        </w:tc>
        <w:tc>
          <w:tcPr>
            <w:tcW w:w="1417" w:type="dxa"/>
            <w:tcBorders>
              <w:top w:val="single" w:sz="4" w:space="0" w:color="auto"/>
              <w:left w:val="single" w:sz="4" w:space="0" w:color="auto"/>
              <w:bottom w:val="single" w:sz="4" w:space="0" w:color="auto"/>
              <w:right w:val="single" w:sz="4" w:space="0" w:color="auto"/>
            </w:tcBorders>
          </w:tcPr>
          <w:p w14:paraId="43F28C97"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276" w:type="dxa"/>
            <w:tcBorders>
              <w:top w:val="single" w:sz="4" w:space="0" w:color="auto"/>
              <w:left w:val="single" w:sz="4" w:space="0" w:color="auto"/>
              <w:bottom w:val="single" w:sz="4" w:space="0" w:color="auto"/>
              <w:right w:val="single" w:sz="4" w:space="0" w:color="auto"/>
            </w:tcBorders>
          </w:tcPr>
          <w:p w14:paraId="4B08545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1999ABD0"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3761023C"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r>
      <w:tr w:rsidR="00186559" w:rsidRPr="00AA5833" w14:paraId="742F3D64" w14:textId="77777777" w:rsidTr="00577DCB">
        <w:tc>
          <w:tcPr>
            <w:tcW w:w="2263" w:type="dxa"/>
            <w:tcBorders>
              <w:top w:val="single" w:sz="4" w:space="0" w:color="auto"/>
              <w:left w:val="single" w:sz="4" w:space="0" w:color="auto"/>
              <w:bottom w:val="single" w:sz="4" w:space="0" w:color="auto"/>
              <w:right w:val="single" w:sz="4" w:space="0" w:color="auto"/>
            </w:tcBorders>
          </w:tcPr>
          <w:p w14:paraId="47668E9A"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Процент о</w:t>
            </w:r>
            <w:r w:rsidR="008E6E2E">
              <w:rPr>
                <w:rFonts w:ascii="Times New Roman" w:eastAsia="Times New Roman" w:hAnsi="Times New Roman" w:cs="Times New Roman"/>
                <w:sz w:val="24"/>
                <w:szCs w:val="24"/>
                <w:lang w:eastAsia="bg-BG"/>
              </w:rPr>
              <w:t>т населението в риск от бедност</w:t>
            </w:r>
            <w:r w:rsidRPr="00AA5833">
              <w:rPr>
                <w:rFonts w:ascii="Times New Roman" w:eastAsia="Times New Roman" w:hAnsi="Times New Roman" w:cs="Times New Roman"/>
                <w:sz w:val="24"/>
                <w:szCs w:val="24"/>
                <w:lang w:eastAsia="bg-BG"/>
              </w:rPr>
              <w:t xml:space="preserve"> след социални трансфери</w:t>
            </w:r>
          </w:p>
        </w:tc>
        <w:tc>
          <w:tcPr>
            <w:tcW w:w="1418" w:type="dxa"/>
            <w:tcBorders>
              <w:top w:val="single" w:sz="4" w:space="0" w:color="auto"/>
              <w:left w:val="single" w:sz="4" w:space="0" w:color="auto"/>
              <w:bottom w:val="single" w:sz="4" w:space="0" w:color="auto"/>
              <w:right w:val="single" w:sz="4" w:space="0" w:color="auto"/>
            </w:tcBorders>
          </w:tcPr>
          <w:p w14:paraId="44798D27"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21.8 </w:t>
            </w:r>
          </w:p>
        </w:tc>
        <w:tc>
          <w:tcPr>
            <w:tcW w:w="1417" w:type="dxa"/>
            <w:tcBorders>
              <w:top w:val="single" w:sz="4" w:space="0" w:color="auto"/>
              <w:left w:val="single" w:sz="4" w:space="0" w:color="auto"/>
              <w:bottom w:val="single" w:sz="4" w:space="0" w:color="auto"/>
              <w:right w:val="single" w:sz="4" w:space="0" w:color="auto"/>
            </w:tcBorders>
          </w:tcPr>
          <w:p w14:paraId="0628D788"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20.6</w:t>
            </w:r>
          </w:p>
        </w:tc>
        <w:tc>
          <w:tcPr>
            <w:tcW w:w="1276" w:type="dxa"/>
            <w:tcBorders>
              <w:top w:val="single" w:sz="4" w:space="0" w:color="auto"/>
              <w:left w:val="single" w:sz="4" w:space="0" w:color="auto"/>
              <w:bottom w:val="single" w:sz="4" w:space="0" w:color="auto"/>
              <w:right w:val="single" w:sz="4" w:space="0" w:color="auto"/>
            </w:tcBorders>
          </w:tcPr>
          <w:p w14:paraId="67E11F05"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21.7</w:t>
            </w:r>
          </w:p>
        </w:tc>
        <w:tc>
          <w:tcPr>
            <w:tcW w:w="1843" w:type="dxa"/>
            <w:tcBorders>
              <w:top w:val="single" w:sz="4" w:space="0" w:color="auto"/>
              <w:left w:val="single" w:sz="4" w:space="0" w:color="auto"/>
              <w:bottom w:val="single" w:sz="4" w:space="0" w:color="auto"/>
              <w:right w:val="single" w:sz="4" w:space="0" w:color="auto"/>
            </w:tcBorders>
          </w:tcPr>
          <w:p w14:paraId="426FFFDF" w14:textId="77777777" w:rsidR="00186559" w:rsidRPr="00AA5833" w:rsidRDefault="00186559" w:rsidP="00577DCB">
            <w:pPr>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5DB7EDEB"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14</w:t>
            </w:r>
          </w:p>
        </w:tc>
      </w:tr>
      <w:tr w:rsidR="00186559" w:rsidRPr="00AA5833" w14:paraId="514EBFF6" w14:textId="77777777" w:rsidTr="00577DCB">
        <w:tc>
          <w:tcPr>
            <w:tcW w:w="2263" w:type="dxa"/>
            <w:tcBorders>
              <w:top w:val="single" w:sz="4" w:space="0" w:color="auto"/>
              <w:left w:val="single" w:sz="4" w:space="0" w:color="auto"/>
              <w:bottom w:val="single" w:sz="4" w:space="0" w:color="auto"/>
              <w:right w:val="single" w:sz="4" w:space="0" w:color="auto"/>
            </w:tcBorders>
          </w:tcPr>
          <w:p w14:paraId="53530A2E"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Неравенство в разпределението на доходите (S80/S20) </w:t>
            </w:r>
          </w:p>
        </w:tc>
        <w:tc>
          <w:tcPr>
            <w:tcW w:w="1418" w:type="dxa"/>
            <w:tcBorders>
              <w:top w:val="single" w:sz="4" w:space="0" w:color="auto"/>
              <w:left w:val="single" w:sz="4" w:space="0" w:color="auto"/>
              <w:bottom w:val="single" w:sz="4" w:space="0" w:color="auto"/>
              <w:right w:val="single" w:sz="4" w:space="0" w:color="auto"/>
            </w:tcBorders>
          </w:tcPr>
          <w:p w14:paraId="33BA736F"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5.9 </w:t>
            </w:r>
          </w:p>
        </w:tc>
        <w:tc>
          <w:tcPr>
            <w:tcW w:w="1417" w:type="dxa"/>
            <w:tcBorders>
              <w:top w:val="single" w:sz="4" w:space="0" w:color="auto"/>
              <w:left w:val="single" w:sz="4" w:space="0" w:color="auto"/>
              <w:bottom w:val="single" w:sz="4" w:space="0" w:color="auto"/>
              <w:right w:val="single" w:sz="4" w:space="0" w:color="auto"/>
            </w:tcBorders>
          </w:tcPr>
          <w:p w14:paraId="12EB324F"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6.6</w:t>
            </w:r>
          </w:p>
        </w:tc>
        <w:tc>
          <w:tcPr>
            <w:tcW w:w="1276" w:type="dxa"/>
            <w:tcBorders>
              <w:top w:val="single" w:sz="4" w:space="0" w:color="auto"/>
              <w:left w:val="single" w:sz="4" w:space="0" w:color="auto"/>
              <w:bottom w:val="single" w:sz="4" w:space="0" w:color="auto"/>
              <w:right w:val="single" w:sz="4" w:space="0" w:color="auto"/>
            </w:tcBorders>
          </w:tcPr>
          <w:p w14:paraId="63F5B107"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7.0</w:t>
            </w:r>
          </w:p>
        </w:tc>
        <w:tc>
          <w:tcPr>
            <w:tcW w:w="1843" w:type="dxa"/>
            <w:tcBorders>
              <w:top w:val="single" w:sz="4" w:space="0" w:color="auto"/>
              <w:left w:val="single" w:sz="4" w:space="0" w:color="auto"/>
              <w:bottom w:val="single" w:sz="4" w:space="0" w:color="auto"/>
              <w:right w:val="single" w:sz="4" w:space="0" w:color="auto"/>
            </w:tcBorders>
          </w:tcPr>
          <w:p w14:paraId="63953973" w14:textId="77777777" w:rsidR="00186559" w:rsidRPr="00AA5833" w:rsidRDefault="00186559" w:rsidP="00577DCB">
            <w:pPr>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6EC9DDCC" w14:textId="77777777" w:rsidR="00186559" w:rsidRPr="00AA5833" w:rsidRDefault="00186559" w:rsidP="002E676E">
            <w:pPr>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3</w:t>
            </w:r>
          </w:p>
        </w:tc>
      </w:tr>
      <w:tr w:rsidR="00186559" w:rsidRPr="00AA5833" w14:paraId="43E5CE58" w14:textId="77777777" w:rsidTr="00577DCB">
        <w:tc>
          <w:tcPr>
            <w:tcW w:w="2263" w:type="dxa"/>
            <w:tcBorders>
              <w:top w:val="single" w:sz="4" w:space="0" w:color="auto"/>
              <w:left w:val="single" w:sz="4" w:space="0" w:color="auto"/>
              <w:bottom w:val="single" w:sz="4" w:space="0" w:color="auto"/>
              <w:right w:val="single" w:sz="4" w:space="0" w:color="auto"/>
            </w:tcBorders>
          </w:tcPr>
          <w:p w14:paraId="55272D16"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Лица (18-59 г.), живеещи в домакинства без заети лица</w:t>
            </w:r>
          </w:p>
        </w:tc>
        <w:tc>
          <w:tcPr>
            <w:tcW w:w="1418" w:type="dxa"/>
            <w:tcBorders>
              <w:top w:val="single" w:sz="4" w:space="0" w:color="auto"/>
              <w:left w:val="single" w:sz="4" w:space="0" w:color="auto"/>
              <w:bottom w:val="single" w:sz="4" w:space="0" w:color="auto"/>
              <w:right w:val="single" w:sz="4" w:space="0" w:color="auto"/>
            </w:tcBorders>
          </w:tcPr>
          <w:p w14:paraId="5AF9945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9.7 </w:t>
            </w:r>
          </w:p>
        </w:tc>
        <w:tc>
          <w:tcPr>
            <w:tcW w:w="1417" w:type="dxa"/>
            <w:tcBorders>
              <w:top w:val="single" w:sz="4" w:space="0" w:color="auto"/>
              <w:left w:val="single" w:sz="4" w:space="0" w:color="auto"/>
              <w:bottom w:val="single" w:sz="4" w:space="0" w:color="auto"/>
              <w:right w:val="single" w:sz="4" w:space="0" w:color="auto"/>
            </w:tcBorders>
          </w:tcPr>
          <w:p w14:paraId="33BC7DEF"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7.7</w:t>
            </w:r>
          </w:p>
        </w:tc>
        <w:tc>
          <w:tcPr>
            <w:tcW w:w="1276" w:type="dxa"/>
            <w:tcBorders>
              <w:top w:val="single" w:sz="4" w:space="0" w:color="auto"/>
              <w:left w:val="single" w:sz="4" w:space="0" w:color="auto"/>
              <w:bottom w:val="single" w:sz="4" w:space="0" w:color="auto"/>
              <w:right w:val="single" w:sz="4" w:space="0" w:color="auto"/>
            </w:tcBorders>
          </w:tcPr>
          <w:p w14:paraId="613819BB"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7.2</w:t>
            </w:r>
          </w:p>
        </w:tc>
        <w:tc>
          <w:tcPr>
            <w:tcW w:w="1843" w:type="dxa"/>
            <w:tcBorders>
              <w:top w:val="single" w:sz="4" w:space="0" w:color="auto"/>
              <w:left w:val="single" w:sz="4" w:space="0" w:color="auto"/>
              <w:bottom w:val="single" w:sz="4" w:space="0" w:color="auto"/>
              <w:right w:val="single" w:sz="4" w:space="0" w:color="auto"/>
            </w:tcBorders>
          </w:tcPr>
          <w:p w14:paraId="404007F4"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737E007E"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8</w:t>
            </w:r>
          </w:p>
        </w:tc>
      </w:tr>
      <w:tr w:rsidR="00186559" w:rsidRPr="00AA5833" w14:paraId="0FE3B32A" w14:textId="77777777" w:rsidTr="00577DCB">
        <w:tc>
          <w:tcPr>
            <w:tcW w:w="2263" w:type="dxa"/>
            <w:tcBorders>
              <w:top w:val="single" w:sz="4" w:space="0" w:color="auto"/>
              <w:left w:val="single" w:sz="4" w:space="0" w:color="auto"/>
              <w:bottom w:val="single" w:sz="4" w:space="0" w:color="auto"/>
              <w:right w:val="single" w:sz="4" w:space="0" w:color="auto"/>
            </w:tcBorders>
          </w:tcPr>
          <w:p w14:paraId="6229E773" w14:textId="77777777" w:rsidR="00186559" w:rsidRPr="00AA5833" w:rsidRDefault="00186559" w:rsidP="002E676E">
            <w:pPr>
              <w:spacing w:after="0" w:line="240" w:lineRule="auto"/>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Публични разходи за интегриране на неравнопоставени групи в обществото и на пазара на труда по признаците пол, възраст, увреждане, етническа принадлежност, вероизповедание, сексуална ориентация и др., % от БВП</w:t>
            </w:r>
            <w:r w:rsidRPr="00AA5833">
              <w:rPr>
                <w:rFonts w:ascii="Times New Roman" w:eastAsia="Times New Roman" w:hAnsi="Times New Roman" w:cs="Times New Roman"/>
                <w:sz w:val="24"/>
                <w:szCs w:val="24"/>
                <w:vertAlign w:val="superscript"/>
                <w:lang w:eastAsia="bg-BG"/>
              </w:rPr>
              <w:footnoteReference w:id="34"/>
            </w:r>
          </w:p>
        </w:tc>
        <w:tc>
          <w:tcPr>
            <w:tcW w:w="1418" w:type="dxa"/>
            <w:tcBorders>
              <w:top w:val="single" w:sz="4" w:space="0" w:color="auto"/>
              <w:left w:val="single" w:sz="4" w:space="0" w:color="auto"/>
              <w:bottom w:val="single" w:sz="4" w:space="0" w:color="auto"/>
              <w:right w:val="single" w:sz="4" w:space="0" w:color="auto"/>
            </w:tcBorders>
          </w:tcPr>
          <w:p w14:paraId="7CA10CAD"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417" w:type="dxa"/>
            <w:tcBorders>
              <w:top w:val="single" w:sz="4" w:space="0" w:color="auto"/>
              <w:left w:val="single" w:sz="4" w:space="0" w:color="auto"/>
              <w:bottom w:val="single" w:sz="4" w:space="0" w:color="auto"/>
              <w:right w:val="single" w:sz="4" w:space="0" w:color="auto"/>
            </w:tcBorders>
          </w:tcPr>
          <w:p w14:paraId="49704A40"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c>
          <w:tcPr>
            <w:tcW w:w="1276" w:type="dxa"/>
            <w:tcBorders>
              <w:top w:val="single" w:sz="4" w:space="0" w:color="auto"/>
              <w:left w:val="single" w:sz="4" w:space="0" w:color="auto"/>
              <w:bottom w:val="single" w:sz="4" w:space="0" w:color="auto"/>
              <w:right w:val="single" w:sz="4" w:space="0" w:color="auto"/>
            </w:tcBorders>
          </w:tcPr>
          <w:p w14:paraId="73DD4766"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p>
        </w:tc>
        <w:tc>
          <w:tcPr>
            <w:tcW w:w="1843" w:type="dxa"/>
            <w:tcBorders>
              <w:top w:val="single" w:sz="4" w:space="0" w:color="auto"/>
              <w:left w:val="single" w:sz="4" w:space="0" w:color="auto"/>
              <w:bottom w:val="single" w:sz="4" w:space="0" w:color="auto"/>
              <w:right w:val="single" w:sz="4" w:space="0" w:color="auto"/>
            </w:tcBorders>
          </w:tcPr>
          <w:p w14:paraId="0B08FF35" w14:textId="77777777" w:rsidR="00186559" w:rsidRPr="00AA5833" w:rsidRDefault="00186559" w:rsidP="00577DCB">
            <w:pPr>
              <w:spacing w:after="0" w:line="240" w:lineRule="auto"/>
              <w:rPr>
                <w:rFonts w:ascii="Times New Roman" w:eastAsia="Times New Roman" w:hAnsi="Times New Roman" w:cs="Times New Roman"/>
                <w:sz w:val="24"/>
                <w:szCs w:val="24"/>
                <w:lang w:eastAsia="bg-BG"/>
              </w:rPr>
            </w:pPr>
          </w:p>
        </w:tc>
        <w:tc>
          <w:tcPr>
            <w:tcW w:w="709" w:type="dxa"/>
            <w:tcBorders>
              <w:top w:val="single" w:sz="4" w:space="0" w:color="auto"/>
              <w:left w:val="single" w:sz="4" w:space="0" w:color="auto"/>
              <w:bottom w:val="single" w:sz="4" w:space="0" w:color="auto"/>
              <w:right w:val="single" w:sz="4" w:space="0" w:color="auto"/>
            </w:tcBorders>
          </w:tcPr>
          <w:p w14:paraId="73333E23" w14:textId="77777777" w:rsidR="00186559" w:rsidRPr="00AA5833" w:rsidRDefault="00186559" w:rsidP="002E676E">
            <w:pPr>
              <w:spacing w:after="0" w:line="240" w:lineRule="auto"/>
              <w:jc w:val="right"/>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w:t>
            </w:r>
          </w:p>
        </w:tc>
      </w:tr>
    </w:tbl>
    <w:p w14:paraId="2D5CFBD8" w14:textId="77777777" w:rsidR="00186559" w:rsidRPr="00AA5833" w:rsidRDefault="00186559" w:rsidP="00186559">
      <w:pPr>
        <w:spacing w:after="0" w:line="240" w:lineRule="auto"/>
        <w:rPr>
          <w:rFonts w:ascii="Times New Roman" w:eastAsia="Times New Roman" w:hAnsi="Times New Roman" w:cs="Times New Roman"/>
          <w:sz w:val="24"/>
          <w:szCs w:val="24"/>
          <w:lang w:eastAsia="bg-BG"/>
        </w:rPr>
      </w:pPr>
    </w:p>
    <w:p w14:paraId="6336600A" w14:textId="77777777" w:rsidR="00533926" w:rsidRPr="00AA5833" w:rsidRDefault="00533926" w:rsidP="00533926">
      <w:pPr>
        <w:spacing w:after="0" w:line="240" w:lineRule="auto"/>
        <w:jc w:val="both"/>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A67BA0" w:rsidRPr="00AA5833" w14:paraId="3C13DD82" w14:textId="77777777" w:rsidTr="00A67BA0">
        <w:trPr>
          <w:trHeight w:val="1091"/>
          <w:jc w:val="center"/>
        </w:trPr>
        <w:tc>
          <w:tcPr>
            <w:tcW w:w="9141" w:type="dxa"/>
            <w:shd w:val="clear" w:color="auto" w:fill="00FF99"/>
            <w:vAlign w:val="center"/>
          </w:tcPr>
          <w:p w14:paraId="380F3FEB" w14:textId="77777777" w:rsidR="00A67BA0" w:rsidRPr="00A67BA0" w:rsidRDefault="00A67BA0" w:rsidP="00A67BA0">
            <w:pPr>
              <w:spacing w:after="0" w:line="240" w:lineRule="auto"/>
              <w:jc w:val="both"/>
              <w:rPr>
                <w:rFonts w:ascii="Times New Roman" w:eastAsia="Times New Roman" w:hAnsi="Times New Roman" w:cs="Times New Roman"/>
                <w:b/>
                <w:sz w:val="24"/>
                <w:szCs w:val="24"/>
                <w:lang w:eastAsia="bg-BG"/>
              </w:rPr>
            </w:pPr>
            <w:r w:rsidRPr="00A67BA0">
              <w:rPr>
                <w:rFonts w:ascii="Times New Roman" w:eastAsia="Times New Roman" w:hAnsi="Times New Roman" w:cs="Times New Roman"/>
                <w:b/>
                <w:sz w:val="24"/>
                <w:szCs w:val="24"/>
                <w:lang w:eastAsia="bg-BG"/>
              </w:rPr>
              <w:t>Анализ на текущото състояние към 2024 г. на съставните показатели за балансирано демографско развитие на населението и повишаване на качеството на човешките ресурси в Република България</w:t>
            </w:r>
          </w:p>
        </w:tc>
      </w:tr>
    </w:tbl>
    <w:p w14:paraId="61259479" w14:textId="77777777" w:rsidR="00A67BA0" w:rsidRDefault="00A67BA0" w:rsidP="00186559">
      <w:pPr>
        <w:spacing w:after="0" w:line="240" w:lineRule="auto"/>
        <w:ind w:firstLine="708"/>
        <w:jc w:val="both"/>
        <w:rPr>
          <w:rFonts w:ascii="Times New Roman" w:eastAsia="Times New Roman" w:hAnsi="Times New Roman" w:cs="Times New Roman"/>
          <w:b/>
          <w:sz w:val="24"/>
          <w:szCs w:val="24"/>
          <w:lang w:eastAsia="bg-BG"/>
        </w:rPr>
      </w:pPr>
    </w:p>
    <w:p w14:paraId="79BDD466" w14:textId="77777777" w:rsidR="00186559" w:rsidRPr="00AA5833" w:rsidRDefault="00186559" w:rsidP="00186559">
      <w:pPr>
        <w:spacing w:after="0" w:line="240" w:lineRule="auto"/>
        <w:ind w:firstLine="708"/>
        <w:jc w:val="both"/>
        <w:rPr>
          <w:rFonts w:ascii="Times New Roman" w:hAnsi="Times New Roman" w:cs="Times New Roman"/>
          <w:color w:val="000000" w:themeColor="text1"/>
          <w:sz w:val="24"/>
          <w:szCs w:val="24"/>
        </w:rPr>
      </w:pPr>
      <w:r w:rsidRPr="00AA5833">
        <w:rPr>
          <w:rFonts w:ascii="Times New Roman" w:hAnsi="Times New Roman" w:cs="Times New Roman"/>
          <w:color w:val="000000" w:themeColor="text1"/>
          <w:sz w:val="24"/>
          <w:szCs w:val="24"/>
        </w:rPr>
        <w:t xml:space="preserve">Изпълнението на Актуализираната национална стратегия за демографско развитие на населението в Република България 2012 – 2030 г. се илюстрира чрез седем групи съставни показатели за балансирано демографско развитие на населението и повишаване на качеството на човешките ресурси в Република България. Те са неразделна част от стратегията и се отнасят до забавяне на темпа на намаляването на броя на населението; </w:t>
      </w:r>
      <w:r w:rsidRPr="00AA5833">
        <w:rPr>
          <w:rFonts w:ascii="Times New Roman" w:eastAsia="Times New Roman" w:hAnsi="Times New Roman" w:cs="Times New Roman"/>
          <w:sz w:val="24"/>
          <w:szCs w:val="24"/>
          <w:lang w:eastAsia="bg-BG"/>
        </w:rPr>
        <w:t xml:space="preserve">адаптирането на политиката за семействата и децата към остаряването на </w:t>
      </w:r>
      <w:r w:rsidRPr="00AA5833">
        <w:rPr>
          <w:rFonts w:ascii="Times New Roman" w:eastAsia="Times New Roman" w:hAnsi="Times New Roman" w:cs="Times New Roman"/>
          <w:sz w:val="24"/>
          <w:szCs w:val="24"/>
          <w:lang w:eastAsia="bg-BG"/>
        </w:rPr>
        <w:lastRenderedPageBreak/>
        <w:t xml:space="preserve">населението, състоянието на политиката за равнопоставеност между половете в семейството и съчетаването на семеен с трудов живот; </w:t>
      </w:r>
      <w:r w:rsidRPr="00AA5833">
        <w:rPr>
          <w:rFonts w:ascii="Times New Roman" w:eastAsia="Times New Roman" w:hAnsi="Times New Roman" w:cs="Times New Roman"/>
          <w:sz w:val="24"/>
          <w:szCs w:val="24"/>
        </w:rPr>
        <w:t xml:space="preserve">адаптирането </w:t>
      </w:r>
      <w:r w:rsidRPr="00AA5833">
        <w:rPr>
          <w:rFonts w:ascii="Times New Roman" w:eastAsia="Times New Roman" w:hAnsi="Times New Roman" w:cs="Times New Roman"/>
          <w:sz w:val="24"/>
          <w:szCs w:val="24"/>
          <w:lang w:eastAsia="bg-BG"/>
        </w:rPr>
        <w:t>на политиката на пазара на труда към стареенето на населението; адаптиране на образователната политика към стареенето на населението и нарастване на приноса на образователната система за повишаване на производителността и мобилността на населението на пазара на труда; миграцията и интеграцията; подобряването на здравния статус на населението и адаптиране на политиките за социално осигуряване, социално подпомагане и здравеопазване към стареенето на населението и гарантиране на устойчивост на публичните финанси.</w:t>
      </w:r>
    </w:p>
    <w:p w14:paraId="028A4338" w14:textId="77777777" w:rsidR="00186559" w:rsidRPr="00AA5833" w:rsidRDefault="00186559" w:rsidP="00186559">
      <w:pPr>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r w:rsidRPr="00AA5833">
        <w:rPr>
          <w:rFonts w:ascii="Times New Roman" w:hAnsi="Times New Roman" w:cs="Times New Roman"/>
          <w:color w:val="000000" w:themeColor="text1"/>
          <w:sz w:val="24"/>
          <w:szCs w:val="24"/>
        </w:rPr>
        <w:t>Съставен показател 1 за балансирано демографско развитие на населението и повишаване на качеството на човешките ресурси в Република България е с насоченост към забавяне на темпа на намаляването на броя на населението. Данните на НСИ за населението към 2024 г. показват, че населението на България продължава да намалява. Изпълнението на заложената стойност за броя на населението към 2030 г., а именно 7 млн. души,  на този етап изглежда нереалистична. В допълнение към това, текущата прогноза на Националния статистически институт за развитието на броя на населението на България до 2090 година показва, че към 2030 г. населението на България ще бъде около 6 млн. души или с около 1 млн. души по-малко от заложената стойност. Резултатите от преброяването на населението от 2021 г., осъществено от Националния статистически институт (НСИ) показват, че за 10-годишния период между последните</w:t>
      </w:r>
      <w:r w:rsidRPr="00AA5833">
        <w:rPr>
          <w:rFonts w:ascii="Times New Roman" w:eastAsia="Times New Roman" w:hAnsi="Times New Roman" w:cs="Calibri"/>
          <w:bCs/>
          <w:iCs/>
          <w:sz w:val="24"/>
          <w:szCs w:val="24"/>
        </w:rPr>
        <w:t xml:space="preserve"> две преброявания (2011 – 2021 г.) то е намаляло с 844 781 души, или с 11.5%, като освен негативната разлика между броя на родените деца и броя на умиранията, като важен фактор за това намаляване е идентифицирана външната миграция. </w:t>
      </w:r>
      <w:r w:rsidRPr="00AA5833">
        <w:rPr>
          <w:rFonts w:ascii="Times New Roman" w:hAnsi="Times New Roman" w:cs="Times New Roman"/>
          <w:bCs/>
          <w:color w:val="000000" w:themeColor="text1"/>
          <w:sz w:val="24"/>
          <w:szCs w:val="24"/>
        </w:rPr>
        <w:t xml:space="preserve">Тенденцията за намаляване на броя на населението продължава, като към 31 декември 2024 г. населението на България е </w:t>
      </w:r>
      <w:r w:rsidRPr="00AA5833">
        <w:rPr>
          <w:rFonts w:ascii="Times New Roman" w:eastAsia="Times New Roman" w:hAnsi="Times New Roman" w:cs="Times New Roman"/>
          <w:bCs/>
          <w:sz w:val="24"/>
          <w:szCs w:val="24"/>
        </w:rPr>
        <w:t>6 437 360 души</w:t>
      </w:r>
      <w:r w:rsidRPr="00AA5833">
        <w:rPr>
          <w:rFonts w:ascii="Times New Roman" w:hAnsi="Times New Roman" w:cs="Times New Roman"/>
          <w:bCs/>
          <w:color w:val="000000" w:themeColor="text1"/>
          <w:sz w:val="24"/>
          <w:szCs w:val="24"/>
        </w:rPr>
        <w:t xml:space="preserve">. </w:t>
      </w:r>
      <w:r w:rsidRPr="00AA5833">
        <w:rPr>
          <w:rFonts w:ascii="Times New Roman" w:eastAsia="Times New Roman" w:hAnsi="Times New Roman" w:cs="Times New Roman"/>
          <w:bCs/>
          <w:sz w:val="24"/>
          <w:szCs w:val="24"/>
        </w:rPr>
        <w:t xml:space="preserve">В </w:t>
      </w:r>
      <w:r w:rsidRPr="00AA5833">
        <w:rPr>
          <w:rFonts w:ascii="Times New Roman" w:hAnsi="Times New Roman" w:cs="Times New Roman"/>
          <w:bCs/>
          <w:color w:val="000000" w:themeColor="text1"/>
          <w:sz w:val="24"/>
          <w:szCs w:val="24"/>
        </w:rPr>
        <w:t xml:space="preserve">сравнение с 2023 г. населението на страната намалява с 8 121 души, или с 0.13%. Следва обаче да се отбележи, че намалението на населението </w:t>
      </w:r>
      <w:r w:rsidRPr="00AA5833">
        <w:rPr>
          <w:rFonts w:ascii="Times New Roman" w:hAnsi="Times New Roman" w:cs="Times New Roman"/>
          <w:b/>
          <w:bCs/>
          <w:color w:val="000000" w:themeColor="text1"/>
          <w:sz w:val="24"/>
          <w:szCs w:val="24"/>
        </w:rPr>
        <w:t>през 2024 г. в България се дължи на отрицателен естествен прираст</w:t>
      </w:r>
      <w:r w:rsidRPr="00AA5833">
        <w:rPr>
          <w:rFonts w:ascii="Times New Roman" w:hAnsi="Times New Roman" w:cs="Times New Roman"/>
          <w:bCs/>
          <w:color w:val="000000" w:themeColor="text1"/>
          <w:sz w:val="24"/>
          <w:szCs w:val="24"/>
        </w:rPr>
        <w:t xml:space="preserve">, а не на външна миграция – в резултат на </w:t>
      </w:r>
      <w:r w:rsidRPr="00AA5833">
        <w:rPr>
          <w:rFonts w:ascii="Times New Roman" w:hAnsi="Times New Roman" w:cs="Times New Roman"/>
          <w:b/>
          <w:bCs/>
          <w:color w:val="000000" w:themeColor="text1"/>
          <w:sz w:val="24"/>
          <w:szCs w:val="24"/>
        </w:rPr>
        <w:t>отрицателния естествен прираст</w:t>
      </w:r>
      <w:r w:rsidRPr="00AA5833">
        <w:rPr>
          <w:rFonts w:ascii="Times New Roman" w:hAnsi="Times New Roman" w:cs="Times New Roman"/>
          <w:bCs/>
          <w:color w:val="000000" w:themeColor="text1"/>
          <w:sz w:val="24"/>
          <w:szCs w:val="24"/>
        </w:rPr>
        <w:t xml:space="preserve"> населението на страната е намаляло с </w:t>
      </w:r>
      <w:r w:rsidRPr="00AA5833">
        <w:rPr>
          <w:rFonts w:ascii="Times New Roman" w:hAnsi="Times New Roman" w:cs="Times New Roman"/>
          <w:b/>
          <w:bCs/>
          <w:color w:val="000000" w:themeColor="text1"/>
          <w:sz w:val="24"/>
          <w:szCs w:val="24"/>
        </w:rPr>
        <w:t>47 308</w:t>
      </w:r>
      <w:r w:rsidRPr="00AA5833">
        <w:rPr>
          <w:rFonts w:ascii="Times New Roman" w:hAnsi="Times New Roman" w:cs="Times New Roman"/>
          <w:bCs/>
          <w:color w:val="000000" w:themeColor="text1"/>
          <w:sz w:val="24"/>
          <w:szCs w:val="24"/>
        </w:rPr>
        <w:t xml:space="preserve"> души. Механичният прираст (нетното салдо от външната миграция) за 2024 г. е положителен – плюс 39 187 души. През последните три години (2022 – 2024 г.) механичният прираст е положителен, както следва:</w:t>
      </w:r>
    </w:p>
    <w:p w14:paraId="0D41800E" w14:textId="77777777" w:rsidR="00186559" w:rsidRPr="00AA5833" w:rsidRDefault="00186559" w:rsidP="00186559">
      <w:pPr>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p>
    <w:tbl>
      <w:tblPr>
        <w:tblStyle w:val="TableGrid"/>
        <w:tblW w:w="0" w:type="auto"/>
        <w:jc w:val="center"/>
        <w:tblLook w:val="04A0" w:firstRow="1" w:lastRow="0" w:firstColumn="1" w:lastColumn="0" w:noHBand="0" w:noVBand="1"/>
      </w:tblPr>
      <w:tblGrid>
        <w:gridCol w:w="2830"/>
        <w:gridCol w:w="1985"/>
        <w:gridCol w:w="1981"/>
        <w:gridCol w:w="2266"/>
      </w:tblGrid>
      <w:tr w:rsidR="00186559" w:rsidRPr="00AA5833" w14:paraId="12CFE36E" w14:textId="77777777" w:rsidTr="002E676E">
        <w:trPr>
          <w:jc w:val="center"/>
        </w:trPr>
        <w:tc>
          <w:tcPr>
            <w:tcW w:w="2830" w:type="dxa"/>
            <w:vAlign w:val="center"/>
          </w:tcPr>
          <w:p w14:paraId="24DA6238" w14:textId="77777777" w:rsidR="00186559" w:rsidRPr="00AA5833" w:rsidRDefault="00186559" w:rsidP="002E676E">
            <w:pPr>
              <w:rPr>
                <w:sz w:val="24"/>
                <w:szCs w:val="24"/>
              </w:rPr>
            </w:pPr>
          </w:p>
        </w:tc>
        <w:tc>
          <w:tcPr>
            <w:tcW w:w="1985" w:type="dxa"/>
            <w:vAlign w:val="center"/>
          </w:tcPr>
          <w:p w14:paraId="68F6D39A" w14:textId="77777777" w:rsidR="00186559" w:rsidRPr="00AA5833" w:rsidRDefault="00186559" w:rsidP="002E676E">
            <w:pPr>
              <w:jc w:val="center"/>
              <w:rPr>
                <w:sz w:val="24"/>
                <w:szCs w:val="24"/>
              </w:rPr>
            </w:pPr>
            <w:r w:rsidRPr="00AA5833">
              <w:rPr>
                <w:sz w:val="24"/>
                <w:szCs w:val="24"/>
              </w:rPr>
              <w:t>2022 г.</w:t>
            </w:r>
          </w:p>
        </w:tc>
        <w:tc>
          <w:tcPr>
            <w:tcW w:w="1981" w:type="dxa"/>
            <w:vAlign w:val="center"/>
          </w:tcPr>
          <w:p w14:paraId="6020A0A9" w14:textId="77777777" w:rsidR="00186559" w:rsidRPr="00AA5833" w:rsidRDefault="00186559" w:rsidP="002E676E">
            <w:pPr>
              <w:jc w:val="center"/>
              <w:rPr>
                <w:sz w:val="24"/>
                <w:szCs w:val="24"/>
              </w:rPr>
            </w:pPr>
            <w:r w:rsidRPr="00AA5833">
              <w:rPr>
                <w:sz w:val="24"/>
                <w:szCs w:val="24"/>
              </w:rPr>
              <w:t>2023 г.</w:t>
            </w:r>
          </w:p>
        </w:tc>
        <w:tc>
          <w:tcPr>
            <w:tcW w:w="2266" w:type="dxa"/>
            <w:vAlign w:val="center"/>
          </w:tcPr>
          <w:p w14:paraId="5EC05027" w14:textId="77777777" w:rsidR="00186559" w:rsidRPr="00AA5833" w:rsidRDefault="00186559" w:rsidP="002E676E">
            <w:pPr>
              <w:jc w:val="center"/>
              <w:rPr>
                <w:sz w:val="24"/>
                <w:szCs w:val="24"/>
              </w:rPr>
            </w:pPr>
            <w:r w:rsidRPr="00AA5833">
              <w:rPr>
                <w:sz w:val="24"/>
                <w:szCs w:val="24"/>
              </w:rPr>
              <w:t>2024 г.</w:t>
            </w:r>
          </w:p>
        </w:tc>
      </w:tr>
      <w:tr w:rsidR="00186559" w:rsidRPr="00AA5833" w14:paraId="5B817239" w14:textId="77777777" w:rsidTr="002E676E">
        <w:trPr>
          <w:jc w:val="center"/>
        </w:trPr>
        <w:tc>
          <w:tcPr>
            <w:tcW w:w="2830" w:type="dxa"/>
            <w:vAlign w:val="center"/>
          </w:tcPr>
          <w:p w14:paraId="4C549EB8" w14:textId="77777777" w:rsidR="00186559" w:rsidRPr="00AA5833" w:rsidRDefault="00186559" w:rsidP="002E676E">
            <w:pPr>
              <w:rPr>
                <w:sz w:val="24"/>
                <w:szCs w:val="24"/>
              </w:rPr>
            </w:pPr>
            <w:r w:rsidRPr="00AA5833">
              <w:rPr>
                <w:sz w:val="24"/>
                <w:szCs w:val="24"/>
              </w:rPr>
              <w:t>Имигранти - брой завърнали се в страната (</w:t>
            </w:r>
            <w:r w:rsidRPr="00AA5833">
              <w:t>включва български граждани, завърнали се в страната, както и граждани на други държави, получили разрешение или статут за пребиваване в страната)</w:t>
            </w:r>
            <w:r w:rsidRPr="00AA5833">
              <w:rPr>
                <w:sz w:val="24"/>
                <w:szCs w:val="24"/>
              </w:rPr>
              <w:t xml:space="preserve"> </w:t>
            </w:r>
          </w:p>
        </w:tc>
        <w:tc>
          <w:tcPr>
            <w:tcW w:w="1985" w:type="dxa"/>
            <w:vAlign w:val="center"/>
          </w:tcPr>
          <w:p w14:paraId="6559D5AE" w14:textId="77777777" w:rsidR="00186559" w:rsidRPr="00AA5833" w:rsidRDefault="00186559" w:rsidP="002E676E">
            <w:pPr>
              <w:rPr>
                <w:sz w:val="24"/>
                <w:szCs w:val="24"/>
              </w:rPr>
            </w:pPr>
          </w:p>
          <w:p w14:paraId="42675013" w14:textId="77777777" w:rsidR="00186559" w:rsidRPr="00AA5833" w:rsidRDefault="00186559" w:rsidP="002E676E">
            <w:pPr>
              <w:rPr>
                <w:sz w:val="24"/>
                <w:szCs w:val="24"/>
              </w:rPr>
            </w:pPr>
            <w:r w:rsidRPr="00AA5833">
              <w:rPr>
                <w:sz w:val="24"/>
                <w:szCs w:val="24"/>
              </w:rPr>
              <w:t>40 619 (19 032 с българско гражданство)</w:t>
            </w:r>
          </w:p>
          <w:p w14:paraId="1077B6E8" w14:textId="77777777" w:rsidR="00186559" w:rsidRPr="00AA5833" w:rsidRDefault="00186559" w:rsidP="002E676E">
            <w:pPr>
              <w:rPr>
                <w:sz w:val="24"/>
                <w:szCs w:val="24"/>
              </w:rPr>
            </w:pPr>
          </w:p>
        </w:tc>
        <w:tc>
          <w:tcPr>
            <w:tcW w:w="1981" w:type="dxa"/>
            <w:vAlign w:val="center"/>
          </w:tcPr>
          <w:p w14:paraId="5BB09921" w14:textId="77777777" w:rsidR="00186559" w:rsidRPr="00AA5833" w:rsidRDefault="00186559" w:rsidP="002E676E">
            <w:pPr>
              <w:rPr>
                <w:sz w:val="24"/>
                <w:szCs w:val="24"/>
              </w:rPr>
            </w:pPr>
          </w:p>
          <w:p w14:paraId="20EF5F55" w14:textId="77777777" w:rsidR="00E649C4" w:rsidRDefault="00E649C4" w:rsidP="002E676E">
            <w:pPr>
              <w:rPr>
                <w:sz w:val="24"/>
                <w:szCs w:val="24"/>
              </w:rPr>
            </w:pPr>
          </w:p>
          <w:p w14:paraId="1A28F947" w14:textId="77777777" w:rsidR="00186559" w:rsidRPr="00AA5833" w:rsidRDefault="00186559" w:rsidP="002E676E">
            <w:pPr>
              <w:rPr>
                <w:sz w:val="24"/>
                <w:szCs w:val="24"/>
              </w:rPr>
            </w:pPr>
            <w:r w:rsidRPr="00AA5833">
              <w:rPr>
                <w:sz w:val="24"/>
                <w:szCs w:val="24"/>
              </w:rPr>
              <w:t>56 807 (17017 с българско гражданство)</w:t>
            </w:r>
          </w:p>
          <w:p w14:paraId="30EFD184" w14:textId="77777777" w:rsidR="00186559" w:rsidRPr="00AA5833" w:rsidRDefault="00186559" w:rsidP="002E676E">
            <w:pPr>
              <w:rPr>
                <w:sz w:val="24"/>
                <w:szCs w:val="24"/>
              </w:rPr>
            </w:pPr>
          </w:p>
          <w:p w14:paraId="7B457BAF" w14:textId="77777777" w:rsidR="00186559" w:rsidRPr="00AA5833" w:rsidRDefault="00186559" w:rsidP="002E676E">
            <w:pPr>
              <w:rPr>
                <w:sz w:val="24"/>
                <w:szCs w:val="24"/>
              </w:rPr>
            </w:pPr>
          </w:p>
        </w:tc>
        <w:tc>
          <w:tcPr>
            <w:tcW w:w="2266" w:type="dxa"/>
            <w:vAlign w:val="center"/>
          </w:tcPr>
          <w:p w14:paraId="33A6D466" w14:textId="77777777" w:rsidR="00186559" w:rsidRPr="00AA5833" w:rsidRDefault="00186559" w:rsidP="002E676E">
            <w:pPr>
              <w:rPr>
                <w:sz w:val="24"/>
                <w:szCs w:val="24"/>
              </w:rPr>
            </w:pPr>
          </w:p>
          <w:p w14:paraId="222F0F38" w14:textId="77777777" w:rsidR="00186559" w:rsidRPr="00AA5833" w:rsidRDefault="00186559" w:rsidP="002E676E">
            <w:pPr>
              <w:rPr>
                <w:sz w:val="24"/>
                <w:szCs w:val="24"/>
              </w:rPr>
            </w:pPr>
            <w:r w:rsidRPr="00AA5833">
              <w:rPr>
                <w:sz w:val="24"/>
                <w:szCs w:val="24"/>
              </w:rPr>
              <w:t>52 189 (18 205 с българско гражданство)</w:t>
            </w:r>
          </w:p>
          <w:p w14:paraId="026799BC" w14:textId="77777777" w:rsidR="00186559" w:rsidRPr="00AA5833" w:rsidRDefault="00186559" w:rsidP="002E676E">
            <w:pPr>
              <w:rPr>
                <w:sz w:val="24"/>
                <w:szCs w:val="24"/>
              </w:rPr>
            </w:pPr>
          </w:p>
        </w:tc>
      </w:tr>
      <w:tr w:rsidR="00186559" w:rsidRPr="00AA5833" w14:paraId="4225208A" w14:textId="77777777" w:rsidTr="002E676E">
        <w:trPr>
          <w:jc w:val="center"/>
        </w:trPr>
        <w:tc>
          <w:tcPr>
            <w:tcW w:w="2830" w:type="dxa"/>
            <w:vAlign w:val="center"/>
          </w:tcPr>
          <w:p w14:paraId="1007E601" w14:textId="77777777" w:rsidR="00186559" w:rsidRPr="00AA5833" w:rsidRDefault="00186559" w:rsidP="002E676E">
            <w:pPr>
              <w:rPr>
                <w:sz w:val="24"/>
                <w:szCs w:val="24"/>
              </w:rPr>
            </w:pPr>
            <w:r w:rsidRPr="00AA5833">
              <w:rPr>
                <w:sz w:val="24"/>
                <w:szCs w:val="24"/>
              </w:rPr>
              <w:t>Емигранти (брой напуснали страната)</w:t>
            </w:r>
          </w:p>
        </w:tc>
        <w:tc>
          <w:tcPr>
            <w:tcW w:w="1985" w:type="dxa"/>
            <w:vAlign w:val="center"/>
          </w:tcPr>
          <w:p w14:paraId="1A0F710F" w14:textId="77777777" w:rsidR="00186559" w:rsidRPr="00AA5833" w:rsidRDefault="00186559" w:rsidP="002E676E">
            <w:pPr>
              <w:rPr>
                <w:sz w:val="24"/>
                <w:szCs w:val="24"/>
              </w:rPr>
            </w:pPr>
            <w:r w:rsidRPr="00AA5833">
              <w:rPr>
                <w:sz w:val="24"/>
                <w:szCs w:val="24"/>
              </w:rPr>
              <w:t>13 157 (11 972 с българско гражданство)</w:t>
            </w:r>
          </w:p>
        </w:tc>
        <w:tc>
          <w:tcPr>
            <w:tcW w:w="1981" w:type="dxa"/>
            <w:vAlign w:val="center"/>
          </w:tcPr>
          <w:p w14:paraId="5D7104DE" w14:textId="77777777" w:rsidR="00186559" w:rsidRPr="00AA5833" w:rsidRDefault="00186559" w:rsidP="002E676E">
            <w:pPr>
              <w:rPr>
                <w:sz w:val="24"/>
                <w:szCs w:val="24"/>
              </w:rPr>
            </w:pPr>
            <w:r w:rsidRPr="00AA5833">
              <w:rPr>
                <w:sz w:val="24"/>
                <w:szCs w:val="24"/>
              </w:rPr>
              <w:t>15 277 (11 913 с българско гражданство)</w:t>
            </w:r>
          </w:p>
        </w:tc>
        <w:tc>
          <w:tcPr>
            <w:tcW w:w="2266" w:type="dxa"/>
            <w:vAlign w:val="center"/>
          </w:tcPr>
          <w:p w14:paraId="53D4B03C" w14:textId="77777777" w:rsidR="00186559" w:rsidRPr="00AA5833" w:rsidRDefault="00186559" w:rsidP="002E676E">
            <w:pPr>
              <w:rPr>
                <w:sz w:val="24"/>
                <w:szCs w:val="24"/>
              </w:rPr>
            </w:pPr>
          </w:p>
          <w:p w14:paraId="2179C3BE" w14:textId="77777777" w:rsidR="00186559" w:rsidRPr="00AA5833" w:rsidRDefault="00186559" w:rsidP="002E676E">
            <w:pPr>
              <w:rPr>
                <w:sz w:val="24"/>
                <w:szCs w:val="24"/>
              </w:rPr>
            </w:pPr>
            <w:r w:rsidRPr="00AA5833">
              <w:rPr>
                <w:sz w:val="24"/>
                <w:szCs w:val="24"/>
              </w:rPr>
              <w:t>13 002 (9119 с българско гражданство)</w:t>
            </w:r>
          </w:p>
          <w:p w14:paraId="5757109C" w14:textId="77777777" w:rsidR="00186559" w:rsidRPr="00AA5833" w:rsidRDefault="00186559" w:rsidP="002E676E">
            <w:pPr>
              <w:rPr>
                <w:sz w:val="24"/>
                <w:szCs w:val="24"/>
              </w:rPr>
            </w:pPr>
          </w:p>
        </w:tc>
      </w:tr>
    </w:tbl>
    <w:p w14:paraId="255E2F3E" w14:textId="77777777" w:rsidR="00186559" w:rsidRPr="00AA5833" w:rsidRDefault="00186559" w:rsidP="00186559">
      <w:pPr>
        <w:autoSpaceDE w:val="0"/>
        <w:autoSpaceDN w:val="0"/>
        <w:adjustRightInd w:val="0"/>
        <w:spacing w:after="0" w:line="240" w:lineRule="auto"/>
        <w:ind w:firstLine="709"/>
        <w:jc w:val="both"/>
        <w:rPr>
          <w:rFonts w:ascii="Times New Roman" w:hAnsi="Times New Roman" w:cs="Times New Roman"/>
          <w:bCs/>
          <w:color w:val="000000" w:themeColor="text1"/>
          <w:sz w:val="24"/>
          <w:szCs w:val="24"/>
        </w:rPr>
      </w:pPr>
    </w:p>
    <w:p w14:paraId="29472096" w14:textId="77777777" w:rsidR="00186559" w:rsidRPr="00AA5833" w:rsidRDefault="00186559" w:rsidP="00186559">
      <w:pPr>
        <w:spacing w:after="0" w:line="240" w:lineRule="auto"/>
        <w:ind w:firstLine="708"/>
        <w:jc w:val="both"/>
        <w:rPr>
          <w:rFonts w:ascii="Times New Roman" w:hAnsi="Times New Roman" w:cs="Times New Roman"/>
          <w:sz w:val="24"/>
          <w:szCs w:val="24"/>
        </w:rPr>
      </w:pPr>
      <w:r w:rsidRPr="00AA5833">
        <w:rPr>
          <w:rFonts w:ascii="Times New Roman" w:hAnsi="Times New Roman" w:cs="Times New Roman"/>
          <w:sz w:val="24"/>
          <w:szCs w:val="24"/>
        </w:rPr>
        <w:t xml:space="preserve">По данни на НСИ, продължават да се задълбочават тенденциите в изменението на възрастовата структура на населението. Налице е продължаващ процес на </w:t>
      </w:r>
      <w:r w:rsidRPr="00AA5833">
        <w:rPr>
          <w:rFonts w:ascii="Times New Roman" w:hAnsi="Times New Roman" w:cs="Times New Roman"/>
          <w:b/>
          <w:sz w:val="24"/>
          <w:szCs w:val="24"/>
        </w:rPr>
        <w:t>демографско остаряване</w:t>
      </w:r>
      <w:r w:rsidRPr="00AA5833">
        <w:rPr>
          <w:rFonts w:ascii="Times New Roman" w:hAnsi="Times New Roman" w:cs="Times New Roman"/>
          <w:sz w:val="24"/>
          <w:szCs w:val="24"/>
        </w:rPr>
        <w:t xml:space="preserve">, който се изразява в увеличаване на абсолютния брой и относителния дял на населението на възраст 65 и повече навършени години. </w:t>
      </w:r>
      <w:r w:rsidRPr="00AA5833">
        <w:rPr>
          <w:rFonts w:ascii="Times New Roman" w:eastAsia="Times New Roman" w:hAnsi="Times New Roman" w:cs="Times New Roman"/>
          <w:sz w:val="24"/>
          <w:szCs w:val="24"/>
          <w:lang w:eastAsia="bg-BG"/>
        </w:rPr>
        <w:t xml:space="preserve">В края на 2024 г. лицата на 65 и </w:t>
      </w:r>
      <w:r w:rsidRPr="00AA5833">
        <w:rPr>
          <w:rFonts w:ascii="Times New Roman" w:eastAsia="Times New Roman" w:hAnsi="Times New Roman" w:cs="Times New Roman"/>
          <w:sz w:val="24"/>
          <w:szCs w:val="24"/>
          <w:lang w:eastAsia="bg-BG"/>
        </w:rPr>
        <w:lastRenderedPageBreak/>
        <w:t xml:space="preserve">повече навършени години са 1 544 245, или 24.0% от населението на страната. Тенденцията на застаряване най-добре се илюстрира от данните на двете последни преброявания на населението.  За периода 2011 – 2021 г. </w:t>
      </w:r>
      <w:r w:rsidRPr="00AA5833">
        <w:rPr>
          <w:rFonts w:ascii="Times New Roman" w:hAnsi="Times New Roman" w:cs="Times New Roman"/>
          <w:sz w:val="24"/>
          <w:szCs w:val="24"/>
        </w:rPr>
        <w:t xml:space="preserve">населението в тази възрастова група се увеличава със 171 270, или с 12.6%. </w:t>
      </w:r>
    </w:p>
    <w:p w14:paraId="28B9E3C6" w14:textId="77777777" w:rsidR="00186559" w:rsidRPr="00AA5833" w:rsidRDefault="00186559" w:rsidP="00186559">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A5833">
        <w:rPr>
          <w:rFonts w:ascii="Times New Roman" w:eastAsia="Times New Roman" w:hAnsi="Times New Roman" w:cs="Times New Roman"/>
          <w:bCs/>
          <w:sz w:val="24"/>
          <w:szCs w:val="24"/>
        </w:rPr>
        <w:t xml:space="preserve">Към 31.12.2024 г. общият коефициент на възрастова зависимост </w:t>
      </w:r>
      <w:r w:rsidRPr="00AA5833">
        <w:rPr>
          <w:rFonts w:ascii="Times New Roman" w:hAnsi="Times New Roman" w:cs="Times New Roman"/>
          <w:sz w:val="24"/>
          <w:szCs w:val="24"/>
        </w:rPr>
        <w:t xml:space="preserve"> (брой на лицата </w:t>
      </w:r>
      <w:r w:rsidRPr="00AA5833">
        <w:rPr>
          <w:rFonts w:ascii="Times New Roman" w:eastAsia="Times New Roman" w:hAnsi="Times New Roman" w:cs="Times New Roman"/>
          <w:bCs/>
          <w:sz w:val="24"/>
          <w:szCs w:val="24"/>
        </w:rPr>
        <w:t xml:space="preserve">под 15 и на 65 и повече навършени години към 100 лица на </w:t>
      </w:r>
      <w:r w:rsidRPr="00AA5833">
        <w:rPr>
          <w:rFonts w:ascii="Times New Roman" w:hAnsi="Times New Roman" w:cs="Times New Roman"/>
          <w:sz w:val="24"/>
          <w:szCs w:val="24"/>
        </w:rPr>
        <w:t>възраст от 15 до 64 години)</w:t>
      </w:r>
      <w:r w:rsidRPr="00AA5833">
        <w:rPr>
          <w:rFonts w:ascii="Times New Roman" w:eastAsia="Times New Roman" w:hAnsi="Times New Roman" w:cs="Times New Roman"/>
          <w:bCs/>
          <w:sz w:val="24"/>
          <w:szCs w:val="24"/>
        </w:rPr>
        <w:t xml:space="preserve"> е 61.3% или на всеки 100 лица в активна възраст съответстват 61 души в неактивна възраст. Най-ниска е стойността на коефициента в София (столица) – 51.2%, а най-неблагоприятно е съотношението в област Видин – 74.9%. </w:t>
      </w:r>
      <w:r w:rsidR="00210A6D" w:rsidRPr="00210A6D">
        <w:rPr>
          <w:rFonts w:ascii="Times New Roman" w:eastAsia="Times New Roman" w:hAnsi="Times New Roman" w:cs="Times New Roman"/>
          <w:bCs/>
          <w:sz w:val="24"/>
          <w:szCs w:val="24"/>
        </w:rPr>
        <w:t>За сравнение, през 2011 г. това съотношение е било 47.5% (текуща статистика</w:t>
      </w:r>
      <w:r w:rsidR="00210A6D">
        <w:rPr>
          <w:rFonts w:ascii="Times New Roman" w:eastAsia="Times New Roman" w:hAnsi="Times New Roman" w:cs="Times New Roman"/>
          <w:bCs/>
          <w:sz w:val="24"/>
          <w:szCs w:val="24"/>
        </w:rPr>
        <w:t xml:space="preserve">). </w:t>
      </w:r>
      <w:r w:rsidRPr="00AA5833">
        <w:rPr>
          <w:rFonts w:ascii="Times New Roman" w:hAnsi="Times New Roman" w:cs="Times New Roman"/>
          <w:sz w:val="24"/>
          <w:szCs w:val="24"/>
        </w:rPr>
        <w:t>Увеличението на тежестта върху лицата в активна възраст продължава да расте.</w:t>
      </w:r>
    </w:p>
    <w:p w14:paraId="7E63EF21" w14:textId="77777777" w:rsidR="00186559" w:rsidRPr="00AA5833" w:rsidRDefault="00186559" w:rsidP="00186559">
      <w:pPr>
        <w:autoSpaceDE w:val="0"/>
        <w:autoSpaceDN w:val="0"/>
        <w:adjustRightInd w:val="0"/>
        <w:spacing w:after="0" w:line="240" w:lineRule="auto"/>
        <w:ind w:firstLine="720"/>
        <w:jc w:val="both"/>
        <w:rPr>
          <w:rFonts w:ascii="Times New Roman" w:hAnsi="Times New Roman" w:cs="Times New Roman"/>
          <w:bCs/>
          <w:sz w:val="24"/>
          <w:szCs w:val="24"/>
        </w:rPr>
      </w:pPr>
      <w:r w:rsidRPr="00AA5833">
        <w:rPr>
          <w:rFonts w:ascii="Times New Roman" w:hAnsi="Times New Roman" w:cs="Times New Roman"/>
          <w:bCs/>
          <w:sz w:val="24"/>
          <w:szCs w:val="24"/>
        </w:rPr>
        <w:t xml:space="preserve">Застаряването на населението през годините води до повишаване на неговата средна възраст, която от 40.6 години през 2002 г. нараства до 45.3 години в края на 2024 година. Средната възраст на населението в градовете е 44.5 години, а в селата – 47.6 години. </w:t>
      </w:r>
    </w:p>
    <w:p w14:paraId="5AD9BAC6" w14:textId="77777777" w:rsidR="00186559" w:rsidRPr="00AA5833" w:rsidRDefault="00186559" w:rsidP="001865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hAnsi="Times New Roman" w:cs="Times New Roman"/>
          <w:b/>
          <w:i/>
          <w:sz w:val="24"/>
          <w:szCs w:val="24"/>
        </w:rPr>
        <w:t>Качествените характеристики на населението</w:t>
      </w:r>
      <w:r w:rsidRPr="00AA5833">
        <w:rPr>
          <w:rFonts w:ascii="Times New Roman" w:hAnsi="Times New Roman" w:cs="Times New Roman"/>
          <w:sz w:val="24"/>
          <w:szCs w:val="24"/>
        </w:rPr>
        <w:t xml:space="preserve"> се илюстрират от съставни показатели 2, 3, 4, 5 и 6. Съставен показател 7 е с насоченост към </w:t>
      </w:r>
      <w:r w:rsidRPr="00AA5833">
        <w:rPr>
          <w:rFonts w:ascii="Times New Roman" w:eastAsia="Times New Roman" w:hAnsi="Times New Roman" w:cs="Times New Roman"/>
          <w:sz w:val="24"/>
          <w:szCs w:val="24"/>
          <w:lang w:eastAsia="bg-BG"/>
        </w:rPr>
        <w:t>адаптиране на политиките за социално осигуряване, социално подпомагане и здравеопазване спрямо процеса на застаряване на населението, както и към гарантиране на устойчивост на публичните финанси</w:t>
      </w:r>
      <w:r w:rsidRPr="00AA5833">
        <w:rPr>
          <w:rFonts w:ascii="Times New Roman" w:eastAsia="Times New Roman" w:hAnsi="Times New Roman" w:cs="Times New Roman"/>
          <w:sz w:val="24"/>
          <w:szCs w:val="24"/>
        </w:rPr>
        <w:t xml:space="preserve">. </w:t>
      </w:r>
    </w:p>
    <w:p w14:paraId="6DDF2C72" w14:textId="77777777" w:rsidR="00186559" w:rsidRPr="00AA5833" w:rsidRDefault="00186559" w:rsidP="00186559">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A5833">
        <w:rPr>
          <w:rFonts w:ascii="Times New Roman" w:eastAsia="Times New Roman" w:hAnsi="Times New Roman" w:cs="Times New Roman"/>
          <w:sz w:val="24"/>
          <w:szCs w:val="24"/>
        </w:rPr>
        <w:t xml:space="preserve">По отношение на </w:t>
      </w:r>
      <w:r w:rsidRPr="00AA5833">
        <w:rPr>
          <w:rFonts w:ascii="Times New Roman" w:eastAsia="Times New Roman" w:hAnsi="Times New Roman" w:cs="Times New Roman"/>
          <w:sz w:val="24"/>
          <w:szCs w:val="24"/>
          <w:lang w:eastAsia="bg-BG"/>
        </w:rPr>
        <w:t xml:space="preserve">адаптирането на политиката за семействата и децата към остаряването на населението, състоянието на политиката за равнопоставеност между половете в семейството и съчетаването на семеен с трудов живот (съставен показател 2), основен показател е коефициентът на заетост и дезагрегираните данни за заетост по признаците пол и възраст. Към 2024 г. всички дезагрегирани данни в тази сфера показват развитие във възходяща посока като заложената цел за 2030 г. за заетостта при мъжете вече е изпълнена. Сред позитивните показатели е равнището за посещаване на детски заведения (от 3 години до възрастта за започване на училище). Към 2024 г. то е 88,7% при заложена цел от 80%. Сред негативно развиващите се показатели е относителният дял на деца (0-17 г.) в риск от бедност след социалните трансфери, който през 2023 г. има стойност от 26,9 %, а през 2024 г. – 28,2% при заложени 10% към 2030 г.  </w:t>
      </w:r>
    </w:p>
    <w:p w14:paraId="25B90E8C" w14:textId="77777777" w:rsidR="00186559" w:rsidRPr="00AA5833" w:rsidRDefault="00186559" w:rsidP="00186559">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rPr>
        <w:t xml:space="preserve">В сферата на адаптирането </w:t>
      </w:r>
      <w:r w:rsidRPr="00AA5833">
        <w:rPr>
          <w:rFonts w:ascii="Times New Roman" w:eastAsia="Times New Roman" w:hAnsi="Times New Roman" w:cs="Times New Roman"/>
          <w:sz w:val="24"/>
          <w:szCs w:val="24"/>
          <w:lang w:eastAsia="bg-BG"/>
        </w:rPr>
        <w:t>на политиката на пазара на труда към стареенето на населението (съставен показател 3), отново показателите за заетост показват развитие в позитивна посока. Прави впечатление обаче негативното развитие на относителния дял на неактивнит</w:t>
      </w:r>
      <w:r w:rsidR="00266492">
        <w:rPr>
          <w:rFonts w:ascii="Times New Roman" w:eastAsia="Times New Roman" w:hAnsi="Times New Roman" w:cs="Times New Roman"/>
          <w:sz w:val="24"/>
          <w:szCs w:val="24"/>
          <w:lang w:eastAsia="bg-BG"/>
        </w:rPr>
        <w:t xml:space="preserve">е лица по здравословни причини във възрастовия диапазон </w:t>
      </w:r>
      <w:r w:rsidRPr="00AA5833">
        <w:rPr>
          <w:rFonts w:ascii="Times New Roman" w:eastAsia="Times New Roman" w:hAnsi="Times New Roman" w:cs="Times New Roman"/>
          <w:sz w:val="24"/>
          <w:szCs w:val="24"/>
          <w:lang w:eastAsia="bg-BG"/>
        </w:rPr>
        <w:t>50-</w:t>
      </w:r>
      <w:r w:rsidR="00266492">
        <w:rPr>
          <w:rFonts w:ascii="Times New Roman" w:eastAsia="Times New Roman" w:hAnsi="Times New Roman" w:cs="Times New Roman"/>
          <w:sz w:val="24"/>
          <w:szCs w:val="24"/>
          <w:lang w:eastAsia="bg-BG"/>
        </w:rPr>
        <w:t>64 години, със стойности към 2024 г. от 27,0</w:t>
      </w:r>
      <w:r w:rsidRPr="00AA5833">
        <w:rPr>
          <w:rFonts w:ascii="Times New Roman" w:eastAsia="Times New Roman" w:hAnsi="Times New Roman" w:cs="Times New Roman"/>
          <w:sz w:val="24"/>
          <w:szCs w:val="24"/>
          <w:lang w:eastAsia="bg-BG"/>
        </w:rPr>
        <w:t xml:space="preserve"> % при заложени 10% към 2030 г. в демографската стратегия.</w:t>
      </w:r>
      <w:r w:rsidR="000A6464">
        <w:rPr>
          <w:rFonts w:ascii="Times New Roman" w:eastAsia="Times New Roman" w:hAnsi="Times New Roman" w:cs="Times New Roman"/>
          <w:sz w:val="24"/>
          <w:szCs w:val="24"/>
          <w:lang w:eastAsia="bg-BG"/>
        </w:rPr>
        <w:t xml:space="preserve"> Много положителна е тенденцията за използване на интернет от населението на възраст 55 – 64 години. През 2024 г. 77,9% от тази възрастова група използва интернет при заложени стойности в стратегията от 70%.</w:t>
      </w:r>
    </w:p>
    <w:p w14:paraId="476FD186" w14:textId="77777777" w:rsidR="00186559" w:rsidRPr="00AA5833" w:rsidRDefault="00186559" w:rsidP="00186559">
      <w:pPr>
        <w:tabs>
          <w:tab w:val="left" w:pos="2889"/>
        </w:tabs>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hAnsi="Times New Roman" w:cs="Times New Roman"/>
          <w:sz w:val="24"/>
          <w:szCs w:val="24"/>
        </w:rPr>
        <w:t xml:space="preserve">В сферата на </w:t>
      </w:r>
      <w:r w:rsidRPr="00AA5833">
        <w:rPr>
          <w:rFonts w:ascii="Times New Roman" w:eastAsia="Times New Roman" w:hAnsi="Times New Roman" w:cs="Times New Roman"/>
          <w:sz w:val="24"/>
          <w:szCs w:val="24"/>
          <w:lang w:eastAsia="bg-BG"/>
        </w:rPr>
        <w:t xml:space="preserve">адаптиране на образователната политика към стареенето на населението и нарастване на приноса на образователната система за повишаване на производителността и мобилността на населението на пазара на труда </w:t>
      </w:r>
      <w:r w:rsidRPr="00AA5833">
        <w:rPr>
          <w:rFonts w:ascii="Times New Roman" w:hAnsi="Times New Roman" w:cs="Times New Roman"/>
          <w:sz w:val="24"/>
          <w:szCs w:val="24"/>
        </w:rPr>
        <w:t>(съ</w:t>
      </w:r>
      <w:r w:rsidR="000A6464">
        <w:rPr>
          <w:rFonts w:ascii="Times New Roman" w:hAnsi="Times New Roman" w:cs="Times New Roman"/>
          <w:sz w:val="24"/>
          <w:szCs w:val="24"/>
        </w:rPr>
        <w:t>ставен показател 4), показателите</w:t>
      </w:r>
      <w:r w:rsidRPr="00AA5833">
        <w:rPr>
          <w:rFonts w:ascii="Times New Roman" w:hAnsi="Times New Roman" w:cs="Times New Roman"/>
          <w:sz w:val="24"/>
          <w:szCs w:val="24"/>
        </w:rPr>
        <w:t xml:space="preserve"> за </w:t>
      </w:r>
      <w:r w:rsidRPr="00AA5833">
        <w:rPr>
          <w:rFonts w:ascii="Times New Roman" w:eastAsia="Times New Roman" w:hAnsi="Times New Roman" w:cs="Times New Roman"/>
          <w:sz w:val="24"/>
          <w:szCs w:val="24"/>
          <w:lang w:eastAsia="bg-BG"/>
        </w:rPr>
        <w:t xml:space="preserve">ранно напускане на системата на образование </w:t>
      </w:r>
      <w:r w:rsidR="000A6464">
        <w:rPr>
          <w:rFonts w:ascii="Times New Roman" w:eastAsia="Times New Roman" w:hAnsi="Times New Roman" w:cs="Times New Roman"/>
          <w:sz w:val="24"/>
          <w:szCs w:val="24"/>
          <w:lang w:eastAsia="bg-BG"/>
        </w:rPr>
        <w:t>и о</w:t>
      </w:r>
      <w:r w:rsidRPr="00AA5833">
        <w:rPr>
          <w:rFonts w:ascii="Times New Roman" w:eastAsia="Times New Roman" w:hAnsi="Times New Roman" w:cs="Times New Roman"/>
          <w:sz w:val="24"/>
          <w:szCs w:val="24"/>
          <w:lang w:eastAsia="bg-BG"/>
        </w:rPr>
        <w:t xml:space="preserve">тносителният дял на лицата с висше образование </w:t>
      </w:r>
      <w:r w:rsidR="000A6464">
        <w:rPr>
          <w:rFonts w:ascii="Times New Roman" w:eastAsia="Times New Roman" w:hAnsi="Times New Roman" w:cs="Times New Roman"/>
          <w:sz w:val="24"/>
          <w:szCs w:val="24"/>
          <w:lang w:eastAsia="bg-BG"/>
        </w:rPr>
        <w:t xml:space="preserve">се </w:t>
      </w:r>
      <w:r w:rsidRPr="00AA5833">
        <w:rPr>
          <w:rFonts w:ascii="Times New Roman" w:eastAsia="Times New Roman" w:hAnsi="Times New Roman" w:cs="Times New Roman"/>
          <w:sz w:val="24"/>
          <w:szCs w:val="24"/>
          <w:lang w:eastAsia="bg-BG"/>
        </w:rPr>
        <w:t>развива</w:t>
      </w:r>
      <w:r w:rsidR="000A6464">
        <w:rPr>
          <w:rFonts w:ascii="Times New Roman" w:eastAsia="Times New Roman" w:hAnsi="Times New Roman" w:cs="Times New Roman"/>
          <w:sz w:val="24"/>
          <w:szCs w:val="24"/>
          <w:lang w:eastAsia="bg-BG"/>
        </w:rPr>
        <w:t>т</w:t>
      </w:r>
      <w:r w:rsidRPr="00AA5833">
        <w:rPr>
          <w:rFonts w:ascii="Times New Roman" w:eastAsia="Times New Roman" w:hAnsi="Times New Roman" w:cs="Times New Roman"/>
          <w:sz w:val="24"/>
          <w:szCs w:val="24"/>
          <w:lang w:eastAsia="bg-BG"/>
        </w:rPr>
        <w:t xml:space="preserve"> в позитивна посока. При мъжете обаче тези стойности са значително по-ниски в рамките на възрастов</w:t>
      </w:r>
      <w:r w:rsidR="0034417B">
        <w:rPr>
          <w:rFonts w:ascii="Times New Roman" w:eastAsia="Times New Roman" w:hAnsi="Times New Roman" w:cs="Times New Roman"/>
          <w:sz w:val="24"/>
          <w:szCs w:val="24"/>
          <w:lang w:eastAsia="bg-BG"/>
        </w:rPr>
        <w:t>ата група 30 - 34 години. Към 2024</w:t>
      </w:r>
      <w:r w:rsidRPr="00AA5833">
        <w:rPr>
          <w:rFonts w:ascii="Times New Roman" w:eastAsia="Times New Roman" w:hAnsi="Times New Roman" w:cs="Times New Roman"/>
          <w:sz w:val="24"/>
          <w:szCs w:val="24"/>
          <w:lang w:eastAsia="bg-BG"/>
        </w:rPr>
        <w:t xml:space="preserve"> г. коефициентът на заетост на лицата с висше образова</w:t>
      </w:r>
      <w:r w:rsidR="0034417B">
        <w:rPr>
          <w:rFonts w:ascii="Times New Roman" w:eastAsia="Times New Roman" w:hAnsi="Times New Roman" w:cs="Times New Roman"/>
          <w:sz w:val="24"/>
          <w:szCs w:val="24"/>
          <w:lang w:eastAsia="bg-BG"/>
        </w:rPr>
        <w:t xml:space="preserve">ние във възрастовата група 20 - </w:t>
      </w:r>
      <w:r w:rsidRPr="00AA5833">
        <w:rPr>
          <w:rFonts w:ascii="Times New Roman" w:eastAsia="Times New Roman" w:hAnsi="Times New Roman" w:cs="Times New Roman"/>
          <w:sz w:val="24"/>
          <w:szCs w:val="24"/>
          <w:lang w:eastAsia="bg-BG"/>
        </w:rPr>
        <w:t>64 г. е на равнище над заложената стойност към 2030 г. По отношение на относителния дял на населението на възраст 25</w:t>
      </w:r>
      <w:r w:rsidR="0034417B">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w:t>
      </w:r>
      <w:r w:rsidR="0034417B">
        <w:rPr>
          <w:rFonts w:ascii="Times New Roman" w:eastAsia="Times New Roman" w:hAnsi="Times New Roman" w:cs="Times New Roman"/>
          <w:sz w:val="24"/>
          <w:szCs w:val="24"/>
          <w:lang w:eastAsia="bg-BG"/>
        </w:rPr>
        <w:t xml:space="preserve"> </w:t>
      </w:r>
      <w:r w:rsidRPr="00AA5833">
        <w:rPr>
          <w:rFonts w:ascii="Times New Roman" w:eastAsia="Times New Roman" w:hAnsi="Times New Roman" w:cs="Times New Roman"/>
          <w:sz w:val="24"/>
          <w:szCs w:val="24"/>
          <w:lang w:eastAsia="bg-BG"/>
        </w:rPr>
        <w:t>64 години, което участва в учене през це</w:t>
      </w:r>
      <w:r w:rsidR="0034417B">
        <w:rPr>
          <w:rFonts w:ascii="Times New Roman" w:eastAsia="Times New Roman" w:hAnsi="Times New Roman" w:cs="Times New Roman"/>
          <w:sz w:val="24"/>
          <w:szCs w:val="24"/>
          <w:lang w:eastAsia="bg-BG"/>
        </w:rPr>
        <w:t>лия живот, показателите към 2024</w:t>
      </w:r>
      <w:r w:rsidRPr="00AA5833">
        <w:rPr>
          <w:rFonts w:ascii="Times New Roman" w:eastAsia="Times New Roman" w:hAnsi="Times New Roman" w:cs="Times New Roman"/>
          <w:sz w:val="24"/>
          <w:szCs w:val="24"/>
          <w:lang w:eastAsia="bg-BG"/>
        </w:rPr>
        <w:t xml:space="preserve"> г. са значително по-ниски от заложените стойности. По данни от Наблюдени</w:t>
      </w:r>
      <w:r w:rsidR="0034417B">
        <w:rPr>
          <w:rFonts w:ascii="Times New Roman" w:eastAsia="Times New Roman" w:hAnsi="Times New Roman" w:cs="Times New Roman"/>
          <w:sz w:val="24"/>
          <w:szCs w:val="24"/>
          <w:lang w:eastAsia="bg-BG"/>
        </w:rPr>
        <w:t xml:space="preserve">ето на работната сила, през 2024 г. едва </w:t>
      </w:r>
      <w:r w:rsidR="0034417B">
        <w:rPr>
          <w:rFonts w:ascii="Times New Roman" w:eastAsia="Times New Roman" w:hAnsi="Times New Roman" w:cs="Times New Roman"/>
          <w:sz w:val="24"/>
          <w:szCs w:val="24"/>
          <w:lang w:eastAsia="bg-BG"/>
        </w:rPr>
        <w:lastRenderedPageBreak/>
        <w:t>1,8</w:t>
      </w:r>
      <w:r w:rsidRPr="00AA5833">
        <w:rPr>
          <w:rFonts w:ascii="Times New Roman" w:eastAsia="Times New Roman" w:hAnsi="Times New Roman" w:cs="Times New Roman"/>
          <w:sz w:val="24"/>
          <w:szCs w:val="24"/>
          <w:lang w:eastAsia="bg-BG"/>
        </w:rPr>
        <w:t>% от тази възрастова група е включена в образователни дейности при заложени стойности към 2030 г. от 10%. Процентът от работещото население в секторите на високите технологии</w:t>
      </w:r>
      <w:r w:rsidR="006006EA">
        <w:rPr>
          <w:rFonts w:ascii="Times New Roman" w:eastAsia="Times New Roman" w:hAnsi="Times New Roman" w:cs="Times New Roman"/>
          <w:sz w:val="24"/>
          <w:szCs w:val="24"/>
          <w:lang w:eastAsia="bg-BG"/>
        </w:rPr>
        <w:t xml:space="preserve"> запазва равнището от предходната година, но</w:t>
      </w:r>
      <w:r w:rsidRPr="00AA5833">
        <w:rPr>
          <w:rFonts w:ascii="Times New Roman" w:eastAsia="Times New Roman" w:hAnsi="Times New Roman" w:cs="Times New Roman"/>
          <w:sz w:val="24"/>
          <w:szCs w:val="24"/>
          <w:lang w:eastAsia="bg-BG"/>
        </w:rPr>
        <w:t xml:space="preserve"> все още е далеч от заложените стойности. </w:t>
      </w:r>
    </w:p>
    <w:p w14:paraId="27C5D228" w14:textId="77777777" w:rsidR="00186559" w:rsidRPr="00AA5833" w:rsidRDefault="00186559" w:rsidP="00186559">
      <w:pPr>
        <w:tabs>
          <w:tab w:val="left" w:pos="2889"/>
        </w:tabs>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 xml:space="preserve">По отношение на миграцията и интеграцията (съставен показател 5) следва да се отбележи, че не са налични данни в официалната национална статистика за коефициентите на заетост и за образователното равнище на граждани от страни извън ЕС-27. Коефициентите на заетост за мъжете и жените, граждани на България, включени в този съставен показател, се развиват възходящо в посока постигане на заложената за 2030 г. цел. </w:t>
      </w:r>
    </w:p>
    <w:p w14:paraId="6B1BFF27" w14:textId="77777777" w:rsidR="00186559" w:rsidRPr="00AA5833" w:rsidRDefault="00186559" w:rsidP="00186559">
      <w:pPr>
        <w:tabs>
          <w:tab w:val="left" w:pos="2889"/>
        </w:tabs>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В сферата на подобряването на здравния статус на населението (съставен показател 6) се наблюдава изпълнение на заложената цел по отношение на значителното намаляване на детската смъртност. При заложени стойности от под 7</w:t>
      </w:r>
      <w:r w:rsidR="00FA3FE0">
        <w:rPr>
          <w:rFonts w:ascii="Times New Roman" w:eastAsia="Times New Roman" w:hAnsi="Times New Roman" w:cs="Times New Roman"/>
          <w:color w:val="000000"/>
          <w:sz w:val="24"/>
          <w:szCs w:val="24"/>
          <w:lang w:eastAsia="bg-BG"/>
        </w:rPr>
        <w:t>‰, данните към 2024</w:t>
      </w:r>
      <w:r w:rsidRPr="00AA5833">
        <w:rPr>
          <w:rFonts w:ascii="Times New Roman" w:eastAsia="Times New Roman" w:hAnsi="Times New Roman" w:cs="Times New Roman"/>
          <w:color w:val="000000"/>
          <w:sz w:val="24"/>
          <w:szCs w:val="24"/>
          <w:lang w:eastAsia="bg-BG"/>
        </w:rPr>
        <w:t xml:space="preserve"> г. показват стой</w:t>
      </w:r>
      <w:r w:rsidR="00FA3FE0">
        <w:rPr>
          <w:rFonts w:ascii="Times New Roman" w:eastAsia="Times New Roman" w:hAnsi="Times New Roman" w:cs="Times New Roman"/>
          <w:color w:val="000000"/>
          <w:sz w:val="24"/>
          <w:szCs w:val="24"/>
          <w:lang w:eastAsia="bg-BG"/>
        </w:rPr>
        <w:t>ност от 4,5</w:t>
      </w:r>
      <w:r w:rsidRPr="00AA5833">
        <w:rPr>
          <w:rFonts w:ascii="Times New Roman" w:eastAsia="Times New Roman" w:hAnsi="Times New Roman" w:cs="Times New Roman"/>
          <w:color w:val="000000"/>
          <w:sz w:val="24"/>
          <w:szCs w:val="24"/>
          <w:lang w:eastAsia="bg-BG"/>
        </w:rPr>
        <w:t>‰. Данните за средната възраст на населението са категорични в посока илюстриране на застаряването на населението. Заложената цел за 2030 г. е 43 години, но тенденцията през последните две десетилетия е за у</w:t>
      </w:r>
      <w:r w:rsidR="00A80405">
        <w:rPr>
          <w:rFonts w:ascii="Times New Roman" w:eastAsia="Times New Roman" w:hAnsi="Times New Roman" w:cs="Times New Roman"/>
          <w:color w:val="000000"/>
          <w:sz w:val="24"/>
          <w:szCs w:val="24"/>
          <w:lang w:eastAsia="bg-BG"/>
        </w:rPr>
        <w:t>стойчиво покачване като към 2024 г. тя е 45,3</w:t>
      </w:r>
      <w:r w:rsidRPr="00AA5833">
        <w:rPr>
          <w:rFonts w:ascii="Times New Roman" w:eastAsia="Times New Roman" w:hAnsi="Times New Roman" w:cs="Times New Roman"/>
          <w:color w:val="000000"/>
          <w:sz w:val="24"/>
          <w:szCs w:val="24"/>
          <w:lang w:eastAsia="bg-BG"/>
        </w:rPr>
        <w:t xml:space="preserve"> години. </w:t>
      </w:r>
    </w:p>
    <w:p w14:paraId="2C1864F8" w14:textId="77777777" w:rsidR="00186559" w:rsidRPr="00AA5833" w:rsidRDefault="00186559" w:rsidP="00186559">
      <w:pPr>
        <w:tabs>
          <w:tab w:val="left" w:pos="2889"/>
        </w:tabs>
        <w:spacing w:after="0" w:line="240" w:lineRule="auto"/>
        <w:ind w:firstLine="709"/>
        <w:jc w:val="both"/>
        <w:rPr>
          <w:rFonts w:ascii="Times New Roman" w:eastAsia="Times New Roman" w:hAnsi="Times New Roman" w:cs="Times New Roman"/>
          <w:sz w:val="24"/>
          <w:szCs w:val="24"/>
          <w:lang w:eastAsia="bg-BG"/>
        </w:rPr>
      </w:pPr>
      <w:r w:rsidRPr="00AA5833">
        <w:rPr>
          <w:rFonts w:ascii="Times New Roman" w:eastAsia="Times New Roman" w:hAnsi="Times New Roman" w:cs="Times New Roman"/>
          <w:sz w:val="24"/>
          <w:szCs w:val="24"/>
          <w:lang w:eastAsia="bg-BG"/>
        </w:rPr>
        <w:t>По о</w:t>
      </w:r>
      <w:r w:rsidR="00A80405">
        <w:rPr>
          <w:rFonts w:ascii="Times New Roman" w:eastAsia="Times New Roman" w:hAnsi="Times New Roman" w:cs="Times New Roman"/>
          <w:sz w:val="24"/>
          <w:szCs w:val="24"/>
          <w:lang w:eastAsia="bg-BG"/>
        </w:rPr>
        <w:t>тношение на съставен показател 7</w:t>
      </w:r>
      <w:r w:rsidRPr="00AA5833">
        <w:rPr>
          <w:rFonts w:ascii="Times New Roman" w:eastAsia="Times New Roman" w:hAnsi="Times New Roman" w:cs="Times New Roman"/>
          <w:sz w:val="24"/>
          <w:szCs w:val="24"/>
          <w:lang w:eastAsia="bg-BG"/>
        </w:rPr>
        <w:t xml:space="preserve"> - адаптиране на политиките за социално осигуряване, социално подпомагане и здравеопазване към стареенето на населението и гарантиране на устойчивост на публ</w:t>
      </w:r>
      <w:r w:rsidR="00A80405">
        <w:rPr>
          <w:rFonts w:ascii="Times New Roman" w:eastAsia="Times New Roman" w:hAnsi="Times New Roman" w:cs="Times New Roman"/>
          <w:sz w:val="24"/>
          <w:szCs w:val="24"/>
          <w:lang w:eastAsia="bg-BG"/>
        </w:rPr>
        <w:t xml:space="preserve">ичните финанси, показателите за </w:t>
      </w:r>
      <w:r w:rsidR="000201A7">
        <w:rPr>
          <w:rFonts w:ascii="Times New Roman" w:eastAsia="Times New Roman" w:hAnsi="Times New Roman" w:cs="Times New Roman"/>
          <w:sz w:val="24"/>
          <w:szCs w:val="24"/>
          <w:lang w:eastAsia="bg-BG"/>
        </w:rPr>
        <w:t>финансиране</w:t>
      </w:r>
      <w:r w:rsidR="00A80405">
        <w:rPr>
          <w:rFonts w:ascii="Times New Roman" w:eastAsia="Times New Roman" w:hAnsi="Times New Roman" w:cs="Times New Roman"/>
          <w:sz w:val="24"/>
          <w:szCs w:val="24"/>
          <w:lang w:eastAsia="bg-BG"/>
        </w:rPr>
        <w:t xml:space="preserve"> </w:t>
      </w:r>
      <w:r w:rsidR="000201A7">
        <w:rPr>
          <w:rFonts w:ascii="Times New Roman" w:eastAsia="Times New Roman" w:hAnsi="Times New Roman" w:cs="Times New Roman"/>
          <w:sz w:val="24"/>
          <w:szCs w:val="24"/>
          <w:lang w:eastAsia="bg-BG"/>
        </w:rPr>
        <w:t>на</w:t>
      </w:r>
      <w:r w:rsidR="00A80405">
        <w:rPr>
          <w:rFonts w:ascii="Times New Roman" w:eastAsia="Times New Roman" w:hAnsi="Times New Roman" w:cs="Times New Roman"/>
          <w:sz w:val="24"/>
          <w:szCs w:val="24"/>
          <w:lang w:eastAsia="bg-BG"/>
        </w:rPr>
        <w:t xml:space="preserve"> публичните разходи като процент от БВП към 2024</w:t>
      </w:r>
      <w:r w:rsidRPr="00AA5833">
        <w:rPr>
          <w:rFonts w:ascii="Times New Roman" w:eastAsia="Times New Roman" w:hAnsi="Times New Roman" w:cs="Times New Roman"/>
          <w:sz w:val="24"/>
          <w:szCs w:val="24"/>
          <w:lang w:eastAsia="bg-BG"/>
        </w:rPr>
        <w:t xml:space="preserve"> г. показват развитие в позитивна</w:t>
      </w:r>
      <w:r w:rsidR="00A80405">
        <w:rPr>
          <w:rFonts w:ascii="Times New Roman" w:eastAsia="Times New Roman" w:hAnsi="Times New Roman" w:cs="Times New Roman"/>
          <w:sz w:val="24"/>
          <w:szCs w:val="24"/>
          <w:lang w:eastAsia="bg-BG"/>
        </w:rPr>
        <w:t xml:space="preserve"> посока спрямо заложените цели. Следва да се отбележи, че п</w:t>
      </w:r>
      <w:r w:rsidR="00A80405" w:rsidRPr="000276AE">
        <w:rPr>
          <w:rFonts w:ascii="Times New Roman" w:eastAsia="Times New Roman" w:hAnsi="Times New Roman" w:cs="Times New Roman"/>
          <w:sz w:val="24"/>
          <w:szCs w:val="24"/>
          <w:lang w:val="ru-RU" w:eastAsia="bg-BG"/>
        </w:rPr>
        <w:t>роцент</w:t>
      </w:r>
      <w:r w:rsidR="00A80405">
        <w:rPr>
          <w:rFonts w:ascii="Times New Roman" w:eastAsia="Times New Roman" w:hAnsi="Times New Roman" w:cs="Times New Roman"/>
          <w:sz w:val="24"/>
          <w:szCs w:val="24"/>
          <w:lang w:val="ru-RU" w:eastAsia="bg-BG"/>
        </w:rPr>
        <w:t>ът</w:t>
      </w:r>
      <w:r w:rsidR="00A80405" w:rsidRPr="000276AE">
        <w:rPr>
          <w:rFonts w:ascii="Times New Roman" w:eastAsia="Times New Roman" w:hAnsi="Times New Roman" w:cs="Times New Roman"/>
          <w:sz w:val="24"/>
          <w:szCs w:val="24"/>
          <w:lang w:val="ru-RU" w:eastAsia="bg-BG"/>
        </w:rPr>
        <w:t xml:space="preserve"> от </w:t>
      </w:r>
      <w:r w:rsidR="00A80405">
        <w:rPr>
          <w:rFonts w:ascii="Times New Roman" w:eastAsia="Times New Roman" w:hAnsi="Times New Roman" w:cs="Times New Roman"/>
          <w:sz w:val="24"/>
          <w:szCs w:val="24"/>
          <w:lang w:val="ru-RU" w:eastAsia="bg-BG"/>
        </w:rPr>
        <w:t>населението в риск от бедност</w:t>
      </w:r>
      <w:r w:rsidR="00A80405" w:rsidRPr="000276AE">
        <w:rPr>
          <w:rFonts w:ascii="Times New Roman" w:eastAsia="Times New Roman" w:hAnsi="Times New Roman" w:cs="Times New Roman"/>
          <w:sz w:val="24"/>
          <w:szCs w:val="24"/>
          <w:lang w:val="ru-RU" w:eastAsia="bg-BG"/>
        </w:rPr>
        <w:t xml:space="preserve"> след социални трансфери</w:t>
      </w:r>
      <w:r w:rsidR="00A80405">
        <w:rPr>
          <w:rFonts w:ascii="Times New Roman" w:eastAsia="Times New Roman" w:hAnsi="Times New Roman" w:cs="Times New Roman"/>
          <w:sz w:val="24"/>
          <w:szCs w:val="24"/>
          <w:lang w:val="ru-RU" w:eastAsia="bg-BG"/>
        </w:rPr>
        <w:t xml:space="preserve"> към 2024 г. е 21,7% и продължава да е над заложената цел от 14% за 2030 г.</w:t>
      </w:r>
    </w:p>
    <w:p w14:paraId="3EE643DA" w14:textId="77777777" w:rsidR="00175ABB" w:rsidRPr="00AA5833" w:rsidRDefault="00175ABB"/>
    <w:sectPr w:rsidR="00175ABB" w:rsidRPr="00AA5833" w:rsidSect="00A81FE9">
      <w:footerReference w:type="default" r:id="rId43"/>
      <w:headerReference w:type="first" r:id="rId44"/>
      <w:pgSz w:w="11906" w:h="16838"/>
      <w:pgMar w:top="1417" w:right="1133" w:bottom="1417" w:left="1701" w:header="708"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930C2" w14:textId="77777777" w:rsidR="005B6D89" w:rsidRDefault="005B6D89" w:rsidP="006856A7">
      <w:pPr>
        <w:spacing w:after="0" w:line="240" w:lineRule="auto"/>
      </w:pPr>
      <w:r>
        <w:separator/>
      </w:r>
    </w:p>
  </w:endnote>
  <w:endnote w:type="continuationSeparator" w:id="0">
    <w:p w14:paraId="05CFE2A7" w14:textId="77777777" w:rsidR="005B6D89" w:rsidRDefault="005B6D89" w:rsidP="0068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msCy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utura Bk">
    <w:altName w:val="Century Gothic"/>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S Grotesk Bg">
    <w:altName w:val="Arial"/>
    <w:panose1 w:val="00000000000000000000"/>
    <w:charset w:val="CC"/>
    <w:family w:val="swiss"/>
    <w:notTrueType/>
    <w:pitch w:val="default"/>
    <w:sig w:usb0="00000001" w:usb1="00000000" w:usb2="00000000" w:usb3="00000000" w:csb0="00000005" w:csb1="00000000"/>
  </w:font>
  <w:font w:name="EUAlbertina">
    <w:altName w:val="EU Albertina"/>
    <w:panose1 w:val="00000000000000000000"/>
    <w:charset w:val="CC"/>
    <w:family w:val="roman"/>
    <w:notTrueType/>
    <w:pitch w:val="default"/>
    <w:sig w:usb0="00000203" w:usb1="00000000" w:usb2="00000000" w:usb3="00000000" w:csb0="00000005" w:csb1="00000000"/>
  </w:font>
  <w:font w:name="RobotoRegular">
    <w:altName w:val="Times New Roman"/>
    <w:charset w:val="00"/>
    <w:family w:val="auto"/>
    <w:pitch w:val="default"/>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inherit">
    <w:altName w:val="Times New Roman"/>
    <w:panose1 w:val="00000000000000000000"/>
    <w:charset w:val="00"/>
    <w:family w:val="roman"/>
    <w:notTrueType/>
    <w:pitch w:val="default"/>
  </w:font>
  <w:font w:name="Μοντέρνα">
    <w:altName w:val="Courier New"/>
    <w:charset w:val="00"/>
    <w:family w:val="auto"/>
    <w:pitch w:val="variable"/>
    <w:sig w:usb0="03000000"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FDF7" w14:textId="77777777" w:rsidR="009A0A00" w:rsidRDefault="009A0A00" w:rsidP="002233A8">
    <w:pPr>
      <w:pStyle w:val="Footer"/>
      <w:pBdr>
        <w:bottom w:val="single" w:sz="4" w:space="1" w:color="auto"/>
      </w:pBdr>
      <w:jc w:val="center"/>
      <w:rPr>
        <w:rFonts w:ascii="Times New Roman" w:hAnsi="Times New Roman" w:cs="Times New Roman"/>
        <w:sz w:val="20"/>
        <w:szCs w:val="20"/>
      </w:rPr>
    </w:pPr>
  </w:p>
  <w:p w14:paraId="71F1EA3C" w14:textId="77777777" w:rsidR="009A0A00" w:rsidRDefault="009A0A00" w:rsidP="000777AF">
    <w:pPr>
      <w:pStyle w:val="Footer"/>
      <w:jc w:val="center"/>
      <w:rPr>
        <w:rFonts w:ascii="Times New Roman" w:hAnsi="Times New Roman" w:cs="Times New Roman"/>
        <w:sz w:val="20"/>
        <w:szCs w:val="20"/>
      </w:rPr>
    </w:pPr>
    <w:r>
      <w:rPr>
        <w:rFonts w:ascii="Times New Roman" w:hAnsi="Times New Roman" w:cs="Times New Roman"/>
        <w:sz w:val="20"/>
        <w:szCs w:val="20"/>
      </w:rPr>
      <w:t>Отчет за 2024 г. за изпълнение на Актуализираната национална стратегия за демографско развитие на населението (2012</w:t>
    </w:r>
    <w:r>
      <w:rPr>
        <w:rFonts w:ascii="Times New Roman" w:hAnsi="Times New Roman" w:cs="Times New Roman"/>
        <w:sz w:val="20"/>
        <w:szCs w:val="20"/>
        <w:lang w:val="en-US"/>
      </w:rPr>
      <w:t xml:space="preserve"> </w:t>
    </w:r>
    <w:r w:rsidRPr="00102E61">
      <w:rPr>
        <w:rFonts w:ascii="Times New Roman" w:hAnsi="Times New Roman" w:cs="Times New Roman"/>
        <w:b/>
        <w:sz w:val="20"/>
        <w:szCs w:val="20"/>
      </w:rPr>
      <w:t xml:space="preserve">– </w:t>
    </w:r>
    <w:r>
      <w:rPr>
        <w:rFonts w:ascii="Times New Roman" w:hAnsi="Times New Roman" w:cs="Times New Roman"/>
        <w:sz w:val="20"/>
        <w:szCs w:val="20"/>
      </w:rPr>
      <w:t>2030 г.)</w:t>
    </w:r>
  </w:p>
  <w:p w14:paraId="68B3E339" w14:textId="77777777" w:rsidR="009A0A00" w:rsidRPr="008A6852" w:rsidRDefault="009A0A00">
    <w:pPr>
      <w:pStyle w:val="Footer"/>
      <w:jc w:val="right"/>
      <w:rPr>
        <w:rFonts w:ascii="Times New Roman" w:hAnsi="Times New Roman" w:cs="Times New Roman"/>
        <w:sz w:val="20"/>
        <w:szCs w:val="20"/>
      </w:rPr>
    </w:pPr>
    <w:r w:rsidRPr="008A6852">
      <w:rPr>
        <w:rFonts w:ascii="Times New Roman" w:hAnsi="Times New Roman" w:cs="Times New Roman"/>
        <w:sz w:val="20"/>
        <w:szCs w:val="20"/>
      </w:rPr>
      <w:t>стр.</w:t>
    </w:r>
    <w:sdt>
      <w:sdtPr>
        <w:rPr>
          <w:rFonts w:ascii="Times New Roman" w:hAnsi="Times New Roman" w:cs="Times New Roman"/>
          <w:sz w:val="20"/>
          <w:szCs w:val="20"/>
        </w:rPr>
        <w:id w:val="-1746180228"/>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r w:rsidRPr="008A6852">
              <w:rPr>
                <w:rFonts w:ascii="Times New Roman" w:hAnsi="Times New Roman" w:cs="Times New Roman"/>
                <w:sz w:val="20"/>
                <w:szCs w:val="20"/>
              </w:rPr>
              <w:t xml:space="preserve"> </w:t>
            </w:r>
            <w:r w:rsidRPr="008A6852">
              <w:rPr>
                <w:rFonts w:ascii="Times New Roman" w:hAnsi="Times New Roman" w:cs="Times New Roman"/>
                <w:bCs/>
                <w:sz w:val="20"/>
                <w:szCs w:val="20"/>
              </w:rPr>
              <w:fldChar w:fldCharType="begin"/>
            </w:r>
            <w:r w:rsidRPr="008A6852">
              <w:rPr>
                <w:rFonts w:ascii="Times New Roman" w:hAnsi="Times New Roman" w:cs="Times New Roman"/>
                <w:bCs/>
                <w:sz w:val="20"/>
                <w:szCs w:val="20"/>
              </w:rPr>
              <w:instrText xml:space="preserve"> PAGE </w:instrText>
            </w:r>
            <w:r w:rsidRPr="008A6852">
              <w:rPr>
                <w:rFonts w:ascii="Times New Roman" w:hAnsi="Times New Roman" w:cs="Times New Roman"/>
                <w:bCs/>
                <w:sz w:val="20"/>
                <w:szCs w:val="20"/>
              </w:rPr>
              <w:fldChar w:fldCharType="separate"/>
            </w:r>
            <w:r w:rsidR="00EC4E07">
              <w:rPr>
                <w:rFonts w:ascii="Times New Roman" w:hAnsi="Times New Roman" w:cs="Times New Roman"/>
                <w:bCs/>
                <w:noProof/>
                <w:sz w:val="20"/>
                <w:szCs w:val="20"/>
              </w:rPr>
              <w:t>264</w:t>
            </w:r>
            <w:r w:rsidRPr="008A6852">
              <w:rPr>
                <w:rFonts w:ascii="Times New Roman" w:hAnsi="Times New Roman" w:cs="Times New Roman"/>
                <w:bCs/>
                <w:sz w:val="20"/>
                <w:szCs w:val="20"/>
              </w:rPr>
              <w:fldChar w:fldCharType="end"/>
            </w:r>
            <w:r w:rsidRPr="008A6852">
              <w:rPr>
                <w:rFonts w:ascii="Times New Roman" w:hAnsi="Times New Roman" w:cs="Times New Roman"/>
                <w:sz w:val="20"/>
                <w:szCs w:val="20"/>
              </w:rPr>
              <w:t xml:space="preserve"> от </w:t>
            </w:r>
            <w:r w:rsidRPr="008A6852">
              <w:rPr>
                <w:rFonts w:ascii="Times New Roman" w:hAnsi="Times New Roman" w:cs="Times New Roman"/>
                <w:bCs/>
                <w:sz w:val="20"/>
                <w:szCs w:val="20"/>
              </w:rPr>
              <w:fldChar w:fldCharType="begin"/>
            </w:r>
            <w:r w:rsidRPr="008A6852">
              <w:rPr>
                <w:rFonts w:ascii="Times New Roman" w:hAnsi="Times New Roman" w:cs="Times New Roman"/>
                <w:bCs/>
                <w:sz w:val="20"/>
                <w:szCs w:val="20"/>
              </w:rPr>
              <w:instrText xml:space="preserve"> NUMPAGES  </w:instrText>
            </w:r>
            <w:r w:rsidRPr="008A6852">
              <w:rPr>
                <w:rFonts w:ascii="Times New Roman" w:hAnsi="Times New Roman" w:cs="Times New Roman"/>
                <w:bCs/>
                <w:sz w:val="20"/>
                <w:szCs w:val="20"/>
              </w:rPr>
              <w:fldChar w:fldCharType="separate"/>
            </w:r>
            <w:r w:rsidR="00EC4E07">
              <w:rPr>
                <w:rFonts w:ascii="Times New Roman" w:hAnsi="Times New Roman" w:cs="Times New Roman"/>
                <w:bCs/>
                <w:noProof/>
                <w:sz w:val="20"/>
                <w:szCs w:val="20"/>
              </w:rPr>
              <w:t>264</w:t>
            </w:r>
            <w:r w:rsidRPr="008A6852">
              <w:rPr>
                <w:rFonts w:ascii="Times New Roman" w:hAnsi="Times New Roman" w:cs="Times New Roman"/>
                <w:bCs/>
                <w:sz w:val="20"/>
                <w:szCs w:val="20"/>
              </w:rPr>
              <w:fldChar w:fldCharType="end"/>
            </w:r>
          </w:sdtContent>
        </w:sdt>
      </w:sdtContent>
    </w:sdt>
  </w:p>
  <w:p w14:paraId="58210368" w14:textId="77777777" w:rsidR="009A0A00" w:rsidRDefault="009A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D2468" w14:textId="77777777" w:rsidR="005B6D89" w:rsidRDefault="005B6D89" w:rsidP="006856A7">
      <w:pPr>
        <w:spacing w:after="0" w:line="240" w:lineRule="auto"/>
      </w:pPr>
      <w:r>
        <w:separator/>
      </w:r>
    </w:p>
  </w:footnote>
  <w:footnote w:type="continuationSeparator" w:id="0">
    <w:p w14:paraId="4D75D2DD" w14:textId="77777777" w:rsidR="005B6D89" w:rsidRDefault="005B6D89" w:rsidP="006856A7">
      <w:pPr>
        <w:spacing w:after="0" w:line="240" w:lineRule="auto"/>
      </w:pPr>
      <w:r>
        <w:continuationSeparator/>
      </w:r>
    </w:p>
  </w:footnote>
  <w:footnote w:id="1">
    <w:p w14:paraId="60458B16" w14:textId="77777777" w:rsidR="009A0A00" w:rsidRPr="00626C34" w:rsidRDefault="009A0A00" w:rsidP="006856A7">
      <w:pPr>
        <w:pStyle w:val="FootnoteText"/>
        <w:jc w:val="both"/>
        <w:rPr>
          <w:sz w:val="18"/>
          <w:szCs w:val="18"/>
          <w:lang w:val="ru-RU"/>
        </w:rPr>
      </w:pPr>
      <w:r w:rsidRPr="00626C34">
        <w:rPr>
          <w:rStyle w:val="FootnoteReference"/>
          <w:rFonts w:eastAsia="Calibri"/>
          <w:sz w:val="18"/>
          <w:szCs w:val="18"/>
        </w:rPr>
        <w:footnoteRef/>
      </w:r>
      <w:r w:rsidRPr="00626C34">
        <w:rPr>
          <w:sz w:val="18"/>
          <w:szCs w:val="18"/>
          <w:lang w:val="ru-RU"/>
        </w:rPr>
        <w:t xml:space="preserve"> </w:t>
      </w:r>
      <w:r w:rsidRPr="00626C34">
        <w:rPr>
          <w:sz w:val="18"/>
          <w:szCs w:val="18"/>
        </w:rPr>
        <w:t>Брой живородени деца на 1000 души от средногодишния брой на населението през годината.</w:t>
      </w:r>
    </w:p>
  </w:footnote>
  <w:footnote w:id="2">
    <w:p w14:paraId="66F5BEFB" w14:textId="77777777" w:rsidR="009A0A00" w:rsidRPr="00626C34" w:rsidRDefault="009A0A00" w:rsidP="006856A7">
      <w:pPr>
        <w:pStyle w:val="FootnoteText"/>
        <w:jc w:val="both"/>
        <w:rPr>
          <w:sz w:val="18"/>
          <w:szCs w:val="18"/>
          <w:lang w:val="ru-RU"/>
        </w:rPr>
      </w:pPr>
      <w:r w:rsidRPr="00626C34">
        <w:rPr>
          <w:rStyle w:val="FootnoteReference"/>
          <w:rFonts w:eastAsia="Calibri"/>
          <w:sz w:val="18"/>
          <w:szCs w:val="18"/>
        </w:rPr>
        <w:footnoteRef/>
      </w:r>
      <w:r w:rsidRPr="00626C34">
        <w:rPr>
          <w:sz w:val="18"/>
          <w:szCs w:val="18"/>
        </w:rPr>
        <w:t xml:space="preserve"> Брой умрели лица на 1000 души от средногодишния брой на населението.</w:t>
      </w:r>
    </w:p>
  </w:footnote>
  <w:footnote w:id="3">
    <w:p w14:paraId="7CAC83EA" w14:textId="77777777" w:rsidR="009A0A00" w:rsidRPr="00626C34" w:rsidRDefault="009A0A00" w:rsidP="005D64F0">
      <w:pPr>
        <w:pStyle w:val="FootnoteText"/>
        <w:jc w:val="both"/>
        <w:rPr>
          <w:sz w:val="18"/>
          <w:szCs w:val="18"/>
          <w:lang w:val="ru-RU"/>
        </w:rPr>
      </w:pPr>
      <w:r w:rsidRPr="00626C34">
        <w:rPr>
          <w:rStyle w:val="FootnoteReference"/>
          <w:sz w:val="18"/>
          <w:szCs w:val="18"/>
        </w:rPr>
        <w:footnoteRef/>
      </w:r>
      <w:r w:rsidRPr="00626C34">
        <w:rPr>
          <w:sz w:val="18"/>
          <w:szCs w:val="18"/>
          <w:lang w:val="ru-RU"/>
        </w:rPr>
        <w:t xml:space="preserve"> </w:t>
      </w:r>
      <w:r w:rsidRPr="00626C34">
        <w:rPr>
          <w:sz w:val="18"/>
          <w:szCs w:val="18"/>
        </w:rPr>
        <w:t>Брой живородени деца на 1000 души от средногодишния брой на населението през годината.</w:t>
      </w:r>
    </w:p>
  </w:footnote>
  <w:footnote w:id="4">
    <w:p w14:paraId="014D94F5" w14:textId="77777777" w:rsidR="009A0A00" w:rsidRPr="00626C34" w:rsidRDefault="009A0A00" w:rsidP="006856A7">
      <w:pPr>
        <w:pStyle w:val="FootnoteText"/>
        <w:jc w:val="both"/>
        <w:rPr>
          <w:sz w:val="18"/>
          <w:szCs w:val="18"/>
        </w:rPr>
      </w:pPr>
      <w:r w:rsidRPr="00626C34">
        <w:rPr>
          <w:rStyle w:val="FootnoteReference"/>
          <w:rFonts w:eastAsia="Calibri"/>
          <w:sz w:val="18"/>
          <w:szCs w:val="18"/>
        </w:rPr>
        <w:footnoteRef/>
      </w:r>
      <w:r w:rsidRPr="00626C34">
        <w:rPr>
          <w:sz w:val="18"/>
          <w:szCs w:val="18"/>
        </w:rPr>
        <w:t xml:space="preserve"> Среден брой живородени деца, които би родила една жена през целия си фертилен период съобразно повъзрастовата плодовитост през отчетната година. Тоталният коефициент на плодовитост, изчислен въз основа на фертилния контингент жени, който обхваща жените на възраст 15</w:t>
      </w:r>
      <w:r>
        <w:rPr>
          <w:sz w:val="18"/>
          <w:szCs w:val="18"/>
          <w:lang w:val="en-US"/>
        </w:rPr>
        <w:t xml:space="preserve"> </w:t>
      </w:r>
      <w:r w:rsidRPr="00102E61">
        <w:rPr>
          <w:b/>
          <w:sz w:val="18"/>
          <w:szCs w:val="18"/>
        </w:rPr>
        <w:t xml:space="preserve">– </w:t>
      </w:r>
      <w:r w:rsidRPr="00626C34">
        <w:rPr>
          <w:sz w:val="18"/>
          <w:szCs w:val="18"/>
        </w:rPr>
        <w:t>49 навършени години</w:t>
      </w:r>
      <w:r>
        <w:rPr>
          <w:sz w:val="18"/>
          <w:szCs w:val="18"/>
          <w:lang w:val="en-US"/>
        </w:rPr>
        <w:t>,</w:t>
      </w:r>
      <w:r w:rsidRPr="00626C34">
        <w:rPr>
          <w:sz w:val="18"/>
          <w:szCs w:val="18"/>
        </w:rPr>
        <w:t xml:space="preserve"> е преизчислен към 9.05.2024 г.</w:t>
      </w:r>
    </w:p>
  </w:footnote>
  <w:footnote w:id="5">
    <w:p w14:paraId="185832AE" w14:textId="77777777" w:rsidR="009A0A00" w:rsidRPr="00626C34" w:rsidRDefault="009A0A00" w:rsidP="00DA48E8">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сключени бракове на 1000 души от населението.</w:t>
      </w:r>
    </w:p>
  </w:footnote>
  <w:footnote w:id="6">
    <w:p w14:paraId="0A9CEF1E" w14:textId="77777777" w:rsidR="009A0A00" w:rsidRPr="00626C34" w:rsidRDefault="009A0A00" w:rsidP="00472C1E">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умрели лица на 1000 души от средногодишния брой на населението.</w:t>
      </w:r>
    </w:p>
  </w:footnote>
  <w:footnote w:id="7">
    <w:p w14:paraId="418E0FD4" w14:textId="77777777" w:rsidR="009A0A00" w:rsidRPr="00626C34" w:rsidRDefault="009A0A00" w:rsidP="007636B4">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умрели деца на възраст под 1 година на 1000 живородени.</w:t>
      </w:r>
    </w:p>
  </w:footnote>
  <w:footnote w:id="8">
    <w:p w14:paraId="02020383" w14:textId="77777777" w:rsidR="009A0A00" w:rsidRPr="00626C34" w:rsidRDefault="009A0A00" w:rsidP="007636B4">
      <w:pPr>
        <w:pStyle w:val="FootnoteText"/>
        <w:jc w:val="both"/>
        <w:rPr>
          <w:sz w:val="18"/>
          <w:szCs w:val="18"/>
        </w:rPr>
      </w:pPr>
      <w:r w:rsidRPr="00626C34">
        <w:rPr>
          <w:rStyle w:val="FootnoteReference"/>
          <w:sz w:val="18"/>
          <w:szCs w:val="18"/>
        </w:rPr>
        <w:footnoteRef/>
      </w:r>
      <w:r w:rsidRPr="00626C34">
        <w:rPr>
          <w:sz w:val="18"/>
          <w:szCs w:val="18"/>
        </w:rPr>
        <w:t xml:space="preserve"> Показателят за очакваната продължителност на живота показва средната продължителност на предстоящия живот на новородените при хипотеза за неизменност в интензивността на наблюдаваната през дадена година повъзрастова смъртност.</w:t>
      </w:r>
    </w:p>
    <w:p w14:paraId="224D58F6" w14:textId="77777777" w:rsidR="009A0A00" w:rsidRPr="00626C34" w:rsidRDefault="009A0A00" w:rsidP="007636B4">
      <w:pPr>
        <w:pStyle w:val="FootnoteText"/>
        <w:jc w:val="both"/>
        <w:rPr>
          <w:sz w:val="18"/>
          <w:szCs w:val="18"/>
        </w:rPr>
      </w:pPr>
      <w:r w:rsidRPr="00626C34">
        <w:rPr>
          <w:sz w:val="18"/>
          <w:szCs w:val="18"/>
        </w:rPr>
        <w:t>Подробна информация за очакваната средна продължителност на предстоящия живот за отделните възрасти е публикувана на сайта на НСИ в рубриката „Население и демографски процеси“, тема „Таблици за смъртност“.</w:t>
      </w:r>
    </w:p>
  </w:footnote>
  <w:footnote w:id="9">
    <w:p w14:paraId="0C5A9AD5" w14:textId="77777777" w:rsidR="009A0A00" w:rsidRDefault="009A0A00" w:rsidP="008564C3">
      <w:pPr>
        <w:pStyle w:val="FootnoteText"/>
        <w:rPr>
          <w:sz w:val="18"/>
          <w:szCs w:val="18"/>
        </w:rPr>
      </w:pPr>
      <w:r w:rsidRPr="00626C34">
        <w:rPr>
          <w:rStyle w:val="FootnoteReference"/>
          <w:rFonts w:eastAsia="Calibri"/>
          <w:sz w:val="18"/>
          <w:szCs w:val="18"/>
        </w:rPr>
        <w:footnoteRef/>
      </w:r>
      <w:r w:rsidRPr="00626C34">
        <w:rPr>
          <w:sz w:val="18"/>
          <w:szCs w:val="18"/>
          <w:lang w:val="ru-RU"/>
        </w:rPr>
        <w:t xml:space="preserve"> </w:t>
      </w:r>
      <w:r w:rsidRPr="00626C34">
        <w:rPr>
          <w:sz w:val="18"/>
          <w:szCs w:val="18"/>
        </w:rPr>
        <w:t>Източник</w:t>
      </w:r>
      <w:r w:rsidRPr="00626C34">
        <w:rPr>
          <w:sz w:val="18"/>
          <w:szCs w:val="18"/>
          <w:lang w:val="ru-RU"/>
        </w:rPr>
        <w:t>:</w:t>
      </w:r>
      <w:r w:rsidRPr="00626C34">
        <w:rPr>
          <w:sz w:val="18"/>
          <w:szCs w:val="18"/>
        </w:rPr>
        <w:t xml:space="preserve"> </w:t>
      </w:r>
    </w:p>
    <w:p w14:paraId="0AF2901C" w14:textId="77777777" w:rsidR="009A0A00" w:rsidRPr="00626C34" w:rsidRDefault="009A0A00" w:rsidP="008564C3">
      <w:pPr>
        <w:pStyle w:val="FootnoteText"/>
        <w:rPr>
          <w:sz w:val="18"/>
          <w:szCs w:val="18"/>
          <w:lang w:val="ru-RU"/>
        </w:rPr>
      </w:pPr>
      <w:r w:rsidRPr="00626C34">
        <w:rPr>
          <w:sz w:val="18"/>
          <w:szCs w:val="18"/>
        </w:rPr>
        <w:t>Евростат -</w:t>
      </w:r>
      <w:r>
        <w:rPr>
          <w:sz w:val="18"/>
          <w:szCs w:val="18"/>
          <w:lang w:val="en-US"/>
        </w:rPr>
        <w:t xml:space="preserve"> </w:t>
      </w:r>
      <w:hyperlink r:id="rId1" w:history="1">
        <w:r w:rsidRPr="00766125">
          <w:rPr>
            <w:rStyle w:val="Hyperlink"/>
            <w:sz w:val="18"/>
            <w:szCs w:val="18"/>
          </w:rPr>
          <w:t>https://ec.europa.eu/eurostat/databrowser/view/tps00005/default/table?lang=en&amp;category=t_demo.t_demo_ind</w:t>
        </w:r>
      </w:hyperlink>
      <w:r>
        <w:rPr>
          <w:sz w:val="18"/>
          <w:szCs w:val="18"/>
        </w:rPr>
        <w:t xml:space="preserve"> </w:t>
      </w:r>
    </w:p>
  </w:footnote>
  <w:footnote w:id="10">
    <w:p w14:paraId="168F3487" w14:textId="77777777" w:rsidR="009A0A00" w:rsidRPr="00626C34" w:rsidRDefault="009A0A00" w:rsidP="006856A7">
      <w:pPr>
        <w:pStyle w:val="FootnoteText"/>
        <w:rPr>
          <w:sz w:val="18"/>
          <w:szCs w:val="18"/>
          <w:lang w:val="ru-RU"/>
        </w:rPr>
      </w:pPr>
      <w:r w:rsidRPr="00626C34">
        <w:rPr>
          <w:rStyle w:val="FootnoteReference"/>
          <w:rFonts w:eastAsia="Calibri"/>
          <w:sz w:val="18"/>
          <w:szCs w:val="18"/>
        </w:rPr>
        <w:footnoteRef/>
      </w:r>
      <w:r w:rsidRPr="00626C34">
        <w:rPr>
          <w:sz w:val="18"/>
          <w:szCs w:val="18"/>
          <w:lang w:val="ru-RU"/>
        </w:rPr>
        <w:t xml:space="preserve"> </w:t>
      </w:r>
      <w:r w:rsidRPr="00626C34">
        <w:rPr>
          <w:sz w:val="18"/>
          <w:szCs w:val="18"/>
        </w:rPr>
        <w:t>Отношение на нетната миграция към средногодишното население през годината (на 1 000 души).</w:t>
      </w:r>
    </w:p>
  </w:footnote>
  <w:footnote w:id="11">
    <w:p w14:paraId="0EDED4EB" w14:textId="77777777" w:rsidR="009A0A00" w:rsidRPr="00626C34" w:rsidRDefault="009A0A00" w:rsidP="006856A7">
      <w:pPr>
        <w:pStyle w:val="FootnoteText"/>
        <w:jc w:val="both"/>
        <w:rPr>
          <w:sz w:val="18"/>
          <w:szCs w:val="18"/>
          <w:lang w:val="ru-RU"/>
        </w:rPr>
      </w:pPr>
      <w:r w:rsidRPr="00626C34">
        <w:rPr>
          <w:rStyle w:val="FootnoteReference"/>
          <w:rFonts w:eastAsia="Calibri"/>
          <w:sz w:val="18"/>
          <w:szCs w:val="18"/>
        </w:rPr>
        <w:footnoteRef/>
      </w:r>
      <w:r w:rsidRPr="00626C34">
        <w:rPr>
          <w:sz w:val="18"/>
          <w:szCs w:val="18"/>
          <w:lang w:val="ru-RU"/>
        </w:rPr>
        <w:t xml:space="preserve"> </w:t>
      </w:r>
      <w:r w:rsidRPr="00626C34">
        <w:rPr>
          <w:sz w:val="18"/>
          <w:szCs w:val="18"/>
        </w:rPr>
        <w:t>Разлика между броя на живородените и броя на умрелите на 1000 души от средногодишния брой на населението</w:t>
      </w:r>
      <w:r w:rsidRPr="00626C34">
        <w:rPr>
          <w:sz w:val="18"/>
          <w:szCs w:val="18"/>
          <w:lang w:val="ru-RU"/>
        </w:rPr>
        <w:t>.</w:t>
      </w:r>
    </w:p>
  </w:footnote>
  <w:footnote w:id="12">
    <w:p w14:paraId="159B05DA" w14:textId="77777777" w:rsidR="009A0A00" w:rsidRPr="00626C34" w:rsidRDefault="009A0A00" w:rsidP="005A284B">
      <w:pPr>
        <w:pStyle w:val="FootnoteText"/>
        <w:jc w:val="both"/>
        <w:rPr>
          <w:sz w:val="18"/>
          <w:szCs w:val="18"/>
          <w:lang w:val="ru-RU"/>
        </w:rPr>
      </w:pPr>
      <w:r w:rsidRPr="00626C34">
        <w:rPr>
          <w:rStyle w:val="FootnoteReference"/>
          <w:sz w:val="18"/>
          <w:szCs w:val="18"/>
        </w:rPr>
        <w:footnoteRef/>
      </w:r>
      <w:r w:rsidRPr="00626C34">
        <w:rPr>
          <w:sz w:val="18"/>
          <w:szCs w:val="18"/>
          <w:lang w:val="ru-RU"/>
        </w:rPr>
        <w:t xml:space="preserve"> </w:t>
      </w:r>
      <w:r w:rsidRPr="00626C34">
        <w:rPr>
          <w:sz w:val="18"/>
          <w:szCs w:val="18"/>
        </w:rPr>
        <w:t>Брой живородени деца на 1000 души от средногодишния брой на населението през годината.</w:t>
      </w:r>
    </w:p>
  </w:footnote>
  <w:footnote w:id="13">
    <w:p w14:paraId="773C44CC" w14:textId="77777777" w:rsidR="009A0A00" w:rsidRPr="00626C34" w:rsidRDefault="009A0A00" w:rsidP="005279F6">
      <w:pPr>
        <w:pStyle w:val="FootnoteText"/>
        <w:jc w:val="both"/>
        <w:rPr>
          <w:sz w:val="18"/>
          <w:szCs w:val="18"/>
        </w:rPr>
      </w:pPr>
      <w:r w:rsidRPr="00626C34">
        <w:rPr>
          <w:rStyle w:val="FootnoteReference"/>
          <w:sz w:val="18"/>
          <w:szCs w:val="18"/>
        </w:rPr>
        <w:footnoteRef/>
      </w:r>
      <w:r w:rsidRPr="00626C34">
        <w:rPr>
          <w:sz w:val="18"/>
          <w:szCs w:val="18"/>
        </w:rPr>
        <w:t xml:space="preserve"> Среден брой живородени деца, които би родила една жена през целия си фертилен период съобразно повъзрастовата плодовитост през отчетната година. Тоталният коефициент на плодовитост, изчислен въз основа на фертилния контингент жени, който обхваща жените на въ</w:t>
      </w:r>
      <w:r>
        <w:rPr>
          <w:sz w:val="18"/>
          <w:szCs w:val="18"/>
        </w:rPr>
        <w:t xml:space="preserve">зраст 15 </w:t>
      </w:r>
      <w:r w:rsidRPr="00102E61">
        <w:rPr>
          <w:b/>
          <w:sz w:val="18"/>
          <w:szCs w:val="18"/>
        </w:rPr>
        <w:t xml:space="preserve">– </w:t>
      </w:r>
      <w:r>
        <w:rPr>
          <w:sz w:val="18"/>
          <w:szCs w:val="18"/>
        </w:rPr>
        <w:t>49 навършени години.</w:t>
      </w:r>
    </w:p>
  </w:footnote>
  <w:footnote w:id="14">
    <w:p w14:paraId="5E2846AF" w14:textId="77777777" w:rsidR="009A0A00" w:rsidRPr="00626C34" w:rsidRDefault="009A0A00" w:rsidP="008C6518">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сключени бракове на 1000 души от населението.</w:t>
      </w:r>
    </w:p>
  </w:footnote>
  <w:footnote w:id="15">
    <w:p w14:paraId="4A2C9C16" w14:textId="77777777" w:rsidR="009A0A00" w:rsidRPr="00626C34" w:rsidRDefault="009A0A00" w:rsidP="008C6518">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умрели лица на 1000 души от средногодишния брой на населението.</w:t>
      </w:r>
    </w:p>
  </w:footnote>
  <w:footnote w:id="16">
    <w:p w14:paraId="2C6CE324" w14:textId="77777777" w:rsidR="009A0A00" w:rsidRPr="00626C34" w:rsidRDefault="009A0A00" w:rsidP="00741F91">
      <w:pPr>
        <w:pStyle w:val="FootnoteText"/>
        <w:jc w:val="both"/>
        <w:rPr>
          <w:sz w:val="18"/>
          <w:szCs w:val="18"/>
          <w:lang w:val="ru-RU"/>
        </w:rPr>
      </w:pPr>
      <w:r w:rsidRPr="00626C34">
        <w:rPr>
          <w:rStyle w:val="FootnoteReference"/>
          <w:sz w:val="18"/>
          <w:szCs w:val="18"/>
        </w:rPr>
        <w:footnoteRef/>
      </w:r>
      <w:r w:rsidRPr="00626C34">
        <w:rPr>
          <w:sz w:val="18"/>
          <w:szCs w:val="18"/>
        </w:rPr>
        <w:t xml:space="preserve"> Относителен дял на умрелите лица под 65-годишна възраст от общия брой на умиранията.</w:t>
      </w:r>
    </w:p>
  </w:footnote>
  <w:footnote w:id="17">
    <w:p w14:paraId="6852AC2D" w14:textId="77777777" w:rsidR="009A0A00" w:rsidRPr="00626C34" w:rsidRDefault="009A0A00" w:rsidP="00741F91">
      <w:pPr>
        <w:pStyle w:val="FootnoteText"/>
        <w:jc w:val="both"/>
        <w:rPr>
          <w:sz w:val="18"/>
          <w:szCs w:val="18"/>
          <w:lang w:val="ru-RU"/>
        </w:rPr>
      </w:pPr>
      <w:r w:rsidRPr="00626C34">
        <w:rPr>
          <w:rStyle w:val="FootnoteReference"/>
          <w:sz w:val="18"/>
          <w:szCs w:val="18"/>
        </w:rPr>
        <w:footnoteRef/>
      </w:r>
      <w:r w:rsidRPr="00626C34">
        <w:rPr>
          <w:sz w:val="18"/>
          <w:szCs w:val="18"/>
        </w:rPr>
        <w:t xml:space="preserve"> Брой умрели деца на възраст под 1 година на 1000 живородени.</w:t>
      </w:r>
    </w:p>
  </w:footnote>
  <w:footnote w:id="18">
    <w:p w14:paraId="46A41ADB" w14:textId="77777777" w:rsidR="009A0A00" w:rsidRPr="00626C34" w:rsidRDefault="009A0A00" w:rsidP="007D2504">
      <w:pPr>
        <w:pStyle w:val="FootnoteText"/>
        <w:jc w:val="both"/>
        <w:rPr>
          <w:sz w:val="18"/>
          <w:szCs w:val="18"/>
        </w:rPr>
      </w:pPr>
      <w:r w:rsidRPr="00626C34">
        <w:rPr>
          <w:rStyle w:val="FootnoteReference"/>
          <w:sz w:val="18"/>
          <w:szCs w:val="18"/>
        </w:rPr>
        <w:footnoteRef/>
      </w:r>
      <w:r w:rsidRPr="00626C34">
        <w:rPr>
          <w:sz w:val="18"/>
          <w:szCs w:val="18"/>
        </w:rPr>
        <w:t xml:space="preserve"> Показателят за очакваната продължителност на живота показва средната продължителност на предстоящия живот на новородените при хипотеза за неизменност в интензивността на наблюдаваната през дадена година повъзрастова смъртност.</w:t>
      </w:r>
    </w:p>
    <w:p w14:paraId="20A71B9A" w14:textId="77777777" w:rsidR="009A0A00" w:rsidRPr="00626C34" w:rsidRDefault="009A0A00" w:rsidP="007D2504">
      <w:pPr>
        <w:pStyle w:val="FootnoteText"/>
        <w:jc w:val="both"/>
        <w:rPr>
          <w:sz w:val="18"/>
          <w:szCs w:val="18"/>
        </w:rPr>
      </w:pPr>
      <w:r w:rsidRPr="00626C34">
        <w:rPr>
          <w:sz w:val="18"/>
          <w:szCs w:val="18"/>
        </w:rPr>
        <w:t>Подробна информация за очакваната средна продължителност на предстоящия живот за отделните възрасти е публикувана на сайта на НСИ в рубриката „Население и демографски процеси“, тема „Таблици за смъртност“.</w:t>
      </w:r>
    </w:p>
  </w:footnote>
  <w:footnote w:id="19">
    <w:p w14:paraId="45DAA6D5" w14:textId="77777777" w:rsidR="009A0A00" w:rsidRPr="00626C34" w:rsidRDefault="009A0A00" w:rsidP="00626C34">
      <w:pPr>
        <w:pStyle w:val="FootnoteText"/>
        <w:jc w:val="both"/>
        <w:rPr>
          <w:sz w:val="18"/>
          <w:szCs w:val="18"/>
          <w:lang w:val="ru-RU"/>
        </w:rPr>
      </w:pPr>
      <w:r w:rsidRPr="00626C34">
        <w:rPr>
          <w:rStyle w:val="FootnoteReference"/>
          <w:sz w:val="18"/>
          <w:szCs w:val="18"/>
        </w:rPr>
        <w:footnoteRef/>
      </w:r>
      <w:r w:rsidRPr="00626C34">
        <w:rPr>
          <w:sz w:val="18"/>
          <w:szCs w:val="18"/>
          <w:lang w:val="ru-RU"/>
        </w:rPr>
        <w:t xml:space="preserve"> </w:t>
      </w:r>
      <w:r w:rsidRPr="00626C34">
        <w:rPr>
          <w:sz w:val="18"/>
          <w:szCs w:val="18"/>
        </w:rPr>
        <w:t>Отношение на нетната миграция към средногодишното население през годината (на 1000 души).</w:t>
      </w:r>
    </w:p>
  </w:footnote>
  <w:footnote w:id="20">
    <w:p w14:paraId="703F0295" w14:textId="77777777" w:rsidR="009A0A00" w:rsidRPr="00626C34" w:rsidRDefault="009A0A00" w:rsidP="006F34AB">
      <w:pPr>
        <w:autoSpaceDE w:val="0"/>
        <w:autoSpaceDN w:val="0"/>
        <w:adjustRightInd w:val="0"/>
        <w:spacing w:after="0" w:line="240" w:lineRule="auto"/>
        <w:jc w:val="both"/>
        <w:rPr>
          <w:rFonts w:ascii="Times New Roman" w:hAnsi="Times New Roman" w:cs="Times New Roman"/>
          <w:sz w:val="18"/>
          <w:szCs w:val="18"/>
          <w:lang w:val="ru-RU"/>
        </w:rPr>
      </w:pPr>
      <w:r w:rsidRPr="00626C34">
        <w:rPr>
          <w:rStyle w:val="FootnoteReference"/>
          <w:rFonts w:ascii="Times New Roman" w:hAnsi="Times New Roman" w:cs="Times New Roman"/>
          <w:sz w:val="18"/>
          <w:szCs w:val="18"/>
        </w:rPr>
        <w:footnoteRef/>
      </w:r>
      <w:r w:rsidRPr="00626C34">
        <w:rPr>
          <w:rFonts w:ascii="Times New Roman" w:hAnsi="Times New Roman" w:cs="Times New Roman"/>
          <w:sz w:val="18"/>
          <w:szCs w:val="18"/>
        </w:rPr>
        <w:t xml:space="preserve"> </w:t>
      </w:r>
      <w:r w:rsidRPr="00626C34">
        <w:rPr>
          <w:rFonts w:ascii="Times New Roman" w:eastAsia="MinionPro-Regular" w:hAnsi="Times New Roman" w:cs="Times New Roman"/>
          <w:sz w:val="18"/>
          <w:szCs w:val="18"/>
        </w:rPr>
        <w:t xml:space="preserve">Възрастовите граници за разпределение на населението по категориите под, във и над трудоспособна възраст са определени съгласно Наредбата за пенсиите и осигурителния стаж, приета с Постановление №30 на МС (ДВ, бр. 21/17.03.2000 година). </w:t>
      </w:r>
    </w:p>
  </w:footnote>
  <w:footnote w:id="21">
    <w:p w14:paraId="3C52F9BA" w14:textId="77777777" w:rsidR="009A0A00" w:rsidRPr="001A6E32" w:rsidRDefault="009A0A00" w:rsidP="006F34AB">
      <w:pPr>
        <w:pStyle w:val="FootnoteText"/>
        <w:jc w:val="both"/>
        <w:rPr>
          <w:sz w:val="18"/>
          <w:szCs w:val="18"/>
        </w:rPr>
      </w:pPr>
      <w:r w:rsidRPr="001A6E32">
        <w:rPr>
          <w:rStyle w:val="FootnoteReference"/>
          <w:sz w:val="18"/>
          <w:szCs w:val="18"/>
        </w:rPr>
        <w:footnoteRef/>
      </w:r>
      <w:r w:rsidRPr="001A6E32">
        <w:rPr>
          <w:sz w:val="18"/>
          <w:szCs w:val="18"/>
        </w:rPr>
        <w:t xml:space="preserve"> Коефициентът на възрастова зависимост показва броя на лицата от населението в „зависимите“ възрасти (населението под 15 и на 65 и повече навършени години) на 100 лица от населението в „независимите“ възрасти (от 15 до 64 години). Изчислява се в проценти.</w:t>
      </w:r>
    </w:p>
  </w:footnote>
  <w:footnote w:id="22">
    <w:p w14:paraId="5643281D" w14:textId="77777777" w:rsidR="009A0A00" w:rsidRPr="001A6E32" w:rsidRDefault="009A0A00" w:rsidP="006856A7">
      <w:pPr>
        <w:spacing w:after="0" w:line="240" w:lineRule="auto"/>
        <w:jc w:val="both"/>
        <w:rPr>
          <w:rFonts w:ascii="Calibri" w:eastAsia="Calibri" w:hAnsi="Calibri" w:cs="Calibri"/>
          <w:color w:val="1F497D"/>
          <w:sz w:val="18"/>
          <w:szCs w:val="18"/>
        </w:rPr>
      </w:pPr>
      <w:r w:rsidRPr="00FA0B73">
        <w:rPr>
          <w:rStyle w:val="FootnoteReference"/>
          <w:rFonts w:ascii="Times New Roman" w:hAnsi="Times New Roman" w:cs="Times New Roman"/>
          <w:sz w:val="18"/>
          <w:szCs w:val="18"/>
        </w:rPr>
        <w:footnoteRef/>
      </w:r>
      <w:r w:rsidRPr="00FA0B73">
        <w:rPr>
          <w:rFonts w:ascii="Times New Roman" w:hAnsi="Times New Roman" w:cs="Times New Roman"/>
          <w:sz w:val="18"/>
          <w:szCs w:val="18"/>
        </w:rPr>
        <w:t xml:space="preserve"> </w:t>
      </w:r>
      <w:r w:rsidRPr="00FA0B73">
        <w:rPr>
          <w:rFonts w:ascii="Times New Roman" w:eastAsia="Calibri" w:hAnsi="Times New Roman" w:cs="Times New Roman"/>
          <w:sz w:val="18"/>
          <w:szCs w:val="18"/>
          <w:lang w:val="ru-RU"/>
        </w:rPr>
        <w:t xml:space="preserve">Лица в риск от бедност са тези, които живеят в домакинство с общ разполагаем нетен доход под линията на бедност. </w:t>
      </w:r>
      <w:r w:rsidRPr="00FA0B73">
        <w:rPr>
          <w:rFonts w:ascii="Times New Roman" w:eastAsia="Calibri" w:hAnsi="Times New Roman" w:cs="Times New Roman"/>
          <w:sz w:val="18"/>
          <w:szCs w:val="18"/>
        </w:rPr>
        <w:t xml:space="preserve">За изследване на равнището на бедност в методологията на Евростат се използва общ разполагаем нетен доход. </w:t>
      </w:r>
      <w:r w:rsidRPr="00FA0B73">
        <w:rPr>
          <w:rFonts w:ascii="Times New Roman" w:eastAsia="Calibri" w:hAnsi="Times New Roman" w:cs="Times New Roman"/>
          <w:sz w:val="18"/>
          <w:szCs w:val="18"/>
          <w:lang w:val="ru-RU"/>
        </w:rPr>
        <w:t xml:space="preserve">Линията на бедност представлява 60 на сто от медианния общ разполагаем нетен доход (след социалните трансфери) на еквивалентна единица. Поради различния състав и брой лица в домакинствата се прилагат еквивалентни скали. Използва се модифицираната скала на ОИСР, според която първият възрастен на 14 и повече навършени години получава тегло единица, вторият възрастен на 14 и повече навършени години </w:t>
      </w:r>
      <w:r w:rsidRPr="00102E61">
        <w:rPr>
          <w:rFonts w:ascii="Times New Roman" w:eastAsia="Calibri" w:hAnsi="Times New Roman" w:cs="Times New Roman"/>
          <w:b/>
          <w:sz w:val="18"/>
          <w:szCs w:val="18"/>
        </w:rPr>
        <w:t xml:space="preserve">– </w:t>
      </w:r>
      <w:r w:rsidRPr="00FA0B73">
        <w:rPr>
          <w:rFonts w:ascii="Times New Roman" w:eastAsia="Calibri" w:hAnsi="Times New Roman" w:cs="Times New Roman"/>
          <w:sz w:val="18"/>
          <w:szCs w:val="18"/>
          <w:lang w:val="ru-RU"/>
        </w:rPr>
        <w:t xml:space="preserve">тегло 0.5, и всяко дете под 14 години </w:t>
      </w:r>
      <w:r w:rsidRPr="00102E61">
        <w:rPr>
          <w:rFonts w:ascii="Times New Roman" w:eastAsia="Calibri" w:hAnsi="Times New Roman" w:cs="Times New Roman"/>
          <w:b/>
          <w:sz w:val="18"/>
          <w:szCs w:val="18"/>
        </w:rPr>
        <w:t xml:space="preserve">– </w:t>
      </w:r>
      <w:r w:rsidRPr="00FA0B73">
        <w:rPr>
          <w:rFonts w:ascii="Times New Roman" w:eastAsia="Calibri" w:hAnsi="Times New Roman" w:cs="Times New Roman"/>
          <w:sz w:val="18"/>
          <w:szCs w:val="18"/>
          <w:lang w:val="ru-RU"/>
        </w:rPr>
        <w:t>тегло 0.3. Теглата се присъждат на всеки член на домакинството и се сумират, за да се получи еквивалентен размер на домакинството. Общият разполагаем нетен доход за всяко домакинство се разделя на неговия еквивалентен размер и се формира общ разполагаем нетен доход на еквивалентна единица.</w:t>
      </w:r>
    </w:p>
  </w:footnote>
  <w:footnote w:id="23">
    <w:p w14:paraId="6966CEAD" w14:textId="77777777" w:rsidR="009A0A00" w:rsidRPr="00E15AAC" w:rsidRDefault="009A0A00" w:rsidP="006856A7">
      <w:pPr>
        <w:pStyle w:val="CommentText"/>
        <w:jc w:val="both"/>
      </w:pPr>
      <w:r w:rsidRPr="001A6E32">
        <w:rPr>
          <w:rStyle w:val="FootnoteReference"/>
          <w:rFonts w:eastAsia="Calibri"/>
          <w:sz w:val="18"/>
          <w:szCs w:val="18"/>
        </w:rPr>
        <w:footnoteRef/>
      </w:r>
      <w:r w:rsidRPr="001A6E32">
        <w:rPr>
          <w:sz w:val="18"/>
          <w:szCs w:val="18"/>
        </w:rPr>
        <w:t xml:space="preserve"> </w:t>
      </w:r>
      <w:hyperlink r:id="rId2" w:history="1">
        <w:r w:rsidRPr="001A6E32">
          <w:rPr>
            <w:rStyle w:val="Hyperlink"/>
            <w:sz w:val="18"/>
            <w:szCs w:val="18"/>
          </w:rPr>
          <w:t>Образование в Република България - 2024/2025 учебна година</w:t>
        </w:r>
      </w:hyperlink>
      <w:r>
        <w:t xml:space="preserve">  </w:t>
      </w:r>
      <w:r w:rsidRPr="00E15AAC">
        <w:t xml:space="preserve"> </w:t>
      </w:r>
    </w:p>
  </w:footnote>
  <w:footnote w:id="24">
    <w:p w14:paraId="2813C380" w14:textId="77777777" w:rsidR="009A0A00" w:rsidRPr="001A6E32" w:rsidRDefault="009A0A00">
      <w:pPr>
        <w:pStyle w:val="FootnoteText"/>
        <w:rPr>
          <w:sz w:val="18"/>
          <w:szCs w:val="18"/>
          <w:lang w:val="en-US"/>
        </w:rPr>
      </w:pPr>
      <w:r w:rsidRPr="001A6E32">
        <w:rPr>
          <w:rStyle w:val="FootnoteReference"/>
          <w:sz w:val="18"/>
          <w:szCs w:val="18"/>
        </w:rPr>
        <w:footnoteRef/>
      </w:r>
      <w:r w:rsidRPr="001A6E32">
        <w:rPr>
          <w:sz w:val="18"/>
          <w:szCs w:val="18"/>
        </w:rPr>
        <w:t>Груповият нетен коефициент на записване в училищното образование е изчислен в проценти като отношение на броя на учениците на възраст 7</w:t>
      </w:r>
      <w:r>
        <w:rPr>
          <w:sz w:val="18"/>
          <w:szCs w:val="18"/>
          <w:lang w:val="en-US"/>
        </w:rPr>
        <w:t xml:space="preserve"> </w:t>
      </w:r>
      <w:r w:rsidRPr="00102E61">
        <w:rPr>
          <w:b/>
          <w:sz w:val="18"/>
          <w:szCs w:val="18"/>
        </w:rPr>
        <w:t xml:space="preserve">– </w:t>
      </w:r>
      <w:r w:rsidRPr="001A6E32">
        <w:rPr>
          <w:sz w:val="18"/>
          <w:szCs w:val="18"/>
        </w:rPr>
        <w:t>10 години в началното образование, 11</w:t>
      </w:r>
      <w:r>
        <w:rPr>
          <w:sz w:val="18"/>
          <w:szCs w:val="18"/>
          <w:lang w:val="en-US"/>
        </w:rPr>
        <w:t xml:space="preserve"> </w:t>
      </w:r>
      <w:r w:rsidRPr="00102E61">
        <w:rPr>
          <w:b/>
          <w:sz w:val="18"/>
          <w:szCs w:val="18"/>
        </w:rPr>
        <w:t xml:space="preserve">– </w:t>
      </w:r>
      <w:r w:rsidRPr="001A6E32">
        <w:rPr>
          <w:sz w:val="18"/>
          <w:szCs w:val="18"/>
        </w:rPr>
        <w:t>13 години в прогимназиалното и 14</w:t>
      </w:r>
      <w:r>
        <w:rPr>
          <w:sz w:val="18"/>
          <w:szCs w:val="18"/>
          <w:lang w:val="en-US"/>
        </w:rPr>
        <w:t xml:space="preserve"> </w:t>
      </w:r>
      <w:r w:rsidRPr="00102E61">
        <w:rPr>
          <w:b/>
          <w:sz w:val="18"/>
          <w:szCs w:val="18"/>
        </w:rPr>
        <w:t xml:space="preserve">– </w:t>
      </w:r>
      <w:r w:rsidRPr="001A6E32">
        <w:rPr>
          <w:sz w:val="18"/>
          <w:szCs w:val="18"/>
        </w:rPr>
        <w:t>18 годни в гимназиалното образование към броя на населението в същите възрастови групи.</w:t>
      </w:r>
    </w:p>
  </w:footnote>
  <w:footnote w:id="25">
    <w:p w14:paraId="193FDA9F" w14:textId="77777777" w:rsidR="009A0A00" w:rsidRPr="001A6E32" w:rsidRDefault="009A0A00">
      <w:pPr>
        <w:pStyle w:val="FootnoteText"/>
        <w:rPr>
          <w:sz w:val="18"/>
          <w:szCs w:val="18"/>
        </w:rPr>
      </w:pPr>
      <w:r w:rsidRPr="001A6E32">
        <w:rPr>
          <w:rStyle w:val="FootnoteReference"/>
          <w:sz w:val="18"/>
          <w:szCs w:val="18"/>
        </w:rPr>
        <w:footnoteRef/>
      </w:r>
      <w:r w:rsidRPr="001A6E32">
        <w:rPr>
          <w:sz w:val="18"/>
          <w:szCs w:val="18"/>
        </w:rPr>
        <w:t xml:space="preserve"> За професионалното образование и обучение областите на образование са представени според Списъка на професиите за професионално образование и обучение.</w:t>
      </w:r>
    </w:p>
  </w:footnote>
  <w:footnote w:id="26">
    <w:p w14:paraId="41B2C66D" w14:textId="77777777" w:rsidR="009A0A00" w:rsidRPr="003D2EE5" w:rsidRDefault="009A0A00">
      <w:pPr>
        <w:pStyle w:val="FootnoteText"/>
        <w:rPr>
          <w:sz w:val="18"/>
          <w:szCs w:val="18"/>
        </w:rPr>
      </w:pPr>
      <w:r w:rsidRPr="003D2EE5">
        <w:rPr>
          <w:rStyle w:val="FootnoteReference"/>
          <w:sz w:val="18"/>
          <w:szCs w:val="18"/>
        </w:rPr>
        <w:footnoteRef/>
      </w:r>
      <w:r w:rsidRPr="003D2EE5">
        <w:rPr>
          <w:sz w:val="18"/>
          <w:szCs w:val="18"/>
        </w:rPr>
        <w:t xml:space="preserve"> Съгласно Класификация на областите на образование и обучение 2015 (КОО - 2015).</w:t>
      </w:r>
    </w:p>
  </w:footnote>
  <w:footnote w:id="27">
    <w:p w14:paraId="02731413" w14:textId="77777777" w:rsidR="009A0A00" w:rsidRPr="003D2EE5" w:rsidRDefault="009A0A00" w:rsidP="00FB5817">
      <w:pPr>
        <w:pStyle w:val="Default"/>
        <w:jc w:val="both"/>
        <w:rPr>
          <w:sz w:val="18"/>
          <w:szCs w:val="18"/>
        </w:rPr>
      </w:pPr>
      <w:r w:rsidRPr="003D2EE5">
        <w:rPr>
          <w:rStyle w:val="FootnoteReference"/>
          <w:sz w:val="18"/>
          <w:szCs w:val="18"/>
        </w:rPr>
        <w:footnoteRef/>
      </w:r>
      <w:r w:rsidRPr="003D2EE5">
        <w:rPr>
          <w:sz w:val="18"/>
          <w:szCs w:val="18"/>
        </w:rPr>
        <w:t xml:space="preserve"> Източник: Национален център за обществено здраве и анализи.</w:t>
      </w:r>
    </w:p>
  </w:footnote>
  <w:footnote w:id="28">
    <w:p w14:paraId="13D5D387" w14:textId="77777777" w:rsidR="009A0A00" w:rsidRPr="00764299" w:rsidRDefault="009A0A00" w:rsidP="006856A7">
      <w:pPr>
        <w:pStyle w:val="FootnoteText"/>
        <w:jc w:val="both"/>
        <w:rPr>
          <w:sz w:val="18"/>
          <w:szCs w:val="18"/>
        </w:rPr>
      </w:pPr>
      <w:r w:rsidRPr="00764299">
        <w:rPr>
          <w:rStyle w:val="FootnoteReference"/>
          <w:sz w:val="18"/>
          <w:szCs w:val="18"/>
        </w:rPr>
        <w:footnoteRef/>
      </w:r>
      <w:r w:rsidRPr="00764299">
        <w:rPr>
          <w:sz w:val="18"/>
          <w:szCs w:val="18"/>
        </w:rPr>
        <w:t xml:space="preserve"> </w:t>
      </w:r>
      <w:r w:rsidRPr="00764299">
        <w:rPr>
          <w:bCs/>
          <w:sz w:val="18"/>
          <w:szCs w:val="18"/>
        </w:rPr>
        <w:t>В категорията "Непоказано" са включени лицата, добавени от административни източници, за които липсва информация в използваните при преброяването регистри.</w:t>
      </w:r>
    </w:p>
  </w:footnote>
  <w:footnote w:id="29">
    <w:p w14:paraId="0D20A57C" w14:textId="77777777" w:rsidR="009A0A00" w:rsidRPr="009D413C" w:rsidRDefault="009A0A00" w:rsidP="00AF0334">
      <w:pPr>
        <w:pStyle w:val="FootnoteText"/>
        <w:jc w:val="both"/>
      </w:pPr>
      <w:r w:rsidRPr="009D413C">
        <w:rPr>
          <w:rStyle w:val="FootnoteReference"/>
          <w:rFonts w:eastAsia="Calibri"/>
        </w:rPr>
        <w:footnoteRef/>
      </w:r>
      <w:r>
        <w:t xml:space="preserve"> По данни на НСИ</w:t>
      </w:r>
      <w:r w:rsidRPr="009D413C">
        <w:t xml:space="preserve">: </w:t>
      </w:r>
      <w:hyperlink r:id="rId3" w:history="1">
        <w:r w:rsidRPr="009D413C">
          <w:rPr>
            <w:rStyle w:val="Hyperlink"/>
          </w:rPr>
          <w:t>Доходи, разходи и потреб</w:t>
        </w:r>
        <w:r>
          <w:rPr>
            <w:rStyle w:val="Hyperlink"/>
          </w:rPr>
          <w:t>ление на домакинствата през 2024</w:t>
        </w:r>
        <w:r w:rsidRPr="009D413C">
          <w:rPr>
            <w:rStyle w:val="Hyperlink"/>
          </w:rPr>
          <w:t xml:space="preserve"> година (nsi.bg)</w:t>
        </w:r>
      </w:hyperlink>
      <w:r w:rsidRPr="009D413C">
        <w:t xml:space="preserve"> </w:t>
      </w:r>
    </w:p>
  </w:footnote>
  <w:footnote w:id="30">
    <w:p w14:paraId="38793C72" w14:textId="77777777" w:rsidR="009A0A00" w:rsidRPr="00DE5C00" w:rsidRDefault="009A0A00" w:rsidP="00AF0334">
      <w:pPr>
        <w:pStyle w:val="FootnoteText"/>
        <w:jc w:val="both"/>
        <w:rPr>
          <w:sz w:val="18"/>
          <w:szCs w:val="18"/>
        </w:rPr>
      </w:pPr>
      <w:r w:rsidRPr="00DE5C00">
        <w:rPr>
          <w:rStyle w:val="FootnoteReference"/>
          <w:rFonts w:eastAsiaTheme="majorEastAsia"/>
          <w:sz w:val="18"/>
          <w:szCs w:val="18"/>
        </w:rPr>
        <w:footnoteRef/>
      </w:r>
      <w:r w:rsidRPr="00DE5C00">
        <w:rPr>
          <w:sz w:val="18"/>
          <w:szCs w:val="18"/>
        </w:rPr>
        <w:t xml:space="preserve"> Покупателната способност на домакинствата e количеството стоки от даден вид, което може да се купи с паричния доход средно на лице от домакинство, ако същият се изразходва изцяло за покупката на тази стока през съответната година.</w:t>
      </w:r>
    </w:p>
  </w:footnote>
  <w:footnote w:id="31">
    <w:p w14:paraId="1E10B64F" w14:textId="77777777" w:rsidR="009A0A00" w:rsidRPr="00EA60DC" w:rsidRDefault="009A0A00" w:rsidP="00A14A7B">
      <w:pPr>
        <w:pStyle w:val="FootnoteText"/>
        <w:jc w:val="both"/>
      </w:pPr>
      <w:r w:rsidRPr="00EA60DC">
        <w:rPr>
          <w:rStyle w:val="FootnoteReference"/>
        </w:rPr>
        <w:footnoteRef/>
      </w:r>
      <w:r w:rsidRPr="00EA60DC">
        <w:rPr>
          <w:lang w:val="ru-RU"/>
        </w:rPr>
        <w:t xml:space="preserve"> </w:t>
      </w:r>
      <w:r w:rsidRPr="00EA60DC">
        <w:t>НСИ,</w:t>
      </w:r>
      <w:r w:rsidRPr="00EA60DC">
        <w:rPr>
          <w:lang w:val="ru-RU"/>
        </w:rPr>
        <w:t xml:space="preserve"> Средногодишни ХИПЦ, предходните 12 месеца = 100</w:t>
      </w:r>
      <w:r w:rsidRPr="00EA60DC">
        <w:t xml:space="preserve">, достъпно на: </w:t>
      </w:r>
      <w:hyperlink r:id="rId4" w:history="1">
        <w:r w:rsidRPr="00EA60DC">
          <w:rPr>
            <w:rStyle w:val="Hyperlink"/>
          </w:rPr>
          <w:t>http://www.nsi.bg/sites/default/files/files/data/timeseries/HICP_2.5.xls</w:t>
        </w:r>
      </w:hyperlink>
      <w:r w:rsidRPr="00EA60DC">
        <w:t xml:space="preserve">;    </w:t>
      </w:r>
    </w:p>
  </w:footnote>
  <w:footnote w:id="32">
    <w:p w14:paraId="022EC6D3" w14:textId="77777777" w:rsidR="009A0A00" w:rsidRPr="00426EA4" w:rsidRDefault="009A0A00" w:rsidP="00533926">
      <w:pPr>
        <w:pStyle w:val="FootnoteText"/>
        <w:jc w:val="both"/>
      </w:pPr>
      <w:r w:rsidRPr="00426EA4">
        <w:rPr>
          <w:rStyle w:val="FootnoteReference"/>
        </w:rPr>
        <w:footnoteRef/>
      </w:r>
      <w:r w:rsidRPr="00426EA4">
        <w:t xml:space="preserve"> Съотношението на средната пенсия на пенсионер към средния осигурителен доход.</w:t>
      </w:r>
    </w:p>
  </w:footnote>
  <w:footnote w:id="33">
    <w:p w14:paraId="578E4320" w14:textId="77777777" w:rsidR="009A0A00" w:rsidRPr="004D79A8" w:rsidRDefault="009A0A00" w:rsidP="00533926">
      <w:pPr>
        <w:pStyle w:val="FootnoteText"/>
        <w:jc w:val="both"/>
        <w:rPr>
          <w:sz w:val="18"/>
          <w:szCs w:val="18"/>
        </w:rPr>
      </w:pPr>
      <w:r w:rsidRPr="00426EA4">
        <w:rPr>
          <w:rStyle w:val="FootnoteReference"/>
        </w:rPr>
        <w:footnoteRef/>
      </w:r>
      <w:r w:rsidRPr="00426EA4">
        <w:t xml:space="preserve"> Съотношението на средномесечния размер на пенсията на пенсионер и средния нетен осигурителен доход (без задължителните удръжки върху заплатите.</w:t>
      </w:r>
    </w:p>
  </w:footnote>
  <w:footnote w:id="34">
    <w:p w14:paraId="07B1FE7E" w14:textId="77777777" w:rsidR="009A0A00" w:rsidRPr="006F16D6" w:rsidRDefault="009A0A00" w:rsidP="00186559">
      <w:pPr>
        <w:pStyle w:val="FootnoteText"/>
        <w:jc w:val="both"/>
      </w:pPr>
      <w:r>
        <w:rPr>
          <w:rStyle w:val="FootnoteReference"/>
          <w:rFonts w:eastAsiaTheme="majorEastAsia"/>
        </w:rPr>
        <w:footnoteRef/>
      </w:r>
      <w:r>
        <w:t xml:space="preserve"> </w:t>
      </w:r>
      <w:r w:rsidRPr="006F16D6">
        <w:t xml:space="preserve">За остойностяването на този индикатор е наложително въвеждане на форми за отчетност на изпълнението на мерки, програми и дейности по основните социо-демографски характеристики на бенефициентите – по пол, възраст, образование, увреждане, етническа принадлежност (при спазване на принципа за самоопределяне), изповядвана религия (при спазване на принципа за самоопределяне), сексуална ориентация (при спазване на принципа за самоопределяне), доходен статус и др.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57A0" w14:textId="1C9E3C17" w:rsidR="009A0A00" w:rsidRPr="007575B5" w:rsidRDefault="009A0A00" w:rsidP="007575B5">
    <w:pPr>
      <w:spacing w:after="0" w:line="240" w:lineRule="auto"/>
      <w:jc w:val="right"/>
      <w:rPr>
        <w:rFonts w:ascii="Times New Roman" w:eastAsia="Calibri" w:hAnsi="Times New Roman" w:cs="Times New Roman"/>
        <w:sz w:val="24"/>
        <w:szCs w:val="24"/>
      </w:rPr>
    </w:pPr>
  </w:p>
  <w:p w14:paraId="19519135" w14:textId="7D73FAD2" w:rsidR="009A0A00" w:rsidRPr="007575B5" w:rsidRDefault="009A0A00" w:rsidP="007575B5">
    <w:pPr>
      <w:spacing w:after="0" w:line="240" w:lineRule="auto"/>
      <w:jc w:val="right"/>
      <w:rPr>
        <w:rFonts w:ascii="Times New Roman" w:eastAsia="Calibri" w:hAnsi="Times New Roman" w:cs="Times New Roman"/>
        <w:color w:val="FFFFFF"/>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CBC"/>
    <w:multiLevelType w:val="hybridMultilevel"/>
    <w:tmpl w:val="8C669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745665"/>
    <w:multiLevelType w:val="hybridMultilevel"/>
    <w:tmpl w:val="8A9058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3B7372B"/>
    <w:multiLevelType w:val="hybridMultilevel"/>
    <w:tmpl w:val="39F262F4"/>
    <w:lvl w:ilvl="0" w:tplc="AB903202">
      <w:start w:val="9"/>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 w15:restartNumberingAfterBreak="0">
    <w:nsid w:val="05B92E31"/>
    <w:multiLevelType w:val="hybridMultilevel"/>
    <w:tmpl w:val="9B30E97C"/>
    <w:lvl w:ilvl="0" w:tplc="4F40C244">
      <w:start w:val="1"/>
      <w:numFmt w:val="bullet"/>
      <w:lvlText w:val="-"/>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6634382"/>
    <w:multiLevelType w:val="hybridMultilevel"/>
    <w:tmpl w:val="231418D2"/>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6F33B2E"/>
    <w:multiLevelType w:val="hybridMultilevel"/>
    <w:tmpl w:val="F3F0F640"/>
    <w:lvl w:ilvl="0" w:tplc="4CFE3D20">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7DF162B"/>
    <w:multiLevelType w:val="hybridMultilevel"/>
    <w:tmpl w:val="33BE86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87114EB"/>
    <w:multiLevelType w:val="hybridMultilevel"/>
    <w:tmpl w:val="3C200EC4"/>
    <w:lvl w:ilvl="0" w:tplc="A860E03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8E9036A"/>
    <w:multiLevelType w:val="hybridMultilevel"/>
    <w:tmpl w:val="381CDC64"/>
    <w:lvl w:ilvl="0" w:tplc="4CFE3D20">
      <w:start w:val="9"/>
      <w:numFmt w:val="bullet"/>
      <w:lvlText w:val="-"/>
      <w:lvlJc w:val="left"/>
      <w:pPr>
        <w:ind w:left="1400" w:hanging="360"/>
      </w:pPr>
      <w:rPr>
        <w:rFonts w:ascii="Times New Roman" w:eastAsia="Times New Roman" w:hAnsi="Times New Roman" w:cs="Times New Roman" w:hint="default"/>
      </w:rPr>
    </w:lvl>
    <w:lvl w:ilvl="1" w:tplc="04020003" w:tentative="1">
      <w:start w:val="1"/>
      <w:numFmt w:val="bullet"/>
      <w:lvlText w:val="o"/>
      <w:lvlJc w:val="left"/>
      <w:pPr>
        <w:ind w:left="2120" w:hanging="360"/>
      </w:pPr>
      <w:rPr>
        <w:rFonts w:ascii="Courier New" w:hAnsi="Courier New" w:cs="Courier New" w:hint="default"/>
      </w:rPr>
    </w:lvl>
    <w:lvl w:ilvl="2" w:tplc="04020005" w:tentative="1">
      <w:start w:val="1"/>
      <w:numFmt w:val="bullet"/>
      <w:lvlText w:val=""/>
      <w:lvlJc w:val="left"/>
      <w:pPr>
        <w:ind w:left="2840" w:hanging="360"/>
      </w:pPr>
      <w:rPr>
        <w:rFonts w:ascii="Wingdings" w:hAnsi="Wingdings" w:hint="default"/>
      </w:rPr>
    </w:lvl>
    <w:lvl w:ilvl="3" w:tplc="04020001" w:tentative="1">
      <w:start w:val="1"/>
      <w:numFmt w:val="bullet"/>
      <w:lvlText w:val=""/>
      <w:lvlJc w:val="left"/>
      <w:pPr>
        <w:ind w:left="3560" w:hanging="360"/>
      </w:pPr>
      <w:rPr>
        <w:rFonts w:ascii="Symbol" w:hAnsi="Symbol" w:hint="default"/>
      </w:rPr>
    </w:lvl>
    <w:lvl w:ilvl="4" w:tplc="04020003" w:tentative="1">
      <w:start w:val="1"/>
      <w:numFmt w:val="bullet"/>
      <w:lvlText w:val="o"/>
      <w:lvlJc w:val="left"/>
      <w:pPr>
        <w:ind w:left="4280" w:hanging="360"/>
      </w:pPr>
      <w:rPr>
        <w:rFonts w:ascii="Courier New" w:hAnsi="Courier New" w:cs="Courier New" w:hint="default"/>
      </w:rPr>
    </w:lvl>
    <w:lvl w:ilvl="5" w:tplc="04020005" w:tentative="1">
      <w:start w:val="1"/>
      <w:numFmt w:val="bullet"/>
      <w:lvlText w:val=""/>
      <w:lvlJc w:val="left"/>
      <w:pPr>
        <w:ind w:left="5000" w:hanging="360"/>
      </w:pPr>
      <w:rPr>
        <w:rFonts w:ascii="Wingdings" w:hAnsi="Wingdings" w:hint="default"/>
      </w:rPr>
    </w:lvl>
    <w:lvl w:ilvl="6" w:tplc="04020001" w:tentative="1">
      <w:start w:val="1"/>
      <w:numFmt w:val="bullet"/>
      <w:lvlText w:val=""/>
      <w:lvlJc w:val="left"/>
      <w:pPr>
        <w:ind w:left="5720" w:hanging="360"/>
      </w:pPr>
      <w:rPr>
        <w:rFonts w:ascii="Symbol" w:hAnsi="Symbol" w:hint="default"/>
      </w:rPr>
    </w:lvl>
    <w:lvl w:ilvl="7" w:tplc="04020003" w:tentative="1">
      <w:start w:val="1"/>
      <w:numFmt w:val="bullet"/>
      <w:lvlText w:val="o"/>
      <w:lvlJc w:val="left"/>
      <w:pPr>
        <w:ind w:left="6440" w:hanging="360"/>
      </w:pPr>
      <w:rPr>
        <w:rFonts w:ascii="Courier New" w:hAnsi="Courier New" w:cs="Courier New" w:hint="default"/>
      </w:rPr>
    </w:lvl>
    <w:lvl w:ilvl="8" w:tplc="04020005" w:tentative="1">
      <w:start w:val="1"/>
      <w:numFmt w:val="bullet"/>
      <w:lvlText w:val=""/>
      <w:lvlJc w:val="left"/>
      <w:pPr>
        <w:ind w:left="7160" w:hanging="360"/>
      </w:pPr>
      <w:rPr>
        <w:rFonts w:ascii="Wingdings" w:hAnsi="Wingdings" w:hint="default"/>
      </w:rPr>
    </w:lvl>
  </w:abstractNum>
  <w:abstractNum w:abstractNumId="9" w15:restartNumberingAfterBreak="0">
    <w:nsid w:val="099553B1"/>
    <w:multiLevelType w:val="hybridMultilevel"/>
    <w:tmpl w:val="FDBCC2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0A2447D6"/>
    <w:multiLevelType w:val="hybridMultilevel"/>
    <w:tmpl w:val="22A69B7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 w15:restartNumberingAfterBreak="0">
    <w:nsid w:val="0AFA539B"/>
    <w:multiLevelType w:val="hybridMultilevel"/>
    <w:tmpl w:val="CEE6F236"/>
    <w:lvl w:ilvl="0" w:tplc="B276FBAA">
      <w:start w:val="1"/>
      <w:numFmt w:val="bullet"/>
      <w:pStyle w:val="ListParagraph2"/>
      <w:suff w:val="space"/>
      <w:lvlText w:val=""/>
      <w:lvlJc w:val="left"/>
      <w:pPr>
        <w:ind w:left="568" w:firstLine="0"/>
      </w:pPr>
      <w:rPr>
        <w:rFonts w:ascii="Wingdings" w:hAnsi="Wingdings" w:hint="default"/>
      </w:rPr>
    </w:lvl>
    <w:lvl w:ilvl="1" w:tplc="04090003">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2" w15:restartNumberingAfterBreak="0">
    <w:nsid w:val="0B4A3A6B"/>
    <w:multiLevelType w:val="hybridMultilevel"/>
    <w:tmpl w:val="B84CF24E"/>
    <w:lvl w:ilvl="0" w:tplc="D79E6C72">
      <w:start w:val="1"/>
      <w:numFmt w:val="bullet"/>
      <w:pStyle w:val="Para"/>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B74228E"/>
    <w:multiLevelType w:val="hybridMultilevel"/>
    <w:tmpl w:val="9B04654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4" w15:restartNumberingAfterBreak="0">
    <w:nsid w:val="0C8F0282"/>
    <w:multiLevelType w:val="hybridMultilevel"/>
    <w:tmpl w:val="DC9036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0E660CA3"/>
    <w:multiLevelType w:val="hybridMultilevel"/>
    <w:tmpl w:val="D7289F3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15:restartNumberingAfterBreak="0">
    <w:nsid w:val="0F170D10"/>
    <w:multiLevelType w:val="multilevel"/>
    <w:tmpl w:val="A33255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FC932BA"/>
    <w:multiLevelType w:val="hybridMultilevel"/>
    <w:tmpl w:val="235E351A"/>
    <w:lvl w:ilvl="0" w:tplc="6EA2DCCE">
      <w:start w:val="1"/>
      <w:numFmt w:val="bullet"/>
      <w:lvlText w:val=""/>
      <w:lvlJc w:val="left"/>
      <w:pPr>
        <w:ind w:left="730" w:hanging="360"/>
      </w:pPr>
      <w:rPr>
        <w:rFonts w:ascii="Wingdings" w:hAnsi="Wingdings" w:hint="default"/>
        <w:b/>
      </w:rPr>
    </w:lvl>
    <w:lvl w:ilvl="1" w:tplc="04020003" w:tentative="1">
      <w:start w:val="1"/>
      <w:numFmt w:val="bullet"/>
      <w:lvlText w:val="o"/>
      <w:lvlJc w:val="left"/>
      <w:pPr>
        <w:ind w:left="1450" w:hanging="360"/>
      </w:pPr>
      <w:rPr>
        <w:rFonts w:ascii="Courier New" w:hAnsi="Courier New" w:cs="Courier New" w:hint="default"/>
      </w:rPr>
    </w:lvl>
    <w:lvl w:ilvl="2" w:tplc="04020005" w:tentative="1">
      <w:start w:val="1"/>
      <w:numFmt w:val="bullet"/>
      <w:lvlText w:val=""/>
      <w:lvlJc w:val="left"/>
      <w:pPr>
        <w:ind w:left="2170" w:hanging="360"/>
      </w:pPr>
      <w:rPr>
        <w:rFonts w:ascii="Wingdings" w:hAnsi="Wingdings" w:hint="default"/>
      </w:rPr>
    </w:lvl>
    <w:lvl w:ilvl="3" w:tplc="04020001" w:tentative="1">
      <w:start w:val="1"/>
      <w:numFmt w:val="bullet"/>
      <w:lvlText w:val=""/>
      <w:lvlJc w:val="left"/>
      <w:pPr>
        <w:ind w:left="2890" w:hanging="360"/>
      </w:pPr>
      <w:rPr>
        <w:rFonts w:ascii="Symbol" w:hAnsi="Symbol" w:hint="default"/>
      </w:rPr>
    </w:lvl>
    <w:lvl w:ilvl="4" w:tplc="04020003" w:tentative="1">
      <w:start w:val="1"/>
      <w:numFmt w:val="bullet"/>
      <w:lvlText w:val="o"/>
      <w:lvlJc w:val="left"/>
      <w:pPr>
        <w:ind w:left="3610" w:hanging="360"/>
      </w:pPr>
      <w:rPr>
        <w:rFonts w:ascii="Courier New" w:hAnsi="Courier New" w:cs="Courier New" w:hint="default"/>
      </w:rPr>
    </w:lvl>
    <w:lvl w:ilvl="5" w:tplc="04020005" w:tentative="1">
      <w:start w:val="1"/>
      <w:numFmt w:val="bullet"/>
      <w:lvlText w:val=""/>
      <w:lvlJc w:val="left"/>
      <w:pPr>
        <w:ind w:left="4330" w:hanging="360"/>
      </w:pPr>
      <w:rPr>
        <w:rFonts w:ascii="Wingdings" w:hAnsi="Wingdings" w:hint="default"/>
      </w:rPr>
    </w:lvl>
    <w:lvl w:ilvl="6" w:tplc="04020001" w:tentative="1">
      <w:start w:val="1"/>
      <w:numFmt w:val="bullet"/>
      <w:lvlText w:val=""/>
      <w:lvlJc w:val="left"/>
      <w:pPr>
        <w:ind w:left="5050" w:hanging="360"/>
      </w:pPr>
      <w:rPr>
        <w:rFonts w:ascii="Symbol" w:hAnsi="Symbol" w:hint="default"/>
      </w:rPr>
    </w:lvl>
    <w:lvl w:ilvl="7" w:tplc="04020003" w:tentative="1">
      <w:start w:val="1"/>
      <w:numFmt w:val="bullet"/>
      <w:lvlText w:val="o"/>
      <w:lvlJc w:val="left"/>
      <w:pPr>
        <w:ind w:left="5770" w:hanging="360"/>
      </w:pPr>
      <w:rPr>
        <w:rFonts w:ascii="Courier New" w:hAnsi="Courier New" w:cs="Courier New" w:hint="default"/>
      </w:rPr>
    </w:lvl>
    <w:lvl w:ilvl="8" w:tplc="04020005" w:tentative="1">
      <w:start w:val="1"/>
      <w:numFmt w:val="bullet"/>
      <w:lvlText w:val=""/>
      <w:lvlJc w:val="left"/>
      <w:pPr>
        <w:ind w:left="6490" w:hanging="360"/>
      </w:pPr>
      <w:rPr>
        <w:rFonts w:ascii="Wingdings" w:hAnsi="Wingdings" w:hint="default"/>
      </w:rPr>
    </w:lvl>
  </w:abstractNum>
  <w:abstractNum w:abstractNumId="18" w15:restartNumberingAfterBreak="0">
    <w:nsid w:val="1298009A"/>
    <w:multiLevelType w:val="hybridMultilevel"/>
    <w:tmpl w:val="7E9835C6"/>
    <w:lvl w:ilvl="0" w:tplc="FA68EDCE">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15:restartNumberingAfterBreak="0">
    <w:nsid w:val="15854361"/>
    <w:multiLevelType w:val="hybridMultilevel"/>
    <w:tmpl w:val="37948D18"/>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15E068B2"/>
    <w:multiLevelType w:val="hybridMultilevel"/>
    <w:tmpl w:val="7A465D70"/>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15F22A3B"/>
    <w:multiLevelType w:val="hybridMultilevel"/>
    <w:tmpl w:val="9230B9E2"/>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start w:val="1"/>
      <w:numFmt w:val="bullet"/>
      <w:lvlText w:val="o"/>
      <w:lvlJc w:val="left"/>
      <w:pPr>
        <w:ind w:left="3647" w:hanging="360"/>
      </w:pPr>
      <w:rPr>
        <w:rFonts w:ascii="Courier New" w:hAnsi="Courier New" w:cs="Courier New" w:hint="default"/>
      </w:rPr>
    </w:lvl>
    <w:lvl w:ilvl="5" w:tplc="04090005">
      <w:start w:val="1"/>
      <w:numFmt w:val="bullet"/>
      <w:lvlText w:val=""/>
      <w:lvlJc w:val="left"/>
      <w:pPr>
        <w:ind w:left="4367" w:hanging="360"/>
      </w:pPr>
      <w:rPr>
        <w:rFonts w:ascii="Wingdings" w:hAnsi="Wingdings" w:hint="default"/>
      </w:rPr>
    </w:lvl>
    <w:lvl w:ilvl="6" w:tplc="04090001">
      <w:start w:val="1"/>
      <w:numFmt w:val="bullet"/>
      <w:lvlText w:val=""/>
      <w:lvlJc w:val="left"/>
      <w:pPr>
        <w:ind w:left="5087" w:hanging="360"/>
      </w:pPr>
      <w:rPr>
        <w:rFonts w:ascii="Symbol" w:hAnsi="Symbol" w:hint="default"/>
      </w:rPr>
    </w:lvl>
    <w:lvl w:ilvl="7" w:tplc="04090003">
      <w:start w:val="1"/>
      <w:numFmt w:val="bullet"/>
      <w:lvlText w:val="o"/>
      <w:lvlJc w:val="left"/>
      <w:pPr>
        <w:ind w:left="5807" w:hanging="360"/>
      </w:pPr>
      <w:rPr>
        <w:rFonts w:ascii="Courier New" w:hAnsi="Courier New" w:cs="Courier New" w:hint="default"/>
      </w:rPr>
    </w:lvl>
    <w:lvl w:ilvl="8" w:tplc="04090005">
      <w:start w:val="1"/>
      <w:numFmt w:val="bullet"/>
      <w:lvlText w:val=""/>
      <w:lvlJc w:val="left"/>
      <w:pPr>
        <w:ind w:left="6527" w:hanging="360"/>
      </w:pPr>
      <w:rPr>
        <w:rFonts w:ascii="Wingdings" w:hAnsi="Wingdings" w:hint="default"/>
      </w:rPr>
    </w:lvl>
  </w:abstractNum>
  <w:abstractNum w:abstractNumId="22" w15:restartNumberingAfterBreak="0">
    <w:nsid w:val="17CC2366"/>
    <w:multiLevelType w:val="hybridMultilevel"/>
    <w:tmpl w:val="1758FA54"/>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1B5248CE"/>
    <w:multiLevelType w:val="hybridMultilevel"/>
    <w:tmpl w:val="E1F2C5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1B6B1952"/>
    <w:multiLevelType w:val="hybridMultilevel"/>
    <w:tmpl w:val="91F628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1BD6189D"/>
    <w:multiLevelType w:val="hybridMultilevel"/>
    <w:tmpl w:val="E70071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1C5515B4"/>
    <w:multiLevelType w:val="hybridMultilevel"/>
    <w:tmpl w:val="2FB6B238"/>
    <w:lvl w:ilvl="0" w:tplc="9E384B6A">
      <w:start w:val="1"/>
      <w:numFmt w:val="decimal"/>
      <w:lvlText w:val="%1."/>
      <w:lvlJc w:val="left"/>
      <w:pPr>
        <w:ind w:left="750" w:hanging="39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1CCF78C6"/>
    <w:multiLevelType w:val="hybridMultilevel"/>
    <w:tmpl w:val="203CE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D075C93"/>
    <w:multiLevelType w:val="hybridMultilevel"/>
    <w:tmpl w:val="7730C70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1E637CE0"/>
    <w:multiLevelType w:val="hybridMultilevel"/>
    <w:tmpl w:val="E668B9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20B036EC"/>
    <w:multiLevelType w:val="hybridMultilevel"/>
    <w:tmpl w:val="602A8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0B44AE5"/>
    <w:multiLevelType w:val="hybridMultilevel"/>
    <w:tmpl w:val="D910BC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21EC1A85"/>
    <w:multiLevelType w:val="multilevel"/>
    <w:tmpl w:val="46DAA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6316DEF"/>
    <w:multiLevelType w:val="hybridMultilevel"/>
    <w:tmpl w:val="4CD4E4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293332B9"/>
    <w:multiLevelType w:val="hybridMultilevel"/>
    <w:tmpl w:val="40CC4192"/>
    <w:lvl w:ilvl="0" w:tplc="D71ABADE">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2A8206B9"/>
    <w:multiLevelType w:val="multilevel"/>
    <w:tmpl w:val="8974BAB6"/>
    <w:lvl w:ilvl="0">
      <w:start w:val="1"/>
      <w:numFmt w:val="decimal"/>
      <w:lvlText w:val="%1."/>
      <w:lvlJc w:val="left"/>
      <w:pPr>
        <w:ind w:left="540" w:hanging="540"/>
      </w:pPr>
      <w:rPr>
        <w:rFonts w:hint="default"/>
      </w:rPr>
    </w:lvl>
    <w:lvl w:ilvl="1">
      <w:start w:val="1"/>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6" w15:restartNumberingAfterBreak="0">
    <w:nsid w:val="2B36702B"/>
    <w:multiLevelType w:val="hybridMultilevel"/>
    <w:tmpl w:val="1304BC74"/>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7" w15:restartNumberingAfterBreak="0">
    <w:nsid w:val="2C6E30CD"/>
    <w:multiLevelType w:val="hybridMultilevel"/>
    <w:tmpl w:val="CCE89ACA"/>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8" w15:restartNumberingAfterBreak="0">
    <w:nsid w:val="300316E9"/>
    <w:multiLevelType w:val="hybridMultilevel"/>
    <w:tmpl w:val="F724CDD4"/>
    <w:lvl w:ilvl="0" w:tplc="B298E7B6">
      <w:start w:val="1"/>
      <w:numFmt w:val="decimal"/>
      <w:lvlText w:val="%1."/>
      <w:lvlJc w:val="left"/>
      <w:pPr>
        <w:ind w:left="786" w:hanging="360"/>
      </w:pPr>
      <w:rPr>
        <w:rFonts w:hint="default"/>
        <w:b w:val="0"/>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39" w15:restartNumberingAfterBreak="0">
    <w:nsid w:val="32DE1ACB"/>
    <w:multiLevelType w:val="multilevel"/>
    <w:tmpl w:val="65CCCC44"/>
    <w:lvl w:ilvl="0">
      <w:start w:val="1"/>
      <w:numFmt w:val="bullet"/>
      <w:pStyle w:val="bodyt"/>
      <w:lvlText w:val=""/>
      <w:lvlJc w:val="left"/>
      <w:pPr>
        <w:tabs>
          <w:tab w:val="num" w:pos="1284"/>
        </w:tabs>
        <w:ind w:left="1264" w:hanging="340"/>
      </w:pPr>
      <w:rPr>
        <w:rFonts w:ascii="Wingdings" w:hAnsi="Wingdings"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33190C64"/>
    <w:multiLevelType w:val="hybridMultilevel"/>
    <w:tmpl w:val="93C8E974"/>
    <w:lvl w:ilvl="0" w:tplc="04090001">
      <w:start w:val="1"/>
      <w:numFmt w:val="bullet"/>
      <w:lvlText w:val=""/>
      <w:lvlJc w:val="left"/>
      <w:pPr>
        <w:ind w:left="1431" w:hanging="360"/>
      </w:pPr>
      <w:rPr>
        <w:rFonts w:ascii="Symbol" w:hAnsi="Symbol" w:hint="default"/>
      </w:rPr>
    </w:lvl>
    <w:lvl w:ilvl="1" w:tplc="04090003">
      <w:start w:val="1"/>
      <w:numFmt w:val="bullet"/>
      <w:lvlText w:val="o"/>
      <w:lvlJc w:val="left"/>
      <w:pPr>
        <w:ind w:left="2151" w:hanging="360"/>
      </w:pPr>
      <w:rPr>
        <w:rFonts w:ascii="Courier New" w:hAnsi="Courier New" w:cs="Courier New" w:hint="default"/>
      </w:rPr>
    </w:lvl>
    <w:lvl w:ilvl="2" w:tplc="04090005">
      <w:start w:val="1"/>
      <w:numFmt w:val="bullet"/>
      <w:lvlText w:val=""/>
      <w:lvlJc w:val="left"/>
      <w:pPr>
        <w:ind w:left="2871" w:hanging="360"/>
      </w:pPr>
      <w:rPr>
        <w:rFonts w:ascii="Wingdings" w:hAnsi="Wingdings" w:hint="default"/>
      </w:rPr>
    </w:lvl>
    <w:lvl w:ilvl="3" w:tplc="04090001">
      <w:start w:val="1"/>
      <w:numFmt w:val="bullet"/>
      <w:lvlText w:val=""/>
      <w:lvlJc w:val="left"/>
      <w:pPr>
        <w:ind w:left="3591" w:hanging="360"/>
      </w:pPr>
      <w:rPr>
        <w:rFonts w:ascii="Symbol" w:hAnsi="Symbol" w:hint="default"/>
      </w:rPr>
    </w:lvl>
    <w:lvl w:ilvl="4" w:tplc="04090003">
      <w:start w:val="1"/>
      <w:numFmt w:val="bullet"/>
      <w:lvlText w:val="o"/>
      <w:lvlJc w:val="left"/>
      <w:pPr>
        <w:ind w:left="4311" w:hanging="360"/>
      </w:pPr>
      <w:rPr>
        <w:rFonts w:ascii="Courier New" w:hAnsi="Courier New" w:cs="Courier New" w:hint="default"/>
      </w:rPr>
    </w:lvl>
    <w:lvl w:ilvl="5" w:tplc="04090005">
      <w:start w:val="1"/>
      <w:numFmt w:val="bullet"/>
      <w:lvlText w:val=""/>
      <w:lvlJc w:val="left"/>
      <w:pPr>
        <w:ind w:left="5031" w:hanging="360"/>
      </w:pPr>
      <w:rPr>
        <w:rFonts w:ascii="Wingdings" w:hAnsi="Wingdings" w:hint="default"/>
      </w:rPr>
    </w:lvl>
    <w:lvl w:ilvl="6" w:tplc="04090001">
      <w:start w:val="1"/>
      <w:numFmt w:val="bullet"/>
      <w:lvlText w:val=""/>
      <w:lvlJc w:val="left"/>
      <w:pPr>
        <w:ind w:left="5751" w:hanging="360"/>
      </w:pPr>
      <w:rPr>
        <w:rFonts w:ascii="Symbol" w:hAnsi="Symbol" w:hint="default"/>
      </w:rPr>
    </w:lvl>
    <w:lvl w:ilvl="7" w:tplc="04090003">
      <w:start w:val="1"/>
      <w:numFmt w:val="bullet"/>
      <w:lvlText w:val="o"/>
      <w:lvlJc w:val="left"/>
      <w:pPr>
        <w:ind w:left="6471" w:hanging="360"/>
      </w:pPr>
      <w:rPr>
        <w:rFonts w:ascii="Courier New" w:hAnsi="Courier New" w:cs="Courier New" w:hint="default"/>
      </w:rPr>
    </w:lvl>
    <w:lvl w:ilvl="8" w:tplc="04090005">
      <w:start w:val="1"/>
      <w:numFmt w:val="bullet"/>
      <w:lvlText w:val=""/>
      <w:lvlJc w:val="left"/>
      <w:pPr>
        <w:ind w:left="7191" w:hanging="360"/>
      </w:pPr>
      <w:rPr>
        <w:rFonts w:ascii="Wingdings" w:hAnsi="Wingdings" w:hint="default"/>
      </w:rPr>
    </w:lvl>
  </w:abstractNum>
  <w:abstractNum w:abstractNumId="41" w15:restartNumberingAfterBreak="0">
    <w:nsid w:val="336A29AC"/>
    <w:multiLevelType w:val="multilevel"/>
    <w:tmpl w:val="C430F6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5507620"/>
    <w:multiLevelType w:val="hybridMultilevel"/>
    <w:tmpl w:val="1420944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A62E8D"/>
    <w:multiLevelType w:val="hybridMultilevel"/>
    <w:tmpl w:val="418ABC54"/>
    <w:lvl w:ilvl="0" w:tplc="04020001">
      <w:start w:val="1"/>
      <w:numFmt w:val="bullet"/>
      <w:lvlText w:val=""/>
      <w:lvlJc w:val="left"/>
      <w:pPr>
        <w:ind w:left="1068" w:hanging="360"/>
      </w:pPr>
      <w:rPr>
        <w:rFonts w:ascii="Symbol" w:hAnsi="Symbol"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4" w15:restartNumberingAfterBreak="0">
    <w:nsid w:val="394B336C"/>
    <w:multiLevelType w:val="multilevel"/>
    <w:tmpl w:val="E7F64850"/>
    <w:styleLink w:val="WWNum10"/>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5" w15:restartNumberingAfterBreak="0">
    <w:nsid w:val="39C735BD"/>
    <w:multiLevelType w:val="hybridMultilevel"/>
    <w:tmpl w:val="6B40DB60"/>
    <w:lvl w:ilvl="0" w:tplc="A08C81A6">
      <w:start w:val="9"/>
      <w:numFmt w:val="bullet"/>
      <w:lvlText w:val="-"/>
      <w:lvlJc w:val="left"/>
      <w:pPr>
        <w:ind w:left="720" w:hanging="360"/>
      </w:pPr>
      <w:rPr>
        <w:rFonts w:ascii="Times New Roman" w:eastAsia="Calibri" w:hAnsi="Times New Roman"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39F065A6"/>
    <w:multiLevelType w:val="hybridMultilevel"/>
    <w:tmpl w:val="7E0E3C12"/>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7" w15:restartNumberingAfterBreak="0">
    <w:nsid w:val="3A4A7BC1"/>
    <w:multiLevelType w:val="hybridMultilevel"/>
    <w:tmpl w:val="EA52C944"/>
    <w:lvl w:ilvl="0" w:tplc="4CFE3D20">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3A964488"/>
    <w:multiLevelType w:val="hybridMultilevel"/>
    <w:tmpl w:val="3C2CCABA"/>
    <w:lvl w:ilvl="0" w:tplc="D320FE24">
      <w:start w:val="11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3A994F44"/>
    <w:multiLevelType w:val="hybridMultilevel"/>
    <w:tmpl w:val="313EA02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0" w15:restartNumberingAfterBreak="0">
    <w:nsid w:val="3B060493"/>
    <w:multiLevelType w:val="hybridMultilevel"/>
    <w:tmpl w:val="724063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3BD35B3B"/>
    <w:multiLevelType w:val="hybridMultilevel"/>
    <w:tmpl w:val="3C70E362"/>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2" w15:restartNumberingAfterBreak="0">
    <w:nsid w:val="3C205704"/>
    <w:multiLevelType w:val="hybridMultilevel"/>
    <w:tmpl w:val="CE924E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403021C1"/>
    <w:multiLevelType w:val="hybridMultilevel"/>
    <w:tmpl w:val="5AD641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4059454F"/>
    <w:multiLevelType w:val="hybridMultilevel"/>
    <w:tmpl w:val="F80441A2"/>
    <w:lvl w:ilvl="0" w:tplc="D71ABADE">
      <w:start w:val="1"/>
      <w:numFmt w:val="decimal"/>
      <w:lvlText w:val="%1."/>
      <w:lvlJc w:val="left"/>
      <w:pPr>
        <w:ind w:left="1070" w:hanging="360"/>
      </w:pPr>
      <w:rPr>
        <w:rFonts w:hint="default"/>
      </w:rPr>
    </w:lvl>
    <w:lvl w:ilvl="1" w:tplc="6646E1C4">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42115037"/>
    <w:multiLevelType w:val="hybridMultilevel"/>
    <w:tmpl w:val="2ADA6F76"/>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427306A9"/>
    <w:multiLevelType w:val="hybridMultilevel"/>
    <w:tmpl w:val="6E2277B6"/>
    <w:lvl w:ilvl="0" w:tplc="0409000D">
      <w:start w:val="1"/>
      <w:numFmt w:val="bullet"/>
      <w:lvlText w:val=""/>
      <w:lvlJc w:val="left"/>
      <w:pPr>
        <w:ind w:left="1080" w:hanging="360"/>
      </w:pPr>
      <w:rPr>
        <w:rFonts w:ascii="Wingdings" w:hAnsi="Wingdings" w:hint="default"/>
      </w:rPr>
    </w:lvl>
    <w:lvl w:ilvl="1" w:tplc="E9089CD8">
      <w:start w:val="671"/>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28415E7"/>
    <w:multiLevelType w:val="multilevel"/>
    <w:tmpl w:val="9864BB5C"/>
    <w:lvl w:ilvl="0">
      <w:start w:val="1"/>
      <w:numFmt w:val="decimal"/>
      <w:pStyle w:val="ListNumber"/>
      <w:lvlText w:val="(%1)"/>
      <w:lvlJc w:val="left"/>
      <w:pPr>
        <w:tabs>
          <w:tab w:val="num" w:pos="709"/>
        </w:tabs>
        <w:ind w:left="709" w:hanging="709"/>
      </w:pPr>
      <w:rPr>
        <w:b/>
        <w:i w:val="0"/>
      </w:rPr>
    </w:lvl>
    <w:lvl w:ilvl="1">
      <w:start w:val="1"/>
      <w:numFmt w:val="lowerLetter"/>
      <w:pStyle w:val="ListNumberLevel2"/>
      <w:lvlText w:val="(%2)"/>
      <w:lvlJc w:val="left"/>
      <w:pPr>
        <w:tabs>
          <w:tab w:val="num" w:pos="1417"/>
        </w:tabs>
        <w:ind w:left="1417" w:hanging="708"/>
      </w:pPr>
    </w:lvl>
    <w:lvl w:ilvl="2">
      <w:start w:val="1"/>
      <w:numFmt w:val="bullet"/>
      <w:pStyle w:val="ListNumber"/>
      <w:lvlText w:val="–"/>
      <w:lvlJc w:val="left"/>
      <w:pPr>
        <w:tabs>
          <w:tab w:val="num" w:pos="2126"/>
        </w:tabs>
        <w:ind w:left="2126" w:hanging="709"/>
      </w:pPr>
      <w:rPr>
        <w:rFonts w:ascii="Times New Roman" w:hAnsi="Times New Roman"/>
      </w:rPr>
    </w:lvl>
    <w:lvl w:ilvl="3">
      <w:start w:val="1"/>
      <w:numFmt w:val="bullet"/>
      <w:pStyle w:val="ListNumberLevel2"/>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43207518"/>
    <w:multiLevelType w:val="hybridMultilevel"/>
    <w:tmpl w:val="DE40D6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43944909"/>
    <w:multiLevelType w:val="hybridMultilevel"/>
    <w:tmpl w:val="570489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4663052E"/>
    <w:multiLevelType w:val="hybridMultilevel"/>
    <w:tmpl w:val="C3FE72C6"/>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46F032D5"/>
    <w:multiLevelType w:val="hybridMultilevel"/>
    <w:tmpl w:val="9830D18A"/>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47500E39"/>
    <w:multiLevelType w:val="hybridMultilevel"/>
    <w:tmpl w:val="CAAA76F8"/>
    <w:lvl w:ilvl="0" w:tplc="AB903202">
      <w:start w:val="9"/>
      <w:numFmt w:val="bullet"/>
      <w:lvlText w:val="-"/>
      <w:lvlJc w:val="left"/>
      <w:pPr>
        <w:ind w:left="720" w:hanging="360"/>
      </w:pPr>
      <w:rPr>
        <w:rFonts w:ascii="Times New Roman" w:eastAsia="Calibri" w:hAnsi="Times New Roman" w:cs="Times New Roman" w:hint="default"/>
      </w:rPr>
    </w:lvl>
    <w:lvl w:ilvl="1" w:tplc="6F5EEFD0">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47AE1EAE"/>
    <w:multiLevelType w:val="hybridMultilevel"/>
    <w:tmpl w:val="8DECFC02"/>
    <w:lvl w:ilvl="0" w:tplc="9E384B6A">
      <w:start w:val="1"/>
      <w:numFmt w:val="decimal"/>
      <w:lvlText w:val="%1."/>
      <w:lvlJc w:val="left"/>
      <w:pPr>
        <w:ind w:left="750" w:hanging="39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47B248B8"/>
    <w:multiLevelType w:val="hybridMultilevel"/>
    <w:tmpl w:val="0F1C01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4803696B"/>
    <w:multiLevelType w:val="hybridMultilevel"/>
    <w:tmpl w:val="50240E38"/>
    <w:lvl w:ilvl="0" w:tplc="2D1AB96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6" w15:restartNumberingAfterBreak="0">
    <w:nsid w:val="491F798E"/>
    <w:multiLevelType w:val="hybridMultilevel"/>
    <w:tmpl w:val="D3AE3D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49A20D7B"/>
    <w:multiLevelType w:val="hybridMultilevel"/>
    <w:tmpl w:val="BCD006B0"/>
    <w:lvl w:ilvl="0" w:tplc="0402000F">
      <w:start w:val="1"/>
      <w:numFmt w:val="decimal"/>
      <w:lvlText w:val="%1."/>
      <w:lvlJc w:val="left"/>
      <w:pPr>
        <w:tabs>
          <w:tab w:val="num" w:pos="720"/>
        </w:tabs>
        <w:ind w:left="720" w:hanging="360"/>
      </w:p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422790"/>
    <w:multiLevelType w:val="multilevel"/>
    <w:tmpl w:val="A33255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00D5404"/>
    <w:multiLevelType w:val="hybridMultilevel"/>
    <w:tmpl w:val="AE3CC57C"/>
    <w:lvl w:ilvl="0" w:tplc="4CFE3D20">
      <w:start w:val="9"/>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0" w15:restartNumberingAfterBreak="0">
    <w:nsid w:val="50AC1A3A"/>
    <w:multiLevelType w:val="hybridMultilevel"/>
    <w:tmpl w:val="D4BA5C68"/>
    <w:lvl w:ilvl="0" w:tplc="6A7204F0">
      <w:numFmt w:val="bullet"/>
      <w:lvlText w:val="-"/>
      <w:lvlJc w:val="left"/>
      <w:pPr>
        <w:ind w:left="717" w:hanging="360"/>
      </w:pPr>
      <w:rPr>
        <w:rFonts w:ascii="Times New Roman" w:eastAsiaTheme="minorHAnsi" w:hAnsi="Times New Roman" w:cs="Times New Roman" w:hint="default"/>
      </w:rPr>
    </w:lvl>
    <w:lvl w:ilvl="1" w:tplc="04020003" w:tentative="1">
      <w:start w:val="1"/>
      <w:numFmt w:val="bullet"/>
      <w:lvlText w:val="o"/>
      <w:lvlJc w:val="left"/>
      <w:pPr>
        <w:ind w:left="1437" w:hanging="360"/>
      </w:pPr>
      <w:rPr>
        <w:rFonts w:ascii="Courier New" w:hAnsi="Courier New" w:cs="Courier New" w:hint="default"/>
      </w:rPr>
    </w:lvl>
    <w:lvl w:ilvl="2" w:tplc="04020005" w:tentative="1">
      <w:start w:val="1"/>
      <w:numFmt w:val="bullet"/>
      <w:lvlText w:val=""/>
      <w:lvlJc w:val="left"/>
      <w:pPr>
        <w:ind w:left="2157" w:hanging="360"/>
      </w:pPr>
      <w:rPr>
        <w:rFonts w:ascii="Wingdings" w:hAnsi="Wingdings" w:hint="default"/>
      </w:rPr>
    </w:lvl>
    <w:lvl w:ilvl="3" w:tplc="04020001" w:tentative="1">
      <w:start w:val="1"/>
      <w:numFmt w:val="bullet"/>
      <w:lvlText w:val=""/>
      <w:lvlJc w:val="left"/>
      <w:pPr>
        <w:ind w:left="2877" w:hanging="360"/>
      </w:pPr>
      <w:rPr>
        <w:rFonts w:ascii="Symbol" w:hAnsi="Symbol" w:hint="default"/>
      </w:rPr>
    </w:lvl>
    <w:lvl w:ilvl="4" w:tplc="04020003" w:tentative="1">
      <w:start w:val="1"/>
      <w:numFmt w:val="bullet"/>
      <w:lvlText w:val="o"/>
      <w:lvlJc w:val="left"/>
      <w:pPr>
        <w:ind w:left="3597" w:hanging="360"/>
      </w:pPr>
      <w:rPr>
        <w:rFonts w:ascii="Courier New" w:hAnsi="Courier New" w:cs="Courier New" w:hint="default"/>
      </w:rPr>
    </w:lvl>
    <w:lvl w:ilvl="5" w:tplc="04020005" w:tentative="1">
      <w:start w:val="1"/>
      <w:numFmt w:val="bullet"/>
      <w:lvlText w:val=""/>
      <w:lvlJc w:val="left"/>
      <w:pPr>
        <w:ind w:left="4317" w:hanging="360"/>
      </w:pPr>
      <w:rPr>
        <w:rFonts w:ascii="Wingdings" w:hAnsi="Wingdings" w:hint="default"/>
      </w:rPr>
    </w:lvl>
    <w:lvl w:ilvl="6" w:tplc="04020001" w:tentative="1">
      <w:start w:val="1"/>
      <w:numFmt w:val="bullet"/>
      <w:lvlText w:val=""/>
      <w:lvlJc w:val="left"/>
      <w:pPr>
        <w:ind w:left="5037" w:hanging="360"/>
      </w:pPr>
      <w:rPr>
        <w:rFonts w:ascii="Symbol" w:hAnsi="Symbol" w:hint="default"/>
      </w:rPr>
    </w:lvl>
    <w:lvl w:ilvl="7" w:tplc="04020003" w:tentative="1">
      <w:start w:val="1"/>
      <w:numFmt w:val="bullet"/>
      <w:lvlText w:val="o"/>
      <w:lvlJc w:val="left"/>
      <w:pPr>
        <w:ind w:left="5757" w:hanging="360"/>
      </w:pPr>
      <w:rPr>
        <w:rFonts w:ascii="Courier New" w:hAnsi="Courier New" w:cs="Courier New" w:hint="default"/>
      </w:rPr>
    </w:lvl>
    <w:lvl w:ilvl="8" w:tplc="04020005" w:tentative="1">
      <w:start w:val="1"/>
      <w:numFmt w:val="bullet"/>
      <w:lvlText w:val=""/>
      <w:lvlJc w:val="left"/>
      <w:pPr>
        <w:ind w:left="6477" w:hanging="360"/>
      </w:pPr>
      <w:rPr>
        <w:rFonts w:ascii="Wingdings" w:hAnsi="Wingdings" w:hint="default"/>
      </w:rPr>
    </w:lvl>
  </w:abstractNum>
  <w:abstractNum w:abstractNumId="71" w15:restartNumberingAfterBreak="0">
    <w:nsid w:val="50C15032"/>
    <w:multiLevelType w:val="multilevel"/>
    <w:tmpl w:val="8974BAB6"/>
    <w:lvl w:ilvl="0">
      <w:start w:val="1"/>
      <w:numFmt w:val="decimal"/>
      <w:lvlText w:val="%1."/>
      <w:lvlJc w:val="left"/>
      <w:pPr>
        <w:ind w:left="540" w:hanging="540"/>
      </w:pPr>
      <w:rPr>
        <w:rFonts w:hint="default"/>
      </w:rPr>
    </w:lvl>
    <w:lvl w:ilvl="1">
      <w:start w:val="1"/>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72" w15:restartNumberingAfterBreak="0">
    <w:nsid w:val="50DA1254"/>
    <w:multiLevelType w:val="hybridMultilevel"/>
    <w:tmpl w:val="BDE6ADA8"/>
    <w:lvl w:ilvl="0" w:tplc="AB903202">
      <w:start w:val="9"/>
      <w:numFmt w:val="bullet"/>
      <w:lvlText w:val="-"/>
      <w:lvlJc w:val="left"/>
      <w:pPr>
        <w:ind w:left="720" w:hanging="360"/>
      </w:pPr>
      <w:rPr>
        <w:rFonts w:ascii="Times New Roman" w:eastAsia="Calibri" w:hAnsi="Times New Roman" w:cs="Times New Roman"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15:restartNumberingAfterBreak="0">
    <w:nsid w:val="51143EBD"/>
    <w:multiLevelType w:val="hybridMultilevel"/>
    <w:tmpl w:val="7A521950"/>
    <w:lvl w:ilvl="0" w:tplc="4CFE3D20">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51852E71"/>
    <w:multiLevelType w:val="hybridMultilevel"/>
    <w:tmpl w:val="7D7C9230"/>
    <w:lvl w:ilvl="0" w:tplc="9AAC429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5" w15:restartNumberingAfterBreak="0">
    <w:nsid w:val="54063170"/>
    <w:multiLevelType w:val="hybridMultilevel"/>
    <w:tmpl w:val="C04C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59336A"/>
    <w:multiLevelType w:val="hybridMultilevel"/>
    <w:tmpl w:val="231418D2"/>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15:restartNumberingAfterBreak="0">
    <w:nsid w:val="54754B3D"/>
    <w:multiLevelType w:val="hybridMultilevel"/>
    <w:tmpl w:val="2C261960"/>
    <w:lvl w:ilvl="0" w:tplc="04020003">
      <w:start w:val="1"/>
      <w:numFmt w:val="bullet"/>
      <w:lvlText w:val="o"/>
      <w:lvlJc w:val="left"/>
      <w:pPr>
        <w:ind w:left="1069" w:hanging="360"/>
      </w:pPr>
      <w:rPr>
        <w:rFonts w:ascii="Courier New" w:hAnsi="Courier New" w:cs="Courier New"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8" w15:restartNumberingAfterBreak="0">
    <w:nsid w:val="56CD49F7"/>
    <w:multiLevelType w:val="hybridMultilevel"/>
    <w:tmpl w:val="9BDCF4B4"/>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9" w15:restartNumberingAfterBreak="0">
    <w:nsid w:val="57024199"/>
    <w:multiLevelType w:val="hybridMultilevel"/>
    <w:tmpl w:val="0C1A7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7202F3D"/>
    <w:multiLevelType w:val="hybridMultilevel"/>
    <w:tmpl w:val="896C5DCA"/>
    <w:lvl w:ilvl="0" w:tplc="0402000B">
      <w:start w:val="1"/>
      <w:numFmt w:val="bullet"/>
      <w:pStyle w:val="Style1"/>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8272940"/>
    <w:multiLevelType w:val="hybridMultilevel"/>
    <w:tmpl w:val="7C12631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2" w15:restartNumberingAfterBreak="0">
    <w:nsid w:val="589B7B33"/>
    <w:multiLevelType w:val="hybridMultilevel"/>
    <w:tmpl w:val="91F628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3" w15:restartNumberingAfterBreak="0">
    <w:nsid w:val="592E78BB"/>
    <w:multiLevelType w:val="hybridMultilevel"/>
    <w:tmpl w:val="C3FC47C8"/>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4" w15:restartNumberingAfterBreak="0">
    <w:nsid w:val="5AB23A9A"/>
    <w:multiLevelType w:val="hybridMultilevel"/>
    <w:tmpl w:val="30045E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5" w15:restartNumberingAfterBreak="0">
    <w:nsid w:val="5C4C15C6"/>
    <w:multiLevelType w:val="hybridMultilevel"/>
    <w:tmpl w:val="ED5C8CD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6" w15:restartNumberingAfterBreak="0">
    <w:nsid w:val="602B298C"/>
    <w:multiLevelType w:val="hybridMultilevel"/>
    <w:tmpl w:val="1EE81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117795A"/>
    <w:multiLevelType w:val="hybridMultilevel"/>
    <w:tmpl w:val="8186589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8" w15:restartNumberingAfterBreak="0">
    <w:nsid w:val="619C6057"/>
    <w:multiLevelType w:val="hybridMultilevel"/>
    <w:tmpl w:val="36D86A1C"/>
    <w:lvl w:ilvl="0" w:tplc="49CC72AA">
      <w:start w:val="1"/>
      <w:numFmt w:val="decimal"/>
      <w:pStyle w:val="CharCharCharChar1"/>
      <w:lvlText w:val="%1."/>
      <w:lvlJc w:val="left"/>
      <w:pPr>
        <w:ind w:left="720" w:hanging="360"/>
      </w:pPr>
      <w:rPr>
        <w:rFonts w:cs="Times New Roman"/>
        <w:b/>
        <w:bCs w:val="0"/>
        <w:i w:val="0"/>
        <w:iCs w:val="0"/>
        <w:caps w:val="0"/>
        <w:smallCaps w:val="0"/>
        <w:strike w:val="0"/>
        <w:dstrike w:val="0"/>
        <w:vanish w:val="0"/>
        <w:spacing w:val="0"/>
        <w:kern w:val="0"/>
        <w:position w:val="0"/>
        <w:u w:val="none"/>
        <w:vertAlign w:val="baseli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652B7FDF"/>
    <w:multiLevelType w:val="hybridMultilevel"/>
    <w:tmpl w:val="1758FA54"/>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0" w15:restartNumberingAfterBreak="0">
    <w:nsid w:val="661A2DB3"/>
    <w:multiLevelType w:val="hybridMultilevel"/>
    <w:tmpl w:val="5F800A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1" w15:restartNumberingAfterBreak="0">
    <w:nsid w:val="661A30A4"/>
    <w:multiLevelType w:val="hybridMultilevel"/>
    <w:tmpl w:val="5828806A"/>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92" w15:restartNumberingAfterBreak="0">
    <w:nsid w:val="67951B96"/>
    <w:multiLevelType w:val="hybridMultilevel"/>
    <w:tmpl w:val="4FC8F9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3" w15:restartNumberingAfterBreak="0">
    <w:nsid w:val="68695226"/>
    <w:multiLevelType w:val="hybridMultilevel"/>
    <w:tmpl w:val="DFAAF9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4" w15:restartNumberingAfterBreak="0">
    <w:nsid w:val="698F5AF4"/>
    <w:multiLevelType w:val="hybridMultilevel"/>
    <w:tmpl w:val="4CD4E4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5" w15:restartNumberingAfterBreak="0">
    <w:nsid w:val="6AD36C2A"/>
    <w:multiLevelType w:val="hybridMultilevel"/>
    <w:tmpl w:val="DDB4BF2C"/>
    <w:lvl w:ilvl="0" w:tplc="50009768">
      <w:start w:val="1"/>
      <w:numFmt w:val="bullet"/>
      <w:lvlText w:val=""/>
      <w:lvlJc w:val="left"/>
      <w:pPr>
        <w:tabs>
          <w:tab w:val="num" w:pos="1069"/>
        </w:tabs>
        <w:ind w:left="1021" w:hanging="312"/>
      </w:pPr>
      <w:rPr>
        <w:rFonts w:ascii="Wingdings" w:hAnsi="Wingdings" w:cs="Wingdings" w:hint="default"/>
        <w:sz w:val="22"/>
      </w:rPr>
    </w:lvl>
    <w:lvl w:ilvl="1" w:tplc="7C0C5910">
      <w:start w:val="1"/>
      <w:numFmt w:val="decimal"/>
      <w:lvlText w:val="%2)"/>
      <w:lvlJc w:val="left"/>
      <w:pPr>
        <w:tabs>
          <w:tab w:val="num" w:pos="2389"/>
        </w:tabs>
        <w:ind w:left="2389" w:hanging="960"/>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6" w15:restartNumberingAfterBreak="0">
    <w:nsid w:val="6B3514FF"/>
    <w:multiLevelType w:val="hybridMultilevel"/>
    <w:tmpl w:val="5B5C6D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15:restartNumberingAfterBreak="0">
    <w:nsid w:val="6BCC426B"/>
    <w:multiLevelType w:val="hybridMultilevel"/>
    <w:tmpl w:val="9936177C"/>
    <w:lvl w:ilvl="0" w:tplc="0402000F">
      <w:start w:val="1"/>
      <w:numFmt w:val="decimal"/>
      <w:lvlText w:val="%1."/>
      <w:lvlJc w:val="left"/>
      <w:pPr>
        <w:ind w:left="1146" w:hanging="360"/>
      </w:p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98" w15:restartNumberingAfterBreak="0">
    <w:nsid w:val="6BE923E0"/>
    <w:multiLevelType w:val="hybridMultilevel"/>
    <w:tmpl w:val="0A42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CC35333"/>
    <w:multiLevelType w:val="hybridMultilevel"/>
    <w:tmpl w:val="43FEDA5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0" w15:restartNumberingAfterBreak="0">
    <w:nsid w:val="6F1A0D67"/>
    <w:multiLevelType w:val="hybridMultilevel"/>
    <w:tmpl w:val="9AE259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1" w15:restartNumberingAfterBreak="0">
    <w:nsid w:val="6F584DF5"/>
    <w:multiLevelType w:val="hybridMultilevel"/>
    <w:tmpl w:val="CA46642C"/>
    <w:lvl w:ilvl="0" w:tplc="E4A29DD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2" w15:restartNumberingAfterBreak="0">
    <w:nsid w:val="70B76982"/>
    <w:multiLevelType w:val="hybridMultilevel"/>
    <w:tmpl w:val="F2E85236"/>
    <w:lvl w:ilvl="0" w:tplc="AB903202">
      <w:start w:val="9"/>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3" w15:restartNumberingAfterBreak="0">
    <w:nsid w:val="71731C9B"/>
    <w:multiLevelType w:val="hybridMultilevel"/>
    <w:tmpl w:val="51824498"/>
    <w:lvl w:ilvl="0" w:tplc="D71ABADE">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4" w15:restartNumberingAfterBreak="0">
    <w:nsid w:val="723657BA"/>
    <w:multiLevelType w:val="hybridMultilevel"/>
    <w:tmpl w:val="64C09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4C9050A"/>
    <w:multiLevelType w:val="hybridMultilevel"/>
    <w:tmpl w:val="DDC6731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15:restartNumberingAfterBreak="0">
    <w:nsid w:val="7C464C3C"/>
    <w:multiLevelType w:val="hybridMultilevel"/>
    <w:tmpl w:val="219470A4"/>
    <w:lvl w:ilvl="0" w:tplc="CBEC9DE0">
      <w:start w:val="1"/>
      <w:numFmt w:val="decimal"/>
      <w:lvlText w:val="%1."/>
      <w:lvlJc w:val="left"/>
      <w:pPr>
        <w:ind w:left="720" w:hanging="360"/>
      </w:pPr>
      <w:rPr>
        <w:b w:val="0"/>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7" w15:restartNumberingAfterBreak="0">
    <w:nsid w:val="7ECD58BC"/>
    <w:multiLevelType w:val="hybridMultilevel"/>
    <w:tmpl w:val="6B94860C"/>
    <w:lvl w:ilvl="0" w:tplc="135C3768">
      <w:start w:val="1"/>
      <w:numFmt w:val="bullet"/>
      <w:lvlText w:val=""/>
      <w:lvlJc w:val="left"/>
      <w:pPr>
        <w:ind w:left="720" w:hanging="360"/>
      </w:pPr>
      <w:rPr>
        <w:rFonts w:ascii="Wingdings" w:hAnsi="Wingdings" w:cs="Wingdings" w:hint="default"/>
        <w:sz w:val="24"/>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8" w15:restartNumberingAfterBreak="0">
    <w:nsid w:val="7F221637"/>
    <w:multiLevelType w:val="hybridMultilevel"/>
    <w:tmpl w:val="CF58EF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9" w15:restartNumberingAfterBreak="0">
    <w:nsid w:val="7F8F69D6"/>
    <w:multiLevelType w:val="hybridMultilevel"/>
    <w:tmpl w:val="BCD006B0"/>
    <w:lvl w:ilvl="0" w:tplc="0402000F">
      <w:start w:val="1"/>
      <w:numFmt w:val="decimal"/>
      <w:lvlText w:val="%1."/>
      <w:lvlJc w:val="left"/>
      <w:pPr>
        <w:tabs>
          <w:tab w:val="num" w:pos="720"/>
        </w:tabs>
        <w:ind w:left="720" w:hanging="360"/>
      </w:p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num w:numId="1" w16cid:durableId="433020631">
    <w:abstractNumId w:val="80"/>
  </w:num>
  <w:num w:numId="2" w16cid:durableId="934702569">
    <w:abstractNumId w:val="12"/>
  </w:num>
  <w:num w:numId="3" w16cid:durableId="273749992">
    <w:abstractNumId w:val="88"/>
  </w:num>
  <w:num w:numId="4" w16cid:durableId="2045792421">
    <w:abstractNumId w:val="57"/>
  </w:num>
  <w:num w:numId="5" w16cid:durableId="1234438175">
    <w:abstractNumId w:val="71"/>
  </w:num>
  <w:num w:numId="6" w16cid:durableId="1352684878">
    <w:abstractNumId w:val="32"/>
  </w:num>
  <w:num w:numId="7" w16cid:durableId="2118982861">
    <w:abstractNumId w:val="39"/>
  </w:num>
  <w:num w:numId="8" w16cid:durableId="2137523950">
    <w:abstractNumId w:val="11"/>
  </w:num>
  <w:num w:numId="9" w16cid:durableId="1167552656">
    <w:abstractNumId w:val="42"/>
  </w:num>
  <w:num w:numId="10" w16cid:durableId="1686591076">
    <w:abstractNumId w:val="109"/>
  </w:num>
  <w:num w:numId="11" w16cid:durableId="898131809">
    <w:abstractNumId w:val="35"/>
  </w:num>
  <w:num w:numId="12" w16cid:durableId="1428891471">
    <w:abstractNumId w:val="67"/>
  </w:num>
  <w:num w:numId="13" w16cid:durableId="1413159090">
    <w:abstractNumId w:val="97"/>
  </w:num>
  <w:num w:numId="14" w16cid:durableId="271522677">
    <w:abstractNumId w:val="106"/>
  </w:num>
  <w:num w:numId="15" w16cid:durableId="1379084655">
    <w:abstractNumId w:val="38"/>
  </w:num>
  <w:num w:numId="16" w16cid:durableId="139998772">
    <w:abstractNumId w:val="48"/>
  </w:num>
  <w:num w:numId="17" w16cid:durableId="1312637518">
    <w:abstractNumId w:val="10"/>
  </w:num>
  <w:num w:numId="18" w16cid:durableId="788627138">
    <w:abstractNumId w:val="18"/>
  </w:num>
  <w:num w:numId="19" w16cid:durableId="334848485">
    <w:abstractNumId w:val="43"/>
  </w:num>
  <w:num w:numId="20" w16cid:durableId="1469786027">
    <w:abstractNumId w:val="87"/>
  </w:num>
  <w:num w:numId="21" w16cid:durableId="1831822796">
    <w:abstractNumId w:val="15"/>
  </w:num>
  <w:num w:numId="22" w16cid:durableId="1489983468">
    <w:abstractNumId w:val="64"/>
  </w:num>
  <w:num w:numId="23" w16cid:durableId="54469790">
    <w:abstractNumId w:val="65"/>
  </w:num>
  <w:num w:numId="24" w16cid:durableId="1613710625">
    <w:abstractNumId w:val="85"/>
  </w:num>
  <w:num w:numId="25" w16cid:durableId="967586551">
    <w:abstractNumId w:val="29"/>
  </w:num>
  <w:num w:numId="26" w16cid:durableId="1483501544">
    <w:abstractNumId w:val="41"/>
  </w:num>
  <w:num w:numId="27" w16cid:durableId="1966740874">
    <w:abstractNumId w:val="31"/>
  </w:num>
  <w:num w:numId="28" w16cid:durableId="610819151">
    <w:abstractNumId w:val="1"/>
  </w:num>
  <w:num w:numId="29" w16cid:durableId="256377240">
    <w:abstractNumId w:val="61"/>
  </w:num>
  <w:num w:numId="30" w16cid:durableId="268900987">
    <w:abstractNumId w:val="45"/>
  </w:num>
  <w:num w:numId="31" w16cid:durableId="1337344627">
    <w:abstractNumId w:val="60"/>
  </w:num>
  <w:num w:numId="32" w16cid:durableId="1286539533">
    <w:abstractNumId w:val="49"/>
  </w:num>
  <w:num w:numId="33" w16cid:durableId="474642003">
    <w:abstractNumId w:val="14"/>
  </w:num>
  <w:num w:numId="34" w16cid:durableId="1320109073">
    <w:abstractNumId w:val="50"/>
  </w:num>
  <w:num w:numId="35" w16cid:durableId="210851291">
    <w:abstractNumId w:val="95"/>
  </w:num>
  <w:num w:numId="36" w16cid:durableId="1252398951">
    <w:abstractNumId w:val="91"/>
  </w:num>
  <w:num w:numId="37" w16cid:durableId="1571501594">
    <w:abstractNumId w:val="81"/>
  </w:num>
  <w:num w:numId="38" w16cid:durableId="177813889">
    <w:abstractNumId w:val="101"/>
  </w:num>
  <w:num w:numId="39" w16cid:durableId="1288437801">
    <w:abstractNumId w:val="107"/>
  </w:num>
  <w:num w:numId="40" w16cid:durableId="674041540">
    <w:abstractNumId w:val="78"/>
  </w:num>
  <w:num w:numId="41" w16cid:durableId="1256481271">
    <w:abstractNumId w:val="44"/>
  </w:num>
  <w:num w:numId="42" w16cid:durableId="1411846344">
    <w:abstractNumId w:val="100"/>
  </w:num>
  <w:num w:numId="43" w16cid:durableId="1818839655">
    <w:abstractNumId w:val="17"/>
  </w:num>
  <w:num w:numId="44" w16cid:durableId="415397736">
    <w:abstractNumId w:val="30"/>
  </w:num>
  <w:num w:numId="45" w16cid:durableId="230623790">
    <w:abstractNumId w:val="86"/>
  </w:num>
  <w:num w:numId="46" w16cid:durableId="1675449451">
    <w:abstractNumId w:val="0"/>
  </w:num>
  <w:num w:numId="47" w16cid:durableId="1066950751">
    <w:abstractNumId w:val="98"/>
  </w:num>
  <w:num w:numId="48" w16cid:durableId="1255820170">
    <w:abstractNumId w:val="21"/>
  </w:num>
  <w:num w:numId="49" w16cid:durableId="970011982">
    <w:abstractNumId w:val="79"/>
  </w:num>
  <w:num w:numId="50" w16cid:durableId="124855474">
    <w:abstractNumId w:val="104"/>
  </w:num>
  <w:num w:numId="51" w16cid:durableId="380054921">
    <w:abstractNumId w:val="40"/>
  </w:num>
  <w:num w:numId="52" w16cid:durableId="2074349970">
    <w:abstractNumId w:val="27"/>
  </w:num>
  <w:num w:numId="53" w16cid:durableId="1553999720">
    <w:abstractNumId w:val="3"/>
  </w:num>
  <w:num w:numId="54" w16cid:durableId="2116710535">
    <w:abstractNumId w:val="7"/>
  </w:num>
  <w:num w:numId="55" w16cid:durableId="1775442690">
    <w:abstractNumId w:val="75"/>
  </w:num>
  <w:num w:numId="56" w16cid:durableId="659162191">
    <w:abstractNumId w:val="54"/>
  </w:num>
  <w:num w:numId="57" w16cid:durableId="1618022377">
    <w:abstractNumId w:val="83"/>
  </w:num>
  <w:num w:numId="58" w16cid:durableId="1923756523">
    <w:abstractNumId w:val="103"/>
  </w:num>
  <w:num w:numId="59" w16cid:durableId="993531890">
    <w:abstractNumId w:val="66"/>
  </w:num>
  <w:num w:numId="60" w16cid:durableId="480387024">
    <w:abstractNumId w:val="59"/>
  </w:num>
  <w:num w:numId="61" w16cid:durableId="1774087560">
    <w:abstractNumId w:val="93"/>
  </w:num>
  <w:num w:numId="62" w16cid:durableId="515509508">
    <w:abstractNumId w:val="22"/>
  </w:num>
  <w:num w:numId="63" w16cid:durableId="1217232010">
    <w:abstractNumId w:val="89"/>
  </w:num>
  <w:num w:numId="64" w16cid:durableId="173615131">
    <w:abstractNumId w:val="24"/>
  </w:num>
  <w:num w:numId="65" w16cid:durableId="1282230595">
    <w:abstractNumId w:val="82"/>
  </w:num>
  <w:num w:numId="66" w16cid:durableId="37556813">
    <w:abstractNumId w:val="84"/>
  </w:num>
  <w:num w:numId="67" w16cid:durableId="1485396570">
    <w:abstractNumId w:val="63"/>
  </w:num>
  <w:num w:numId="68" w16cid:durableId="441341194">
    <w:abstractNumId w:val="26"/>
  </w:num>
  <w:num w:numId="69" w16cid:durableId="1229996474">
    <w:abstractNumId w:val="90"/>
  </w:num>
  <w:num w:numId="70" w16cid:durableId="1987278629">
    <w:abstractNumId w:val="94"/>
  </w:num>
  <w:num w:numId="71" w16cid:durableId="1650398777">
    <w:abstractNumId w:val="33"/>
  </w:num>
  <w:num w:numId="72" w16cid:durableId="415592266">
    <w:abstractNumId w:val="2"/>
  </w:num>
  <w:num w:numId="73" w16cid:durableId="1990396671">
    <w:abstractNumId w:val="55"/>
  </w:num>
  <w:num w:numId="74" w16cid:durableId="751003177">
    <w:abstractNumId w:val="62"/>
  </w:num>
  <w:num w:numId="75" w16cid:durableId="980496228">
    <w:abstractNumId w:val="102"/>
  </w:num>
  <w:num w:numId="76" w16cid:durableId="973022901">
    <w:abstractNumId w:val="19"/>
  </w:num>
  <w:num w:numId="77" w16cid:durableId="506484994">
    <w:abstractNumId w:val="108"/>
  </w:num>
  <w:num w:numId="78" w16cid:durableId="2142380233">
    <w:abstractNumId w:val="28"/>
  </w:num>
  <w:num w:numId="79" w16cid:durableId="1018047609">
    <w:abstractNumId w:val="99"/>
  </w:num>
  <w:num w:numId="80" w16cid:durableId="1269317387">
    <w:abstractNumId w:val="25"/>
  </w:num>
  <w:num w:numId="81" w16cid:durableId="2143188612">
    <w:abstractNumId w:val="96"/>
  </w:num>
  <w:num w:numId="82" w16cid:durableId="1252355094">
    <w:abstractNumId w:val="9"/>
  </w:num>
  <w:num w:numId="83" w16cid:durableId="1941330659">
    <w:abstractNumId w:val="52"/>
  </w:num>
  <w:num w:numId="84" w16cid:durableId="689601049">
    <w:abstractNumId w:val="72"/>
  </w:num>
  <w:num w:numId="85" w16cid:durableId="1820875037">
    <w:abstractNumId w:val="20"/>
  </w:num>
  <w:num w:numId="86" w16cid:durableId="333149526">
    <w:abstractNumId w:val="23"/>
  </w:num>
  <w:num w:numId="87" w16cid:durableId="1879314963">
    <w:abstractNumId w:val="8"/>
  </w:num>
  <w:num w:numId="88" w16cid:durableId="15663856">
    <w:abstractNumId w:val="5"/>
  </w:num>
  <w:num w:numId="89" w16cid:durableId="325593656">
    <w:abstractNumId w:val="73"/>
  </w:num>
  <w:num w:numId="90" w16cid:durableId="1837259394">
    <w:abstractNumId w:val="76"/>
  </w:num>
  <w:num w:numId="91" w16cid:durableId="1771927273">
    <w:abstractNumId w:val="4"/>
  </w:num>
  <w:num w:numId="92" w16cid:durableId="1660496353">
    <w:abstractNumId w:val="69"/>
  </w:num>
  <w:num w:numId="93" w16cid:durableId="22677611">
    <w:abstractNumId w:val="53"/>
  </w:num>
  <w:num w:numId="94" w16cid:durableId="1647128578">
    <w:abstractNumId w:val="6"/>
  </w:num>
  <w:num w:numId="95" w16cid:durableId="1035889371">
    <w:abstractNumId w:val="56"/>
  </w:num>
  <w:num w:numId="96" w16cid:durableId="616106885">
    <w:abstractNumId w:val="47"/>
  </w:num>
  <w:num w:numId="97" w16cid:durableId="921648617">
    <w:abstractNumId w:val="34"/>
  </w:num>
  <w:num w:numId="98" w16cid:durableId="70591931">
    <w:abstractNumId w:val="74"/>
  </w:num>
  <w:num w:numId="99" w16cid:durableId="1192915894">
    <w:abstractNumId w:val="58"/>
  </w:num>
  <w:num w:numId="100" w16cid:durableId="2010670594">
    <w:abstractNumId w:val="92"/>
  </w:num>
  <w:num w:numId="101" w16cid:durableId="1233003539">
    <w:abstractNumId w:val="68"/>
  </w:num>
  <w:num w:numId="102" w16cid:durableId="708378711">
    <w:abstractNumId w:val="16"/>
  </w:num>
  <w:num w:numId="103" w16cid:durableId="1265727693">
    <w:abstractNumId w:val="105"/>
  </w:num>
  <w:num w:numId="104" w16cid:durableId="1485512455">
    <w:abstractNumId w:val="13"/>
  </w:num>
  <w:num w:numId="105" w16cid:durableId="1392651536">
    <w:abstractNumId w:val="37"/>
  </w:num>
  <w:num w:numId="106" w16cid:durableId="1188637376">
    <w:abstractNumId w:val="70"/>
  </w:num>
  <w:num w:numId="107" w16cid:durableId="270748811">
    <w:abstractNumId w:val="36"/>
  </w:num>
  <w:num w:numId="108" w16cid:durableId="1785153592">
    <w:abstractNumId w:val="77"/>
  </w:num>
  <w:num w:numId="109" w16cid:durableId="48309579">
    <w:abstractNumId w:val="46"/>
  </w:num>
  <w:num w:numId="110" w16cid:durableId="531654348">
    <w:abstractNumId w:val="5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6A7"/>
    <w:rsid w:val="00005D5C"/>
    <w:rsid w:val="000136A9"/>
    <w:rsid w:val="00017DCF"/>
    <w:rsid w:val="000201A7"/>
    <w:rsid w:val="000239D4"/>
    <w:rsid w:val="00027984"/>
    <w:rsid w:val="00032AF9"/>
    <w:rsid w:val="00046C8E"/>
    <w:rsid w:val="00060D3A"/>
    <w:rsid w:val="000703DA"/>
    <w:rsid w:val="000777AF"/>
    <w:rsid w:val="000A6464"/>
    <w:rsid w:val="000B79AE"/>
    <w:rsid w:val="000D6E63"/>
    <w:rsid w:val="000E6B28"/>
    <w:rsid w:val="00102E61"/>
    <w:rsid w:val="001051BC"/>
    <w:rsid w:val="001059FE"/>
    <w:rsid w:val="0011267D"/>
    <w:rsid w:val="0015488C"/>
    <w:rsid w:val="00162DAD"/>
    <w:rsid w:val="00175ABB"/>
    <w:rsid w:val="00175E3A"/>
    <w:rsid w:val="001863C6"/>
    <w:rsid w:val="00186559"/>
    <w:rsid w:val="0019337D"/>
    <w:rsid w:val="001A0EB7"/>
    <w:rsid w:val="001A6E32"/>
    <w:rsid w:val="001B0203"/>
    <w:rsid w:val="001B56C4"/>
    <w:rsid w:val="001C34DF"/>
    <w:rsid w:val="001D201F"/>
    <w:rsid w:val="001E17DC"/>
    <w:rsid w:val="001E5C4F"/>
    <w:rsid w:val="001F25EA"/>
    <w:rsid w:val="001F3415"/>
    <w:rsid w:val="00207984"/>
    <w:rsid w:val="00210A6D"/>
    <w:rsid w:val="002233A8"/>
    <w:rsid w:val="00230FD6"/>
    <w:rsid w:val="0024180C"/>
    <w:rsid w:val="0024421E"/>
    <w:rsid w:val="00252881"/>
    <w:rsid w:val="00253CE8"/>
    <w:rsid w:val="00256FEC"/>
    <w:rsid w:val="002618E5"/>
    <w:rsid w:val="00263DBB"/>
    <w:rsid w:val="00266492"/>
    <w:rsid w:val="00267711"/>
    <w:rsid w:val="00267CC7"/>
    <w:rsid w:val="002700F4"/>
    <w:rsid w:val="00281AF1"/>
    <w:rsid w:val="002863D5"/>
    <w:rsid w:val="00291102"/>
    <w:rsid w:val="002A3A5E"/>
    <w:rsid w:val="002A598C"/>
    <w:rsid w:val="002B7DEF"/>
    <w:rsid w:val="002C1C56"/>
    <w:rsid w:val="002C6558"/>
    <w:rsid w:val="002D0768"/>
    <w:rsid w:val="002E676E"/>
    <w:rsid w:val="002E7C80"/>
    <w:rsid w:val="002F2C47"/>
    <w:rsid w:val="002F39EA"/>
    <w:rsid w:val="002F72F9"/>
    <w:rsid w:val="003007E7"/>
    <w:rsid w:val="00305A07"/>
    <w:rsid w:val="003231C2"/>
    <w:rsid w:val="0033214B"/>
    <w:rsid w:val="0034417B"/>
    <w:rsid w:val="00347E76"/>
    <w:rsid w:val="00362FB2"/>
    <w:rsid w:val="00364B81"/>
    <w:rsid w:val="00374A33"/>
    <w:rsid w:val="00377372"/>
    <w:rsid w:val="00393DEE"/>
    <w:rsid w:val="00393E99"/>
    <w:rsid w:val="003A2BD9"/>
    <w:rsid w:val="003B44B4"/>
    <w:rsid w:val="003B52BD"/>
    <w:rsid w:val="003B757A"/>
    <w:rsid w:val="003D09AB"/>
    <w:rsid w:val="003D0E60"/>
    <w:rsid w:val="003D2EE5"/>
    <w:rsid w:val="003D70D4"/>
    <w:rsid w:val="003D7D9E"/>
    <w:rsid w:val="003E6FA0"/>
    <w:rsid w:val="00400D2D"/>
    <w:rsid w:val="00402183"/>
    <w:rsid w:val="004072F9"/>
    <w:rsid w:val="004111A5"/>
    <w:rsid w:val="0041429C"/>
    <w:rsid w:val="00423FEC"/>
    <w:rsid w:val="0043124D"/>
    <w:rsid w:val="00452188"/>
    <w:rsid w:val="00464E2D"/>
    <w:rsid w:val="0047096A"/>
    <w:rsid w:val="00472C1E"/>
    <w:rsid w:val="004831EE"/>
    <w:rsid w:val="00484D6C"/>
    <w:rsid w:val="0048759E"/>
    <w:rsid w:val="00492A1A"/>
    <w:rsid w:val="004A669E"/>
    <w:rsid w:val="004C07C1"/>
    <w:rsid w:val="004C19E6"/>
    <w:rsid w:val="004C2E10"/>
    <w:rsid w:val="004C3FA7"/>
    <w:rsid w:val="004C534E"/>
    <w:rsid w:val="004C6287"/>
    <w:rsid w:val="004D28A3"/>
    <w:rsid w:val="004D5AD8"/>
    <w:rsid w:val="004E6D69"/>
    <w:rsid w:val="004F1B20"/>
    <w:rsid w:val="00503723"/>
    <w:rsid w:val="00507E94"/>
    <w:rsid w:val="005141D5"/>
    <w:rsid w:val="00521F5E"/>
    <w:rsid w:val="005279F6"/>
    <w:rsid w:val="0053222E"/>
    <w:rsid w:val="00532308"/>
    <w:rsid w:val="00533926"/>
    <w:rsid w:val="00535F90"/>
    <w:rsid w:val="0053701C"/>
    <w:rsid w:val="00537DAE"/>
    <w:rsid w:val="00544AD2"/>
    <w:rsid w:val="005637A2"/>
    <w:rsid w:val="00565095"/>
    <w:rsid w:val="00577DCB"/>
    <w:rsid w:val="005A284B"/>
    <w:rsid w:val="005B3B5A"/>
    <w:rsid w:val="005B3D8E"/>
    <w:rsid w:val="005B6D89"/>
    <w:rsid w:val="005B7E16"/>
    <w:rsid w:val="005C45A0"/>
    <w:rsid w:val="005D26DA"/>
    <w:rsid w:val="005D64F0"/>
    <w:rsid w:val="005F11AF"/>
    <w:rsid w:val="006006EA"/>
    <w:rsid w:val="00604282"/>
    <w:rsid w:val="0061404D"/>
    <w:rsid w:val="006167FE"/>
    <w:rsid w:val="00616D46"/>
    <w:rsid w:val="0062068F"/>
    <w:rsid w:val="006237BB"/>
    <w:rsid w:val="00626C34"/>
    <w:rsid w:val="006438B6"/>
    <w:rsid w:val="00654137"/>
    <w:rsid w:val="00680E3C"/>
    <w:rsid w:val="00682F69"/>
    <w:rsid w:val="006856A7"/>
    <w:rsid w:val="00691E5C"/>
    <w:rsid w:val="00692BE9"/>
    <w:rsid w:val="006A5C2F"/>
    <w:rsid w:val="006A7545"/>
    <w:rsid w:val="006B3A8D"/>
    <w:rsid w:val="006C31CC"/>
    <w:rsid w:val="006E09A7"/>
    <w:rsid w:val="006F34AB"/>
    <w:rsid w:val="007016A8"/>
    <w:rsid w:val="007016F2"/>
    <w:rsid w:val="007357C4"/>
    <w:rsid w:val="00741F91"/>
    <w:rsid w:val="007575B5"/>
    <w:rsid w:val="00761BC6"/>
    <w:rsid w:val="007636B4"/>
    <w:rsid w:val="00764299"/>
    <w:rsid w:val="00793B67"/>
    <w:rsid w:val="0079405A"/>
    <w:rsid w:val="00794265"/>
    <w:rsid w:val="007951F3"/>
    <w:rsid w:val="007A4F8C"/>
    <w:rsid w:val="007B1244"/>
    <w:rsid w:val="007C20BC"/>
    <w:rsid w:val="007C4191"/>
    <w:rsid w:val="007C6CAE"/>
    <w:rsid w:val="007D00CF"/>
    <w:rsid w:val="007D0A2B"/>
    <w:rsid w:val="007D2504"/>
    <w:rsid w:val="007D53A1"/>
    <w:rsid w:val="007D6BD3"/>
    <w:rsid w:val="007D77A2"/>
    <w:rsid w:val="007F7241"/>
    <w:rsid w:val="00804FF6"/>
    <w:rsid w:val="00813F1D"/>
    <w:rsid w:val="0082056A"/>
    <w:rsid w:val="00823B9A"/>
    <w:rsid w:val="00833D42"/>
    <w:rsid w:val="008516D0"/>
    <w:rsid w:val="008543A6"/>
    <w:rsid w:val="008564C3"/>
    <w:rsid w:val="00862F29"/>
    <w:rsid w:val="008634E0"/>
    <w:rsid w:val="00891A80"/>
    <w:rsid w:val="008A0BAC"/>
    <w:rsid w:val="008A30E3"/>
    <w:rsid w:val="008A6852"/>
    <w:rsid w:val="008A7EDA"/>
    <w:rsid w:val="008B4756"/>
    <w:rsid w:val="008B7300"/>
    <w:rsid w:val="008C117A"/>
    <w:rsid w:val="008C2CEC"/>
    <w:rsid w:val="008C5DFA"/>
    <w:rsid w:val="008C6518"/>
    <w:rsid w:val="008D5421"/>
    <w:rsid w:val="008D6AFB"/>
    <w:rsid w:val="008E541B"/>
    <w:rsid w:val="008E6E2E"/>
    <w:rsid w:val="00913A4B"/>
    <w:rsid w:val="00935659"/>
    <w:rsid w:val="00946CA4"/>
    <w:rsid w:val="00957A55"/>
    <w:rsid w:val="00972455"/>
    <w:rsid w:val="00975E72"/>
    <w:rsid w:val="009764CA"/>
    <w:rsid w:val="00980247"/>
    <w:rsid w:val="0098207A"/>
    <w:rsid w:val="009A0A00"/>
    <w:rsid w:val="009C1CC7"/>
    <w:rsid w:val="009D1A00"/>
    <w:rsid w:val="009D23CF"/>
    <w:rsid w:val="009D2B80"/>
    <w:rsid w:val="009F5206"/>
    <w:rsid w:val="009F741E"/>
    <w:rsid w:val="00A0637A"/>
    <w:rsid w:val="00A12B01"/>
    <w:rsid w:val="00A14A7B"/>
    <w:rsid w:val="00A16EDE"/>
    <w:rsid w:val="00A237FF"/>
    <w:rsid w:val="00A24AC5"/>
    <w:rsid w:val="00A26C42"/>
    <w:rsid w:val="00A41B0B"/>
    <w:rsid w:val="00A472E2"/>
    <w:rsid w:val="00A60E62"/>
    <w:rsid w:val="00A65F3A"/>
    <w:rsid w:val="00A67BA0"/>
    <w:rsid w:val="00A80405"/>
    <w:rsid w:val="00A81FE9"/>
    <w:rsid w:val="00A901AF"/>
    <w:rsid w:val="00AA5833"/>
    <w:rsid w:val="00AC78F8"/>
    <w:rsid w:val="00AD0D57"/>
    <w:rsid w:val="00AD283D"/>
    <w:rsid w:val="00AE33FF"/>
    <w:rsid w:val="00AF0334"/>
    <w:rsid w:val="00AF7E67"/>
    <w:rsid w:val="00B105B3"/>
    <w:rsid w:val="00B23F23"/>
    <w:rsid w:val="00B278BC"/>
    <w:rsid w:val="00B362CC"/>
    <w:rsid w:val="00B3753B"/>
    <w:rsid w:val="00B43C36"/>
    <w:rsid w:val="00B54283"/>
    <w:rsid w:val="00B702BD"/>
    <w:rsid w:val="00B7685F"/>
    <w:rsid w:val="00B816F5"/>
    <w:rsid w:val="00BB40DD"/>
    <w:rsid w:val="00BB5132"/>
    <w:rsid w:val="00BC7921"/>
    <w:rsid w:val="00BE32B8"/>
    <w:rsid w:val="00C07002"/>
    <w:rsid w:val="00C0711E"/>
    <w:rsid w:val="00C106DC"/>
    <w:rsid w:val="00C10E0E"/>
    <w:rsid w:val="00C12D2E"/>
    <w:rsid w:val="00C21E3C"/>
    <w:rsid w:val="00C2315C"/>
    <w:rsid w:val="00C25E83"/>
    <w:rsid w:val="00C50DDC"/>
    <w:rsid w:val="00C6451A"/>
    <w:rsid w:val="00C906D5"/>
    <w:rsid w:val="00C90E16"/>
    <w:rsid w:val="00C93A55"/>
    <w:rsid w:val="00CB1A56"/>
    <w:rsid w:val="00CC16CC"/>
    <w:rsid w:val="00CC1BC9"/>
    <w:rsid w:val="00CE3056"/>
    <w:rsid w:val="00CE44D3"/>
    <w:rsid w:val="00D02A87"/>
    <w:rsid w:val="00D1327F"/>
    <w:rsid w:val="00D15CA1"/>
    <w:rsid w:val="00D22EF5"/>
    <w:rsid w:val="00D26CAF"/>
    <w:rsid w:val="00D32C8B"/>
    <w:rsid w:val="00D40C6F"/>
    <w:rsid w:val="00D46106"/>
    <w:rsid w:val="00D4767A"/>
    <w:rsid w:val="00D506AB"/>
    <w:rsid w:val="00D51A62"/>
    <w:rsid w:val="00D6313B"/>
    <w:rsid w:val="00D67600"/>
    <w:rsid w:val="00D74E48"/>
    <w:rsid w:val="00DA06AC"/>
    <w:rsid w:val="00DA2891"/>
    <w:rsid w:val="00DA48E8"/>
    <w:rsid w:val="00DA75A8"/>
    <w:rsid w:val="00DB6027"/>
    <w:rsid w:val="00DC791C"/>
    <w:rsid w:val="00DD04BC"/>
    <w:rsid w:val="00DE1FD3"/>
    <w:rsid w:val="00DE2FFC"/>
    <w:rsid w:val="00DF1B94"/>
    <w:rsid w:val="00DF7C5E"/>
    <w:rsid w:val="00E010A8"/>
    <w:rsid w:val="00E01DDF"/>
    <w:rsid w:val="00E033C9"/>
    <w:rsid w:val="00E0435B"/>
    <w:rsid w:val="00E11F6D"/>
    <w:rsid w:val="00E34ADA"/>
    <w:rsid w:val="00E354C3"/>
    <w:rsid w:val="00E54EC6"/>
    <w:rsid w:val="00E649C4"/>
    <w:rsid w:val="00E65E5E"/>
    <w:rsid w:val="00E711A7"/>
    <w:rsid w:val="00E7750C"/>
    <w:rsid w:val="00E77B2F"/>
    <w:rsid w:val="00E820D8"/>
    <w:rsid w:val="00E8416E"/>
    <w:rsid w:val="00E873EB"/>
    <w:rsid w:val="00E9111B"/>
    <w:rsid w:val="00EA3959"/>
    <w:rsid w:val="00EA576B"/>
    <w:rsid w:val="00EA63A3"/>
    <w:rsid w:val="00EB03B3"/>
    <w:rsid w:val="00EB789F"/>
    <w:rsid w:val="00EC4E07"/>
    <w:rsid w:val="00ED1BCB"/>
    <w:rsid w:val="00ED5421"/>
    <w:rsid w:val="00EE2A45"/>
    <w:rsid w:val="00EF004C"/>
    <w:rsid w:val="00EF0D15"/>
    <w:rsid w:val="00EF11CD"/>
    <w:rsid w:val="00EF4DA0"/>
    <w:rsid w:val="00F001C3"/>
    <w:rsid w:val="00F05A3D"/>
    <w:rsid w:val="00F1063B"/>
    <w:rsid w:val="00F15747"/>
    <w:rsid w:val="00F1728F"/>
    <w:rsid w:val="00F404F8"/>
    <w:rsid w:val="00F42C93"/>
    <w:rsid w:val="00F53E66"/>
    <w:rsid w:val="00F57F5F"/>
    <w:rsid w:val="00F67082"/>
    <w:rsid w:val="00F80A15"/>
    <w:rsid w:val="00F84614"/>
    <w:rsid w:val="00F9301C"/>
    <w:rsid w:val="00FA0B73"/>
    <w:rsid w:val="00FA2767"/>
    <w:rsid w:val="00FA3FE0"/>
    <w:rsid w:val="00FB3497"/>
    <w:rsid w:val="00FB530D"/>
    <w:rsid w:val="00FB5817"/>
    <w:rsid w:val="00FC712D"/>
    <w:rsid w:val="00FD1296"/>
    <w:rsid w:val="00FD131A"/>
    <w:rsid w:val="00FD3941"/>
    <w:rsid w:val="00FE3081"/>
    <w:rsid w:val="00FE75F2"/>
    <w:rsid w:val="00FE7ACB"/>
    <w:rsid w:val="00FF1C1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C08FA"/>
  <w15:chartTrackingRefBased/>
  <w15:docId w15:val="{C5E58228-1E5A-433F-B5D7-9B917664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6A7"/>
    <w:pPr>
      <w:keepNext/>
      <w:spacing w:before="240" w:after="60" w:line="240" w:lineRule="auto"/>
      <w:outlineLvl w:val="0"/>
    </w:pPr>
    <w:rPr>
      <w:rFonts w:ascii="Arial" w:eastAsia="Times New Roman" w:hAnsi="Arial" w:cs="Arial"/>
      <w:b/>
      <w:bCs/>
      <w:kern w:val="32"/>
      <w:sz w:val="32"/>
      <w:szCs w:val="32"/>
      <w:lang w:val="en-US" w:eastAsia="bg-BG"/>
    </w:rPr>
  </w:style>
  <w:style w:type="paragraph" w:styleId="Heading2">
    <w:name w:val="heading 2"/>
    <w:basedOn w:val="Normal"/>
    <w:next w:val="Normal"/>
    <w:link w:val="Heading2Char"/>
    <w:uiPriority w:val="9"/>
    <w:qFormat/>
    <w:rsid w:val="006856A7"/>
    <w:pPr>
      <w:keepNext/>
      <w:spacing w:after="0" w:line="240" w:lineRule="auto"/>
      <w:outlineLvl w:val="1"/>
    </w:pPr>
    <w:rPr>
      <w:rFonts w:ascii="Times New Roman" w:eastAsia="Times New Roman" w:hAnsi="Times New Roman" w:cs="Times New Roman"/>
      <w:b/>
      <w:bCs/>
      <w:sz w:val="20"/>
      <w:szCs w:val="20"/>
      <w:lang w:eastAsia="bg-BG"/>
    </w:rPr>
  </w:style>
  <w:style w:type="paragraph" w:styleId="Heading3">
    <w:name w:val="heading 3"/>
    <w:basedOn w:val="Normal"/>
    <w:next w:val="Normal"/>
    <w:link w:val="Heading3Char"/>
    <w:uiPriority w:val="9"/>
    <w:unhideWhenUsed/>
    <w:qFormat/>
    <w:rsid w:val="006856A7"/>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bg-BG"/>
    </w:rPr>
  </w:style>
  <w:style w:type="paragraph" w:styleId="Heading4">
    <w:name w:val="heading 4"/>
    <w:basedOn w:val="Normal"/>
    <w:next w:val="Normal"/>
    <w:link w:val="Heading4Char"/>
    <w:qFormat/>
    <w:rsid w:val="006856A7"/>
    <w:pPr>
      <w:keepNext/>
      <w:spacing w:before="240" w:after="60" w:line="240" w:lineRule="auto"/>
      <w:outlineLvl w:val="3"/>
    </w:pPr>
    <w:rPr>
      <w:rFonts w:ascii="Calibri" w:eastAsia="Times New Roman" w:hAnsi="Calibri" w:cs="Times New Roman"/>
      <w:b/>
      <w:bCs/>
      <w:color w:val="000000"/>
      <w:sz w:val="28"/>
      <w:szCs w:val="28"/>
      <w:lang w:eastAsia="bg-BG"/>
    </w:rPr>
  </w:style>
  <w:style w:type="paragraph" w:styleId="Heading5">
    <w:name w:val="heading 5"/>
    <w:basedOn w:val="Normal"/>
    <w:next w:val="Normal"/>
    <w:link w:val="Heading5Char"/>
    <w:qFormat/>
    <w:rsid w:val="006856A7"/>
    <w:pPr>
      <w:keepNext/>
      <w:spacing w:after="0" w:line="240" w:lineRule="auto"/>
      <w:ind w:firstLine="112"/>
      <w:outlineLvl w:val="4"/>
    </w:pPr>
    <w:rPr>
      <w:rFonts w:ascii="Times New Roman" w:eastAsia="Times New Roman" w:hAnsi="Times New Roman" w:cs="Times New Roman"/>
      <w:color w:val="000000"/>
      <w:sz w:val="20"/>
      <w:szCs w:val="20"/>
    </w:rPr>
  </w:style>
  <w:style w:type="paragraph" w:styleId="Heading6">
    <w:name w:val="heading 6"/>
    <w:basedOn w:val="Normal"/>
    <w:next w:val="Normal"/>
    <w:link w:val="Heading6Char"/>
    <w:qFormat/>
    <w:rsid w:val="006856A7"/>
    <w:pPr>
      <w:keepNext/>
      <w:spacing w:after="0" w:line="240" w:lineRule="auto"/>
      <w:ind w:left="6270"/>
      <w:outlineLvl w:val="5"/>
    </w:pPr>
    <w:rPr>
      <w:rFonts w:ascii="Times New Roman" w:eastAsia="Calibri" w:hAnsi="Times New Roman" w:cs="Times New Roman"/>
      <w:b/>
      <w:bCs/>
      <w:sz w:val="24"/>
    </w:rPr>
  </w:style>
  <w:style w:type="paragraph" w:styleId="Heading7">
    <w:name w:val="heading 7"/>
    <w:basedOn w:val="Normal"/>
    <w:next w:val="Normal"/>
    <w:link w:val="Heading7Char"/>
    <w:qFormat/>
    <w:rsid w:val="006856A7"/>
    <w:pPr>
      <w:keepNext/>
      <w:spacing w:after="0" w:line="240" w:lineRule="auto"/>
      <w:ind w:right="94"/>
      <w:jc w:val="center"/>
      <w:outlineLvl w:val="6"/>
    </w:pPr>
    <w:rPr>
      <w:rFonts w:ascii="Arial CYR" w:eastAsia="Calibri" w:hAnsi="Arial CYR" w:cs="Arial CYR"/>
      <w:b/>
      <w:bCs/>
      <w:sz w:val="20"/>
      <w:szCs w:val="20"/>
    </w:rPr>
  </w:style>
  <w:style w:type="paragraph" w:styleId="Heading8">
    <w:name w:val="heading 8"/>
    <w:basedOn w:val="Normal"/>
    <w:next w:val="Normal"/>
    <w:link w:val="Heading8Char"/>
    <w:qFormat/>
    <w:rsid w:val="006856A7"/>
    <w:pPr>
      <w:keepNext/>
      <w:spacing w:after="0" w:line="240" w:lineRule="auto"/>
      <w:jc w:val="center"/>
      <w:outlineLvl w:val="7"/>
    </w:pPr>
    <w:rPr>
      <w:rFonts w:ascii="Arial" w:eastAsia="Calibri" w:hAnsi="Arial" w:cs="Arial"/>
      <w:b/>
      <w:bCs/>
      <w:sz w:val="20"/>
    </w:rPr>
  </w:style>
  <w:style w:type="paragraph" w:styleId="Heading9">
    <w:name w:val="heading 9"/>
    <w:basedOn w:val="Normal"/>
    <w:next w:val="Normal"/>
    <w:link w:val="Heading9Char"/>
    <w:qFormat/>
    <w:rsid w:val="006856A7"/>
    <w:pPr>
      <w:keepNext/>
      <w:spacing w:after="0" w:line="240" w:lineRule="auto"/>
      <w:jc w:val="center"/>
      <w:outlineLvl w:val="8"/>
    </w:pPr>
    <w:rPr>
      <w:rFonts w:ascii="Arial" w:eastAsia="Calibri"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6A7"/>
    <w:rPr>
      <w:rFonts w:ascii="Arial" w:eastAsia="Times New Roman" w:hAnsi="Arial" w:cs="Arial"/>
      <w:b/>
      <w:bCs/>
      <w:kern w:val="32"/>
      <w:sz w:val="32"/>
      <w:szCs w:val="32"/>
      <w:lang w:val="en-US" w:eastAsia="bg-BG"/>
    </w:rPr>
  </w:style>
  <w:style w:type="character" w:customStyle="1" w:styleId="Heading2Char">
    <w:name w:val="Heading 2 Char"/>
    <w:basedOn w:val="DefaultParagraphFont"/>
    <w:link w:val="Heading2"/>
    <w:uiPriority w:val="9"/>
    <w:rsid w:val="006856A7"/>
    <w:rPr>
      <w:rFonts w:ascii="Times New Roman" w:eastAsia="Times New Roman" w:hAnsi="Times New Roman" w:cs="Times New Roman"/>
      <w:b/>
      <w:bCs/>
      <w:sz w:val="20"/>
      <w:szCs w:val="20"/>
      <w:lang w:eastAsia="bg-BG"/>
    </w:rPr>
  </w:style>
  <w:style w:type="character" w:customStyle="1" w:styleId="Heading3Char">
    <w:name w:val="Heading 3 Char"/>
    <w:basedOn w:val="DefaultParagraphFont"/>
    <w:link w:val="Heading3"/>
    <w:uiPriority w:val="9"/>
    <w:rsid w:val="006856A7"/>
    <w:rPr>
      <w:rFonts w:asciiTheme="majorHAnsi" w:eastAsiaTheme="majorEastAsia" w:hAnsiTheme="majorHAnsi" w:cstheme="majorBidi"/>
      <w:b/>
      <w:bCs/>
      <w:color w:val="5B9BD5" w:themeColor="accent1"/>
      <w:sz w:val="24"/>
      <w:szCs w:val="24"/>
      <w:lang w:eastAsia="bg-BG"/>
    </w:rPr>
  </w:style>
  <w:style w:type="character" w:customStyle="1" w:styleId="Heading4Char">
    <w:name w:val="Heading 4 Char"/>
    <w:basedOn w:val="DefaultParagraphFont"/>
    <w:link w:val="Heading4"/>
    <w:rsid w:val="006856A7"/>
    <w:rPr>
      <w:rFonts w:ascii="Calibri" w:eastAsia="Times New Roman" w:hAnsi="Calibri" w:cs="Times New Roman"/>
      <w:b/>
      <w:bCs/>
      <w:color w:val="000000"/>
      <w:sz w:val="28"/>
      <w:szCs w:val="28"/>
      <w:lang w:eastAsia="bg-BG"/>
    </w:rPr>
  </w:style>
  <w:style w:type="character" w:customStyle="1" w:styleId="Heading5Char">
    <w:name w:val="Heading 5 Char"/>
    <w:basedOn w:val="DefaultParagraphFont"/>
    <w:link w:val="Heading5"/>
    <w:rsid w:val="006856A7"/>
    <w:rPr>
      <w:rFonts w:ascii="Times New Roman" w:eastAsia="Times New Roman" w:hAnsi="Times New Roman" w:cs="Times New Roman"/>
      <w:color w:val="000000"/>
      <w:sz w:val="20"/>
      <w:szCs w:val="20"/>
    </w:rPr>
  </w:style>
  <w:style w:type="character" w:customStyle="1" w:styleId="Heading6Char">
    <w:name w:val="Heading 6 Char"/>
    <w:basedOn w:val="DefaultParagraphFont"/>
    <w:link w:val="Heading6"/>
    <w:rsid w:val="006856A7"/>
    <w:rPr>
      <w:rFonts w:ascii="Times New Roman" w:eastAsia="Calibri" w:hAnsi="Times New Roman" w:cs="Times New Roman"/>
      <w:b/>
      <w:bCs/>
      <w:sz w:val="24"/>
    </w:rPr>
  </w:style>
  <w:style w:type="character" w:customStyle="1" w:styleId="Heading7Char">
    <w:name w:val="Heading 7 Char"/>
    <w:basedOn w:val="DefaultParagraphFont"/>
    <w:link w:val="Heading7"/>
    <w:rsid w:val="006856A7"/>
    <w:rPr>
      <w:rFonts w:ascii="Arial CYR" w:eastAsia="Calibri" w:hAnsi="Arial CYR" w:cs="Arial CYR"/>
      <w:b/>
      <w:bCs/>
      <w:sz w:val="20"/>
      <w:szCs w:val="20"/>
    </w:rPr>
  </w:style>
  <w:style w:type="character" w:customStyle="1" w:styleId="Heading8Char">
    <w:name w:val="Heading 8 Char"/>
    <w:basedOn w:val="DefaultParagraphFont"/>
    <w:link w:val="Heading8"/>
    <w:rsid w:val="006856A7"/>
    <w:rPr>
      <w:rFonts w:ascii="Arial" w:eastAsia="Calibri" w:hAnsi="Arial" w:cs="Arial"/>
      <w:b/>
      <w:bCs/>
      <w:sz w:val="20"/>
    </w:rPr>
  </w:style>
  <w:style w:type="character" w:customStyle="1" w:styleId="Heading9Char">
    <w:name w:val="Heading 9 Char"/>
    <w:basedOn w:val="DefaultParagraphFont"/>
    <w:link w:val="Heading9"/>
    <w:rsid w:val="006856A7"/>
    <w:rPr>
      <w:rFonts w:ascii="Arial" w:eastAsia="Calibri" w:hAnsi="Arial" w:cs="Arial"/>
      <w:b/>
      <w:bCs/>
    </w:rPr>
  </w:style>
  <w:style w:type="numbering" w:customStyle="1" w:styleId="NoList1">
    <w:name w:val="No List1"/>
    <w:next w:val="NoList"/>
    <w:uiPriority w:val="99"/>
    <w:semiHidden/>
    <w:unhideWhenUsed/>
    <w:rsid w:val="006856A7"/>
  </w:style>
  <w:style w:type="paragraph" w:styleId="Header">
    <w:name w:val="header"/>
    <w:basedOn w:val="Normal"/>
    <w:link w:val="HeaderChar"/>
    <w:uiPriority w:val="99"/>
    <w:unhideWhenUsed/>
    <w:rsid w:val="006856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56A7"/>
  </w:style>
  <w:style w:type="paragraph" w:styleId="Footer">
    <w:name w:val="footer"/>
    <w:basedOn w:val="Normal"/>
    <w:link w:val="FooterChar"/>
    <w:uiPriority w:val="99"/>
    <w:unhideWhenUsed/>
    <w:rsid w:val="006856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56A7"/>
  </w:style>
  <w:style w:type="paragraph" w:styleId="BalloonText">
    <w:name w:val="Balloon Text"/>
    <w:basedOn w:val="Normal"/>
    <w:link w:val="BalloonTextChar"/>
    <w:uiPriority w:val="99"/>
    <w:unhideWhenUsed/>
    <w:rsid w:val="00685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856A7"/>
    <w:rPr>
      <w:rFonts w:ascii="Tahoma" w:hAnsi="Tahoma" w:cs="Tahoma"/>
      <w:sz w:val="16"/>
      <w:szCs w:val="16"/>
    </w:rPr>
  </w:style>
  <w:style w:type="numbering" w:customStyle="1" w:styleId="NoList11">
    <w:name w:val="No List11"/>
    <w:next w:val="NoList"/>
    <w:semiHidden/>
    <w:unhideWhenUsed/>
    <w:rsid w:val="006856A7"/>
  </w:style>
  <w:style w:type="paragraph" w:styleId="FootnoteText">
    <w:name w:val="footnote text"/>
    <w:aliases w:val="Footnote,Footnote1,Footnote2,Footnote3,stile 1,Footnote4,Footnote5,Footnote6,Footnote7,Footnote8,Footnote9,Footnote10,Footnote11,Footnote21,Footnote31,Footnote41,Footnote51,Footnote61,Footnote71,Footnote81,Footnote91,single space,fn,f"/>
    <w:basedOn w:val="Normal"/>
    <w:link w:val="FootnoteTextChar"/>
    <w:uiPriority w:val="99"/>
    <w:qFormat/>
    <w:rsid w:val="006856A7"/>
    <w:pPr>
      <w:spacing w:after="0" w:line="240" w:lineRule="auto"/>
    </w:pPr>
    <w:rPr>
      <w:rFonts w:ascii="Times New Roman" w:eastAsia="Times New Roman" w:hAnsi="Times New Roman" w:cs="Times New Roman"/>
      <w:color w:val="000000"/>
      <w:sz w:val="20"/>
      <w:szCs w:val="20"/>
      <w:lang w:eastAsia="bg-BG"/>
    </w:rPr>
  </w:style>
  <w:style w:type="character" w:customStyle="1" w:styleId="FootnoteTextChar">
    <w:name w:val="Footnote Text Char"/>
    <w:aliases w:val="Footnote Char,Footnote1 Char,Footnote2 Char,Footnote3 Char,stile 1 Char,Footnote4 Char,Footnote5 Char,Footnote6 Char,Footnote7 Char,Footnote8 Char,Footnote9 Char,Footnote10 Char,Footnote11 Char,Footnote21 Char,Footnote31 Char,fn Char"/>
    <w:basedOn w:val="DefaultParagraphFont"/>
    <w:link w:val="FootnoteText"/>
    <w:uiPriority w:val="99"/>
    <w:rsid w:val="006856A7"/>
    <w:rPr>
      <w:rFonts w:ascii="Times New Roman" w:eastAsia="Times New Roman" w:hAnsi="Times New Roman" w:cs="Times New Roman"/>
      <w:color w:val="000000"/>
      <w:sz w:val="20"/>
      <w:szCs w:val="20"/>
      <w:lang w:eastAsia="bg-BG"/>
    </w:rPr>
  </w:style>
  <w:style w:type="character" w:styleId="FootnoteReference">
    <w:name w:val="footnote reference"/>
    <w:aliases w:val="Footnote symbol,Estilo de nota al pie de Africa,ftref,16 Point,Superscript 6 Point,Footnote Reference Number,Footnote Reference_LVL6,Footnote Reference_LVL61,Footnote Reference_LVL62,Footnote Reference_LVL63"/>
    <w:qFormat/>
    <w:rsid w:val="006856A7"/>
    <w:rPr>
      <w:vertAlign w:val="superscript"/>
    </w:rPr>
  </w:style>
  <w:style w:type="paragraph" w:customStyle="1" w:styleId="1">
    <w:name w:val="Списък на абзаци1"/>
    <w:basedOn w:val="Normal"/>
    <w:qFormat/>
    <w:rsid w:val="006856A7"/>
    <w:pPr>
      <w:spacing w:after="200" w:line="276" w:lineRule="auto"/>
      <w:ind w:left="720"/>
      <w:contextualSpacing/>
    </w:pPr>
    <w:rPr>
      <w:rFonts w:ascii="Calibri" w:eastAsia="Calibri" w:hAnsi="Calibri" w:cs="Times New Roman"/>
    </w:rPr>
  </w:style>
  <w:style w:type="paragraph" w:customStyle="1" w:styleId="ListParagraph1">
    <w:name w:val="List Paragraph1"/>
    <w:aliases w:val="List1,List Paragraph11"/>
    <w:basedOn w:val="Normal"/>
    <w:link w:val="ListParagraphChar"/>
    <w:qFormat/>
    <w:rsid w:val="006856A7"/>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List Paragraph1 Char,List1 Char,List Paragraph11 Char,Lettre d'introduction Char,1st level - Bullet List Paragraph Char,Normal bullet 2 Char,Bullet list Char,Paragrafo elenco Char,Bullet List Paragraph Char,Numbered List Char"/>
    <w:link w:val="ListParagraph1"/>
    <w:uiPriority w:val="34"/>
    <w:qFormat/>
    <w:locked/>
    <w:rsid w:val="006856A7"/>
    <w:rPr>
      <w:rFonts w:ascii="Times New Roman" w:eastAsia="Times New Roman" w:hAnsi="Times New Roman" w:cs="Times New Roman"/>
      <w:sz w:val="24"/>
      <w:szCs w:val="24"/>
      <w:lang w:val="en-GB"/>
    </w:rPr>
  </w:style>
  <w:style w:type="table" w:styleId="TableGrid">
    <w:name w:val="Table Grid"/>
    <w:basedOn w:val="TableNormal"/>
    <w:uiPriority w:val="39"/>
    <w:rsid w:val="006856A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1CharCharCharCharCharCharCharCharCharCharCharChar2Char">
    <w:name w:val="Char Char Char Char Char Char Char Char Char1 Char Char Char Char Char Char Char Char Char Char Char Char2 Char"/>
    <w:basedOn w:val="Normal"/>
    <w:uiPriority w:val="99"/>
    <w:rsid w:val="006856A7"/>
    <w:pPr>
      <w:tabs>
        <w:tab w:val="left" w:pos="709"/>
      </w:tabs>
      <w:spacing w:after="0" w:line="240" w:lineRule="auto"/>
    </w:pPr>
    <w:rPr>
      <w:rFonts w:ascii="Tahoma" w:eastAsia="Times New Roman" w:hAnsi="Tahoma" w:cs="Times New Roman"/>
      <w:sz w:val="24"/>
      <w:szCs w:val="24"/>
      <w:lang w:val="pl-PL" w:eastAsia="pl-PL"/>
    </w:rPr>
  </w:style>
  <w:style w:type="paragraph" w:customStyle="1" w:styleId="Default">
    <w:name w:val="Default"/>
    <w:qFormat/>
    <w:rsid w:val="006856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25">
    <w:name w:val="Font Style25"/>
    <w:rsid w:val="006856A7"/>
    <w:rPr>
      <w:rFonts w:ascii="Times New Roman" w:hAnsi="Times New Roman" w:cs="Times New Roman"/>
      <w:sz w:val="20"/>
      <w:szCs w:val="20"/>
    </w:rPr>
  </w:style>
  <w:style w:type="character" w:styleId="Strong">
    <w:name w:val="Strong"/>
    <w:uiPriority w:val="22"/>
    <w:qFormat/>
    <w:rsid w:val="006856A7"/>
    <w:rPr>
      <w:b/>
      <w:bCs/>
    </w:rPr>
  </w:style>
  <w:style w:type="paragraph" w:customStyle="1" w:styleId="CharChar">
    <w:name w:val="Char Char"/>
    <w:basedOn w:val="Normal"/>
    <w:semiHidden/>
    <w:rsid w:val="006856A7"/>
    <w:pPr>
      <w:tabs>
        <w:tab w:val="left" w:pos="709"/>
      </w:tabs>
      <w:spacing w:after="0" w:line="240" w:lineRule="auto"/>
      <w:jc w:val="both"/>
    </w:pPr>
    <w:rPr>
      <w:rFonts w:ascii="Times New Roman" w:eastAsia="Times New Roman" w:hAnsi="Times New Roman" w:cs="Times New Roman"/>
      <w:sz w:val="28"/>
      <w:szCs w:val="28"/>
      <w:lang w:val="pl-PL" w:eastAsia="pl-PL"/>
    </w:rPr>
  </w:style>
  <w:style w:type="paragraph" w:styleId="PlainText">
    <w:name w:val="Plain Text"/>
    <w:basedOn w:val="Normal"/>
    <w:link w:val="PlainTextChar"/>
    <w:uiPriority w:val="99"/>
    <w:rsid w:val="006856A7"/>
    <w:pPr>
      <w:spacing w:after="0" w:line="240" w:lineRule="auto"/>
    </w:pPr>
    <w:rPr>
      <w:rFonts w:ascii="Courier New" w:eastAsia="Calibri" w:hAnsi="Courier New" w:cs="Courier New"/>
      <w:sz w:val="20"/>
      <w:szCs w:val="20"/>
      <w:lang w:eastAsia="bg-BG"/>
    </w:rPr>
  </w:style>
  <w:style w:type="character" w:customStyle="1" w:styleId="PlainTextChar">
    <w:name w:val="Plain Text Char"/>
    <w:basedOn w:val="DefaultParagraphFont"/>
    <w:link w:val="PlainText"/>
    <w:uiPriority w:val="99"/>
    <w:rsid w:val="006856A7"/>
    <w:rPr>
      <w:rFonts w:ascii="Courier New" w:eastAsia="Calibri" w:hAnsi="Courier New" w:cs="Courier New"/>
      <w:sz w:val="20"/>
      <w:szCs w:val="20"/>
      <w:lang w:eastAsia="bg-BG"/>
    </w:rPr>
  </w:style>
  <w:style w:type="paragraph" w:styleId="BodyText">
    <w:name w:val="Body Text"/>
    <w:basedOn w:val="Normal"/>
    <w:link w:val="BodyTextChar"/>
    <w:rsid w:val="006856A7"/>
    <w:pPr>
      <w:spacing w:after="0" w:line="240" w:lineRule="auto"/>
    </w:pPr>
    <w:rPr>
      <w:rFonts w:ascii="Times New Roman" w:eastAsia="Times New Roman" w:hAnsi="Times New Roman" w:cs="Times New Roman"/>
      <w:bCs/>
      <w:color w:val="000000"/>
      <w:sz w:val="20"/>
      <w:szCs w:val="24"/>
      <w:lang w:eastAsia="bg-BG"/>
    </w:rPr>
  </w:style>
  <w:style w:type="character" w:customStyle="1" w:styleId="BodyTextChar">
    <w:name w:val="Body Text Char"/>
    <w:basedOn w:val="DefaultParagraphFont"/>
    <w:link w:val="BodyText"/>
    <w:rsid w:val="006856A7"/>
    <w:rPr>
      <w:rFonts w:ascii="Times New Roman" w:eastAsia="Times New Roman" w:hAnsi="Times New Roman" w:cs="Times New Roman"/>
      <w:bCs/>
      <w:color w:val="000000"/>
      <w:sz w:val="20"/>
      <w:szCs w:val="24"/>
      <w:lang w:eastAsia="bg-BG"/>
    </w:rPr>
  </w:style>
  <w:style w:type="paragraph" w:customStyle="1" w:styleId="num2">
    <w:name w:val="num2"/>
    <w:basedOn w:val="Normal"/>
    <w:next w:val="Normal"/>
    <w:rsid w:val="006856A7"/>
    <w:pPr>
      <w:tabs>
        <w:tab w:val="left" w:pos="1134"/>
        <w:tab w:val="left" w:pos="2552"/>
      </w:tabs>
      <w:autoSpaceDE w:val="0"/>
      <w:autoSpaceDN w:val="0"/>
      <w:adjustRightInd w:val="0"/>
      <w:spacing w:before="113" w:after="0" w:line="300" w:lineRule="atLeast"/>
      <w:ind w:left="1134" w:hanging="1134"/>
      <w:jc w:val="both"/>
    </w:pPr>
    <w:rPr>
      <w:rFonts w:ascii="TmsCyr" w:eastAsia="Times New Roman" w:hAnsi="TmsCyr" w:cs="Times New Roman"/>
      <w:b/>
      <w:bCs/>
      <w:sz w:val="26"/>
      <w:szCs w:val="26"/>
      <w:lang w:val="en-US"/>
    </w:rPr>
  </w:style>
  <w:style w:type="character" w:customStyle="1" w:styleId="yiv1634194493apple-style-span">
    <w:name w:val="yiv1634194493apple-style-span"/>
    <w:basedOn w:val="DefaultParagraphFont"/>
    <w:uiPriority w:val="99"/>
    <w:rsid w:val="006856A7"/>
  </w:style>
  <w:style w:type="character" w:styleId="Hyperlink">
    <w:name w:val="Hyperlink"/>
    <w:uiPriority w:val="99"/>
    <w:unhideWhenUsed/>
    <w:rsid w:val="006856A7"/>
    <w:rPr>
      <w:color w:val="0000FF"/>
      <w:u w:val="single"/>
    </w:rPr>
  </w:style>
  <w:style w:type="paragraph" w:styleId="NoSpacing">
    <w:name w:val="No Spacing"/>
    <w:link w:val="NoSpacingChar"/>
    <w:uiPriority w:val="1"/>
    <w:qFormat/>
    <w:rsid w:val="006856A7"/>
    <w:pPr>
      <w:spacing w:after="0" w:line="240" w:lineRule="auto"/>
    </w:pPr>
    <w:rPr>
      <w:rFonts w:ascii="Calibri" w:eastAsia="Calibri" w:hAnsi="Calibri" w:cs="Times New Roman"/>
    </w:rPr>
  </w:style>
  <w:style w:type="character" w:customStyle="1" w:styleId="apple-converted-space">
    <w:name w:val="apple-converted-space"/>
    <w:rsid w:val="006856A7"/>
  </w:style>
  <w:style w:type="character" w:customStyle="1" w:styleId="FontStyle12">
    <w:name w:val="Font Style12"/>
    <w:rsid w:val="006856A7"/>
    <w:rPr>
      <w:rFonts w:ascii="Times New Roman" w:hAnsi="Times New Roman"/>
      <w:sz w:val="20"/>
    </w:rPr>
  </w:style>
  <w:style w:type="character" w:styleId="PageNumber">
    <w:name w:val="page number"/>
    <w:basedOn w:val="DefaultParagraphFont"/>
    <w:rsid w:val="006856A7"/>
  </w:style>
  <w:style w:type="character" w:styleId="Emphasis">
    <w:name w:val="Emphasis"/>
    <w:uiPriority w:val="99"/>
    <w:qFormat/>
    <w:rsid w:val="006856A7"/>
    <w:rPr>
      <w:i/>
      <w:iCs/>
    </w:rPr>
  </w:style>
  <w:style w:type="character" w:styleId="CommentReference">
    <w:name w:val="annotation reference"/>
    <w:uiPriority w:val="99"/>
    <w:rsid w:val="006856A7"/>
    <w:rPr>
      <w:sz w:val="16"/>
      <w:szCs w:val="16"/>
    </w:rPr>
  </w:style>
  <w:style w:type="paragraph" w:styleId="CommentText">
    <w:name w:val="annotation text"/>
    <w:basedOn w:val="Normal"/>
    <w:link w:val="CommentTextChar"/>
    <w:uiPriority w:val="99"/>
    <w:rsid w:val="006856A7"/>
    <w:pPr>
      <w:spacing w:after="0" w:line="240" w:lineRule="auto"/>
    </w:pPr>
    <w:rPr>
      <w:rFonts w:ascii="Times New Roman" w:eastAsia="Times New Roman" w:hAnsi="Times New Roman" w:cs="Times New Roman"/>
      <w:color w:val="000000"/>
      <w:sz w:val="20"/>
      <w:szCs w:val="20"/>
      <w:lang w:eastAsia="bg-BG"/>
    </w:rPr>
  </w:style>
  <w:style w:type="character" w:customStyle="1" w:styleId="CommentTextChar">
    <w:name w:val="Comment Text Char"/>
    <w:basedOn w:val="DefaultParagraphFont"/>
    <w:link w:val="CommentText"/>
    <w:uiPriority w:val="99"/>
    <w:rsid w:val="006856A7"/>
    <w:rPr>
      <w:rFonts w:ascii="Times New Roman" w:eastAsia="Times New Roman" w:hAnsi="Times New Roman" w:cs="Times New Roman"/>
      <w:color w:val="000000"/>
      <w:sz w:val="20"/>
      <w:szCs w:val="20"/>
      <w:lang w:eastAsia="bg-BG"/>
    </w:rPr>
  </w:style>
  <w:style w:type="paragraph" w:customStyle="1" w:styleId="Style3">
    <w:name w:val="Style3"/>
    <w:basedOn w:val="Normal"/>
    <w:rsid w:val="006856A7"/>
    <w:pPr>
      <w:widowControl w:val="0"/>
      <w:autoSpaceDE w:val="0"/>
      <w:autoSpaceDN w:val="0"/>
      <w:adjustRightInd w:val="0"/>
      <w:spacing w:after="0" w:line="281" w:lineRule="exact"/>
      <w:ind w:firstLine="374"/>
      <w:jc w:val="both"/>
    </w:pPr>
    <w:rPr>
      <w:rFonts w:ascii="Verdana" w:eastAsia="Times New Roman" w:hAnsi="Verdana" w:cs="Times New Roman"/>
      <w:sz w:val="24"/>
      <w:szCs w:val="24"/>
      <w:lang w:val="en-US"/>
    </w:rPr>
  </w:style>
  <w:style w:type="character" w:customStyle="1" w:styleId="FontStyle28">
    <w:name w:val="Font Style28"/>
    <w:rsid w:val="006856A7"/>
    <w:rPr>
      <w:rFonts w:ascii="Verdana" w:hAnsi="Verdana" w:cs="Verdana"/>
      <w:sz w:val="18"/>
      <w:szCs w:val="18"/>
    </w:rPr>
  </w:style>
  <w:style w:type="paragraph" w:styleId="ListParagraph">
    <w:name w:val="List Paragraph"/>
    <w:aliases w:val="Colorful List - Accent 11,List Paragraph1111,Lettre d'introduction,1st level - Bullet List Paragraph,Normal bullet 2,Bullet list,Paragrafo elenco,Bullet List Paragraph,Numbered List,Normal bullet 21,List Paragraph111,Bullet list1"/>
    <w:basedOn w:val="Normal"/>
    <w:link w:val="ListParagraphChar1"/>
    <w:uiPriority w:val="34"/>
    <w:qFormat/>
    <w:rsid w:val="006856A7"/>
    <w:pPr>
      <w:spacing w:after="0" w:line="240" w:lineRule="auto"/>
      <w:ind w:left="720"/>
      <w:contextualSpacing/>
    </w:pPr>
    <w:rPr>
      <w:rFonts w:ascii="Times New Roman" w:eastAsia="Times New Roman" w:hAnsi="Times New Roman" w:cs="Times New Roman"/>
      <w:color w:val="000000"/>
      <w:sz w:val="24"/>
      <w:szCs w:val="24"/>
      <w:lang w:eastAsia="bg-BG"/>
    </w:rPr>
  </w:style>
  <w:style w:type="paragraph" w:styleId="BodyTextIndent2">
    <w:name w:val="Body Text Indent 2"/>
    <w:basedOn w:val="Normal"/>
    <w:link w:val="BodyTextIndent2Char"/>
    <w:uiPriority w:val="99"/>
    <w:unhideWhenUsed/>
    <w:rsid w:val="006856A7"/>
    <w:pPr>
      <w:spacing w:after="120" w:line="480" w:lineRule="auto"/>
      <w:ind w:left="283"/>
    </w:pPr>
    <w:rPr>
      <w:rFonts w:ascii="Times New Roman" w:eastAsia="Times New Roman" w:hAnsi="Times New Roman" w:cs="Times New Roman"/>
      <w:color w:val="000000"/>
      <w:sz w:val="24"/>
      <w:szCs w:val="24"/>
      <w:lang w:eastAsia="bg-BG"/>
    </w:rPr>
  </w:style>
  <w:style w:type="character" w:customStyle="1" w:styleId="BodyTextIndent2Char">
    <w:name w:val="Body Text Indent 2 Char"/>
    <w:basedOn w:val="DefaultParagraphFont"/>
    <w:link w:val="BodyTextIndent2"/>
    <w:uiPriority w:val="99"/>
    <w:rsid w:val="006856A7"/>
    <w:rPr>
      <w:rFonts w:ascii="Times New Roman" w:eastAsia="Times New Roman" w:hAnsi="Times New Roman" w:cs="Times New Roman"/>
      <w:color w:val="000000"/>
      <w:sz w:val="24"/>
      <w:szCs w:val="24"/>
      <w:lang w:eastAsia="bg-BG"/>
    </w:rPr>
  </w:style>
  <w:style w:type="paragraph" w:customStyle="1" w:styleId="CharCharCharCharCharCharCharCharCharCharCharChar">
    <w:name w:val="Char Char Char Char Char Char Char Char Char Char Char Char"/>
    <w:basedOn w:val="Normal"/>
    <w:rsid w:val="006856A7"/>
    <w:pPr>
      <w:spacing w:line="240" w:lineRule="exact"/>
    </w:pPr>
    <w:rPr>
      <w:rFonts w:ascii="Tahoma" w:eastAsia="Times New Roman" w:hAnsi="Tahoma" w:cs="Times New Roman"/>
      <w:sz w:val="20"/>
      <w:szCs w:val="20"/>
      <w:lang w:val="en-US"/>
    </w:rPr>
  </w:style>
  <w:style w:type="paragraph" w:styleId="NormalWeb">
    <w:name w:val="Normal (Web)"/>
    <w:aliases w:val="Normal (Web) Char, Char Char1"/>
    <w:basedOn w:val="Normal"/>
    <w:link w:val="NormalWebChar1"/>
    <w:uiPriority w:val="99"/>
    <w:qFormat/>
    <w:rsid w:val="006856A7"/>
    <w:pPr>
      <w:spacing w:after="120" w:line="480" w:lineRule="auto"/>
    </w:pPr>
    <w:rPr>
      <w:rFonts w:ascii="Times New Roman" w:eastAsia="Times New Roman" w:hAnsi="Times New Roman" w:cs="Times New Roman"/>
      <w:sz w:val="24"/>
      <w:szCs w:val="24"/>
      <w:lang w:val="en-US"/>
    </w:rPr>
  </w:style>
  <w:style w:type="character" w:customStyle="1" w:styleId="NormalWebChar1">
    <w:name w:val="Normal (Web) Char1"/>
    <w:aliases w:val="Normal (Web) Char Char, Char Char1 Char"/>
    <w:basedOn w:val="DefaultParagraphFont"/>
    <w:link w:val="NormalWeb"/>
    <w:uiPriority w:val="99"/>
    <w:rsid w:val="006856A7"/>
    <w:rPr>
      <w:rFonts w:ascii="Times New Roman" w:eastAsia="Times New Roman" w:hAnsi="Times New Roman" w:cs="Times New Roman"/>
      <w:sz w:val="24"/>
      <w:szCs w:val="24"/>
      <w:lang w:val="en-US"/>
    </w:rPr>
  </w:style>
  <w:style w:type="character" w:customStyle="1" w:styleId="hps">
    <w:name w:val="hps"/>
    <w:rsid w:val="006856A7"/>
  </w:style>
  <w:style w:type="paragraph" w:customStyle="1" w:styleId="Text1">
    <w:name w:val="Text1"/>
    <w:basedOn w:val="Normal"/>
    <w:uiPriority w:val="99"/>
    <w:rsid w:val="006856A7"/>
    <w:pPr>
      <w:autoSpaceDE w:val="0"/>
      <w:autoSpaceDN w:val="0"/>
      <w:adjustRightInd w:val="0"/>
      <w:spacing w:after="0" w:line="360" w:lineRule="auto"/>
      <w:jc w:val="both"/>
    </w:pPr>
    <w:rPr>
      <w:rFonts w:ascii="Times New Roman" w:eastAsia="Times New Roman" w:hAnsi="Times New Roman" w:cs="Times New Roman"/>
      <w:szCs w:val="24"/>
      <w:lang w:val="en-GB"/>
    </w:rPr>
  </w:style>
  <w:style w:type="paragraph" w:customStyle="1" w:styleId="Style">
    <w:name w:val="Style"/>
    <w:link w:val="StyleChar"/>
    <w:rsid w:val="006856A7"/>
    <w:pPr>
      <w:suppressAutoHyphens/>
      <w:autoSpaceDE w:val="0"/>
      <w:spacing w:after="0" w:line="240" w:lineRule="auto"/>
      <w:ind w:left="140" w:right="140" w:firstLine="840"/>
      <w:jc w:val="both"/>
    </w:pPr>
    <w:rPr>
      <w:rFonts w:ascii="Cambria" w:eastAsia="Times New Roman" w:hAnsi="Cambria" w:cs="Cambria"/>
      <w:lang w:eastAsia="ar-SA"/>
    </w:rPr>
  </w:style>
  <w:style w:type="paragraph" w:customStyle="1" w:styleId="Style5">
    <w:name w:val="Style5"/>
    <w:basedOn w:val="Normal"/>
    <w:rsid w:val="006856A7"/>
    <w:pPr>
      <w:widowControl w:val="0"/>
      <w:autoSpaceDE w:val="0"/>
      <w:autoSpaceDN w:val="0"/>
      <w:adjustRightInd w:val="0"/>
      <w:spacing w:after="0" w:line="245" w:lineRule="exact"/>
    </w:pPr>
    <w:rPr>
      <w:rFonts w:ascii="Times New Roman" w:eastAsia="Times New Roman" w:hAnsi="Times New Roman" w:cs="Times New Roman"/>
      <w:sz w:val="24"/>
      <w:szCs w:val="24"/>
      <w:lang w:val="en-US"/>
    </w:rPr>
  </w:style>
  <w:style w:type="paragraph" w:customStyle="1" w:styleId="Aaoeeu">
    <w:name w:val="Aaoeeu"/>
    <w:rsid w:val="006856A7"/>
    <w:pPr>
      <w:widowControl w:val="0"/>
      <w:spacing w:after="0" w:line="240" w:lineRule="auto"/>
    </w:pPr>
    <w:rPr>
      <w:rFonts w:ascii="Times New Roman" w:eastAsia="Times New Roman" w:hAnsi="Times New Roman" w:cs="Times New Roman"/>
      <w:sz w:val="20"/>
      <w:szCs w:val="20"/>
      <w:lang w:val="en-US"/>
    </w:rPr>
  </w:style>
  <w:style w:type="paragraph" w:styleId="BodyText3">
    <w:name w:val="Body Text 3"/>
    <w:basedOn w:val="Normal"/>
    <w:link w:val="BodyText3Char"/>
    <w:uiPriority w:val="99"/>
    <w:unhideWhenUsed/>
    <w:rsid w:val="006856A7"/>
    <w:pPr>
      <w:spacing w:after="120" w:line="240" w:lineRule="auto"/>
    </w:pPr>
    <w:rPr>
      <w:rFonts w:ascii="Times New Roman" w:eastAsia="Times New Roman" w:hAnsi="Times New Roman" w:cs="Times New Roman"/>
      <w:color w:val="000000"/>
      <w:sz w:val="16"/>
      <w:szCs w:val="16"/>
      <w:lang w:eastAsia="bg-BG"/>
    </w:rPr>
  </w:style>
  <w:style w:type="character" w:customStyle="1" w:styleId="BodyText3Char">
    <w:name w:val="Body Text 3 Char"/>
    <w:basedOn w:val="DefaultParagraphFont"/>
    <w:link w:val="BodyText3"/>
    <w:uiPriority w:val="99"/>
    <w:rsid w:val="006856A7"/>
    <w:rPr>
      <w:rFonts w:ascii="Times New Roman" w:eastAsia="Times New Roman" w:hAnsi="Times New Roman" w:cs="Times New Roman"/>
      <w:color w:val="000000"/>
      <w:sz w:val="16"/>
      <w:szCs w:val="16"/>
      <w:lang w:eastAsia="bg-BG"/>
    </w:rPr>
  </w:style>
  <w:style w:type="paragraph" w:styleId="BlockText">
    <w:name w:val="Block Text"/>
    <w:basedOn w:val="Normal"/>
    <w:rsid w:val="006856A7"/>
    <w:pPr>
      <w:spacing w:after="40" w:line="240" w:lineRule="auto"/>
      <w:ind w:left="601" w:right="618"/>
    </w:pPr>
    <w:rPr>
      <w:rFonts w:ascii="Arial" w:eastAsia="Calibri" w:hAnsi="Arial" w:cs="Arial"/>
      <w:sz w:val="20"/>
    </w:rPr>
  </w:style>
  <w:style w:type="character" w:customStyle="1" w:styleId="FontStyle18">
    <w:name w:val="Font Style18"/>
    <w:basedOn w:val="DefaultParagraphFont"/>
    <w:rsid w:val="006856A7"/>
    <w:rPr>
      <w:rFonts w:ascii="Times New Roman" w:hAnsi="Times New Roman" w:cs="Times New Roman" w:hint="default"/>
      <w:sz w:val="22"/>
      <w:szCs w:val="22"/>
    </w:rPr>
  </w:style>
  <w:style w:type="character" w:customStyle="1" w:styleId="FontStyle19">
    <w:name w:val="Font Style19"/>
    <w:basedOn w:val="DefaultParagraphFont"/>
    <w:rsid w:val="006856A7"/>
    <w:rPr>
      <w:rFonts w:ascii="Times New Roman" w:hAnsi="Times New Roman" w:cs="Times New Roman" w:hint="default"/>
      <w:sz w:val="22"/>
      <w:szCs w:val="22"/>
    </w:rPr>
  </w:style>
  <w:style w:type="paragraph" w:customStyle="1" w:styleId="CharCharCharCharCharCharChar">
    <w:name w:val="Char Char Char Char Char Char Char Знак"/>
    <w:basedOn w:val="Normal"/>
    <w:rsid w:val="006856A7"/>
    <w:pPr>
      <w:tabs>
        <w:tab w:val="left" w:pos="709"/>
      </w:tabs>
      <w:spacing w:after="0" w:line="240" w:lineRule="auto"/>
    </w:pPr>
    <w:rPr>
      <w:rFonts w:ascii="Tahoma" w:eastAsia="Times New Roman" w:hAnsi="Tahoma" w:cs="Times New Roman"/>
      <w:sz w:val="24"/>
      <w:szCs w:val="24"/>
      <w:lang w:val="pl-PL" w:eastAsia="pl-PL"/>
    </w:rPr>
  </w:style>
  <w:style w:type="paragraph" w:styleId="BodyTextIndent3">
    <w:name w:val="Body Text Indent 3"/>
    <w:basedOn w:val="Normal"/>
    <w:link w:val="BodyTextIndent3Char"/>
    <w:unhideWhenUsed/>
    <w:rsid w:val="006856A7"/>
    <w:pPr>
      <w:spacing w:after="120" w:line="240" w:lineRule="auto"/>
      <w:ind w:left="283"/>
    </w:pPr>
    <w:rPr>
      <w:rFonts w:ascii="Times New Roman" w:eastAsia="Times New Roman" w:hAnsi="Times New Roman" w:cs="Times New Roman"/>
      <w:color w:val="000000"/>
      <w:sz w:val="16"/>
      <w:szCs w:val="16"/>
      <w:lang w:eastAsia="bg-BG"/>
    </w:rPr>
  </w:style>
  <w:style w:type="character" w:customStyle="1" w:styleId="BodyTextIndent3Char">
    <w:name w:val="Body Text Indent 3 Char"/>
    <w:basedOn w:val="DefaultParagraphFont"/>
    <w:link w:val="BodyTextIndent3"/>
    <w:rsid w:val="006856A7"/>
    <w:rPr>
      <w:rFonts w:ascii="Times New Roman" w:eastAsia="Times New Roman" w:hAnsi="Times New Roman" w:cs="Times New Roman"/>
      <w:color w:val="000000"/>
      <w:sz w:val="16"/>
      <w:szCs w:val="16"/>
      <w:lang w:eastAsia="bg-BG"/>
    </w:rPr>
  </w:style>
  <w:style w:type="paragraph" w:customStyle="1" w:styleId="CharCharCharCharCharCharChar1CharCharCharCharCharCharCharCharCharCharChar">
    <w:name w:val="Char Char Char Char Char Char Char1 Char Char Char Char Char Char Char Char Char Char Char"/>
    <w:basedOn w:val="Normal"/>
    <w:rsid w:val="006856A7"/>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link w:val="TitleChar"/>
    <w:qFormat/>
    <w:rsid w:val="006856A7"/>
    <w:pPr>
      <w:widowControl w:val="0"/>
      <w:adjustRightInd w:val="0"/>
      <w:spacing w:after="0" w:line="360" w:lineRule="atLeast"/>
      <w:jc w:val="center"/>
    </w:pPr>
    <w:rPr>
      <w:rFonts w:ascii="Times New Roman" w:eastAsia="Times New Roman" w:hAnsi="Times New Roman" w:cs="Times New Roman"/>
      <w:b/>
      <w:sz w:val="24"/>
      <w:szCs w:val="20"/>
      <w:lang w:eastAsia="bg-BG"/>
    </w:rPr>
  </w:style>
  <w:style w:type="character" w:customStyle="1" w:styleId="TitleChar">
    <w:name w:val="Title Char"/>
    <w:basedOn w:val="DefaultParagraphFont"/>
    <w:link w:val="Title"/>
    <w:rsid w:val="006856A7"/>
    <w:rPr>
      <w:rFonts w:ascii="Times New Roman" w:eastAsia="Times New Roman" w:hAnsi="Times New Roman" w:cs="Times New Roman"/>
      <w:b/>
      <w:sz w:val="24"/>
      <w:szCs w:val="20"/>
      <w:lang w:eastAsia="bg-BG"/>
    </w:rPr>
  </w:style>
  <w:style w:type="paragraph" w:styleId="CommentSubject">
    <w:name w:val="annotation subject"/>
    <w:basedOn w:val="CommentText"/>
    <w:next w:val="CommentText"/>
    <w:link w:val="CommentSubjectChar"/>
    <w:uiPriority w:val="99"/>
    <w:unhideWhenUsed/>
    <w:rsid w:val="006856A7"/>
    <w:rPr>
      <w:b/>
      <w:bCs/>
    </w:rPr>
  </w:style>
  <w:style w:type="character" w:customStyle="1" w:styleId="CommentSubjectChar">
    <w:name w:val="Comment Subject Char"/>
    <w:basedOn w:val="CommentTextChar"/>
    <w:link w:val="CommentSubject"/>
    <w:uiPriority w:val="99"/>
    <w:rsid w:val="006856A7"/>
    <w:rPr>
      <w:rFonts w:ascii="Times New Roman" w:eastAsia="Times New Roman" w:hAnsi="Times New Roman" w:cs="Times New Roman"/>
      <w:b/>
      <w:bCs/>
      <w:color w:val="000000"/>
      <w:sz w:val="20"/>
      <w:szCs w:val="20"/>
      <w:lang w:eastAsia="bg-BG"/>
    </w:rPr>
  </w:style>
  <w:style w:type="paragraph" w:customStyle="1" w:styleId="CharChar1">
    <w:name w:val="Char Char1 Знак"/>
    <w:basedOn w:val="Normal"/>
    <w:rsid w:val="006856A7"/>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autoRedefine/>
    <w:rsid w:val="006856A7"/>
    <w:pPr>
      <w:numPr>
        <w:numId w:val="1"/>
      </w:numPr>
      <w:spacing w:after="0" w:line="240" w:lineRule="auto"/>
      <w:jc w:val="both"/>
    </w:pPr>
    <w:rPr>
      <w:rFonts w:ascii="Times New Roman" w:eastAsia="Batang" w:hAnsi="Times New Roman" w:cs="Times New Roman"/>
      <w:sz w:val="28"/>
      <w:szCs w:val="28"/>
      <w:lang w:eastAsia="ko-KR"/>
    </w:rPr>
  </w:style>
  <w:style w:type="paragraph" w:customStyle="1" w:styleId="Normal1">
    <w:name w:val="Normal_1"/>
    <w:basedOn w:val="Normal"/>
    <w:semiHidden/>
    <w:rsid w:val="006856A7"/>
    <w:pPr>
      <w:tabs>
        <w:tab w:val="left" w:pos="709"/>
      </w:tabs>
      <w:spacing w:before="120" w:after="0" w:line="240" w:lineRule="auto"/>
      <w:ind w:firstLine="709"/>
    </w:pPr>
    <w:rPr>
      <w:rFonts w:ascii="Times New Roman" w:eastAsia="Batang" w:hAnsi="Times New Roman" w:cs="Times New Roman"/>
      <w:color w:val="333333"/>
      <w:sz w:val="28"/>
      <w:szCs w:val="28"/>
      <w:lang w:val="pl-PL" w:eastAsia="pl-PL"/>
    </w:rPr>
  </w:style>
  <w:style w:type="paragraph" w:customStyle="1" w:styleId="CharCharCharCharCharCharCharCharChar1CharCharCharCharCharCharCharCharCharChar">
    <w:name w:val="Char Char Char Char Char Char Char Char Char1 Char Char Char Char Char Char Char Char Char Char"/>
    <w:basedOn w:val="Normal"/>
    <w:rsid w:val="006856A7"/>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3">
    <w:name w:val="Char3"/>
    <w:basedOn w:val="Normal"/>
    <w:semiHidden/>
    <w:rsid w:val="006856A7"/>
    <w:pPr>
      <w:tabs>
        <w:tab w:val="left" w:pos="709"/>
      </w:tabs>
      <w:spacing w:after="0" w:line="240" w:lineRule="auto"/>
    </w:pPr>
    <w:rPr>
      <w:rFonts w:ascii="Futura Bk" w:eastAsia="Times New Roman" w:hAnsi="Futura Bk" w:cs="Futura Bk"/>
      <w:sz w:val="20"/>
      <w:szCs w:val="20"/>
      <w:lang w:val="pl-PL" w:eastAsia="pl-PL"/>
    </w:rPr>
  </w:style>
  <w:style w:type="paragraph" w:customStyle="1" w:styleId="Style14">
    <w:name w:val="Style14"/>
    <w:basedOn w:val="Default"/>
    <w:next w:val="Default"/>
    <w:rsid w:val="006856A7"/>
    <w:rPr>
      <w:color w:val="auto"/>
      <w:lang w:eastAsia="bg-BG"/>
    </w:rPr>
  </w:style>
  <w:style w:type="character" w:customStyle="1" w:styleId="StyleChar">
    <w:name w:val="Style Char"/>
    <w:link w:val="Style"/>
    <w:locked/>
    <w:rsid w:val="006856A7"/>
    <w:rPr>
      <w:rFonts w:ascii="Cambria" w:eastAsia="Times New Roman" w:hAnsi="Cambria" w:cs="Cambria"/>
      <w:lang w:eastAsia="ar-SA"/>
    </w:rPr>
  </w:style>
  <w:style w:type="paragraph" w:customStyle="1" w:styleId="Style32">
    <w:name w:val="Style32"/>
    <w:basedOn w:val="Normal"/>
    <w:rsid w:val="006856A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69">
    <w:name w:val="Style69"/>
    <w:basedOn w:val="Normal"/>
    <w:rsid w:val="006856A7"/>
    <w:pPr>
      <w:widowControl w:val="0"/>
      <w:autoSpaceDE w:val="0"/>
      <w:autoSpaceDN w:val="0"/>
      <w:adjustRightInd w:val="0"/>
      <w:spacing w:after="0" w:line="182" w:lineRule="exact"/>
    </w:pPr>
    <w:rPr>
      <w:rFonts w:ascii="Times New Roman" w:eastAsia="Times New Roman" w:hAnsi="Times New Roman" w:cs="Times New Roman"/>
      <w:sz w:val="24"/>
      <w:szCs w:val="24"/>
      <w:lang w:eastAsia="bg-BG"/>
    </w:rPr>
  </w:style>
  <w:style w:type="paragraph" w:customStyle="1" w:styleId="Style71">
    <w:name w:val="Style71"/>
    <w:basedOn w:val="Normal"/>
    <w:rsid w:val="006856A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72">
    <w:name w:val="Style72"/>
    <w:basedOn w:val="Normal"/>
    <w:rsid w:val="006856A7"/>
    <w:pPr>
      <w:widowControl w:val="0"/>
      <w:autoSpaceDE w:val="0"/>
      <w:autoSpaceDN w:val="0"/>
      <w:adjustRightInd w:val="0"/>
      <w:spacing w:after="0" w:line="187" w:lineRule="exact"/>
    </w:pPr>
    <w:rPr>
      <w:rFonts w:ascii="Times New Roman" w:eastAsia="Times New Roman" w:hAnsi="Times New Roman" w:cs="Times New Roman"/>
      <w:sz w:val="24"/>
      <w:szCs w:val="24"/>
      <w:lang w:eastAsia="bg-BG"/>
    </w:rPr>
  </w:style>
  <w:style w:type="paragraph" w:customStyle="1" w:styleId="Style73">
    <w:name w:val="Style73"/>
    <w:basedOn w:val="Normal"/>
    <w:rsid w:val="006856A7"/>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bg-BG"/>
    </w:rPr>
  </w:style>
  <w:style w:type="character" w:customStyle="1" w:styleId="FontStyle92">
    <w:name w:val="Font Style92"/>
    <w:rsid w:val="006856A7"/>
    <w:rPr>
      <w:rFonts w:ascii="Times New Roman" w:hAnsi="Times New Roman" w:cs="Times New Roman" w:hint="default"/>
      <w:b/>
      <w:bCs/>
      <w:i/>
      <w:iCs/>
      <w:sz w:val="14"/>
      <w:szCs w:val="14"/>
    </w:rPr>
  </w:style>
  <w:style w:type="character" w:customStyle="1" w:styleId="FontStyle97">
    <w:name w:val="Font Style97"/>
    <w:rsid w:val="006856A7"/>
    <w:rPr>
      <w:rFonts w:ascii="Times New Roman" w:hAnsi="Times New Roman" w:cs="Times New Roman" w:hint="default"/>
      <w:sz w:val="14"/>
      <w:szCs w:val="14"/>
    </w:rPr>
  </w:style>
  <w:style w:type="character" w:customStyle="1" w:styleId="FontStyle90">
    <w:name w:val="Font Style90"/>
    <w:rsid w:val="006856A7"/>
    <w:rPr>
      <w:rFonts w:ascii="Times New Roman" w:hAnsi="Times New Roman" w:cs="Times New Roman" w:hint="default"/>
      <w:i/>
      <w:iCs/>
      <w:sz w:val="14"/>
      <w:szCs w:val="14"/>
    </w:rPr>
  </w:style>
  <w:style w:type="paragraph" w:styleId="BodyTextIndent">
    <w:name w:val="Body Text Indent"/>
    <w:aliases w:val=" Char,Char"/>
    <w:basedOn w:val="Normal"/>
    <w:link w:val="BodyTextIndentChar"/>
    <w:uiPriority w:val="99"/>
    <w:rsid w:val="006856A7"/>
    <w:pPr>
      <w:spacing w:after="120" w:line="240" w:lineRule="auto"/>
      <w:ind w:left="283"/>
    </w:pPr>
    <w:rPr>
      <w:rFonts w:ascii="Times New Roman" w:eastAsia="Times New Roman" w:hAnsi="Times New Roman" w:cs="Times New Roman"/>
      <w:sz w:val="28"/>
      <w:szCs w:val="28"/>
      <w:lang w:val="en-US" w:eastAsia="bg-BG"/>
    </w:rPr>
  </w:style>
  <w:style w:type="character" w:customStyle="1" w:styleId="BodyTextIndentChar">
    <w:name w:val="Body Text Indent Char"/>
    <w:aliases w:val=" Char Char,Char Char2"/>
    <w:basedOn w:val="DefaultParagraphFont"/>
    <w:link w:val="BodyTextIndent"/>
    <w:uiPriority w:val="99"/>
    <w:rsid w:val="006856A7"/>
    <w:rPr>
      <w:rFonts w:ascii="Times New Roman" w:eastAsia="Times New Roman" w:hAnsi="Times New Roman" w:cs="Times New Roman"/>
      <w:sz w:val="28"/>
      <w:szCs w:val="28"/>
      <w:lang w:val="en-US" w:eastAsia="bg-BG"/>
    </w:rPr>
  </w:style>
  <w:style w:type="character" w:customStyle="1" w:styleId="A0">
    <w:name w:val="A0"/>
    <w:rsid w:val="006856A7"/>
    <w:rPr>
      <w:color w:val="000000"/>
      <w:sz w:val="20"/>
      <w:szCs w:val="20"/>
    </w:rPr>
  </w:style>
  <w:style w:type="character" w:customStyle="1" w:styleId="resizabletext">
    <w:name w:val="resizable_text"/>
    <w:rsid w:val="006856A7"/>
    <w:rPr>
      <w:rFonts w:cs="Times New Roman"/>
    </w:rPr>
  </w:style>
  <w:style w:type="paragraph" w:customStyle="1" w:styleId="Informal1">
    <w:name w:val="Informal1"/>
    <w:basedOn w:val="Normal"/>
    <w:rsid w:val="006856A7"/>
    <w:pPr>
      <w:spacing w:before="60" w:after="60" w:line="240" w:lineRule="auto"/>
    </w:pPr>
    <w:rPr>
      <w:rFonts w:ascii="Times New Roman" w:eastAsia="Calibri" w:hAnsi="Times New Roman" w:cs="Times New Roman"/>
      <w:sz w:val="24"/>
      <w:szCs w:val="20"/>
      <w:lang w:val="en-GB"/>
    </w:rPr>
  </w:style>
  <w:style w:type="character" w:customStyle="1" w:styleId="CharChar5">
    <w:name w:val="Char Char5"/>
    <w:rsid w:val="006856A7"/>
    <w:rPr>
      <w:rFonts w:ascii="Arial" w:eastAsia="Times New Roman" w:hAnsi="Arial" w:cs="Arial" w:hint="default"/>
      <w:b/>
      <w:bCs/>
      <w:i/>
      <w:iCs/>
      <w:sz w:val="28"/>
      <w:szCs w:val="28"/>
      <w:lang w:val="en-US" w:eastAsia="en-US"/>
    </w:rPr>
  </w:style>
  <w:style w:type="character" w:customStyle="1" w:styleId="singleitem21">
    <w:name w:val="single_item21"/>
    <w:rsid w:val="006856A7"/>
    <w:rPr>
      <w:color w:val="333333"/>
      <w:sz w:val="26"/>
      <w:szCs w:val="26"/>
    </w:rPr>
  </w:style>
  <w:style w:type="paragraph" w:customStyle="1" w:styleId="Style22">
    <w:name w:val="Style22"/>
    <w:basedOn w:val="Normal"/>
    <w:rsid w:val="006856A7"/>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bg-BG"/>
    </w:rPr>
  </w:style>
  <w:style w:type="character" w:customStyle="1" w:styleId="FontStyle49">
    <w:name w:val="Font Style49"/>
    <w:rsid w:val="006856A7"/>
    <w:rPr>
      <w:rFonts w:ascii="Times New Roman" w:hAnsi="Times New Roman" w:cs="Times New Roman" w:hint="default"/>
      <w:sz w:val="22"/>
      <w:szCs w:val="22"/>
    </w:rPr>
  </w:style>
  <w:style w:type="character" w:customStyle="1" w:styleId="fontstyle280">
    <w:name w:val="fontstyle28"/>
    <w:basedOn w:val="DefaultParagraphFont"/>
    <w:rsid w:val="006856A7"/>
  </w:style>
  <w:style w:type="character" w:styleId="HTMLTypewriter">
    <w:name w:val="HTML Typewriter"/>
    <w:rsid w:val="006856A7"/>
    <w:rPr>
      <w:rFonts w:ascii="Courier New" w:eastAsia="Times New Roman" w:hAnsi="Courier New" w:cs="Courier New" w:hint="default"/>
      <w:sz w:val="20"/>
      <w:szCs w:val="20"/>
    </w:rPr>
  </w:style>
  <w:style w:type="character" w:customStyle="1" w:styleId="a">
    <w:name w:val="Долен колонтитул_"/>
    <w:link w:val="10"/>
    <w:rsid w:val="006856A7"/>
    <w:rPr>
      <w:b/>
      <w:bCs/>
      <w:sz w:val="18"/>
      <w:szCs w:val="18"/>
      <w:shd w:val="clear" w:color="auto" w:fill="FFFFFF"/>
    </w:rPr>
  </w:style>
  <w:style w:type="paragraph" w:customStyle="1" w:styleId="10">
    <w:name w:val="Долен колонтитул1"/>
    <w:basedOn w:val="Normal"/>
    <w:link w:val="a"/>
    <w:rsid w:val="006856A7"/>
    <w:pPr>
      <w:widowControl w:val="0"/>
      <w:shd w:val="clear" w:color="auto" w:fill="FFFFFF"/>
      <w:spacing w:after="0" w:line="245" w:lineRule="exact"/>
    </w:pPr>
    <w:rPr>
      <w:b/>
      <w:bCs/>
      <w:sz w:val="18"/>
      <w:szCs w:val="18"/>
    </w:rPr>
  </w:style>
  <w:style w:type="character" w:customStyle="1" w:styleId="2">
    <w:name w:val="Основен текст (2)_"/>
    <w:rsid w:val="006856A7"/>
    <w:rPr>
      <w:rFonts w:ascii="Times New Roman" w:eastAsia="Times New Roman" w:hAnsi="Times New Roman" w:cs="Times New Roman"/>
      <w:b/>
      <w:bCs/>
      <w:i w:val="0"/>
      <w:iCs w:val="0"/>
      <w:smallCaps w:val="0"/>
      <w:strike w:val="0"/>
      <w:u w:val="none"/>
    </w:rPr>
  </w:style>
  <w:style w:type="character" w:customStyle="1" w:styleId="a1">
    <w:name w:val="Основен текст_"/>
    <w:link w:val="20"/>
    <w:rsid w:val="006856A7"/>
    <w:rPr>
      <w:shd w:val="clear" w:color="auto" w:fill="FFFFFF"/>
    </w:rPr>
  </w:style>
  <w:style w:type="paragraph" w:customStyle="1" w:styleId="20">
    <w:name w:val="Основен текст2"/>
    <w:basedOn w:val="Normal"/>
    <w:link w:val="a1"/>
    <w:rsid w:val="006856A7"/>
    <w:pPr>
      <w:widowControl w:val="0"/>
      <w:shd w:val="clear" w:color="auto" w:fill="FFFFFF"/>
      <w:spacing w:before="240" w:after="240" w:line="0" w:lineRule="atLeast"/>
      <w:ind w:hanging="340"/>
      <w:jc w:val="both"/>
    </w:pPr>
  </w:style>
  <w:style w:type="character" w:customStyle="1" w:styleId="21">
    <w:name w:val="Основен текст (2) + Не е удебелен"/>
    <w:rsid w:val="006856A7"/>
    <w:rPr>
      <w:rFonts w:ascii="Times New Roman" w:eastAsia="Times New Roman" w:hAnsi="Times New Roman" w:cs="Times New Roman"/>
      <w:b/>
      <w:bCs/>
      <w:i w:val="0"/>
      <w:iCs w:val="0"/>
      <w:smallCaps w:val="0"/>
      <w:strike w:val="0"/>
      <w:color w:val="000000"/>
      <w:spacing w:val="0"/>
      <w:w w:val="100"/>
      <w:position w:val="0"/>
      <w:sz w:val="24"/>
      <w:szCs w:val="24"/>
      <w:u w:val="none"/>
      <w:lang w:val="bg-BG"/>
    </w:rPr>
  </w:style>
  <w:style w:type="character" w:customStyle="1" w:styleId="a2">
    <w:name w:val="Основен текст + Удебелен"/>
    <w:rsid w:val="006856A7"/>
    <w:rPr>
      <w:rFonts w:ascii="Times New Roman" w:eastAsia="Times New Roman" w:hAnsi="Times New Roman" w:cs="Times New Roman"/>
      <w:b/>
      <w:bCs/>
      <w:i w:val="0"/>
      <w:iCs w:val="0"/>
      <w:smallCaps w:val="0"/>
      <w:strike w:val="0"/>
      <w:color w:val="000000"/>
      <w:spacing w:val="0"/>
      <w:w w:val="100"/>
      <w:position w:val="0"/>
      <w:sz w:val="24"/>
      <w:szCs w:val="24"/>
      <w:u w:val="none"/>
      <w:lang w:val="bg-BG"/>
    </w:rPr>
  </w:style>
  <w:style w:type="character" w:customStyle="1" w:styleId="22">
    <w:name w:val="Основен текст (2)"/>
    <w:rsid w:val="006856A7"/>
    <w:rPr>
      <w:rFonts w:ascii="Times New Roman" w:eastAsia="Times New Roman" w:hAnsi="Times New Roman" w:cs="Times New Roman"/>
      <w:b/>
      <w:bCs/>
      <w:i w:val="0"/>
      <w:iCs w:val="0"/>
      <w:smallCaps w:val="0"/>
      <w:strike w:val="0"/>
      <w:color w:val="000000"/>
      <w:spacing w:val="0"/>
      <w:w w:val="100"/>
      <w:position w:val="0"/>
      <w:sz w:val="24"/>
      <w:szCs w:val="24"/>
      <w:u w:val="single"/>
      <w:lang w:val="bg-BG"/>
    </w:rPr>
  </w:style>
  <w:style w:type="character" w:customStyle="1" w:styleId="11">
    <w:name w:val="Основен текст1"/>
    <w:rsid w:val="006856A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rPr>
  </w:style>
  <w:style w:type="character" w:customStyle="1" w:styleId="3">
    <w:name w:val="Основен текст (3)_"/>
    <w:link w:val="30"/>
    <w:rsid w:val="006856A7"/>
    <w:rPr>
      <w:b/>
      <w:bCs/>
      <w:i/>
      <w:iCs/>
      <w:shd w:val="clear" w:color="auto" w:fill="FFFFFF"/>
    </w:rPr>
  </w:style>
  <w:style w:type="paragraph" w:customStyle="1" w:styleId="30">
    <w:name w:val="Основен текст (3)"/>
    <w:basedOn w:val="Normal"/>
    <w:link w:val="3"/>
    <w:rsid w:val="006856A7"/>
    <w:pPr>
      <w:widowControl w:val="0"/>
      <w:shd w:val="clear" w:color="auto" w:fill="FFFFFF"/>
      <w:spacing w:before="180" w:after="180" w:line="235" w:lineRule="exact"/>
      <w:jc w:val="both"/>
    </w:pPr>
    <w:rPr>
      <w:b/>
      <w:bCs/>
      <w:i/>
      <w:iCs/>
    </w:rPr>
  </w:style>
  <w:style w:type="character" w:customStyle="1" w:styleId="4">
    <w:name w:val="Основен текст (4)_"/>
    <w:rsid w:val="006856A7"/>
    <w:rPr>
      <w:rFonts w:ascii="Times New Roman" w:eastAsia="Times New Roman" w:hAnsi="Times New Roman" w:cs="Times New Roman"/>
      <w:b/>
      <w:bCs/>
      <w:i w:val="0"/>
      <w:iCs w:val="0"/>
      <w:smallCaps w:val="0"/>
      <w:strike w:val="0"/>
      <w:sz w:val="23"/>
      <w:szCs w:val="23"/>
      <w:u w:val="none"/>
    </w:rPr>
  </w:style>
  <w:style w:type="character" w:customStyle="1" w:styleId="40">
    <w:name w:val="Основен текст (4)"/>
    <w:rsid w:val="006856A7"/>
    <w:rPr>
      <w:rFonts w:ascii="Times New Roman" w:eastAsia="Times New Roman" w:hAnsi="Times New Roman" w:cs="Times New Roman"/>
      <w:b/>
      <w:bCs/>
      <w:i w:val="0"/>
      <w:iCs w:val="0"/>
      <w:smallCaps w:val="0"/>
      <w:strike w:val="0"/>
      <w:color w:val="000000"/>
      <w:spacing w:val="0"/>
      <w:w w:val="100"/>
      <w:position w:val="0"/>
      <w:sz w:val="23"/>
      <w:szCs w:val="23"/>
      <w:u w:val="single"/>
      <w:lang w:val="bg-BG"/>
    </w:rPr>
  </w:style>
  <w:style w:type="character" w:customStyle="1" w:styleId="FontStyle26">
    <w:name w:val="Font Style26"/>
    <w:rsid w:val="006856A7"/>
    <w:rPr>
      <w:rFonts w:ascii="Times New Roman" w:hAnsi="Times New Roman" w:cs="Times New Roman"/>
      <w:b/>
      <w:bCs/>
      <w:i/>
      <w:iCs/>
      <w:sz w:val="28"/>
      <w:szCs w:val="28"/>
    </w:rPr>
  </w:style>
  <w:style w:type="character" w:customStyle="1" w:styleId="FontStyle30">
    <w:name w:val="Font Style30"/>
    <w:rsid w:val="006856A7"/>
    <w:rPr>
      <w:rFonts w:ascii="Times New Roman" w:hAnsi="Times New Roman" w:cs="Times New Roman"/>
      <w:i/>
      <w:iCs/>
      <w:sz w:val="22"/>
      <w:szCs w:val="22"/>
    </w:rPr>
  </w:style>
  <w:style w:type="paragraph" w:customStyle="1" w:styleId="style0">
    <w:name w:val="style0"/>
    <w:basedOn w:val="Normal"/>
    <w:rsid w:val="006856A7"/>
    <w:pPr>
      <w:spacing w:after="0" w:line="240" w:lineRule="auto"/>
      <w:ind w:firstLine="1200"/>
      <w:jc w:val="both"/>
    </w:pPr>
    <w:rPr>
      <w:rFonts w:ascii="Times New Roman" w:eastAsia="Calibri" w:hAnsi="Times New Roman" w:cs="Times New Roman"/>
      <w:sz w:val="24"/>
      <w:szCs w:val="24"/>
      <w:lang w:eastAsia="bg-BG"/>
    </w:rPr>
  </w:style>
  <w:style w:type="paragraph" w:customStyle="1" w:styleId="Normalarial">
    <w:name w:val="Normal (arial)"/>
    <w:basedOn w:val="Normal"/>
    <w:rsid w:val="006856A7"/>
    <w:pPr>
      <w:tabs>
        <w:tab w:val="left" w:pos="720"/>
      </w:tabs>
      <w:spacing w:after="0" w:line="360" w:lineRule="auto"/>
      <w:ind w:firstLine="720"/>
    </w:pPr>
    <w:rPr>
      <w:rFonts w:ascii="Arial" w:eastAsia="Times New Roman" w:hAnsi="Arial" w:cs="Times New Roman"/>
      <w:sz w:val="24"/>
      <w:szCs w:val="24"/>
      <w:lang w:eastAsia="bg-BG"/>
    </w:rPr>
  </w:style>
  <w:style w:type="character" w:customStyle="1" w:styleId="BodyTextChar1">
    <w:name w:val="Body Text Char1"/>
    <w:rsid w:val="006856A7"/>
    <w:rPr>
      <w:rFonts w:ascii="Times New Roman" w:hAnsi="Times New Roman" w:cs="Times New Roman" w:hint="default"/>
      <w:strike w:val="0"/>
      <w:dstrike w:val="0"/>
      <w:sz w:val="23"/>
      <w:szCs w:val="23"/>
      <w:u w:val="none"/>
      <w:effect w:val="none"/>
    </w:rPr>
  </w:style>
  <w:style w:type="paragraph" w:styleId="BodyText2">
    <w:name w:val="Body Text 2"/>
    <w:basedOn w:val="Normal"/>
    <w:link w:val="BodyText2Char"/>
    <w:uiPriority w:val="99"/>
    <w:rsid w:val="006856A7"/>
    <w:pPr>
      <w:spacing w:after="120" w:line="480" w:lineRule="auto"/>
    </w:pPr>
    <w:rPr>
      <w:rFonts w:ascii="Times New Roman" w:eastAsia="Times New Roman" w:hAnsi="Times New Roman" w:cs="Times New Roman"/>
      <w:sz w:val="28"/>
      <w:szCs w:val="28"/>
      <w:lang w:val="en-US" w:eastAsia="bg-BG"/>
    </w:rPr>
  </w:style>
  <w:style w:type="character" w:customStyle="1" w:styleId="BodyText2Char">
    <w:name w:val="Body Text 2 Char"/>
    <w:basedOn w:val="DefaultParagraphFont"/>
    <w:link w:val="BodyText2"/>
    <w:uiPriority w:val="99"/>
    <w:rsid w:val="006856A7"/>
    <w:rPr>
      <w:rFonts w:ascii="Times New Roman" w:eastAsia="Times New Roman" w:hAnsi="Times New Roman" w:cs="Times New Roman"/>
      <w:sz w:val="28"/>
      <w:szCs w:val="28"/>
      <w:lang w:val="en-US" w:eastAsia="bg-BG"/>
    </w:rPr>
  </w:style>
  <w:style w:type="paragraph" w:customStyle="1" w:styleId="a3">
    <w:name w:val="Знак Знак"/>
    <w:basedOn w:val="Normal"/>
    <w:rsid w:val="006856A7"/>
    <w:pPr>
      <w:tabs>
        <w:tab w:val="left" w:pos="709"/>
      </w:tabs>
      <w:spacing w:after="0" w:line="240" w:lineRule="auto"/>
    </w:pPr>
    <w:rPr>
      <w:rFonts w:ascii="Tahoma" w:eastAsia="Times New Roman" w:hAnsi="Tahoma" w:cs="Times New Roman"/>
      <w:sz w:val="24"/>
      <w:szCs w:val="24"/>
      <w:lang w:val="pl-PL" w:eastAsia="pl-PL"/>
    </w:rPr>
  </w:style>
  <w:style w:type="character" w:customStyle="1" w:styleId="Absatz-Standardschriftart">
    <w:name w:val="Absatz-Standardschriftart"/>
    <w:rsid w:val="006856A7"/>
  </w:style>
  <w:style w:type="paragraph" w:customStyle="1" w:styleId="yiv1410930801msonormal">
    <w:name w:val="yiv1410930801msonormal"/>
    <w:basedOn w:val="Normal"/>
    <w:rsid w:val="006856A7"/>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00H0-Title">
    <w:name w:val="00.H0-Title"/>
    <w:next w:val="Normal"/>
    <w:rsid w:val="006856A7"/>
    <w:pPr>
      <w:keepNext/>
      <w:tabs>
        <w:tab w:val="left" w:pos="567"/>
        <w:tab w:val="right" w:leader="dot" w:pos="9072"/>
      </w:tabs>
      <w:spacing w:before="100" w:beforeAutospacing="1" w:after="100" w:afterAutospacing="1" w:line="240" w:lineRule="auto"/>
    </w:pPr>
    <w:rPr>
      <w:rFonts w:ascii="Times New Roman" w:eastAsia="Times New Roman" w:hAnsi="Times New Roman" w:cs="Times New Roman"/>
      <w:b/>
      <w:snapToGrid w:val="0"/>
      <w:sz w:val="44"/>
      <w:szCs w:val="28"/>
      <w:lang w:val="en-GB"/>
    </w:rPr>
  </w:style>
  <w:style w:type="paragraph" w:styleId="HTMLPreformatted">
    <w:name w:val="HTML Preformatted"/>
    <w:basedOn w:val="Normal"/>
    <w:link w:val="HTMLPreformattedChar"/>
    <w:rsid w:val="006856A7"/>
    <w:pPr>
      <w:spacing w:after="0" w:line="240" w:lineRule="auto"/>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rsid w:val="006856A7"/>
    <w:rPr>
      <w:rFonts w:ascii="Consolas" w:eastAsia="Times New Roman" w:hAnsi="Consolas" w:cs="Consolas"/>
      <w:sz w:val="20"/>
      <w:szCs w:val="20"/>
    </w:rPr>
  </w:style>
  <w:style w:type="paragraph" w:customStyle="1" w:styleId="m">
    <w:name w:val="m"/>
    <w:basedOn w:val="Normal"/>
    <w:rsid w:val="006856A7"/>
    <w:pPr>
      <w:spacing w:after="0" w:line="240" w:lineRule="auto"/>
      <w:ind w:firstLine="990"/>
      <w:jc w:val="both"/>
    </w:pPr>
    <w:rPr>
      <w:rFonts w:ascii="Times New Roman" w:eastAsia="Calibri" w:hAnsi="Times New Roman" w:cs="Times New Roman"/>
      <w:color w:val="000000"/>
      <w:sz w:val="24"/>
      <w:szCs w:val="24"/>
      <w:lang w:eastAsia="bg-BG"/>
    </w:rPr>
  </w:style>
  <w:style w:type="paragraph" w:customStyle="1" w:styleId="BodyText21">
    <w:name w:val="Body Text 21"/>
    <w:basedOn w:val="Normal"/>
    <w:rsid w:val="006856A7"/>
    <w:pPr>
      <w:spacing w:after="0" w:line="240" w:lineRule="auto"/>
      <w:ind w:right="57"/>
      <w:jc w:val="center"/>
    </w:pPr>
    <w:rPr>
      <w:rFonts w:ascii="Times New Roman" w:eastAsia="MS Mincho" w:hAnsi="Times New Roman" w:cs="Times New Roman"/>
      <w:caps/>
      <w:sz w:val="24"/>
      <w:szCs w:val="20"/>
    </w:rPr>
  </w:style>
  <w:style w:type="paragraph" w:customStyle="1" w:styleId="Normal12pt">
    <w:name w:val="Normal + 12 pt"/>
    <w:basedOn w:val="Normal"/>
    <w:link w:val="Normal12ptChar"/>
    <w:rsid w:val="006856A7"/>
    <w:pPr>
      <w:shd w:val="clear" w:color="auto" w:fill="FFFFFF"/>
      <w:spacing w:after="0" w:line="240" w:lineRule="auto"/>
    </w:pPr>
    <w:rPr>
      <w:rFonts w:ascii="Times New Roman" w:eastAsia="Times New Roman" w:hAnsi="Times New Roman" w:cs="Times New Roman"/>
      <w:sz w:val="24"/>
      <w:szCs w:val="24"/>
      <w:lang w:eastAsia="bg-BG"/>
    </w:rPr>
  </w:style>
  <w:style w:type="character" w:customStyle="1" w:styleId="Normal12ptChar">
    <w:name w:val="Normal + 12 pt Char"/>
    <w:link w:val="Normal12pt"/>
    <w:rsid w:val="006856A7"/>
    <w:rPr>
      <w:rFonts w:ascii="Times New Roman" w:eastAsia="Times New Roman" w:hAnsi="Times New Roman" w:cs="Times New Roman"/>
      <w:sz w:val="24"/>
      <w:szCs w:val="24"/>
      <w:shd w:val="clear" w:color="auto" w:fill="FFFFFF"/>
      <w:lang w:eastAsia="bg-BG"/>
    </w:rPr>
  </w:style>
  <w:style w:type="character" w:customStyle="1" w:styleId="23">
    <w:name w:val="Заглавие #2_"/>
    <w:link w:val="24"/>
    <w:rsid w:val="006856A7"/>
    <w:rPr>
      <w:sz w:val="23"/>
      <w:szCs w:val="23"/>
      <w:shd w:val="clear" w:color="auto" w:fill="FFFFFF"/>
    </w:rPr>
  </w:style>
  <w:style w:type="paragraph" w:customStyle="1" w:styleId="24">
    <w:name w:val="Заглавие #2"/>
    <w:basedOn w:val="Normal"/>
    <w:link w:val="23"/>
    <w:rsid w:val="006856A7"/>
    <w:pPr>
      <w:shd w:val="clear" w:color="auto" w:fill="FFFFFF"/>
      <w:spacing w:before="540" w:after="360" w:line="0" w:lineRule="atLeast"/>
      <w:ind w:hanging="780"/>
      <w:outlineLvl w:val="1"/>
    </w:pPr>
    <w:rPr>
      <w:sz w:val="23"/>
      <w:szCs w:val="23"/>
      <w:shd w:val="clear" w:color="auto" w:fill="FFFFFF"/>
    </w:rPr>
  </w:style>
  <w:style w:type="character" w:customStyle="1" w:styleId="41">
    <w:name w:val="Заглавие на изображение (4)_"/>
    <w:link w:val="42"/>
    <w:rsid w:val="006856A7"/>
    <w:rPr>
      <w:sz w:val="23"/>
      <w:szCs w:val="23"/>
      <w:shd w:val="clear" w:color="auto" w:fill="FFFFFF"/>
    </w:rPr>
  </w:style>
  <w:style w:type="paragraph" w:customStyle="1" w:styleId="42">
    <w:name w:val="Заглавие на изображение (4)"/>
    <w:basedOn w:val="Normal"/>
    <w:link w:val="41"/>
    <w:rsid w:val="006856A7"/>
    <w:pPr>
      <w:shd w:val="clear" w:color="auto" w:fill="FFFFFF"/>
      <w:spacing w:after="0" w:line="0" w:lineRule="atLeast"/>
    </w:pPr>
    <w:rPr>
      <w:sz w:val="23"/>
      <w:szCs w:val="23"/>
      <w:shd w:val="clear" w:color="auto" w:fill="FFFFFF"/>
    </w:rPr>
  </w:style>
  <w:style w:type="character" w:customStyle="1" w:styleId="a4">
    <w:name w:val="Заглавие на таблица_"/>
    <w:link w:val="a5"/>
    <w:rsid w:val="006856A7"/>
    <w:rPr>
      <w:sz w:val="23"/>
      <w:szCs w:val="23"/>
      <w:shd w:val="clear" w:color="auto" w:fill="FFFFFF"/>
    </w:rPr>
  </w:style>
  <w:style w:type="paragraph" w:customStyle="1" w:styleId="a5">
    <w:name w:val="Заглавие на таблица"/>
    <w:basedOn w:val="Normal"/>
    <w:link w:val="a4"/>
    <w:rsid w:val="006856A7"/>
    <w:pPr>
      <w:shd w:val="clear" w:color="auto" w:fill="FFFFFF"/>
      <w:spacing w:after="0" w:line="0" w:lineRule="atLeast"/>
    </w:pPr>
    <w:rPr>
      <w:sz w:val="23"/>
      <w:szCs w:val="23"/>
      <w:shd w:val="clear" w:color="auto" w:fill="FFFFFF"/>
    </w:rPr>
  </w:style>
  <w:style w:type="character" w:customStyle="1" w:styleId="25">
    <w:name w:val="Долен колонтитул (2)_"/>
    <w:link w:val="26"/>
    <w:rsid w:val="006856A7"/>
    <w:rPr>
      <w:sz w:val="21"/>
      <w:szCs w:val="21"/>
      <w:shd w:val="clear" w:color="auto" w:fill="FFFFFF"/>
    </w:rPr>
  </w:style>
  <w:style w:type="paragraph" w:customStyle="1" w:styleId="26">
    <w:name w:val="Долен колонтитул (2)"/>
    <w:basedOn w:val="Normal"/>
    <w:link w:val="25"/>
    <w:rsid w:val="006856A7"/>
    <w:pPr>
      <w:shd w:val="clear" w:color="auto" w:fill="FFFFFF"/>
      <w:spacing w:after="0" w:line="250" w:lineRule="exact"/>
    </w:pPr>
    <w:rPr>
      <w:sz w:val="21"/>
      <w:szCs w:val="21"/>
      <w:shd w:val="clear" w:color="auto" w:fill="FFFFFF"/>
    </w:rPr>
  </w:style>
  <w:style w:type="character" w:customStyle="1" w:styleId="29pt">
    <w:name w:val="Долен колонтитул (2) + 9 pt"/>
    <w:rsid w:val="006856A7"/>
    <w:rPr>
      <w:spacing w:val="0"/>
      <w:sz w:val="18"/>
      <w:szCs w:val="18"/>
      <w:shd w:val="clear" w:color="auto" w:fill="FFFFFF"/>
      <w:lang w:val="en-US" w:bidi="ar-SA"/>
    </w:rPr>
  </w:style>
  <w:style w:type="character" w:customStyle="1" w:styleId="27">
    <w:name w:val="Заглавие на изображение (2)_"/>
    <w:link w:val="28"/>
    <w:rsid w:val="006856A7"/>
    <w:rPr>
      <w:rFonts w:ascii="Calibri" w:eastAsia="Calibri" w:hAnsi="Calibri"/>
      <w:sz w:val="17"/>
      <w:szCs w:val="17"/>
      <w:shd w:val="clear" w:color="auto" w:fill="FFFFFF"/>
      <w:lang w:val="en-US"/>
    </w:rPr>
  </w:style>
  <w:style w:type="paragraph" w:customStyle="1" w:styleId="28">
    <w:name w:val="Заглавие на изображение (2)"/>
    <w:basedOn w:val="Normal"/>
    <w:link w:val="27"/>
    <w:rsid w:val="006856A7"/>
    <w:pPr>
      <w:shd w:val="clear" w:color="auto" w:fill="FFFFFF"/>
      <w:spacing w:after="0" w:line="0" w:lineRule="atLeast"/>
    </w:pPr>
    <w:rPr>
      <w:rFonts w:ascii="Calibri" w:eastAsia="Calibri" w:hAnsi="Calibri"/>
      <w:sz w:val="17"/>
      <w:szCs w:val="17"/>
      <w:shd w:val="clear" w:color="auto" w:fill="FFFFFF"/>
      <w:lang w:val="en-US"/>
    </w:rPr>
  </w:style>
  <w:style w:type="paragraph" w:customStyle="1" w:styleId="6">
    <w:name w:val="Основен текст6"/>
    <w:basedOn w:val="Normal"/>
    <w:rsid w:val="006856A7"/>
    <w:pPr>
      <w:shd w:val="clear" w:color="auto" w:fill="FFFFFF"/>
      <w:spacing w:after="0" w:line="274" w:lineRule="exact"/>
      <w:ind w:hanging="420"/>
    </w:pPr>
    <w:rPr>
      <w:rFonts w:ascii="Times New Roman" w:eastAsia="Times New Roman" w:hAnsi="Times New Roman" w:cs="Times New Roman"/>
      <w:sz w:val="23"/>
      <w:szCs w:val="23"/>
      <w:lang w:eastAsia="bg-BG"/>
    </w:rPr>
  </w:style>
  <w:style w:type="character" w:customStyle="1" w:styleId="5">
    <w:name w:val="Основен текст (5)_"/>
    <w:link w:val="50"/>
    <w:rsid w:val="006856A7"/>
    <w:rPr>
      <w:sz w:val="23"/>
      <w:szCs w:val="23"/>
      <w:shd w:val="clear" w:color="auto" w:fill="FFFFFF"/>
    </w:rPr>
  </w:style>
  <w:style w:type="paragraph" w:customStyle="1" w:styleId="50">
    <w:name w:val="Основен текст (5)"/>
    <w:basedOn w:val="Normal"/>
    <w:link w:val="5"/>
    <w:rsid w:val="006856A7"/>
    <w:pPr>
      <w:shd w:val="clear" w:color="auto" w:fill="FFFFFF"/>
      <w:spacing w:before="1440" w:after="660" w:line="0" w:lineRule="atLeast"/>
      <w:ind w:hanging="360"/>
    </w:pPr>
    <w:rPr>
      <w:sz w:val="23"/>
      <w:szCs w:val="23"/>
      <w:shd w:val="clear" w:color="auto" w:fill="FFFFFF"/>
    </w:rPr>
  </w:style>
  <w:style w:type="character" w:customStyle="1" w:styleId="43">
    <w:name w:val="Заглавие #4_"/>
    <w:link w:val="44"/>
    <w:rsid w:val="006856A7"/>
    <w:rPr>
      <w:sz w:val="23"/>
      <w:szCs w:val="23"/>
      <w:shd w:val="clear" w:color="auto" w:fill="FFFFFF"/>
    </w:rPr>
  </w:style>
  <w:style w:type="paragraph" w:customStyle="1" w:styleId="44">
    <w:name w:val="Заглавие #4"/>
    <w:basedOn w:val="Normal"/>
    <w:link w:val="43"/>
    <w:rsid w:val="006856A7"/>
    <w:pPr>
      <w:shd w:val="clear" w:color="auto" w:fill="FFFFFF"/>
      <w:spacing w:before="480" w:after="240" w:line="0" w:lineRule="atLeast"/>
      <w:ind w:hanging="840"/>
      <w:outlineLvl w:val="3"/>
    </w:pPr>
    <w:rPr>
      <w:sz w:val="23"/>
      <w:szCs w:val="23"/>
      <w:shd w:val="clear" w:color="auto" w:fill="FFFFFF"/>
    </w:rPr>
  </w:style>
  <w:style w:type="character" w:customStyle="1" w:styleId="13">
    <w:name w:val="Основен текст (13)_"/>
    <w:link w:val="130"/>
    <w:rsid w:val="006856A7"/>
    <w:rPr>
      <w:sz w:val="11"/>
      <w:szCs w:val="11"/>
      <w:shd w:val="clear" w:color="auto" w:fill="FFFFFF"/>
      <w:lang w:val="en-US"/>
    </w:rPr>
  </w:style>
  <w:style w:type="paragraph" w:customStyle="1" w:styleId="130">
    <w:name w:val="Основен текст (13)"/>
    <w:basedOn w:val="Normal"/>
    <w:link w:val="13"/>
    <w:rsid w:val="006856A7"/>
    <w:pPr>
      <w:shd w:val="clear" w:color="auto" w:fill="FFFFFF"/>
      <w:spacing w:after="0" w:line="0" w:lineRule="atLeast"/>
    </w:pPr>
    <w:rPr>
      <w:sz w:val="11"/>
      <w:szCs w:val="11"/>
      <w:shd w:val="clear" w:color="auto" w:fill="FFFFFF"/>
      <w:lang w:val="en-US"/>
    </w:rPr>
  </w:style>
  <w:style w:type="paragraph" w:customStyle="1" w:styleId="CharCharChar1CharCharCharCharCharCharCharChar">
    <w:name w:val="Char Char Char1 Знак Char Char Знак Char Char Знак Char Char Char Char"/>
    <w:basedOn w:val="Normal"/>
    <w:rsid w:val="006856A7"/>
    <w:pPr>
      <w:widowControl w:val="0"/>
      <w:tabs>
        <w:tab w:val="left" w:pos="709"/>
      </w:tabs>
      <w:adjustRightInd w:val="0"/>
      <w:spacing w:after="0" w:line="360" w:lineRule="atLeast"/>
      <w:jc w:val="both"/>
      <w:textAlignment w:val="baseline"/>
    </w:pPr>
    <w:rPr>
      <w:rFonts w:ascii="Tahoma" w:eastAsia="Times New Roman" w:hAnsi="Tahoma" w:cs="Times New Roman"/>
      <w:sz w:val="24"/>
      <w:szCs w:val="24"/>
      <w:lang w:val="pl-PL" w:eastAsia="pl-PL"/>
    </w:rPr>
  </w:style>
  <w:style w:type="character" w:customStyle="1" w:styleId="31">
    <w:name w:val="Заглавие #3"/>
    <w:rsid w:val="006856A7"/>
    <w:rPr>
      <w:rFonts w:ascii="Times New Roman" w:eastAsia="Times New Roman" w:hAnsi="Times New Roman" w:cs="Times New Roman"/>
      <w:b w:val="0"/>
      <w:bCs w:val="0"/>
      <w:i w:val="0"/>
      <w:iCs w:val="0"/>
      <w:smallCaps w:val="0"/>
      <w:strike w:val="0"/>
      <w:spacing w:val="0"/>
      <w:sz w:val="27"/>
      <w:szCs w:val="27"/>
      <w:u w:val="single"/>
    </w:rPr>
  </w:style>
  <w:style w:type="paragraph" w:styleId="Caption">
    <w:name w:val="caption"/>
    <w:basedOn w:val="Normal"/>
    <w:next w:val="Normal"/>
    <w:autoRedefine/>
    <w:qFormat/>
    <w:rsid w:val="006856A7"/>
    <w:pPr>
      <w:kinsoku w:val="0"/>
      <w:autoSpaceDE w:val="0"/>
      <w:autoSpaceDN w:val="0"/>
      <w:spacing w:after="40" w:line="240" w:lineRule="auto"/>
      <w:ind w:left="426" w:right="851"/>
      <w:jc w:val="center"/>
    </w:pPr>
    <w:rPr>
      <w:rFonts w:ascii="Times New Roman" w:eastAsia="MS Mincho" w:hAnsi="Times New Roman" w:cs="Times New Roman"/>
      <w:b/>
      <w:bCs/>
      <w:sz w:val="24"/>
      <w:szCs w:val="24"/>
    </w:rPr>
  </w:style>
  <w:style w:type="character" w:customStyle="1" w:styleId="atn">
    <w:name w:val="atn"/>
    <w:rsid w:val="006856A7"/>
    <w:rPr>
      <w:rFonts w:cs="Times New Roman"/>
    </w:rPr>
  </w:style>
  <w:style w:type="paragraph" w:customStyle="1" w:styleId="Para">
    <w:name w:val="Para"/>
    <w:basedOn w:val="Normal"/>
    <w:link w:val="ParaChar"/>
    <w:rsid w:val="006856A7"/>
    <w:pPr>
      <w:numPr>
        <w:numId w:val="2"/>
      </w:numPr>
      <w:tabs>
        <w:tab w:val="left" w:pos="360"/>
      </w:tabs>
      <w:spacing w:after="120" w:line="240" w:lineRule="auto"/>
      <w:jc w:val="both"/>
    </w:pPr>
    <w:rPr>
      <w:rFonts w:ascii="Calibri" w:eastAsia="MS Mincho" w:hAnsi="Calibri" w:cs="Times New Roman"/>
      <w:lang w:val="en-US" w:eastAsia="ja-JP"/>
    </w:rPr>
  </w:style>
  <w:style w:type="character" w:customStyle="1" w:styleId="ParaChar">
    <w:name w:val="Para Char"/>
    <w:link w:val="Para"/>
    <w:locked/>
    <w:rsid w:val="006856A7"/>
    <w:rPr>
      <w:rFonts w:ascii="Calibri" w:eastAsia="MS Mincho" w:hAnsi="Calibri" w:cs="Times New Roman"/>
      <w:lang w:val="en-US" w:eastAsia="ja-JP"/>
    </w:rPr>
  </w:style>
  <w:style w:type="paragraph" w:customStyle="1" w:styleId="CharCharCharChar">
    <w:name w:val="Char Char Char Char"/>
    <w:basedOn w:val="Normal"/>
    <w:rsid w:val="006856A7"/>
    <w:pPr>
      <w:spacing w:line="240" w:lineRule="exact"/>
    </w:pPr>
    <w:rPr>
      <w:rFonts w:ascii="Tahoma" w:eastAsia="Times New Roman" w:hAnsi="Tahoma" w:cs="Times New Roman"/>
      <w:sz w:val="20"/>
      <w:szCs w:val="20"/>
    </w:rPr>
  </w:style>
  <w:style w:type="character" w:customStyle="1" w:styleId="hpsatn">
    <w:name w:val="hps atn"/>
    <w:basedOn w:val="DefaultParagraphFont"/>
    <w:rsid w:val="006856A7"/>
  </w:style>
  <w:style w:type="paragraph" w:styleId="z-TopofForm">
    <w:name w:val="HTML Top of Form"/>
    <w:basedOn w:val="Normal"/>
    <w:next w:val="Normal"/>
    <w:link w:val="z-TopofFormChar"/>
    <w:hidden/>
    <w:uiPriority w:val="99"/>
    <w:rsid w:val="006856A7"/>
    <w:pPr>
      <w:pBdr>
        <w:bottom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rsid w:val="006856A7"/>
    <w:rPr>
      <w:rFonts w:ascii="Arial" w:eastAsia="Times New Roman" w:hAnsi="Arial" w:cs="Arial"/>
      <w:vanish/>
      <w:sz w:val="16"/>
      <w:szCs w:val="16"/>
      <w:lang w:eastAsia="bg-BG"/>
    </w:rPr>
  </w:style>
  <w:style w:type="paragraph" w:styleId="z-BottomofForm">
    <w:name w:val="HTML Bottom of Form"/>
    <w:basedOn w:val="Normal"/>
    <w:next w:val="Normal"/>
    <w:link w:val="z-BottomofFormChar"/>
    <w:hidden/>
    <w:uiPriority w:val="99"/>
    <w:rsid w:val="006856A7"/>
    <w:pPr>
      <w:pBdr>
        <w:top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rsid w:val="006856A7"/>
    <w:rPr>
      <w:rFonts w:ascii="Arial" w:eastAsia="Times New Roman" w:hAnsi="Arial" w:cs="Arial"/>
      <w:vanish/>
      <w:sz w:val="16"/>
      <w:szCs w:val="16"/>
      <w:lang w:eastAsia="bg-BG"/>
    </w:rPr>
  </w:style>
  <w:style w:type="paragraph" w:customStyle="1" w:styleId="Pa36">
    <w:name w:val="Pa36"/>
    <w:basedOn w:val="Normal"/>
    <w:next w:val="Normal"/>
    <w:rsid w:val="006856A7"/>
    <w:pPr>
      <w:autoSpaceDE w:val="0"/>
      <w:autoSpaceDN w:val="0"/>
      <w:adjustRightInd w:val="0"/>
      <w:spacing w:after="0" w:line="241" w:lineRule="atLeast"/>
    </w:pPr>
    <w:rPr>
      <w:rFonts w:ascii="HS Grotesk Bg" w:eastAsia="Times New Roman" w:hAnsi="HS Grotesk Bg" w:cs="Times New Roman"/>
      <w:sz w:val="24"/>
      <w:szCs w:val="24"/>
      <w:lang w:eastAsia="bg-BG"/>
    </w:rPr>
  </w:style>
  <w:style w:type="paragraph" w:customStyle="1" w:styleId="CharCharCharChar1">
    <w:name w:val="Char Char Char Char1"/>
    <w:basedOn w:val="Normal"/>
    <w:rsid w:val="006856A7"/>
    <w:pPr>
      <w:numPr>
        <w:numId w:val="3"/>
      </w:numPr>
      <w:tabs>
        <w:tab w:val="left" w:pos="709"/>
      </w:tabs>
      <w:spacing w:after="0" w:line="240" w:lineRule="auto"/>
      <w:ind w:left="0" w:firstLine="0"/>
    </w:pPr>
    <w:rPr>
      <w:rFonts w:ascii="Tahoma" w:eastAsia="Times New Roman" w:hAnsi="Tahoma" w:cs="Times New Roman"/>
      <w:sz w:val="24"/>
      <w:szCs w:val="24"/>
      <w:lang w:val="pl-PL" w:eastAsia="pl-PL"/>
    </w:rPr>
  </w:style>
  <w:style w:type="character" w:customStyle="1" w:styleId="field-content">
    <w:name w:val="field-content"/>
    <w:basedOn w:val="DefaultParagraphFont"/>
    <w:rsid w:val="006856A7"/>
  </w:style>
  <w:style w:type="character" w:customStyle="1" w:styleId="file">
    <w:name w:val="file"/>
    <w:basedOn w:val="DefaultParagraphFont"/>
    <w:rsid w:val="006856A7"/>
  </w:style>
  <w:style w:type="character" w:styleId="FollowedHyperlink">
    <w:name w:val="FollowedHyperlink"/>
    <w:uiPriority w:val="99"/>
    <w:rsid w:val="006856A7"/>
    <w:rPr>
      <w:color w:val="800080"/>
      <w:u w:val="single"/>
    </w:rPr>
  </w:style>
  <w:style w:type="character" w:customStyle="1" w:styleId="link-disabled">
    <w:name w:val="link-disabled"/>
    <w:rsid w:val="006856A7"/>
    <w:rPr>
      <w:rFonts w:cs="Times New Roman"/>
    </w:rPr>
  </w:style>
  <w:style w:type="paragraph" w:customStyle="1" w:styleId="a6">
    <w:name w:val="Стил"/>
    <w:rsid w:val="006856A7"/>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customStyle="1" w:styleId="innerpagetitle1">
    <w:name w:val="inner_page_title1"/>
    <w:rsid w:val="006856A7"/>
    <w:rPr>
      <w:b/>
      <w:bCs/>
      <w:vanish w:val="0"/>
      <w:webHidden w:val="0"/>
      <w:color w:val="A52631"/>
      <w:sz w:val="38"/>
      <w:szCs w:val="38"/>
      <w:specVanish w:val="0"/>
    </w:rPr>
  </w:style>
  <w:style w:type="character" w:customStyle="1" w:styleId="longtext">
    <w:name w:val="long_text"/>
    <w:basedOn w:val="DefaultParagraphFont"/>
    <w:rsid w:val="006856A7"/>
  </w:style>
  <w:style w:type="character" w:customStyle="1" w:styleId="shorttext">
    <w:name w:val="short_text"/>
    <w:basedOn w:val="DefaultParagraphFont"/>
    <w:rsid w:val="006856A7"/>
  </w:style>
  <w:style w:type="paragraph" w:customStyle="1" w:styleId="xl68">
    <w:name w:val="xl68"/>
    <w:basedOn w:val="Normal"/>
    <w:rsid w:val="006856A7"/>
    <w:pPr>
      <w:pBdr>
        <w:top w:val="single" w:sz="4" w:space="0" w:color="auto"/>
      </w:pBdr>
      <w:spacing w:before="100" w:beforeAutospacing="1" w:after="100" w:afterAutospacing="1" w:line="240" w:lineRule="auto"/>
    </w:pPr>
    <w:rPr>
      <w:rFonts w:ascii="Tahoma" w:eastAsia="Times New Roman" w:hAnsi="Tahoma" w:cs="Tahoma"/>
      <w:sz w:val="16"/>
      <w:szCs w:val="16"/>
      <w:lang w:eastAsia="bg-BG"/>
    </w:rPr>
  </w:style>
  <w:style w:type="paragraph" w:customStyle="1" w:styleId="xl74">
    <w:name w:val="xl74"/>
    <w:basedOn w:val="Normal"/>
    <w:rsid w:val="006856A7"/>
    <w:pP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75">
    <w:name w:val="xl75"/>
    <w:basedOn w:val="Normal"/>
    <w:rsid w:val="006856A7"/>
    <w:pPr>
      <w:spacing w:before="100" w:beforeAutospacing="1" w:after="100" w:afterAutospacing="1" w:line="240" w:lineRule="auto"/>
    </w:pPr>
    <w:rPr>
      <w:rFonts w:ascii="Arial" w:eastAsia="Times New Roman" w:hAnsi="Arial" w:cs="Arial"/>
      <w:sz w:val="16"/>
      <w:szCs w:val="16"/>
      <w:lang w:eastAsia="bg-BG"/>
    </w:rPr>
  </w:style>
  <w:style w:type="paragraph" w:customStyle="1" w:styleId="xl76">
    <w:name w:val="xl76"/>
    <w:basedOn w:val="Normal"/>
    <w:rsid w:val="006856A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7">
    <w:name w:val="xl77"/>
    <w:basedOn w:val="Normal"/>
    <w:rsid w:val="006856A7"/>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8">
    <w:name w:val="xl78"/>
    <w:basedOn w:val="Normal"/>
    <w:rsid w:val="006856A7"/>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9">
    <w:name w:val="xl79"/>
    <w:basedOn w:val="Normal"/>
    <w:rsid w:val="006856A7"/>
    <w:pPr>
      <w:pBdr>
        <w:left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80">
    <w:name w:val="xl80"/>
    <w:basedOn w:val="Normal"/>
    <w:rsid w:val="006856A7"/>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1">
    <w:name w:val="xl81"/>
    <w:basedOn w:val="Normal"/>
    <w:rsid w:val="006856A7"/>
    <w:pPr>
      <w:pBdr>
        <w:left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bg-BG"/>
    </w:rPr>
  </w:style>
  <w:style w:type="paragraph" w:customStyle="1" w:styleId="xl82">
    <w:name w:val="xl82"/>
    <w:basedOn w:val="Normal"/>
    <w:rsid w:val="006856A7"/>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3">
    <w:name w:val="xl83"/>
    <w:basedOn w:val="Normal"/>
    <w:rsid w:val="006856A7"/>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4">
    <w:name w:val="xl84"/>
    <w:basedOn w:val="Normal"/>
    <w:rsid w:val="006856A7"/>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5">
    <w:name w:val="xl85"/>
    <w:basedOn w:val="Normal"/>
    <w:rsid w:val="006856A7"/>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6">
    <w:name w:val="xl86"/>
    <w:basedOn w:val="Normal"/>
    <w:rsid w:val="006856A7"/>
    <w:pPr>
      <w:pBdr>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7">
    <w:name w:val="xl87"/>
    <w:basedOn w:val="Normal"/>
    <w:rsid w:val="006856A7"/>
    <w:pPr>
      <w:pBdr>
        <w:top w:val="single" w:sz="4" w:space="0" w:color="auto"/>
        <w:bottom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8">
    <w:name w:val="xl88"/>
    <w:basedOn w:val="Normal"/>
    <w:rsid w:val="006856A7"/>
    <w:pPr>
      <w:pBdr>
        <w:top w:val="single" w:sz="4" w:space="0" w:color="auto"/>
        <w:bottom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9">
    <w:name w:val="xl89"/>
    <w:basedOn w:val="Normal"/>
    <w:rsid w:val="006856A7"/>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0">
    <w:name w:val="xl90"/>
    <w:basedOn w:val="Normal"/>
    <w:rsid w:val="006856A7"/>
    <w:pPr>
      <w:pBdr>
        <w:top w:val="single" w:sz="4" w:space="0" w:color="auto"/>
        <w:left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color w:val="000000"/>
      <w:sz w:val="16"/>
      <w:szCs w:val="16"/>
      <w:lang w:eastAsia="bg-BG"/>
    </w:rPr>
  </w:style>
  <w:style w:type="paragraph" w:customStyle="1" w:styleId="xl91">
    <w:name w:val="xl91"/>
    <w:basedOn w:val="Normal"/>
    <w:rsid w:val="006856A7"/>
    <w:pPr>
      <w:pBdr>
        <w:left w:val="single" w:sz="4"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92">
    <w:name w:val="xl92"/>
    <w:basedOn w:val="Normal"/>
    <w:rsid w:val="006856A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3">
    <w:name w:val="xl93"/>
    <w:basedOn w:val="Normal"/>
    <w:rsid w:val="006856A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4">
    <w:name w:val="xl94"/>
    <w:basedOn w:val="Normal"/>
    <w:rsid w:val="006856A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5">
    <w:name w:val="xl95"/>
    <w:basedOn w:val="Normal"/>
    <w:rsid w:val="006856A7"/>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96">
    <w:name w:val="xl96"/>
    <w:basedOn w:val="Normal"/>
    <w:rsid w:val="006856A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7">
    <w:name w:val="xl97"/>
    <w:basedOn w:val="Normal"/>
    <w:rsid w:val="006856A7"/>
    <w:pPr>
      <w:pBdr>
        <w:top w:val="single" w:sz="4" w:space="0" w:color="auto"/>
        <w:left w:val="single" w:sz="4" w:space="0" w:color="auto"/>
        <w:bottom w:val="single" w:sz="8" w:space="0" w:color="auto"/>
      </w:pBdr>
      <w:shd w:val="clear" w:color="000000" w:fill="99CCFF"/>
      <w:spacing w:before="100" w:beforeAutospacing="1" w:after="100" w:afterAutospacing="1" w:line="240" w:lineRule="auto"/>
    </w:pPr>
    <w:rPr>
      <w:rFonts w:ascii="Arial" w:eastAsia="Times New Roman" w:hAnsi="Arial" w:cs="Arial"/>
      <w:b/>
      <w:bCs/>
      <w:color w:val="000000"/>
      <w:sz w:val="28"/>
      <w:szCs w:val="28"/>
      <w:lang w:eastAsia="bg-BG"/>
    </w:rPr>
  </w:style>
  <w:style w:type="paragraph" w:customStyle="1" w:styleId="xl98">
    <w:name w:val="xl98"/>
    <w:basedOn w:val="Normal"/>
    <w:rsid w:val="006856A7"/>
    <w:pPr>
      <w:pBdr>
        <w:top w:val="single" w:sz="4" w:space="0" w:color="auto"/>
        <w:bottom w:val="single" w:sz="8" w:space="0" w:color="auto"/>
      </w:pBdr>
      <w:shd w:val="clear" w:color="000000" w:fill="99CCFF"/>
      <w:spacing w:before="100" w:beforeAutospacing="1" w:after="100" w:afterAutospacing="1" w:line="240" w:lineRule="auto"/>
    </w:pPr>
    <w:rPr>
      <w:rFonts w:ascii="Arial" w:eastAsia="Times New Roman" w:hAnsi="Arial" w:cs="Arial"/>
      <w:b/>
      <w:bCs/>
      <w:color w:val="000000"/>
      <w:sz w:val="28"/>
      <w:szCs w:val="28"/>
      <w:lang w:eastAsia="bg-BG"/>
    </w:rPr>
  </w:style>
  <w:style w:type="paragraph" w:customStyle="1" w:styleId="xl99">
    <w:name w:val="xl99"/>
    <w:basedOn w:val="Normal"/>
    <w:rsid w:val="006856A7"/>
    <w:pPr>
      <w:pBdr>
        <w:left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100">
    <w:name w:val="xl100"/>
    <w:basedOn w:val="Normal"/>
    <w:rsid w:val="006856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101">
    <w:name w:val="xl101"/>
    <w:basedOn w:val="Normal"/>
    <w:rsid w:val="006856A7"/>
    <w:pPr>
      <w:pBdr>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102">
    <w:name w:val="xl102"/>
    <w:basedOn w:val="Normal"/>
    <w:rsid w:val="006856A7"/>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3">
    <w:name w:val="xl103"/>
    <w:basedOn w:val="Normal"/>
    <w:rsid w:val="006856A7"/>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4">
    <w:name w:val="xl104"/>
    <w:basedOn w:val="Normal"/>
    <w:rsid w:val="006856A7"/>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105">
    <w:name w:val="xl105"/>
    <w:basedOn w:val="Normal"/>
    <w:rsid w:val="006856A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6">
    <w:name w:val="xl106"/>
    <w:basedOn w:val="Normal"/>
    <w:rsid w:val="006856A7"/>
    <w:pPr>
      <w:pBdr>
        <w:top w:val="single" w:sz="4"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7">
    <w:name w:val="xl107"/>
    <w:basedOn w:val="Normal"/>
    <w:rsid w:val="006856A7"/>
    <w:pPr>
      <w:pBdr>
        <w:top w:val="single" w:sz="4" w:space="0" w:color="auto"/>
        <w:bottom w:val="single" w:sz="8"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8">
    <w:name w:val="xl108"/>
    <w:basedOn w:val="Normal"/>
    <w:rsid w:val="006856A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9">
    <w:name w:val="xl109"/>
    <w:basedOn w:val="Normal"/>
    <w:rsid w:val="006856A7"/>
    <w:pPr>
      <w:spacing w:before="100" w:beforeAutospacing="1" w:after="100" w:afterAutospacing="1" w:line="240" w:lineRule="auto"/>
    </w:pPr>
    <w:rPr>
      <w:rFonts w:ascii="Times New Roman" w:eastAsia="Times New Roman" w:hAnsi="Times New Roman" w:cs="Times New Roman"/>
      <w:sz w:val="16"/>
      <w:szCs w:val="16"/>
      <w:lang w:eastAsia="bg-BG"/>
    </w:rPr>
  </w:style>
  <w:style w:type="paragraph" w:customStyle="1" w:styleId="xl110">
    <w:name w:val="xl110"/>
    <w:basedOn w:val="Normal"/>
    <w:rsid w:val="00685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11">
    <w:name w:val="xl111"/>
    <w:basedOn w:val="Normal"/>
    <w:rsid w:val="006856A7"/>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12">
    <w:name w:val="xl112"/>
    <w:basedOn w:val="Normal"/>
    <w:rsid w:val="00685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13">
    <w:name w:val="xl113"/>
    <w:basedOn w:val="Normal"/>
    <w:rsid w:val="006856A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14">
    <w:name w:val="xl114"/>
    <w:basedOn w:val="Normal"/>
    <w:rsid w:val="006856A7"/>
    <w:pPr>
      <w:pBdr>
        <w:bottom w:val="single" w:sz="4" w:space="0" w:color="auto"/>
      </w:pBdr>
      <w:spacing w:before="100" w:beforeAutospacing="1" w:after="100" w:afterAutospacing="1" w:line="240" w:lineRule="auto"/>
    </w:pPr>
    <w:rPr>
      <w:rFonts w:ascii="Arial" w:eastAsia="Times New Roman" w:hAnsi="Arial" w:cs="Arial"/>
      <w:color w:val="000000"/>
      <w:sz w:val="16"/>
      <w:szCs w:val="16"/>
      <w:lang w:eastAsia="bg-BG"/>
    </w:rPr>
  </w:style>
  <w:style w:type="numbering" w:customStyle="1" w:styleId="NoList111">
    <w:name w:val="No List111"/>
    <w:next w:val="NoList"/>
    <w:semiHidden/>
    <w:unhideWhenUsed/>
    <w:rsid w:val="006856A7"/>
  </w:style>
  <w:style w:type="table" w:customStyle="1" w:styleId="TableGrid1">
    <w:name w:val="Table Grid1"/>
    <w:basedOn w:val="TableNormal"/>
    <w:next w:val="TableGrid"/>
    <w:uiPriority w:val="59"/>
    <w:rsid w:val="006856A7"/>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5">
    <w:name w:val="xl115"/>
    <w:basedOn w:val="Normal"/>
    <w:rsid w:val="006856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116">
    <w:name w:val="xl116"/>
    <w:basedOn w:val="Normal"/>
    <w:rsid w:val="006856A7"/>
    <w:pPr>
      <w:pBdr>
        <w:left w:val="single" w:sz="4" w:space="0" w:color="auto"/>
      </w:pBdr>
      <w:spacing w:before="100" w:beforeAutospacing="1" w:after="100" w:afterAutospacing="1" w:line="240" w:lineRule="auto"/>
    </w:pPr>
    <w:rPr>
      <w:rFonts w:ascii="Arial" w:eastAsia="Times New Roman" w:hAnsi="Arial" w:cs="Arial"/>
      <w:i/>
      <w:iCs/>
      <w:sz w:val="16"/>
      <w:szCs w:val="16"/>
      <w:lang w:eastAsia="bg-BG"/>
    </w:rPr>
  </w:style>
  <w:style w:type="paragraph" w:customStyle="1" w:styleId="xl117">
    <w:name w:val="xl117"/>
    <w:basedOn w:val="Normal"/>
    <w:rsid w:val="006856A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8">
    <w:name w:val="xl118"/>
    <w:basedOn w:val="Normal"/>
    <w:rsid w:val="006856A7"/>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9">
    <w:name w:val="xl119"/>
    <w:basedOn w:val="Normal"/>
    <w:rsid w:val="006856A7"/>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0">
    <w:name w:val="xl120"/>
    <w:basedOn w:val="Normal"/>
    <w:rsid w:val="006856A7"/>
    <w:pPr>
      <w:pBdr>
        <w:top w:val="single" w:sz="4" w:space="0" w:color="auto"/>
        <w:bottom w:val="single" w:sz="8" w:space="0" w:color="auto"/>
      </w:pBdr>
      <w:shd w:val="clear" w:color="000000" w:fill="99CC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21">
    <w:name w:val="xl121"/>
    <w:basedOn w:val="Normal"/>
    <w:rsid w:val="006856A7"/>
    <w:pPr>
      <w:pBdr>
        <w:top w:val="single" w:sz="4" w:space="0" w:color="auto"/>
        <w:bottom w:val="single" w:sz="8"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22">
    <w:name w:val="xl122"/>
    <w:basedOn w:val="Normal"/>
    <w:rsid w:val="006856A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3">
    <w:name w:val="xl123"/>
    <w:basedOn w:val="Normal"/>
    <w:rsid w:val="006856A7"/>
    <w:pPr>
      <w:spacing w:before="100" w:beforeAutospacing="1" w:after="100" w:afterAutospacing="1" w:line="240" w:lineRule="auto"/>
    </w:pPr>
    <w:rPr>
      <w:rFonts w:ascii="Times New Roman" w:eastAsia="Times New Roman" w:hAnsi="Times New Roman" w:cs="Times New Roman"/>
      <w:sz w:val="16"/>
      <w:szCs w:val="16"/>
      <w:lang w:eastAsia="bg-BG"/>
    </w:rPr>
  </w:style>
  <w:style w:type="paragraph" w:customStyle="1" w:styleId="xl124">
    <w:name w:val="xl124"/>
    <w:basedOn w:val="Normal"/>
    <w:rsid w:val="006856A7"/>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25">
    <w:name w:val="xl125"/>
    <w:basedOn w:val="Normal"/>
    <w:rsid w:val="006856A7"/>
    <w:pP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126">
    <w:name w:val="xl126"/>
    <w:basedOn w:val="Normal"/>
    <w:rsid w:val="006856A7"/>
    <w:pPr>
      <w:pBdr>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127">
    <w:name w:val="xl127"/>
    <w:basedOn w:val="Normal"/>
    <w:rsid w:val="006856A7"/>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28">
    <w:name w:val="xl128"/>
    <w:basedOn w:val="Normal"/>
    <w:rsid w:val="006856A7"/>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29">
    <w:name w:val="xl129"/>
    <w:basedOn w:val="Normal"/>
    <w:rsid w:val="006856A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0">
    <w:name w:val="xl130"/>
    <w:basedOn w:val="Normal"/>
    <w:rsid w:val="006856A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1">
    <w:name w:val="xl131"/>
    <w:basedOn w:val="Normal"/>
    <w:rsid w:val="00685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32">
    <w:name w:val="xl132"/>
    <w:basedOn w:val="Normal"/>
    <w:rsid w:val="006856A7"/>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3">
    <w:name w:val="xl133"/>
    <w:basedOn w:val="Normal"/>
    <w:rsid w:val="00685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4">
    <w:name w:val="xl134"/>
    <w:basedOn w:val="Normal"/>
    <w:rsid w:val="006856A7"/>
    <w:pPr>
      <w:spacing w:before="100" w:beforeAutospacing="1" w:after="100" w:afterAutospacing="1" w:line="240" w:lineRule="auto"/>
    </w:pPr>
    <w:rPr>
      <w:rFonts w:ascii="Arial" w:eastAsia="Times New Roman" w:hAnsi="Arial" w:cs="Arial"/>
      <w:color w:val="000000"/>
      <w:sz w:val="16"/>
      <w:szCs w:val="16"/>
      <w:lang w:eastAsia="bg-BG"/>
    </w:rPr>
  </w:style>
  <w:style w:type="paragraph" w:customStyle="1" w:styleId="xl135">
    <w:name w:val="xl135"/>
    <w:basedOn w:val="Normal"/>
    <w:rsid w:val="006856A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apple-tab-span">
    <w:name w:val="apple-tab-span"/>
    <w:basedOn w:val="DefaultParagraphFont"/>
    <w:rsid w:val="006856A7"/>
  </w:style>
  <w:style w:type="character" w:customStyle="1" w:styleId="FootnoteTextChar1">
    <w:name w:val="Footnote Text Char1"/>
    <w:aliases w:val="stile 1 Char1,Footnote Char1,Footnote1 Char1,Footnote2 Char1,Footnote3 Char1,Footnote4 Char1,Footnote5 Char1,Footnote6 Char1,Footnote7 Char1,Footnote8 Char1,Footnote9 Char1,Footnote10 Char1,Footnote11 Char1,Footnote21 Char1,fn Char1"/>
    <w:basedOn w:val="DefaultParagraphFont"/>
    <w:uiPriority w:val="99"/>
    <w:semiHidden/>
    <w:rsid w:val="006856A7"/>
    <w:rPr>
      <w:rFonts w:ascii="Times New Roman" w:eastAsia="Times New Roman" w:hAnsi="Times New Roman" w:cs="Times New Roman"/>
      <w:sz w:val="20"/>
      <w:szCs w:val="20"/>
      <w:lang w:eastAsia="bg-BG"/>
    </w:rPr>
  </w:style>
  <w:style w:type="character" w:customStyle="1" w:styleId="BodyTextIndentChar1">
    <w:name w:val="Body Text Indent Char1"/>
    <w:aliases w:val="Char Char1"/>
    <w:basedOn w:val="DefaultParagraphFont"/>
    <w:semiHidden/>
    <w:rsid w:val="006856A7"/>
    <w:rPr>
      <w:rFonts w:ascii="Times New Roman" w:eastAsia="Times New Roman" w:hAnsi="Times New Roman" w:cs="Times New Roman"/>
      <w:sz w:val="28"/>
      <w:szCs w:val="28"/>
      <w:lang w:eastAsia="bg-BG"/>
    </w:rPr>
  </w:style>
  <w:style w:type="character" w:customStyle="1" w:styleId="CommentTextChar1">
    <w:name w:val="Comment Text Char1"/>
    <w:basedOn w:val="DefaultParagraphFont"/>
    <w:semiHidden/>
    <w:rsid w:val="006856A7"/>
    <w:rPr>
      <w:rFonts w:ascii="Times New Roman" w:eastAsia="Times New Roman" w:hAnsi="Times New Roman" w:cs="Times New Roman"/>
      <w:sz w:val="20"/>
      <w:szCs w:val="20"/>
      <w:lang w:eastAsia="bg-BG"/>
    </w:rPr>
  </w:style>
  <w:style w:type="character" w:customStyle="1" w:styleId="PlainTextChar1">
    <w:name w:val="Plain Text Char1"/>
    <w:basedOn w:val="DefaultParagraphFont"/>
    <w:semiHidden/>
    <w:rsid w:val="006856A7"/>
    <w:rPr>
      <w:rFonts w:ascii="Consolas" w:eastAsia="Times New Roman" w:hAnsi="Consolas" w:cs="Consolas"/>
      <w:sz w:val="21"/>
      <w:szCs w:val="21"/>
      <w:lang w:eastAsia="bg-BG"/>
    </w:rPr>
  </w:style>
  <w:style w:type="character" w:customStyle="1" w:styleId="HeaderChar1">
    <w:name w:val="Header Char1"/>
    <w:basedOn w:val="DefaultParagraphFont"/>
    <w:semiHidden/>
    <w:rsid w:val="006856A7"/>
    <w:rPr>
      <w:rFonts w:ascii="Times New Roman" w:eastAsia="Times New Roman" w:hAnsi="Times New Roman" w:cs="Times New Roman"/>
      <w:sz w:val="28"/>
      <w:szCs w:val="28"/>
      <w:lang w:eastAsia="bg-BG"/>
    </w:rPr>
  </w:style>
  <w:style w:type="character" w:customStyle="1" w:styleId="FooterChar1">
    <w:name w:val="Footer Char1"/>
    <w:basedOn w:val="DefaultParagraphFont"/>
    <w:semiHidden/>
    <w:rsid w:val="006856A7"/>
    <w:rPr>
      <w:rFonts w:ascii="Times New Roman" w:eastAsia="Times New Roman" w:hAnsi="Times New Roman" w:cs="Times New Roman"/>
      <w:sz w:val="28"/>
      <w:szCs w:val="28"/>
      <w:lang w:eastAsia="bg-BG"/>
    </w:rPr>
  </w:style>
  <w:style w:type="character" w:customStyle="1" w:styleId="BodyTextIndent3Char1">
    <w:name w:val="Body Text Indent 3 Char1"/>
    <w:basedOn w:val="DefaultParagraphFont"/>
    <w:semiHidden/>
    <w:rsid w:val="006856A7"/>
    <w:rPr>
      <w:rFonts w:ascii="Times New Roman" w:eastAsia="Times New Roman" w:hAnsi="Times New Roman" w:cs="Times New Roman"/>
      <w:sz w:val="16"/>
      <w:szCs w:val="16"/>
      <w:lang w:eastAsia="bg-BG"/>
    </w:rPr>
  </w:style>
  <w:style w:type="character" w:customStyle="1" w:styleId="BodyTextIndent2Char1">
    <w:name w:val="Body Text Indent 2 Char1"/>
    <w:basedOn w:val="DefaultParagraphFont"/>
    <w:semiHidden/>
    <w:rsid w:val="006856A7"/>
    <w:rPr>
      <w:rFonts w:ascii="Times New Roman" w:eastAsia="Times New Roman" w:hAnsi="Times New Roman" w:cs="Times New Roman"/>
      <w:sz w:val="28"/>
      <w:szCs w:val="28"/>
      <w:lang w:eastAsia="bg-BG"/>
    </w:rPr>
  </w:style>
  <w:style w:type="character" w:customStyle="1" w:styleId="BodyText3Char1">
    <w:name w:val="Body Text 3 Char1"/>
    <w:basedOn w:val="DefaultParagraphFont"/>
    <w:semiHidden/>
    <w:rsid w:val="006856A7"/>
    <w:rPr>
      <w:rFonts w:ascii="Times New Roman" w:eastAsia="Times New Roman" w:hAnsi="Times New Roman" w:cs="Times New Roman"/>
      <w:sz w:val="16"/>
      <w:szCs w:val="16"/>
      <w:lang w:eastAsia="bg-BG"/>
    </w:rPr>
  </w:style>
  <w:style w:type="character" w:customStyle="1" w:styleId="BodyText2Char1">
    <w:name w:val="Body Text 2 Char1"/>
    <w:basedOn w:val="DefaultParagraphFont"/>
    <w:semiHidden/>
    <w:rsid w:val="006856A7"/>
    <w:rPr>
      <w:rFonts w:ascii="Times New Roman" w:eastAsia="Times New Roman" w:hAnsi="Times New Roman" w:cs="Times New Roman"/>
      <w:sz w:val="28"/>
      <w:szCs w:val="28"/>
      <w:lang w:eastAsia="bg-BG"/>
    </w:rPr>
  </w:style>
  <w:style w:type="character" w:customStyle="1" w:styleId="CommentSubjectChar1">
    <w:name w:val="Comment Subject Char1"/>
    <w:basedOn w:val="CommentTextChar1"/>
    <w:uiPriority w:val="99"/>
    <w:semiHidden/>
    <w:rsid w:val="006856A7"/>
    <w:rPr>
      <w:rFonts w:ascii="Times New Roman" w:eastAsia="Times New Roman" w:hAnsi="Times New Roman" w:cs="Times New Roman"/>
      <w:b/>
      <w:bCs/>
      <w:sz w:val="20"/>
      <w:szCs w:val="20"/>
      <w:lang w:eastAsia="bg-BG"/>
    </w:rPr>
  </w:style>
  <w:style w:type="character" w:customStyle="1" w:styleId="BalloonTextChar1">
    <w:name w:val="Balloon Text Char1"/>
    <w:basedOn w:val="DefaultParagraphFont"/>
    <w:semiHidden/>
    <w:rsid w:val="006856A7"/>
    <w:rPr>
      <w:rFonts w:ascii="Tahoma" w:eastAsia="Times New Roman" w:hAnsi="Tahoma" w:cs="Tahoma"/>
      <w:sz w:val="16"/>
      <w:szCs w:val="16"/>
      <w:lang w:eastAsia="bg-BG"/>
    </w:rPr>
  </w:style>
  <w:style w:type="character" w:customStyle="1" w:styleId="Corpsdutexte">
    <w:name w:val="Corps du texte_"/>
    <w:basedOn w:val="DefaultParagraphFont"/>
    <w:link w:val="Corpsdutexte1"/>
    <w:uiPriority w:val="99"/>
    <w:locked/>
    <w:rsid w:val="006856A7"/>
    <w:rPr>
      <w:rFonts w:cs="Times New Roman"/>
      <w:sz w:val="21"/>
      <w:szCs w:val="21"/>
      <w:shd w:val="clear" w:color="auto" w:fill="FFFFFF"/>
    </w:rPr>
  </w:style>
  <w:style w:type="paragraph" w:customStyle="1" w:styleId="Corpsdutexte1">
    <w:name w:val="Corps du texte1"/>
    <w:basedOn w:val="Normal"/>
    <w:link w:val="Corpsdutexte"/>
    <w:uiPriority w:val="99"/>
    <w:rsid w:val="006856A7"/>
    <w:pPr>
      <w:widowControl w:val="0"/>
      <w:shd w:val="clear" w:color="auto" w:fill="FFFFFF"/>
      <w:spacing w:before="300" w:after="120" w:line="288" w:lineRule="exact"/>
      <w:ind w:hanging="420"/>
      <w:jc w:val="both"/>
    </w:pPr>
    <w:rPr>
      <w:rFonts w:cs="Times New Roman"/>
      <w:sz w:val="21"/>
      <w:szCs w:val="21"/>
    </w:rPr>
  </w:style>
  <w:style w:type="paragraph" w:styleId="Date">
    <w:name w:val="Date"/>
    <w:basedOn w:val="Normal"/>
    <w:next w:val="References"/>
    <w:link w:val="DateChar"/>
    <w:rsid w:val="006856A7"/>
    <w:pPr>
      <w:spacing w:after="0" w:line="240" w:lineRule="auto"/>
      <w:ind w:left="5103" w:right="-567"/>
      <w:jc w:val="center"/>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rsid w:val="006856A7"/>
    <w:rPr>
      <w:rFonts w:ascii="Times New Roman" w:eastAsia="Times New Roman" w:hAnsi="Times New Roman" w:cs="Times New Roman"/>
      <w:sz w:val="24"/>
      <w:szCs w:val="20"/>
      <w:lang w:val="en-GB"/>
    </w:rPr>
  </w:style>
  <w:style w:type="paragraph" w:customStyle="1" w:styleId="References">
    <w:name w:val="References"/>
    <w:basedOn w:val="Normal"/>
    <w:next w:val="Normal"/>
    <w:rsid w:val="006856A7"/>
    <w:pPr>
      <w:spacing w:after="240" w:line="240" w:lineRule="auto"/>
      <w:ind w:left="5103"/>
      <w:jc w:val="center"/>
    </w:pPr>
    <w:rPr>
      <w:rFonts w:ascii="Times New Roman" w:eastAsia="Times New Roman" w:hAnsi="Times New Roman" w:cs="Times New Roman"/>
      <w:sz w:val="20"/>
      <w:szCs w:val="20"/>
      <w:lang w:val="en-GB"/>
    </w:rPr>
  </w:style>
  <w:style w:type="paragraph" w:styleId="ListNumber">
    <w:name w:val="List Number"/>
    <w:basedOn w:val="Normal"/>
    <w:rsid w:val="006856A7"/>
    <w:pPr>
      <w:numPr>
        <w:ilvl w:val="2"/>
        <w:numId w:val="4"/>
      </w:numPr>
      <w:tabs>
        <w:tab w:val="clear" w:pos="2126"/>
        <w:tab w:val="num" w:pos="709"/>
      </w:tabs>
      <w:spacing w:after="240" w:line="240" w:lineRule="auto"/>
      <w:ind w:left="709"/>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
    <w:rsid w:val="006856A7"/>
    <w:pPr>
      <w:numPr>
        <w:ilvl w:val="3"/>
        <w:numId w:val="4"/>
      </w:numPr>
      <w:tabs>
        <w:tab w:val="clear" w:pos="2835"/>
        <w:tab w:val="num" w:pos="1417"/>
      </w:tabs>
      <w:spacing w:after="240" w:line="240" w:lineRule="auto"/>
      <w:ind w:left="1417" w:hanging="708"/>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6856A7"/>
    <w:pPr>
      <w:tabs>
        <w:tab w:val="num" w:pos="2126"/>
      </w:tabs>
      <w:spacing w:after="240" w:line="240" w:lineRule="auto"/>
      <w:ind w:left="2126" w:hanging="709"/>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6856A7"/>
    <w:pPr>
      <w:tabs>
        <w:tab w:val="num" w:pos="2835"/>
      </w:tabs>
      <w:spacing w:after="240" w:line="240" w:lineRule="auto"/>
      <w:ind w:left="2835" w:hanging="709"/>
      <w:jc w:val="both"/>
    </w:pPr>
    <w:rPr>
      <w:rFonts w:ascii="Times New Roman" w:eastAsia="Times New Roman" w:hAnsi="Times New Roman" w:cs="Times New Roman"/>
      <w:sz w:val="24"/>
      <w:szCs w:val="20"/>
      <w:lang w:val="en-GB"/>
    </w:rPr>
  </w:style>
  <w:style w:type="paragraph" w:customStyle="1" w:styleId="SectionTitle">
    <w:name w:val="SectionTitle"/>
    <w:basedOn w:val="Normal"/>
    <w:next w:val="Heading1"/>
    <w:rsid w:val="006856A7"/>
    <w:pPr>
      <w:keepNext/>
      <w:widowControl w:val="0"/>
      <w:autoSpaceDE w:val="0"/>
      <w:autoSpaceDN w:val="0"/>
      <w:adjustRightInd w:val="0"/>
      <w:spacing w:after="480" w:line="240" w:lineRule="auto"/>
      <w:jc w:val="center"/>
    </w:pPr>
    <w:rPr>
      <w:rFonts w:ascii="Times New Roman" w:eastAsia="Times New Roman" w:hAnsi="Times New Roman" w:cs="Times New Roman"/>
      <w:b/>
      <w:bCs/>
      <w:smallCaps/>
      <w:sz w:val="28"/>
      <w:szCs w:val="28"/>
      <w:lang w:val="en-GB" w:eastAsia="en-GB"/>
    </w:rPr>
  </w:style>
  <w:style w:type="character" w:customStyle="1" w:styleId="fsm2">
    <w:name w:val="fsm2"/>
    <w:basedOn w:val="DefaultParagraphFont"/>
    <w:rsid w:val="006856A7"/>
    <w:rPr>
      <w:sz w:val="17"/>
      <w:szCs w:val="17"/>
    </w:rPr>
  </w:style>
  <w:style w:type="character" w:customStyle="1" w:styleId="textexposedhide2">
    <w:name w:val="text_exposed_hide2"/>
    <w:basedOn w:val="DefaultParagraphFont"/>
    <w:rsid w:val="006856A7"/>
  </w:style>
  <w:style w:type="character" w:customStyle="1" w:styleId="textexposedshow2">
    <w:name w:val="text_exposed_show2"/>
    <w:basedOn w:val="DefaultParagraphFont"/>
    <w:rsid w:val="006856A7"/>
    <w:rPr>
      <w:vanish/>
      <w:webHidden w:val="0"/>
      <w:specVanish w:val="0"/>
    </w:rPr>
  </w:style>
  <w:style w:type="character" w:customStyle="1" w:styleId="textexposedlink3">
    <w:name w:val="text_exposed_link3"/>
    <w:basedOn w:val="DefaultParagraphFont"/>
    <w:rsid w:val="006856A7"/>
  </w:style>
  <w:style w:type="character" w:customStyle="1" w:styleId="issue-date">
    <w:name w:val="issue-date"/>
    <w:rsid w:val="006856A7"/>
  </w:style>
  <w:style w:type="character" w:customStyle="1" w:styleId="citation">
    <w:name w:val="citation"/>
    <w:rsid w:val="006856A7"/>
  </w:style>
  <w:style w:type="paragraph" w:styleId="EndnoteText">
    <w:name w:val="endnote text"/>
    <w:basedOn w:val="Normal"/>
    <w:link w:val="EndnoteTextChar"/>
    <w:uiPriority w:val="99"/>
    <w:semiHidden/>
    <w:unhideWhenUsed/>
    <w:rsid w:val="006856A7"/>
    <w:pPr>
      <w:spacing w:after="0" w:line="240" w:lineRule="auto"/>
      <w:jc w:val="center"/>
    </w:pPr>
    <w:rPr>
      <w:rFonts w:ascii="Calibri" w:eastAsia="Calibri" w:hAnsi="Calibri" w:cs="Times New Roman"/>
      <w:sz w:val="20"/>
      <w:szCs w:val="20"/>
      <w:lang w:eastAsia="bg-BG"/>
    </w:rPr>
  </w:style>
  <w:style w:type="character" w:customStyle="1" w:styleId="EndnoteTextChar">
    <w:name w:val="Endnote Text Char"/>
    <w:basedOn w:val="DefaultParagraphFont"/>
    <w:link w:val="EndnoteText"/>
    <w:uiPriority w:val="99"/>
    <w:semiHidden/>
    <w:rsid w:val="006856A7"/>
    <w:rPr>
      <w:rFonts w:ascii="Calibri" w:eastAsia="Calibri" w:hAnsi="Calibri" w:cs="Times New Roman"/>
      <w:sz w:val="20"/>
      <w:szCs w:val="20"/>
      <w:lang w:eastAsia="bg-BG"/>
    </w:rPr>
  </w:style>
  <w:style w:type="character" w:styleId="EndnoteReference">
    <w:name w:val="endnote reference"/>
    <w:uiPriority w:val="99"/>
    <w:semiHidden/>
    <w:unhideWhenUsed/>
    <w:rsid w:val="006856A7"/>
    <w:rPr>
      <w:vertAlign w:val="superscript"/>
    </w:rPr>
  </w:style>
  <w:style w:type="paragraph" w:customStyle="1" w:styleId="CM4">
    <w:name w:val="CM4"/>
    <w:basedOn w:val="Default"/>
    <w:next w:val="Default"/>
    <w:uiPriority w:val="99"/>
    <w:rsid w:val="006856A7"/>
    <w:pPr>
      <w:jc w:val="center"/>
    </w:pPr>
    <w:rPr>
      <w:rFonts w:ascii="EUAlbertina" w:eastAsia="Calibri" w:hAnsi="EUAlbertina"/>
      <w:color w:val="auto"/>
      <w:lang w:eastAsia="bg-BG"/>
    </w:rPr>
  </w:style>
  <w:style w:type="character" w:customStyle="1" w:styleId="tf">
    <w:name w:val="tf"/>
    <w:basedOn w:val="DefaultParagraphFont"/>
    <w:rsid w:val="006856A7"/>
  </w:style>
  <w:style w:type="character" w:customStyle="1" w:styleId="gt-card-ttl-txt1">
    <w:name w:val="gt-card-ttl-txt1"/>
    <w:basedOn w:val="DefaultParagraphFont"/>
    <w:rsid w:val="006856A7"/>
    <w:rPr>
      <w:color w:val="222222"/>
    </w:rPr>
  </w:style>
  <w:style w:type="character" w:customStyle="1" w:styleId="gt-ft-text1">
    <w:name w:val="gt-ft-text1"/>
    <w:basedOn w:val="DefaultParagraphFont"/>
    <w:rsid w:val="006856A7"/>
  </w:style>
  <w:style w:type="table" w:customStyle="1" w:styleId="TableGrid2">
    <w:name w:val="Table Grid2"/>
    <w:basedOn w:val="TableNormal"/>
    <w:uiPriority w:val="59"/>
    <w:rsid w:val="006856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ък на абзаци1"/>
    <w:basedOn w:val="Normal"/>
    <w:qFormat/>
    <w:rsid w:val="006856A7"/>
    <w:pPr>
      <w:spacing w:after="0" w:line="240" w:lineRule="auto"/>
      <w:ind w:left="720"/>
      <w:contextualSpacing/>
      <w:jc w:val="both"/>
    </w:pPr>
    <w:rPr>
      <w:rFonts w:ascii="Times New Roman" w:eastAsia="Calibri" w:hAnsi="Times New Roman" w:cs="Times New Roman"/>
      <w:sz w:val="28"/>
      <w:szCs w:val="28"/>
    </w:rPr>
  </w:style>
  <w:style w:type="character" w:styleId="LineNumber">
    <w:name w:val="line number"/>
    <w:rsid w:val="006856A7"/>
  </w:style>
  <w:style w:type="paragraph" w:customStyle="1" w:styleId="xl29">
    <w:name w:val="xl29"/>
    <w:basedOn w:val="Normal"/>
    <w:rsid w:val="006856A7"/>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DocumentMap">
    <w:name w:val="Document Map"/>
    <w:basedOn w:val="Normal"/>
    <w:link w:val="DocumentMapChar"/>
    <w:semiHidden/>
    <w:rsid w:val="006856A7"/>
    <w:pPr>
      <w:shd w:val="clear" w:color="auto" w:fill="000080"/>
      <w:autoSpaceDE w:val="0"/>
      <w:autoSpaceDN w:val="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6856A7"/>
    <w:rPr>
      <w:rFonts w:ascii="Tahoma" w:eastAsia="Times New Roman" w:hAnsi="Tahoma" w:cs="Tahoma"/>
      <w:sz w:val="20"/>
      <w:szCs w:val="20"/>
      <w:shd w:val="clear" w:color="auto" w:fill="000080"/>
      <w:lang w:val="en-US"/>
    </w:rPr>
  </w:style>
  <w:style w:type="paragraph" w:customStyle="1" w:styleId="static-text">
    <w:name w:val="static-text"/>
    <w:basedOn w:val="Normal"/>
    <w:rsid w:val="006856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120">
    <w:name w:val="fontstyle12"/>
    <w:rsid w:val="006856A7"/>
  </w:style>
  <w:style w:type="paragraph" w:customStyle="1" w:styleId="CharCharChar">
    <w:name w:val="Char Char Char Знак"/>
    <w:basedOn w:val="Normal"/>
    <w:rsid w:val="006856A7"/>
    <w:pPr>
      <w:tabs>
        <w:tab w:val="left" w:pos="709"/>
      </w:tabs>
      <w:spacing w:after="0" w:line="360" w:lineRule="auto"/>
    </w:pPr>
    <w:rPr>
      <w:rFonts w:ascii="Tahoma" w:eastAsia="Times New Roman" w:hAnsi="Tahoma" w:cs="Times New Roman"/>
      <w:sz w:val="24"/>
      <w:szCs w:val="24"/>
      <w:lang w:val="pl-PL" w:eastAsia="pl-PL"/>
    </w:rPr>
  </w:style>
  <w:style w:type="paragraph" w:styleId="Revision">
    <w:name w:val="Revision"/>
    <w:hidden/>
    <w:uiPriority w:val="99"/>
    <w:semiHidden/>
    <w:rsid w:val="006856A7"/>
    <w:pPr>
      <w:spacing w:after="0" w:line="240" w:lineRule="auto"/>
    </w:pPr>
    <w:rPr>
      <w:rFonts w:ascii="Times New Roman" w:eastAsia="Times New Roman" w:hAnsi="Times New Roman" w:cs="Times New Roman"/>
      <w:color w:val="000000"/>
      <w:sz w:val="24"/>
      <w:szCs w:val="24"/>
      <w:lang w:eastAsia="bg-BG"/>
    </w:rPr>
  </w:style>
  <w:style w:type="numbering" w:customStyle="1" w:styleId="NoList1111">
    <w:name w:val="No List1111"/>
    <w:next w:val="NoList"/>
    <w:semiHidden/>
    <w:unhideWhenUsed/>
    <w:rsid w:val="006856A7"/>
  </w:style>
  <w:style w:type="character" w:customStyle="1" w:styleId="newdocreference1">
    <w:name w:val="newdocreference1"/>
    <w:basedOn w:val="DefaultParagraphFont"/>
    <w:rsid w:val="006856A7"/>
    <w:rPr>
      <w:i w:val="0"/>
      <w:iCs w:val="0"/>
      <w:color w:val="0000FF"/>
      <w:u w:val="single"/>
    </w:rPr>
  </w:style>
  <w:style w:type="character" w:customStyle="1" w:styleId="samedocreference1">
    <w:name w:val="samedocreference1"/>
    <w:basedOn w:val="DefaultParagraphFont"/>
    <w:rsid w:val="006856A7"/>
    <w:rPr>
      <w:i w:val="0"/>
      <w:iCs w:val="0"/>
      <w:color w:val="8B0000"/>
      <w:u w:val="single"/>
    </w:rPr>
  </w:style>
  <w:style w:type="character" w:customStyle="1" w:styleId="single-procedure-num1">
    <w:name w:val="single-procedure-num1"/>
    <w:basedOn w:val="DefaultParagraphFont"/>
    <w:rsid w:val="006856A7"/>
    <w:rPr>
      <w:rFonts w:ascii="RobotoRegular" w:hAnsi="RobotoRegular" w:hint="default"/>
      <w:b w:val="0"/>
      <w:bCs w:val="0"/>
      <w:sz w:val="28"/>
      <w:szCs w:val="28"/>
    </w:rPr>
  </w:style>
  <w:style w:type="paragraph" w:customStyle="1" w:styleId="EntEmet">
    <w:name w:val="EntEmet"/>
    <w:basedOn w:val="Normal"/>
    <w:rsid w:val="006856A7"/>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val="en-GB" w:eastAsia="fr-BE"/>
    </w:rPr>
  </w:style>
  <w:style w:type="paragraph" w:customStyle="1" w:styleId="msonormalcxspmiddle">
    <w:name w:val="msonormalcxspmiddle"/>
    <w:basedOn w:val="Normal"/>
    <w:rsid w:val="006856A7"/>
    <w:pPr>
      <w:spacing w:before="100" w:beforeAutospacing="1" w:after="100" w:afterAutospacing="1" w:line="240" w:lineRule="auto"/>
    </w:pPr>
    <w:rPr>
      <w:rFonts w:ascii="Times New Roman" w:eastAsia="Times New Roman" w:hAnsi="Times New Roman" w:cs="Times New Roman"/>
      <w:sz w:val="24"/>
      <w:szCs w:val="24"/>
      <w:lang w:eastAsia="bg-BG"/>
    </w:rPr>
  </w:style>
  <w:style w:type="numbering" w:customStyle="1" w:styleId="NoList2">
    <w:name w:val="No List2"/>
    <w:next w:val="NoList"/>
    <w:uiPriority w:val="99"/>
    <w:semiHidden/>
    <w:unhideWhenUsed/>
    <w:rsid w:val="006856A7"/>
  </w:style>
  <w:style w:type="numbering" w:customStyle="1" w:styleId="NoList12">
    <w:name w:val="No List12"/>
    <w:next w:val="NoList"/>
    <w:uiPriority w:val="99"/>
    <w:semiHidden/>
    <w:unhideWhenUsed/>
    <w:rsid w:val="006856A7"/>
  </w:style>
  <w:style w:type="numbering" w:customStyle="1" w:styleId="NoList11111">
    <w:name w:val="No List11111"/>
    <w:next w:val="NoList"/>
    <w:semiHidden/>
    <w:unhideWhenUsed/>
    <w:rsid w:val="006856A7"/>
  </w:style>
  <w:style w:type="numbering" w:customStyle="1" w:styleId="NoList111111">
    <w:name w:val="No List111111"/>
    <w:next w:val="NoList"/>
    <w:semiHidden/>
    <w:unhideWhenUsed/>
    <w:rsid w:val="006856A7"/>
  </w:style>
  <w:style w:type="character" w:customStyle="1" w:styleId="14">
    <w:name w:val="Неразрешено споменаване1"/>
    <w:basedOn w:val="DefaultParagraphFont"/>
    <w:uiPriority w:val="99"/>
    <w:semiHidden/>
    <w:unhideWhenUsed/>
    <w:rsid w:val="006856A7"/>
    <w:rPr>
      <w:color w:val="605E5C"/>
      <w:shd w:val="clear" w:color="auto" w:fill="E1DFDD"/>
    </w:rPr>
  </w:style>
  <w:style w:type="character" w:customStyle="1" w:styleId="StyleTimesNewRomanSuperscript">
    <w:name w:val="Style Times New Roman Superscript"/>
    <w:rsid w:val="006856A7"/>
    <w:rPr>
      <w:rFonts w:ascii="Times New Roman" w:hAnsi="Times New Roman"/>
      <w:caps w:val="0"/>
      <w:smallCaps w:val="0"/>
      <w:strike w:val="0"/>
      <w:dstrike w:val="0"/>
      <w:vanish w:val="0"/>
      <w:color w:val="000000"/>
      <w:vertAlign w:val="superscript"/>
      <w14:shadow w14:blurRad="0" w14:dist="0" w14:dir="0" w14:sx="0" w14:sy="0" w14:kx="0" w14:ky="0" w14:algn="none">
        <w14:srgbClr w14:val="000000"/>
      </w14:shadow>
      <w14:textOutline w14:w="0" w14:cap="rnd" w14:cmpd="sng" w14:algn="ctr">
        <w14:noFill/>
        <w14:prstDash w14:val="solid"/>
        <w14:bevel/>
      </w14:textOutline>
    </w:rPr>
  </w:style>
  <w:style w:type="table" w:customStyle="1" w:styleId="GridTable5Dark-Accent5511">
    <w:name w:val="Grid Table 5 Dark - Accent 5511"/>
    <w:basedOn w:val="TableNormal"/>
    <w:next w:val="TableNormal"/>
    <w:uiPriority w:val="50"/>
    <w:rsid w:val="006856A7"/>
    <w:pPr>
      <w:spacing w:after="0" w:line="240" w:lineRule="auto"/>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3">
    <w:name w:val="No List3"/>
    <w:next w:val="NoList"/>
    <w:uiPriority w:val="99"/>
    <w:semiHidden/>
    <w:unhideWhenUsed/>
    <w:rsid w:val="006856A7"/>
  </w:style>
  <w:style w:type="numbering" w:customStyle="1" w:styleId="NoList13">
    <w:name w:val="No List13"/>
    <w:next w:val="NoList"/>
    <w:semiHidden/>
    <w:unhideWhenUsed/>
    <w:rsid w:val="006856A7"/>
  </w:style>
  <w:style w:type="numbering" w:customStyle="1" w:styleId="NoList112">
    <w:name w:val="No List112"/>
    <w:next w:val="NoList"/>
    <w:semiHidden/>
    <w:unhideWhenUsed/>
    <w:rsid w:val="006856A7"/>
  </w:style>
  <w:style w:type="character" w:customStyle="1" w:styleId="ListParagraphChar1">
    <w:name w:val="List Paragraph Char1"/>
    <w:aliases w:val="Colorful List - Accent 11 Char,List Paragraph1111 Char,Lettre d'introduction Char1,1st level - Bullet List Paragraph Char1,Normal bullet 2 Char1,Bullet list Char1,Paragrafo elenco Char1,Bullet List Paragraph Char1,Bullet list1 Char"/>
    <w:link w:val="ListParagraph"/>
    <w:locked/>
    <w:rsid w:val="006856A7"/>
    <w:rPr>
      <w:rFonts w:ascii="Times New Roman" w:eastAsia="Times New Roman" w:hAnsi="Times New Roman" w:cs="Times New Roman"/>
      <w:color w:val="000000"/>
      <w:sz w:val="24"/>
      <w:szCs w:val="24"/>
      <w:lang w:eastAsia="bg-BG"/>
    </w:rPr>
  </w:style>
  <w:style w:type="table" w:customStyle="1" w:styleId="GridTable5Dark-Accent55111">
    <w:name w:val="Grid Table 5 Dark - Accent 55111"/>
    <w:basedOn w:val="TableNormal"/>
    <w:next w:val="TableNormal"/>
    <w:uiPriority w:val="50"/>
    <w:rsid w:val="006856A7"/>
    <w:pPr>
      <w:spacing w:after="0" w:line="240" w:lineRule="auto"/>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NoSpacingChar">
    <w:name w:val="No Spacing Char"/>
    <w:basedOn w:val="DefaultParagraphFont"/>
    <w:link w:val="NoSpacing"/>
    <w:uiPriority w:val="1"/>
    <w:rsid w:val="006856A7"/>
    <w:rPr>
      <w:rFonts w:ascii="Calibri" w:eastAsia="Calibri" w:hAnsi="Calibri" w:cs="Times New Roman"/>
    </w:rPr>
  </w:style>
  <w:style w:type="table" w:customStyle="1" w:styleId="GridTable5Dark-Accent55112">
    <w:name w:val="Grid Table 5 Dark - Accent 55112"/>
    <w:basedOn w:val="TableNormal"/>
    <w:next w:val="GridTable5Dark-Accent5"/>
    <w:uiPriority w:val="50"/>
    <w:rsid w:val="006856A7"/>
    <w:pPr>
      <w:spacing w:after="0" w:line="240" w:lineRule="auto"/>
    </w:pPr>
    <w:rPr>
      <w:rFonts w:ascii="Times New Roman" w:hAnsi="Times New Roman"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5">
    <w:name w:val="Grid Table 5 Dark Accent 5"/>
    <w:basedOn w:val="TableNormal"/>
    <w:uiPriority w:val="50"/>
    <w:rsid w:val="006856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bodyt">
    <w:name w:val="body_t"/>
    <w:basedOn w:val="Normal"/>
    <w:rsid w:val="006856A7"/>
    <w:pPr>
      <w:numPr>
        <w:numId w:val="7"/>
      </w:numPr>
      <w:spacing w:after="0" w:line="300" w:lineRule="atLeast"/>
      <w:jc w:val="both"/>
    </w:pPr>
    <w:rPr>
      <w:rFonts w:ascii="Arial" w:eastAsia="Times New Roman" w:hAnsi="Arial" w:cs="Times New Roman"/>
      <w:sz w:val="24"/>
      <w:szCs w:val="20"/>
    </w:rPr>
  </w:style>
  <w:style w:type="paragraph" w:styleId="BodyTextFirstIndent">
    <w:name w:val="Body Text First Indent"/>
    <w:basedOn w:val="BodyText"/>
    <w:link w:val="BodyTextFirstIndentChar"/>
    <w:uiPriority w:val="99"/>
    <w:semiHidden/>
    <w:unhideWhenUsed/>
    <w:rsid w:val="006856A7"/>
    <w:pPr>
      <w:spacing w:after="200" w:line="276" w:lineRule="auto"/>
      <w:ind w:firstLine="360"/>
    </w:pPr>
    <w:rPr>
      <w:rFonts w:asciiTheme="minorHAnsi" w:eastAsiaTheme="minorHAnsi" w:hAnsiTheme="minorHAnsi" w:cstheme="minorBidi"/>
      <w:bCs w:val="0"/>
      <w:color w:val="auto"/>
      <w:sz w:val="22"/>
      <w:szCs w:val="22"/>
      <w:lang w:eastAsia="en-US"/>
    </w:rPr>
  </w:style>
  <w:style w:type="character" w:customStyle="1" w:styleId="BodyTextFirstIndentChar">
    <w:name w:val="Body Text First Indent Char"/>
    <w:basedOn w:val="BodyTextChar"/>
    <w:link w:val="BodyTextFirstIndent"/>
    <w:uiPriority w:val="99"/>
    <w:semiHidden/>
    <w:rsid w:val="006856A7"/>
    <w:rPr>
      <w:rFonts w:ascii="Times New Roman" w:eastAsia="Times New Roman" w:hAnsi="Times New Roman" w:cs="Times New Roman"/>
      <w:bCs w:val="0"/>
      <w:color w:val="000000"/>
      <w:sz w:val="20"/>
      <w:szCs w:val="24"/>
      <w:lang w:eastAsia="bg-BG"/>
    </w:rPr>
  </w:style>
  <w:style w:type="paragraph" w:customStyle="1" w:styleId="ListParagraph2">
    <w:name w:val="List Paragraph2"/>
    <w:basedOn w:val="Normal"/>
    <w:qFormat/>
    <w:rsid w:val="006856A7"/>
    <w:pPr>
      <w:numPr>
        <w:numId w:val="8"/>
      </w:numPr>
      <w:spacing w:before="120" w:after="0" w:line="360" w:lineRule="auto"/>
      <w:ind w:left="0" w:firstLine="720"/>
      <w:jc w:val="both"/>
    </w:pPr>
    <w:rPr>
      <w:rFonts w:ascii="Verdana" w:eastAsia="Dotum" w:hAnsi="Verdana" w:cs="Arial"/>
      <w:bCs/>
      <w:sz w:val="20"/>
      <w:szCs w:val="20"/>
    </w:rPr>
  </w:style>
  <w:style w:type="character" w:customStyle="1" w:styleId="st">
    <w:name w:val="st"/>
    <w:rsid w:val="006856A7"/>
    <w:rPr>
      <w:rFonts w:cs="Times New Roman"/>
    </w:rPr>
  </w:style>
  <w:style w:type="table" w:customStyle="1" w:styleId="TableGrid3">
    <w:name w:val="Table Grid3"/>
    <w:basedOn w:val="TableNormal"/>
    <w:next w:val="TableGrid"/>
    <w:uiPriority w:val="39"/>
    <w:rsid w:val="006856A7"/>
    <w:pPr>
      <w:spacing w:after="0" w:line="240" w:lineRule="auto"/>
    </w:pPr>
    <w:rPr>
      <w:rFonts w:ascii="Calibri" w:eastAsia="Calibri" w:hAnsi="Calibri"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
    <w:rsid w:val="006856A7"/>
    <w:rPr>
      <w:rFonts w:ascii="Book Antiqua" w:eastAsia="Book Antiqua" w:hAnsi="Book Antiqua" w:cs="Book Antiqua"/>
      <w:b w:val="0"/>
      <w:bCs w:val="0"/>
      <w:i w:val="0"/>
      <w:iCs w:val="0"/>
      <w:smallCaps w:val="0"/>
      <w:strike w:val="0"/>
      <w:color w:val="000000"/>
      <w:spacing w:val="0"/>
      <w:w w:val="100"/>
      <w:position w:val="0"/>
      <w:sz w:val="19"/>
      <w:szCs w:val="19"/>
      <w:u w:val="none"/>
      <w:lang w:val="bg-BG" w:eastAsia="bg-BG" w:bidi="bg-BG"/>
    </w:rPr>
  </w:style>
  <w:style w:type="paragraph" w:customStyle="1" w:styleId="xmsolistparagraph">
    <w:name w:val="x_msolistparagraph"/>
    <w:basedOn w:val="Normal"/>
    <w:rsid w:val="006856A7"/>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1">
    <w:name w:val="Table Grid11"/>
    <w:basedOn w:val="TableNormal"/>
    <w:next w:val="TableGrid"/>
    <w:uiPriority w:val="39"/>
    <w:rsid w:val="006856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8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ен текст (2) + Удебелен"/>
    <w:aliases w:val="Курсив"/>
    <w:basedOn w:val="2"/>
    <w:rsid w:val="006856A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hwtze">
    <w:name w:val="hwtze"/>
    <w:basedOn w:val="DefaultParagraphFont"/>
    <w:rsid w:val="006856A7"/>
  </w:style>
  <w:style w:type="character" w:customStyle="1" w:styleId="rynqvb">
    <w:name w:val="rynqvb"/>
    <w:basedOn w:val="DefaultParagraphFont"/>
    <w:rsid w:val="006856A7"/>
  </w:style>
  <w:style w:type="table" w:customStyle="1" w:styleId="TableGrid12">
    <w:name w:val="Table Grid12"/>
    <w:basedOn w:val="TableNormal"/>
    <w:next w:val="TableGrid"/>
    <w:uiPriority w:val="39"/>
    <w:rsid w:val="006856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8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basedOn w:val="Normal"/>
    <w:rsid w:val="006856A7"/>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3">
    <w:name w:val="Table Grid13"/>
    <w:basedOn w:val="TableNormal"/>
    <w:next w:val="TableGrid"/>
    <w:uiPriority w:val="39"/>
    <w:rsid w:val="005339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3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0">
    <w:name w:val="WWNum10"/>
    <w:rsid w:val="0053392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3880">
      <w:bodyDiv w:val="1"/>
      <w:marLeft w:val="0"/>
      <w:marRight w:val="0"/>
      <w:marTop w:val="0"/>
      <w:marBottom w:val="0"/>
      <w:divBdr>
        <w:top w:val="none" w:sz="0" w:space="0" w:color="auto"/>
        <w:left w:val="none" w:sz="0" w:space="0" w:color="auto"/>
        <w:bottom w:val="none" w:sz="0" w:space="0" w:color="auto"/>
        <w:right w:val="none" w:sz="0" w:space="0" w:color="auto"/>
      </w:divBdr>
    </w:div>
    <w:div w:id="529608170">
      <w:bodyDiv w:val="1"/>
      <w:marLeft w:val="0"/>
      <w:marRight w:val="0"/>
      <w:marTop w:val="0"/>
      <w:marBottom w:val="0"/>
      <w:divBdr>
        <w:top w:val="none" w:sz="0" w:space="0" w:color="auto"/>
        <w:left w:val="none" w:sz="0" w:space="0" w:color="auto"/>
        <w:bottom w:val="none" w:sz="0" w:space="0" w:color="auto"/>
        <w:right w:val="none" w:sz="0" w:space="0" w:color="auto"/>
      </w:divBdr>
    </w:div>
    <w:div w:id="858467172">
      <w:bodyDiv w:val="1"/>
      <w:marLeft w:val="0"/>
      <w:marRight w:val="0"/>
      <w:marTop w:val="0"/>
      <w:marBottom w:val="0"/>
      <w:divBdr>
        <w:top w:val="none" w:sz="0" w:space="0" w:color="auto"/>
        <w:left w:val="none" w:sz="0" w:space="0" w:color="auto"/>
        <w:bottom w:val="none" w:sz="0" w:space="0" w:color="auto"/>
        <w:right w:val="none" w:sz="0" w:space="0" w:color="auto"/>
      </w:divBdr>
    </w:div>
    <w:div w:id="1059133233">
      <w:bodyDiv w:val="1"/>
      <w:marLeft w:val="0"/>
      <w:marRight w:val="0"/>
      <w:marTop w:val="0"/>
      <w:marBottom w:val="0"/>
      <w:divBdr>
        <w:top w:val="none" w:sz="0" w:space="0" w:color="auto"/>
        <w:left w:val="none" w:sz="0" w:space="0" w:color="auto"/>
        <w:bottom w:val="none" w:sz="0" w:space="0" w:color="auto"/>
        <w:right w:val="none" w:sz="0" w:space="0" w:color="auto"/>
      </w:divBdr>
    </w:div>
    <w:div w:id="1110931067">
      <w:bodyDiv w:val="1"/>
      <w:marLeft w:val="0"/>
      <w:marRight w:val="0"/>
      <w:marTop w:val="0"/>
      <w:marBottom w:val="0"/>
      <w:divBdr>
        <w:top w:val="none" w:sz="0" w:space="0" w:color="auto"/>
        <w:left w:val="none" w:sz="0" w:space="0" w:color="auto"/>
        <w:bottom w:val="none" w:sz="0" w:space="0" w:color="auto"/>
        <w:right w:val="none" w:sz="0" w:space="0" w:color="auto"/>
      </w:divBdr>
    </w:div>
    <w:div w:id="1516771538">
      <w:bodyDiv w:val="1"/>
      <w:marLeft w:val="0"/>
      <w:marRight w:val="0"/>
      <w:marTop w:val="0"/>
      <w:marBottom w:val="0"/>
      <w:divBdr>
        <w:top w:val="none" w:sz="0" w:space="0" w:color="auto"/>
        <w:left w:val="none" w:sz="0" w:space="0" w:color="auto"/>
        <w:bottom w:val="none" w:sz="0" w:space="0" w:color="auto"/>
        <w:right w:val="none" w:sz="0" w:space="0" w:color="auto"/>
      </w:divBdr>
    </w:div>
    <w:div w:id="1757943430">
      <w:bodyDiv w:val="1"/>
      <w:marLeft w:val="0"/>
      <w:marRight w:val="0"/>
      <w:marTop w:val="0"/>
      <w:marBottom w:val="0"/>
      <w:divBdr>
        <w:top w:val="none" w:sz="0" w:space="0" w:color="auto"/>
        <w:left w:val="none" w:sz="0" w:space="0" w:color="auto"/>
        <w:bottom w:val="none" w:sz="0" w:space="0" w:color="auto"/>
        <w:right w:val="none" w:sz="0" w:space="0" w:color="auto"/>
      </w:divBdr>
    </w:div>
    <w:div w:id="1954558194">
      <w:bodyDiv w:val="1"/>
      <w:marLeft w:val="0"/>
      <w:marRight w:val="0"/>
      <w:marTop w:val="0"/>
      <w:marBottom w:val="0"/>
      <w:divBdr>
        <w:top w:val="none" w:sz="0" w:space="0" w:color="auto"/>
        <w:left w:val="none" w:sz="0" w:space="0" w:color="auto"/>
        <w:bottom w:val="none" w:sz="0" w:space="0" w:color="auto"/>
        <w:right w:val="none" w:sz="0" w:space="0" w:color="auto"/>
      </w:divBdr>
    </w:div>
    <w:div w:id="207207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13.xml"/><Relationship Id="rId21" Type="http://schemas.openxmlformats.org/officeDocument/2006/relationships/chart" Target="charts/chart5.xml"/><Relationship Id="rId34" Type="http://schemas.openxmlformats.org/officeDocument/2006/relationships/hyperlink" Target="http://www.spasidete.bg/" TargetMode="External"/><Relationship Id="rId42" Type="http://schemas.openxmlformats.org/officeDocument/2006/relationships/hyperlink" Target="https://justedu2020.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hyperlink" Target="https://doi.org/10.3390/children11081016" TargetMode="External"/><Relationship Id="rId37" Type="http://schemas.openxmlformats.org/officeDocument/2006/relationships/hyperlink" Target="https://ec.europa.eu/info/food-farming-fisheries/food-safety-and-quality/certification/quality-labels/geographical-indications-register/" TargetMode="External"/><Relationship Id="rId40" Type="http://schemas.openxmlformats.org/officeDocument/2006/relationships/chart" Target="charts/chart1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www.gdbop.bg" TargetMode="Externa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yperlink" Target="http://www.cybercrime.bg"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javascript:if%20(parent.name=='actual')%20%7btop.history.go(-1)%7d%20else%20%7bhistory.go(-1)%7d" TargetMode="External"/><Relationship Id="rId33" Type="http://schemas.openxmlformats.org/officeDocument/2006/relationships/hyperlink" Target="https://sacp.kontrax.bg" TargetMode="External"/><Relationship Id="rId38" Type="http://schemas.openxmlformats.org/officeDocument/2006/relationships/hyperlink" Target="http://eea.government.bg/kav" TargetMode="External"/><Relationship Id="rId46"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s://mlsp.government.bg/deinstitutsionalizatsiya-na-grizhata-za-vzrastni-khora-i-khora-s-uvrezhdaniy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si.bg/sites/default/files/files/pressreleases/HBS2023_G2ERE8T.pdf" TargetMode="External"/><Relationship Id="rId2" Type="http://schemas.openxmlformats.org/officeDocument/2006/relationships/hyperlink" Target="https://www.nsi.bg/press-release/obrazovanie-v-republika-balgariya-2024-2025-uchebna-godina-7896" TargetMode="External"/><Relationship Id="rId1" Type="http://schemas.openxmlformats.org/officeDocument/2006/relationships/hyperlink" Target="https://ec.europa.eu/eurostat/databrowser/view/tps00005/default/table?lang=en&amp;category=t_demo.t_demo_ind" TargetMode="External"/><Relationship Id="rId4" Type="http://schemas.openxmlformats.org/officeDocument/2006/relationships/hyperlink" Target="http://www.nsi.bg/sites/default/files/files/data/timeseries/HICP_2.5.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50138549754454E-2"/>
          <c:y val="0.10232648002333042"/>
          <c:w val="0.8798809295179566"/>
          <c:h val="0.74430956547098281"/>
        </c:manualLayout>
      </c:layout>
      <c:barChart>
        <c:barDir val="col"/>
        <c:grouping val="clustered"/>
        <c:varyColors val="0"/>
        <c:ser>
          <c:idx val="0"/>
          <c:order val="0"/>
          <c:tx>
            <c:strRef>
              <c:f>ф6!$B$3</c:f>
              <c:strCache>
                <c:ptCount val="1"/>
                <c:pt idx="0">
                  <c:v>живородени</c:v>
                </c:pt>
              </c:strCache>
            </c:strRef>
          </c:tx>
          <c:invertIfNegative val="0"/>
          <c:cat>
            <c:numRef>
              <c:f>ф6!$A$4:$A$41</c:f>
              <c:numCache>
                <c:formatCode>General</c:formatCode>
                <c:ptCount val="38"/>
                <c:pt idx="0">
                  <c:v>1920</c:v>
                </c:pt>
                <c:pt idx="1">
                  <c:v>1930</c:v>
                </c:pt>
                <c:pt idx="2">
                  <c:v>1940</c:v>
                </c:pt>
                <c:pt idx="3">
                  <c:v>1950</c:v>
                </c:pt>
                <c:pt idx="4">
                  <c:v>1960</c:v>
                </c:pt>
                <c:pt idx="5">
                  <c:v>1970</c:v>
                </c:pt>
                <c:pt idx="6">
                  <c:v>1980</c:v>
                </c:pt>
                <c:pt idx="7">
                  <c:v>1985</c:v>
                </c:pt>
                <c:pt idx="8">
                  <c:v>1990</c:v>
                </c:pt>
                <c:pt idx="9">
                  <c:v>1995</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pt idx="36">
                  <c:v>2023</c:v>
                </c:pt>
                <c:pt idx="37">
                  <c:v>2024</c:v>
                </c:pt>
              </c:numCache>
            </c:numRef>
          </c:cat>
          <c:val>
            <c:numRef>
              <c:f>ф6!$B$4:$B$41</c:f>
              <c:numCache>
                <c:formatCode>General</c:formatCode>
                <c:ptCount val="38"/>
                <c:pt idx="0">
                  <c:v>192665</c:v>
                </c:pt>
                <c:pt idx="1">
                  <c:v>179973</c:v>
                </c:pt>
                <c:pt idx="2">
                  <c:v>140564</c:v>
                </c:pt>
                <c:pt idx="3">
                  <c:v>182571</c:v>
                </c:pt>
                <c:pt idx="4">
                  <c:v>140082</c:v>
                </c:pt>
                <c:pt idx="5">
                  <c:v>138745</c:v>
                </c:pt>
                <c:pt idx="6">
                  <c:v>128190</c:v>
                </c:pt>
                <c:pt idx="7">
                  <c:v>118955</c:v>
                </c:pt>
                <c:pt idx="8">
                  <c:v>105180</c:v>
                </c:pt>
                <c:pt idx="9">
                  <c:v>71967</c:v>
                </c:pt>
                <c:pt idx="10">
                  <c:v>64125</c:v>
                </c:pt>
                <c:pt idx="11">
                  <c:v>65361</c:v>
                </c:pt>
                <c:pt idx="12">
                  <c:v>72291</c:v>
                </c:pt>
                <c:pt idx="13">
                  <c:v>73679</c:v>
                </c:pt>
                <c:pt idx="14">
                  <c:v>68180</c:v>
                </c:pt>
                <c:pt idx="15">
                  <c:v>66499</c:v>
                </c:pt>
                <c:pt idx="16">
                  <c:v>67359</c:v>
                </c:pt>
                <c:pt idx="17">
                  <c:v>69886</c:v>
                </c:pt>
                <c:pt idx="18">
                  <c:v>71075</c:v>
                </c:pt>
                <c:pt idx="19">
                  <c:v>73978</c:v>
                </c:pt>
                <c:pt idx="20">
                  <c:v>75349</c:v>
                </c:pt>
                <c:pt idx="21">
                  <c:v>77712</c:v>
                </c:pt>
                <c:pt idx="22">
                  <c:v>80956</c:v>
                </c:pt>
                <c:pt idx="23">
                  <c:v>75513</c:v>
                </c:pt>
                <c:pt idx="24">
                  <c:v>70846</c:v>
                </c:pt>
                <c:pt idx="25">
                  <c:v>69121</c:v>
                </c:pt>
                <c:pt idx="26">
                  <c:v>66578</c:v>
                </c:pt>
                <c:pt idx="27">
                  <c:v>67585</c:v>
                </c:pt>
                <c:pt idx="28">
                  <c:v>65950</c:v>
                </c:pt>
                <c:pt idx="29">
                  <c:v>64984</c:v>
                </c:pt>
                <c:pt idx="30">
                  <c:v>63955</c:v>
                </c:pt>
                <c:pt idx="31">
                  <c:v>62197</c:v>
                </c:pt>
                <c:pt idx="32">
                  <c:v>61538</c:v>
                </c:pt>
                <c:pt idx="33" formatCode="#,##0">
                  <c:v>59086</c:v>
                </c:pt>
                <c:pt idx="34" formatCode="#,##0">
                  <c:v>58678</c:v>
                </c:pt>
                <c:pt idx="35" formatCode="#,##0">
                  <c:v>56596</c:v>
                </c:pt>
                <c:pt idx="36" formatCode="#,##0">
                  <c:v>57197</c:v>
                </c:pt>
                <c:pt idx="37" formatCode="#,##0">
                  <c:v>53428</c:v>
                </c:pt>
              </c:numCache>
            </c:numRef>
          </c:val>
          <c:extLst>
            <c:ext xmlns:c16="http://schemas.microsoft.com/office/drawing/2014/chart" uri="{C3380CC4-5D6E-409C-BE32-E72D297353CC}">
              <c16:uniqueId val="{00000000-CA5E-4AF3-BD74-2A82A1C82215}"/>
            </c:ext>
          </c:extLst>
        </c:ser>
        <c:dLbls>
          <c:showLegendKey val="0"/>
          <c:showVal val="0"/>
          <c:showCatName val="0"/>
          <c:showSerName val="0"/>
          <c:showPercent val="0"/>
          <c:showBubbleSize val="0"/>
        </c:dLbls>
        <c:gapWidth val="88"/>
        <c:axId val="1836215712"/>
        <c:axId val="1"/>
      </c:barChart>
      <c:catAx>
        <c:axId val="1836215712"/>
        <c:scaling>
          <c:orientation val="minMax"/>
        </c:scaling>
        <c:delete val="0"/>
        <c:axPos val="b"/>
        <c:numFmt formatCode="General" sourceLinked="1"/>
        <c:majorTickMark val="none"/>
        <c:minorTickMark val="none"/>
        <c:tickLblPos val="nextTo"/>
        <c:txPr>
          <a:bodyPr rot="-5400000" vert="horz"/>
          <a:lstStyle/>
          <a:p>
            <a:pPr>
              <a:defRPr sz="800"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spPr>
            <a:ln>
              <a:solidFill>
                <a:schemeClr val="bg1">
                  <a:lumMod val="75000"/>
                </a:schemeClr>
              </a:solidFill>
            </a:ln>
          </c:spPr>
        </c:majorGridlines>
        <c:title>
          <c:tx>
            <c:rich>
              <a:bodyPr rot="0" vert="horz"/>
              <a:lstStyle/>
              <a:p>
                <a:pPr algn="ctr">
                  <a:defRPr sz="900" b="0" i="0" u="none" strike="noStrike" baseline="0">
                    <a:solidFill>
                      <a:srgbClr val="000000"/>
                    </a:solidFill>
                    <a:latin typeface="Times New Roman"/>
                    <a:ea typeface="Times New Roman"/>
                    <a:cs typeface="Times New Roman"/>
                  </a:defRPr>
                </a:pPr>
                <a:r>
                  <a:rPr lang="bg-BG"/>
                  <a:t>Брой</a:t>
                </a:r>
              </a:p>
            </c:rich>
          </c:tx>
          <c:layout>
            <c:manualLayout>
              <c:xMode val="edge"/>
              <c:yMode val="edge"/>
              <c:x val="8.4622904723974185E-2"/>
              <c:y val="1.8134364783349451E-2"/>
            </c:manualLayout>
          </c:layout>
          <c:overlay val="0"/>
        </c:title>
        <c:numFmt formatCode="General" sourceLinked="1"/>
        <c:majorTickMark val="none"/>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bg-BG"/>
          </a:p>
        </c:txPr>
        <c:crossAx val="1836215712"/>
        <c:crosses val="autoZero"/>
        <c:crossBetween val="between"/>
      </c:valAx>
      <c:spPr>
        <a:noFill/>
        <a:ln>
          <a:noFill/>
        </a:ln>
      </c:spPr>
    </c:plotArea>
    <c:plotVisOnly val="1"/>
    <c:dispBlanksAs val="gap"/>
    <c:showDLblsOverMax val="0"/>
  </c:chart>
  <c:spPr>
    <a:solidFill>
      <a:schemeClr val="bg1"/>
    </a:solidFill>
    <a:ln>
      <a:noFill/>
    </a:ln>
  </c:spPr>
  <c:txPr>
    <a:bodyPr/>
    <a:lstStyle/>
    <a:p>
      <a:pPr>
        <a:defRPr sz="9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sz="1000">
                <a:latin typeface="Times New Roman" panose="02020603050405020304" pitchFamily="18" charset="0"/>
                <a:ea typeface="Verdana" panose="020B0604030504040204" pitchFamily="34" charset="0"/>
                <a:cs typeface="Times New Roman" panose="02020603050405020304" pitchFamily="18" charset="0"/>
              </a:rPr>
              <a:t>Средна възраст </a:t>
            </a:r>
          </a:p>
        </c:rich>
      </c:tx>
      <c:layout>
        <c:manualLayout>
          <c:xMode val="edge"/>
          <c:yMode val="edge"/>
          <c:x val="1.3768313885094979E-2"/>
          <c:y val="2.4096385542168676E-2"/>
        </c:manualLayout>
      </c:layout>
      <c:overlay val="0"/>
      <c:spPr>
        <a:noFill/>
        <a:ln w="25400">
          <a:noFill/>
        </a:ln>
      </c:spPr>
    </c:title>
    <c:autoTitleDeleted val="0"/>
    <c:plotArea>
      <c:layout/>
      <c:barChart>
        <c:barDir val="col"/>
        <c:grouping val="clustered"/>
        <c:varyColors val="0"/>
        <c:ser>
          <c:idx val="0"/>
          <c:order val="0"/>
          <c:tx>
            <c:strRef>
              <c:f>ф3!$B$1</c:f>
              <c:strCache>
                <c:ptCount val="1"/>
                <c:pt idx="0">
                  <c:v>Средна възраст </c:v>
                </c:pt>
              </c:strCache>
            </c:strRef>
          </c:tx>
          <c:spPr>
            <a:solidFill>
              <a:srgbClr val="4F81BD"/>
            </a:solidFill>
            <a:ln w="25400">
              <a:noFill/>
            </a:ln>
          </c:spPr>
          <c:invertIfNegative val="0"/>
          <c:dLbls>
            <c:spPr>
              <a:solidFill>
                <a:schemeClr val="bg1"/>
              </a:solidFill>
              <a:ln w="25400">
                <a:solidFill>
                  <a:schemeClr val="bg2"/>
                </a:solid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ф3!$A$2:$A$18</c:f>
              <c:numCache>
                <c:formatCode>General</c:formatCode>
                <c:ptCount val="17"/>
                <c:pt idx="0">
                  <c:v>2001</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ф3!$B$2:$B$18</c:f>
              <c:numCache>
                <c:formatCode>0.0</c:formatCode>
                <c:ptCount val="17"/>
                <c:pt idx="0">
                  <c:v>40.4</c:v>
                </c:pt>
                <c:pt idx="1">
                  <c:v>41.2</c:v>
                </c:pt>
                <c:pt idx="2">
                  <c:v>41.9</c:v>
                </c:pt>
                <c:pt idx="3">
                  <c:v>42.7</c:v>
                </c:pt>
                <c:pt idx="4">
                  <c:v>42.8</c:v>
                </c:pt>
                <c:pt idx="5">
                  <c:v>43</c:v>
                </c:pt>
                <c:pt idx="6">
                  <c:v>43.2</c:v>
                </c:pt>
                <c:pt idx="7">
                  <c:v>43.3</c:v>
                </c:pt>
                <c:pt idx="8">
                  <c:v>43.5</c:v>
                </c:pt>
                <c:pt idx="9">
                  <c:v>43.6</c:v>
                </c:pt>
                <c:pt idx="10">
                  <c:v>43.8</c:v>
                </c:pt>
                <c:pt idx="11">
                  <c:v>43.9</c:v>
                </c:pt>
                <c:pt idx="12">
                  <c:v>44</c:v>
                </c:pt>
                <c:pt idx="13">
                  <c:v>44.1</c:v>
                </c:pt>
                <c:pt idx="14">
                  <c:v>45.2</c:v>
                </c:pt>
                <c:pt idx="15">
                  <c:v>45.2</c:v>
                </c:pt>
                <c:pt idx="16">
                  <c:v>45.3</c:v>
                </c:pt>
              </c:numCache>
            </c:numRef>
          </c:val>
          <c:extLst>
            <c:ext xmlns:c16="http://schemas.microsoft.com/office/drawing/2014/chart" uri="{C3380CC4-5D6E-409C-BE32-E72D297353CC}">
              <c16:uniqueId val="{00000000-65ED-4403-801E-58F799A09C63}"/>
            </c:ext>
          </c:extLst>
        </c:ser>
        <c:dLbls>
          <c:showLegendKey val="0"/>
          <c:showVal val="0"/>
          <c:showCatName val="0"/>
          <c:showSerName val="0"/>
          <c:showPercent val="0"/>
          <c:showBubbleSize val="0"/>
        </c:dLbls>
        <c:gapWidth val="219"/>
        <c:overlap val="-27"/>
        <c:axId val="287881263"/>
        <c:axId val="1"/>
      </c:barChart>
      <c:catAx>
        <c:axId val="28788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bg-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bg-BG"/>
          </a:p>
        </c:txPr>
        <c:crossAx val="287881263"/>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8.1577216641023326E-2"/>
          <c:w val="0.83823381452318457"/>
          <c:h val="0.74650345430959064"/>
        </c:manualLayout>
      </c:layout>
      <c:barChart>
        <c:barDir val="bar"/>
        <c:grouping val="percentStacked"/>
        <c:varyColors val="0"/>
        <c:ser>
          <c:idx val="1"/>
          <c:order val="0"/>
          <c:tx>
            <c:strRef>
              <c:f>'[Chart in Microsoft Word]т1'!$B$19</c:f>
              <c:strCache>
                <c:ptCount val="1"/>
                <c:pt idx="0">
                  <c:v>Под трудоспособна </c:v>
                </c:pt>
              </c:strCache>
            </c:strRef>
          </c:tx>
          <c:spPr>
            <a:solidFill>
              <a:schemeClr val="accent1"/>
            </a:solidFill>
          </c:spPr>
          <c:invertIfNegative val="0"/>
          <c:dLbls>
            <c:dLbl>
              <c:idx val="0"/>
              <c:layout>
                <c:manualLayout>
                  <c:x val="-2.57400257400257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D4-4DA0-8E26-9EEA7AEB7B4F}"/>
                </c:ext>
              </c:extLst>
            </c:dLbl>
            <c:dLbl>
              <c:idx val="1"/>
              <c:layout>
                <c:manualLayout>
                  <c:x val="-1.7820017820017839E-2"/>
                  <c:y val="-3.599712023038157E-3"/>
                </c:manualLayout>
              </c:layout>
              <c:spPr>
                <a:noFill/>
              </c:spPr>
              <c:txPr>
                <a:bodyPr wrap="square" lIns="38100" tIns="19050" rIns="38100" bIns="19050" anchor="ctr">
                  <a:noAutofit/>
                </a:bodyPr>
                <a:lstStyle/>
                <a:p>
                  <a:pPr>
                    <a:defRPr sz="900" b="0" i="0" u="none" strike="noStrike" baseline="0">
                      <a:solidFill>
                        <a:sysClr val="windowText" lastClr="000000"/>
                      </a:solidFill>
                      <a:latin typeface="Times New Roman"/>
                      <a:ea typeface="Times New Roman"/>
                      <a:cs typeface="Times New Roman"/>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4.6530046530046533E-2"/>
                      <c:h val="4.4996400287976961E-2"/>
                    </c:manualLayout>
                  </c15:layout>
                </c:ext>
                <c:ext xmlns:c16="http://schemas.microsoft.com/office/drawing/2014/chart" uri="{C3380CC4-5D6E-409C-BE32-E72D297353CC}">
                  <c16:uniqueId val="{00000001-90D4-4DA0-8E26-9EEA7AEB7B4F}"/>
                </c:ext>
              </c:extLst>
            </c:dLbl>
            <c:spPr>
              <a:noFill/>
            </c:spPr>
            <c:txPr>
              <a:bodyPr wrap="square" lIns="38100" tIns="19050" rIns="38100" bIns="19050" anchor="ctr">
                <a:spAutoFit/>
              </a:bodyPr>
              <a:lstStyle/>
              <a:p>
                <a:pPr>
                  <a:defRPr sz="900" b="0" i="0" u="none" strike="noStrike" baseline="0">
                    <a:solidFill>
                      <a:sysClr val="windowText" lastClr="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'[Chart in Microsoft Word]т1'!$B$20:$B$37</c:f>
              <c:numCache>
                <c:formatCode>0.0</c:formatCode>
                <c:ptCount val="18"/>
                <c:pt idx="0">
                  <c:v>21.6</c:v>
                </c:pt>
                <c:pt idx="1">
                  <c:v>19.100000000000001</c:v>
                </c:pt>
                <c:pt idx="2">
                  <c:v>14.8</c:v>
                </c:pt>
                <c:pt idx="3">
                  <c:v>14.6</c:v>
                </c:pt>
                <c:pt idx="4">
                  <c:v>14.3</c:v>
                </c:pt>
                <c:pt idx="5">
                  <c:v>14.4</c:v>
                </c:pt>
                <c:pt idx="6">
                  <c:v>14.6</c:v>
                </c:pt>
                <c:pt idx="7">
                  <c:v>14.8</c:v>
                </c:pt>
                <c:pt idx="8">
                  <c:v>14.9</c:v>
                </c:pt>
                <c:pt idx="9">
                  <c:v>15</c:v>
                </c:pt>
                <c:pt idx="10">
                  <c:v>15.120395164051692</c:v>
                </c:pt>
                <c:pt idx="11">
                  <c:v>15.24437220992626</c:v>
                </c:pt>
                <c:pt idx="12" formatCode="General">
                  <c:v>15.3</c:v>
                </c:pt>
                <c:pt idx="13" formatCode="General">
                  <c:v>15.4</c:v>
                </c:pt>
                <c:pt idx="14" formatCode="General">
                  <c:v>15.5</c:v>
                </c:pt>
                <c:pt idx="15" formatCode="General">
                  <c:v>15.2</c:v>
                </c:pt>
                <c:pt idx="16">
                  <c:v>15.164376405732947</c:v>
                </c:pt>
                <c:pt idx="17" formatCode="General">
                  <c:v>15.1</c:v>
                </c:pt>
              </c:numCache>
            </c:numRef>
          </c:val>
          <c:extLst>
            <c:ext xmlns:c16="http://schemas.microsoft.com/office/drawing/2014/chart" uri="{C3380CC4-5D6E-409C-BE32-E72D297353CC}">
              <c16:uniqueId val="{00000002-90D4-4DA0-8E26-9EEA7AEB7B4F}"/>
            </c:ext>
          </c:extLst>
        </c:ser>
        <c:ser>
          <c:idx val="2"/>
          <c:order val="1"/>
          <c:tx>
            <c:strRef>
              <c:f>'[Chart in Microsoft Word]т1'!$C$19</c:f>
              <c:strCache>
                <c:ptCount val="1"/>
                <c:pt idx="0">
                  <c:v>В трудоспособна</c:v>
                </c:pt>
              </c:strCache>
            </c:strRef>
          </c:tx>
          <c:spPr>
            <a:solidFill>
              <a:schemeClr val="accent1">
                <a:lumMod val="40000"/>
                <a:lumOff val="60000"/>
              </a:schemeClr>
            </a:solidFill>
          </c:spPr>
          <c:invertIfNegative val="0"/>
          <c:dLbls>
            <c:dLbl>
              <c:idx val="0"/>
              <c:layout>
                <c:manualLayout>
                  <c:x val="-3.7910489878993814E-2"/>
                  <c:y val="-3.831284048457226E-3"/>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D4-4DA0-8E26-9EEA7AEB7B4F}"/>
                </c:ext>
              </c:extLst>
            </c:dLbl>
            <c:dLbl>
              <c:idx val="1"/>
              <c:layout>
                <c:manualLayout>
                  <c:x val="-1.7820017820017891E-2"/>
                  <c:y val="0"/>
                </c:manualLayout>
              </c:layout>
              <c:spPr>
                <a:noFill/>
                <a:ln w="25400">
                  <a:noFill/>
                </a:ln>
              </c:spPr>
              <c:txPr>
                <a:bodyPr wrap="square" lIns="38100" tIns="19050" rIns="38100" bIns="19050" anchor="ctr">
                  <a:noAutofit/>
                </a:bodyPr>
                <a:lstStyle/>
                <a:p>
                  <a:pPr>
                    <a:defRPr sz="9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4.6530046530046533E-2"/>
                      <c:h val="4.4996400287976961E-2"/>
                    </c:manualLayout>
                  </c15:layout>
                </c:ext>
                <c:ext xmlns:c16="http://schemas.microsoft.com/office/drawing/2014/chart" uri="{C3380CC4-5D6E-409C-BE32-E72D297353CC}">
                  <c16:uniqueId val="{00000004-90D4-4DA0-8E26-9EEA7AEB7B4F}"/>
                </c:ext>
              </c:extLst>
            </c:dLbl>
            <c:dLbl>
              <c:idx val="2"/>
              <c:layout>
                <c:manualLayout>
                  <c:x val="-8.3073727933541015E-3"/>
                  <c:y val="-1.4048369001953096E-16"/>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D4-4DA0-8E26-9EEA7AEB7B4F}"/>
                </c:ext>
              </c:extLst>
            </c:dLbl>
            <c:dLbl>
              <c:idx val="3"/>
              <c:layout>
                <c:manualLayout>
                  <c:x val="-6.2305295950157288E-3"/>
                  <c:y val="0"/>
                </c:manualLayout>
              </c:layout>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bg-BG"/>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D4-4DA0-8E26-9EEA7AEB7B4F}"/>
                </c:ext>
              </c:extLst>
            </c:dLbl>
            <c:dLbl>
              <c:idx val="15"/>
              <c:layout>
                <c:manualLayout>
                  <c:x val="7.92000792000792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D4-4DA0-8E26-9EEA7AEB7B4F}"/>
                </c:ext>
              </c:extLst>
            </c:dLbl>
            <c:dLbl>
              <c:idx val="16"/>
              <c:layout>
                <c:manualLayout>
                  <c:x val="9.90000990000989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D4-4DA0-8E26-9EEA7AEB7B4F}"/>
                </c:ext>
              </c:extLst>
            </c:dLbl>
            <c:dLbl>
              <c:idx val="17"/>
              <c:layout>
                <c:manualLayout>
                  <c:x val="1.1880011880011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D4-4DA0-8E26-9EEA7AEB7B4F}"/>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'[Chart in Microsoft Word]т1'!$C$20:$C$37</c:f>
              <c:numCache>
                <c:formatCode>0.0</c:formatCode>
                <c:ptCount val="18"/>
                <c:pt idx="0">
                  <c:v>55.5</c:v>
                </c:pt>
                <c:pt idx="1">
                  <c:v>56.6</c:v>
                </c:pt>
                <c:pt idx="2">
                  <c:v>62.4</c:v>
                </c:pt>
                <c:pt idx="3">
                  <c:v>62.7</c:v>
                </c:pt>
                <c:pt idx="4">
                  <c:v>61.7</c:v>
                </c:pt>
                <c:pt idx="5">
                  <c:v>61.8</c:v>
                </c:pt>
                <c:pt idx="6">
                  <c:v>61.7</c:v>
                </c:pt>
                <c:pt idx="7">
                  <c:v>61.1</c:v>
                </c:pt>
                <c:pt idx="8">
                  <c:v>60.8</c:v>
                </c:pt>
                <c:pt idx="9">
                  <c:v>60.6</c:v>
                </c:pt>
                <c:pt idx="10">
                  <c:v>60.262163274673561</c:v>
                </c:pt>
                <c:pt idx="11">
                  <c:v>60.012651358085293</c:v>
                </c:pt>
                <c:pt idx="12" formatCode="General">
                  <c:v>59.8</c:v>
                </c:pt>
                <c:pt idx="13" formatCode="General">
                  <c:v>59.8</c:v>
                </c:pt>
                <c:pt idx="14" formatCode="General">
                  <c:v>60.1</c:v>
                </c:pt>
                <c:pt idx="15" formatCode="General">
                  <c:v>58.5</c:v>
                </c:pt>
                <c:pt idx="16">
                  <c:v>58.481655597154038</c:v>
                </c:pt>
                <c:pt idx="17" formatCode="General">
                  <c:v>58.5</c:v>
                </c:pt>
              </c:numCache>
            </c:numRef>
          </c:val>
          <c:extLst>
            <c:ext xmlns:c16="http://schemas.microsoft.com/office/drawing/2014/chart" uri="{C3380CC4-5D6E-409C-BE32-E72D297353CC}">
              <c16:uniqueId val="{0000000A-90D4-4DA0-8E26-9EEA7AEB7B4F}"/>
            </c:ext>
          </c:extLst>
        </c:ser>
        <c:ser>
          <c:idx val="3"/>
          <c:order val="2"/>
          <c:tx>
            <c:strRef>
              <c:f>'[Chart in Microsoft Word]т1'!$D$19</c:f>
              <c:strCache>
                <c:ptCount val="1"/>
                <c:pt idx="0">
                  <c:v>Над трудоспособна</c:v>
                </c:pt>
              </c:strCache>
            </c:strRef>
          </c:tx>
          <c:spPr>
            <a:solidFill>
              <a:schemeClr val="accent1">
                <a:lumMod val="20000"/>
                <a:lumOff val="80000"/>
              </a:schemeClr>
            </a:solidFill>
          </c:spPr>
          <c:invertIfNegative val="0"/>
          <c:dLbls>
            <c:dLbl>
              <c:idx val="0"/>
              <c:layout>
                <c:manualLayout>
                  <c:x val="-5.9400059400059402E-3"/>
                  <c:y val="-7.199424046076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D4-4DA0-8E26-9EEA7AEB7B4F}"/>
                </c:ext>
              </c:extLst>
            </c:dLbl>
            <c:dLbl>
              <c:idx val="2"/>
              <c:layout>
                <c:manualLayout>
                  <c:x val="-5.94000594000594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D4-4DA0-8E26-9EEA7AEB7B4F}"/>
                </c:ext>
              </c:extLst>
            </c:dLbl>
            <c:dLbl>
              <c:idx val="3"/>
              <c:layout>
                <c:manualLayout>
                  <c:x val="-7.9200079200079203E-3"/>
                  <c:y val="-1.319879161090625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D4-4DA0-8E26-9EEA7AEB7B4F}"/>
                </c:ext>
              </c:extLst>
            </c:dLbl>
            <c:dLbl>
              <c:idx val="15"/>
              <c:layout>
                <c:manualLayout>
                  <c:x val="7.92000792000792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D4-4DA0-8E26-9EEA7AEB7B4F}"/>
                </c:ext>
              </c:extLst>
            </c:dLbl>
            <c:dLbl>
              <c:idx val="16"/>
              <c:layout>
                <c:manualLayout>
                  <c:x val="7.92000792000777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D4-4DA0-8E26-9EEA7AEB7B4F}"/>
                </c:ext>
              </c:extLst>
            </c:dLbl>
            <c:dLbl>
              <c:idx val="17"/>
              <c:layout>
                <c:manualLayout>
                  <c:x val="5.94000594000594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D4-4DA0-8E26-9EEA7AEB7B4F}"/>
                </c:ext>
              </c:extLst>
            </c:dLbl>
            <c:spPr>
              <a:noFill/>
              <a:ln w="25400">
                <a:noFill/>
              </a:ln>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Word]т1'!$A$20:$A$37</c:f>
              <c:numCache>
                <c:formatCode>General</c:formatCode>
                <c:ptCount val="18"/>
                <c:pt idx="0">
                  <c:v>1990</c:v>
                </c:pt>
                <c:pt idx="1">
                  <c:v>1995</c:v>
                </c:pt>
                <c:pt idx="2">
                  <c:v>2005</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'[Chart in Microsoft Word]т1'!$D$20:$D$37</c:f>
              <c:numCache>
                <c:formatCode>0.0</c:formatCode>
                <c:ptCount val="18"/>
                <c:pt idx="0">
                  <c:v>22.9</c:v>
                </c:pt>
                <c:pt idx="1">
                  <c:v>24.3</c:v>
                </c:pt>
                <c:pt idx="2">
                  <c:v>22.8</c:v>
                </c:pt>
                <c:pt idx="3">
                  <c:v>22.7</c:v>
                </c:pt>
                <c:pt idx="4">
                  <c:v>24</c:v>
                </c:pt>
                <c:pt idx="5">
                  <c:v>23.8</c:v>
                </c:pt>
                <c:pt idx="6">
                  <c:v>23.7</c:v>
                </c:pt>
                <c:pt idx="7">
                  <c:v>24.1</c:v>
                </c:pt>
                <c:pt idx="8">
                  <c:v>24.3</c:v>
                </c:pt>
                <c:pt idx="9">
                  <c:v>24.4</c:v>
                </c:pt>
                <c:pt idx="10">
                  <c:v>24.617441561274738</c:v>
                </c:pt>
                <c:pt idx="11">
                  <c:v>24.8</c:v>
                </c:pt>
                <c:pt idx="12" formatCode="General">
                  <c:v>24.9</c:v>
                </c:pt>
                <c:pt idx="13" formatCode="General">
                  <c:v>24.8</c:v>
                </c:pt>
                <c:pt idx="14" formatCode="General">
                  <c:v>24.4</c:v>
                </c:pt>
                <c:pt idx="15" formatCode="General">
                  <c:v>26.3</c:v>
                </c:pt>
                <c:pt idx="16">
                  <c:v>26.3</c:v>
                </c:pt>
                <c:pt idx="17">
                  <c:v>26.353967997113013</c:v>
                </c:pt>
              </c:numCache>
            </c:numRef>
          </c:val>
          <c:extLst>
            <c:ext xmlns:c16="http://schemas.microsoft.com/office/drawing/2014/chart" uri="{C3380CC4-5D6E-409C-BE32-E72D297353CC}">
              <c16:uniqueId val="{00000011-90D4-4DA0-8E26-9EEA7AEB7B4F}"/>
            </c:ext>
          </c:extLst>
        </c:ser>
        <c:dLbls>
          <c:showLegendKey val="0"/>
          <c:showVal val="0"/>
          <c:showCatName val="0"/>
          <c:showSerName val="0"/>
          <c:showPercent val="0"/>
          <c:showBubbleSize val="0"/>
        </c:dLbls>
        <c:gapWidth val="72"/>
        <c:overlap val="100"/>
        <c:axId val="1792236736"/>
        <c:axId val="1"/>
      </c:barChart>
      <c:catAx>
        <c:axId val="1792236736"/>
        <c:scaling>
          <c:orientation val="minMax"/>
        </c:scaling>
        <c:delete val="0"/>
        <c:axPos val="l"/>
        <c:title>
          <c:tx>
            <c:rich>
              <a:bodyPr rot="0" vert="horz"/>
              <a:lstStyle/>
              <a:p>
                <a:pPr algn="ctr">
                  <a:defRPr sz="1100" b="0" i="0" u="none" strike="noStrike" baseline="0">
                    <a:solidFill>
                      <a:srgbClr val="000000"/>
                    </a:solidFill>
                    <a:latin typeface="Times New Roman"/>
                    <a:ea typeface="Times New Roman"/>
                    <a:cs typeface="Times New Roman"/>
                  </a:defRPr>
                </a:pPr>
                <a:r>
                  <a:rPr lang="bg-BG"/>
                  <a:t>Години</a:t>
                </a:r>
              </a:p>
            </c:rich>
          </c:tx>
          <c:layout>
            <c:manualLayout>
              <c:xMode val="edge"/>
              <c:yMode val="edge"/>
              <c:x val="4.776742846168619E-2"/>
              <c:y val="6.5412656751239427E-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b"/>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1792236736"/>
        <c:crosses val="autoZero"/>
        <c:crossBetween val="between"/>
      </c:valAx>
    </c:plotArea>
    <c:legend>
      <c:legendPos val="b"/>
      <c:overlay val="0"/>
      <c:txPr>
        <a:bodyPr/>
        <a:lstStyle/>
        <a:p>
          <a:pPr>
            <a:defRPr sz="800"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0507436570429"/>
          <c:y val="9.3067220764071146E-2"/>
          <c:w val="0.82703937007874018"/>
          <c:h val="0.73444845435987172"/>
        </c:manualLayout>
      </c:layout>
      <c:barChart>
        <c:barDir val="col"/>
        <c:grouping val="clustered"/>
        <c:varyColors val="0"/>
        <c:ser>
          <c:idx val="0"/>
          <c:order val="0"/>
          <c:invertIfNegative val="0"/>
          <c:dLbls>
            <c:dLbl>
              <c:idx val="1"/>
              <c:layout>
                <c:manualLayout>
                  <c:x val="0"/>
                  <c:y val="-9.2592592592592587E-3"/>
                </c:manualLayout>
              </c:layout>
              <c:spPr/>
              <c:txPr>
                <a:bodyPr/>
                <a:lstStyle/>
                <a:p>
                  <a:pPr>
                    <a:defRPr sz="900">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7B-4B6F-BBCA-B691990E3B9B}"/>
                </c:ext>
              </c:extLst>
            </c:dLbl>
            <c:dLbl>
              <c:idx val="2"/>
              <c:layout>
                <c:manualLayout>
                  <c:x val="0"/>
                  <c:y val="-1.3888888888888888E-2"/>
                </c:manualLayout>
              </c:layout>
              <c:spPr/>
              <c:txPr>
                <a:bodyPr/>
                <a:lstStyle/>
                <a:p>
                  <a:pPr>
                    <a:defRPr sz="900">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7B-4B6F-BBCA-B691990E3B9B}"/>
                </c:ext>
              </c:extLst>
            </c:dLbl>
            <c:dLbl>
              <c:idx val="4"/>
              <c:layout>
                <c:manualLayout>
                  <c:x val="-5.8496141551009849E-4"/>
                  <c:y val="-1.8653169762891983E-2"/>
                </c:manualLayout>
              </c:layout>
              <c:spPr/>
              <c:txPr>
                <a:bodyPr/>
                <a:lstStyle/>
                <a:p>
                  <a:pPr>
                    <a:defRPr sz="900">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7B-4B6F-BBCA-B691990E3B9B}"/>
                </c:ext>
              </c:extLst>
            </c:dLbl>
            <c:dLbl>
              <c:idx val="5"/>
              <c:layout>
                <c:manualLayout>
                  <c:x val="0"/>
                  <c:y val="-1.3956128898636379E-2"/>
                </c:manualLayout>
              </c:layout>
              <c:spPr/>
              <c:txPr>
                <a:bodyPr/>
                <a:lstStyle/>
                <a:p>
                  <a:pPr>
                    <a:defRPr sz="900">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B-4B6F-BBCA-B691990E3B9B}"/>
                </c:ext>
              </c:extLst>
            </c:dLbl>
            <c:spPr>
              <a:noFill/>
              <a:ln w="25400">
                <a:noFill/>
              </a:ln>
            </c:spPr>
            <c:txPr>
              <a:bodyPr/>
              <a:lstStyle/>
              <a:p>
                <a:pPr>
                  <a:defRPr sz="900">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ф4!$A$6:$A$11</c:f>
              <c:strCache>
                <c:ptCount val="6"/>
                <c:pt idx="0">
                  <c:v>София</c:v>
                </c:pt>
                <c:pt idx="1">
                  <c:v>Пловдив</c:v>
                </c:pt>
                <c:pt idx="2">
                  <c:v>Варна</c:v>
                </c:pt>
                <c:pt idx="3">
                  <c:v>Бургас</c:v>
                </c:pt>
                <c:pt idx="4">
                  <c:v>Стара Загора</c:v>
                </c:pt>
                <c:pt idx="5">
                  <c:v>Русе</c:v>
                </c:pt>
              </c:strCache>
            </c:strRef>
          </c:cat>
          <c:val>
            <c:numRef>
              <c:f>ф4!$H$6:$H$11</c:f>
              <c:numCache>
                <c:formatCode>General</c:formatCode>
                <c:ptCount val="6"/>
                <c:pt idx="0">
                  <c:v>1205548</c:v>
                </c:pt>
                <c:pt idx="1">
                  <c:v>329489</c:v>
                </c:pt>
                <c:pt idx="2">
                  <c:v>318737</c:v>
                </c:pt>
                <c:pt idx="3">
                  <c:v>189014</c:v>
                </c:pt>
                <c:pt idx="4">
                  <c:v>121249</c:v>
                </c:pt>
                <c:pt idx="5">
                  <c:v>121168</c:v>
                </c:pt>
              </c:numCache>
            </c:numRef>
          </c:val>
          <c:extLst>
            <c:ext xmlns:c16="http://schemas.microsoft.com/office/drawing/2014/chart" uri="{C3380CC4-5D6E-409C-BE32-E72D297353CC}">
              <c16:uniqueId val="{00000004-0E7B-4B6F-BBCA-B691990E3B9B}"/>
            </c:ext>
          </c:extLst>
        </c:ser>
        <c:dLbls>
          <c:showLegendKey val="0"/>
          <c:showVal val="0"/>
          <c:showCatName val="0"/>
          <c:showSerName val="0"/>
          <c:showPercent val="0"/>
          <c:showBubbleSize val="0"/>
        </c:dLbls>
        <c:gapWidth val="70"/>
        <c:axId val="1628080336"/>
        <c:axId val="1"/>
      </c:barChart>
      <c:catAx>
        <c:axId val="1628080336"/>
        <c:scaling>
          <c:orientation val="minMax"/>
        </c:scaling>
        <c:delete val="0"/>
        <c:axPos val="b"/>
        <c:numFmt formatCode="General" sourceLinked="1"/>
        <c:majorTickMark val="out"/>
        <c:minorTickMark val="none"/>
        <c:tickLblPos val="nextTo"/>
        <c:txPr>
          <a:bodyPr rot="0" vert="horz"/>
          <a:lstStyle/>
          <a:p>
            <a:pPr>
              <a:defRPr sz="900">
                <a:ln>
                  <a:noFill/>
                </a:ln>
                <a:solidFill>
                  <a:srgbClr val="000000"/>
                </a:solidFill>
                <a:latin typeface="Times New Roman" panose="02020603050405020304" pitchFamily="18" charset="0"/>
                <a:cs typeface="Times New Roman" panose="02020603050405020304" pitchFamily="18" charset="0"/>
              </a:defRPr>
            </a:pPr>
            <a:endParaRPr lang="bg-BG"/>
          </a:p>
        </c:txPr>
        <c:crossAx val="1"/>
        <c:crosses val="autoZero"/>
        <c:auto val="0"/>
        <c:lblAlgn val="ctr"/>
        <c:lblOffset val="100"/>
        <c:noMultiLvlLbl val="0"/>
      </c:catAx>
      <c:valAx>
        <c:axId val="1"/>
        <c:scaling>
          <c:orientation val="minMax"/>
        </c:scaling>
        <c:delete val="0"/>
        <c:axPos val="l"/>
        <c:majorGridlines>
          <c:spPr>
            <a:ln>
              <a:solidFill>
                <a:schemeClr val="bg2">
                  <a:lumMod val="90000"/>
                </a:schemeClr>
              </a:solidFill>
            </a:ln>
          </c:spPr>
        </c:majorGridlines>
        <c:title>
          <c:tx>
            <c:rich>
              <a:bodyPr rot="0" vert="horz"/>
              <a:lstStyle/>
              <a:p>
                <a:pPr algn="ctr">
                  <a:defRPr sz="800">
                    <a:latin typeface="Times New Roman" panose="02020603050405020304" pitchFamily="18" charset="0"/>
                    <a:cs typeface="Times New Roman" panose="02020603050405020304" pitchFamily="18" charset="0"/>
                  </a:defRPr>
                </a:pPr>
                <a:r>
                  <a:rPr lang="bg-BG" sz="800">
                    <a:latin typeface="Times New Roman" panose="02020603050405020304" pitchFamily="18" charset="0"/>
                    <a:cs typeface="Times New Roman" panose="02020603050405020304" pitchFamily="18" charset="0"/>
                  </a:rPr>
                  <a:t>Брой</a:t>
                </a:r>
              </a:p>
            </c:rich>
          </c:tx>
          <c:layout>
            <c:manualLayout>
              <c:xMode val="edge"/>
              <c:yMode val="edge"/>
              <c:x val="4.875743179838514E-2"/>
              <c:y val="8.8029519602966025E-3"/>
            </c:manualLayout>
          </c:layout>
          <c:overlay val="0"/>
        </c:title>
        <c:numFmt formatCode="General" sourceLinked="1"/>
        <c:majorTickMark val="out"/>
        <c:minorTickMark val="none"/>
        <c:tickLblPos val="nextTo"/>
        <c:spPr>
          <a:noFill/>
          <a:ln>
            <a:noFill/>
          </a:ln>
        </c:spPr>
        <c:txPr>
          <a:bodyPr rot="0" vert="horz"/>
          <a:lstStyle/>
          <a:p>
            <a:pPr>
              <a:defRPr sz="900">
                <a:solidFill>
                  <a:srgbClr val="000000"/>
                </a:solidFill>
                <a:latin typeface="Times New Roman" panose="02020603050405020304" pitchFamily="18" charset="0"/>
                <a:cs typeface="Times New Roman" panose="02020603050405020304" pitchFamily="18" charset="0"/>
              </a:defRPr>
            </a:pPr>
            <a:endParaRPr lang="bg-BG"/>
          </a:p>
        </c:txPr>
        <c:crossAx val="1628080336"/>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bg-BG" sz="1200"/>
              <a:t>Отпуснати еднократни помощи (включително и коледни) </a:t>
            </a:r>
          </a:p>
          <a:p>
            <a:pPr>
              <a:defRPr sz="1200"/>
            </a:pPr>
            <a:r>
              <a:rPr lang="bg-BG" sz="1200"/>
              <a:t>от Комисията по материално подпомагане</a:t>
            </a:r>
          </a:p>
        </c:rich>
      </c:tx>
      <c:layout>
        <c:manualLayout>
          <c:xMode val="edge"/>
          <c:yMode val="edge"/>
          <c:x val="0.18883851250612965"/>
          <c:y val="4.735883424408014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33041812550164"/>
          <c:y val="0.19737704918032786"/>
          <c:w val="0.81515238362559284"/>
          <c:h val="0.37812429184056912"/>
        </c:manualLayout>
      </c:layout>
      <c:bar3DChart>
        <c:barDir val="col"/>
        <c:grouping val="clustered"/>
        <c:varyColors val="0"/>
        <c:ser>
          <c:idx val="0"/>
          <c:order val="0"/>
          <c:tx>
            <c:strRef>
              <c:f>Sheet3!$AB$2</c:f>
              <c:strCache>
                <c:ptCount val="1"/>
                <c:pt idx="0">
                  <c:v>2024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Sheet3!$W$3:$X$11</c:f>
              <c:strCache>
                <c:ptCount val="9"/>
                <c:pt idx="0">
                  <c:v>Ветерани от войните на РБ</c:v>
                </c:pt>
                <c:pt idx="1">
                  <c:v>Военноинвалиди</c:v>
                </c:pt>
                <c:pt idx="2">
                  <c:v>Военнопострадали</c:v>
                </c:pt>
                <c:pt idx="3">
                  <c:v>Целеви помощи за погребение</c:v>
                </c:pt>
                <c:pt idx="4">
                  <c:v>Цивилни служители</c:v>
                </c:pt>
                <c:pt idx="5">
                  <c:v>Военнослужещи</c:v>
                </c:pt>
                <c:pt idx="6">
                  <c:v>Курсанти</c:v>
                </c:pt>
                <c:pt idx="7">
                  <c:v>Пенсионирани военнослужещи</c:v>
                </c:pt>
                <c:pt idx="8">
                  <c:v>Участници в мисии</c:v>
                </c:pt>
              </c:strCache>
            </c:strRef>
          </c:cat>
          <c:val>
            <c:numRef>
              <c:f>Sheet3!$AB$3:$AB$11</c:f>
              <c:numCache>
                <c:formatCode>0%</c:formatCode>
                <c:ptCount val="9"/>
                <c:pt idx="0">
                  <c:v>5.3419322254489648E-3</c:v>
                </c:pt>
                <c:pt idx="1">
                  <c:v>0.44221000592468845</c:v>
                </c:pt>
                <c:pt idx="2">
                  <c:v>0.23073504987422178</c:v>
                </c:pt>
                <c:pt idx="3">
                  <c:v>3.5009081284783264E-2</c:v>
                </c:pt>
                <c:pt idx="4">
                  <c:v>4.6984722073835215E-2</c:v>
                </c:pt>
                <c:pt idx="5">
                  <c:v>0.21124913800639089</c:v>
                </c:pt>
                <c:pt idx="6">
                  <c:v>3.6422265173515671E-4</c:v>
                </c:pt>
                <c:pt idx="7">
                  <c:v>5.2205246748705794E-3</c:v>
                </c:pt>
                <c:pt idx="8">
                  <c:v>1.6390019328082052E-3</c:v>
                </c:pt>
              </c:numCache>
            </c:numRef>
          </c:val>
          <c:extLst>
            <c:ext xmlns:c16="http://schemas.microsoft.com/office/drawing/2014/chart" uri="{C3380CC4-5D6E-409C-BE32-E72D297353CC}">
              <c16:uniqueId val="{00000000-F729-4868-9129-7DB7649E6F8C}"/>
            </c:ext>
          </c:extLst>
        </c:ser>
        <c:dLbls>
          <c:showLegendKey val="0"/>
          <c:showVal val="0"/>
          <c:showCatName val="0"/>
          <c:showSerName val="0"/>
          <c:showPercent val="0"/>
          <c:showBubbleSize val="0"/>
        </c:dLbls>
        <c:gapWidth val="150"/>
        <c:shape val="box"/>
        <c:axId val="815375215"/>
        <c:axId val="815372303"/>
        <c:axId val="0"/>
      </c:bar3DChart>
      <c:catAx>
        <c:axId val="8153752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15372303"/>
        <c:crosses val="autoZero"/>
        <c:auto val="1"/>
        <c:lblAlgn val="ctr"/>
        <c:lblOffset val="100"/>
        <c:noMultiLvlLbl val="0"/>
      </c:catAx>
      <c:valAx>
        <c:axId val="815372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1537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bg-BG" sz="1400"/>
              <a:t>Брой обработени заявления през 2024 г.</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Sheet4!$C$1</c:f>
              <c:strCache>
                <c:ptCount val="1"/>
                <c:pt idx="0">
                  <c:v>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Sheet4!$A$2:$A$10</c:f>
              <c:strCache>
                <c:ptCount val="9"/>
                <c:pt idx="0">
                  <c:v>Ново регистрирани ВИ и ВП</c:v>
                </c:pt>
                <c:pt idx="1">
                  <c:v>Дубликат на книжки за ВИ и ВП</c:v>
                </c:pt>
                <c:pt idx="2">
                  <c:v>Издадени/продължени рецептурни книжки</c:v>
                </c:pt>
                <c:pt idx="3">
                  <c:v>Продължени книжки за ВИ или ВП по новия образец от 2016 г.</c:v>
                </c:pt>
                <c:pt idx="4">
                  <c:v>Презаверени книжки</c:v>
                </c:pt>
                <c:pt idx="5">
                  <c:v>Актуализирана информация в книжките на ВИ и ВП</c:v>
                </c:pt>
                <c:pt idx="6">
                  <c:v>Откази</c:v>
                </c:pt>
                <c:pt idx="7">
                  <c:v>Анкети</c:v>
                </c:pt>
                <c:pt idx="8">
                  <c:v>Общо</c:v>
                </c:pt>
              </c:strCache>
            </c:strRef>
          </c:cat>
          <c:val>
            <c:numRef>
              <c:f>Sheet4!$C$2:$C$10</c:f>
              <c:numCache>
                <c:formatCode>General</c:formatCode>
                <c:ptCount val="9"/>
                <c:pt idx="0">
                  <c:v>58</c:v>
                </c:pt>
                <c:pt idx="1">
                  <c:v>34</c:v>
                </c:pt>
                <c:pt idx="2">
                  <c:v>83</c:v>
                </c:pt>
                <c:pt idx="3">
                  <c:v>2</c:v>
                </c:pt>
                <c:pt idx="4">
                  <c:v>805</c:v>
                </c:pt>
                <c:pt idx="5">
                  <c:v>70</c:v>
                </c:pt>
                <c:pt idx="6">
                  <c:v>4</c:v>
                </c:pt>
                <c:pt idx="7">
                  <c:v>11</c:v>
                </c:pt>
                <c:pt idx="8">
                  <c:v>1067</c:v>
                </c:pt>
              </c:numCache>
            </c:numRef>
          </c:val>
          <c:extLst>
            <c:ext xmlns:c16="http://schemas.microsoft.com/office/drawing/2014/chart" uri="{C3380CC4-5D6E-409C-BE32-E72D297353CC}">
              <c16:uniqueId val="{00000000-50F0-404E-836D-CCC8B0E2A63E}"/>
            </c:ext>
          </c:extLst>
        </c:ser>
        <c:dLbls>
          <c:showLegendKey val="0"/>
          <c:showVal val="1"/>
          <c:showCatName val="0"/>
          <c:showSerName val="0"/>
          <c:showPercent val="0"/>
          <c:showBubbleSize val="0"/>
        </c:dLbls>
        <c:gapWidth val="150"/>
        <c:shape val="box"/>
        <c:axId val="853665199"/>
        <c:axId val="853666447"/>
        <c:axId val="0"/>
      </c:bar3DChart>
      <c:catAx>
        <c:axId val="8536651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53666447"/>
        <c:crosses val="autoZero"/>
        <c:auto val="1"/>
        <c:lblAlgn val="ctr"/>
        <c:lblOffset val="100"/>
        <c:noMultiLvlLbl val="0"/>
      </c:catAx>
      <c:valAx>
        <c:axId val="85366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536651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860103612247641E-2"/>
          <c:y val="0.10185185185185185"/>
          <c:w val="0.89227979277550473"/>
          <c:h val="0.49635680956547096"/>
        </c:manualLayout>
      </c:layout>
      <c:barChart>
        <c:barDir val="col"/>
        <c:grouping val="clustered"/>
        <c:varyColors val="0"/>
        <c:ser>
          <c:idx val="0"/>
          <c:order val="0"/>
          <c:tx>
            <c:strRef>
              <c:f>ф8!$E$4</c:f>
              <c:strCache>
                <c:ptCount val="1"/>
                <c:pt idx="0">
                  <c:v>Средна възраст при раждане на първо дете</c:v>
                </c:pt>
              </c:strCache>
            </c:strRef>
          </c:tx>
          <c:spPr>
            <a:solidFill>
              <a:srgbClr val="4F81BD"/>
            </a:solidFill>
            <a:ln w="25400">
              <a:noFill/>
            </a:ln>
          </c:spPr>
          <c:invertIfNegative val="0"/>
          <c:cat>
            <c:strRef>
              <c:f>ф8!$A$5:$A$32</c:f>
              <c:strCache>
                <c:ptCount val="28"/>
                <c:pt idx="0">
                  <c:v>Благоевград</c:v>
                </c:pt>
                <c:pt idx="1">
                  <c:v>Бургас</c:v>
                </c:pt>
                <c:pt idx="2">
                  <c:v>Варна</c:v>
                </c:pt>
                <c:pt idx="3">
                  <c:v>Велико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c:v>
                </c:pt>
                <c:pt idx="22">
                  <c:v>София (столица)</c:v>
                </c:pt>
                <c:pt idx="23">
                  <c:v>Стара Загора</c:v>
                </c:pt>
                <c:pt idx="24">
                  <c:v>Търговище</c:v>
                </c:pt>
                <c:pt idx="25">
                  <c:v>Хасково</c:v>
                </c:pt>
                <c:pt idx="26">
                  <c:v>Шумен</c:v>
                </c:pt>
                <c:pt idx="27">
                  <c:v>Ямбол</c:v>
                </c:pt>
              </c:strCache>
            </c:strRef>
          </c:cat>
          <c:val>
            <c:numRef>
              <c:f>ф8!$E$5:$E$32</c:f>
              <c:numCache>
                <c:formatCode>0.0</c:formatCode>
                <c:ptCount val="28"/>
                <c:pt idx="0">
                  <c:v>26.963716814159291</c:v>
                </c:pt>
                <c:pt idx="1">
                  <c:v>27.239760554505356</c:v>
                </c:pt>
                <c:pt idx="2">
                  <c:v>28.752447192168987</c:v>
                </c:pt>
                <c:pt idx="3">
                  <c:v>27.200137551581843</c:v>
                </c:pt>
                <c:pt idx="4">
                  <c:v>25.281893004115226</c:v>
                </c:pt>
                <c:pt idx="5">
                  <c:v>25.976702508960575</c:v>
                </c:pt>
                <c:pt idx="6">
                  <c:v>28.103124999999999</c:v>
                </c:pt>
                <c:pt idx="7">
                  <c:v>26.15</c:v>
                </c:pt>
                <c:pt idx="8">
                  <c:v>27.607942973523421</c:v>
                </c:pt>
                <c:pt idx="9">
                  <c:v>26.415343915343914</c:v>
                </c:pt>
                <c:pt idx="10">
                  <c:v>24.560465116279069</c:v>
                </c:pt>
                <c:pt idx="11">
                  <c:v>25.398058252427184</c:v>
                </c:pt>
                <c:pt idx="12">
                  <c:v>25.224713242961418</c:v>
                </c:pt>
                <c:pt idx="13">
                  <c:v>28.444751381215468</c:v>
                </c:pt>
                <c:pt idx="14">
                  <c:v>26.034583821805391</c:v>
                </c:pt>
                <c:pt idx="15">
                  <c:v>27.527949301267469</c:v>
                </c:pt>
                <c:pt idx="16">
                  <c:v>26.5625</c:v>
                </c:pt>
                <c:pt idx="17">
                  <c:v>27.84876989869754</c:v>
                </c:pt>
                <c:pt idx="18">
                  <c:v>25.99867374005305</c:v>
                </c:pt>
                <c:pt idx="19">
                  <c:v>22.237704918032787</c:v>
                </c:pt>
                <c:pt idx="20">
                  <c:v>27.870689655172413</c:v>
                </c:pt>
                <c:pt idx="21">
                  <c:v>26.192556634304207</c:v>
                </c:pt>
                <c:pt idx="22">
                  <c:v>30.770319506726459</c:v>
                </c:pt>
                <c:pt idx="23">
                  <c:v>25.823603002502086</c:v>
                </c:pt>
                <c:pt idx="24">
                  <c:v>26.511461318051577</c:v>
                </c:pt>
                <c:pt idx="25">
                  <c:v>25.981428571428573</c:v>
                </c:pt>
                <c:pt idx="26">
                  <c:v>26.491394148020653</c:v>
                </c:pt>
                <c:pt idx="27">
                  <c:v>23.831818181818182</c:v>
                </c:pt>
              </c:numCache>
            </c:numRef>
          </c:val>
          <c:extLst>
            <c:ext xmlns:c16="http://schemas.microsoft.com/office/drawing/2014/chart" uri="{C3380CC4-5D6E-409C-BE32-E72D297353CC}">
              <c16:uniqueId val="{00000000-EC82-4888-8914-A898105CFC65}"/>
            </c:ext>
          </c:extLst>
        </c:ser>
        <c:dLbls>
          <c:showLegendKey val="0"/>
          <c:showVal val="0"/>
          <c:showCatName val="0"/>
          <c:showSerName val="0"/>
          <c:showPercent val="0"/>
          <c:showBubbleSize val="0"/>
        </c:dLbls>
        <c:gapWidth val="112"/>
        <c:axId val="1836185808"/>
        <c:axId val="1"/>
      </c:barChart>
      <c:lineChart>
        <c:grouping val="standard"/>
        <c:varyColors val="0"/>
        <c:ser>
          <c:idx val="1"/>
          <c:order val="1"/>
          <c:tx>
            <c:strRef>
              <c:f>ф8!$F$4</c:f>
              <c:strCache>
                <c:ptCount val="1"/>
                <c:pt idx="0">
                  <c:v>Тотален коефициент на плодовитост</c:v>
                </c:pt>
              </c:strCache>
            </c:strRef>
          </c:tx>
          <c:spPr>
            <a:ln w="28575" cap="rnd">
              <a:solidFill>
                <a:schemeClr val="accent2"/>
              </a:solidFill>
              <a:round/>
            </a:ln>
            <a:effectLst/>
          </c:spPr>
          <c:marker>
            <c:symbol val="none"/>
          </c:marker>
          <c:cat>
            <c:strRef>
              <c:f>ф8!$A$5:$A$32</c:f>
              <c:strCache>
                <c:ptCount val="28"/>
                <c:pt idx="0">
                  <c:v>Благоевград</c:v>
                </c:pt>
                <c:pt idx="1">
                  <c:v>Бургас</c:v>
                </c:pt>
                <c:pt idx="2">
                  <c:v>Варна</c:v>
                </c:pt>
                <c:pt idx="3">
                  <c:v>Велико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c:v>
                </c:pt>
                <c:pt idx="22">
                  <c:v>София (столица)</c:v>
                </c:pt>
                <c:pt idx="23">
                  <c:v>Стара Загора</c:v>
                </c:pt>
                <c:pt idx="24">
                  <c:v>Търговище</c:v>
                </c:pt>
                <c:pt idx="25">
                  <c:v>Хасково</c:v>
                </c:pt>
                <c:pt idx="26">
                  <c:v>Шумен</c:v>
                </c:pt>
                <c:pt idx="27">
                  <c:v>Ямбол</c:v>
                </c:pt>
              </c:strCache>
            </c:strRef>
          </c:cat>
          <c:val>
            <c:numRef>
              <c:f>ф8!$F$5:$F$32</c:f>
              <c:numCache>
                <c:formatCode>0.00</c:formatCode>
                <c:ptCount val="28"/>
                <c:pt idx="0">
                  <c:v>1.74</c:v>
                </c:pt>
                <c:pt idx="1">
                  <c:v>1.86</c:v>
                </c:pt>
                <c:pt idx="2">
                  <c:v>1.63</c:v>
                </c:pt>
                <c:pt idx="3">
                  <c:v>1.73</c:v>
                </c:pt>
                <c:pt idx="4">
                  <c:v>1.88</c:v>
                </c:pt>
                <c:pt idx="5">
                  <c:v>1.89</c:v>
                </c:pt>
                <c:pt idx="6">
                  <c:v>1.78</c:v>
                </c:pt>
                <c:pt idx="7">
                  <c:v>1.93</c:v>
                </c:pt>
                <c:pt idx="8">
                  <c:v>1.88</c:v>
                </c:pt>
                <c:pt idx="9">
                  <c:v>1.77</c:v>
                </c:pt>
                <c:pt idx="10">
                  <c:v>2.02</c:v>
                </c:pt>
                <c:pt idx="11">
                  <c:v>1.88</c:v>
                </c:pt>
                <c:pt idx="12">
                  <c:v>2.16</c:v>
                </c:pt>
                <c:pt idx="13">
                  <c:v>1.45</c:v>
                </c:pt>
                <c:pt idx="14">
                  <c:v>1.91</c:v>
                </c:pt>
                <c:pt idx="15">
                  <c:v>1.81</c:v>
                </c:pt>
                <c:pt idx="16">
                  <c:v>1.76</c:v>
                </c:pt>
                <c:pt idx="17">
                  <c:v>1.7</c:v>
                </c:pt>
                <c:pt idx="18">
                  <c:v>2.08</c:v>
                </c:pt>
                <c:pt idx="19">
                  <c:v>2.4900000000000002</c:v>
                </c:pt>
                <c:pt idx="20">
                  <c:v>1.45</c:v>
                </c:pt>
                <c:pt idx="21">
                  <c:v>1.96</c:v>
                </c:pt>
                <c:pt idx="22">
                  <c:v>1.52</c:v>
                </c:pt>
                <c:pt idx="23">
                  <c:v>2.0099999999999998</c:v>
                </c:pt>
                <c:pt idx="24">
                  <c:v>1.92</c:v>
                </c:pt>
                <c:pt idx="25">
                  <c:v>1.81</c:v>
                </c:pt>
                <c:pt idx="26">
                  <c:v>1.86</c:v>
                </c:pt>
                <c:pt idx="27">
                  <c:v>2.34</c:v>
                </c:pt>
              </c:numCache>
            </c:numRef>
          </c:val>
          <c:smooth val="0"/>
          <c:extLst>
            <c:ext xmlns:c16="http://schemas.microsoft.com/office/drawing/2014/chart" uri="{C3380CC4-5D6E-409C-BE32-E72D297353CC}">
              <c16:uniqueId val="{00000001-EC82-4888-8914-A898105CFC65}"/>
            </c:ext>
          </c:extLst>
        </c:ser>
        <c:dLbls>
          <c:showLegendKey val="0"/>
          <c:showVal val="0"/>
          <c:showCatName val="0"/>
          <c:showSerName val="0"/>
          <c:showPercent val="0"/>
          <c:showBubbleSize val="0"/>
        </c:dLbls>
        <c:marker val="1"/>
        <c:smooth val="0"/>
        <c:axId val="3"/>
        <c:axId val="4"/>
      </c:lineChart>
      <c:catAx>
        <c:axId val="1836185808"/>
        <c:scaling>
          <c:orientation val="minMax"/>
        </c:scaling>
        <c:delete val="0"/>
        <c:axPos val="b"/>
        <c:title>
          <c:tx>
            <c:rich>
              <a:bodyPr/>
              <a:lstStyle/>
              <a:p>
                <a:pPr>
                  <a:defRPr sz="900" b="0" i="0" u="none" strike="noStrike" baseline="0">
                    <a:solidFill>
                      <a:srgbClr val="333333"/>
                    </a:solidFill>
                    <a:latin typeface="Times New Roman"/>
                    <a:ea typeface="Times New Roman"/>
                    <a:cs typeface="Times New Roman"/>
                  </a:defRPr>
                </a:pPr>
                <a:r>
                  <a:rPr lang="bg-BG"/>
                  <a:t>Средна възраст</a:t>
                </a:r>
              </a:p>
            </c:rich>
          </c:tx>
          <c:layout>
            <c:manualLayout>
              <c:xMode val="edge"/>
              <c:yMode val="edge"/>
              <c:x val="6.3079969254855291E-3"/>
              <c:y val="9.8828114713085616E-3"/>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spPr>
            <a:ln w="9525" cap="flat" cmpd="sng" algn="ctr">
              <a:solidFill>
                <a:sysClr val="window" lastClr="FFFFFF">
                  <a:lumMod val="75000"/>
                </a:sysClr>
              </a:solidFill>
              <a:round/>
            </a:ln>
            <a:effectLst/>
          </c:spPr>
        </c:majorGridlines>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Times New Roman"/>
                <a:ea typeface="Times New Roman"/>
                <a:cs typeface="Times New Roman"/>
              </a:defRPr>
            </a:pPr>
            <a:endParaRPr lang="bg-BG"/>
          </a:p>
        </c:txPr>
        <c:crossAx val="1836185808"/>
        <c:crosses val="autoZero"/>
        <c:crossBetween val="between"/>
      </c:valAx>
      <c:catAx>
        <c:axId val="3"/>
        <c:scaling>
          <c:orientation val="minMax"/>
        </c:scaling>
        <c:delete val="1"/>
        <c:axPos val="b"/>
        <c:title>
          <c:tx>
            <c:rich>
              <a:bodyPr/>
              <a:lstStyle/>
              <a:p>
                <a:pPr>
                  <a:defRPr sz="900" b="0" i="0" u="none" strike="noStrike" baseline="0">
                    <a:solidFill>
                      <a:srgbClr val="333333"/>
                    </a:solidFill>
                    <a:latin typeface="Times New Roman"/>
                    <a:ea typeface="Times New Roman"/>
                    <a:cs typeface="Times New Roman"/>
                  </a:defRPr>
                </a:pPr>
                <a:r>
                  <a:rPr lang="bg-BG"/>
                  <a:t>Среден брой деца</a:t>
                </a:r>
              </a:p>
            </c:rich>
          </c:tx>
          <c:layout>
            <c:manualLayout>
              <c:xMode val="edge"/>
              <c:yMode val="edge"/>
              <c:x val="0.86648063728876001"/>
              <c:y val="9.8828114713085616E-3"/>
            </c:manualLayout>
          </c:layout>
          <c:overlay val="0"/>
          <c:spPr>
            <a:noFill/>
            <a:ln w="25400">
              <a:noFill/>
            </a:ln>
          </c:spPr>
        </c:title>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0" sourceLinked="0"/>
        <c:majorTickMark val="out"/>
        <c:minorTickMark val="none"/>
        <c:tickLblPos val="nextTo"/>
        <c:spPr>
          <a:ln w="9525">
            <a:noFill/>
          </a:ln>
        </c:spPr>
        <c:txPr>
          <a:bodyPr rot="0" vert="horz"/>
          <a:lstStyle/>
          <a:p>
            <a:pPr>
              <a:defRPr sz="900" b="0" i="0" u="none" strike="noStrike" baseline="0">
                <a:solidFill>
                  <a:srgbClr val="333333"/>
                </a:solidFill>
                <a:latin typeface="Times New Roman"/>
                <a:ea typeface="Times New Roman"/>
                <a:cs typeface="Times New Roman"/>
              </a:defRPr>
            </a:pPr>
            <a:endParaRPr lang="bg-BG"/>
          </a:p>
        </c:txPr>
        <c:crossAx val="3"/>
        <c:crosses val="max"/>
        <c:crossBetween val="between"/>
      </c:valAx>
      <c:spPr>
        <a:noFill/>
        <a:ln w="25400">
          <a:noFill/>
        </a:ln>
      </c:spPr>
    </c:plotArea>
    <c:legend>
      <c:legendPos val="r"/>
      <c:layout>
        <c:manualLayout>
          <c:xMode val="edge"/>
          <c:yMode val="edge"/>
          <c:x val="9.5816605920211378E-2"/>
          <c:y val="0.91973244147157196"/>
          <c:w val="0.76248412268304522"/>
          <c:h val="7.0234113712374535E-2"/>
        </c:manualLayout>
      </c:layout>
      <c:overlay val="0"/>
      <c:spPr>
        <a:noFill/>
        <a:ln w="25400">
          <a:noFill/>
        </a:ln>
      </c:spPr>
      <c:txPr>
        <a:bodyPr/>
        <a:lstStyle/>
        <a:p>
          <a:pPr>
            <a:defRPr sz="735" b="0" i="0" u="none" strike="noStrike" baseline="0">
              <a:solidFill>
                <a:srgbClr val="333333"/>
              </a:solidFill>
              <a:latin typeface="Times New Roman"/>
              <a:ea typeface="Times New Roman"/>
              <a:cs typeface="Times New Roman"/>
            </a:defRPr>
          </a:pPr>
          <a:endParaRPr lang="bg-BG"/>
        </a:p>
      </c:tx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9.7696850393700782E-2"/>
          <c:w val="0.9115393700787402"/>
          <c:h val="0.67482830271216099"/>
        </c:manualLayout>
      </c:layout>
      <c:barChart>
        <c:barDir val="col"/>
        <c:grouping val="clustered"/>
        <c:varyColors val="0"/>
        <c:ser>
          <c:idx val="0"/>
          <c:order val="0"/>
          <c:tx>
            <c:strRef>
              <c:f>ф13!$B$1</c:f>
              <c:strCache>
                <c:ptCount val="1"/>
                <c:pt idx="0">
                  <c:v>Брачност</c:v>
                </c:pt>
              </c:strCache>
            </c:strRef>
          </c:tx>
          <c:invertIfNegative val="0"/>
          <c:dLbls>
            <c:dLbl>
              <c:idx val="1"/>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1-4073-B3FC-321224E9C55F}"/>
                </c:ext>
              </c:extLst>
            </c:dLbl>
            <c:dLbl>
              <c:idx val="2"/>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1-4073-B3FC-321224E9C55F}"/>
                </c:ext>
              </c:extLst>
            </c:dLbl>
            <c:dLbl>
              <c:idx val="3"/>
              <c:layout>
                <c:manualLayout>
                  <c:x val="0"/>
                  <c:y val="9.2592592592592587E-3"/>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1-4073-B3FC-321224E9C55F}"/>
                </c:ext>
              </c:extLst>
            </c:dLbl>
            <c:dLbl>
              <c:idx val="5"/>
              <c:layout>
                <c:manualLayout>
                  <c:x val="0"/>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1-4073-B3FC-321224E9C55F}"/>
                </c:ext>
              </c:extLst>
            </c:dLbl>
            <c:dLbl>
              <c:idx val="6"/>
              <c:layout>
                <c:manualLayout>
                  <c:x val="0"/>
                  <c:y val="9.2592592592592587E-3"/>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1-4073-B3FC-321224E9C55F}"/>
                </c:ext>
              </c:extLst>
            </c:dLbl>
            <c:dLbl>
              <c:idx val="10"/>
              <c:layout>
                <c:manualLayout>
                  <c:x val="0"/>
                  <c:y val="1.851851851851851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1-4073-B3FC-321224E9C55F}"/>
                </c:ext>
              </c:extLst>
            </c:dLbl>
            <c:spPr>
              <a:solidFill>
                <a:sysClr val="window" lastClr="FFFFFF"/>
              </a:solidFill>
              <a:ln w="25400">
                <a:solidFill>
                  <a:srgbClr val="E7E6E6"/>
                </a:solidFill>
              </a:ln>
            </c:spPr>
            <c:txPr>
              <a:bodyPr wrap="square" lIns="38100" tIns="19050" rIns="38100" bIns="19050" anchor="ctr">
                <a:spAutoFit/>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ф13!$A$2:$A$18</c:f>
              <c:numCache>
                <c:formatCode>General</c:formatCode>
                <c:ptCount val="17"/>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ф13!$B$2:$B$18</c:f>
              <c:numCache>
                <c:formatCode>0.0</c:formatCode>
                <c:ptCount val="17"/>
                <c:pt idx="0">
                  <c:v>4.3</c:v>
                </c:pt>
                <c:pt idx="1">
                  <c:v>4.3</c:v>
                </c:pt>
                <c:pt idx="2">
                  <c:v>3.2</c:v>
                </c:pt>
                <c:pt idx="3">
                  <c:v>2.9</c:v>
                </c:pt>
                <c:pt idx="4">
                  <c:v>2.9</c:v>
                </c:pt>
                <c:pt idx="5">
                  <c:v>3</c:v>
                </c:pt>
                <c:pt idx="6">
                  <c:v>3.4</c:v>
                </c:pt>
                <c:pt idx="7">
                  <c:v>3.9</c:v>
                </c:pt>
                <c:pt idx="8">
                  <c:v>3.8</c:v>
                </c:pt>
                <c:pt idx="9">
                  <c:v>4</c:v>
                </c:pt>
                <c:pt idx="10">
                  <c:v>4.0999999999999996</c:v>
                </c:pt>
                <c:pt idx="11">
                  <c:v>4.2</c:v>
                </c:pt>
                <c:pt idx="12">
                  <c:v>3.1975702388875709</c:v>
                </c:pt>
                <c:pt idx="13">
                  <c:v>3.8704560398997199</c:v>
                </c:pt>
                <c:pt idx="14">
                  <c:v>4.0236055236294215</c:v>
                </c:pt>
                <c:pt idx="15">
                  <c:v>3.3816298851075732</c:v>
                </c:pt>
                <c:pt idx="16" formatCode="General">
                  <c:v>3.2</c:v>
                </c:pt>
              </c:numCache>
            </c:numRef>
          </c:val>
          <c:extLst>
            <c:ext xmlns:c16="http://schemas.microsoft.com/office/drawing/2014/chart" uri="{C3380CC4-5D6E-409C-BE32-E72D297353CC}">
              <c16:uniqueId val="{00000006-97B1-4073-B3FC-321224E9C55F}"/>
            </c:ext>
          </c:extLst>
        </c:ser>
        <c:ser>
          <c:idx val="1"/>
          <c:order val="1"/>
          <c:tx>
            <c:strRef>
              <c:f>ф13!$C$1</c:f>
              <c:strCache>
                <c:ptCount val="1"/>
                <c:pt idx="0">
                  <c:v>Бракоразводност</c:v>
                </c:pt>
              </c:strCache>
            </c:strRef>
          </c:tx>
          <c:spPr>
            <a:solidFill>
              <a:schemeClr val="tx2">
                <a:lumMod val="50000"/>
              </a:schemeClr>
            </a:solidFill>
          </c:spPr>
          <c:invertIfNegative val="0"/>
          <c:dLbls>
            <c:dLbl>
              <c:idx val="0"/>
              <c:layout>
                <c:manualLayout>
                  <c:x val="2.469135802469147E-3"/>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1-4073-B3FC-321224E9C55F}"/>
                </c:ext>
              </c:extLst>
            </c:dLbl>
            <c:dLbl>
              <c:idx val="1"/>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B1-4073-B3FC-321224E9C55F}"/>
                </c:ext>
              </c:extLst>
            </c:dLbl>
            <c:dLbl>
              <c:idx val="2"/>
              <c:layout>
                <c:manualLayout>
                  <c:x val="0"/>
                  <c:y val="1.851851851851851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B1-4073-B3FC-321224E9C55F}"/>
                </c:ext>
              </c:extLst>
            </c:dLbl>
            <c:dLbl>
              <c:idx val="3"/>
              <c:layout>
                <c:manualLayout>
                  <c:x val="7.4074074074074077E-3"/>
                  <c:y val="9.2592592592592587E-3"/>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B1-4073-B3FC-321224E9C55F}"/>
                </c:ext>
              </c:extLst>
            </c:dLbl>
            <c:dLbl>
              <c:idx val="4"/>
              <c:layout>
                <c:manualLayout>
                  <c:x val="9.876543209876543E-3"/>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B1-4073-B3FC-321224E9C55F}"/>
                </c:ext>
              </c:extLst>
            </c:dLbl>
            <c:dLbl>
              <c:idx val="5"/>
              <c:layout>
                <c:manualLayout>
                  <c:x val="7.4074074074074077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B1-4073-B3FC-321224E9C55F}"/>
                </c:ext>
              </c:extLst>
            </c:dLbl>
            <c:dLbl>
              <c:idx val="6"/>
              <c:layout>
                <c:manualLayout>
                  <c:x val="4.9382716049382715E-3"/>
                  <c:y val="2.3148148148148147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B1-4073-B3FC-321224E9C55F}"/>
                </c:ext>
              </c:extLst>
            </c:dLbl>
            <c:dLbl>
              <c:idx val="7"/>
              <c:layout>
                <c:manualLayout>
                  <c:x val="0"/>
                  <c:y val="1.3888888888888888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B1-4073-B3FC-321224E9C55F}"/>
                </c:ext>
              </c:extLst>
            </c:dLbl>
            <c:dLbl>
              <c:idx val="8"/>
              <c:layout>
                <c:manualLayout>
                  <c:x val="2.4690607864293669E-3"/>
                  <c:y val="6.2962015025368485E-3"/>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B1-4073-B3FC-321224E9C55F}"/>
                </c:ext>
              </c:extLst>
            </c:dLbl>
            <c:dLbl>
              <c:idx val="9"/>
              <c:layout>
                <c:manualLayout>
                  <c:x val="9.4197156313673933E-17"/>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B1-4073-B3FC-321224E9C55F}"/>
                </c:ext>
              </c:extLst>
            </c:dLbl>
            <c:dLbl>
              <c:idx val="10"/>
              <c:layout>
                <c:manualLayout>
                  <c:x val="5.5556061272687739E-3"/>
                  <c:y val="1.8518518518518517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B1-4073-B3FC-321224E9C55F}"/>
                </c:ext>
              </c:extLst>
            </c:dLbl>
            <c:dLbl>
              <c:idx val="11"/>
              <c:layout>
                <c:manualLayout>
                  <c:x val="7.7071290944123313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B1-4073-B3FC-321224E9C55F}"/>
                </c:ext>
              </c:extLst>
            </c:dLbl>
            <c:dLbl>
              <c:idx val="12"/>
              <c:layout>
                <c:manualLayout>
                  <c:x val="2.4691358024691358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B1-4073-B3FC-321224E9C55F}"/>
                </c:ext>
              </c:extLst>
            </c:dLbl>
            <c:dLbl>
              <c:idx val="13"/>
              <c:layout>
                <c:manualLayout>
                  <c:x val="0"/>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7B1-4073-B3FC-321224E9C55F}"/>
                </c:ext>
              </c:extLst>
            </c:dLbl>
            <c:dLbl>
              <c:idx val="14"/>
              <c:layout>
                <c:manualLayout>
                  <c:x val="0"/>
                  <c:y val="2.5974025974026052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7B1-4073-B3FC-321224E9C55F}"/>
                </c:ext>
              </c:extLst>
            </c:dLbl>
            <c:dLbl>
              <c:idx val="15"/>
              <c:layout>
                <c:manualLayout>
                  <c:x val="4.0040040040038574E-3"/>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7B1-4073-B3FC-321224E9C55F}"/>
                </c:ext>
              </c:extLst>
            </c:dLbl>
            <c:dLbl>
              <c:idx val="16"/>
              <c:layout>
                <c:manualLayout>
                  <c:x val="2.4691358024691358E-3"/>
                  <c:y val="1.3937282229965072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B1-4073-B3FC-321224E9C55F}"/>
                </c:ext>
              </c:extLst>
            </c:dLbl>
            <c:dLbl>
              <c:idx val="17"/>
              <c:layout>
                <c:manualLayout>
                  <c:x val="2.002002002002002E-3"/>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7B1-4073-B3FC-321224E9C55F}"/>
                </c:ext>
              </c:extLst>
            </c:dLbl>
            <c:dLbl>
              <c:idx val="18"/>
              <c:layout>
                <c:manualLayout>
                  <c:x val="4.004004004004004E-3"/>
                  <c:y val="2.1645021645021644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7B1-4073-B3FC-321224E9C55F}"/>
                </c:ext>
              </c:extLst>
            </c:dLbl>
            <c:spPr>
              <a:solidFill>
                <a:sysClr val="window" lastClr="FFFFFF"/>
              </a:solidFill>
              <a:ln w="25400">
                <a:solidFill>
                  <a:srgbClr val="E7E6E6"/>
                </a:solidFill>
              </a:ln>
            </c:spPr>
            <c:txPr>
              <a:bodyPr wrap="square" lIns="38100" tIns="19050" rIns="38100" bIns="19050" anchor="ctr">
                <a:spAutoFit/>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ф13!$A$2:$A$18</c:f>
              <c:numCache>
                <c:formatCode>General</c:formatCode>
                <c:ptCount val="17"/>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ф13!$C$2:$C$18</c:f>
              <c:numCache>
                <c:formatCode>0.0</c:formatCode>
                <c:ptCount val="17"/>
                <c:pt idx="0">
                  <c:v>1.3</c:v>
                </c:pt>
                <c:pt idx="1">
                  <c:v>1.9</c:v>
                </c:pt>
                <c:pt idx="2">
                  <c:v>1.5</c:v>
                </c:pt>
                <c:pt idx="3">
                  <c:v>1.4</c:v>
                </c:pt>
                <c:pt idx="4">
                  <c:v>1.6</c:v>
                </c:pt>
                <c:pt idx="5">
                  <c:v>1.5</c:v>
                </c:pt>
                <c:pt idx="6">
                  <c:v>1.5</c:v>
                </c:pt>
                <c:pt idx="7">
                  <c:v>1.5</c:v>
                </c:pt>
                <c:pt idx="8">
                  <c:v>1.5</c:v>
                </c:pt>
                <c:pt idx="9">
                  <c:v>1.5</c:v>
                </c:pt>
                <c:pt idx="10">
                  <c:v>1.5</c:v>
                </c:pt>
                <c:pt idx="11">
                  <c:v>1.6</c:v>
                </c:pt>
                <c:pt idx="12">
                  <c:v>1.3001125610486854</c:v>
                </c:pt>
                <c:pt idx="13">
                  <c:v>1.45701878196225</c:v>
                </c:pt>
                <c:pt idx="14">
                  <c:v>1.4732957602956307</c:v>
                </c:pt>
                <c:pt idx="15">
                  <c:v>1.4097363484338363</c:v>
                </c:pt>
                <c:pt idx="16" formatCode="General">
                  <c:v>1.3</c:v>
                </c:pt>
              </c:numCache>
            </c:numRef>
          </c:val>
          <c:extLst>
            <c:ext xmlns:c16="http://schemas.microsoft.com/office/drawing/2014/chart" uri="{C3380CC4-5D6E-409C-BE32-E72D297353CC}">
              <c16:uniqueId val="{0000001A-97B1-4073-B3FC-321224E9C55F}"/>
            </c:ext>
          </c:extLst>
        </c:ser>
        <c:dLbls>
          <c:showLegendKey val="0"/>
          <c:showVal val="0"/>
          <c:showCatName val="0"/>
          <c:showSerName val="0"/>
          <c:showPercent val="0"/>
          <c:showBubbleSize val="0"/>
        </c:dLbls>
        <c:gapWidth val="85"/>
        <c:axId val="287885839"/>
        <c:axId val="1"/>
      </c:barChart>
      <c:catAx>
        <c:axId val="287885839"/>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spPr>
            <a:ln>
              <a:solidFill>
                <a:srgbClr val="E7E6E6"/>
              </a:solidFill>
            </a:ln>
          </c:spPr>
        </c:majorGridlines>
        <c:title>
          <c:tx>
            <c:rich>
              <a:bodyPr rot="0" vert="horz"/>
              <a:lstStyle/>
              <a:p>
                <a:pPr algn="ct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3.8888649192823498E-2"/>
              <c:y val="6.3954774883908747E-3"/>
            </c:manualLayout>
          </c:layout>
          <c:overlay val="0"/>
        </c:title>
        <c:numFmt formatCode="0.0" sourceLinked="1"/>
        <c:majorTickMark val="out"/>
        <c:minorTickMark val="none"/>
        <c:tickLblPos val="nextTo"/>
        <c:spPr>
          <a:ln>
            <a:noFill/>
          </a:ln>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287885839"/>
        <c:crosses val="autoZero"/>
        <c:crossBetween val="between"/>
      </c:valAx>
    </c:plotArea>
    <c:legend>
      <c:legendPos val="r"/>
      <c:layout>
        <c:manualLayout>
          <c:xMode val="edge"/>
          <c:yMode val="edge"/>
          <c:x val="0.20000035954409809"/>
          <c:y val="0.88501740359378156"/>
          <c:w val="0.60185309028152301"/>
          <c:h val="8.3623823945083831E-2"/>
        </c:manualLayout>
      </c:layout>
      <c:overlay val="0"/>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25779399526283E-2"/>
          <c:y val="0.10232648002333042"/>
          <c:w val="0.8808437139801969"/>
          <c:h val="0.74430956547098281"/>
        </c:manualLayout>
      </c:layout>
      <c:barChart>
        <c:barDir val="col"/>
        <c:grouping val="clustered"/>
        <c:varyColors val="0"/>
        <c:ser>
          <c:idx val="0"/>
          <c:order val="0"/>
          <c:tx>
            <c:strRef>
              <c:f>ф9!$B$3</c:f>
              <c:strCache>
                <c:ptCount val="1"/>
                <c:pt idx="0">
                  <c:v>Умрели</c:v>
                </c:pt>
              </c:strCache>
            </c:strRef>
          </c:tx>
          <c:invertIfNegative val="0"/>
          <c:cat>
            <c:numRef>
              <c:f>ф9!$A$4:$A$41</c:f>
              <c:numCache>
                <c:formatCode>General</c:formatCode>
                <c:ptCount val="38"/>
                <c:pt idx="0">
                  <c:v>1960</c:v>
                </c:pt>
                <c:pt idx="1">
                  <c:v>1970</c:v>
                </c:pt>
                <c:pt idx="2">
                  <c:v>1975</c:v>
                </c:pt>
                <c:pt idx="3">
                  <c:v>1980</c:v>
                </c:pt>
                <c:pt idx="4">
                  <c:v>1985</c:v>
                </c:pt>
                <c:pt idx="5">
                  <c:v>1990</c:v>
                </c:pt>
                <c:pt idx="6">
                  <c:v>1995</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ф9!$B$4:$B$41</c:f>
              <c:numCache>
                <c:formatCode>General</c:formatCode>
                <c:ptCount val="38"/>
                <c:pt idx="0">
                  <c:v>63665</c:v>
                </c:pt>
                <c:pt idx="1">
                  <c:v>77095</c:v>
                </c:pt>
                <c:pt idx="2">
                  <c:v>89974</c:v>
                </c:pt>
                <c:pt idx="3">
                  <c:v>97950</c:v>
                </c:pt>
                <c:pt idx="4">
                  <c:v>107485</c:v>
                </c:pt>
                <c:pt idx="5">
                  <c:v>108608</c:v>
                </c:pt>
                <c:pt idx="6">
                  <c:v>114670</c:v>
                </c:pt>
                <c:pt idx="7">
                  <c:v>121861</c:v>
                </c:pt>
                <c:pt idx="8">
                  <c:v>118190</c:v>
                </c:pt>
                <c:pt idx="9" formatCode="@">
                  <c:v>111786</c:v>
                </c:pt>
                <c:pt idx="10">
                  <c:v>115087</c:v>
                </c:pt>
                <c:pt idx="11">
                  <c:v>112368</c:v>
                </c:pt>
                <c:pt idx="12">
                  <c:v>112617</c:v>
                </c:pt>
                <c:pt idx="13">
                  <c:v>111927</c:v>
                </c:pt>
                <c:pt idx="14">
                  <c:v>110110</c:v>
                </c:pt>
                <c:pt idx="15">
                  <c:v>113374</c:v>
                </c:pt>
                <c:pt idx="16">
                  <c:v>113438</c:v>
                </c:pt>
                <c:pt idx="17">
                  <c:v>113004</c:v>
                </c:pt>
                <c:pt idx="18">
                  <c:v>110523</c:v>
                </c:pt>
                <c:pt idx="19">
                  <c:v>108068</c:v>
                </c:pt>
                <c:pt idx="20">
                  <c:v>110165</c:v>
                </c:pt>
                <c:pt idx="21">
                  <c:v>108258</c:v>
                </c:pt>
                <c:pt idx="22" formatCode="@">
                  <c:v>109281</c:v>
                </c:pt>
                <c:pt idx="23" formatCode="@">
                  <c:v>104345</c:v>
                </c:pt>
                <c:pt idx="24">
                  <c:v>108952</c:v>
                </c:pt>
                <c:pt idx="25">
                  <c:v>110117</c:v>
                </c:pt>
                <c:pt idx="26">
                  <c:v>107580</c:v>
                </c:pt>
                <c:pt idx="27">
                  <c:v>109791</c:v>
                </c:pt>
                <c:pt idx="28">
                  <c:v>108526</c:v>
                </c:pt>
                <c:pt idx="29">
                  <c:v>108083</c:v>
                </c:pt>
                <c:pt idx="30">
                  <c:v>124735</c:v>
                </c:pt>
                <c:pt idx="31">
                  <c:v>148995</c:v>
                </c:pt>
                <c:pt idx="32">
                  <c:v>118814</c:v>
                </c:pt>
                <c:pt idx="33">
                  <c:v>101006</c:v>
                </c:pt>
                <c:pt idx="34">
                  <c:v>100736</c:v>
                </c:pt>
              </c:numCache>
            </c:numRef>
          </c:val>
          <c:extLst>
            <c:ext xmlns:c16="http://schemas.microsoft.com/office/drawing/2014/chart" uri="{C3380CC4-5D6E-409C-BE32-E72D297353CC}">
              <c16:uniqueId val="{00000000-2D45-4486-AF01-913E7026D69B}"/>
            </c:ext>
          </c:extLst>
        </c:ser>
        <c:dLbls>
          <c:showLegendKey val="0"/>
          <c:showVal val="0"/>
          <c:showCatName val="0"/>
          <c:showSerName val="0"/>
          <c:showPercent val="0"/>
          <c:showBubbleSize val="0"/>
        </c:dLbls>
        <c:gapWidth val="78"/>
        <c:axId val="1836191632"/>
        <c:axId val="1"/>
      </c:barChart>
      <c:catAx>
        <c:axId val="1836191632"/>
        <c:scaling>
          <c:orientation val="minMax"/>
        </c:scaling>
        <c:delete val="0"/>
        <c:axPos val="b"/>
        <c:numFmt formatCode="General" sourceLinked="1"/>
        <c:majorTickMark val="none"/>
        <c:minorTickMark val="none"/>
        <c:tickLblPos val="nextTo"/>
        <c:txPr>
          <a:bodyPr rot="-5400000" vert="horz"/>
          <a:lstStyle/>
          <a:p>
            <a:pPr>
              <a:defRPr sz="900"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spPr>
            <a:ln>
              <a:solidFill>
                <a:sysClr val="window" lastClr="FFFFFF">
                  <a:lumMod val="75000"/>
                </a:sysClr>
              </a:solidFill>
            </a:ln>
          </c:spPr>
        </c:majorGridlines>
        <c:title>
          <c:tx>
            <c:rich>
              <a:bodyPr rot="0" vert="horz"/>
              <a:lstStyle/>
              <a:p>
                <a:pPr algn="ctr">
                  <a:defRPr sz="900" b="0" i="0" u="none" strike="noStrike" baseline="0">
                    <a:solidFill>
                      <a:srgbClr val="000000"/>
                    </a:solidFill>
                    <a:latin typeface="Times New Roman"/>
                    <a:ea typeface="Times New Roman"/>
                    <a:cs typeface="Times New Roman"/>
                  </a:defRPr>
                </a:pPr>
                <a:r>
                  <a:rPr lang="bg-BG" sz="900"/>
                  <a:t>Брой</a:t>
                </a:r>
              </a:p>
            </c:rich>
          </c:tx>
          <c:layout>
            <c:manualLayout>
              <c:xMode val="edge"/>
              <c:yMode val="edge"/>
              <c:x val="8.0071941826943743E-2"/>
              <c:y val="1.7588266582956199E-2"/>
            </c:manualLayout>
          </c:layout>
          <c:overlay val="0"/>
        </c:title>
        <c:numFmt formatCode="General" sourceLinked="1"/>
        <c:majorTickMark val="none"/>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bg-BG"/>
          </a:p>
        </c:txPr>
        <c:crossAx val="183619163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8.2305539622116772E-2"/>
          <c:w val="0.90846686445630098"/>
          <c:h val="0.75130238962955243"/>
        </c:manualLayout>
      </c:layout>
      <c:lineChart>
        <c:grouping val="standard"/>
        <c:varyColors val="0"/>
        <c:ser>
          <c:idx val="0"/>
          <c:order val="0"/>
          <c:tx>
            <c:strRef>
              <c:f>ф11!$B$4</c:f>
              <c:strCache>
                <c:ptCount val="1"/>
                <c:pt idx="0">
                  <c:v>Обща смъртност</c:v>
                </c:pt>
              </c:strCache>
            </c:strRef>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0"/>
              <c:layout>
                <c:manualLayout>
                  <c:x val="-3.5458209645191752E-2"/>
                  <c:y val="6.257183083902583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88-489A-A102-8A4C59D7B08A}"/>
                </c:ext>
              </c:extLst>
            </c:dLbl>
            <c:dLbl>
              <c:idx val="1"/>
              <c:layout>
                <c:manualLayout>
                  <c:x val="-3.3721570829847163E-2"/>
                  <c:y val="4.4911786688915503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88-489A-A102-8A4C59D7B08A}"/>
                </c:ext>
              </c:extLst>
            </c:dLbl>
            <c:dLbl>
              <c:idx val="12"/>
              <c:layout>
                <c:manualLayout>
                  <c:x val="-3.7424321959755029E-2"/>
                  <c:y val="5.1965443095123312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88-489A-A102-8A4C59D7B08A}"/>
                </c:ext>
              </c:extLst>
            </c:dLbl>
            <c:dLbl>
              <c:idx val="13"/>
              <c:layout>
                <c:manualLayout>
                  <c:x val="-3.5555294394170878E-2"/>
                  <c:y val="6.6986841876553474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88-489A-A102-8A4C59D7B08A}"/>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Times New Roman"/>
                    <a:ea typeface="Times New Roman"/>
                    <a:cs typeface="Times New Roman"/>
                  </a:defRPr>
                </a:pPr>
                <a:endParaRPr lang="bg-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ф11!$A$5:$A$25</c:f>
              <c:numCache>
                <c:formatCode>General</c:formatCode>
                <c:ptCount val="21"/>
                <c:pt idx="0">
                  <c:v>2001</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ф11!$B$5:$B$25</c:f>
              <c:numCache>
                <c:formatCode>General</c:formatCode>
                <c:ptCount val="21"/>
                <c:pt idx="0">
                  <c:v>14.2</c:v>
                </c:pt>
                <c:pt idx="1">
                  <c:v>14.6</c:v>
                </c:pt>
                <c:pt idx="2">
                  <c:v>14.7</c:v>
                </c:pt>
                <c:pt idx="3">
                  <c:v>14.8</c:v>
                </c:pt>
                <c:pt idx="4">
                  <c:v>14.5</c:v>
                </c:pt>
                <c:pt idx="5">
                  <c:v>14.2</c:v>
                </c:pt>
                <c:pt idx="6">
                  <c:v>14.6</c:v>
                </c:pt>
                <c:pt idx="7">
                  <c:v>14.7</c:v>
                </c:pt>
                <c:pt idx="8" formatCode="0.0">
                  <c:v>15</c:v>
                </c:pt>
                <c:pt idx="9" formatCode="0.0">
                  <c:v>14.4</c:v>
                </c:pt>
                <c:pt idx="10" formatCode="0.0">
                  <c:v>15.1</c:v>
                </c:pt>
                <c:pt idx="11" formatCode="0.0">
                  <c:v>15.3</c:v>
                </c:pt>
                <c:pt idx="12" formatCode="0.0">
                  <c:v>15.1</c:v>
                </c:pt>
                <c:pt idx="13" formatCode="0.0">
                  <c:v>15.5</c:v>
                </c:pt>
                <c:pt idx="14" formatCode="0.0">
                  <c:v>15.448460659243549</c:v>
                </c:pt>
                <c:pt idx="15">
                  <c:v>15.5</c:v>
                </c:pt>
                <c:pt idx="16" formatCode="0.0">
                  <c:v>17.988856384071855</c:v>
                </c:pt>
                <c:pt idx="17">
                  <c:v>21.7</c:v>
                </c:pt>
                <c:pt idx="18">
                  <c:v>18.399999999999999</c:v>
                </c:pt>
                <c:pt idx="19" formatCode="0.0">
                  <c:v>15.7</c:v>
                </c:pt>
                <c:pt idx="20">
                  <c:v>15.6</c:v>
                </c:pt>
              </c:numCache>
            </c:numRef>
          </c:val>
          <c:smooth val="0"/>
          <c:extLst>
            <c:ext xmlns:c16="http://schemas.microsoft.com/office/drawing/2014/chart" uri="{C3380CC4-5D6E-409C-BE32-E72D297353CC}">
              <c16:uniqueId val="{00000004-0588-489A-A102-8A4C59D7B08A}"/>
            </c:ext>
          </c:extLst>
        </c:ser>
        <c:ser>
          <c:idx val="1"/>
          <c:order val="1"/>
          <c:tx>
            <c:strRef>
              <c:f>ф11!$C$4</c:f>
              <c:strCache>
                <c:ptCount val="1"/>
                <c:pt idx="0">
                  <c:v>Детска смъртност</c:v>
                </c:pt>
              </c:strCache>
            </c:strRef>
          </c:tx>
          <c:spPr>
            <a:ln>
              <a:solidFill>
                <a:schemeClr val="tx2">
                  <a:lumMod val="40000"/>
                  <a:lumOff val="60000"/>
                </a:schemeClr>
              </a:solidFill>
            </a:ln>
          </c:spPr>
          <c:marker>
            <c:spPr>
              <a:solidFill>
                <a:schemeClr val="tx2">
                  <a:lumMod val="40000"/>
                  <a:lumOff val="60000"/>
                </a:schemeClr>
              </a:solidFill>
              <a:ln w="12700">
                <a:solidFill>
                  <a:srgbClr val="1F497D">
                    <a:lumMod val="40000"/>
                    <a:lumOff val="60000"/>
                  </a:srgbClr>
                </a:solidFill>
              </a:ln>
            </c:spPr>
          </c:marker>
          <c:dLbls>
            <c:dLbl>
              <c:idx val="0"/>
              <c:layout>
                <c:manualLayout>
                  <c:x val="-4.3221490970345125E-2"/>
                  <c:y val="-7.1401852914081104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88-489A-A102-8A4C59D7B08A}"/>
                </c:ext>
              </c:extLst>
            </c:dLbl>
            <c:dLbl>
              <c:idx val="2"/>
              <c:layout>
                <c:manualLayout>
                  <c:x val="-4.0733991220529765E-2"/>
                  <c:y val="-4.9326797726443133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88-489A-A102-8A4C59D7B08A}"/>
                </c:ext>
              </c:extLst>
            </c:dLbl>
            <c:dLbl>
              <c:idx val="3"/>
              <c:layout>
                <c:manualLayout>
                  <c:x val="-3.3271242214126216E-2"/>
                  <c:y val="-4.491178668891558E-2"/>
                </c:manualLayout>
              </c:layout>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88-489A-A102-8A4C59D7B08A}"/>
                </c:ext>
              </c:extLst>
            </c:dLbl>
            <c:dLbl>
              <c:idx val="4"/>
              <c:layout>
                <c:manualLayout>
                  <c:x val="-3.4133515919205784E-2"/>
                  <c:y val="-4.102446377876235E-2"/>
                </c:manualLayout>
              </c:layout>
              <c:spPr/>
              <c:txPr>
                <a:bodyPr/>
                <a:lstStyle/>
                <a:p>
                  <a:pPr>
                    <a:defRPr sz="800" b="1" i="0" u="none" strike="noStrike" baseline="0">
                      <a:solidFill>
                        <a:srgbClr val="000000"/>
                      </a:solidFill>
                      <a:latin typeface="Times New Roman"/>
                      <a:ea typeface="Times New Roman"/>
                      <a:cs typeface="Times New Roman"/>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88-489A-A102-8A4C59D7B08A}"/>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Times New Roman"/>
                    <a:ea typeface="Times New Roman"/>
                    <a:cs typeface="Times New Roman"/>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ф11!$A$5:$A$25</c:f>
              <c:numCache>
                <c:formatCode>General</c:formatCode>
                <c:ptCount val="21"/>
                <c:pt idx="0">
                  <c:v>2001</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ф11!$C$5:$C$25</c:f>
              <c:numCache>
                <c:formatCode>General</c:formatCode>
                <c:ptCount val="21"/>
                <c:pt idx="0">
                  <c:v>14.4</c:v>
                </c:pt>
                <c:pt idx="1">
                  <c:v>10.4</c:v>
                </c:pt>
                <c:pt idx="2">
                  <c:v>9.6999999999999993</c:v>
                </c:pt>
                <c:pt idx="3">
                  <c:v>9.1999999999999993</c:v>
                </c:pt>
                <c:pt idx="4">
                  <c:v>8.6</c:v>
                </c:pt>
                <c:pt idx="5" formatCode="0.0">
                  <c:v>9</c:v>
                </c:pt>
                <c:pt idx="6" formatCode="0.0">
                  <c:v>9.4</c:v>
                </c:pt>
                <c:pt idx="7">
                  <c:v>8.5</c:v>
                </c:pt>
                <c:pt idx="8">
                  <c:v>7.8</c:v>
                </c:pt>
                <c:pt idx="9">
                  <c:v>7.3</c:v>
                </c:pt>
                <c:pt idx="10">
                  <c:v>7.6</c:v>
                </c:pt>
                <c:pt idx="11">
                  <c:v>6.6</c:v>
                </c:pt>
                <c:pt idx="12">
                  <c:v>6.5</c:v>
                </c:pt>
                <c:pt idx="13">
                  <c:v>6.4</c:v>
                </c:pt>
                <c:pt idx="14" formatCode="0.0">
                  <c:v>5.7559046256250301</c:v>
                </c:pt>
                <c:pt idx="15">
                  <c:v>5.6</c:v>
                </c:pt>
                <c:pt idx="16" formatCode="0.0">
                  <c:v>5.0942693700707444</c:v>
                </c:pt>
                <c:pt idx="17">
                  <c:v>5.6</c:v>
                </c:pt>
                <c:pt idx="18">
                  <c:v>4.8</c:v>
                </c:pt>
                <c:pt idx="19" formatCode="0.0">
                  <c:v>4.9128450792873748</c:v>
                </c:pt>
                <c:pt idx="20">
                  <c:v>4.5</c:v>
                </c:pt>
              </c:numCache>
            </c:numRef>
          </c:val>
          <c:smooth val="0"/>
          <c:extLst>
            <c:ext xmlns:c16="http://schemas.microsoft.com/office/drawing/2014/chart" uri="{C3380CC4-5D6E-409C-BE32-E72D297353CC}">
              <c16:uniqueId val="{00000009-0588-489A-A102-8A4C59D7B08A}"/>
            </c:ext>
          </c:extLst>
        </c:ser>
        <c:dLbls>
          <c:showLegendKey val="0"/>
          <c:showVal val="0"/>
          <c:showCatName val="0"/>
          <c:showSerName val="0"/>
          <c:showPercent val="0"/>
          <c:showBubbleSize val="0"/>
        </c:dLbls>
        <c:marker val="1"/>
        <c:smooth val="0"/>
        <c:axId val="1793795440"/>
        <c:axId val="1"/>
      </c:lineChart>
      <c:catAx>
        <c:axId val="179379544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title>
          <c:tx>
            <c:rich>
              <a:bodyPr rot="0" vert="horz"/>
              <a:lstStyle/>
              <a:p>
                <a:pPr algn="ctr">
                  <a:defRPr sz="900" b="0" i="0" u="none" strike="noStrike" baseline="0">
                    <a:solidFill>
                      <a:srgbClr val="000000"/>
                    </a:solidFill>
                    <a:latin typeface="Times New Roman"/>
                    <a:ea typeface="Times New Roman"/>
                    <a:cs typeface="Times New Roman"/>
                  </a:defRPr>
                </a:pPr>
                <a:r>
                  <a:rPr lang="bg-BG"/>
                  <a:t>‰</a:t>
                </a:r>
              </a:p>
            </c:rich>
          </c:tx>
          <c:layout>
            <c:manualLayout>
              <c:xMode val="edge"/>
              <c:yMode val="edge"/>
              <c:x val="4.999996212594638E-2"/>
              <c:y val="3.9932201935248563E-3"/>
            </c:manualLayout>
          </c:layout>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bg-BG"/>
          </a:p>
        </c:txPr>
        <c:crossAx val="1793795440"/>
        <c:crosses val="autoZero"/>
        <c:crossBetween val="between"/>
      </c:valAx>
    </c:plotArea>
    <c:legend>
      <c:legendPos val="r"/>
      <c:layout>
        <c:manualLayout>
          <c:xMode val="edge"/>
          <c:yMode val="edge"/>
          <c:x val="0.15138289531990318"/>
          <c:y val="0.92052979753552611"/>
          <c:w val="0.66812330276897192"/>
          <c:h val="4.63575704263125E-2"/>
        </c:manualLayout>
      </c:layout>
      <c:overlay val="0"/>
      <c:txPr>
        <a:bodyPr/>
        <a:lstStyle/>
        <a:p>
          <a:pPr>
            <a:defRPr sz="735" b="0" i="0" u="none" strike="noStrike" baseline="0">
              <a:solidFill>
                <a:srgbClr val="000000"/>
              </a:solidFill>
              <a:latin typeface="Times New Roman"/>
              <a:ea typeface="Times New Roman"/>
              <a:cs typeface="Times New Roman"/>
            </a:defRPr>
          </a:pPr>
          <a:endParaRPr lang="bg-BG"/>
        </a:p>
      </c:txPr>
    </c:legend>
    <c:plotVisOnly val="1"/>
    <c:dispBlanksAs val="gap"/>
    <c:showDLblsOverMax val="0"/>
  </c:chart>
  <c:spPr>
    <a:ln>
      <a:noFill/>
    </a:ln>
  </c:spPr>
  <c:txPr>
    <a:bodyPr/>
    <a:lstStyle/>
    <a:p>
      <a:pPr>
        <a:defRPr sz="900" b="0" i="0" u="none" strike="noStrike" baseline="0">
          <a:solidFill>
            <a:srgbClr val="000000"/>
          </a:solidFill>
          <a:latin typeface="Times New Roman"/>
          <a:ea typeface="Times New Roman"/>
          <a:cs typeface="Times New Roman"/>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1351992765610179E-2"/>
          <c:y val="0.10273276049306632"/>
          <c:w val="0.94192531815875957"/>
          <c:h val="0.61999928314721908"/>
        </c:manualLayout>
      </c:layout>
      <c:barChart>
        <c:barDir val="col"/>
        <c:grouping val="clustered"/>
        <c:varyColors val="0"/>
        <c:ser>
          <c:idx val="0"/>
          <c:order val="0"/>
          <c:tx>
            <c:strRef>
              <c:f>t_m_f!$B$22</c:f>
              <c:strCache>
                <c:ptCount val="1"/>
                <c:pt idx="0">
                  <c:v>Oбщо</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t_m_f!$B$23:$B$36</c:f>
              <c:numCache>
                <c:formatCode>0.0</c:formatCode>
                <c:ptCount val="14"/>
                <c:pt idx="0" formatCode="General">
                  <c:v>51.8</c:v>
                </c:pt>
                <c:pt idx="1">
                  <c:v>71.208519999999993</c:v>
                </c:pt>
                <c:pt idx="2">
                  <c:v>70.91</c:v>
                </c:pt>
                <c:pt idx="3">
                  <c:v>72.430000000000007</c:v>
                </c:pt>
                <c:pt idx="4">
                  <c:v>74.69</c:v>
                </c:pt>
                <c:pt idx="5" formatCode="General">
                  <c:v>74.7</c:v>
                </c:pt>
                <c:pt idx="6" formatCode="General">
                  <c:v>74.8</c:v>
                </c:pt>
                <c:pt idx="7" formatCode="General">
                  <c:v>74.8</c:v>
                </c:pt>
                <c:pt idx="8" formatCode="General">
                  <c:v>74.900000000000006</c:v>
                </c:pt>
                <c:pt idx="9" formatCode="General">
                  <c:v>74.599999999999994</c:v>
                </c:pt>
                <c:pt idx="10" formatCode="General">
                  <c:v>73.599999999999994</c:v>
                </c:pt>
                <c:pt idx="11" formatCode="General">
                  <c:v>71.900000000000006</c:v>
                </c:pt>
                <c:pt idx="12" formatCode="General">
                  <c:v>73.5</c:v>
                </c:pt>
                <c:pt idx="13" formatCode="General">
                  <c:v>75.599999999999994</c:v>
                </c:pt>
              </c:numCache>
            </c:numRef>
          </c:val>
          <c:extLst>
            <c:ext xmlns:c16="http://schemas.microsoft.com/office/drawing/2014/chart" uri="{C3380CC4-5D6E-409C-BE32-E72D297353CC}">
              <c16:uniqueId val="{00000000-5C29-4AA3-AA48-BE75DEF617F3}"/>
            </c:ext>
          </c:extLst>
        </c:ser>
        <c:ser>
          <c:idx val="1"/>
          <c:order val="1"/>
          <c:tx>
            <c:strRef>
              <c:f>t_m_f!$C$22</c:f>
              <c:strCache>
                <c:ptCount val="1"/>
                <c:pt idx="0">
                  <c:v>Мъже</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t_m_f!$C$23:$C$36</c:f>
              <c:numCache>
                <c:formatCode>0.0</c:formatCode>
                <c:ptCount val="14"/>
                <c:pt idx="0">
                  <c:v>51</c:v>
                </c:pt>
                <c:pt idx="1">
                  <c:v>69.475430000000003</c:v>
                </c:pt>
                <c:pt idx="2">
                  <c:v>67.319999999999993</c:v>
                </c:pt>
                <c:pt idx="3">
                  <c:v>69.11</c:v>
                </c:pt>
                <c:pt idx="4">
                  <c:v>71.17</c:v>
                </c:pt>
                <c:pt idx="5" formatCode="General">
                  <c:v>71.2</c:v>
                </c:pt>
                <c:pt idx="6" formatCode="General">
                  <c:v>71.3</c:v>
                </c:pt>
                <c:pt idx="7" formatCode="General">
                  <c:v>71.400000000000006</c:v>
                </c:pt>
                <c:pt idx="8" formatCode="General">
                  <c:v>71.5</c:v>
                </c:pt>
                <c:pt idx="9" formatCode="General">
                  <c:v>71.099999999999994</c:v>
                </c:pt>
                <c:pt idx="10" formatCode="General">
                  <c:v>70.099999999999994</c:v>
                </c:pt>
                <c:pt idx="11" formatCode="General">
                  <c:v>68.3</c:v>
                </c:pt>
                <c:pt idx="12" formatCode="General">
                  <c:v>69.900000000000006</c:v>
                </c:pt>
                <c:pt idx="13" formatCode="General">
                  <c:v>71.900000000000006</c:v>
                </c:pt>
              </c:numCache>
            </c:numRef>
          </c:val>
          <c:extLst>
            <c:ext xmlns:c16="http://schemas.microsoft.com/office/drawing/2014/chart" uri="{C3380CC4-5D6E-409C-BE32-E72D297353CC}">
              <c16:uniqueId val="{00000001-5C29-4AA3-AA48-BE75DEF617F3}"/>
            </c:ext>
          </c:extLst>
        </c:ser>
        <c:ser>
          <c:idx val="2"/>
          <c:order val="2"/>
          <c:tx>
            <c:strRef>
              <c:f>t_m_f!$D$22</c:f>
              <c:strCache>
                <c:ptCount val="1"/>
                <c:pt idx="0">
                  <c:v>Жени</c:v>
                </c:pt>
              </c:strCache>
            </c:strRef>
          </c:tx>
          <c:invertIfNegative val="0"/>
          <c:cat>
            <c:strRef>
              <c:f>t_m_f!$A$23:$A$36</c:f>
              <c:strCache>
                <c:ptCount val="14"/>
                <c:pt idx="0">
                  <c:v>1935 - 1939</c:v>
                </c:pt>
                <c:pt idx="1">
                  <c:v>1962 - 1964</c:v>
                </c:pt>
                <c:pt idx="2">
                  <c:v>1992 - 1994</c:v>
                </c:pt>
                <c:pt idx="3">
                  <c:v>2002 - 2004</c:v>
                </c:pt>
                <c:pt idx="4">
                  <c:v>2012 - 2014</c:v>
                </c:pt>
                <c:pt idx="5">
                  <c:v>2014 - 2016</c:v>
                </c:pt>
                <c:pt idx="6">
                  <c:v>2015 - 2017</c:v>
                </c:pt>
                <c:pt idx="7">
                  <c:v>2016 - 2018</c:v>
                </c:pt>
                <c:pt idx="8">
                  <c:v>2017 - 2019</c:v>
                </c:pt>
                <c:pt idx="9">
                  <c:v>2018 - 2020</c:v>
                </c:pt>
                <c:pt idx="10">
                  <c:v>2019 - 2021</c:v>
                </c:pt>
                <c:pt idx="11">
                  <c:v>2020 - 2022</c:v>
                </c:pt>
                <c:pt idx="12">
                  <c:v>2021 - 2023</c:v>
                </c:pt>
                <c:pt idx="13">
                  <c:v>2022 - 2024</c:v>
                </c:pt>
              </c:strCache>
            </c:strRef>
          </c:cat>
          <c:val>
            <c:numRef>
              <c:f>t_m_f!$D$23:$D$36</c:f>
              <c:numCache>
                <c:formatCode>0.0</c:formatCode>
                <c:ptCount val="14"/>
                <c:pt idx="0" formatCode="General">
                  <c:v>52.6</c:v>
                </c:pt>
                <c:pt idx="1">
                  <c:v>72.980369999999994</c:v>
                </c:pt>
                <c:pt idx="2">
                  <c:v>74.88</c:v>
                </c:pt>
                <c:pt idx="3">
                  <c:v>76.22</c:v>
                </c:pt>
                <c:pt idx="4">
                  <c:v>78.28</c:v>
                </c:pt>
                <c:pt idx="5" formatCode="General">
                  <c:v>78.2</c:v>
                </c:pt>
                <c:pt idx="6" formatCode="General">
                  <c:v>78.400000000000006</c:v>
                </c:pt>
                <c:pt idx="7" formatCode="General">
                  <c:v>78.400000000000006</c:v>
                </c:pt>
                <c:pt idx="8" formatCode="General">
                  <c:v>78.5</c:v>
                </c:pt>
                <c:pt idx="9" formatCode="General">
                  <c:v>78.2</c:v>
                </c:pt>
                <c:pt idx="10" formatCode="General">
                  <c:v>77.400000000000006</c:v>
                </c:pt>
                <c:pt idx="11" formatCode="General">
                  <c:v>75.8</c:v>
                </c:pt>
                <c:pt idx="12" formatCode="General">
                  <c:v>77.3</c:v>
                </c:pt>
                <c:pt idx="13" formatCode="General">
                  <c:v>79.3</c:v>
                </c:pt>
              </c:numCache>
            </c:numRef>
          </c:val>
          <c:extLst>
            <c:ext xmlns:c16="http://schemas.microsoft.com/office/drawing/2014/chart" uri="{C3380CC4-5D6E-409C-BE32-E72D297353CC}">
              <c16:uniqueId val="{00000002-5C29-4AA3-AA48-BE75DEF617F3}"/>
            </c:ext>
          </c:extLst>
        </c:ser>
        <c:dLbls>
          <c:showLegendKey val="0"/>
          <c:showVal val="0"/>
          <c:showCatName val="0"/>
          <c:showSerName val="0"/>
          <c:showPercent val="0"/>
          <c:showBubbleSize val="0"/>
        </c:dLbls>
        <c:gapWidth val="150"/>
        <c:axId val="941134992"/>
        <c:axId val="1"/>
      </c:barChart>
      <c:catAx>
        <c:axId val="941134992"/>
        <c:scaling>
          <c:orientation val="minMax"/>
        </c:scaling>
        <c:delete val="0"/>
        <c:axPos val="b"/>
        <c:title>
          <c:tx>
            <c:rich>
              <a:bodyPr/>
              <a:lstStyle/>
              <a:p>
                <a:pPr>
                  <a:defRPr sz="1200">
                    <a:latin typeface="Times New Roman" panose="02020603050405020304" pitchFamily="18" charset="0"/>
                    <a:ea typeface="Verdana" panose="020B0604030504040204" pitchFamily="34" charset="0"/>
                    <a:cs typeface="Times New Roman" panose="02020603050405020304" pitchFamily="18" charset="0"/>
                  </a:defRPr>
                </a:pPr>
                <a:r>
                  <a:rPr lang="en-US" sz="1200">
                    <a:latin typeface="Times New Roman" panose="02020603050405020304" pitchFamily="18" charset="0"/>
                    <a:ea typeface="Verdana" panose="020B0604030504040204" pitchFamily="34" charset="0"/>
                    <a:cs typeface="Times New Roman" panose="02020603050405020304" pitchFamily="18" charset="0"/>
                  </a:rPr>
                  <a:t>      </a:t>
                </a:r>
                <a:r>
                  <a:rPr lang="bg-BG" sz="1200">
                    <a:latin typeface="Times New Roman" panose="02020603050405020304" pitchFamily="18" charset="0"/>
                    <a:ea typeface="Verdana" panose="020B0604030504040204" pitchFamily="34" charset="0"/>
                    <a:cs typeface="Times New Roman" panose="02020603050405020304" pitchFamily="18" charset="0"/>
                  </a:rPr>
                  <a:t>Възраст</a:t>
                </a:r>
              </a:p>
            </c:rich>
          </c:tx>
          <c:layout>
            <c:manualLayout>
              <c:xMode val="edge"/>
              <c:yMode val="edge"/>
              <c:x val="4.9812340232715212E-3"/>
              <c:y val="2.6296035029519615E-2"/>
            </c:manualLayout>
          </c:layout>
          <c:overlay val="0"/>
        </c:title>
        <c:numFmt formatCode="General" sourceLinked="1"/>
        <c:majorTickMark val="out"/>
        <c:minorTickMark val="none"/>
        <c:tickLblPos val="nextTo"/>
        <c:txPr>
          <a:bodyPr rot="-5400000" vert="horz"/>
          <a:lstStyle/>
          <a:p>
            <a:pPr>
              <a:defRPr sz="900">
                <a:latin typeface="Times New Roman" panose="02020603050405020304" pitchFamily="18" charset="0"/>
                <a:ea typeface="Verdana" panose="020B0604030504040204" pitchFamily="34" charset="0"/>
                <a:cs typeface="Times New Roman" panose="02020603050405020304" pitchFamily="18" charset="0"/>
              </a:defRPr>
            </a:pPr>
            <a:endParaRPr lang="bg-BG"/>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800">
                <a:latin typeface="Verdana" panose="020B0604030504040204" pitchFamily="34" charset="0"/>
                <a:ea typeface="Verdana" panose="020B0604030504040204" pitchFamily="34" charset="0"/>
              </a:defRPr>
            </a:pPr>
            <a:endParaRPr lang="bg-BG"/>
          </a:p>
        </c:txPr>
        <c:crossAx val="941134992"/>
        <c:crosses val="autoZero"/>
        <c:crossBetween val="between"/>
        <c:majorUnit val="5"/>
      </c:valAx>
    </c:plotArea>
    <c:legend>
      <c:legendPos val="b"/>
      <c:overlay val="0"/>
      <c:txPr>
        <a:bodyPr/>
        <a:lstStyle/>
        <a:p>
          <a:pPr>
            <a:defRPr sz="900">
              <a:latin typeface="Times New Roman" panose="02020603050405020304" pitchFamily="18" charset="0"/>
              <a:ea typeface="Verdana" panose="020B0604030504040204" pitchFamily="34" charset="0"/>
              <a:cs typeface="Times New Roman" panose="02020603050405020304" pitchFamily="18" charset="0"/>
            </a:defRPr>
          </a:pPr>
          <a:endParaRPr lang="bg-BG"/>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bg-B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48684973603811"/>
          <c:y val="6.4702752233117791E-2"/>
          <c:w val="0.54206350629861477"/>
          <c:h val="0.7945436980192363"/>
        </c:manualLayout>
      </c:layout>
      <c:pieChart>
        <c:varyColors val="1"/>
        <c:ser>
          <c:idx val="0"/>
          <c:order val="0"/>
          <c:spPr>
            <a:solidFill>
              <a:schemeClr val="tx2">
                <a:lumMod val="50000"/>
              </a:schemeClr>
            </a:solidFill>
          </c:spPr>
          <c:dPt>
            <c:idx val="0"/>
            <c:bubble3D val="0"/>
            <c:extLst>
              <c:ext xmlns:c16="http://schemas.microsoft.com/office/drawing/2014/chart" uri="{C3380CC4-5D6E-409C-BE32-E72D297353CC}">
                <c16:uniqueId val="{00000000-ED15-4885-93E9-4CD86B739ABE}"/>
              </c:ext>
            </c:extLst>
          </c:dPt>
          <c:dPt>
            <c:idx val="1"/>
            <c:bubble3D val="0"/>
            <c:spPr>
              <a:solidFill>
                <a:schemeClr val="accent1">
                  <a:lumMod val="75000"/>
                </a:schemeClr>
              </a:solidFill>
            </c:spPr>
            <c:extLst>
              <c:ext xmlns:c16="http://schemas.microsoft.com/office/drawing/2014/chart" uri="{C3380CC4-5D6E-409C-BE32-E72D297353CC}">
                <c16:uniqueId val="{00000002-ED15-4885-93E9-4CD86B739ABE}"/>
              </c:ext>
            </c:extLst>
          </c:dPt>
          <c:dPt>
            <c:idx val="2"/>
            <c:bubble3D val="0"/>
            <c:spPr>
              <a:solidFill>
                <a:schemeClr val="tx2">
                  <a:lumMod val="40000"/>
                  <a:lumOff val="60000"/>
                </a:schemeClr>
              </a:solidFill>
            </c:spPr>
            <c:extLst>
              <c:ext xmlns:c16="http://schemas.microsoft.com/office/drawing/2014/chart" uri="{C3380CC4-5D6E-409C-BE32-E72D297353CC}">
                <c16:uniqueId val="{00000004-ED15-4885-93E9-4CD86B739ABE}"/>
              </c:ext>
            </c:extLst>
          </c:dPt>
          <c:dPt>
            <c:idx val="3"/>
            <c:bubble3D val="0"/>
            <c:spPr>
              <a:solidFill>
                <a:schemeClr val="accent1">
                  <a:lumMod val="20000"/>
                  <a:lumOff val="80000"/>
                </a:schemeClr>
              </a:solidFill>
            </c:spPr>
            <c:extLst>
              <c:ext xmlns:c16="http://schemas.microsoft.com/office/drawing/2014/chart" uri="{C3380CC4-5D6E-409C-BE32-E72D297353CC}">
                <c16:uniqueId val="{00000006-ED15-4885-93E9-4CD86B739ABE}"/>
              </c:ext>
            </c:extLst>
          </c:dPt>
          <c:dLbls>
            <c:dLbl>
              <c:idx val="0"/>
              <c:layout>
                <c:manualLayout>
                  <c:x val="9.9936027358766936E-3"/>
                  <c:y val="4.2482589676290462E-2"/>
                </c:manualLayout>
              </c:layout>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41.4%</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15-4885-93E9-4CD86B739ABE}"/>
                </c:ext>
              </c:extLst>
            </c:dLbl>
            <c:dLbl>
              <c:idx val="1"/>
              <c:layout>
                <c:manualLayout>
                  <c:x val="-7.033661417322834E-2"/>
                  <c:y val="-3.7572178477690288E-2"/>
                </c:manualLayout>
              </c:layout>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22.8%</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D15-4885-93E9-4CD86B739ABE}"/>
                </c:ext>
              </c:extLst>
            </c:dLbl>
            <c:dLbl>
              <c:idx val="2"/>
              <c:layout>
                <c:manualLayout>
                  <c:x val="-1.0760556980491347E-2"/>
                  <c:y val="7.0908486439195104E-2"/>
                </c:manualLayout>
              </c:layout>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26.1%</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D15-4885-93E9-4CD86B739ABE}"/>
                </c:ext>
              </c:extLst>
            </c:dLbl>
            <c:dLbl>
              <c:idx val="3"/>
              <c:layout>
                <c:manualLayout>
                  <c:x val="6.08445584393067E-3"/>
                  <c:y val="-1.4344706911636046E-3"/>
                </c:manualLayout>
              </c:layout>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9.7%</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D15-4885-93E9-4CD86B739ABE}"/>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bg-BG"/>
              </a:p>
            </c:txPr>
            <c:showLegendKey val="0"/>
            <c:showVal val="0"/>
            <c:showCatName val="0"/>
            <c:showSerName val="0"/>
            <c:showPercent val="0"/>
            <c:showBubbleSize val="0"/>
            <c:extLst>
              <c:ext xmlns:c15="http://schemas.microsoft.com/office/drawing/2012/chart" uri="{CE6537A1-D6FC-4f65-9D91-7224C49458BB}"/>
            </c:extLst>
          </c:dLbls>
          <c:cat>
            <c:strRef>
              <c:f>ф14!$A$5:$A$8</c:f>
              <c:strCache>
                <c:ptCount val="4"/>
                <c:pt idx="0">
                  <c:v>Град - град</c:v>
                </c:pt>
                <c:pt idx="1">
                  <c:v>Град - село</c:v>
                </c:pt>
                <c:pt idx="2">
                  <c:v>Село - град</c:v>
                </c:pt>
                <c:pt idx="3">
                  <c:v>Село - село</c:v>
                </c:pt>
              </c:strCache>
            </c:strRef>
          </c:cat>
          <c:val>
            <c:numRef>
              <c:f>ф14!$B$5:$B$8</c:f>
              <c:numCache>
                <c:formatCode>0.0</c:formatCode>
                <c:ptCount val="4"/>
                <c:pt idx="0">
                  <c:v>41.411502277116298</c:v>
                </c:pt>
                <c:pt idx="1">
                  <c:v>22.774260840829054</c:v>
                </c:pt>
                <c:pt idx="2">
                  <c:v>26.133652783658462</c:v>
                </c:pt>
                <c:pt idx="3">
                  <c:v>9.6805840983962081</c:v>
                </c:pt>
              </c:numCache>
            </c:numRef>
          </c:val>
          <c:extLst>
            <c:ext xmlns:c16="http://schemas.microsoft.com/office/drawing/2014/chart" uri="{C3380CC4-5D6E-409C-BE32-E72D297353CC}">
              <c16:uniqueId val="{00000007-ED15-4885-93E9-4CD86B739AB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6.9096431283219434E-2"/>
          <c:y val="0.91222502187226595"/>
          <c:w val="0.84738136662302177"/>
          <c:h val="8.000034995625549E-2"/>
        </c:manualLayout>
      </c:layout>
      <c:overlay val="0"/>
      <c:txPr>
        <a:bodyPr/>
        <a:lstStyle/>
        <a:p>
          <a:pPr>
            <a:defRPr sz="900">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spPr>
    <a:ln>
      <a:no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Calibri"/>
        </a:defRPr>
      </a:pPr>
      <a:endParaRPr lang="bg-B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3946398901967E-2"/>
          <c:y val="5.342665500145815E-2"/>
          <c:w val="0.73407462255291478"/>
          <c:h val="0.80062492188476442"/>
        </c:manualLayout>
      </c:layout>
      <c:barChart>
        <c:barDir val="bar"/>
        <c:grouping val="clustered"/>
        <c:varyColors val="0"/>
        <c:ser>
          <c:idx val="0"/>
          <c:order val="0"/>
          <c:tx>
            <c:strRef>
              <c:f>'ф 1.'!$B$3</c:f>
              <c:strCache>
                <c:ptCount val="1"/>
                <c:pt idx="0">
                  <c:v>Мъже</c:v>
                </c:pt>
              </c:strCache>
            </c:strRef>
          </c:tx>
          <c:spPr>
            <a:solidFill>
              <a:srgbClr val="4F81BD"/>
            </a:solidFill>
            <a:ln w="25400">
              <a:noFill/>
            </a:ln>
          </c:spPr>
          <c:invertIfNegative val="0"/>
          <c:cat>
            <c:strRef>
              <c:f>'ф 1.'!$A$4:$A$24</c:f>
              <c:strCache>
                <c:ptCount val="21"/>
                <c:pt idx="0">
                  <c:v>  0 - 4</c:v>
                </c:pt>
                <c:pt idx="1">
                  <c:v>  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'ф 1.'!$B$4:$B$24</c:f>
              <c:numCache>
                <c:formatCode>General</c:formatCode>
                <c:ptCount val="21"/>
                <c:pt idx="0">
                  <c:v>-145915</c:v>
                </c:pt>
                <c:pt idx="1">
                  <c:v>-155892</c:v>
                </c:pt>
                <c:pt idx="2">
                  <c:v>-161176</c:v>
                </c:pt>
                <c:pt idx="3">
                  <c:v>-168099</c:v>
                </c:pt>
                <c:pt idx="4">
                  <c:v>-146740</c:v>
                </c:pt>
                <c:pt idx="5">
                  <c:v>-139427</c:v>
                </c:pt>
                <c:pt idx="6">
                  <c:v>-176515</c:v>
                </c:pt>
                <c:pt idx="7">
                  <c:v>-219642</c:v>
                </c:pt>
                <c:pt idx="8">
                  <c:v>-230402</c:v>
                </c:pt>
                <c:pt idx="9">
                  <c:v>-254748</c:v>
                </c:pt>
                <c:pt idx="10">
                  <c:v>-249119</c:v>
                </c:pt>
                <c:pt idx="11">
                  <c:v>-224948</c:v>
                </c:pt>
                <c:pt idx="12">
                  <c:v>-213929</c:v>
                </c:pt>
                <c:pt idx="13">
                  <c:v>-197839</c:v>
                </c:pt>
                <c:pt idx="14">
                  <c:v>-170915</c:v>
                </c:pt>
                <c:pt idx="15">
                  <c:v>-127915</c:v>
                </c:pt>
                <c:pt idx="16">
                  <c:v>-67706</c:v>
                </c:pt>
                <c:pt idx="17">
                  <c:v>-31856</c:v>
                </c:pt>
                <c:pt idx="18">
                  <c:v>-10703</c:v>
                </c:pt>
                <c:pt idx="19">
                  <c:v>-1540</c:v>
                </c:pt>
                <c:pt idx="20">
                  <c:v>-114</c:v>
                </c:pt>
              </c:numCache>
            </c:numRef>
          </c:val>
          <c:extLst>
            <c:ext xmlns:c16="http://schemas.microsoft.com/office/drawing/2014/chart" uri="{C3380CC4-5D6E-409C-BE32-E72D297353CC}">
              <c16:uniqueId val="{00000000-A025-4411-AEFB-15FF77FCA7A0}"/>
            </c:ext>
          </c:extLst>
        </c:ser>
        <c:dLbls>
          <c:showLegendKey val="0"/>
          <c:showVal val="0"/>
          <c:showCatName val="0"/>
          <c:showSerName val="0"/>
          <c:showPercent val="0"/>
          <c:showBubbleSize val="0"/>
        </c:dLbls>
        <c:gapWidth val="34"/>
        <c:overlap val="100"/>
        <c:axId val="1084498639"/>
        <c:axId val="1"/>
      </c:barChart>
      <c:catAx>
        <c:axId val="1084498639"/>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
        <c:crosses val="autoZero"/>
        <c:auto val="1"/>
        <c:lblAlgn val="ctr"/>
        <c:lblOffset val="100"/>
        <c:noMultiLvlLbl val="0"/>
      </c:catAx>
      <c:valAx>
        <c:axId val="1"/>
        <c:scaling>
          <c:orientation val="minMax"/>
        </c:scaling>
        <c:delete val="0"/>
        <c:axPos val="b"/>
        <c:title>
          <c:tx>
            <c:rich>
              <a:bodyPr/>
              <a:lstStyle/>
              <a:p>
                <a:pPr>
                  <a:defRPr sz="900" b="0" i="0" u="none" strike="noStrike" baseline="0">
                    <a:solidFill>
                      <a:srgbClr val="000000"/>
                    </a:solidFill>
                    <a:latin typeface="Times New Roman" panose="02020603050405020304" pitchFamily="18" charset="0"/>
                    <a:ea typeface="Verdana" panose="020B0604030504040204" pitchFamily="34" charset="0"/>
                    <a:cs typeface="Times New Roman" panose="02020603050405020304" pitchFamily="18" charset="0"/>
                  </a:defRPr>
                </a:pPr>
                <a:r>
                  <a:rPr lang="bg-BG" sz="900">
                    <a:latin typeface="Times New Roman" panose="02020603050405020304" pitchFamily="18" charset="0"/>
                    <a:ea typeface="Verdana" panose="020B0604030504040204" pitchFamily="34" charset="0"/>
                    <a:cs typeface="Times New Roman" panose="02020603050405020304" pitchFamily="18" charset="0"/>
                  </a:rPr>
                  <a:t>Мъже</a:t>
                </a:r>
              </a:p>
            </c:rich>
          </c:tx>
          <c:layout>
            <c:manualLayout>
              <c:xMode val="edge"/>
              <c:yMode val="edge"/>
              <c:x val="0.61736368727967583"/>
              <c:y val="0.92626680924143745"/>
            </c:manualLayout>
          </c:layout>
          <c:overlay val="0"/>
          <c:spPr>
            <a:noFill/>
            <a:ln w="25400">
              <a:noFill/>
            </a:ln>
          </c:spPr>
        </c:title>
        <c:numFmt formatCode="0;0" sourceLinked="0"/>
        <c:majorTickMark val="none"/>
        <c:minorTickMark val="none"/>
        <c:tickLblPos val="nextTo"/>
        <c:spPr>
          <a:ln w="9525">
            <a:noFill/>
          </a:ln>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084498639"/>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96758104738152E-2"/>
          <c:y val="6.5231481481481488E-2"/>
          <c:w val="0.80204204204204199"/>
          <c:h val="0.78437976502937146"/>
        </c:manualLayout>
      </c:layout>
      <c:barChart>
        <c:barDir val="bar"/>
        <c:grouping val="clustered"/>
        <c:varyColors val="0"/>
        <c:ser>
          <c:idx val="0"/>
          <c:order val="0"/>
          <c:tx>
            <c:strRef>
              <c:f>'ф 1.'!$D$3</c:f>
              <c:strCache>
                <c:ptCount val="1"/>
                <c:pt idx="0">
                  <c:v>Жени</c:v>
                </c:pt>
              </c:strCache>
            </c:strRef>
          </c:tx>
          <c:spPr>
            <a:solidFill>
              <a:srgbClr val="FF0000"/>
            </a:solidFill>
            <a:ln w="12700">
              <a:solidFill>
                <a:srgbClr val="FF0000"/>
              </a:solidFill>
              <a:prstDash val="solid"/>
            </a:ln>
          </c:spPr>
          <c:invertIfNegative val="0"/>
          <c:cat>
            <c:strRef>
              <c:f>'ф 1.'!$C$4:$C$24</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'ф 1.'!$D$4:$D$24</c:f>
              <c:numCache>
                <c:formatCode>General</c:formatCode>
                <c:ptCount val="21"/>
                <c:pt idx="0">
                  <c:v>138851</c:v>
                </c:pt>
                <c:pt idx="1">
                  <c:v>147634</c:v>
                </c:pt>
                <c:pt idx="2">
                  <c:v>152375</c:v>
                </c:pt>
                <c:pt idx="3">
                  <c:v>157340</c:v>
                </c:pt>
                <c:pt idx="4">
                  <c:v>137517</c:v>
                </c:pt>
                <c:pt idx="5">
                  <c:v>131291</c:v>
                </c:pt>
                <c:pt idx="6">
                  <c:v>166378</c:v>
                </c:pt>
                <c:pt idx="7">
                  <c:v>207226</c:v>
                </c:pt>
                <c:pt idx="8">
                  <c:v>214786</c:v>
                </c:pt>
                <c:pt idx="9">
                  <c:v>242743</c:v>
                </c:pt>
                <c:pt idx="10">
                  <c:v>242767</c:v>
                </c:pt>
                <c:pt idx="11">
                  <c:v>229931</c:v>
                </c:pt>
                <c:pt idx="12">
                  <c:v>237724</c:v>
                </c:pt>
                <c:pt idx="13">
                  <c:v>247694</c:v>
                </c:pt>
                <c:pt idx="14">
                  <c:v>243414</c:v>
                </c:pt>
                <c:pt idx="15">
                  <c:v>212127</c:v>
                </c:pt>
                <c:pt idx="16">
                  <c:v>130655</c:v>
                </c:pt>
                <c:pt idx="17">
                  <c:v>71046</c:v>
                </c:pt>
                <c:pt idx="18">
                  <c:v>26245</c:v>
                </c:pt>
                <c:pt idx="19">
                  <c:v>4151</c:v>
                </c:pt>
                <c:pt idx="20">
                  <c:v>325</c:v>
                </c:pt>
              </c:numCache>
            </c:numRef>
          </c:val>
          <c:extLst>
            <c:ext xmlns:c16="http://schemas.microsoft.com/office/drawing/2014/chart" uri="{C3380CC4-5D6E-409C-BE32-E72D297353CC}">
              <c16:uniqueId val="{00000000-926C-45BA-A418-F004A968AC56}"/>
            </c:ext>
          </c:extLst>
        </c:ser>
        <c:dLbls>
          <c:showLegendKey val="0"/>
          <c:showVal val="0"/>
          <c:showCatName val="0"/>
          <c:showSerName val="0"/>
          <c:showPercent val="0"/>
          <c:showBubbleSize val="0"/>
        </c:dLbls>
        <c:gapWidth val="36"/>
        <c:overlap val="100"/>
        <c:axId val="1128679343"/>
        <c:axId val="1"/>
      </c:barChart>
      <c:catAx>
        <c:axId val="1128679343"/>
        <c:scaling>
          <c:orientation val="minMax"/>
        </c:scaling>
        <c:delete val="0"/>
        <c:axPos val="l"/>
        <c:numFmt formatCode="General" sourceLinked="1"/>
        <c:majorTickMark val="none"/>
        <c:minorTickMark val="none"/>
        <c:tickLblPos val="none"/>
        <c:spPr>
          <a:noFill/>
          <a:ln w="9525" cap="flat" cmpd="sng" algn="ctr">
            <a:solidFill>
              <a:schemeClr val="tx1">
                <a:lumMod val="15000"/>
                <a:lumOff val="85000"/>
              </a:schemeClr>
            </a:solidFill>
            <a:round/>
          </a:ln>
          <a:effectLst/>
        </c:spPr>
        <c:crossAx val="1"/>
        <c:crosses val="autoZero"/>
        <c:auto val="1"/>
        <c:lblAlgn val="ctr"/>
        <c:lblOffset val="100"/>
        <c:noMultiLvlLbl val="0"/>
      </c:catAx>
      <c:valAx>
        <c:axId val="1"/>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bg-BG" sz="900">
                    <a:latin typeface="Times New Roman" panose="02020603050405020304" pitchFamily="18" charset="0"/>
                    <a:cs typeface="Times New Roman" panose="02020603050405020304" pitchFamily="18" charset="0"/>
                  </a:rPr>
                  <a:t>Жени</a:t>
                </a:r>
              </a:p>
            </c:rich>
          </c:tx>
          <c:layout>
            <c:manualLayout>
              <c:xMode val="edge"/>
              <c:yMode val="edge"/>
              <c:x val="7.0164638511095195E-2"/>
              <c:y val="0.92157480314960627"/>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a:pPr>
            <a:endParaRPr lang="bg-BG"/>
          </a:p>
        </c:txPr>
        <c:crossAx val="1128679343"/>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Calibri"/>
        </a:defRPr>
      </a:pPr>
      <a:endParaRPr lang="bg-BG"/>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0.03115</cdr:x>
      <cdr:y>0.0303</cdr:y>
    </cdr:from>
    <cdr:to>
      <cdr:x>0.12305</cdr:x>
      <cdr:y>0.04924</cdr:y>
    </cdr:to>
    <cdr:sp macro="" textlink="">
      <cdr:nvSpPr>
        <cdr:cNvPr id="2" name="TextBox 1"/>
        <cdr:cNvSpPr txBox="1"/>
      </cdr:nvSpPr>
      <cdr:spPr>
        <a:xfrm xmlns:a="http://schemas.openxmlformats.org/drawingml/2006/main">
          <a:off x="190500" y="76200"/>
          <a:ext cx="561975" cy="4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bg-BG"/>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D18AD-6D29-47B5-8022-FAC284017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264</Pages>
  <Words>108117</Words>
  <Characters>616269</Characters>
  <Application>Microsoft Office Word</Application>
  <DocSecurity>0</DocSecurity>
  <Lines>5135</Lines>
  <Paragraphs>1445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Barkashki</dc:creator>
  <cp:keywords/>
  <dc:description/>
  <cp:lastModifiedBy>Галина Смелова</cp:lastModifiedBy>
  <cp:revision>2</cp:revision>
  <cp:lastPrinted>2025-09-15T12:31:00Z</cp:lastPrinted>
  <dcterms:created xsi:type="dcterms:W3CDTF">2026-01-05T07:34:00Z</dcterms:created>
  <dcterms:modified xsi:type="dcterms:W3CDTF">2026-01-05T07:34:00Z</dcterms:modified>
</cp:coreProperties>
</file>