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739B7" w14:textId="77777777" w:rsidR="00C96CFF" w:rsidRPr="0033134A" w:rsidRDefault="00A86424" w:rsidP="00C96CFF">
      <w:pPr>
        <w:pStyle w:val="Heading1"/>
        <w:spacing w:line="276" w:lineRule="auto"/>
        <w:rPr>
          <w:color w:val="000000" w:themeColor="text1"/>
          <w:sz w:val="22"/>
          <w:szCs w:val="22"/>
          <w:lang w:val="bg-BG"/>
        </w:rPr>
      </w:pPr>
      <w:r w:rsidRPr="001C0361">
        <w:rPr>
          <w:color w:val="000000"/>
          <w:sz w:val="22"/>
          <w:szCs w:val="22"/>
        </w:rPr>
        <w:tab/>
      </w:r>
      <w:r w:rsidRPr="001C0361">
        <w:rPr>
          <w:color w:val="000000"/>
          <w:sz w:val="22"/>
          <w:szCs w:val="22"/>
        </w:rPr>
        <w:tab/>
      </w:r>
      <w:r w:rsidRPr="001C0361">
        <w:rPr>
          <w:color w:val="000000"/>
          <w:sz w:val="22"/>
          <w:szCs w:val="22"/>
        </w:rPr>
        <w:tab/>
      </w:r>
      <w:r w:rsidRPr="001C0361">
        <w:rPr>
          <w:color w:val="000000"/>
          <w:sz w:val="22"/>
          <w:szCs w:val="22"/>
          <w:lang w:val="bg-BG"/>
        </w:rPr>
        <w:tab/>
      </w:r>
      <w:r w:rsidRPr="001C0361">
        <w:rPr>
          <w:color w:val="000000"/>
          <w:sz w:val="22"/>
          <w:szCs w:val="22"/>
          <w:lang w:val="bg-BG"/>
        </w:rPr>
        <w:tab/>
      </w:r>
      <w:r w:rsidRPr="001C0361">
        <w:rPr>
          <w:color w:val="000000"/>
          <w:sz w:val="22"/>
          <w:szCs w:val="22"/>
          <w:lang w:val="bg-BG"/>
        </w:rPr>
        <w:tab/>
      </w:r>
      <w:r w:rsidRPr="001C0361">
        <w:rPr>
          <w:color w:val="000000"/>
          <w:sz w:val="22"/>
          <w:szCs w:val="22"/>
          <w:lang w:val="bg-BG"/>
        </w:rPr>
        <w:tab/>
      </w:r>
      <w:r w:rsidRPr="001C0361">
        <w:rPr>
          <w:color w:val="000000"/>
          <w:sz w:val="22"/>
          <w:szCs w:val="22"/>
          <w:lang w:val="bg-BG"/>
        </w:rPr>
        <w:tab/>
      </w:r>
      <w:r w:rsidRPr="001C0361">
        <w:rPr>
          <w:color w:val="000000"/>
          <w:sz w:val="22"/>
          <w:szCs w:val="22"/>
          <w:lang w:val="bg-BG"/>
        </w:rPr>
        <w:tab/>
      </w:r>
      <w:r w:rsidRPr="001C0361">
        <w:rPr>
          <w:color w:val="000000"/>
          <w:sz w:val="22"/>
          <w:szCs w:val="22"/>
          <w:lang w:val="bg-BG"/>
        </w:rPr>
        <w:tab/>
      </w:r>
      <w:r w:rsidRPr="0033134A">
        <w:rPr>
          <w:color w:val="000000" w:themeColor="text1"/>
          <w:sz w:val="22"/>
          <w:szCs w:val="22"/>
          <w:lang w:val="bg-BG"/>
        </w:rPr>
        <w:t>Приложение № 1</w:t>
      </w:r>
    </w:p>
    <w:p w14:paraId="4DAE10E6" w14:textId="77777777" w:rsidR="00C96CFF" w:rsidRPr="0033134A" w:rsidRDefault="00C96CFF" w:rsidP="00C96CFF">
      <w:pPr>
        <w:pStyle w:val="Heading1"/>
        <w:spacing w:line="276" w:lineRule="auto"/>
        <w:rPr>
          <w:color w:val="000000" w:themeColor="text1"/>
          <w:sz w:val="22"/>
          <w:szCs w:val="22"/>
          <w:lang w:val="bg-BG"/>
        </w:rPr>
      </w:pPr>
    </w:p>
    <w:p w14:paraId="29CB2537" w14:textId="77777777" w:rsidR="009F01F3" w:rsidRPr="0033134A" w:rsidRDefault="009F01F3" w:rsidP="009F01F3">
      <w:pPr>
        <w:rPr>
          <w:color w:val="000000" w:themeColor="text1"/>
          <w:lang w:val="bg-BG"/>
        </w:rPr>
      </w:pPr>
    </w:p>
    <w:p w14:paraId="715F8AC4" w14:textId="77777777" w:rsidR="00FA4B27" w:rsidRDefault="00FA4B27" w:rsidP="009F01F3">
      <w:pPr>
        <w:rPr>
          <w:lang w:val="bg-BG"/>
        </w:rPr>
      </w:pPr>
    </w:p>
    <w:p w14:paraId="795B6E98" w14:textId="77777777" w:rsidR="004D24C4" w:rsidRDefault="004D24C4" w:rsidP="009F01F3">
      <w:pPr>
        <w:rPr>
          <w:lang w:val="bg-BG"/>
        </w:rPr>
      </w:pPr>
    </w:p>
    <w:p w14:paraId="43AEC4EA" w14:textId="77777777" w:rsidR="004D24C4" w:rsidRPr="009F01F3" w:rsidRDefault="004D24C4" w:rsidP="009F01F3">
      <w:pPr>
        <w:rPr>
          <w:lang w:val="bg-BG"/>
        </w:rPr>
      </w:pPr>
    </w:p>
    <w:p w14:paraId="22C51D0D" w14:textId="77777777" w:rsidR="00C96CFF" w:rsidRDefault="00C96CFF" w:rsidP="00C96CFF">
      <w:pPr>
        <w:pStyle w:val="Heading1"/>
        <w:spacing w:line="276" w:lineRule="auto"/>
        <w:rPr>
          <w:sz w:val="22"/>
          <w:szCs w:val="22"/>
          <w:lang w:val="bg-BG"/>
        </w:rPr>
      </w:pPr>
    </w:p>
    <w:p w14:paraId="7EF83F9B" w14:textId="77777777" w:rsidR="00C96CFF" w:rsidRDefault="00C96CFF" w:rsidP="00C96CFF">
      <w:pPr>
        <w:pStyle w:val="Heading1"/>
        <w:spacing w:line="276" w:lineRule="auto"/>
        <w:rPr>
          <w:sz w:val="22"/>
          <w:szCs w:val="22"/>
          <w:lang w:val="bg-BG"/>
        </w:rPr>
      </w:pPr>
    </w:p>
    <w:p w14:paraId="14AD0CE1" w14:textId="77777777" w:rsidR="004D24C4" w:rsidRDefault="00703469" w:rsidP="00E71D11">
      <w:pPr>
        <w:spacing w:line="276" w:lineRule="auto"/>
        <w:jc w:val="center"/>
        <w:rPr>
          <w:rFonts w:ascii="Times New Roman" w:hAnsi="Times New Roman"/>
          <w:b/>
          <w:sz w:val="48"/>
          <w:szCs w:val="48"/>
          <w:lang w:val="bg-BG"/>
        </w:rPr>
      </w:pPr>
      <w:r>
        <w:rPr>
          <w:rFonts w:ascii="Times New Roman" w:hAnsi="Times New Roman"/>
          <w:b/>
          <w:sz w:val="48"/>
          <w:szCs w:val="48"/>
          <w:lang w:val="bg-BG"/>
        </w:rPr>
        <w:t>ДЪЛГОСРОЧНА ИНВЕСТИЦИОННА ПОЛИТИКА</w:t>
      </w:r>
    </w:p>
    <w:p w14:paraId="4DD3D90C" w14:textId="77777777" w:rsidR="00C96CFF" w:rsidRPr="004D24C4" w:rsidRDefault="00703469" w:rsidP="00E71D11">
      <w:pPr>
        <w:spacing w:line="276" w:lineRule="auto"/>
        <w:jc w:val="center"/>
        <w:rPr>
          <w:rFonts w:ascii="Times New Roman" w:hAnsi="Times New Roman"/>
          <w:b/>
          <w:sz w:val="36"/>
          <w:szCs w:val="36"/>
          <w:lang w:val="bg-BG"/>
        </w:rPr>
      </w:pPr>
      <w:r w:rsidRPr="004D24C4">
        <w:rPr>
          <w:rFonts w:ascii="Times New Roman" w:hAnsi="Times New Roman"/>
          <w:b/>
          <w:sz w:val="36"/>
          <w:szCs w:val="36"/>
          <w:lang w:val="bg-BG"/>
        </w:rPr>
        <w:t>НА ДЪРЖАВНИЯ ФОНД ЗА ГАРАНТИРАНЕ УСТОЙЧИВОСТ НА ДЪРЖАВНАТА ПЕНСИОННА СИСТЕМА</w:t>
      </w:r>
    </w:p>
    <w:p w14:paraId="533A7BDF" w14:textId="77777777" w:rsidR="002D67E0" w:rsidRPr="00C67AF9" w:rsidRDefault="002D67E0" w:rsidP="002D67E0">
      <w:pPr>
        <w:widowControl w:val="0"/>
        <w:autoSpaceDE w:val="0"/>
        <w:autoSpaceDN w:val="0"/>
        <w:adjustRightInd w:val="0"/>
        <w:rPr>
          <w:rFonts w:ascii="Times New Roman" w:hAnsi="Times New Roman"/>
          <w:sz w:val="28"/>
          <w:szCs w:val="28"/>
          <w:lang w:val="bg-BG"/>
        </w:rPr>
      </w:pPr>
    </w:p>
    <w:p w14:paraId="05AF040A" w14:textId="77777777" w:rsidR="002D67E0" w:rsidRPr="00C67AF9" w:rsidRDefault="002D67E0" w:rsidP="002D67E0">
      <w:pPr>
        <w:widowControl w:val="0"/>
        <w:autoSpaceDE w:val="0"/>
        <w:autoSpaceDN w:val="0"/>
        <w:adjustRightInd w:val="0"/>
        <w:ind w:firstLine="1080"/>
        <w:rPr>
          <w:rFonts w:ascii="Times New Roman" w:hAnsi="Times New Roman"/>
          <w:sz w:val="28"/>
          <w:szCs w:val="28"/>
          <w:lang w:val="bg-BG"/>
        </w:rPr>
      </w:pPr>
    </w:p>
    <w:p w14:paraId="263AA7EF" w14:textId="77777777" w:rsidR="002D67E0" w:rsidRPr="009F01F3" w:rsidRDefault="002D67E0" w:rsidP="002D67E0">
      <w:pPr>
        <w:widowControl w:val="0"/>
        <w:autoSpaceDE w:val="0"/>
        <w:autoSpaceDN w:val="0"/>
        <w:adjustRightInd w:val="0"/>
        <w:ind w:firstLine="1080"/>
        <w:rPr>
          <w:rFonts w:ascii="Times New Roman" w:hAnsi="Times New Roman"/>
          <w:sz w:val="28"/>
          <w:szCs w:val="28"/>
          <w:lang w:val="bg-BG"/>
        </w:rPr>
      </w:pPr>
    </w:p>
    <w:p w14:paraId="33494D6C" w14:textId="77777777" w:rsidR="00C96CFF" w:rsidRDefault="00C96CFF" w:rsidP="002D67E0">
      <w:pPr>
        <w:widowControl w:val="0"/>
        <w:autoSpaceDE w:val="0"/>
        <w:autoSpaceDN w:val="0"/>
        <w:adjustRightInd w:val="0"/>
        <w:ind w:firstLine="1080"/>
        <w:rPr>
          <w:sz w:val="28"/>
          <w:szCs w:val="28"/>
          <w:lang w:val="bg-BG"/>
        </w:rPr>
      </w:pPr>
    </w:p>
    <w:p w14:paraId="1E2BFAA8" w14:textId="77777777" w:rsidR="00C96CFF" w:rsidRDefault="00C96CFF" w:rsidP="002D67E0">
      <w:pPr>
        <w:widowControl w:val="0"/>
        <w:autoSpaceDE w:val="0"/>
        <w:autoSpaceDN w:val="0"/>
        <w:adjustRightInd w:val="0"/>
        <w:ind w:firstLine="1080"/>
        <w:rPr>
          <w:sz w:val="28"/>
          <w:szCs w:val="28"/>
          <w:lang w:val="bg-BG"/>
        </w:rPr>
      </w:pPr>
    </w:p>
    <w:p w14:paraId="183BD161" w14:textId="77777777" w:rsidR="00C96CFF" w:rsidRDefault="00C96CFF" w:rsidP="002D67E0">
      <w:pPr>
        <w:widowControl w:val="0"/>
        <w:autoSpaceDE w:val="0"/>
        <w:autoSpaceDN w:val="0"/>
        <w:adjustRightInd w:val="0"/>
        <w:ind w:firstLine="1080"/>
        <w:rPr>
          <w:sz w:val="28"/>
          <w:szCs w:val="28"/>
          <w:lang w:val="bg-BG"/>
        </w:rPr>
      </w:pPr>
    </w:p>
    <w:p w14:paraId="49DC419E" w14:textId="77777777" w:rsidR="00C96CFF" w:rsidRDefault="00C96CFF" w:rsidP="002D67E0">
      <w:pPr>
        <w:widowControl w:val="0"/>
        <w:autoSpaceDE w:val="0"/>
        <w:autoSpaceDN w:val="0"/>
        <w:adjustRightInd w:val="0"/>
        <w:ind w:firstLine="1080"/>
        <w:rPr>
          <w:sz w:val="28"/>
          <w:szCs w:val="28"/>
          <w:lang w:val="bg-BG"/>
        </w:rPr>
      </w:pPr>
    </w:p>
    <w:p w14:paraId="21CE19E6" w14:textId="77777777" w:rsidR="00C96CFF" w:rsidRDefault="00C96CFF" w:rsidP="002D67E0">
      <w:pPr>
        <w:widowControl w:val="0"/>
        <w:autoSpaceDE w:val="0"/>
        <w:autoSpaceDN w:val="0"/>
        <w:adjustRightInd w:val="0"/>
        <w:ind w:firstLine="1080"/>
        <w:rPr>
          <w:sz w:val="28"/>
          <w:szCs w:val="28"/>
          <w:lang w:val="bg-BG"/>
        </w:rPr>
      </w:pPr>
    </w:p>
    <w:p w14:paraId="7AC45BAD" w14:textId="77777777" w:rsidR="00C96CFF" w:rsidRDefault="00C96CFF" w:rsidP="002D67E0">
      <w:pPr>
        <w:widowControl w:val="0"/>
        <w:autoSpaceDE w:val="0"/>
        <w:autoSpaceDN w:val="0"/>
        <w:adjustRightInd w:val="0"/>
        <w:ind w:firstLine="1080"/>
        <w:rPr>
          <w:sz w:val="28"/>
          <w:szCs w:val="28"/>
          <w:lang w:val="bg-BG"/>
        </w:rPr>
      </w:pPr>
    </w:p>
    <w:p w14:paraId="59FDF4DB" w14:textId="77777777" w:rsidR="009F01F3" w:rsidRDefault="009F01F3" w:rsidP="002D67E0">
      <w:pPr>
        <w:widowControl w:val="0"/>
        <w:autoSpaceDE w:val="0"/>
        <w:autoSpaceDN w:val="0"/>
        <w:adjustRightInd w:val="0"/>
        <w:ind w:firstLine="1080"/>
        <w:rPr>
          <w:sz w:val="28"/>
          <w:szCs w:val="28"/>
          <w:lang w:val="bg-BG"/>
        </w:rPr>
      </w:pPr>
    </w:p>
    <w:p w14:paraId="7EA75CE2" w14:textId="77777777" w:rsidR="005A2A6F" w:rsidRDefault="005A2A6F" w:rsidP="007F488B">
      <w:pPr>
        <w:tabs>
          <w:tab w:val="left" w:pos="2340"/>
        </w:tabs>
        <w:jc w:val="center"/>
        <w:rPr>
          <w:rFonts w:ascii="Times New Roman" w:hAnsi="Times New Roman"/>
          <w:b/>
          <w:smallCaps/>
          <w:szCs w:val="24"/>
          <w:lang w:val="bg-BG"/>
        </w:rPr>
      </w:pPr>
    </w:p>
    <w:p w14:paraId="75A33672" w14:textId="77777777" w:rsidR="005A2A6F" w:rsidRDefault="005A2A6F" w:rsidP="007F488B">
      <w:pPr>
        <w:tabs>
          <w:tab w:val="left" w:pos="2340"/>
        </w:tabs>
        <w:jc w:val="center"/>
        <w:rPr>
          <w:rFonts w:ascii="Times New Roman" w:hAnsi="Times New Roman"/>
          <w:b/>
          <w:smallCaps/>
          <w:szCs w:val="24"/>
          <w:lang w:val="bg-BG"/>
        </w:rPr>
      </w:pPr>
    </w:p>
    <w:p w14:paraId="116CA66F" w14:textId="77777777" w:rsidR="00743795" w:rsidRDefault="00743795" w:rsidP="00CB06E5">
      <w:pPr>
        <w:tabs>
          <w:tab w:val="left" w:pos="342"/>
          <w:tab w:val="left" w:pos="2340"/>
        </w:tabs>
        <w:ind w:left="399" w:hanging="21"/>
        <w:jc w:val="center"/>
        <w:rPr>
          <w:rFonts w:ascii="Times New Roman" w:hAnsi="Times New Roman"/>
          <w:b/>
          <w:smallCaps/>
          <w:szCs w:val="24"/>
          <w:lang w:val="bg-BG"/>
        </w:rPr>
      </w:pPr>
    </w:p>
    <w:p w14:paraId="10399CE9" w14:textId="77777777" w:rsidR="004E4DF1" w:rsidRPr="00CE051D" w:rsidRDefault="004E4DF1" w:rsidP="00CB06E5">
      <w:pPr>
        <w:tabs>
          <w:tab w:val="left" w:pos="342"/>
          <w:tab w:val="left" w:pos="2340"/>
        </w:tabs>
        <w:ind w:left="399" w:hanging="21"/>
        <w:jc w:val="center"/>
        <w:rPr>
          <w:rFonts w:ascii="Times New Roman" w:hAnsi="Times New Roman"/>
          <w:b/>
          <w:smallCaps/>
          <w:szCs w:val="24"/>
          <w:lang w:val="ru-RU"/>
        </w:rPr>
      </w:pPr>
    </w:p>
    <w:p w14:paraId="0D454D0C" w14:textId="77777777" w:rsidR="004E4DF1" w:rsidRPr="00796F91" w:rsidRDefault="004E4DF1" w:rsidP="00CB06E5">
      <w:pPr>
        <w:tabs>
          <w:tab w:val="left" w:pos="342"/>
          <w:tab w:val="left" w:pos="2340"/>
        </w:tabs>
        <w:ind w:left="399" w:hanging="21"/>
        <w:jc w:val="center"/>
        <w:rPr>
          <w:rFonts w:ascii="Times New Roman" w:hAnsi="Times New Roman"/>
          <w:b/>
          <w:smallCaps/>
          <w:szCs w:val="24"/>
        </w:rPr>
      </w:pPr>
    </w:p>
    <w:p w14:paraId="36A973E4" w14:textId="77777777" w:rsidR="00CB06E5" w:rsidRPr="0032486C" w:rsidRDefault="00CB06E5" w:rsidP="00CB06E5">
      <w:pPr>
        <w:tabs>
          <w:tab w:val="left" w:pos="342"/>
          <w:tab w:val="left" w:pos="2340"/>
        </w:tabs>
        <w:ind w:left="399" w:hanging="21"/>
        <w:jc w:val="center"/>
        <w:rPr>
          <w:rFonts w:ascii="Times New Roman" w:hAnsi="Times New Roman"/>
          <w:b/>
          <w:smallCaps/>
          <w:szCs w:val="24"/>
          <w:lang w:val="bg-BG"/>
        </w:rPr>
      </w:pPr>
      <w:r w:rsidRPr="0032486C">
        <w:rPr>
          <w:rFonts w:ascii="Times New Roman" w:hAnsi="Times New Roman"/>
          <w:b/>
          <w:smallCaps/>
          <w:szCs w:val="24"/>
          <w:lang w:val="bg-BG"/>
        </w:rPr>
        <w:lastRenderedPageBreak/>
        <w:t>СЪДЪРЖАНИЕ</w:t>
      </w:r>
    </w:p>
    <w:p w14:paraId="1DCFC3F4" w14:textId="77777777" w:rsidR="00CB06E5" w:rsidRPr="0032486C" w:rsidRDefault="00CB06E5" w:rsidP="00CB06E5">
      <w:pPr>
        <w:tabs>
          <w:tab w:val="left" w:pos="342"/>
          <w:tab w:val="left" w:pos="2340"/>
        </w:tabs>
        <w:ind w:left="399" w:hanging="21"/>
        <w:rPr>
          <w:rFonts w:ascii="Times New Roman" w:hAnsi="Times New Roman"/>
          <w:b/>
          <w:smallCaps/>
          <w:szCs w:val="24"/>
          <w:lang w:val="bg-BG"/>
        </w:rPr>
      </w:pPr>
    </w:p>
    <w:p w14:paraId="469D1E1D" w14:textId="77777777" w:rsidR="00CB06E5" w:rsidRPr="001664D2" w:rsidRDefault="00CB06E5" w:rsidP="00E71D11">
      <w:pPr>
        <w:tabs>
          <w:tab w:val="left" w:pos="342"/>
          <w:tab w:val="left" w:pos="399"/>
        </w:tabs>
        <w:ind w:left="399" w:hanging="21"/>
        <w:rPr>
          <w:rFonts w:ascii="Times New Roman" w:hAnsi="Times New Roman"/>
          <w:b/>
          <w:smallCaps/>
          <w:sz w:val="22"/>
          <w:szCs w:val="22"/>
        </w:rPr>
      </w:pPr>
      <w:r w:rsidRPr="00724689">
        <w:rPr>
          <w:rFonts w:ascii="Times New Roman" w:hAnsi="Times New Roman"/>
          <w:b/>
          <w:smallCaps/>
          <w:sz w:val="22"/>
          <w:szCs w:val="22"/>
          <w:lang w:val="bg-BG"/>
        </w:rPr>
        <w:t xml:space="preserve">І. </w:t>
      </w:r>
      <w:r w:rsidR="00AB1979">
        <w:rPr>
          <w:rFonts w:ascii="Times New Roman" w:hAnsi="Times New Roman"/>
          <w:b/>
          <w:smallCaps/>
          <w:sz w:val="22"/>
          <w:szCs w:val="22"/>
          <w:lang w:val="bg-BG"/>
        </w:rPr>
        <w:t xml:space="preserve">ЦЕЛ НА </w:t>
      </w:r>
      <w:r w:rsidR="001664D2">
        <w:rPr>
          <w:rFonts w:ascii="Times New Roman" w:hAnsi="Times New Roman"/>
          <w:b/>
          <w:smallCaps/>
          <w:sz w:val="22"/>
          <w:szCs w:val="22"/>
          <w:lang w:val="bg-BG"/>
        </w:rPr>
        <w:t xml:space="preserve">ДЪЛГОСРОЧНАТА </w:t>
      </w:r>
      <w:r w:rsidR="00AB1979">
        <w:rPr>
          <w:rFonts w:ascii="Times New Roman" w:hAnsi="Times New Roman"/>
          <w:b/>
          <w:smallCaps/>
          <w:sz w:val="22"/>
          <w:szCs w:val="22"/>
          <w:lang w:val="bg-BG"/>
        </w:rPr>
        <w:t>ИНВЕСТИЦИОННА ПОЛИТИКА</w:t>
      </w:r>
      <w:r w:rsidR="001664D2">
        <w:rPr>
          <w:rFonts w:ascii="Times New Roman" w:hAnsi="Times New Roman"/>
          <w:b/>
          <w:smallCaps/>
          <w:sz w:val="22"/>
          <w:szCs w:val="22"/>
          <w:lang w:val="bg-BG"/>
        </w:rPr>
        <w:t xml:space="preserve"> НА ДЪРЖАВНИЯ ФОНД ЗА ГАРАНТИРАНЕ УСТОЙЧИВОСТ НА ДЪРЖАВНАТА ПЕНСИОННА СИТЕМА </w:t>
      </w:r>
    </w:p>
    <w:p w14:paraId="14991A66" w14:textId="77777777" w:rsidR="009A792A" w:rsidRDefault="005C56CE" w:rsidP="00E71D11">
      <w:pPr>
        <w:tabs>
          <w:tab w:val="left" w:pos="342"/>
          <w:tab w:val="left" w:pos="1311"/>
          <w:tab w:val="left" w:pos="1368"/>
          <w:tab w:val="left" w:pos="2052"/>
        </w:tabs>
        <w:spacing w:after="0" w:line="240" w:lineRule="auto"/>
        <w:ind w:firstLine="426"/>
        <w:rPr>
          <w:rFonts w:ascii="Times New Roman" w:hAnsi="Times New Roman"/>
          <w:b/>
          <w:smallCaps/>
          <w:sz w:val="22"/>
          <w:szCs w:val="22"/>
          <w:lang w:val="bg-BG"/>
        </w:rPr>
      </w:pPr>
      <w:r w:rsidRPr="00B67C7A">
        <w:rPr>
          <w:rFonts w:ascii="Times New Roman" w:hAnsi="Times New Roman"/>
          <w:b/>
          <w:smallCaps/>
          <w:sz w:val="22"/>
          <w:szCs w:val="22"/>
          <w:lang w:val="bg-BG"/>
        </w:rPr>
        <w:t>ІІ</w:t>
      </w:r>
      <w:r w:rsidRPr="008868F6">
        <w:rPr>
          <w:rFonts w:ascii="Times New Roman" w:hAnsi="Times New Roman"/>
          <w:b/>
          <w:smallCaps/>
          <w:sz w:val="22"/>
          <w:szCs w:val="22"/>
          <w:lang w:val="bg-BG"/>
        </w:rPr>
        <w:t>.</w:t>
      </w:r>
      <w:r w:rsidR="00B97B57" w:rsidRPr="001C1030">
        <w:rPr>
          <w:rFonts w:ascii="Times New Roman" w:hAnsi="Times New Roman"/>
          <w:b/>
          <w:smallCaps/>
          <w:sz w:val="22"/>
          <w:szCs w:val="22"/>
          <w:lang w:val="bg-BG"/>
        </w:rPr>
        <w:t xml:space="preserve"> </w:t>
      </w:r>
      <w:r w:rsidR="00AB1979">
        <w:rPr>
          <w:rFonts w:ascii="Times New Roman" w:hAnsi="Times New Roman"/>
          <w:b/>
          <w:smallCaps/>
          <w:sz w:val="22"/>
          <w:szCs w:val="22"/>
          <w:lang w:val="bg-BG"/>
        </w:rPr>
        <w:t>ИНВЕСТИЦИОННИ ЦЕЛИ И ОГРАНИЧЕНИЯ</w:t>
      </w:r>
    </w:p>
    <w:p w14:paraId="5096890E" w14:textId="77777777" w:rsidR="009A792A" w:rsidRDefault="009A792A" w:rsidP="00E71D11">
      <w:pPr>
        <w:tabs>
          <w:tab w:val="left" w:pos="342"/>
          <w:tab w:val="left" w:pos="1311"/>
          <w:tab w:val="left" w:pos="1368"/>
          <w:tab w:val="left" w:pos="2052"/>
        </w:tabs>
        <w:spacing w:after="0" w:line="240" w:lineRule="auto"/>
        <w:ind w:firstLine="426"/>
        <w:rPr>
          <w:rFonts w:ascii="Times New Roman" w:hAnsi="Times New Roman"/>
          <w:b/>
          <w:smallCaps/>
          <w:sz w:val="22"/>
          <w:szCs w:val="22"/>
          <w:lang w:val="bg-BG"/>
        </w:rPr>
      </w:pPr>
    </w:p>
    <w:p w14:paraId="3A14BB4C" w14:textId="77777777" w:rsidR="009A792A" w:rsidRDefault="00C0006D" w:rsidP="00E71D11">
      <w:pPr>
        <w:tabs>
          <w:tab w:val="left" w:pos="342"/>
          <w:tab w:val="left" w:pos="1311"/>
          <w:tab w:val="left" w:pos="1368"/>
          <w:tab w:val="left" w:pos="2052"/>
        </w:tabs>
        <w:spacing w:after="0" w:line="240" w:lineRule="auto"/>
        <w:ind w:firstLine="426"/>
        <w:rPr>
          <w:rFonts w:ascii="Times New Roman" w:hAnsi="Times New Roman"/>
          <w:b/>
          <w:smallCaps/>
          <w:sz w:val="22"/>
          <w:szCs w:val="22"/>
          <w:lang w:val="bg-BG"/>
        </w:rPr>
      </w:pPr>
      <w:r w:rsidRPr="0051240E">
        <w:rPr>
          <w:rFonts w:ascii="Times New Roman" w:hAnsi="Times New Roman"/>
          <w:b/>
          <w:smallCaps/>
          <w:sz w:val="22"/>
          <w:szCs w:val="22"/>
          <w:lang w:val="bg-BG"/>
        </w:rPr>
        <w:t>ІІ</w:t>
      </w:r>
      <w:r w:rsidRPr="008E232D">
        <w:rPr>
          <w:rFonts w:ascii="Times New Roman" w:hAnsi="Times New Roman"/>
          <w:b/>
          <w:smallCaps/>
          <w:sz w:val="22"/>
          <w:szCs w:val="22"/>
          <w:lang w:val="bg-BG"/>
        </w:rPr>
        <w:t>І</w:t>
      </w:r>
      <w:r w:rsidRPr="00C67AF9">
        <w:rPr>
          <w:rFonts w:ascii="Times New Roman" w:hAnsi="Times New Roman"/>
          <w:b/>
          <w:smallCaps/>
          <w:sz w:val="22"/>
          <w:szCs w:val="22"/>
          <w:lang w:val="bg-BG"/>
        </w:rPr>
        <w:t xml:space="preserve">. </w:t>
      </w:r>
      <w:r w:rsidR="001137E8">
        <w:rPr>
          <w:rFonts w:ascii="Times New Roman" w:hAnsi="Times New Roman"/>
          <w:b/>
          <w:smallCaps/>
          <w:sz w:val="22"/>
          <w:szCs w:val="22"/>
          <w:lang w:val="bg-BG"/>
        </w:rPr>
        <w:t>ИНВЕСТИЦИОННА СРЕДА</w:t>
      </w:r>
    </w:p>
    <w:p w14:paraId="48622AF3" w14:textId="77777777" w:rsidR="009A792A" w:rsidRDefault="009A792A" w:rsidP="00E71D11">
      <w:pPr>
        <w:tabs>
          <w:tab w:val="left" w:pos="342"/>
          <w:tab w:val="left" w:pos="1311"/>
          <w:tab w:val="left" w:pos="1368"/>
          <w:tab w:val="left" w:pos="2052"/>
        </w:tabs>
        <w:spacing w:after="0" w:line="240" w:lineRule="auto"/>
        <w:ind w:firstLine="426"/>
        <w:rPr>
          <w:rFonts w:ascii="Times New Roman" w:hAnsi="Times New Roman"/>
          <w:b/>
          <w:smallCaps/>
          <w:sz w:val="22"/>
          <w:szCs w:val="22"/>
          <w:lang w:val="bg-BG"/>
        </w:rPr>
      </w:pPr>
    </w:p>
    <w:p w14:paraId="79168C08" w14:textId="77777777" w:rsidR="009A792A" w:rsidRDefault="009A792A" w:rsidP="00E71D11">
      <w:pPr>
        <w:tabs>
          <w:tab w:val="left" w:pos="342"/>
          <w:tab w:val="left" w:pos="1311"/>
          <w:tab w:val="left" w:pos="1368"/>
          <w:tab w:val="left" w:pos="2052"/>
        </w:tabs>
        <w:spacing w:after="0" w:line="240" w:lineRule="auto"/>
        <w:ind w:firstLine="426"/>
        <w:rPr>
          <w:rFonts w:ascii="Times New Roman" w:hAnsi="Times New Roman"/>
          <w:b/>
          <w:smallCaps/>
          <w:sz w:val="22"/>
          <w:szCs w:val="22"/>
          <w:lang w:val="bg-BG"/>
        </w:rPr>
      </w:pPr>
      <w:r>
        <w:rPr>
          <w:rFonts w:ascii="Times New Roman" w:hAnsi="Times New Roman"/>
          <w:b/>
          <w:smallCaps/>
          <w:sz w:val="22"/>
          <w:szCs w:val="22"/>
          <w:lang w:val="bg-BG"/>
        </w:rPr>
        <w:t>ЗАКЛЮЧЕНИЕ</w:t>
      </w:r>
    </w:p>
    <w:p w14:paraId="7107145A" w14:textId="77777777" w:rsidR="009A792A" w:rsidRDefault="009A792A" w:rsidP="00E71D11">
      <w:pPr>
        <w:tabs>
          <w:tab w:val="left" w:pos="342"/>
          <w:tab w:val="left" w:pos="1311"/>
          <w:tab w:val="left" w:pos="1368"/>
          <w:tab w:val="left" w:pos="2052"/>
        </w:tabs>
        <w:spacing w:after="0" w:line="240" w:lineRule="auto"/>
        <w:ind w:firstLine="0"/>
        <w:rPr>
          <w:rFonts w:ascii="Times New Roman" w:hAnsi="Times New Roman"/>
          <w:b/>
          <w:smallCaps/>
          <w:sz w:val="22"/>
          <w:szCs w:val="22"/>
          <w:lang w:val="bg-BG"/>
        </w:rPr>
      </w:pPr>
    </w:p>
    <w:p w14:paraId="37A4ADDE" w14:textId="77777777" w:rsidR="00EE5B9A" w:rsidRDefault="00CB06E5" w:rsidP="00E71D11">
      <w:pPr>
        <w:tabs>
          <w:tab w:val="left" w:pos="342"/>
          <w:tab w:val="left" w:pos="1311"/>
          <w:tab w:val="left" w:pos="1368"/>
          <w:tab w:val="left" w:pos="2052"/>
        </w:tabs>
        <w:spacing w:after="0" w:line="240" w:lineRule="auto"/>
        <w:ind w:firstLine="0"/>
        <w:rPr>
          <w:rFonts w:ascii="Times New Roman" w:hAnsi="Times New Roman"/>
          <w:b/>
          <w:smallCaps/>
          <w:sz w:val="22"/>
          <w:szCs w:val="22"/>
          <w:lang w:val="bg-BG"/>
        </w:rPr>
      </w:pPr>
      <w:r w:rsidRPr="00984586">
        <w:rPr>
          <w:rFonts w:ascii="Times New Roman" w:hAnsi="Times New Roman"/>
          <w:b/>
          <w:smallCaps/>
          <w:sz w:val="22"/>
          <w:szCs w:val="22"/>
          <w:lang w:val="bg-BG"/>
        </w:rPr>
        <w:t xml:space="preserve"> </w:t>
      </w:r>
    </w:p>
    <w:p w14:paraId="43AEEA26" w14:textId="77777777" w:rsidR="00CB06E5" w:rsidRPr="00C0006D" w:rsidRDefault="00CB06E5" w:rsidP="00EE52B5">
      <w:pPr>
        <w:autoSpaceDE w:val="0"/>
        <w:autoSpaceDN w:val="0"/>
        <w:adjustRightInd w:val="0"/>
        <w:spacing w:after="0" w:line="240" w:lineRule="auto"/>
        <w:jc w:val="center"/>
        <w:rPr>
          <w:rFonts w:ascii="Times New Roman" w:hAnsi="Times New Roman"/>
          <w:b/>
          <w:smallCaps/>
          <w:sz w:val="22"/>
          <w:szCs w:val="22"/>
          <w:lang w:val="bg-BG"/>
        </w:rPr>
      </w:pPr>
    </w:p>
    <w:p w14:paraId="28599F1B" w14:textId="77777777" w:rsidR="00CB06E5" w:rsidRPr="00984586" w:rsidRDefault="00CB06E5" w:rsidP="00EE52B5">
      <w:pPr>
        <w:autoSpaceDE w:val="0"/>
        <w:autoSpaceDN w:val="0"/>
        <w:adjustRightInd w:val="0"/>
        <w:spacing w:after="0" w:line="240" w:lineRule="auto"/>
        <w:jc w:val="center"/>
        <w:rPr>
          <w:rFonts w:ascii="Times New Roman" w:hAnsi="Times New Roman"/>
          <w:b/>
          <w:smallCaps/>
          <w:sz w:val="22"/>
          <w:szCs w:val="22"/>
          <w:lang w:val="bg-BG"/>
        </w:rPr>
      </w:pPr>
    </w:p>
    <w:p w14:paraId="1139867C" w14:textId="77777777" w:rsidR="00CB06E5" w:rsidRPr="00C67AF9" w:rsidRDefault="00CB06E5" w:rsidP="00EE52B5">
      <w:pPr>
        <w:autoSpaceDE w:val="0"/>
        <w:autoSpaceDN w:val="0"/>
        <w:adjustRightInd w:val="0"/>
        <w:spacing w:after="0" w:line="240" w:lineRule="auto"/>
        <w:jc w:val="center"/>
        <w:rPr>
          <w:rFonts w:ascii="Times New Roman" w:hAnsi="Times New Roman"/>
          <w:b/>
          <w:i/>
          <w:color w:val="000000"/>
          <w:szCs w:val="24"/>
          <w:lang w:val="bg-BG" w:eastAsia="bg-BG"/>
        </w:rPr>
      </w:pPr>
    </w:p>
    <w:p w14:paraId="66E8F4F2" w14:textId="77777777" w:rsidR="00CB06E5" w:rsidRPr="00C67AF9" w:rsidRDefault="00CB06E5" w:rsidP="00EE52B5">
      <w:pPr>
        <w:autoSpaceDE w:val="0"/>
        <w:autoSpaceDN w:val="0"/>
        <w:adjustRightInd w:val="0"/>
        <w:spacing w:after="0" w:line="240" w:lineRule="auto"/>
        <w:jc w:val="center"/>
        <w:rPr>
          <w:rFonts w:ascii="Times New Roman" w:hAnsi="Times New Roman"/>
          <w:b/>
          <w:i/>
          <w:color w:val="000000"/>
          <w:szCs w:val="24"/>
          <w:lang w:val="bg-BG" w:eastAsia="bg-BG"/>
        </w:rPr>
      </w:pPr>
    </w:p>
    <w:p w14:paraId="1209E712" w14:textId="77777777" w:rsidR="00CB06E5" w:rsidRPr="00C67AF9" w:rsidRDefault="00CB06E5" w:rsidP="00EE52B5">
      <w:pPr>
        <w:autoSpaceDE w:val="0"/>
        <w:autoSpaceDN w:val="0"/>
        <w:adjustRightInd w:val="0"/>
        <w:spacing w:after="0" w:line="240" w:lineRule="auto"/>
        <w:jc w:val="center"/>
        <w:rPr>
          <w:rFonts w:ascii="Times New Roman" w:hAnsi="Times New Roman"/>
          <w:b/>
          <w:i/>
          <w:color w:val="000000"/>
          <w:szCs w:val="24"/>
          <w:lang w:val="bg-BG" w:eastAsia="bg-BG"/>
        </w:rPr>
      </w:pPr>
    </w:p>
    <w:p w14:paraId="20F25A62" w14:textId="77777777" w:rsidR="00CB06E5" w:rsidRPr="00C67AF9" w:rsidRDefault="00CB06E5" w:rsidP="00EE52B5">
      <w:pPr>
        <w:autoSpaceDE w:val="0"/>
        <w:autoSpaceDN w:val="0"/>
        <w:adjustRightInd w:val="0"/>
        <w:spacing w:after="0" w:line="240" w:lineRule="auto"/>
        <w:jc w:val="center"/>
        <w:rPr>
          <w:rFonts w:ascii="Times New Roman" w:hAnsi="Times New Roman"/>
          <w:b/>
          <w:i/>
          <w:color w:val="000000"/>
          <w:szCs w:val="24"/>
          <w:lang w:val="bg-BG" w:eastAsia="bg-BG"/>
        </w:rPr>
      </w:pPr>
    </w:p>
    <w:p w14:paraId="0C8227F6" w14:textId="77777777" w:rsidR="00CB06E5" w:rsidRPr="00C67AF9" w:rsidRDefault="00CB06E5" w:rsidP="00EE52B5">
      <w:pPr>
        <w:autoSpaceDE w:val="0"/>
        <w:autoSpaceDN w:val="0"/>
        <w:adjustRightInd w:val="0"/>
        <w:spacing w:after="0" w:line="240" w:lineRule="auto"/>
        <w:jc w:val="center"/>
        <w:rPr>
          <w:rFonts w:ascii="Times New Roman" w:hAnsi="Times New Roman"/>
          <w:b/>
          <w:i/>
          <w:color w:val="000000"/>
          <w:szCs w:val="24"/>
          <w:lang w:val="bg-BG" w:eastAsia="bg-BG"/>
        </w:rPr>
      </w:pPr>
    </w:p>
    <w:p w14:paraId="7843D158" w14:textId="77777777" w:rsidR="00CB06E5" w:rsidRPr="00C67AF9" w:rsidRDefault="00CB06E5" w:rsidP="00EE52B5">
      <w:pPr>
        <w:autoSpaceDE w:val="0"/>
        <w:autoSpaceDN w:val="0"/>
        <w:adjustRightInd w:val="0"/>
        <w:spacing w:after="0" w:line="240" w:lineRule="auto"/>
        <w:jc w:val="center"/>
        <w:rPr>
          <w:rFonts w:ascii="Times New Roman" w:hAnsi="Times New Roman"/>
          <w:b/>
          <w:i/>
          <w:color w:val="000000"/>
          <w:szCs w:val="24"/>
          <w:lang w:val="bg-BG" w:eastAsia="bg-BG"/>
        </w:rPr>
      </w:pPr>
    </w:p>
    <w:p w14:paraId="5CC31A06" w14:textId="77777777" w:rsidR="00CB06E5" w:rsidRPr="00C67AF9" w:rsidRDefault="00CB06E5" w:rsidP="00EE52B5">
      <w:pPr>
        <w:autoSpaceDE w:val="0"/>
        <w:autoSpaceDN w:val="0"/>
        <w:adjustRightInd w:val="0"/>
        <w:spacing w:after="0" w:line="240" w:lineRule="auto"/>
        <w:jc w:val="center"/>
        <w:rPr>
          <w:rFonts w:ascii="Times New Roman" w:hAnsi="Times New Roman"/>
          <w:b/>
          <w:i/>
          <w:color w:val="000000"/>
          <w:szCs w:val="24"/>
          <w:lang w:val="bg-BG" w:eastAsia="bg-BG"/>
        </w:rPr>
      </w:pPr>
    </w:p>
    <w:p w14:paraId="43CA382A" w14:textId="77777777" w:rsidR="00CB06E5" w:rsidRPr="00C67AF9" w:rsidRDefault="00CB06E5" w:rsidP="00EE52B5">
      <w:pPr>
        <w:autoSpaceDE w:val="0"/>
        <w:autoSpaceDN w:val="0"/>
        <w:adjustRightInd w:val="0"/>
        <w:spacing w:after="0" w:line="240" w:lineRule="auto"/>
        <w:jc w:val="center"/>
        <w:rPr>
          <w:rFonts w:ascii="Times New Roman" w:hAnsi="Times New Roman"/>
          <w:b/>
          <w:i/>
          <w:color w:val="000000"/>
          <w:szCs w:val="24"/>
          <w:lang w:val="bg-BG" w:eastAsia="bg-BG"/>
        </w:rPr>
      </w:pPr>
    </w:p>
    <w:p w14:paraId="3FD970E2" w14:textId="77777777" w:rsidR="00CB06E5" w:rsidRPr="00C67AF9" w:rsidRDefault="00CB06E5" w:rsidP="00EE52B5">
      <w:pPr>
        <w:autoSpaceDE w:val="0"/>
        <w:autoSpaceDN w:val="0"/>
        <w:adjustRightInd w:val="0"/>
        <w:spacing w:after="0" w:line="240" w:lineRule="auto"/>
        <w:jc w:val="center"/>
        <w:rPr>
          <w:rFonts w:ascii="Times New Roman" w:hAnsi="Times New Roman"/>
          <w:b/>
          <w:i/>
          <w:color w:val="000000"/>
          <w:szCs w:val="24"/>
          <w:lang w:val="bg-BG" w:eastAsia="bg-BG"/>
        </w:rPr>
      </w:pPr>
    </w:p>
    <w:p w14:paraId="13CC6ED6" w14:textId="77777777" w:rsidR="00CB06E5" w:rsidRPr="00C67AF9" w:rsidRDefault="00CB06E5" w:rsidP="00EE52B5">
      <w:pPr>
        <w:autoSpaceDE w:val="0"/>
        <w:autoSpaceDN w:val="0"/>
        <w:adjustRightInd w:val="0"/>
        <w:spacing w:after="0" w:line="240" w:lineRule="auto"/>
        <w:jc w:val="center"/>
        <w:rPr>
          <w:rFonts w:ascii="Times New Roman" w:hAnsi="Times New Roman"/>
          <w:b/>
          <w:i/>
          <w:color w:val="000000"/>
          <w:szCs w:val="24"/>
          <w:lang w:val="bg-BG" w:eastAsia="bg-BG"/>
        </w:rPr>
      </w:pPr>
    </w:p>
    <w:p w14:paraId="24C4CE54" w14:textId="77777777" w:rsidR="00CB06E5" w:rsidRPr="00C67AF9" w:rsidRDefault="00CB06E5" w:rsidP="00EE52B5">
      <w:pPr>
        <w:autoSpaceDE w:val="0"/>
        <w:autoSpaceDN w:val="0"/>
        <w:adjustRightInd w:val="0"/>
        <w:spacing w:after="0" w:line="240" w:lineRule="auto"/>
        <w:jc w:val="center"/>
        <w:rPr>
          <w:rFonts w:ascii="Times New Roman" w:hAnsi="Times New Roman"/>
          <w:b/>
          <w:i/>
          <w:color w:val="000000"/>
          <w:szCs w:val="24"/>
          <w:lang w:val="bg-BG" w:eastAsia="bg-BG"/>
        </w:rPr>
      </w:pPr>
    </w:p>
    <w:p w14:paraId="2D2C240A" w14:textId="77777777" w:rsidR="00CB06E5" w:rsidRPr="00C67AF9" w:rsidRDefault="00CB06E5" w:rsidP="00EE52B5">
      <w:pPr>
        <w:autoSpaceDE w:val="0"/>
        <w:autoSpaceDN w:val="0"/>
        <w:adjustRightInd w:val="0"/>
        <w:spacing w:after="0" w:line="240" w:lineRule="auto"/>
        <w:jc w:val="center"/>
        <w:rPr>
          <w:rFonts w:ascii="Times New Roman" w:hAnsi="Times New Roman"/>
          <w:b/>
          <w:i/>
          <w:color w:val="000000"/>
          <w:szCs w:val="24"/>
          <w:lang w:val="bg-BG" w:eastAsia="bg-BG"/>
        </w:rPr>
      </w:pPr>
    </w:p>
    <w:p w14:paraId="116F5DF7" w14:textId="77777777" w:rsidR="00CB06E5" w:rsidRPr="00C67AF9" w:rsidRDefault="00CB06E5" w:rsidP="00EE52B5">
      <w:pPr>
        <w:autoSpaceDE w:val="0"/>
        <w:autoSpaceDN w:val="0"/>
        <w:adjustRightInd w:val="0"/>
        <w:spacing w:after="0" w:line="240" w:lineRule="auto"/>
        <w:jc w:val="center"/>
        <w:rPr>
          <w:rFonts w:ascii="Times New Roman" w:hAnsi="Times New Roman"/>
          <w:b/>
          <w:i/>
          <w:color w:val="000000"/>
          <w:szCs w:val="24"/>
          <w:lang w:val="bg-BG" w:eastAsia="bg-BG"/>
        </w:rPr>
      </w:pPr>
    </w:p>
    <w:p w14:paraId="78748765" w14:textId="77777777" w:rsidR="00CB06E5" w:rsidRPr="00C67AF9" w:rsidRDefault="00CB06E5" w:rsidP="00EE52B5">
      <w:pPr>
        <w:autoSpaceDE w:val="0"/>
        <w:autoSpaceDN w:val="0"/>
        <w:adjustRightInd w:val="0"/>
        <w:spacing w:after="0" w:line="240" w:lineRule="auto"/>
        <w:jc w:val="center"/>
        <w:rPr>
          <w:rFonts w:ascii="Times New Roman" w:hAnsi="Times New Roman"/>
          <w:b/>
          <w:i/>
          <w:color w:val="000000"/>
          <w:szCs w:val="24"/>
          <w:lang w:val="bg-BG" w:eastAsia="bg-BG"/>
        </w:rPr>
      </w:pPr>
    </w:p>
    <w:p w14:paraId="297B3683" w14:textId="77777777" w:rsidR="00CB06E5" w:rsidRPr="00C67AF9" w:rsidRDefault="00CB06E5" w:rsidP="00EE52B5">
      <w:pPr>
        <w:autoSpaceDE w:val="0"/>
        <w:autoSpaceDN w:val="0"/>
        <w:adjustRightInd w:val="0"/>
        <w:spacing w:after="0" w:line="240" w:lineRule="auto"/>
        <w:jc w:val="center"/>
        <w:rPr>
          <w:rFonts w:ascii="Times New Roman" w:hAnsi="Times New Roman"/>
          <w:b/>
          <w:i/>
          <w:color w:val="000000"/>
          <w:szCs w:val="24"/>
          <w:lang w:val="bg-BG" w:eastAsia="bg-BG"/>
        </w:rPr>
      </w:pPr>
    </w:p>
    <w:p w14:paraId="76E70D23" w14:textId="77777777" w:rsidR="00CB06E5" w:rsidRPr="00C67AF9" w:rsidRDefault="00CB06E5" w:rsidP="00EE52B5">
      <w:pPr>
        <w:autoSpaceDE w:val="0"/>
        <w:autoSpaceDN w:val="0"/>
        <w:adjustRightInd w:val="0"/>
        <w:spacing w:after="0" w:line="240" w:lineRule="auto"/>
        <w:jc w:val="center"/>
        <w:rPr>
          <w:rFonts w:ascii="Times New Roman" w:hAnsi="Times New Roman"/>
          <w:b/>
          <w:i/>
          <w:color w:val="000000"/>
          <w:szCs w:val="24"/>
          <w:lang w:val="bg-BG" w:eastAsia="bg-BG"/>
        </w:rPr>
      </w:pPr>
    </w:p>
    <w:p w14:paraId="18EFF7D8" w14:textId="77777777" w:rsidR="00CB06E5" w:rsidRPr="00C67AF9" w:rsidRDefault="00CB06E5" w:rsidP="00EE52B5">
      <w:pPr>
        <w:autoSpaceDE w:val="0"/>
        <w:autoSpaceDN w:val="0"/>
        <w:adjustRightInd w:val="0"/>
        <w:spacing w:after="0" w:line="240" w:lineRule="auto"/>
        <w:jc w:val="center"/>
        <w:rPr>
          <w:rFonts w:ascii="Times New Roman" w:hAnsi="Times New Roman"/>
          <w:b/>
          <w:i/>
          <w:color w:val="000000"/>
          <w:szCs w:val="24"/>
          <w:lang w:val="bg-BG" w:eastAsia="bg-BG"/>
        </w:rPr>
      </w:pPr>
    </w:p>
    <w:p w14:paraId="4903E452" w14:textId="77777777" w:rsidR="00CB06E5" w:rsidRPr="00C67AF9" w:rsidRDefault="00CB06E5" w:rsidP="00EE52B5">
      <w:pPr>
        <w:autoSpaceDE w:val="0"/>
        <w:autoSpaceDN w:val="0"/>
        <w:adjustRightInd w:val="0"/>
        <w:spacing w:after="0" w:line="240" w:lineRule="auto"/>
        <w:jc w:val="center"/>
        <w:rPr>
          <w:rFonts w:ascii="Times New Roman" w:hAnsi="Times New Roman"/>
          <w:b/>
          <w:i/>
          <w:color w:val="000000"/>
          <w:szCs w:val="24"/>
          <w:lang w:val="bg-BG" w:eastAsia="bg-BG"/>
        </w:rPr>
      </w:pPr>
    </w:p>
    <w:p w14:paraId="355B093D" w14:textId="77777777" w:rsidR="00CB06E5" w:rsidRPr="00C67AF9" w:rsidRDefault="00CB06E5" w:rsidP="00EE52B5">
      <w:pPr>
        <w:autoSpaceDE w:val="0"/>
        <w:autoSpaceDN w:val="0"/>
        <w:adjustRightInd w:val="0"/>
        <w:spacing w:after="0" w:line="240" w:lineRule="auto"/>
        <w:jc w:val="center"/>
        <w:rPr>
          <w:rFonts w:ascii="Times New Roman" w:hAnsi="Times New Roman"/>
          <w:b/>
          <w:i/>
          <w:color w:val="000000"/>
          <w:szCs w:val="24"/>
          <w:lang w:val="bg-BG" w:eastAsia="bg-BG"/>
        </w:rPr>
      </w:pPr>
    </w:p>
    <w:p w14:paraId="007E2EC6" w14:textId="77777777" w:rsidR="00CB06E5" w:rsidRPr="00C67AF9" w:rsidRDefault="00CB06E5" w:rsidP="00EE52B5">
      <w:pPr>
        <w:autoSpaceDE w:val="0"/>
        <w:autoSpaceDN w:val="0"/>
        <w:adjustRightInd w:val="0"/>
        <w:spacing w:after="0" w:line="240" w:lineRule="auto"/>
        <w:jc w:val="center"/>
        <w:rPr>
          <w:rFonts w:ascii="Times New Roman" w:hAnsi="Times New Roman"/>
          <w:b/>
          <w:i/>
          <w:color w:val="000000"/>
          <w:szCs w:val="24"/>
          <w:lang w:val="bg-BG" w:eastAsia="bg-BG"/>
        </w:rPr>
      </w:pPr>
    </w:p>
    <w:p w14:paraId="03D50B98" w14:textId="77777777" w:rsidR="00CB06E5" w:rsidRPr="00C67AF9" w:rsidRDefault="00CB06E5" w:rsidP="00EE52B5">
      <w:pPr>
        <w:autoSpaceDE w:val="0"/>
        <w:autoSpaceDN w:val="0"/>
        <w:adjustRightInd w:val="0"/>
        <w:spacing w:after="0" w:line="240" w:lineRule="auto"/>
        <w:jc w:val="center"/>
        <w:rPr>
          <w:rFonts w:ascii="Times New Roman" w:hAnsi="Times New Roman"/>
          <w:b/>
          <w:i/>
          <w:color w:val="000000"/>
          <w:szCs w:val="24"/>
          <w:lang w:val="bg-BG" w:eastAsia="bg-BG"/>
        </w:rPr>
      </w:pPr>
    </w:p>
    <w:p w14:paraId="1F2A7966" w14:textId="77777777" w:rsidR="00CB06E5" w:rsidRPr="00C67AF9" w:rsidRDefault="00CB06E5" w:rsidP="00EE52B5">
      <w:pPr>
        <w:autoSpaceDE w:val="0"/>
        <w:autoSpaceDN w:val="0"/>
        <w:adjustRightInd w:val="0"/>
        <w:spacing w:after="0" w:line="240" w:lineRule="auto"/>
        <w:jc w:val="center"/>
        <w:rPr>
          <w:rFonts w:ascii="Times New Roman" w:hAnsi="Times New Roman"/>
          <w:b/>
          <w:i/>
          <w:color w:val="000000"/>
          <w:szCs w:val="24"/>
          <w:lang w:val="bg-BG" w:eastAsia="bg-BG"/>
        </w:rPr>
      </w:pPr>
    </w:p>
    <w:p w14:paraId="3B7FFF5A" w14:textId="77777777" w:rsidR="00CB06E5" w:rsidRPr="00C67AF9" w:rsidRDefault="00CB06E5" w:rsidP="00EE52B5">
      <w:pPr>
        <w:autoSpaceDE w:val="0"/>
        <w:autoSpaceDN w:val="0"/>
        <w:adjustRightInd w:val="0"/>
        <w:spacing w:after="0" w:line="240" w:lineRule="auto"/>
        <w:jc w:val="center"/>
        <w:rPr>
          <w:rFonts w:ascii="Times New Roman" w:hAnsi="Times New Roman"/>
          <w:b/>
          <w:i/>
          <w:color w:val="000000"/>
          <w:szCs w:val="24"/>
          <w:lang w:val="bg-BG" w:eastAsia="bg-BG"/>
        </w:rPr>
      </w:pPr>
    </w:p>
    <w:p w14:paraId="3873EA36" w14:textId="77777777" w:rsidR="00CB06E5" w:rsidRPr="00C67AF9" w:rsidRDefault="00CB06E5" w:rsidP="00EE52B5">
      <w:pPr>
        <w:autoSpaceDE w:val="0"/>
        <w:autoSpaceDN w:val="0"/>
        <w:adjustRightInd w:val="0"/>
        <w:spacing w:after="0" w:line="240" w:lineRule="auto"/>
        <w:jc w:val="center"/>
        <w:rPr>
          <w:rFonts w:ascii="Times New Roman" w:hAnsi="Times New Roman"/>
          <w:b/>
          <w:i/>
          <w:color w:val="000000"/>
          <w:szCs w:val="24"/>
          <w:lang w:val="bg-BG" w:eastAsia="bg-BG"/>
        </w:rPr>
      </w:pPr>
    </w:p>
    <w:p w14:paraId="51ECF8ED" w14:textId="77777777" w:rsidR="00CB06E5" w:rsidRPr="00C67AF9" w:rsidRDefault="00CB06E5" w:rsidP="00EE52B5">
      <w:pPr>
        <w:autoSpaceDE w:val="0"/>
        <w:autoSpaceDN w:val="0"/>
        <w:adjustRightInd w:val="0"/>
        <w:spacing w:after="0" w:line="240" w:lineRule="auto"/>
        <w:jc w:val="center"/>
        <w:rPr>
          <w:rFonts w:ascii="Times New Roman" w:hAnsi="Times New Roman"/>
          <w:b/>
          <w:i/>
          <w:color w:val="000000"/>
          <w:szCs w:val="24"/>
          <w:lang w:val="bg-BG" w:eastAsia="bg-BG"/>
        </w:rPr>
      </w:pPr>
    </w:p>
    <w:p w14:paraId="0B1677BD" w14:textId="77777777" w:rsidR="00CB06E5" w:rsidRPr="00C67AF9" w:rsidRDefault="00CB06E5" w:rsidP="00EE52B5">
      <w:pPr>
        <w:autoSpaceDE w:val="0"/>
        <w:autoSpaceDN w:val="0"/>
        <w:adjustRightInd w:val="0"/>
        <w:spacing w:after="0" w:line="240" w:lineRule="auto"/>
        <w:jc w:val="center"/>
        <w:rPr>
          <w:rFonts w:ascii="Times New Roman" w:hAnsi="Times New Roman"/>
          <w:b/>
          <w:i/>
          <w:color w:val="000000"/>
          <w:szCs w:val="24"/>
          <w:lang w:val="bg-BG" w:eastAsia="bg-BG"/>
        </w:rPr>
      </w:pPr>
    </w:p>
    <w:p w14:paraId="77FC46C1" w14:textId="77777777" w:rsidR="00CB06E5" w:rsidRPr="00E44356" w:rsidRDefault="00CB06E5" w:rsidP="00EE52B5">
      <w:pPr>
        <w:autoSpaceDE w:val="0"/>
        <w:autoSpaceDN w:val="0"/>
        <w:adjustRightInd w:val="0"/>
        <w:spacing w:after="0" w:line="240" w:lineRule="auto"/>
        <w:jc w:val="center"/>
        <w:rPr>
          <w:rFonts w:ascii="Times New Roman" w:hAnsi="Times New Roman"/>
          <w:b/>
          <w:i/>
          <w:color w:val="000000"/>
          <w:szCs w:val="24"/>
          <w:lang w:val="en-US" w:eastAsia="bg-BG"/>
        </w:rPr>
      </w:pPr>
    </w:p>
    <w:p w14:paraId="243343B0" w14:textId="77777777" w:rsidR="00CB06E5" w:rsidRPr="00C67AF9" w:rsidRDefault="00CB06E5" w:rsidP="00EE52B5">
      <w:pPr>
        <w:autoSpaceDE w:val="0"/>
        <w:autoSpaceDN w:val="0"/>
        <w:adjustRightInd w:val="0"/>
        <w:spacing w:after="0" w:line="240" w:lineRule="auto"/>
        <w:jc w:val="center"/>
        <w:rPr>
          <w:rFonts w:ascii="Times New Roman" w:hAnsi="Times New Roman"/>
          <w:b/>
          <w:i/>
          <w:color w:val="000000"/>
          <w:szCs w:val="24"/>
          <w:lang w:val="bg-BG" w:eastAsia="bg-BG"/>
        </w:rPr>
      </w:pPr>
    </w:p>
    <w:p w14:paraId="5DB88E3A" w14:textId="77777777" w:rsidR="00CB06E5" w:rsidRPr="00C67AF9" w:rsidRDefault="00CB06E5" w:rsidP="00EE52B5">
      <w:pPr>
        <w:autoSpaceDE w:val="0"/>
        <w:autoSpaceDN w:val="0"/>
        <w:adjustRightInd w:val="0"/>
        <w:spacing w:after="0" w:line="240" w:lineRule="auto"/>
        <w:jc w:val="center"/>
        <w:rPr>
          <w:rFonts w:ascii="Times New Roman" w:hAnsi="Times New Roman"/>
          <w:b/>
          <w:i/>
          <w:color w:val="000000"/>
          <w:szCs w:val="24"/>
          <w:lang w:val="bg-BG" w:eastAsia="bg-BG"/>
        </w:rPr>
      </w:pPr>
    </w:p>
    <w:p w14:paraId="0C35385E" w14:textId="77777777" w:rsidR="00CB06E5" w:rsidRPr="00C67AF9" w:rsidRDefault="00CB06E5" w:rsidP="00EE52B5">
      <w:pPr>
        <w:autoSpaceDE w:val="0"/>
        <w:autoSpaceDN w:val="0"/>
        <w:adjustRightInd w:val="0"/>
        <w:spacing w:after="0" w:line="240" w:lineRule="auto"/>
        <w:jc w:val="center"/>
        <w:rPr>
          <w:rFonts w:ascii="Times New Roman" w:hAnsi="Times New Roman"/>
          <w:b/>
          <w:i/>
          <w:color w:val="000000"/>
          <w:szCs w:val="24"/>
          <w:lang w:val="bg-BG" w:eastAsia="bg-BG"/>
        </w:rPr>
      </w:pPr>
    </w:p>
    <w:p w14:paraId="70C013D6" w14:textId="77777777" w:rsidR="00CB06E5" w:rsidRPr="00C67AF9" w:rsidRDefault="00CB06E5" w:rsidP="00EE52B5">
      <w:pPr>
        <w:autoSpaceDE w:val="0"/>
        <w:autoSpaceDN w:val="0"/>
        <w:adjustRightInd w:val="0"/>
        <w:spacing w:after="0" w:line="240" w:lineRule="auto"/>
        <w:jc w:val="center"/>
        <w:rPr>
          <w:rFonts w:ascii="Times New Roman" w:hAnsi="Times New Roman"/>
          <w:b/>
          <w:i/>
          <w:color w:val="000000"/>
          <w:szCs w:val="24"/>
          <w:lang w:val="bg-BG" w:eastAsia="bg-BG"/>
        </w:rPr>
      </w:pPr>
    </w:p>
    <w:p w14:paraId="13C5E099" w14:textId="77777777" w:rsidR="0042289A" w:rsidRDefault="0042289A" w:rsidP="00EE52B5">
      <w:pPr>
        <w:autoSpaceDE w:val="0"/>
        <w:autoSpaceDN w:val="0"/>
        <w:adjustRightInd w:val="0"/>
        <w:spacing w:after="0" w:line="240" w:lineRule="auto"/>
        <w:jc w:val="center"/>
        <w:rPr>
          <w:rFonts w:ascii="Times New Roman" w:hAnsi="Times New Roman"/>
          <w:b/>
          <w:i/>
          <w:color w:val="000000"/>
          <w:szCs w:val="24"/>
          <w:lang w:val="bg-BG" w:eastAsia="bg-BG"/>
        </w:rPr>
      </w:pPr>
    </w:p>
    <w:p w14:paraId="2945F7C5" w14:textId="77777777" w:rsidR="0042289A" w:rsidRDefault="0042289A" w:rsidP="00EE52B5">
      <w:pPr>
        <w:autoSpaceDE w:val="0"/>
        <w:autoSpaceDN w:val="0"/>
        <w:adjustRightInd w:val="0"/>
        <w:spacing w:after="0" w:line="240" w:lineRule="auto"/>
        <w:jc w:val="center"/>
        <w:rPr>
          <w:rFonts w:ascii="Times New Roman" w:hAnsi="Times New Roman"/>
          <w:b/>
          <w:i/>
          <w:color w:val="000000"/>
          <w:szCs w:val="24"/>
          <w:lang w:val="bg-BG" w:eastAsia="bg-BG"/>
        </w:rPr>
      </w:pPr>
    </w:p>
    <w:p w14:paraId="7C3EFE27" w14:textId="77777777" w:rsidR="00DE4BA8" w:rsidRDefault="00DE4BA8" w:rsidP="00EE52B5">
      <w:pPr>
        <w:autoSpaceDE w:val="0"/>
        <w:autoSpaceDN w:val="0"/>
        <w:adjustRightInd w:val="0"/>
        <w:spacing w:after="0" w:line="240" w:lineRule="auto"/>
        <w:jc w:val="center"/>
        <w:rPr>
          <w:rFonts w:ascii="Times New Roman" w:hAnsi="Times New Roman"/>
          <w:b/>
          <w:i/>
          <w:color w:val="000000"/>
          <w:szCs w:val="24"/>
          <w:lang w:val="bg-BG" w:eastAsia="bg-BG"/>
        </w:rPr>
      </w:pPr>
    </w:p>
    <w:p w14:paraId="17A92A36" w14:textId="77777777" w:rsidR="00DE4BA8" w:rsidRDefault="00DE4BA8" w:rsidP="00EE52B5">
      <w:pPr>
        <w:autoSpaceDE w:val="0"/>
        <w:autoSpaceDN w:val="0"/>
        <w:adjustRightInd w:val="0"/>
        <w:spacing w:after="0" w:line="240" w:lineRule="auto"/>
        <w:jc w:val="center"/>
        <w:rPr>
          <w:rFonts w:ascii="Times New Roman" w:hAnsi="Times New Roman"/>
          <w:b/>
          <w:i/>
          <w:color w:val="000000"/>
          <w:szCs w:val="24"/>
          <w:lang w:val="bg-BG" w:eastAsia="bg-BG"/>
        </w:rPr>
      </w:pPr>
    </w:p>
    <w:p w14:paraId="4FC51FD3" w14:textId="77777777" w:rsidR="001664D2" w:rsidRPr="00896DA4" w:rsidRDefault="0042289A" w:rsidP="00602ECA">
      <w:pPr>
        <w:tabs>
          <w:tab w:val="left" w:pos="342"/>
          <w:tab w:val="left" w:pos="399"/>
        </w:tabs>
        <w:spacing w:after="0" w:line="240" w:lineRule="auto"/>
        <w:rPr>
          <w:rFonts w:ascii="Times New Roman" w:hAnsi="Times New Roman"/>
          <w:b/>
          <w:smallCaps/>
          <w:sz w:val="22"/>
          <w:szCs w:val="22"/>
        </w:rPr>
      </w:pPr>
      <w:r w:rsidRPr="00724689">
        <w:rPr>
          <w:rFonts w:ascii="Times New Roman" w:hAnsi="Times New Roman"/>
          <w:b/>
          <w:smallCaps/>
          <w:sz w:val="22"/>
          <w:szCs w:val="22"/>
          <w:lang w:val="bg-BG"/>
        </w:rPr>
        <w:lastRenderedPageBreak/>
        <w:t xml:space="preserve">І. </w:t>
      </w:r>
      <w:r>
        <w:rPr>
          <w:rFonts w:ascii="Times New Roman" w:hAnsi="Times New Roman"/>
          <w:b/>
          <w:smallCaps/>
          <w:sz w:val="22"/>
          <w:szCs w:val="22"/>
          <w:lang w:val="bg-BG"/>
        </w:rPr>
        <w:t xml:space="preserve">ЦЕЛ НА </w:t>
      </w:r>
      <w:r w:rsidR="001664D2">
        <w:rPr>
          <w:rFonts w:ascii="Times New Roman" w:hAnsi="Times New Roman"/>
          <w:b/>
          <w:smallCaps/>
          <w:sz w:val="22"/>
          <w:szCs w:val="22"/>
          <w:lang w:val="bg-BG"/>
        </w:rPr>
        <w:t xml:space="preserve">ДЪЛГОСРОЧНАТА </w:t>
      </w:r>
      <w:r>
        <w:rPr>
          <w:rFonts w:ascii="Times New Roman" w:hAnsi="Times New Roman"/>
          <w:b/>
          <w:smallCaps/>
          <w:sz w:val="22"/>
          <w:szCs w:val="22"/>
          <w:lang w:val="bg-BG"/>
        </w:rPr>
        <w:t>ИНВЕСТИЦИОННАТА ПОЛИТИКА</w:t>
      </w:r>
      <w:r w:rsidR="001664D2">
        <w:rPr>
          <w:rFonts w:ascii="Times New Roman" w:hAnsi="Times New Roman"/>
          <w:b/>
          <w:smallCaps/>
          <w:sz w:val="22"/>
          <w:szCs w:val="22"/>
          <w:lang w:val="bg-BG"/>
        </w:rPr>
        <w:t xml:space="preserve"> НА ДЪРЖАВНИЯ ФОНД ЗА ГАРАНТИРАНЕ УСТОЙЧИВОСТ НА ДЪРЖАВНАТА ПЕНСИОННА СИТЕМА </w:t>
      </w:r>
    </w:p>
    <w:p w14:paraId="5862C30F" w14:textId="77777777" w:rsidR="00DC03B6" w:rsidRPr="00DC467A" w:rsidRDefault="00DC03B6" w:rsidP="002E7168">
      <w:pPr>
        <w:tabs>
          <w:tab w:val="left" w:pos="342"/>
          <w:tab w:val="left" w:pos="399"/>
        </w:tabs>
        <w:spacing w:after="0" w:line="240" w:lineRule="auto"/>
        <w:ind w:left="399" w:hanging="21"/>
        <w:rPr>
          <w:rFonts w:ascii="Times New Roman" w:hAnsi="Times New Roman"/>
          <w:b/>
          <w:smallCaps/>
          <w:sz w:val="10"/>
          <w:szCs w:val="10"/>
          <w:lang w:val="bg-BG"/>
        </w:rPr>
      </w:pPr>
    </w:p>
    <w:p w14:paraId="5FE1F562" w14:textId="77777777" w:rsidR="006944E9" w:rsidRPr="00EC43A6" w:rsidRDefault="006C041A" w:rsidP="0035190A">
      <w:pPr>
        <w:autoSpaceDE w:val="0"/>
        <w:autoSpaceDN w:val="0"/>
        <w:adjustRightInd w:val="0"/>
        <w:spacing w:after="0" w:line="240" w:lineRule="auto"/>
        <w:rPr>
          <w:rFonts w:ascii="Times New Roman" w:hAnsi="Times New Roman"/>
          <w:szCs w:val="24"/>
          <w:lang w:val="bg-BG" w:eastAsia="bg-BG"/>
        </w:rPr>
      </w:pPr>
      <w:r w:rsidRPr="00EC43A6">
        <w:rPr>
          <w:rFonts w:ascii="Times New Roman" w:hAnsi="Times New Roman"/>
          <w:color w:val="000000"/>
          <w:szCs w:val="24"/>
          <w:lang w:val="bg-BG" w:eastAsia="bg-BG"/>
        </w:rPr>
        <w:t>Целта на настоящата инвестиционна политика е да очертае</w:t>
      </w:r>
      <w:r w:rsidR="00F3665E" w:rsidRPr="00EC43A6">
        <w:rPr>
          <w:rFonts w:ascii="Times New Roman" w:hAnsi="Times New Roman"/>
          <w:color w:val="000000"/>
          <w:szCs w:val="24"/>
          <w:lang w:val="bg-BG" w:eastAsia="bg-BG"/>
        </w:rPr>
        <w:t xml:space="preserve"> общите </w:t>
      </w:r>
      <w:r w:rsidR="00407B58" w:rsidRPr="00EC43A6">
        <w:rPr>
          <w:rFonts w:ascii="Times New Roman" w:hAnsi="Times New Roman"/>
          <w:color w:val="000000"/>
          <w:szCs w:val="24"/>
          <w:lang w:val="bg-BG" w:eastAsia="bg-BG"/>
        </w:rPr>
        <w:t>насоки за провеждане</w:t>
      </w:r>
      <w:r w:rsidR="00F3665E" w:rsidRPr="00EC43A6">
        <w:rPr>
          <w:rFonts w:ascii="Times New Roman" w:hAnsi="Times New Roman"/>
          <w:color w:val="000000"/>
          <w:szCs w:val="24"/>
          <w:lang w:val="bg-BG" w:eastAsia="bg-BG"/>
        </w:rPr>
        <w:t xml:space="preserve"> на инвестиционната дейност на Д</w:t>
      </w:r>
      <w:r w:rsidR="002B2F2B" w:rsidRPr="00EC43A6">
        <w:rPr>
          <w:rFonts w:ascii="Times New Roman" w:hAnsi="Times New Roman"/>
          <w:color w:val="000000"/>
          <w:szCs w:val="24"/>
          <w:lang w:val="bg-BG" w:eastAsia="bg-BG"/>
        </w:rPr>
        <w:t>ържавния фонд за гарантиране устойчивост на държавната пенсионна система (</w:t>
      </w:r>
      <w:r w:rsidR="00724689" w:rsidRPr="00EC43A6">
        <w:rPr>
          <w:rFonts w:ascii="Times New Roman" w:hAnsi="Times New Roman"/>
          <w:szCs w:val="24"/>
          <w:lang w:val="bg-BG" w:eastAsia="bg-BG"/>
        </w:rPr>
        <w:t>„ДФГУДПС” или „</w:t>
      </w:r>
      <w:r w:rsidR="00E84F2E">
        <w:rPr>
          <w:rFonts w:ascii="Times New Roman" w:hAnsi="Times New Roman"/>
          <w:szCs w:val="24"/>
          <w:lang w:val="bg-BG" w:eastAsia="bg-BG"/>
        </w:rPr>
        <w:t>ф</w:t>
      </w:r>
      <w:r w:rsidR="00724689" w:rsidRPr="00EC43A6">
        <w:rPr>
          <w:rFonts w:ascii="Times New Roman" w:hAnsi="Times New Roman"/>
          <w:szCs w:val="24"/>
          <w:lang w:val="bg-BG" w:eastAsia="bg-BG"/>
        </w:rPr>
        <w:t>онда”)</w:t>
      </w:r>
      <w:r w:rsidR="00407B58" w:rsidRPr="00EC43A6">
        <w:rPr>
          <w:rFonts w:ascii="Times New Roman" w:hAnsi="Times New Roman"/>
          <w:szCs w:val="24"/>
          <w:lang w:val="bg-BG" w:eastAsia="bg-BG"/>
        </w:rPr>
        <w:t xml:space="preserve"> в дългосрочен хоризонт</w:t>
      </w:r>
      <w:r w:rsidR="001C644B" w:rsidRPr="00EC43A6">
        <w:rPr>
          <w:rFonts w:ascii="Times New Roman" w:hAnsi="Times New Roman"/>
          <w:szCs w:val="24"/>
          <w:lang w:val="bg-BG" w:eastAsia="bg-BG"/>
        </w:rPr>
        <w:t xml:space="preserve"> за постигане на регламентираните в Закона за </w:t>
      </w:r>
      <w:r w:rsidR="00F74393" w:rsidRPr="00EC43A6">
        <w:rPr>
          <w:rFonts w:ascii="Times New Roman" w:hAnsi="Times New Roman"/>
          <w:color w:val="000000"/>
          <w:szCs w:val="24"/>
          <w:lang w:val="bg-BG" w:eastAsia="bg-BG"/>
        </w:rPr>
        <w:t>Държавния фонд за гарантиране устойчивост на държавната пенсионна система</w:t>
      </w:r>
      <w:r w:rsidR="00F74393" w:rsidRPr="00EC43A6">
        <w:rPr>
          <w:rFonts w:ascii="Times New Roman" w:hAnsi="Times New Roman"/>
          <w:szCs w:val="24"/>
          <w:lang w:val="bg-BG" w:eastAsia="bg-BG"/>
        </w:rPr>
        <w:t xml:space="preserve"> </w:t>
      </w:r>
      <w:r w:rsidR="00F74393">
        <w:rPr>
          <w:rFonts w:ascii="Times New Roman" w:hAnsi="Times New Roman"/>
          <w:szCs w:val="24"/>
          <w:lang w:val="en-US" w:eastAsia="bg-BG"/>
        </w:rPr>
        <w:t>(</w:t>
      </w:r>
      <w:r w:rsidR="00F74393">
        <w:rPr>
          <w:rFonts w:ascii="Times New Roman" w:hAnsi="Times New Roman"/>
          <w:szCs w:val="24"/>
          <w:lang w:val="bg-BG" w:eastAsia="bg-BG"/>
        </w:rPr>
        <w:t>З</w:t>
      </w:r>
      <w:r w:rsidR="001C644B" w:rsidRPr="00EC43A6">
        <w:rPr>
          <w:rFonts w:ascii="Times New Roman" w:hAnsi="Times New Roman"/>
          <w:szCs w:val="24"/>
          <w:lang w:val="bg-BG" w:eastAsia="bg-BG"/>
        </w:rPr>
        <w:t>ДФГУДПС</w:t>
      </w:r>
      <w:r w:rsidR="00F74393">
        <w:rPr>
          <w:rFonts w:ascii="Times New Roman" w:hAnsi="Times New Roman"/>
          <w:szCs w:val="24"/>
          <w:lang w:val="en-US" w:eastAsia="bg-BG"/>
        </w:rPr>
        <w:t>)</w:t>
      </w:r>
      <w:r w:rsidR="001C644B" w:rsidRPr="00EC43A6">
        <w:rPr>
          <w:rFonts w:ascii="Times New Roman" w:hAnsi="Times New Roman"/>
          <w:szCs w:val="24"/>
          <w:lang w:val="bg-BG" w:eastAsia="bg-BG"/>
        </w:rPr>
        <w:t xml:space="preserve"> цели на </w:t>
      </w:r>
      <w:r w:rsidR="00E84F2E">
        <w:rPr>
          <w:rFonts w:ascii="Times New Roman" w:hAnsi="Times New Roman"/>
          <w:szCs w:val="24"/>
          <w:lang w:val="bg-BG" w:eastAsia="bg-BG"/>
        </w:rPr>
        <w:t>ф</w:t>
      </w:r>
      <w:r w:rsidR="001C644B" w:rsidRPr="00EC43A6">
        <w:rPr>
          <w:rFonts w:ascii="Times New Roman" w:hAnsi="Times New Roman"/>
          <w:szCs w:val="24"/>
          <w:lang w:val="bg-BG" w:eastAsia="bg-BG"/>
        </w:rPr>
        <w:t>онда</w:t>
      </w:r>
      <w:r w:rsidR="00F3665E" w:rsidRPr="00EC43A6">
        <w:rPr>
          <w:rFonts w:ascii="Times New Roman" w:hAnsi="Times New Roman"/>
          <w:szCs w:val="24"/>
          <w:lang w:val="bg-BG" w:eastAsia="bg-BG"/>
        </w:rPr>
        <w:t xml:space="preserve">. Нейната задача е да определи </w:t>
      </w:r>
      <w:r w:rsidR="00407B58" w:rsidRPr="00EC43A6">
        <w:rPr>
          <w:rFonts w:ascii="Times New Roman" w:hAnsi="Times New Roman"/>
          <w:szCs w:val="24"/>
          <w:lang w:val="bg-BG" w:eastAsia="bg-BG"/>
        </w:rPr>
        <w:t xml:space="preserve">целите и рамката </w:t>
      </w:r>
      <w:r w:rsidR="00407B58" w:rsidRPr="008F07ED">
        <w:rPr>
          <w:rFonts w:ascii="Times New Roman" w:hAnsi="Times New Roman"/>
          <w:szCs w:val="24"/>
          <w:lang w:val="bg-BG" w:eastAsia="bg-BG"/>
        </w:rPr>
        <w:t>при осъществяването</w:t>
      </w:r>
      <w:r w:rsidR="00F3665E" w:rsidRPr="008F07ED">
        <w:rPr>
          <w:rFonts w:ascii="Times New Roman" w:hAnsi="Times New Roman"/>
          <w:szCs w:val="24"/>
          <w:lang w:val="bg-BG" w:eastAsia="bg-BG"/>
        </w:rPr>
        <w:t xml:space="preserve"> на инвестиции </w:t>
      </w:r>
      <w:r w:rsidR="001C644B" w:rsidRPr="00EC43A6">
        <w:rPr>
          <w:rFonts w:ascii="Times New Roman" w:hAnsi="Times New Roman"/>
          <w:szCs w:val="24"/>
          <w:lang w:val="bg-BG" w:eastAsia="bg-BG"/>
        </w:rPr>
        <w:t xml:space="preserve">при спазване принципите на надеждност, доходност, </w:t>
      </w:r>
      <w:r w:rsidR="001C644B" w:rsidRPr="00BD573D">
        <w:rPr>
          <w:rFonts w:ascii="Times New Roman" w:hAnsi="Times New Roman"/>
          <w:szCs w:val="24"/>
          <w:lang w:val="bg-BG" w:eastAsia="bg-BG"/>
        </w:rPr>
        <w:t>ликвидност и диверсификация</w:t>
      </w:r>
      <w:r w:rsidR="00F3665E" w:rsidRPr="00BD573D">
        <w:rPr>
          <w:rFonts w:ascii="Times New Roman" w:hAnsi="Times New Roman"/>
          <w:szCs w:val="24"/>
          <w:lang w:val="bg-BG" w:eastAsia="bg-BG"/>
        </w:rPr>
        <w:t>.</w:t>
      </w:r>
    </w:p>
    <w:p w14:paraId="7A8F8FC2" w14:textId="77777777" w:rsidR="006F029B" w:rsidRPr="002E7168" w:rsidRDefault="002B0709" w:rsidP="007B5007">
      <w:pPr>
        <w:autoSpaceDE w:val="0"/>
        <w:autoSpaceDN w:val="0"/>
        <w:adjustRightInd w:val="0"/>
        <w:spacing w:after="0" w:line="240" w:lineRule="auto"/>
        <w:rPr>
          <w:rFonts w:ascii="Times New Roman" w:hAnsi="Times New Roman"/>
          <w:color w:val="000000"/>
          <w:sz w:val="10"/>
          <w:szCs w:val="10"/>
          <w:lang w:val="bg-BG" w:eastAsia="bg-BG"/>
        </w:rPr>
      </w:pPr>
      <w:r>
        <w:rPr>
          <w:rFonts w:ascii="Times New Roman" w:hAnsi="Times New Roman"/>
          <w:color w:val="000000"/>
          <w:szCs w:val="24"/>
          <w:lang w:val="bg-BG" w:eastAsia="bg-BG"/>
        </w:rPr>
        <w:t>Дългосрочната и</w:t>
      </w:r>
      <w:r w:rsidR="001F000D" w:rsidRPr="00EC43A6">
        <w:rPr>
          <w:rFonts w:ascii="Times New Roman" w:hAnsi="Times New Roman"/>
          <w:color w:val="000000"/>
          <w:szCs w:val="24"/>
          <w:lang w:val="bg-BG" w:eastAsia="bg-BG"/>
        </w:rPr>
        <w:t xml:space="preserve">нвестиционна политика </w:t>
      </w:r>
      <w:r>
        <w:rPr>
          <w:rFonts w:ascii="Times New Roman" w:hAnsi="Times New Roman"/>
          <w:color w:val="000000"/>
          <w:szCs w:val="24"/>
          <w:lang w:val="bg-BG" w:eastAsia="bg-BG"/>
        </w:rPr>
        <w:t xml:space="preserve">на </w:t>
      </w:r>
      <w:r w:rsidR="008D310D" w:rsidRPr="00EC43A6">
        <w:rPr>
          <w:rFonts w:ascii="Times New Roman" w:hAnsi="Times New Roman"/>
          <w:color w:val="000000"/>
          <w:szCs w:val="24"/>
          <w:lang w:val="bg-BG" w:eastAsia="bg-BG"/>
        </w:rPr>
        <w:t>Държавния фонд за гарантиране устойчивост на държавната пенсионна система</w:t>
      </w:r>
      <w:r>
        <w:rPr>
          <w:rFonts w:ascii="Times New Roman" w:hAnsi="Times New Roman"/>
          <w:color w:val="000000"/>
          <w:szCs w:val="24"/>
          <w:lang w:val="bg-BG" w:eastAsia="bg-BG"/>
        </w:rPr>
        <w:t xml:space="preserve"> е документ, който е одобрен от управителния съвет </w:t>
      </w:r>
      <w:r w:rsidR="00E84F2E">
        <w:rPr>
          <w:rFonts w:ascii="Times New Roman" w:hAnsi="Times New Roman"/>
          <w:color w:val="000000"/>
          <w:szCs w:val="24"/>
          <w:lang w:val="bg-BG" w:eastAsia="bg-BG"/>
        </w:rPr>
        <w:t>на ф</w:t>
      </w:r>
      <w:r>
        <w:rPr>
          <w:rFonts w:ascii="Times New Roman" w:hAnsi="Times New Roman"/>
          <w:color w:val="000000"/>
          <w:szCs w:val="24"/>
          <w:lang w:val="bg-BG" w:eastAsia="bg-BG"/>
        </w:rPr>
        <w:t>онда</w:t>
      </w:r>
      <w:r w:rsidR="00CF7F2C">
        <w:rPr>
          <w:rFonts w:ascii="Times New Roman" w:hAnsi="Times New Roman"/>
          <w:color w:val="000000"/>
          <w:szCs w:val="24"/>
          <w:lang w:val="bg-BG" w:eastAsia="bg-BG"/>
        </w:rPr>
        <w:t xml:space="preserve">. </w:t>
      </w:r>
      <w:r w:rsidR="001E59B2">
        <w:rPr>
          <w:rFonts w:ascii="Times New Roman" w:hAnsi="Times New Roman"/>
          <w:color w:val="000000"/>
          <w:szCs w:val="24"/>
          <w:lang w:val="bg-BG" w:eastAsia="bg-BG"/>
        </w:rPr>
        <w:t>Дългосрочната и</w:t>
      </w:r>
      <w:r w:rsidR="001E59B2" w:rsidRPr="00EC43A6">
        <w:rPr>
          <w:rFonts w:ascii="Times New Roman" w:hAnsi="Times New Roman"/>
          <w:color w:val="000000"/>
          <w:szCs w:val="24"/>
          <w:lang w:val="bg-BG" w:eastAsia="bg-BG"/>
        </w:rPr>
        <w:t>нвестиционна политика</w:t>
      </w:r>
      <w:r>
        <w:rPr>
          <w:rFonts w:ascii="Times New Roman" w:hAnsi="Times New Roman"/>
          <w:color w:val="000000"/>
          <w:szCs w:val="24"/>
          <w:lang w:val="bg-BG" w:eastAsia="bg-BG"/>
        </w:rPr>
        <w:t xml:space="preserve"> </w:t>
      </w:r>
      <w:r w:rsidR="001F000D" w:rsidRPr="00EC43A6">
        <w:rPr>
          <w:rFonts w:ascii="Times New Roman" w:hAnsi="Times New Roman"/>
          <w:color w:val="000000"/>
          <w:szCs w:val="24"/>
          <w:lang w:val="bg-BG" w:eastAsia="bg-BG"/>
        </w:rPr>
        <w:t>ще</w:t>
      </w:r>
      <w:r w:rsidR="006F029B" w:rsidRPr="00EC43A6">
        <w:rPr>
          <w:rFonts w:ascii="Times New Roman" w:hAnsi="Times New Roman"/>
          <w:color w:val="000000"/>
          <w:szCs w:val="24"/>
          <w:lang w:val="bg-BG" w:eastAsia="bg-BG"/>
        </w:rPr>
        <w:t xml:space="preserve"> бъде актуализиран</w:t>
      </w:r>
      <w:r w:rsidR="001E59B2">
        <w:rPr>
          <w:rFonts w:ascii="Times New Roman" w:hAnsi="Times New Roman"/>
          <w:color w:val="000000"/>
          <w:szCs w:val="24"/>
          <w:lang w:val="bg-BG" w:eastAsia="bg-BG"/>
        </w:rPr>
        <w:t>а</w:t>
      </w:r>
      <w:r w:rsidR="006F029B" w:rsidRPr="00EC43A6">
        <w:rPr>
          <w:rFonts w:ascii="Times New Roman" w:hAnsi="Times New Roman"/>
          <w:color w:val="000000"/>
          <w:szCs w:val="24"/>
          <w:lang w:val="bg-BG" w:eastAsia="bg-BG"/>
        </w:rPr>
        <w:t xml:space="preserve"> ежегодно в съответствие с икономическото развитие, пазарните показатели и </w:t>
      </w:r>
      <w:r w:rsidR="00F07CA4">
        <w:rPr>
          <w:rFonts w:ascii="Times New Roman" w:hAnsi="Times New Roman"/>
          <w:color w:val="000000"/>
          <w:szCs w:val="24"/>
          <w:lang w:val="bg-BG" w:eastAsia="bg-BG"/>
        </w:rPr>
        <w:t>промените в параметрите на държавн</w:t>
      </w:r>
      <w:r w:rsidR="003E5BC2">
        <w:rPr>
          <w:rFonts w:ascii="Times New Roman" w:hAnsi="Times New Roman"/>
          <w:color w:val="000000"/>
          <w:szCs w:val="24"/>
          <w:lang w:val="bg-BG" w:eastAsia="bg-BG"/>
        </w:rPr>
        <w:t>ата</w:t>
      </w:r>
      <w:r w:rsidR="00F07CA4">
        <w:rPr>
          <w:rFonts w:ascii="Times New Roman" w:hAnsi="Times New Roman"/>
          <w:color w:val="000000"/>
          <w:szCs w:val="24"/>
          <w:lang w:val="bg-BG" w:eastAsia="bg-BG"/>
        </w:rPr>
        <w:t xml:space="preserve"> пенсионна система, вследствие на законови промени,</w:t>
      </w:r>
      <w:r w:rsidR="006F029B" w:rsidRPr="00EC43A6">
        <w:rPr>
          <w:rFonts w:ascii="Times New Roman" w:hAnsi="Times New Roman"/>
          <w:color w:val="000000"/>
          <w:szCs w:val="24"/>
          <w:lang w:val="bg-BG" w:eastAsia="bg-BG"/>
        </w:rPr>
        <w:t xml:space="preserve"> и </w:t>
      </w:r>
      <w:r w:rsidR="005E1B47">
        <w:rPr>
          <w:rFonts w:ascii="Times New Roman" w:hAnsi="Times New Roman"/>
          <w:color w:val="000000"/>
          <w:szCs w:val="24"/>
          <w:lang w:val="bg-BG" w:eastAsia="bg-BG"/>
        </w:rPr>
        <w:t xml:space="preserve">ще бъде </w:t>
      </w:r>
      <w:r w:rsidR="00877E95">
        <w:rPr>
          <w:rFonts w:ascii="Times New Roman" w:hAnsi="Times New Roman"/>
          <w:color w:val="000000"/>
          <w:szCs w:val="24"/>
          <w:lang w:val="bg-BG" w:eastAsia="bg-BG"/>
        </w:rPr>
        <w:t xml:space="preserve">внасяна за </w:t>
      </w:r>
      <w:r>
        <w:rPr>
          <w:rFonts w:ascii="Times New Roman" w:hAnsi="Times New Roman"/>
          <w:color w:val="000000"/>
          <w:szCs w:val="24"/>
          <w:lang w:val="bg-BG" w:eastAsia="bg-BG"/>
        </w:rPr>
        <w:t>разглеждан</w:t>
      </w:r>
      <w:r w:rsidR="00877E95">
        <w:rPr>
          <w:rFonts w:ascii="Times New Roman" w:hAnsi="Times New Roman"/>
          <w:color w:val="000000"/>
          <w:szCs w:val="24"/>
          <w:lang w:val="bg-BG" w:eastAsia="bg-BG"/>
        </w:rPr>
        <w:t>е</w:t>
      </w:r>
      <w:r>
        <w:rPr>
          <w:rFonts w:ascii="Times New Roman" w:hAnsi="Times New Roman"/>
          <w:color w:val="000000"/>
          <w:szCs w:val="24"/>
          <w:lang w:val="bg-BG" w:eastAsia="bg-BG"/>
        </w:rPr>
        <w:t xml:space="preserve"> и прие</w:t>
      </w:r>
      <w:r w:rsidR="00877E95">
        <w:rPr>
          <w:rFonts w:ascii="Times New Roman" w:hAnsi="Times New Roman"/>
          <w:color w:val="000000"/>
          <w:szCs w:val="24"/>
          <w:lang w:val="bg-BG" w:eastAsia="bg-BG"/>
        </w:rPr>
        <w:t>мане</w:t>
      </w:r>
      <w:r w:rsidR="006F029B" w:rsidRPr="00EC43A6">
        <w:rPr>
          <w:rFonts w:ascii="Times New Roman" w:hAnsi="Times New Roman"/>
          <w:color w:val="000000"/>
          <w:szCs w:val="24"/>
          <w:lang w:val="bg-BG" w:eastAsia="bg-BG"/>
        </w:rPr>
        <w:t xml:space="preserve"> от Министерския съвет. Това позволява своевременното и адекватно</w:t>
      </w:r>
      <w:r w:rsidR="00F20AB4" w:rsidRPr="00EC43A6">
        <w:rPr>
          <w:rFonts w:ascii="Times New Roman" w:hAnsi="Times New Roman"/>
          <w:color w:val="000000"/>
          <w:szCs w:val="24"/>
          <w:lang w:val="bg-BG" w:eastAsia="bg-BG"/>
        </w:rPr>
        <w:t xml:space="preserve"> </w:t>
      </w:r>
      <w:r w:rsidR="006F029B" w:rsidRPr="00EC43A6">
        <w:rPr>
          <w:rFonts w:ascii="Times New Roman" w:hAnsi="Times New Roman"/>
          <w:color w:val="000000"/>
          <w:szCs w:val="24"/>
          <w:lang w:val="bg-BG" w:eastAsia="bg-BG"/>
        </w:rPr>
        <w:t>предефиниране на част от целите и действията в хода на</w:t>
      </w:r>
      <w:r w:rsidR="00640C4C" w:rsidRPr="00EC43A6">
        <w:rPr>
          <w:rFonts w:ascii="Times New Roman" w:hAnsi="Times New Roman"/>
          <w:color w:val="000000"/>
          <w:szCs w:val="24"/>
          <w:lang w:val="bg-BG" w:eastAsia="bg-BG"/>
        </w:rPr>
        <w:t xml:space="preserve"> нейното</w:t>
      </w:r>
      <w:r w:rsidR="006F029B" w:rsidRPr="00EC43A6">
        <w:rPr>
          <w:rFonts w:ascii="Times New Roman" w:hAnsi="Times New Roman"/>
          <w:color w:val="000000"/>
          <w:szCs w:val="24"/>
          <w:lang w:val="bg-BG" w:eastAsia="bg-BG"/>
        </w:rPr>
        <w:t xml:space="preserve"> изпълнение</w:t>
      </w:r>
      <w:r w:rsidR="001C644B" w:rsidRPr="00EC43A6">
        <w:rPr>
          <w:rFonts w:ascii="Times New Roman" w:hAnsi="Times New Roman"/>
          <w:color w:val="000000"/>
          <w:szCs w:val="24"/>
          <w:lang w:val="bg-BG" w:eastAsia="bg-BG"/>
        </w:rPr>
        <w:t>.</w:t>
      </w:r>
    </w:p>
    <w:p w14:paraId="708AF98A" w14:textId="77777777" w:rsidR="00F44CB5" w:rsidRPr="002359E0" w:rsidRDefault="00F44CB5" w:rsidP="00CF5E86">
      <w:pPr>
        <w:autoSpaceDE w:val="0"/>
        <w:autoSpaceDN w:val="0"/>
        <w:adjustRightInd w:val="0"/>
        <w:spacing w:after="0" w:line="240" w:lineRule="auto"/>
        <w:rPr>
          <w:rFonts w:ascii="Times New Roman" w:hAnsi="Times New Roman"/>
          <w:b/>
          <w:i/>
          <w:color w:val="000000"/>
          <w:sz w:val="16"/>
          <w:szCs w:val="16"/>
          <w:lang w:val="bg-BG" w:eastAsia="bg-BG"/>
        </w:rPr>
      </w:pPr>
    </w:p>
    <w:p w14:paraId="1E940AE9" w14:textId="77777777" w:rsidR="0064754A" w:rsidRDefault="0064754A" w:rsidP="00602ECA">
      <w:pPr>
        <w:spacing w:after="0" w:line="240" w:lineRule="auto"/>
        <w:rPr>
          <w:rFonts w:ascii="Times New Roman" w:hAnsi="Times New Roman"/>
          <w:b/>
          <w:smallCaps/>
          <w:sz w:val="22"/>
          <w:szCs w:val="22"/>
          <w:lang w:val="bg-BG"/>
        </w:rPr>
      </w:pPr>
      <w:r w:rsidRPr="00B67C7A">
        <w:rPr>
          <w:rFonts w:ascii="Times New Roman" w:hAnsi="Times New Roman"/>
          <w:b/>
          <w:smallCaps/>
          <w:sz w:val="22"/>
          <w:szCs w:val="22"/>
          <w:lang w:val="bg-BG"/>
        </w:rPr>
        <w:t>ІІ</w:t>
      </w:r>
      <w:r w:rsidRPr="008868F6">
        <w:rPr>
          <w:rFonts w:ascii="Times New Roman" w:hAnsi="Times New Roman"/>
          <w:b/>
          <w:smallCaps/>
          <w:sz w:val="22"/>
          <w:szCs w:val="22"/>
          <w:lang w:val="bg-BG"/>
        </w:rPr>
        <w:t>.</w:t>
      </w:r>
      <w:r w:rsidRPr="001C1030">
        <w:rPr>
          <w:rFonts w:ascii="Times New Roman" w:hAnsi="Times New Roman"/>
          <w:b/>
          <w:smallCaps/>
          <w:sz w:val="22"/>
          <w:szCs w:val="22"/>
          <w:lang w:val="bg-BG"/>
        </w:rPr>
        <w:t xml:space="preserve"> </w:t>
      </w:r>
      <w:r>
        <w:rPr>
          <w:rFonts w:ascii="Times New Roman" w:hAnsi="Times New Roman"/>
          <w:b/>
          <w:smallCaps/>
          <w:sz w:val="22"/>
          <w:szCs w:val="22"/>
          <w:lang w:val="bg-BG"/>
        </w:rPr>
        <w:t>ИНВЕСТИЦИОННИ ЦЕЛИ И ОГРАНИЧЕНИЯ</w:t>
      </w:r>
    </w:p>
    <w:p w14:paraId="30735627" w14:textId="77777777" w:rsidR="00712730" w:rsidRPr="00712730" w:rsidRDefault="00712730" w:rsidP="00602ECA">
      <w:pPr>
        <w:spacing w:after="0" w:line="240" w:lineRule="auto"/>
        <w:rPr>
          <w:rFonts w:ascii="Times New Roman" w:hAnsi="Times New Roman"/>
          <w:b/>
          <w:smallCaps/>
          <w:sz w:val="10"/>
          <w:szCs w:val="10"/>
          <w:lang w:val="bg-BG"/>
        </w:rPr>
      </w:pPr>
    </w:p>
    <w:p w14:paraId="53BCD0E9" w14:textId="77777777" w:rsidR="00A02CDD" w:rsidRPr="00712730" w:rsidRDefault="00712730" w:rsidP="002E7168">
      <w:pPr>
        <w:spacing w:after="0" w:line="240" w:lineRule="auto"/>
        <w:ind w:left="426" w:firstLine="0"/>
        <w:rPr>
          <w:rFonts w:ascii="Times New Roman" w:hAnsi="Times New Roman"/>
          <w:b/>
          <w:color w:val="000000"/>
          <w:szCs w:val="24"/>
          <w:lang w:val="bg-BG" w:eastAsia="bg-BG"/>
        </w:rPr>
      </w:pPr>
      <w:r>
        <w:rPr>
          <w:rFonts w:ascii="Times New Roman" w:hAnsi="Times New Roman"/>
          <w:b/>
          <w:smallCaps/>
          <w:sz w:val="10"/>
          <w:szCs w:val="10"/>
          <w:lang w:val="bg-BG"/>
        </w:rPr>
        <w:tab/>
      </w:r>
      <w:r w:rsidRPr="00712730">
        <w:rPr>
          <w:rFonts w:ascii="Times New Roman" w:hAnsi="Times New Roman"/>
          <w:b/>
          <w:color w:val="000000"/>
          <w:szCs w:val="24"/>
          <w:lang w:val="bg-BG" w:eastAsia="bg-BG"/>
        </w:rPr>
        <w:t>Източници</w:t>
      </w:r>
      <w:r>
        <w:rPr>
          <w:rFonts w:ascii="Times New Roman" w:hAnsi="Times New Roman"/>
          <w:b/>
          <w:color w:val="000000"/>
          <w:szCs w:val="24"/>
          <w:lang w:val="bg-BG" w:eastAsia="bg-BG"/>
        </w:rPr>
        <w:t xml:space="preserve"> на средства</w:t>
      </w:r>
    </w:p>
    <w:p w14:paraId="0DA76412" w14:textId="77777777" w:rsidR="00712730" w:rsidRPr="00CF5E86" w:rsidRDefault="00712730" w:rsidP="002E7168">
      <w:pPr>
        <w:spacing w:after="0" w:line="240" w:lineRule="auto"/>
        <w:ind w:left="426" w:firstLine="0"/>
        <w:rPr>
          <w:rFonts w:ascii="Times New Roman" w:hAnsi="Times New Roman"/>
          <w:b/>
          <w:smallCaps/>
          <w:sz w:val="10"/>
          <w:szCs w:val="10"/>
          <w:lang w:val="bg-BG"/>
        </w:rPr>
      </w:pPr>
    </w:p>
    <w:p w14:paraId="69B6CFD1" w14:textId="77777777" w:rsidR="0064754A" w:rsidRPr="00EC43A6" w:rsidRDefault="00AE4AAE" w:rsidP="00D92893">
      <w:pPr>
        <w:spacing w:after="0" w:line="240" w:lineRule="auto"/>
        <w:ind w:right="50"/>
        <w:rPr>
          <w:rFonts w:ascii="Times New Roman" w:hAnsi="Times New Roman"/>
          <w:color w:val="000000"/>
          <w:szCs w:val="24"/>
          <w:lang w:val="bg-BG" w:eastAsia="bg-BG"/>
        </w:rPr>
      </w:pPr>
      <w:r>
        <w:rPr>
          <w:rFonts w:ascii="Times New Roman" w:hAnsi="Times New Roman"/>
          <w:szCs w:val="24"/>
          <w:lang w:val="bg-BG"/>
        </w:rPr>
        <w:t>Съгласно З</w:t>
      </w:r>
      <w:r w:rsidR="00E743D5" w:rsidRPr="00EC43A6">
        <w:rPr>
          <w:rFonts w:ascii="Times New Roman" w:hAnsi="Times New Roman"/>
          <w:szCs w:val="24"/>
          <w:lang w:val="bg-BG"/>
        </w:rPr>
        <w:t xml:space="preserve">ДФГУДПС </w:t>
      </w:r>
      <w:r>
        <w:rPr>
          <w:rFonts w:ascii="Times New Roman" w:hAnsi="Times New Roman"/>
          <w:color w:val="000000"/>
          <w:szCs w:val="24"/>
          <w:lang w:val="bg-BG" w:eastAsia="bg-BG"/>
        </w:rPr>
        <w:t>в</w:t>
      </w:r>
      <w:r w:rsidR="0064754A" w:rsidRPr="00EC43A6">
        <w:rPr>
          <w:rFonts w:ascii="Times New Roman" w:hAnsi="Times New Roman"/>
          <w:color w:val="000000"/>
          <w:szCs w:val="24"/>
          <w:lang w:val="bg-BG" w:eastAsia="bg-BG"/>
        </w:rPr>
        <w:t xml:space="preserve"> полза на </w:t>
      </w:r>
      <w:r w:rsidR="00E84F2E">
        <w:rPr>
          <w:rFonts w:ascii="Times New Roman" w:hAnsi="Times New Roman"/>
          <w:color w:val="000000"/>
          <w:szCs w:val="24"/>
          <w:lang w:val="bg-BG" w:eastAsia="bg-BG"/>
        </w:rPr>
        <w:t>ф</w:t>
      </w:r>
      <w:r w:rsidR="0064754A" w:rsidRPr="00EC43A6">
        <w:rPr>
          <w:rFonts w:ascii="Times New Roman" w:hAnsi="Times New Roman"/>
          <w:color w:val="000000"/>
          <w:szCs w:val="24"/>
          <w:lang w:val="bg-BG" w:eastAsia="bg-BG"/>
        </w:rPr>
        <w:t>онда се отчисляват от централния бюджет</w:t>
      </w:r>
      <w:r w:rsidR="000307C7">
        <w:rPr>
          <w:rFonts w:ascii="Times New Roman" w:hAnsi="Times New Roman"/>
          <w:color w:val="000000"/>
          <w:szCs w:val="24"/>
          <w:lang w:val="bg-BG" w:eastAsia="bg-BG"/>
        </w:rPr>
        <w:t xml:space="preserve"> средства въз основа на</w:t>
      </w:r>
      <w:r w:rsidR="0064754A" w:rsidRPr="00EC43A6">
        <w:rPr>
          <w:rFonts w:ascii="Times New Roman" w:hAnsi="Times New Roman"/>
          <w:color w:val="000000"/>
          <w:szCs w:val="24"/>
          <w:lang w:val="bg-BG" w:eastAsia="bg-BG"/>
        </w:rPr>
        <w:t>:</w:t>
      </w:r>
    </w:p>
    <w:p w14:paraId="254F777E" w14:textId="77777777" w:rsidR="0064754A" w:rsidRPr="00EC43A6" w:rsidRDefault="0064754A" w:rsidP="002E7168">
      <w:pPr>
        <w:spacing w:after="0" w:line="240" w:lineRule="auto"/>
        <w:ind w:firstLine="990"/>
        <w:rPr>
          <w:rFonts w:ascii="Times New Roman" w:hAnsi="Times New Roman"/>
          <w:color w:val="000000"/>
          <w:szCs w:val="24"/>
          <w:lang w:val="bg-BG" w:eastAsia="bg-BG"/>
        </w:rPr>
      </w:pPr>
      <w:r w:rsidRPr="00EC43A6">
        <w:rPr>
          <w:rFonts w:ascii="Times New Roman" w:hAnsi="Times New Roman"/>
          <w:color w:val="000000"/>
          <w:szCs w:val="24"/>
          <w:lang w:val="bg-BG" w:eastAsia="bg-BG"/>
        </w:rPr>
        <w:t>1. паричните постъпления от приватизация, отчетени по държавния бюджет;</w:t>
      </w:r>
    </w:p>
    <w:p w14:paraId="74A7EC32" w14:textId="77777777" w:rsidR="0064754A" w:rsidRPr="00EC43A6" w:rsidRDefault="0064754A" w:rsidP="002E7168">
      <w:pPr>
        <w:spacing w:after="0" w:line="240" w:lineRule="auto"/>
        <w:ind w:firstLine="990"/>
        <w:rPr>
          <w:rFonts w:ascii="Times New Roman" w:hAnsi="Times New Roman"/>
          <w:color w:val="000000"/>
          <w:szCs w:val="24"/>
          <w:lang w:val="bg-BG" w:eastAsia="bg-BG"/>
        </w:rPr>
      </w:pPr>
      <w:r w:rsidRPr="00EC43A6">
        <w:rPr>
          <w:rFonts w:ascii="Times New Roman" w:hAnsi="Times New Roman"/>
          <w:color w:val="000000"/>
          <w:szCs w:val="24"/>
          <w:lang w:val="bg-BG" w:eastAsia="bg-BG"/>
        </w:rPr>
        <w:t>2.</w:t>
      </w:r>
      <w:r w:rsidR="0078094D">
        <w:rPr>
          <w:rFonts w:ascii="Times New Roman" w:hAnsi="Times New Roman"/>
          <w:color w:val="000000"/>
          <w:szCs w:val="24"/>
          <w:lang w:val="bg-BG" w:eastAsia="bg-BG"/>
        </w:rPr>
        <w:t> </w:t>
      </w:r>
      <w:r w:rsidRPr="00EC43A6">
        <w:rPr>
          <w:rFonts w:ascii="Times New Roman" w:hAnsi="Times New Roman"/>
          <w:color w:val="000000"/>
          <w:szCs w:val="24"/>
          <w:lang w:val="bg-BG" w:eastAsia="bg-BG"/>
        </w:rPr>
        <w:t>двадесет и пет на сто от отчетения за съответната бюджетна година излишък на държавния бюджет;</w:t>
      </w:r>
    </w:p>
    <w:p w14:paraId="691D28AE" w14:textId="77777777" w:rsidR="0064754A" w:rsidRPr="00EC43A6" w:rsidRDefault="0064754A" w:rsidP="002E7168">
      <w:pPr>
        <w:spacing w:after="0" w:line="240" w:lineRule="auto"/>
        <w:ind w:firstLine="990"/>
        <w:rPr>
          <w:rFonts w:ascii="Times New Roman" w:hAnsi="Times New Roman"/>
          <w:color w:val="000000"/>
          <w:szCs w:val="24"/>
          <w:lang w:val="bg-BG" w:eastAsia="bg-BG"/>
        </w:rPr>
      </w:pPr>
      <w:r w:rsidRPr="00EC43A6">
        <w:rPr>
          <w:rFonts w:ascii="Times New Roman" w:hAnsi="Times New Roman"/>
          <w:color w:val="000000"/>
          <w:szCs w:val="24"/>
          <w:lang w:val="bg-BG" w:eastAsia="bg-BG"/>
        </w:rPr>
        <w:t>3. приходите от концесии, отчетени по държавния бюджет;</w:t>
      </w:r>
    </w:p>
    <w:p w14:paraId="1EAE986B" w14:textId="77777777" w:rsidR="0064754A" w:rsidRPr="00EC43A6" w:rsidRDefault="0064754A" w:rsidP="002E7168">
      <w:pPr>
        <w:spacing w:after="0" w:line="240" w:lineRule="auto"/>
        <w:ind w:firstLine="990"/>
        <w:rPr>
          <w:rFonts w:ascii="Times New Roman" w:hAnsi="Times New Roman"/>
          <w:color w:val="000000"/>
          <w:szCs w:val="24"/>
          <w:lang w:val="bg-BG" w:eastAsia="bg-BG"/>
        </w:rPr>
      </w:pPr>
      <w:r w:rsidRPr="00EC43A6">
        <w:rPr>
          <w:rFonts w:ascii="Times New Roman" w:hAnsi="Times New Roman"/>
          <w:color w:val="000000"/>
          <w:szCs w:val="24"/>
          <w:lang w:val="bg-BG" w:eastAsia="bg-BG"/>
        </w:rPr>
        <w:t>4.</w:t>
      </w:r>
      <w:r w:rsidR="0078094D">
        <w:rPr>
          <w:rFonts w:ascii="Times New Roman" w:hAnsi="Times New Roman"/>
          <w:color w:val="000000"/>
          <w:szCs w:val="24"/>
          <w:lang w:val="bg-BG" w:eastAsia="bg-BG"/>
        </w:rPr>
        <w:t> </w:t>
      </w:r>
      <w:r w:rsidRPr="00EC43A6">
        <w:rPr>
          <w:rFonts w:ascii="Times New Roman" w:hAnsi="Times New Roman"/>
          <w:color w:val="000000"/>
          <w:szCs w:val="24"/>
          <w:lang w:val="bg-BG" w:eastAsia="bg-BG"/>
        </w:rPr>
        <w:t>приходи от други източници, определени със закон или с акт на Министерския съвет.</w:t>
      </w:r>
    </w:p>
    <w:p w14:paraId="2B1A085B" w14:textId="77777777" w:rsidR="0064754A" w:rsidRDefault="0064754A" w:rsidP="0035190A">
      <w:pPr>
        <w:spacing w:after="0" w:line="240" w:lineRule="auto"/>
        <w:rPr>
          <w:rFonts w:ascii="Times New Roman" w:hAnsi="Times New Roman"/>
          <w:color w:val="000000"/>
          <w:szCs w:val="24"/>
          <w:lang w:val="bg-BG" w:eastAsia="bg-BG"/>
        </w:rPr>
      </w:pPr>
      <w:r w:rsidRPr="00EC43A6">
        <w:rPr>
          <w:rFonts w:ascii="Times New Roman" w:hAnsi="Times New Roman"/>
          <w:color w:val="000000"/>
          <w:szCs w:val="24"/>
          <w:lang w:val="bg-BG" w:eastAsia="bg-BG"/>
        </w:rPr>
        <w:t xml:space="preserve">Изброените по-горе суми се превеждат по сметката на фонда най-късно до 31 май </w:t>
      </w:r>
      <w:r w:rsidR="0078094D">
        <w:rPr>
          <w:rFonts w:ascii="Times New Roman" w:hAnsi="Times New Roman"/>
          <w:color w:val="000000"/>
          <w:szCs w:val="24"/>
          <w:lang w:val="bg-BG" w:eastAsia="bg-BG"/>
        </w:rPr>
        <w:t xml:space="preserve">на </w:t>
      </w:r>
      <w:r w:rsidRPr="00EC43A6">
        <w:rPr>
          <w:rFonts w:ascii="Times New Roman" w:hAnsi="Times New Roman"/>
          <w:color w:val="000000"/>
          <w:szCs w:val="24"/>
          <w:lang w:val="bg-BG" w:eastAsia="bg-BG"/>
        </w:rPr>
        <w:t>следващата бюджетна година.</w:t>
      </w:r>
    </w:p>
    <w:p w14:paraId="20BF497A" w14:textId="77777777" w:rsidR="002D0ADE" w:rsidRPr="0060168D" w:rsidRDefault="00CE655E" w:rsidP="0035190A">
      <w:pPr>
        <w:spacing w:after="0" w:line="240" w:lineRule="auto"/>
        <w:rPr>
          <w:rFonts w:ascii="Times New Roman" w:hAnsi="Times New Roman"/>
          <w:szCs w:val="24"/>
          <w:lang w:val="bg-BG" w:eastAsia="bg-BG"/>
        </w:rPr>
      </w:pPr>
      <w:r w:rsidRPr="0060168D">
        <w:rPr>
          <w:rFonts w:ascii="Times New Roman" w:hAnsi="Times New Roman"/>
          <w:szCs w:val="24"/>
          <w:lang w:val="bg-BG" w:eastAsia="bg-BG"/>
        </w:rPr>
        <w:t>Съгласно разпоредбата на чл.</w:t>
      </w:r>
      <w:r w:rsidRPr="0060168D">
        <w:rPr>
          <w:rFonts w:ascii="Times New Roman" w:hAnsi="Times New Roman"/>
          <w:szCs w:val="24"/>
          <w:lang w:eastAsia="bg-BG"/>
        </w:rPr>
        <w:t xml:space="preserve"> </w:t>
      </w:r>
      <w:r w:rsidRPr="0060168D">
        <w:rPr>
          <w:rFonts w:ascii="Times New Roman" w:hAnsi="Times New Roman"/>
          <w:szCs w:val="24"/>
          <w:lang w:val="bg-BG" w:eastAsia="bg-BG"/>
        </w:rPr>
        <w:t xml:space="preserve">129, ал. 12 от </w:t>
      </w:r>
      <w:r w:rsidR="006D1CC6" w:rsidRPr="0060168D">
        <w:rPr>
          <w:rFonts w:ascii="Times New Roman" w:hAnsi="Times New Roman"/>
          <w:szCs w:val="24"/>
          <w:lang w:val="bg-BG" w:eastAsia="bg-BG"/>
        </w:rPr>
        <w:t xml:space="preserve">Кодекса за социално осигуряване </w:t>
      </w:r>
      <w:r w:rsidR="006D1CC6" w:rsidRPr="0060168D">
        <w:rPr>
          <w:rFonts w:ascii="Times New Roman" w:hAnsi="Times New Roman"/>
          <w:szCs w:val="24"/>
          <w:lang w:val="en-US" w:eastAsia="bg-BG"/>
        </w:rPr>
        <w:t>(</w:t>
      </w:r>
      <w:r w:rsidRPr="0060168D">
        <w:rPr>
          <w:rFonts w:ascii="Times New Roman" w:hAnsi="Times New Roman"/>
          <w:szCs w:val="24"/>
          <w:lang w:val="bg-BG" w:eastAsia="bg-BG"/>
        </w:rPr>
        <w:t>КСО</w:t>
      </w:r>
      <w:r w:rsidR="006D1CC6" w:rsidRPr="0060168D">
        <w:rPr>
          <w:rFonts w:ascii="Times New Roman" w:hAnsi="Times New Roman"/>
          <w:szCs w:val="24"/>
          <w:lang w:val="en-US" w:eastAsia="bg-BG"/>
        </w:rPr>
        <w:t>)</w:t>
      </w:r>
      <w:r w:rsidRPr="0060168D">
        <w:rPr>
          <w:rFonts w:ascii="Times New Roman" w:hAnsi="Times New Roman"/>
          <w:szCs w:val="24"/>
          <w:lang w:val="bg-BG" w:eastAsia="bg-BG"/>
        </w:rPr>
        <w:t xml:space="preserve"> и чл. 1, ал. 4 от ЗДФГУДПС по сметката на </w:t>
      </w:r>
      <w:r w:rsidR="00E84F2E" w:rsidRPr="0060168D">
        <w:rPr>
          <w:rFonts w:ascii="Times New Roman" w:hAnsi="Times New Roman"/>
          <w:szCs w:val="24"/>
          <w:lang w:val="bg-BG" w:eastAsia="bg-BG"/>
        </w:rPr>
        <w:t>ф</w:t>
      </w:r>
      <w:r w:rsidRPr="0060168D">
        <w:rPr>
          <w:rFonts w:ascii="Times New Roman" w:hAnsi="Times New Roman"/>
          <w:szCs w:val="24"/>
          <w:lang w:val="bg-BG" w:eastAsia="bg-BG"/>
        </w:rPr>
        <w:t xml:space="preserve">онда подлежат на внасяне и </w:t>
      </w:r>
      <w:r w:rsidR="00E622E1" w:rsidRPr="0060168D">
        <w:rPr>
          <w:rFonts w:ascii="Times New Roman" w:hAnsi="Times New Roman"/>
          <w:szCs w:val="24"/>
          <w:lang w:val="bg-BG" w:eastAsia="bg-BG"/>
        </w:rPr>
        <w:t>натрупаните средства в индивидуалната партида на осигурените лица</w:t>
      </w:r>
      <w:r w:rsidRPr="0060168D">
        <w:rPr>
          <w:rFonts w:ascii="Times New Roman" w:hAnsi="Times New Roman"/>
          <w:szCs w:val="24"/>
          <w:lang w:val="bg-BG" w:eastAsia="bg-BG"/>
        </w:rPr>
        <w:t xml:space="preserve"> </w:t>
      </w:r>
      <w:r w:rsidR="00E622E1" w:rsidRPr="0060168D">
        <w:rPr>
          <w:rFonts w:ascii="Times New Roman" w:hAnsi="Times New Roman"/>
          <w:szCs w:val="24"/>
          <w:lang w:val="bg-BG" w:eastAsia="bg-BG"/>
        </w:rPr>
        <w:t>при</w:t>
      </w:r>
      <w:r w:rsidRPr="0060168D">
        <w:rPr>
          <w:rFonts w:ascii="Times New Roman" w:hAnsi="Times New Roman"/>
          <w:szCs w:val="24"/>
          <w:lang w:val="bg-BG" w:eastAsia="bg-BG"/>
        </w:rPr>
        <w:t xml:space="preserve"> промяна на осигуряването от универсален пенсионен фонд </w:t>
      </w:r>
      <w:r w:rsidR="00E622E1" w:rsidRPr="0060168D">
        <w:rPr>
          <w:rFonts w:ascii="Times New Roman" w:hAnsi="Times New Roman"/>
          <w:szCs w:val="24"/>
          <w:lang w:val="bg-BG" w:eastAsia="bg-BG"/>
        </w:rPr>
        <w:t>във фонд "Пенсии", съответно във фонд "Пенсии за лицата по чл. 69"</w:t>
      </w:r>
      <w:r w:rsidRPr="0060168D">
        <w:rPr>
          <w:rFonts w:ascii="Times New Roman" w:hAnsi="Times New Roman"/>
          <w:szCs w:val="24"/>
          <w:lang w:val="bg-BG" w:eastAsia="bg-BG"/>
        </w:rPr>
        <w:t>.</w:t>
      </w:r>
      <w:r w:rsidR="00EE233B" w:rsidRPr="0060168D">
        <w:rPr>
          <w:rFonts w:ascii="Times New Roman" w:hAnsi="Times New Roman"/>
          <w:color w:val="000000"/>
          <w:szCs w:val="24"/>
          <w:lang w:eastAsia="bg-BG"/>
        </w:rPr>
        <w:t xml:space="preserve"> </w:t>
      </w:r>
      <w:r w:rsidR="006309C4" w:rsidRPr="00EB7234">
        <w:rPr>
          <w:rFonts w:ascii="Times New Roman" w:hAnsi="Times New Roman"/>
          <w:color w:val="000000"/>
          <w:szCs w:val="24"/>
          <w:lang w:val="bg-BG" w:eastAsia="bg-BG"/>
        </w:rPr>
        <w:t>При отпускане на пенсия по част първа или при смърт на лице, за което са прехвърлени средства по реда на чл. 129, ал. 12, същите се прехвърлят във фонд "Пенсии", съответно във фонд "Пенсии за лицата по чл. 69", на държавното обществено осигуряване</w:t>
      </w:r>
      <w:r w:rsidR="0011772A" w:rsidRPr="00EB7234">
        <w:rPr>
          <w:rFonts w:ascii="Times New Roman" w:hAnsi="Times New Roman"/>
          <w:color w:val="000000"/>
          <w:szCs w:val="24"/>
          <w:lang w:val="bg-BG" w:eastAsia="bg-BG"/>
        </w:rPr>
        <w:t xml:space="preserve"> </w:t>
      </w:r>
      <w:r w:rsidR="0011772A" w:rsidRPr="0060168D">
        <w:rPr>
          <w:rFonts w:ascii="Times New Roman" w:hAnsi="Times New Roman"/>
          <w:color w:val="000000"/>
          <w:szCs w:val="24"/>
          <w:lang w:val="en-US" w:eastAsia="bg-BG"/>
        </w:rPr>
        <w:t>(</w:t>
      </w:r>
      <w:r w:rsidR="0011772A" w:rsidRPr="0060168D">
        <w:rPr>
          <w:rFonts w:ascii="Times New Roman" w:hAnsi="Times New Roman"/>
          <w:color w:val="000000"/>
          <w:szCs w:val="24"/>
          <w:lang w:val="bg-BG" w:eastAsia="bg-BG"/>
        </w:rPr>
        <w:t>ДОО</w:t>
      </w:r>
      <w:r w:rsidR="0011772A" w:rsidRPr="0060168D">
        <w:rPr>
          <w:rFonts w:ascii="Times New Roman" w:hAnsi="Times New Roman"/>
          <w:color w:val="000000"/>
          <w:szCs w:val="24"/>
          <w:lang w:val="en-US" w:eastAsia="bg-BG"/>
        </w:rPr>
        <w:t>)</w:t>
      </w:r>
      <w:r w:rsidR="005F3BB1" w:rsidRPr="0060168D">
        <w:rPr>
          <w:rFonts w:ascii="Times New Roman" w:hAnsi="Times New Roman"/>
          <w:szCs w:val="24"/>
          <w:lang w:val="bg-BG" w:eastAsia="bg-BG"/>
        </w:rPr>
        <w:t>.</w:t>
      </w:r>
      <w:r w:rsidR="002D0ADE" w:rsidRPr="0060168D">
        <w:rPr>
          <w:rFonts w:ascii="Times New Roman" w:hAnsi="Times New Roman"/>
          <w:szCs w:val="24"/>
          <w:lang w:val="bg-BG" w:eastAsia="bg-BG"/>
        </w:rPr>
        <w:t xml:space="preserve"> </w:t>
      </w:r>
    </w:p>
    <w:p w14:paraId="65728C8F" w14:textId="77777777" w:rsidR="00DA1A8C" w:rsidRPr="0060168D" w:rsidRDefault="00DA1A8C" w:rsidP="002E7168">
      <w:pPr>
        <w:spacing w:after="0" w:line="240" w:lineRule="auto"/>
        <w:rPr>
          <w:rFonts w:ascii="Times New Roman" w:hAnsi="Times New Roman"/>
          <w:color w:val="000000"/>
          <w:sz w:val="10"/>
          <w:szCs w:val="10"/>
          <w:lang w:val="bg-BG" w:eastAsia="bg-BG"/>
        </w:rPr>
      </w:pPr>
    </w:p>
    <w:p w14:paraId="76872F79" w14:textId="77777777" w:rsidR="00E743D5" w:rsidRPr="00E71D11" w:rsidRDefault="00E743D5" w:rsidP="0035190A">
      <w:pPr>
        <w:spacing w:line="240" w:lineRule="auto"/>
        <w:rPr>
          <w:rFonts w:ascii="Times New Roman" w:hAnsi="Times New Roman"/>
          <w:b/>
          <w:color w:val="000000"/>
          <w:szCs w:val="24"/>
          <w:lang w:val="bg-BG" w:eastAsia="bg-BG"/>
        </w:rPr>
      </w:pPr>
      <w:r w:rsidRPr="0060168D">
        <w:rPr>
          <w:rFonts w:ascii="Times New Roman" w:hAnsi="Times New Roman"/>
          <w:b/>
          <w:color w:val="000000"/>
          <w:szCs w:val="24"/>
          <w:lang w:val="bg-BG" w:eastAsia="bg-BG"/>
        </w:rPr>
        <w:t>Инвестиционни цели</w:t>
      </w:r>
    </w:p>
    <w:p w14:paraId="3B3539E1" w14:textId="77777777" w:rsidR="00D5284D" w:rsidRPr="00ED5F27" w:rsidRDefault="0073338B" w:rsidP="00712730">
      <w:pPr>
        <w:spacing w:line="240" w:lineRule="auto"/>
        <w:ind w:right="51"/>
        <w:rPr>
          <w:rFonts w:ascii="Times New Roman" w:hAnsi="Times New Roman"/>
          <w:szCs w:val="24"/>
          <w:lang w:val="bg-BG"/>
        </w:rPr>
      </w:pPr>
      <w:r w:rsidRPr="00E71D11">
        <w:rPr>
          <w:rFonts w:ascii="Times New Roman" w:hAnsi="Times New Roman"/>
          <w:b/>
          <w:color w:val="000000"/>
          <w:szCs w:val="24"/>
          <w:lang w:val="bg-BG" w:eastAsia="bg-BG"/>
        </w:rPr>
        <w:t>Изискване за възвръщаемост</w:t>
      </w:r>
      <w:r w:rsidRPr="0073338B">
        <w:rPr>
          <w:rFonts w:ascii="Times New Roman" w:hAnsi="Times New Roman"/>
          <w:b/>
          <w:smallCaps/>
          <w:sz w:val="22"/>
          <w:szCs w:val="22"/>
          <w:lang w:val="bg-BG"/>
        </w:rPr>
        <w:t>:</w:t>
      </w:r>
      <w:r>
        <w:rPr>
          <w:rFonts w:ascii="Times New Roman" w:hAnsi="Times New Roman"/>
          <w:b/>
          <w:smallCaps/>
          <w:sz w:val="22"/>
          <w:szCs w:val="22"/>
          <w:lang w:val="bg-BG"/>
        </w:rPr>
        <w:t xml:space="preserve"> </w:t>
      </w:r>
      <w:r w:rsidRPr="00EC43A6">
        <w:rPr>
          <w:rFonts w:ascii="Times New Roman" w:hAnsi="Times New Roman"/>
          <w:color w:val="000000"/>
          <w:szCs w:val="24"/>
          <w:lang w:val="bg-BG" w:eastAsia="bg-BG"/>
        </w:rPr>
        <w:t xml:space="preserve">Инвестиционната цел на </w:t>
      </w:r>
      <w:r w:rsidR="00E84F2E">
        <w:rPr>
          <w:rFonts w:ascii="Times New Roman" w:hAnsi="Times New Roman"/>
          <w:color w:val="000000"/>
          <w:szCs w:val="24"/>
          <w:lang w:val="bg-BG" w:eastAsia="bg-BG"/>
        </w:rPr>
        <w:t>ф</w:t>
      </w:r>
      <w:r w:rsidRPr="00EC43A6">
        <w:rPr>
          <w:rFonts w:ascii="Times New Roman" w:hAnsi="Times New Roman"/>
          <w:color w:val="000000"/>
          <w:szCs w:val="24"/>
          <w:lang w:val="bg-BG" w:eastAsia="bg-BG"/>
        </w:rPr>
        <w:t xml:space="preserve">онда е </w:t>
      </w:r>
      <w:r w:rsidR="009A26FA" w:rsidRPr="00EC43A6">
        <w:rPr>
          <w:rFonts w:ascii="Times New Roman" w:hAnsi="Times New Roman"/>
          <w:szCs w:val="24"/>
          <w:lang w:val="bg-BG" w:eastAsia="bg-BG"/>
        </w:rPr>
        <w:t>г</w:t>
      </w:r>
      <w:r w:rsidRPr="00EC43A6">
        <w:rPr>
          <w:rFonts w:ascii="Times New Roman" w:hAnsi="Times New Roman"/>
          <w:spacing w:val="-4"/>
          <w:szCs w:val="24"/>
          <w:lang w:val="bg-BG" w:eastAsia="bg-BG"/>
        </w:rPr>
        <w:t xml:space="preserve">арантирането на устойчивост на пенсионната система, </w:t>
      </w:r>
      <w:r w:rsidR="00D5284D" w:rsidRPr="00EC43A6">
        <w:rPr>
          <w:rFonts w:ascii="Times New Roman" w:hAnsi="Times New Roman"/>
          <w:spacing w:val="-4"/>
          <w:szCs w:val="24"/>
          <w:lang w:val="bg-BG" w:eastAsia="bg-BG"/>
        </w:rPr>
        <w:t>т.е</w:t>
      </w:r>
      <w:r w:rsidR="00D5284D" w:rsidRPr="00BD573D">
        <w:rPr>
          <w:rFonts w:ascii="Times New Roman" w:hAnsi="Times New Roman"/>
          <w:spacing w:val="-4"/>
          <w:szCs w:val="24"/>
          <w:lang w:val="bg-BG" w:eastAsia="bg-BG"/>
        </w:rPr>
        <w:t>. осигуряване на средства за пенсии в момент когато актюерските разчети показват необходимост от допълнително финансиране.</w:t>
      </w:r>
      <w:r w:rsidR="00D5284D" w:rsidRPr="00ED5F27">
        <w:rPr>
          <w:rFonts w:ascii="Times New Roman" w:hAnsi="Times New Roman"/>
          <w:spacing w:val="-4"/>
          <w:szCs w:val="24"/>
          <w:lang w:val="bg-BG" w:eastAsia="bg-BG"/>
        </w:rPr>
        <w:t xml:space="preserve"> </w:t>
      </w:r>
    </w:p>
    <w:p w14:paraId="03FA4F93" w14:textId="77777777" w:rsidR="0073338B" w:rsidRDefault="0073338B" w:rsidP="00712730">
      <w:pPr>
        <w:spacing w:line="240" w:lineRule="auto"/>
        <w:rPr>
          <w:rFonts w:ascii="Times New Roman" w:hAnsi="Times New Roman"/>
          <w:color w:val="000000"/>
          <w:szCs w:val="24"/>
          <w:lang w:val="bg-BG" w:eastAsia="bg-BG"/>
        </w:rPr>
      </w:pPr>
      <w:r w:rsidRPr="00E71D11">
        <w:rPr>
          <w:rFonts w:ascii="Times New Roman" w:hAnsi="Times New Roman"/>
          <w:b/>
          <w:color w:val="000000"/>
          <w:szCs w:val="24"/>
          <w:lang w:val="bg-BG" w:eastAsia="bg-BG"/>
        </w:rPr>
        <w:t>Толерантност към риск:</w:t>
      </w:r>
      <w:r w:rsidR="00D57341">
        <w:rPr>
          <w:rFonts w:ascii="Times New Roman" w:hAnsi="Times New Roman"/>
          <w:b/>
          <w:color w:val="000000"/>
          <w:szCs w:val="24"/>
          <w:lang w:val="bg-BG" w:eastAsia="bg-BG"/>
        </w:rPr>
        <w:t xml:space="preserve"> </w:t>
      </w:r>
      <w:r w:rsidR="006E3A92">
        <w:rPr>
          <w:rFonts w:ascii="Times New Roman" w:hAnsi="Times New Roman"/>
          <w:color w:val="000000"/>
          <w:szCs w:val="24"/>
          <w:lang w:val="bg-BG" w:eastAsia="bg-BG"/>
        </w:rPr>
        <w:t>Нискорискова инвестиционна стратегия</w:t>
      </w:r>
      <w:r w:rsidR="00D57341">
        <w:rPr>
          <w:rFonts w:ascii="Times New Roman" w:hAnsi="Times New Roman"/>
          <w:color w:val="000000"/>
          <w:szCs w:val="24"/>
          <w:lang w:val="bg-BG" w:eastAsia="bg-BG"/>
        </w:rPr>
        <w:t>.</w:t>
      </w:r>
    </w:p>
    <w:p w14:paraId="34CB5DEB" w14:textId="77777777" w:rsidR="00D57341" w:rsidRDefault="00D57341" w:rsidP="0035190A">
      <w:pPr>
        <w:spacing w:line="240" w:lineRule="auto"/>
        <w:rPr>
          <w:rFonts w:ascii="Times New Roman" w:hAnsi="Times New Roman"/>
          <w:b/>
          <w:color w:val="000000"/>
          <w:szCs w:val="24"/>
          <w:lang w:val="bg-BG" w:eastAsia="bg-BG"/>
        </w:rPr>
      </w:pPr>
      <w:r w:rsidRPr="00E71D11">
        <w:rPr>
          <w:rFonts w:ascii="Times New Roman" w:hAnsi="Times New Roman"/>
          <w:b/>
          <w:color w:val="000000"/>
          <w:szCs w:val="24"/>
          <w:lang w:val="bg-BG" w:eastAsia="bg-BG"/>
        </w:rPr>
        <w:t>Инвестиционни ограничения</w:t>
      </w:r>
    </w:p>
    <w:p w14:paraId="78DEDDF4" w14:textId="77777777" w:rsidR="00D5284D" w:rsidRDefault="002F4A8B" w:rsidP="0035190A">
      <w:pPr>
        <w:spacing w:after="0" w:line="240" w:lineRule="auto"/>
        <w:ind w:right="50"/>
        <w:rPr>
          <w:rFonts w:ascii="Times New Roman" w:hAnsi="Times New Roman"/>
          <w:szCs w:val="24"/>
          <w:lang w:val="bg-BG"/>
        </w:rPr>
      </w:pPr>
      <w:r>
        <w:rPr>
          <w:rFonts w:ascii="Times New Roman" w:hAnsi="Times New Roman"/>
          <w:b/>
          <w:color w:val="000000"/>
          <w:szCs w:val="24"/>
          <w:lang w:val="bg-BG" w:eastAsia="bg-BG"/>
        </w:rPr>
        <w:t>Времеви хоризонт:</w:t>
      </w:r>
      <w:r w:rsidR="00D5284D" w:rsidRPr="00D5284D">
        <w:rPr>
          <w:rFonts w:ascii="Times New Roman" w:hAnsi="Times New Roman"/>
          <w:spacing w:val="-4"/>
          <w:szCs w:val="24"/>
          <w:lang w:val="bg-BG" w:eastAsia="bg-BG"/>
        </w:rPr>
        <w:t xml:space="preserve"> </w:t>
      </w:r>
      <w:r w:rsidR="00D5284D" w:rsidRPr="00BD573D">
        <w:rPr>
          <w:rFonts w:ascii="Times New Roman" w:hAnsi="Times New Roman"/>
          <w:spacing w:val="-4"/>
          <w:szCs w:val="24"/>
          <w:lang w:val="bg-BG" w:eastAsia="bg-BG"/>
        </w:rPr>
        <w:t>С</w:t>
      </w:r>
      <w:r w:rsidR="00D1488D">
        <w:rPr>
          <w:rFonts w:ascii="Times New Roman" w:hAnsi="Times New Roman"/>
          <w:spacing w:val="-4"/>
          <w:szCs w:val="24"/>
          <w:lang w:val="bg-BG" w:eastAsia="bg-BG"/>
        </w:rPr>
        <w:t xml:space="preserve"> § 3 от </w:t>
      </w:r>
      <w:r w:rsidR="00BD3784">
        <w:rPr>
          <w:rFonts w:ascii="Times New Roman" w:hAnsi="Times New Roman"/>
          <w:spacing w:val="-4"/>
          <w:szCs w:val="24"/>
          <w:lang w:val="bg-BG" w:eastAsia="bg-BG"/>
        </w:rPr>
        <w:t>преходни</w:t>
      </w:r>
      <w:r w:rsidR="00712730">
        <w:rPr>
          <w:rFonts w:ascii="Times New Roman" w:hAnsi="Times New Roman"/>
          <w:spacing w:val="-4"/>
          <w:szCs w:val="24"/>
          <w:lang w:val="bg-BG" w:eastAsia="bg-BG"/>
        </w:rPr>
        <w:t>те</w:t>
      </w:r>
      <w:r w:rsidR="00BD3784">
        <w:rPr>
          <w:rFonts w:ascii="Times New Roman" w:hAnsi="Times New Roman"/>
          <w:spacing w:val="-4"/>
          <w:szCs w:val="24"/>
          <w:lang w:val="bg-BG" w:eastAsia="bg-BG"/>
        </w:rPr>
        <w:t xml:space="preserve"> и заключителни разпоредби</w:t>
      </w:r>
      <w:r w:rsidR="00D1488D">
        <w:rPr>
          <w:rFonts w:ascii="Times New Roman" w:hAnsi="Times New Roman"/>
          <w:spacing w:val="-4"/>
          <w:szCs w:val="24"/>
          <w:lang w:val="bg-BG" w:eastAsia="bg-BG"/>
        </w:rPr>
        <w:t xml:space="preserve"> на</w:t>
      </w:r>
      <w:r w:rsidR="00D5284D" w:rsidRPr="00BD573D">
        <w:rPr>
          <w:rFonts w:ascii="Times New Roman" w:hAnsi="Times New Roman"/>
          <w:spacing w:val="-4"/>
          <w:szCs w:val="24"/>
          <w:lang w:val="bg-BG" w:eastAsia="bg-BG"/>
        </w:rPr>
        <w:t xml:space="preserve"> ЗДФГУДПС</w:t>
      </w:r>
      <w:r w:rsidR="00D5284D" w:rsidRPr="00BD573D">
        <w:rPr>
          <w:rFonts w:ascii="Times New Roman" w:hAnsi="Times New Roman"/>
          <w:szCs w:val="24"/>
          <w:lang w:val="bg-BG"/>
        </w:rPr>
        <w:t xml:space="preserve"> е предвидено </w:t>
      </w:r>
      <w:r w:rsidR="00D1488D">
        <w:rPr>
          <w:rFonts w:ascii="Times New Roman" w:hAnsi="Times New Roman"/>
          <w:szCs w:val="24"/>
          <w:lang w:val="bg-BG"/>
        </w:rPr>
        <w:t xml:space="preserve">трансферирането на средства от фонда </w:t>
      </w:r>
      <w:r w:rsidR="00BD3784">
        <w:rPr>
          <w:rFonts w:ascii="Times New Roman" w:hAnsi="Times New Roman"/>
          <w:szCs w:val="24"/>
          <w:lang w:val="bg-BG"/>
        </w:rPr>
        <w:t xml:space="preserve">към </w:t>
      </w:r>
      <w:r w:rsidR="00D1488D">
        <w:rPr>
          <w:rFonts w:ascii="Times New Roman" w:hAnsi="Times New Roman"/>
          <w:szCs w:val="24"/>
          <w:lang w:val="bg-BG"/>
        </w:rPr>
        <w:t xml:space="preserve">бюджета на </w:t>
      </w:r>
      <w:r w:rsidR="00BD3784">
        <w:rPr>
          <w:rFonts w:ascii="Times New Roman" w:hAnsi="Times New Roman"/>
          <w:szCs w:val="24"/>
          <w:lang w:val="bg-BG"/>
        </w:rPr>
        <w:t>ДОО</w:t>
      </w:r>
      <w:r w:rsidR="00D1488D">
        <w:rPr>
          <w:rFonts w:ascii="Times New Roman" w:hAnsi="Times New Roman"/>
          <w:szCs w:val="24"/>
          <w:lang w:val="bg-BG"/>
        </w:rPr>
        <w:t xml:space="preserve"> </w:t>
      </w:r>
      <w:r w:rsidR="00BD3784">
        <w:rPr>
          <w:rFonts w:ascii="Times New Roman" w:hAnsi="Times New Roman"/>
          <w:szCs w:val="24"/>
          <w:lang w:val="bg-BG"/>
        </w:rPr>
        <w:t xml:space="preserve">за фонд „Пенсии“ </w:t>
      </w:r>
      <w:r w:rsidR="00D1488D">
        <w:rPr>
          <w:rFonts w:ascii="Times New Roman" w:hAnsi="Times New Roman"/>
          <w:szCs w:val="24"/>
          <w:lang w:val="bg-BG"/>
        </w:rPr>
        <w:t>да може да се извършва н</w:t>
      </w:r>
      <w:r w:rsidR="008F06BE">
        <w:rPr>
          <w:rFonts w:ascii="Times New Roman" w:hAnsi="Times New Roman"/>
          <w:szCs w:val="24"/>
          <w:lang w:val="bg-BG"/>
        </w:rPr>
        <w:t>е</w:t>
      </w:r>
      <w:r w:rsidR="00D1488D">
        <w:rPr>
          <w:rFonts w:ascii="Times New Roman" w:hAnsi="Times New Roman"/>
          <w:szCs w:val="24"/>
          <w:lang w:val="bg-BG"/>
        </w:rPr>
        <w:t xml:space="preserve"> по-рано от </w:t>
      </w:r>
      <w:r w:rsidR="00FF7E6B" w:rsidRPr="00ED5F27">
        <w:rPr>
          <w:rFonts w:ascii="Times New Roman" w:hAnsi="Times New Roman"/>
          <w:szCs w:val="24"/>
          <w:lang w:val="bg-BG"/>
        </w:rPr>
        <w:t xml:space="preserve">10 години </w:t>
      </w:r>
      <w:r w:rsidR="00BD3784">
        <w:rPr>
          <w:rFonts w:ascii="Times New Roman" w:hAnsi="Times New Roman"/>
          <w:szCs w:val="24"/>
          <w:lang w:val="bg-BG"/>
        </w:rPr>
        <w:t>о</w:t>
      </w:r>
      <w:r w:rsidR="00D1488D">
        <w:rPr>
          <w:rFonts w:ascii="Times New Roman" w:hAnsi="Times New Roman"/>
          <w:szCs w:val="24"/>
          <w:lang w:val="bg-BG"/>
        </w:rPr>
        <w:t xml:space="preserve">т влизането на закона в сила, т.е. </w:t>
      </w:r>
      <w:r w:rsidR="00712730">
        <w:rPr>
          <w:rFonts w:ascii="Times New Roman" w:hAnsi="Times New Roman"/>
          <w:szCs w:val="24"/>
          <w:lang w:val="bg-BG"/>
        </w:rPr>
        <w:t>н</w:t>
      </w:r>
      <w:r w:rsidR="00D1488D">
        <w:rPr>
          <w:rFonts w:ascii="Times New Roman" w:hAnsi="Times New Roman"/>
          <w:szCs w:val="24"/>
          <w:lang w:val="bg-BG"/>
        </w:rPr>
        <w:t xml:space="preserve">е по-рано </w:t>
      </w:r>
      <w:r w:rsidR="00D1488D" w:rsidRPr="00F85524">
        <w:rPr>
          <w:rFonts w:ascii="Times New Roman" w:hAnsi="Times New Roman"/>
          <w:szCs w:val="24"/>
          <w:lang w:val="bg-BG"/>
        </w:rPr>
        <w:t>от 18.11.2018 г.</w:t>
      </w:r>
    </w:p>
    <w:p w14:paraId="18F5D4D3" w14:textId="77777777" w:rsidR="00A0019E" w:rsidRDefault="00A0019E" w:rsidP="0035190A">
      <w:pPr>
        <w:spacing w:after="0" w:line="240" w:lineRule="auto"/>
        <w:ind w:right="50"/>
        <w:rPr>
          <w:rFonts w:ascii="Times New Roman" w:hAnsi="Times New Roman"/>
          <w:color w:val="000000"/>
          <w:szCs w:val="24"/>
          <w:lang w:val="bg-BG" w:eastAsia="bg-BG"/>
        </w:rPr>
      </w:pPr>
      <w:r w:rsidRPr="00E71D11">
        <w:rPr>
          <w:rFonts w:ascii="Times New Roman" w:hAnsi="Times New Roman"/>
          <w:b/>
          <w:color w:val="000000"/>
          <w:szCs w:val="24"/>
          <w:lang w:val="bg-BG" w:eastAsia="bg-BG"/>
        </w:rPr>
        <w:lastRenderedPageBreak/>
        <w:t>Ликвидни изисквания:</w:t>
      </w:r>
      <w:r w:rsidR="00841E69">
        <w:rPr>
          <w:rFonts w:ascii="Times New Roman" w:hAnsi="Times New Roman"/>
          <w:b/>
          <w:color w:val="000000"/>
          <w:szCs w:val="24"/>
          <w:lang w:val="bg-BG" w:eastAsia="bg-BG"/>
        </w:rPr>
        <w:t xml:space="preserve"> </w:t>
      </w:r>
      <w:r w:rsidR="00841E69" w:rsidRPr="00E71D11">
        <w:rPr>
          <w:rFonts w:ascii="Times New Roman" w:hAnsi="Times New Roman"/>
          <w:color w:val="000000"/>
          <w:szCs w:val="24"/>
          <w:lang w:val="bg-BG" w:eastAsia="bg-BG"/>
        </w:rPr>
        <w:t xml:space="preserve">Дългосрочният </w:t>
      </w:r>
      <w:r w:rsidR="00841E69">
        <w:rPr>
          <w:rFonts w:ascii="Times New Roman" w:hAnsi="Times New Roman"/>
          <w:color w:val="000000"/>
          <w:szCs w:val="24"/>
          <w:lang w:val="bg-BG" w:eastAsia="bg-BG"/>
        </w:rPr>
        <w:t xml:space="preserve">характер на акумулиране на средствата по сметка на </w:t>
      </w:r>
      <w:r w:rsidR="00E84F2E">
        <w:rPr>
          <w:rFonts w:ascii="Times New Roman" w:hAnsi="Times New Roman"/>
          <w:color w:val="000000"/>
          <w:szCs w:val="24"/>
          <w:lang w:val="bg-BG" w:eastAsia="bg-BG"/>
        </w:rPr>
        <w:t>ф</w:t>
      </w:r>
      <w:r w:rsidR="00841E69">
        <w:rPr>
          <w:rFonts w:ascii="Times New Roman" w:hAnsi="Times New Roman"/>
          <w:color w:val="000000"/>
          <w:szCs w:val="24"/>
          <w:lang w:val="bg-BG" w:eastAsia="bg-BG"/>
        </w:rPr>
        <w:t xml:space="preserve">онда води до по-високи входящи парични потоци в сравнение с изходящите, и следователно </w:t>
      </w:r>
      <w:r w:rsidR="00712730">
        <w:rPr>
          <w:rFonts w:ascii="Times New Roman" w:hAnsi="Times New Roman"/>
          <w:color w:val="000000"/>
          <w:szCs w:val="24"/>
          <w:lang w:val="bg-BG" w:eastAsia="bg-BG"/>
        </w:rPr>
        <w:t xml:space="preserve">на този етап </w:t>
      </w:r>
      <w:r w:rsidR="00841E69">
        <w:rPr>
          <w:rFonts w:ascii="Times New Roman" w:hAnsi="Times New Roman"/>
          <w:color w:val="000000"/>
          <w:szCs w:val="24"/>
          <w:lang w:val="bg-BG" w:eastAsia="bg-BG"/>
        </w:rPr>
        <w:t xml:space="preserve">ниски текущи ликвидни нужди. </w:t>
      </w:r>
    </w:p>
    <w:p w14:paraId="29F26DCF" w14:textId="77777777" w:rsidR="00213037" w:rsidRPr="0048421C" w:rsidRDefault="00213037" w:rsidP="00D5284D">
      <w:pPr>
        <w:spacing w:after="0" w:line="240" w:lineRule="auto"/>
        <w:ind w:right="50"/>
        <w:rPr>
          <w:rFonts w:ascii="Times New Roman" w:hAnsi="Times New Roman"/>
          <w:color w:val="000000"/>
          <w:sz w:val="10"/>
          <w:szCs w:val="10"/>
          <w:lang w:val="bg-BG" w:eastAsia="bg-BG"/>
        </w:rPr>
      </w:pPr>
    </w:p>
    <w:p w14:paraId="546B58CB" w14:textId="77777777" w:rsidR="00790703" w:rsidRPr="00EC43A6" w:rsidRDefault="009B6B3F" w:rsidP="00E71D11">
      <w:pPr>
        <w:spacing w:after="0" w:line="240" w:lineRule="auto"/>
        <w:ind w:right="50"/>
        <w:rPr>
          <w:rFonts w:ascii="Times New Roman" w:hAnsi="Times New Roman"/>
          <w:color w:val="000000"/>
          <w:szCs w:val="24"/>
          <w:lang w:val="bg-BG" w:eastAsia="bg-BG"/>
        </w:rPr>
      </w:pPr>
      <w:r w:rsidRPr="00EC43A6">
        <w:rPr>
          <w:rFonts w:ascii="Times New Roman" w:hAnsi="Times New Roman"/>
          <w:b/>
          <w:color w:val="000000"/>
          <w:szCs w:val="24"/>
          <w:lang w:val="bg-BG" w:eastAsia="bg-BG"/>
        </w:rPr>
        <w:t>Законови ограничения:</w:t>
      </w:r>
      <w:r w:rsidR="00200779" w:rsidRPr="00EC43A6">
        <w:rPr>
          <w:rFonts w:ascii="Times New Roman" w:hAnsi="Times New Roman"/>
          <w:b/>
          <w:color w:val="000000"/>
          <w:szCs w:val="24"/>
          <w:lang w:val="bg-BG" w:eastAsia="bg-BG"/>
        </w:rPr>
        <w:t xml:space="preserve"> </w:t>
      </w:r>
      <w:r w:rsidR="00200779" w:rsidRPr="00EC43A6">
        <w:rPr>
          <w:rFonts w:ascii="Times New Roman" w:hAnsi="Times New Roman"/>
          <w:color w:val="000000"/>
          <w:szCs w:val="24"/>
          <w:lang w:val="bg-BG" w:eastAsia="bg-BG"/>
        </w:rPr>
        <w:t xml:space="preserve">Средствата на </w:t>
      </w:r>
      <w:r w:rsidR="00E84F2E">
        <w:rPr>
          <w:rFonts w:ascii="Times New Roman" w:hAnsi="Times New Roman"/>
          <w:color w:val="000000"/>
          <w:szCs w:val="24"/>
          <w:lang w:val="bg-BG" w:eastAsia="bg-BG"/>
        </w:rPr>
        <w:t>ф</w:t>
      </w:r>
      <w:r w:rsidR="00200779" w:rsidRPr="00EC43A6">
        <w:rPr>
          <w:rFonts w:ascii="Times New Roman" w:hAnsi="Times New Roman"/>
          <w:color w:val="000000"/>
          <w:szCs w:val="24"/>
          <w:lang w:val="bg-BG" w:eastAsia="bg-BG"/>
        </w:rPr>
        <w:t xml:space="preserve">онда могат да бъдат </w:t>
      </w:r>
      <w:r w:rsidR="00330468" w:rsidRPr="00EC43A6">
        <w:rPr>
          <w:rFonts w:ascii="Times New Roman" w:hAnsi="Times New Roman"/>
          <w:color w:val="000000"/>
          <w:szCs w:val="24"/>
          <w:lang w:val="bg-BG" w:eastAsia="bg-BG"/>
        </w:rPr>
        <w:t>инвестирани в:</w:t>
      </w:r>
    </w:p>
    <w:p w14:paraId="353A3F3C" w14:textId="77777777" w:rsidR="00330468" w:rsidRPr="00EC43A6" w:rsidRDefault="00330468" w:rsidP="00E71D11">
      <w:pPr>
        <w:spacing w:after="0" w:line="240" w:lineRule="auto"/>
        <w:ind w:right="50"/>
        <w:rPr>
          <w:rFonts w:ascii="Times New Roman" w:hAnsi="Times New Roman"/>
          <w:color w:val="000000"/>
          <w:szCs w:val="24"/>
          <w:lang w:val="bg-BG" w:eastAsia="bg-BG"/>
        </w:rPr>
      </w:pPr>
      <w:r w:rsidRPr="00EC43A6">
        <w:rPr>
          <w:rFonts w:ascii="Times New Roman" w:hAnsi="Times New Roman"/>
          <w:color w:val="000000"/>
          <w:szCs w:val="24"/>
          <w:lang w:val="bg-BG" w:eastAsia="bg-BG"/>
        </w:rPr>
        <w:t>1. депозити и сметки в Българската народна банка</w:t>
      </w:r>
      <w:r w:rsidR="00913040">
        <w:rPr>
          <w:rFonts w:ascii="Times New Roman" w:hAnsi="Times New Roman"/>
          <w:color w:val="000000"/>
          <w:szCs w:val="24"/>
          <w:lang w:val="bg-BG" w:eastAsia="bg-BG"/>
        </w:rPr>
        <w:t xml:space="preserve"> </w:t>
      </w:r>
      <w:r w:rsidR="00913040" w:rsidRPr="00BF1FC2">
        <w:rPr>
          <w:rFonts w:ascii="Times New Roman" w:hAnsi="Times New Roman"/>
          <w:color w:val="000000"/>
          <w:szCs w:val="24"/>
          <w:lang w:eastAsia="bg-BG"/>
        </w:rPr>
        <w:t>(</w:t>
      </w:r>
      <w:r w:rsidR="00913040">
        <w:rPr>
          <w:rFonts w:ascii="Times New Roman" w:hAnsi="Times New Roman"/>
          <w:color w:val="000000"/>
          <w:szCs w:val="24"/>
          <w:lang w:eastAsia="bg-BG"/>
        </w:rPr>
        <w:t>БНБ</w:t>
      </w:r>
      <w:r w:rsidR="00913040" w:rsidRPr="00BF1FC2">
        <w:rPr>
          <w:rFonts w:ascii="Times New Roman" w:hAnsi="Times New Roman"/>
          <w:color w:val="000000"/>
          <w:szCs w:val="24"/>
          <w:lang w:eastAsia="bg-BG"/>
        </w:rPr>
        <w:t>)</w:t>
      </w:r>
      <w:r w:rsidR="00EE233B">
        <w:rPr>
          <w:rFonts w:ascii="Times New Roman" w:hAnsi="Times New Roman"/>
          <w:color w:val="000000"/>
          <w:szCs w:val="24"/>
          <w:lang w:eastAsia="bg-BG"/>
        </w:rPr>
        <w:t xml:space="preserve">, </w:t>
      </w:r>
      <w:r w:rsidR="00EE233B" w:rsidRPr="00EB7234">
        <w:rPr>
          <w:rFonts w:ascii="Times New Roman" w:hAnsi="Times New Roman"/>
          <w:color w:val="000000"/>
          <w:szCs w:val="24"/>
          <w:lang w:val="bg-BG" w:eastAsia="bg-BG"/>
        </w:rPr>
        <w:t>нейни заеми и ценни книжа, емитирани от нея</w:t>
      </w:r>
      <w:r w:rsidRPr="00EB7234">
        <w:rPr>
          <w:rFonts w:ascii="Times New Roman" w:hAnsi="Times New Roman"/>
          <w:color w:val="000000"/>
          <w:szCs w:val="24"/>
          <w:lang w:val="bg-BG" w:eastAsia="bg-BG"/>
        </w:rPr>
        <w:t>;</w:t>
      </w:r>
    </w:p>
    <w:p w14:paraId="1698B252" w14:textId="77777777" w:rsidR="00330468" w:rsidRPr="00EC43A6" w:rsidRDefault="00330468" w:rsidP="00316C0E">
      <w:pPr>
        <w:spacing w:after="0" w:line="240" w:lineRule="auto"/>
        <w:rPr>
          <w:rFonts w:ascii="Times New Roman" w:hAnsi="Times New Roman"/>
          <w:color w:val="000000"/>
          <w:szCs w:val="24"/>
          <w:lang w:val="bg-BG" w:eastAsia="bg-BG"/>
        </w:rPr>
      </w:pPr>
      <w:r w:rsidRPr="00EC43A6">
        <w:rPr>
          <w:rFonts w:ascii="Times New Roman" w:hAnsi="Times New Roman"/>
          <w:color w:val="000000"/>
          <w:szCs w:val="24"/>
          <w:lang w:val="bg-BG" w:eastAsia="bg-BG"/>
        </w:rPr>
        <w:t>2. депозити в банки - не повече от двадесет на сто;</w:t>
      </w:r>
    </w:p>
    <w:p w14:paraId="7AFDBF3D" w14:textId="77777777" w:rsidR="00330468" w:rsidRPr="00EC43A6" w:rsidRDefault="00330468" w:rsidP="00316C0E">
      <w:pPr>
        <w:spacing w:after="0" w:line="240" w:lineRule="auto"/>
        <w:rPr>
          <w:rFonts w:ascii="Times New Roman" w:hAnsi="Times New Roman"/>
          <w:color w:val="000000"/>
          <w:szCs w:val="24"/>
          <w:lang w:val="bg-BG" w:eastAsia="bg-BG"/>
        </w:rPr>
      </w:pPr>
      <w:r w:rsidRPr="00EC43A6">
        <w:rPr>
          <w:rFonts w:ascii="Times New Roman" w:hAnsi="Times New Roman"/>
          <w:color w:val="000000"/>
          <w:szCs w:val="24"/>
          <w:lang w:val="bg-BG" w:eastAsia="bg-BG"/>
        </w:rPr>
        <w:t>3. акции на дружества емитенти от държави-членки на Европейския съюз, които са приети за търговия на регулирани пазари на ценни книжа или търгувани на многостранни системи за търговия в държави-членки на Европейския съюз, и които дружества имат присъден от международно призната агенция за кредитна оценка инвестиционен клас кредитен рейтинг за дългосрочните си задължения - не повече от 70 на сто;</w:t>
      </w:r>
    </w:p>
    <w:p w14:paraId="739E83FD" w14:textId="77777777" w:rsidR="00330468" w:rsidRPr="00EC43A6" w:rsidRDefault="00330468" w:rsidP="00316C0E">
      <w:pPr>
        <w:spacing w:after="0" w:line="240" w:lineRule="auto"/>
        <w:rPr>
          <w:rFonts w:ascii="Times New Roman" w:hAnsi="Times New Roman"/>
          <w:color w:val="000000"/>
          <w:szCs w:val="24"/>
          <w:lang w:val="bg-BG" w:eastAsia="bg-BG"/>
        </w:rPr>
      </w:pPr>
      <w:r w:rsidRPr="00EC43A6">
        <w:rPr>
          <w:rFonts w:ascii="Times New Roman" w:hAnsi="Times New Roman"/>
          <w:color w:val="000000"/>
          <w:szCs w:val="24"/>
          <w:lang w:val="bg-BG" w:eastAsia="bg-BG"/>
        </w:rPr>
        <w:t>4. акции на дружества емитенти от трети държави, които са приети за търговия на регулирани пазари на ценни книжа или търгувани на многостранни системи за търговия и които дружества имат присъден от международно призната агенция за кредитна оценка инвестиционен клас кредитен рейтинг за дългосрочните си задължения - не повече от 30 на сто;</w:t>
      </w:r>
    </w:p>
    <w:p w14:paraId="233A726E" w14:textId="77777777" w:rsidR="00330468" w:rsidRPr="00EC43A6" w:rsidRDefault="00330468" w:rsidP="00316C0E">
      <w:pPr>
        <w:spacing w:after="0" w:line="240" w:lineRule="auto"/>
        <w:rPr>
          <w:rFonts w:ascii="Times New Roman" w:hAnsi="Times New Roman"/>
          <w:color w:val="000000"/>
          <w:szCs w:val="24"/>
          <w:lang w:val="bg-BG" w:eastAsia="bg-BG"/>
        </w:rPr>
      </w:pPr>
      <w:r w:rsidRPr="00EC43A6">
        <w:rPr>
          <w:rFonts w:ascii="Times New Roman" w:hAnsi="Times New Roman"/>
          <w:color w:val="000000"/>
          <w:szCs w:val="24"/>
          <w:lang w:val="bg-BG" w:eastAsia="bg-BG"/>
        </w:rPr>
        <w:t>5. облигации и други дългови ценни книжа, които имат присъден от международно призната агенция за кредитна оценка кредитен рейтинг от инвестиционен клас - не повече от 30 на сто;</w:t>
      </w:r>
    </w:p>
    <w:p w14:paraId="1444A0A2" w14:textId="77777777" w:rsidR="00330468" w:rsidRPr="00EC43A6" w:rsidRDefault="00330468" w:rsidP="00316C0E">
      <w:pPr>
        <w:spacing w:after="0" w:line="240" w:lineRule="auto"/>
        <w:rPr>
          <w:rFonts w:ascii="Times New Roman" w:hAnsi="Times New Roman"/>
          <w:color w:val="000000"/>
          <w:szCs w:val="24"/>
          <w:lang w:val="bg-BG" w:eastAsia="bg-BG"/>
        </w:rPr>
      </w:pPr>
      <w:r w:rsidRPr="00EC43A6">
        <w:rPr>
          <w:rFonts w:ascii="Times New Roman" w:hAnsi="Times New Roman"/>
          <w:color w:val="000000"/>
          <w:szCs w:val="24"/>
          <w:lang w:val="bg-BG" w:eastAsia="bg-BG"/>
        </w:rPr>
        <w:t>6. инструменти на паричния пазар - не повече от 10 на сто;</w:t>
      </w:r>
    </w:p>
    <w:p w14:paraId="27D322F2" w14:textId="77777777" w:rsidR="00330468" w:rsidRPr="00EC43A6" w:rsidRDefault="00330468" w:rsidP="00316C0E">
      <w:pPr>
        <w:spacing w:after="0" w:line="240" w:lineRule="auto"/>
        <w:rPr>
          <w:rFonts w:ascii="Times New Roman" w:hAnsi="Times New Roman"/>
          <w:color w:val="000000"/>
          <w:szCs w:val="24"/>
          <w:lang w:val="bg-BG" w:eastAsia="bg-BG"/>
        </w:rPr>
      </w:pPr>
      <w:r w:rsidRPr="00EC43A6">
        <w:rPr>
          <w:rFonts w:ascii="Times New Roman" w:hAnsi="Times New Roman"/>
          <w:color w:val="000000"/>
          <w:szCs w:val="24"/>
          <w:lang w:val="bg-BG" w:eastAsia="bg-BG"/>
        </w:rPr>
        <w:t>7. други прехвърляеми ценни книжа, които дават право за придобиване на акции, или други ценни книжа, подобни на акции, чрез подписка или замяна на дружества - не повече от 10 на сто.</w:t>
      </w:r>
    </w:p>
    <w:p w14:paraId="69F06B50" w14:textId="77777777" w:rsidR="00790703" w:rsidRPr="00EC43A6" w:rsidRDefault="00790703" w:rsidP="00E71D11">
      <w:pPr>
        <w:spacing w:after="0" w:line="240" w:lineRule="auto"/>
        <w:rPr>
          <w:rFonts w:ascii="Times New Roman" w:hAnsi="Times New Roman"/>
          <w:color w:val="000000"/>
          <w:szCs w:val="24"/>
          <w:lang w:val="bg-BG" w:eastAsia="bg-BG"/>
        </w:rPr>
      </w:pPr>
      <w:r w:rsidRPr="00EC43A6">
        <w:rPr>
          <w:rFonts w:ascii="Times New Roman" w:hAnsi="Times New Roman"/>
          <w:color w:val="000000"/>
          <w:szCs w:val="24"/>
          <w:lang w:val="bg-BG" w:eastAsia="bg-BG"/>
        </w:rPr>
        <w:t xml:space="preserve">Средствата на </w:t>
      </w:r>
      <w:r w:rsidR="00E84F2E">
        <w:rPr>
          <w:rFonts w:ascii="Times New Roman" w:hAnsi="Times New Roman"/>
          <w:color w:val="000000"/>
          <w:szCs w:val="24"/>
          <w:lang w:val="bg-BG" w:eastAsia="bg-BG"/>
        </w:rPr>
        <w:t>ф</w:t>
      </w:r>
      <w:r w:rsidRPr="00EC43A6">
        <w:rPr>
          <w:rFonts w:ascii="Times New Roman" w:hAnsi="Times New Roman"/>
          <w:color w:val="000000"/>
          <w:szCs w:val="24"/>
          <w:lang w:val="bg-BG" w:eastAsia="bg-BG"/>
        </w:rPr>
        <w:t xml:space="preserve">онда </w:t>
      </w:r>
      <w:r w:rsidR="00C858C5" w:rsidRPr="00EC43A6">
        <w:rPr>
          <w:rFonts w:ascii="Times New Roman" w:hAnsi="Times New Roman"/>
          <w:color w:val="000000"/>
          <w:szCs w:val="24"/>
          <w:lang w:val="bg-BG" w:eastAsia="bg-BG"/>
        </w:rPr>
        <w:t xml:space="preserve">могат да </w:t>
      </w:r>
      <w:r w:rsidRPr="00EC43A6">
        <w:rPr>
          <w:rFonts w:ascii="Times New Roman" w:hAnsi="Times New Roman"/>
          <w:color w:val="000000"/>
          <w:szCs w:val="24"/>
          <w:lang w:val="bg-BG" w:eastAsia="bg-BG"/>
        </w:rPr>
        <w:t>се инвестират само в ликвидни финансови активи, чиято стойност може да бъде точно определена по всяко време.</w:t>
      </w:r>
    </w:p>
    <w:p w14:paraId="4751CE41" w14:textId="77777777" w:rsidR="00790703" w:rsidRPr="00EC43A6" w:rsidRDefault="00790703" w:rsidP="00E71D11">
      <w:pPr>
        <w:spacing w:after="0" w:line="240" w:lineRule="auto"/>
        <w:rPr>
          <w:rFonts w:ascii="Times New Roman" w:hAnsi="Times New Roman"/>
          <w:color w:val="000000"/>
          <w:szCs w:val="24"/>
          <w:lang w:val="bg-BG" w:eastAsia="bg-BG"/>
        </w:rPr>
      </w:pPr>
      <w:r w:rsidRPr="00EC43A6">
        <w:rPr>
          <w:rFonts w:ascii="Times New Roman" w:hAnsi="Times New Roman"/>
          <w:color w:val="000000"/>
          <w:szCs w:val="24"/>
          <w:lang w:val="bg-BG" w:eastAsia="bg-BG"/>
        </w:rPr>
        <w:t xml:space="preserve">Фондът може да извършва и финансови сделки с цел намаляване на риска, свързан с инвестициите на </w:t>
      </w:r>
      <w:r w:rsidR="00E84F2E">
        <w:rPr>
          <w:rFonts w:ascii="Times New Roman" w:hAnsi="Times New Roman"/>
          <w:color w:val="000000"/>
          <w:szCs w:val="24"/>
          <w:lang w:val="bg-BG" w:eastAsia="bg-BG"/>
        </w:rPr>
        <w:t>ф</w:t>
      </w:r>
      <w:r w:rsidRPr="00EC43A6">
        <w:rPr>
          <w:rFonts w:ascii="Times New Roman" w:hAnsi="Times New Roman"/>
          <w:color w:val="000000"/>
          <w:szCs w:val="24"/>
          <w:lang w:val="bg-BG" w:eastAsia="bg-BG"/>
        </w:rPr>
        <w:t>онда.</w:t>
      </w:r>
    </w:p>
    <w:p w14:paraId="28626690" w14:textId="77777777" w:rsidR="00C858C5" w:rsidRPr="00EC43A6" w:rsidRDefault="00790703" w:rsidP="00E71D11">
      <w:pPr>
        <w:spacing w:after="0" w:line="240" w:lineRule="auto"/>
        <w:rPr>
          <w:rFonts w:ascii="Times New Roman" w:hAnsi="Times New Roman"/>
          <w:color w:val="000000"/>
          <w:szCs w:val="24"/>
          <w:lang w:val="bg-BG" w:eastAsia="bg-BG"/>
        </w:rPr>
      </w:pPr>
      <w:r w:rsidRPr="00EC43A6">
        <w:rPr>
          <w:rFonts w:ascii="Times New Roman" w:hAnsi="Times New Roman"/>
          <w:color w:val="000000"/>
          <w:szCs w:val="24"/>
          <w:lang w:val="bg-BG" w:eastAsia="bg-BG"/>
        </w:rPr>
        <w:t xml:space="preserve">Общата пазарна стойност на инвестициите във финансови инструменти, издадени от един емитент, не може да превишава 5 на сто от инвестираните средства на </w:t>
      </w:r>
      <w:r w:rsidR="00E84F2E">
        <w:rPr>
          <w:rFonts w:ascii="Times New Roman" w:hAnsi="Times New Roman"/>
          <w:color w:val="000000"/>
          <w:szCs w:val="24"/>
          <w:lang w:val="bg-BG" w:eastAsia="bg-BG"/>
        </w:rPr>
        <w:t>ф</w:t>
      </w:r>
      <w:r w:rsidRPr="00EC43A6">
        <w:rPr>
          <w:rFonts w:ascii="Times New Roman" w:hAnsi="Times New Roman"/>
          <w:color w:val="000000"/>
          <w:szCs w:val="24"/>
          <w:lang w:val="bg-BG" w:eastAsia="bg-BG"/>
        </w:rPr>
        <w:t>онда.</w:t>
      </w:r>
    </w:p>
    <w:p w14:paraId="620558B5" w14:textId="77777777" w:rsidR="00790703" w:rsidRPr="00EC43A6" w:rsidRDefault="00790703" w:rsidP="00E71D11">
      <w:pPr>
        <w:spacing w:after="0" w:line="240" w:lineRule="auto"/>
        <w:rPr>
          <w:rFonts w:ascii="Times New Roman" w:hAnsi="Times New Roman"/>
          <w:color w:val="000000"/>
          <w:szCs w:val="24"/>
          <w:lang w:val="bg-BG" w:eastAsia="bg-BG"/>
        </w:rPr>
      </w:pPr>
      <w:r w:rsidRPr="00EC43A6">
        <w:rPr>
          <w:rFonts w:ascii="Times New Roman" w:hAnsi="Times New Roman"/>
          <w:color w:val="000000"/>
          <w:szCs w:val="24"/>
          <w:lang w:val="bg-BG" w:eastAsia="bg-BG"/>
        </w:rPr>
        <w:t>Общата пазарна стойност на инвестициите във финансови инструменти с емитенти</w:t>
      </w:r>
      <w:r w:rsidR="00AC2C1D">
        <w:rPr>
          <w:rFonts w:ascii="Times New Roman" w:hAnsi="Times New Roman"/>
          <w:color w:val="000000"/>
          <w:szCs w:val="24"/>
          <w:lang w:val="bg-BG" w:eastAsia="bg-BG"/>
        </w:rPr>
        <w:t> </w:t>
      </w:r>
      <w:r w:rsidRPr="00EC43A6">
        <w:rPr>
          <w:rFonts w:ascii="Times New Roman" w:hAnsi="Times New Roman"/>
          <w:color w:val="000000"/>
          <w:szCs w:val="24"/>
          <w:lang w:val="bg-BG" w:eastAsia="bg-BG"/>
        </w:rPr>
        <w:t>-</w:t>
      </w:r>
      <w:r w:rsidR="00AC2C1D">
        <w:rPr>
          <w:rFonts w:ascii="Times New Roman" w:hAnsi="Times New Roman"/>
          <w:color w:val="000000"/>
          <w:szCs w:val="24"/>
          <w:lang w:val="bg-BG" w:eastAsia="bg-BG"/>
        </w:rPr>
        <w:t> </w:t>
      </w:r>
      <w:r w:rsidRPr="00EC43A6">
        <w:rPr>
          <w:rFonts w:ascii="Times New Roman" w:hAnsi="Times New Roman"/>
          <w:color w:val="000000"/>
          <w:szCs w:val="24"/>
          <w:lang w:val="bg-BG" w:eastAsia="bg-BG"/>
        </w:rPr>
        <w:t xml:space="preserve">дружества от трети държави, не може да превишава 35 на сто от инвестираните средства на </w:t>
      </w:r>
      <w:r w:rsidR="00E84F2E">
        <w:rPr>
          <w:rFonts w:ascii="Times New Roman" w:hAnsi="Times New Roman"/>
          <w:color w:val="000000"/>
          <w:szCs w:val="24"/>
          <w:lang w:val="bg-BG" w:eastAsia="bg-BG"/>
        </w:rPr>
        <w:t>ф</w:t>
      </w:r>
      <w:r w:rsidRPr="00EC43A6">
        <w:rPr>
          <w:rFonts w:ascii="Times New Roman" w:hAnsi="Times New Roman"/>
          <w:color w:val="000000"/>
          <w:szCs w:val="24"/>
          <w:lang w:val="bg-BG" w:eastAsia="bg-BG"/>
        </w:rPr>
        <w:t>онда.</w:t>
      </w:r>
    </w:p>
    <w:p w14:paraId="02291304" w14:textId="77777777" w:rsidR="00790703" w:rsidRPr="00EC43A6" w:rsidRDefault="00790703" w:rsidP="00E71D11">
      <w:pPr>
        <w:spacing w:after="0" w:line="240" w:lineRule="auto"/>
        <w:rPr>
          <w:rFonts w:ascii="Times New Roman" w:hAnsi="Times New Roman"/>
          <w:color w:val="000000"/>
          <w:szCs w:val="24"/>
          <w:lang w:val="bg-BG" w:eastAsia="bg-BG"/>
        </w:rPr>
      </w:pPr>
      <w:r w:rsidRPr="00EC43A6">
        <w:rPr>
          <w:rFonts w:ascii="Times New Roman" w:hAnsi="Times New Roman"/>
          <w:color w:val="000000"/>
          <w:szCs w:val="24"/>
          <w:lang w:val="bg-BG" w:eastAsia="bg-BG"/>
        </w:rPr>
        <w:t>Общата пазарна стойнос</w:t>
      </w:r>
      <w:r w:rsidR="00C858C5" w:rsidRPr="00EC43A6">
        <w:rPr>
          <w:rFonts w:ascii="Times New Roman" w:hAnsi="Times New Roman"/>
          <w:color w:val="000000"/>
          <w:szCs w:val="24"/>
          <w:lang w:val="bg-BG" w:eastAsia="bg-BG"/>
        </w:rPr>
        <w:t>т на инвестициите в ценни книжа</w:t>
      </w:r>
      <w:r w:rsidRPr="00EC43A6">
        <w:rPr>
          <w:rFonts w:ascii="Times New Roman" w:hAnsi="Times New Roman"/>
          <w:color w:val="000000"/>
          <w:szCs w:val="24"/>
          <w:lang w:val="bg-BG" w:eastAsia="bg-BG"/>
        </w:rPr>
        <w:t xml:space="preserve">, чиито емитенти са банки, дружества за електронни пари, застрахователни, пенсионни и пенсионноосигурителни дружества, лизингови компании, инвестиционни посредници, инвестиционни дружества, както и всички други дружества, чиято основна дейност е отпускане на заеми и/или търговия и посредничество с ценни книжа, не може да превишава 40 на сто от инвестираните средства на </w:t>
      </w:r>
      <w:r w:rsidR="00E84F2E">
        <w:rPr>
          <w:rFonts w:ascii="Times New Roman" w:hAnsi="Times New Roman"/>
          <w:color w:val="000000"/>
          <w:szCs w:val="24"/>
          <w:lang w:val="bg-BG" w:eastAsia="bg-BG"/>
        </w:rPr>
        <w:t>ф</w:t>
      </w:r>
      <w:r w:rsidRPr="00EC43A6">
        <w:rPr>
          <w:rFonts w:ascii="Times New Roman" w:hAnsi="Times New Roman"/>
          <w:color w:val="000000"/>
          <w:szCs w:val="24"/>
          <w:lang w:val="bg-BG" w:eastAsia="bg-BG"/>
        </w:rPr>
        <w:t>онда.</w:t>
      </w:r>
    </w:p>
    <w:p w14:paraId="7CCB2C35" w14:textId="77777777" w:rsidR="009B2588" w:rsidRPr="00CF5E86" w:rsidRDefault="009B2588" w:rsidP="009A26FA">
      <w:pPr>
        <w:spacing w:after="0" w:line="240" w:lineRule="auto"/>
        <w:rPr>
          <w:rFonts w:ascii="Times New Roman" w:hAnsi="Times New Roman"/>
          <w:color w:val="000000"/>
          <w:sz w:val="10"/>
          <w:szCs w:val="10"/>
          <w:lang w:val="bg-BG" w:eastAsia="bg-BG"/>
        </w:rPr>
      </w:pPr>
    </w:p>
    <w:p w14:paraId="196BF075" w14:textId="77777777" w:rsidR="008023A5" w:rsidRPr="00EC43A6" w:rsidRDefault="008023A5" w:rsidP="00602ECA">
      <w:pPr>
        <w:spacing w:after="0" w:line="240" w:lineRule="auto"/>
        <w:rPr>
          <w:rFonts w:ascii="Times New Roman" w:hAnsi="Times New Roman"/>
          <w:color w:val="000000"/>
          <w:szCs w:val="24"/>
          <w:lang w:val="bg-BG" w:eastAsia="bg-BG"/>
        </w:rPr>
      </w:pPr>
      <w:r w:rsidRPr="00EC43A6">
        <w:rPr>
          <w:rFonts w:ascii="Times New Roman" w:hAnsi="Times New Roman"/>
          <w:color w:val="000000"/>
          <w:szCs w:val="24"/>
          <w:lang w:val="bg-BG" w:eastAsia="bg-BG"/>
        </w:rPr>
        <w:t xml:space="preserve">Средствата на </w:t>
      </w:r>
      <w:r w:rsidR="00E84F2E">
        <w:rPr>
          <w:rFonts w:ascii="Times New Roman" w:hAnsi="Times New Roman"/>
          <w:color w:val="000000"/>
          <w:szCs w:val="24"/>
          <w:lang w:val="bg-BG" w:eastAsia="bg-BG"/>
        </w:rPr>
        <w:t>ф</w:t>
      </w:r>
      <w:r w:rsidRPr="00EC43A6">
        <w:rPr>
          <w:rFonts w:ascii="Times New Roman" w:hAnsi="Times New Roman"/>
          <w:color w:val="000000"/>
          <w:szCs w:val="24"/>
          <w:lang w:val="bg-BG" w:eastAsia="bg-BG"/>
        </w:rPr>
        <w:t>онда не могат да бъдат инвестирани в:</w:t>
      </w:r>
    </w:p>
    <w:p w14:paraId="5CF48501" w14:textId="77777777" w:rsidR="008023A5" w:rsidRPr="00EC43A6" w:rsidRDefault="008023A5" w:rsidP="00602ECA">
      <w:pPr>
        <w:spacing w:after="0" w:line="240" w:lineRule="auto"/>
        <w:rPr>
          <w:rFonts w:ascii="Times New Roman" w:hAnsi="Times New Roman"/>
          <w:color w:val="000000"/>
          <w:szCs w:val="24"/>
          <w:lang w:val="bg-BG" w:eastAsia="bg-BG"/>
        </w:rPr>
      </w:pPr>
      <w:r w:rsidRPr="00EC43A6">
        <w:rPr>
          <w:rFonts w:ascii="Times New Roman" w:hAnsi="Times New Roman"/>
          <w:color w:val="000000"/>
          <w:szCs w:val="24"/>
          <w:lang w:val="bg-BG" w:eastAsia="bg-BG"/>
        </w:rPr>
        <w:t>1. държавни ценни книжа, емитирани от българската държава;</w:t>
      </w:r>
    </w:p>
    <w:p w14:paraId="2B9F62AA" w14:textId="77777777" w:rsidR="008023A5" w:rsidRPr="00EC43A6" w:rsidRDefault="008023A5" w:rsidP="00602ECA">
      <w:pPr>
        <w:spacing w:after="0" w:line="240" w:lineRule="auto"/>
        <w:rPr>
          <w:rFonts w:ascii="Times New Roman" w:hAnsi="Times New Roman"/>
          <w:color w:val="000000"/>
          <w:szCs w:val="24"/>
          <w:lang w:val="bg-BG" w:eastAsia="bg-BG"/>
        </w:rPr>
      </w:pPr>
      <w:r w:rsidRPr="00EC43A6">
        <w:rPr>
          <w:rFonts w:ascii="Times New Roman" w:hAnsi="Times New Roman"/>
          <w:color w:val="000000"/>
          <w:szCs w:val="24"/>
          <w:lang w:val="bg-BG" w:eastAsia="bg-BG"/>
        </w:rPr>
        <w:t xml:space="preserve">2. общински ценни книжа, издадени от български общини съгласно </w:t>
      </w:r>
      <w:hyperlink r:id="rId8" w:history="1">
        <w:r w:rsidRPr="00EC43A6">
          <w:rPr>
            <w:rFonts w:ascii="Times New Roman" w:hAnsi="Times New Roman"/>
            <w:color w:val="000000"/>
            <w:szCs w:val="24"/>
            <w:lang w:val="bg-BG" w:eastAsia="bg-BG"/>
          </w:rPr>
          <w:t>Закона за общинския дълг</w:t>
        </w:r>
      </w:hyperlink>
      <w:r w:rsidRPr="00EC43A6">
        <w:rPr>
          <w:rFonts w:ascii="Times New Roman" w:hAnsi="Times New Roman"/>
          <w:color w:val="000000"/>
          <w:szCs w:val="24"/>
          <w:lang w:val="bg-BG" w:eastAsia="bg-BG"/>
        </w:rPr>
        <w:t xml:space="preserve">; </w:t>
      </w:r>
    </w:p>
    <w:p w14:paraId="1C98CB6F" w14:textId="77777777" w:rsidR="008023A5" w:rsidRPr="00EC43A6" w:rsidRDefault="008023A5" w:rsidP="00602ECA">
      <w:pPr>
        <w:spacing w:after="0" w:line="240" w:lineRule="auto"/>
        <w:rPr>
          <w:rFonts w:ascii="Times New Roman" w:hAnsi="Times New Roman"/>
          <w:color w:val="000000"/>
          <w:szCs w:val="24"/>
          <w:lang w:val="bg-BG" w:eastAsia="bg-BG"/>
        </w:rPr>
      </w:pPr>
      <w:r w:rsidRPr="00EC43A6">
        <w:rPr>
          <w:rFonts w:ascii="Times New Roman" w:hAnsi="Times New Roman"/>
          <w:color w:val="000000"/>
          <w:szCs w:val="24"/>
          <w:lang w:val="bg-BG" w:eastAsia="bg-BG"/>
        </w:rPr>
        <w:t>3. акции на дружества, регистрирани на територията на страната, и свързаните с тях производни финансови инструменти;</w:t>
      </w:r>
    </w:p>
    <w:p w14:paraId="2CC1133A" w14:textId="77777777" w:rsidR="008023A5" w:rsidRPr="00EC43A6" w:rsidRDefault="008023A5" w:rsidP="00602ECA">
      <w:pPr>
        <w:spacing w:after="0" w:line="240" w:lineRule="auto"/>
        <w:rPr>
          <w:rFonts w:ascii="Times New Roman" w:hAnsi="Times New Roman"/>
          <w:color w:val="000000"/>
          <w:szCs w:val="24"/>
          <w:lang w:val="bg-BG" w:eastAsia="bg-BG"/>
        </w:rPr>
      </w:pPr>
      <w:r w:rsidRPr="00EC43A6">
        <w:rPr>
          <w:rFonts w:ascii="Times New Roman" w:hAnsi="Times New Roman"/>
          <w:color w:val="000000"/>
          <w:szCs w:val="24"/>
          <w:lang w:val="bg-BG" w:eastAsia="bg-BG"/>
        </w:rPr>
        <w:t>4. акции или дялове в колективни инвестиционни схеми или договорни фондове;</w:t>
      </w:r>
    </w:p>
    <w:p w14:paraId="060B70DD" w14:textId="77777777" w:rsidR="008023A5" w:rsidRPr="00EC43A6" w:rsidRDefault="008023A5" w:rsidP="00602ECA">
      <w:pPr>
        <w:spacing w:after="0" w:line="240" w:lineRule="auto"/>
        <w:rPr>
          <w:rFonts w:ascii="Times New Roman" w:hAnsi="Times New Roman"/>
          <w:color w:val="000000"/>
          <w:szCs w:val="24"/>
          <w:lang w:val="bg-BG" w:eastAsia="bg-BG"/>
        </w:rPr>
      </w:pPr>
      <w:r w:rsidRPr="00EC43A6">
        <w:rPr>
          <w:rFonts w:ascii="Times New Roman" w:hAnsi="Times New Roman"/>
          <w:color w:val="000000"/>
          <w:szCs w:val="24"/>
          <w:lang w:val="bg-BG" w:eastAsia="bg-BG"/>
        </w:rPr>
        <w:t>5. недвижимо имущество, включително чрез дялове на акционерни дружества със специална инвестиционна цел;</w:t>
      </w:r>
    </w:p>
    <w:p w14:paraId="7FF58B20" w14:textId="77777777" w:rsidR="008023A5" w:rsidRPr="00EC43A6" w:rsidRDefault="008023A5" w:rsidP="00602ECA">
      <w:pPr>
        <w:spacing w:after="0" w:line="240" w:lineRule="auto"/>
        <w:rPr>
          <w:rFonts w:ascii="Times New Roman" w:hAnsi="Times New Roman"/>
          <w:color w:val="000000"/>
          <w:szCs w:val="24"/>
          <w:lang w:val="bg-BG" w:eastAsia="bg-BG"/>
        </w:rPr>
      </w:pPr>
      <w:r w:rsidRPr="00EC43A6">
        <w:rPr>
          <w:rFonts w:ascii="Times New Roman" w:hAnsi="Times New Roman"/>
          <w:color w:val="000000"/>
          <w:szCs w:val="24"/>
          <w:lang w:val="bg-BG" w:eastAsia="bg-BG"/>
        </w:rPr>
        <w:t>6. ценни (благородни) метали и сертификати върху тях.</w:t>
      </w:r>
    </w:p>
    <w:p w14:paraId="09E73759" w14:textId="77777777" w:rsidR="004431A4" w:rsidRPr="00A0711A" w:rsidRDefault="004431A4" w:rsidP="00602ECA">
      <w:pPr>
        <w:tabs>
          <w:tab w:val="left" w:pos="342"/>
          <w:tab w:val="left" w:pos="1311"/>
          <w:tab w:val="left" w:pos="1368"/>
          <w:tab w:val="left" w:pos="2052"/>
        </w:tabs>
        <w:spacing w:after="0" w:line="240" w:lineRule="auto"/>
        <w:rPr>
          <w:rFonts w:ascii="Times New Roman" w:hAnsi="Times New Roman"/>
          <w:b/>
          <w:smallCaps/>
          <w:sz w:val="10"/>
          <w:szCs w:val="10"/>
        </w:rPr>
      </w:pPr>
    </w:p>
    <w:p w14:paraId="06431A64" w14:textId="77777777" w:rsidR="00A05BE5" w:rsidRDefault="00A05BE5" w:rsidP="00602ECA">
      <w:pPr>
        <w:tabs>
          <w:tab w:val="left" w:pos="342"/>
          <w:tab w:val="left" w:pos="1311"/>
          <w:tab w:val="left" w:pos="1368"/>
          <w:tab w:val="left" w:pos="2052"/>
        </w:tabs>
        <w:spacing w:after="0" w:line="240" w:lineRule="auto"/>
        <w:rPr>
          <w:rFonts w:ascii="Times New Roman" w:hAnsi="Times New Roman"/>
          <w:b/>
          <w:smallCaps/>
          <w:sz w:val="22"/>
          <w:szCs w:val="22"/>
          <w:lang w:val="bg-BG"/>
        </w:rPr>
      </w:pPr>
    </w:p>
    <w:p w14:paraId="575825A0" w14:textId="77777777" w:rsidR="00A05BE5" w:rsidRDefault="00A05BE5" w:rsidP="00602ECA">
      <w:pPr>
        <w:tabs>
          <w:tab w:val="left" w:pos="342"/>
          <w:tab w:val="left" w:pos="1311"/>
          <w:tab w:val="left" w:pos="1368"/>
          <w:tab w:val="left" w:pos="2052"/>
        </w:tabs>
        <w:spacing w:after="0" w:line="240" w:lineRule="auto"/>
        <w:rPr>
          <w:rFonts w:ascii="Times New Roman" w:hAnsi="Times New Roman"/>
          <w:b/>
          <w:smallCaps/>
          <w:sz w:val="22"/>
          <w:szCs w:val="22"/>
          <w:lang w:val="bg-BG"/>
        </w:rPr>
      </w:pPr>
    </w:p>
    <w:p w14:paraId="6BA846E9" w14:textId="77777777" w:rsidR="00D668C1" w:rsidRDefault="00D668C1" w:rsidP="00602ECA">
      <w:pPr>
        <w:tabs>
          <w:tab w:val="left" w:pos="342"/>
          <w:tab w:val="left" w:pos="1311"/>
          <w:tab w:val="left" w:pos="1368"/>
          <w:tab w:val="left" w:pos="2052"/>
        </w:tabs>
        <w:spacing w:after="0" w:line="240" w:lineRule="auto"/>
        <w:rPr>
          <w:rFonts w:ascii="Times New Roman" w:hAnsi="Times New Roman"/>
          <w:b/>
          <w:smallCaps/>
          <w:sz w:val="22"/>
          <w:szCs w:val="22"/>
          <w:lang w:val="bg-BG"/>
        </w:rPr>
      </w:pPr>
      <w:r w:rsidRPr="0051240E">
        <w:rPr>
          <w:rFonts w:ascii="Times New Roman" w:hAnsi="Times New Roman"/>
          <w:b/>
          <w:smallCaps/>
          <w:sz w:val="22"/>
          <w:szCs w:val="22"/>
          <w:lang w:val="bg-BG"/>
        </w:rPr>
        <w:lastRenderedPageBreak/>
        <w:t>ІІ</w:t>
      </w:r>
      <w:r w:rsidRPr="008E232D">
        <w:rPr>
          <w:rFonts w:ascii="Times New Roman" w:hAnsi="Times New Roman"/>
          <w:b/>
          <w:smallCaps/>
          <w:sz w:val="22"/>
          <w:szCs w:val="22"/>
          <w:lang w:val="bg-BG"/>
        </w:rPr>
        <w:t>І</w:t>
      </w:r>
      <w:r w:rsidRPr="00C67AF9">
        <w:rPr>
          <w:rFonts w:ascii="Times New Roman" w:hAnsi="Times New Roman"/>
          <w:b/>
          <w:smallCaps/>
          <w:sz w:val="22"/>
          <w:szCs w:val="22"/>
          <w:lang w:val="bg-BG"/>
        </w:rPr>
        <w:t xml:space="preserve">. </w:t>
      </w:r>
      <w:r w:rsidR="002214F6" w:rsidRPr="00316C0E">
        <w:rPr>
          <w:rFonts w:ascii="Times New Roman" w:hAnsi="Times New Roman"/>
          <w:b/>
          <w:smallCaps/>
          <w:sz w:val="22"/>
          <w:szCs w:val="22"/>
          <w:lang w:val="bg-BG"/>
        </w:rPr>
        <w:t>ИНВЕСТИЦИОННА СРЕДА</w:t>
      </w:r>
    </w:p>
    <w:p w14:paraId="31B5460B" w14:textId="77777777" w:rsidR="00DC03B6" w:rsidRPr="00DC467A" w:rsidRDefault="00DC03B6" w:rsidP="002E7168">
      <w:pPr>
        <w:tabs>
          <w:tab w:val="left" w:pos="342"/>
          <w:tab w:val="left" w:pos="1311"/>
          <w:tab w:val="left" w:pos="1368"/>
          <w:tab w:val="left" w:pos="2052"/>
        </w:tabs>
        <w:spacing w:after="0" w:line="240" w:lineRule="auto"/>
        <w:ind w:left="399" w:hanging="21"/>
        <w:rPr>
          <w:rFonts w:ascii="Times New Roman" w:hAnsi="Times New Roman"/>
          <w:b/>
          <w:smallCaps/>
          <w:sz w:val="10"/>
          <w:szCs w:val="10"/>
          <w:lang w:val="bg-BG"/>
        </w:rPr>
      </w:pPr>
    </w:p>
    <w:p w14:paraId="124CCEF8" w14:textId="77777777" w:rsidR="00394E73" w:rsidRPr="00394E73" w:rsidRDefault="000C46E3" w:rsidP="00394E73">
      <w:pPr>
        <w:spacing w:after="0" w:line="240" w:lineRule="auto"/>
        <w:ind w:firstLine="709"/>
        <w:rPr>
          <w:rFonts w:ascii="Times New Roman" w:eastAsia="Calibri" w:hAnsi="Times New Roman"/>
          <w:szCs w:val="24"/>
          <w:lang w:val="bg-BG"/>
        </w:rPr>
      </w:pPr>
      <w:r w:rsidRPr="000C46E3">
        <w:rPr>
          <w:rFonts w:ascii="Times New Roman" w:eastAsia="Calibri" w:hAnsi="Times New Roman"/>
          <w:szCs w:val="24"/>
          <w:lang w:val="bg-BG"/>
        </w:rPr>
        <w:t>Според чл. 12 от З</w:t>
      </w:r>
      <w:r w:rsidRPr="008035EA">
        <w:rPr>
          <w:rFonts w:ascii="Times New Roman" w:eastAsia="Calibri" w:hAnsi="Times New Roman"/>
          <w:szCs w:val="24"/>
          <w:lang w:val="bg-BG"/>
        </w:rPr>
        <w:t>Д</w:t>
      </w:r>
      <w:r w:rsidR="00824379" w:rsidRPr="008035EA">
        <w:rPr>
          <w:rFonts w:ascii="Times New Roman" w:eastAsia="Calibri" w:hAnsi="Times New Roman"/>
          <w:szCs w:val="24"/>
          <w:lang w:val="bg-BG"/>
        </w:rPr>
        <w:t>ФГУДПС</w:t>
      </w:r>
      <w:r w:rsidRPr="008035EA">
        <w:rPr>
          <w:rFonts w:ascii="Times New Roman" w:eastAsia="Calibri" w:hAnsi="Times New Roman"/>
          <w:szCs w:val="24"/>
          <w:lang w:val="bg-BG"/>
        </w:rPr>
        <w:t xml:space="preserve"> средствата на </w:t>
      </w:r>
      <w:r w:rsidR="00E84F2E" w:rsidRPr="008035EA">
        <w:rPr>
          <w:rFonts w:ascii="Times New Roman" w:eastAsia="Calibri" w:hAnsi="Times New Roman"/>
          <w:szCs w:val="24"/>
          <w:lang w:val="bg-BG"/>
        </w:rPr>
        <w:t>ф</w:t>
      </w:r>
      <w:r w:rsidRPr="008035EA">
        <w:rPr>
          <w:rFonts w:ascii="Times New Roman" w:eastAsia="Calibri" w:hAnsi="Times New Roman"/>
          <w:szCs w:val="24"/>
          <w:lang w:val="bg-BG"/>
        </w:rPr>
        <w:t>онда се инвестират при спазване принципите на надеждност, доходност, ликвидност, диверсификация. От създаването</w:t>
      </w:r>
      <w:r w:rsidRPr="000C46E3">
        <w:rPr>
          <w:rFonts w:ascii="Times New Roman" w:eastAsia="Calibri" w:hAnsi="Times New Roman"/>
          <w:szCs w:val="24"/>
          <w:lang w:val="bg-BG"/>
        </w:rPr>
        <w:t xml:space="preserve"> си до настоящия момент наличните ресурси на </w:t>
      </w:r>
      <w:r w:rsidR="00E84F2E">
        <w:rPr>
          <w:rFonts w:ascii="Times New Roman" w:eastAsia="Calibri" w:hAnsi="Times New Roman"/>
          <w:szCs w:val="24"/>
          <w:lang w:val="bg-BG"/>
        </w:rPr>
        <w:t>ф</w:t>
      </w:r>
      <w:r w:rsidRPr="000C46E3">
        <w:rPr>
          <w:rFonts w:ascii="Times New Roman" w:eastAsia="Calibri" w:hAnsi="Times New Roman"/>
          <w:szCs w:val="24"/>
          <w:lang w:val="bg-BG"/>
        </w:rPr>
        <w:t xml:space="preserve">онда се намират в </w:t>
      </w:r>
      <w:r w:rsidR="00824379">
        <w:rPr>
          <w:rFonts w:ascii="Times New Roman" w:eastAsia="Calibri" w:hAnsi="Times New Roman"/>
          <w:szCs w:val="24"/>
          <w:lang w:val="bg-BG"/>
        </w:rPr>
        <w:t>отделна</w:t>
      </w:r>
      <w:r w:rsidRPr="000C46E3">
        <w:rPr>
          <w:rFonts w:ascii="Times New Roman" w:eastAsia="Calibri" w:hAnsi="Times New Roman"/>
          <w:szCs w:val="24"/>
          <w:lang w:val="bg-BG"/>
        </w:rPr>
        <w:t xml:space="preserve"> сметка в БНБ</w:t>
      </w:r>
      <w:r w:rsidR="00137DC0">
        <w:rPr>
          <w:rFonts w:ascii="Times New Roman" w:eastAsia="Calibri" w:hAnsi="Times New Roman"/>
          <w:szCs w:val="24"/>
          <w:lang w:val="bg-BG"/>
        </w:rPr>
        <w:t xml:space="preserve"> и </w:t>
      </w:r>
      <w:r w:rsidR="000C32BB">
        <w:rPr>
          <w:rFonts w:ascii="Times New Roman" w:eastAsia="Calibri" w:hAnsi="Times New Roman"/>
          <w:szCs w:val="24"/>
          <w:lang w:val="bg-BG"/>
        </w:rPr>
        <w:t>са</w:t>
      </w:r>
      <w:r w:rsidRPr="000C46E3">
        <w:rPr>
          <w:rFonts w:ascii="Times New Roman" w:eastAsia="Calibri" w:hAnsi="Times New Roman"/>
          <w:szCs w:val="24"/>
          <w:lang w:val="bg-BG"/>
        </w:rPr>
        <w:t xml:space="preserve"> част от </w:t>
      </w:r>
      <w:r w:rsidR="0001309A">
        <w:rPr>
          <w:rFonts w:ascii="Times New Roman" w:eastAsia="Calibri" w:hAnsi="Times New Roman"/>
          <w:szCs w:val="24"/>
          <w:lang w:val="bg-BG"/>
        </w:rPr>
        <w:t xml:space="preserve">фискалния резерв </w:t>
      </w:r>
      <w:r w:rsidRPr="000C46E3">
        <w:rPr>
          <w:rFonts w:ascii="Times New Roman" w:eastAsia="Calibri" w:hAnsi="Times New Roman"/>
          <w:szCs w:val="24"/>
          <w:lang w:val="bg-BG"/>
        </w:rPr>
        <w:t>на</w:t>
      </w:r>
      <w:r w:rsidR="00FD19B8">
        <w:rPr>
          <w:rFonts w:ascii="Times New Roman" w:eastAsia="Calibri" w:hAnsi="Times New Roman"/>
          <w:szCs w:val="24"/>
          <w:lang w:val="en-US"/>
        </w:rPr>
        <w:t xml:space="preserve"> </w:t>
      </w:r>
      <w:r w:rsidR="00FD19B8">
        <w:rPr>
          <w:rFonts w:ascii="Times New Roman" w:eastAsia="Calibri" w:hAnsi="Times New Roman"/>
          <w:szCs w:val="24"/>
          <w:lang w:val="bg-BG"/>
        </w:rPr>
        <w:t>страната</w:t>
      </w:r>
      <w:r w:rsidR="0004509A">
        <w:rPr>
          <w:rFonts w:ascii="Times New Roman" w:eastAsia="Calibri" w:hAnsi="Times New Roman"/>
          <w:szCs w:val="24"/>
          <w:lang w:val="bg-BG"/>
        </w:rPr>
        <w:t>.</w:t>
      </w:r>
      <w:r w:rsidRPr="00894453">
        <w:rPr>
          <w:rFonts w:ascii="Times New Roman" w:eastAsia="Calibri" w:hAnsi="Times New Roman"/>
          <w:szCs w:val="24"/>
          <w:lang w:val="bg-BG"/>
        </w:rPr>
        <w:t xml:space="preserve"> </w:t>
      </w:r>
      <w:r w:rsidR="00894453" w:rsidRPr="00894453">
        <w:rPr>
          <w:rFonts w:ascii="Times New Roman" w:eastAsia="Calibri" w:hAnsi="Times New Roman"/>
          <w:szCs w:val="24"/>
          <w:lang w:val="bg-BG"/>
        </w:rPr>
        <w:t xml:space="preserve">Следваната до момента консервативна стратегия </w:t>
      </w:r>
      <w:r w:rsidR="00C21A32">
        <w:rPr>
          <w:rFonts w:ascii="Times New Roman" w:eastAsia="Calibri" w:hAnsi="Times New Roman"/>
          <w:szCs w:val="24"/>
          <w:lang w:val="bg-BG"/>
        </w:rPr>
        <w:t>за депозиране на средствата на фонда в отделна сметка</w:t>
      </w:r>
      <w:r w:rsidR="00894453" w:rsidRPr="00894453">
        <w:rPr>
          <w:rFonts w:ascii="Times New Roman" w:eastAsia="Calibri" w:hAnsi="Times New Roman"/>
          <w:szCs w:val="24"/>
          <w:lang w:val="bg-BG"/>
        </w:rPr>
        <w:t xml:space="preserve"> в </w:t>
      </w:r>
      <w:r w:rsidR="00894453" w:rsidRPr="008725D9">
        <w:rPr>
          <w:rFonts w:ascii="Times New Roman" w:eastAsia="Calibri" w:hAnsi="Times New Roman"/>
          <w:szCs w:val="24"/>
          <w:lang w:val="bg-BG"/>
        </w:rPr>
        <w:t>БНБ</w:t>
      </w:r>
      <w:r w:rsidR="00DF6842">
        <w:rPr>
          <w:rFonts w:ascii="Times New Roman" w:eastAsia="Calibri" w:hAnsi="Times New Roman"/>
          <w:szCs w:val="24"/>
          <w:lang w:val="bg-BG"/>
        </w:rPr>
        <w:t>,</w:t>
      </w:r>
      <w:r w:rsidR="00894453" w:rsidRPr="008725D9">
        <w:rPr>
          <w:rFonts w:ascii="Times New Roman" w:eastAsia="Calibri" w:hAnsi="Times New Roman"/>
          <w:szCs w:val="24"/>
          <w:lang w:val="bg-BG"/>
        </w:rPr>
        <w:t xml:space="preserve"> </w:t>
      </w:r>
      <w:r w:rsidR="00137DC0" w:rsidRPr="00DC2A12">
        <w:rPr>
          <w:rFonts w:ascii="Times New Roman" w:eastAsia="Calibri" w:hAnsi="Times New Roman"/>
          <w:szCs w:val="24"/>
          <w:lang w:val="bg-BG"/>
        </w:rPr>
        <w:t xml:space="preserve">гарантира </w:t>
      </w:r>
      <w:r w:rsidR="00AC2C1D">
        <w:rPr>
          <w:rFonts w:ascii="Times New Roman" w:eastAsia="Calibri" w:hAnsi="Times New Roman"/>
          <w:szCs w:val="24"/>
          <w:lang w:val="bg-BG"/>
        </w:rPr>
        <w:t>елиминиране</w:t>
      </w:r>
      <w:r w:rsidR="00137DC0" w:rsidRPr="00DC2A12">
        <w:rPr>
          <w:rFonts w:ascii="Times New Roman" w:eastAsia="Calibri" w:hAnsi="Times New Roman"/>
          <w:szCs w:val="24"/>
          <w:lang w:val="bg-BG"/>
        </w:rPr>
        <w:t xml:space="preserve"> на негативните ефекти и проявите на волатилност на международните капиталови пазари.</w:t>
      </w:r>
      <w:r w:rsidR="00022A5C">
        <w:rPr>
          <w:rFonts w:ascii="Times New Roman" w:eastAsia="Calibri" w:hAnsi="Times New Roman"/>
          <w:szCs w:val="24"/>
          <w:lang w:val="bg-BG"/>
        </w:rPr>
        <w:t xml:space="preserve"> Това от своя страна съответства на текущата пазарна среда и води до избягване на риска</w:t>
      </w:r>
      <w:r w:rsidR="00394E73" w:rsidRPr="00394E73">
        <w:rPr>
          <w:rFonts w:ascii="Times New Roman" w:eastAsia="Calibri" w:hAnsi="Times New Roman"/>
          <w:szCs w:val="24"/>
          <w:lang w:val="bg-BG"/>
        </w:rPr>
        <w:t>, свързан с резките промени на външните пазари.</w:t>
      </w:r>
    </w:p>
    <w:p w14:paraId="27ACB1B3" w14:textId="77777777" w:rsidR="003C5CFC" w:rsidRPr="002077A0" w:rsidRDefault="003C5CFC" w:rsidP="003C5CFC">
      <w:pPr>
        <w:spacing w:after="0" w:line="240" w:lineRule="auto"/>
        <w:ind w:firstLine="709"/>
        <w:rPr>
          <w:rFonts w:ascii="Times New Roman" w:eastAsia="Calibri" w:hAnsi="Times New Roman"/>
          <w:szCs w:val="24"/>
          <w:lang w:val="bg-BG"/>
        </w:rPr>
      </w:pPr>
      <w:r w:rsidRPr="002077A0">
        <w:rPr>
          <w:rFonts w:ascii="Times New Roman" w:eastAsia="Calibri" w:hAnsi="Times New Roman"/>
          <w:szCs w:val="24"/>
          <w:lang w:val="bg-BG"/>
        </w:rPr>
        <w:t>При допускане за активно инвестиране на Д</w:t>
      </w:r>
      <w:r>
        <w:rPr>
          <w:rFonts w:ascii="Times New Roman" w:eastAsia="Calibri" w:hAnsi="Times New Roman"/>
          <w:szCs w:val="24"/>
          <w:lang w:val="bg-BG"/>
        </w:rPr>
        <w:t>ФГУДПС</w:t>
      </w:r>
      <w:r w:rsidRPr="002077A0">
        <w:rPr>
          <w:rFonts w:ascii="Times New Roman" w:eastAsia="Calibri" w:hAnsi="Times New Roman"/>
          <w:szCs w:val="24"/>
          <w:lang w:val="bg-BG"/>
        </w:rPr>
        <w:t xml:space="preserve"> за достигане на по-висока доходност, трябва да се вземе предвид, доколко пазарните условия биха позволили това и при каква степен на риск. </w:t>
      </w:r>
    </w:p>
    <w:p w14:paraId="2729DCF2" w14:textId="77777777" w:rsidR="00280DFE" w:rsidRPr="00280DFE" w:rsidRDefault="0035717C" w:rsidP="00280DFE">
      <w:pPr>
        <w:spacing w:after="0" w:line="240" w:lineRule="auto"/>
        <w:ind w:firstLine="708"/>
        <w:rPr>
          <w:rFonts w:ascii="Times New Roman" w:eastAsia="Calibri" w:hAnsi="Times New Roman"/>
          <w:szCs w:val="24"/>
        </w:rPr>
      </w:pPr>
      <w:r>
        <w:rPr>
          <w:rFonts w:ascii="Times New Roman" w:eastAsia="Calibri" w:hAnsi="Times New Roman"/>
          <w:szCs w:val="24"/>
          <w:lang w:val="bg-BG"/>
        </w:rPr>
        <w:t>Средствата на фонда се съхраняват в отделна сметка в БНБ</w:t>
      </w:r>
      <w:r w:rsidR="0003264B" w:rsidRPr="005B7C79">
        <w:rPr>
          <w:rFonts w:ascii="Times New Roman" w:eastAsia="Calibri" w:hAnsi="Times New Roman"/>
          <w:szCs w:val="24"/>
          <w:lang w:val="bg-BG"/>
        </w:rPr>
        <w:t xml:space="preserve"> при лихвен процент съгласно </w:t>
      </w:r>
      <w:r w:rsidR="00BF7F9C" w:rsidRPr="005B7C79">
        <w:rPr>
          <w:rFonts w:ascii="Times New Roman" w:eastAsia="Calibri" w:hAnsi="Times New Roman"/>
          <w:szCs w:val="24"/>
          <w:lang w:val="bg-BG"/>
        </w:rPr>
        <w:t xml:space="preserve">Общите условия на БНБ за обслужване на сметки на банки, бюджетни организации и други клиенти (промените са приети с решение на УС на БНБ, в сила от </w:t>
      </w:r>
      <w:r w:rsidR="00DE78DC" w:rsidRPr="008A3830">
        <w:rPr>
          <w:rFonts w:ascii="Times New Roman" w:eastAsia="Calibri" w:hAnsi="Times New Roman"/>
          <w:szCs w:val="24"/>
          <w:lang w:val="bg-BG"/>
        </w:rPr>
        <w:t>01</w:t>
      </w:r>
      <w:r w:rsidR="00BF7F9C" w:rsidRPr="008A3830">
        <w:rPr>
          <w:rFonts w:ascii="Times New Roman" w:eastAsia="Calibri" w:hAnsi="Times New Roman"/>
          <w:szCs w:val="24"/>
          <w:lang w:val="bg-BG"/>
        </w:rPr>
        <w:t>.</w:t>
      </w:r>
      <w:r w:rsidR="00DE78DC" w:rsidRPr="008A3830">
        <w:rPr>
          <w:rFonts w:ascii="Times New Roman" w:eastAsia="Calibri" w:hAnsi="Times New Roman"/>
          <w:szCs w:val="24"/>
          <w:lang w:val="bg-BG"/>
        </w:rPr>
        <w:t>07</w:t>
      </w:r>
      <w:r w:rsidR="00BF7F9C" w:rsidRPr="008A3830">
        <w:rPr>
          <w:rFonts w:ascii="Times New Roman" w:eastAsia="Calibri" w:hAnsi="Times New Roman"/>
          <w:szCs w:val="24"/>
          <w:lang w:val="bg-BG"/>
        </w:rPr>
        <w:t>.20</w:t>
      </w:r>
      <w:r w:rsidR="00DE78DC" w:rsidRPr="008A3830">
        <w:rPr>
          <w:rFonts w:ascii="Times New Roman" w:eastAsia="Calibri" w:hAnsi="Times New Roman"/>
          <w:szCs w:val="24"/>
          <w:lang w:val="bg-BG"/>
        </w:rPr>
        <w:t>23</w:t>
      </w:r>
      <w:r w:rsidR="00BF7F9C" w:rsidRPr="008A3830">
        <w:rPr>
          <w:rFonts w:ascii="Times New Roman" w:eastAsia="Calibri" w:hAnsi="Times New Roman"/>
          <w:szCs w:val="24"/>
          <w:lang w:val="bg-BG"/>
        </w:rPr>
        <w:t xml:space="preserve"> г.</w:t>
      </w:r>
      <w:r w:rsidR="00BF7F9C" w:rsidRPr="00847B33">
        <w:rPr>
          <w:rFonts w:ascii="Times New Roman" w:eastAsia="Calibri" w:hAnsi="Times New Roman"/>
          <w:szCs w:val="24"/>
          <w:lang w:val="bg-BG"/>
        </w:rPr>
        <w:t>)</w:t>
      </w:r>
      <w:r w:rsidR="00F64F2D" w:rsidRPr="00847B33">
        <w:rPr>
          <w:rFonts w:ascii="Times New Roman" w:eastAsia="Calibri" w:hAnsi="Times New Roman"/>
          <w:szCs w:val="24"/>
          <w:lang w:val="bg-BG"/>
        </w:rPr>
        <w:t>.</w:t>
      </w:r>
      <w:r w:rsidR="000C46E3" w:rsidRPr="005B7C79">
        <w:rPr>
          <w:rFonts w:ascii="Times New Roman" w:eastAsia="Calibri" w:hAnsi="Times New Roman"/>
          <w:szCs w:val="24"/>
          <w:lang w:val="bg-BG"/>
        </w:rPr>
        <w:t xml:space="preserve"> </w:t>
      </w:r>
      <w:r w:rsidR="00DF6842">
        <w:rPr>
          <w:rFonts w:ascii="Times New Roman" w:hAnsi="Times New Roman"/>
          <w:szCs w:val="24"/>
          <w:lang w:val="bg-BG"/>
        </w:rPr>
        <w:t>В</w:t>
      </w:r>
      <w:r w:rsidR="00400FCA" w:rsidRPr="005B7C79">
        <w:rPr>
          <w:rFonts w:ascii="Times New Roman" w:hAnsi="Times New Roman"/>
          <w:szCs w:val="24"/>
          <w:lang w:val="bg-BG"/>
        </w:rPr>
        <w:t>ърху депозитите на фонда</w:t>
      </w:r>
      <w:r w:rsidR="00400FCA" w:rsidRPr="005B7C79">
        <w:rPr>
          <w:rFonts w:ascii="Times New Roman" w:eastAsia="Calibri" w:hAnsi="Times New Roman"/>
          <w:szCs w:val="24"/>
        </w:rPr>
        <w:t xml:space="preserve"> </w:t>
      </w:r>
      <w:r w:rsidR="005B7C79">
        <w:rPr>
          <w:rFonts w:ascii="Times New Roman" w:eastAsia="Calibri" w:hAnsi="Times New Roman"/>
          <w:szCs w:val="24"/>
          <w:lang w:val="bg-BG"/>
        </w:rPr>
        <w:t>е</w:t>
      </w:r>
      <w:r w:rsidR="005B7C79" w:rsidRPr="005B7C79">
        <w:rPr>
          <w:rFonts w:ascii="Times New Roman" w:eastAsia="Calibri" w:hAnsi="Times New Roman"/>
          <w:szCs w:val="24"/>
          <w:lang w:val="bg-BG"/>
        </w:rPr>
        <w:t xml:space="preserve">жемесечно </w:t>
      </w:r>
      <w:r w:rsidR="00400FCA" w:rsidRPr="005B7C79">
        <w:rPr>
          <w:rFonts w:ascii="Times New Roman" w:eastAsia="Calibri" w:hAnsi="Times New Roman"/>
          <w:szCs w:val="24"/>
          <w:lang w:val="bg-BG"/>
        </w:rPr>
        <w:t>се начисляват положителни лихв</w:t>
      </w:r>
      <w:r w:rsidR="00EE41CA" w:rsidRPr="005B7C79">
        <w:rPr>
          <w:rFonts w:ascii="Times New Roman" w:eastAsia="Calibri" w:hAnsi="Times New Roman"/>
          <w:szCs w:val="24"/>
          <w:lang w:val="bg-BG"/>
        </w:rPr>
        <w:t>и</w:t>
      </w:r>
      <w:r w:rsidR="00280DFE" w:rsidRPr="005B7C79">
        <w:rPr>
          <w:rFonts w:ascii="Times New Roman" w:eastAsia="Calibri" w:hAnsi="Times New Roman"/>
          <w:szCs w:val="24"/>
        </w:rPr>
        <w:t xml:space="preserve">, </w:t>
      </w:r>
      <w:r w:rsidR="00DF6842">
        <w:rPr>
          <w:rFonts w:ascii="Times New Roman" w:eastAsia="Calibri" w:hAnsi="Times New Roman"/>
          <w:szCs w:val="24"/>
          <w:lang w:val="bg-BG"/>
        </w:rPr>
        <w:t>съгласно</w:t>
      </w:r>
      <w:r w:rsidR="00280DFE" w:rsidRPr="005B7C79">
        <w:rPr>
          <w:rFonts w:ascii="Times New Roman" w:eastAsia="Calibri" w:hAnsi="Times New Roman"/>
          <w:szCs w:val="24"/>
        </w:rPr>
        <w:t xml:space="preserve"> </w:t>
      </w:r>
      <w:r w:rsidR="00280DFE" w:rsidRPr="00EB7234">
        <w:rPr>
          <w:rFonts w:ascii="Times New Roman" w:eastAsia="Calibri" w:hAnsi="Times New Roman"/>
          <w:szCs w:val="24"/>
          <w:lang w:val="bg-BG"/>
        </w:rPr>
        <w:t xml:space="preserve">Бюлетина за лихвените проценти на правителството и бюджетните организации </w:t>
      </w:r>
      <w:r w:rsidR="00280DFE" w:rsidRPr="005B7C79">
        <w:rPr>
          <w:rFonts w:ascii="Times New Roman" w:eastAsia="Calibri" w:hAnsi="Times New Roman"/>
          <w:szCs w:val="24"/>
        </w:rPr>
        <w:t>в БНБ</w:t>
      </w:r>
      <w:r w:rsidR="00EE41CA" w:rsidRPr="005B7C79">
        <w:rPr>
          <w:rFonts w:ascii="Times New Roman" w:eastAsia="Calibri" w:hAnsi="Times New Roman"/>
          <w:szCs w:val="24"/>
          <w:lang w:val="bg-BG"/>
        </w:rPr>
        <w:t xml:space="preserve">, </w:t>
      </w:r>
      <w:r w:rsidR="00DF6842">
        <w:rPr>
          <w:rFonts w:ascii="Times New Roman" w:eastAsia="Calibri" w:hAnsi="Times New Roman"/>
          <w:szCs w:val="24"/>
          <w:lang w:val="bg-BG"/>
        </w:rPr>
        <w:t xml:space="preserve">които за периода </w:t>
      </w:r>
      <w:r w:rsidR="00DF6842" w:rsidRPr="008A3830">
        <w:rPr>
          <w:rFonts w:ascii="Times New Roman" w:eastAsia="Calibri" w:hAnsi="Times New Roman"/>
          <w:szCs w:val="24"/>
          <w:lang w:val="bg-BG"/>
        </w:rPr>
        <w:t>01.01- 3</w:t>
      </w:r>
      <w:r w:rsidR="00711F3E" w:rsidRPr="008A3830">
        <w:rPr>
          <w:rFonts w:ascii="Times New Roman" w:eastAsia="Calibri" w:hAnsi="Times New Roman"/>
          <w:szCs w:val="24"/>
          <w:lang w:val="bg-BG"/>
        </w:rPr>
        <w:t>0</w:t>
      </w:r>
      <w:r w:rsidR="00DF6842" w:rsidRPr="008A3830">
        <w:rPr>
          <w:rFonts w:ascii="Times New Roman" w:eastAsia="Calibri" w:hAnsi="Times New Roman"/>
          <w:szCs w:val="24"/>
          <w:lang w:val="bg-BG"/>
        </w:rPr>
        <w:t>.1</w:t>
      </w:r>
      <w:r w:rsidR="00711F3E" w:rsidRPr="008A3830">
        <w:rPr>
          <w:rFonts w:ascii="Times New Roman" w:eastAsia="Calibri" w:hAnsi="Times New Roman"/>
          <w:szCs w:val="24"/>
          <w:lang w:val="bg-BG"/>
        </w:rPr>
        <w:t>1</w:t>
      </w:r>
      <w:r w:rsidR="00DF6842" w:rsidRPr="008A3830">
        <w:rPr>
          <w:rFonts w:ascii="Times New Roman" w:eastAsia="Calibri" w:hAnsi="Times New Roman"/>
          <w:szCs w:val="24"/>
          <w:lang w:val="bg-BG"/>
        </w:rPr>
        <w:t>.202</w:t>
      </w:r>
      <w:r w:rsidR="00244380" w:rsidRPr="008A3830">
        <w:rPr>
          <w:rFonts w:ascii="Times New Roman" w:eastAsia="Calibri" w:hAnsi="Times New Roman"/>
          <w:szCs w:val="24"/>
          <w:lang w:val="bg-BG"/>
        </w:rPr>
        <w:t>5</w:t>
      </w:r>
      <w:r w:rsidR="00DF6842" w:rsidRPr="008A3830">
        <w:rPr>
          <w:rFonts w:ascii="Times New Roman" w:eastAsia="Calibri" w:hAnsi="Times New Roman"/>
          <w:szCs w:val="24"/>
          <w:lang w:val="bg-BG"/>
        </w:rPr>
        <w:t xml:space="preserve"> г.</w:t>
      </w:r>
      <w:r w:rsidR="00DF6842" w:rsidRPr="00FD0204">
        <w:rPr>
          <w:rFonts w:ascii="Times New Roman" w:eastAsia="Calibri" w:hAnsi="Times New Roman"/>
          <w:szCs w:val="24"/>
          <w:lang w:val="bg-BG"/>
        </w:rPr>
        <w:t xml:space="preserve"> са </w:t>
      </w:r>
      <w:r w:rsidR="00EE41CA" w:rsidRPr="00FD0204">
        <w:rPr>
          <w:rFonts w:ascii="Times New Roman" w:eastAsia="Calibri" w:hAnsi="Times New Roman"/>
          <w:szCs w:val="24"/>
          <w:lang w:val="bg-BG"/>
        </w:rPr>
        <w:t xml:space="preserve">в общ размер на </w:t>
      </w:r>
      <w:r w:rsidR="003C11B0">
        <w:rPr>
          <w:rFonts w:ascii="Times New Roman" w:eastAsia="Calibri" w:hAnsi="Times New Roman"/>
          <w:szCs w:val="24"/>
          <w:lang w:val="bg-BG"/>
        </w:rPr>
        <w:t>74</w:t>
      </w:r>
      <w:r w:rsidR="00EE41CA" w:rsidRPr="008A3830">
        <w:rPr>
          <w:rFonts w:ascii="Times New Roman" w:eastAsia="Calibri" w:hAnsi="Times New Roman"/>
          <w:szCs w:val="24"/>
          <w:lang w:val="bg-BG"/>
        </w:rPr>
        <w:t>,</w:t>
      </w:r>
      <w:r w:rsidR="003C11B0">
        <w:rPr>
          <w:rFonts w:ascii="Times New Roman" w:eastAsia="Calibri" w:hAnsi="Times New Roman"/>
          <w:szCs w:val="24"/>
          <w:lang w:val="bg-BG"/>
        </w:rPr>
        <w:t>4</w:t>
      </w:r>
      <w:r w:rsidR="00EE41CA" w:rsidRPr="00FD0204">
        <w:rPr>
          <w:rFonts w:ascii="Times New Roman" w:eastAsia="Calibri" w:hAnsi="Times New Roman"/>
          <w:szCs w:val="24"/>
          <w:lang w:val="bg-BG"/>
        </w:rPr>
        <w:t xml:space="preserve"> млн. лв.</w:t>
      </w:r>
    </w:p>
    <w:p w14:paraId="0C0DFD3E" w14:textId="77777777" w:rsidR="00BE18B6" w:rsidRPr="00BE18B6" w:rsidRDefault="00BE18B6" w:rsidP="00BE18B6">
      <w:pPr>
        <w:spacing w:after="0" w:line="240" w:lineRule="auto"/>
        <w:contextualSpacing/>
        <w:rPr>
          <w:rFonts w:ascii="Times New Roman" w:eastAsia="Calibri" w:hAnsi="Times New Roman"/>
          <w:szCs w:val="24"/>
          <w:lang w:val="ru-RU"/>
        </w:rPr>
      </w:pPr>
      <w:r w:rsidRPr="00017D9D">
        <w:rPr>
          <w:rFonts w:ascii="Times New Roman" w:eastAsia="Calibri" w:hAnsi="Times New Roman"/>
          <w:szCs w:val="24"/>
          <w:lang w:val="ru-RU"/>
        </w:rPr>
        <w:t>Дългосро</w:t>
      </w:r>
      <w:r w:rsidRPr="00BE18B6">
        <w:rPr>
          <w:rFonts w:ascii="Times New Roman" w:eastAsia="Calibri" w:hAnsi="Times New Roman"/>
          <w:szCs w:val="24"/>
          <w:lang w:val="ru-RU"/>
        </w:rPr>
        <w:t>чната бюджетна прогноза за развитието на държавната пенсионна система е разработена от Националния осигурителен институт (НОИ) при параметрите на действащото през 2025 г. законодателство в областта на пенсиите и разпоредбите на Кодекса за социално осигуряване (КСО). Прогнозата е съобразена с демографската прогноза на Евростат от 2023 г. и с параметрите на есенната макроикономическа прогноза на финансовото министерство от 2025 г.</w:t>
      </w:r>
    </w:p>
    <w:p w14:paraId="0FB8F863" w14:textId="77777777" w:rsidR="00BE18B6" w:rsidRPr="00BE18B6" w:rsidRDefault="00BE18B6" w:rsidP="00BE18B6">
      <w:pPr>
        <w:spacing w:after="0" w:line="240" w:lineRule="auto"/>
        <w:contextualSpacing/>
        <w:rPr>
          <w:rFonts w:ascii="Times New Roman" w:eastAsia="Calibri" w:hAnsi="Times New Roman"/>
          <w:szCs w:val="24"/>
          <w:lang w:val="ru-RU"/>
        </w:rPr>
      </w:pPr>
      <w:r w:rsidRPr="00BE18B6">
        <w:rPr>
          <w:rFonts w:ascii="Times New Roman" w:eastAsia="Calibri" w:hAnsi="Times New Roman"/>
          <w:szCs w:val="24"/>
          <w:lang w:val="ru-RU"/>
        </w:rPr>
        <w:t>През 2025 г. бяха реализирани следните политики, приети със Закона за бюджета на държавното обществено осигуряване за 2025 г., които оказват влияние върху размерите на пенсиите в дългосрочен план, а именно:</w:t>
      </w:r>
    </w:p>
    <w:p w14:paraId="461D9EAB" w14:textId="77777777" w:rsidR="00BE18B6" w:rsidRPr="00BE18B6" w:rsidRDefault="00BE18B6" w:rsidP="000C235A">
      <w:pPr>
        <w:tabs>
          <w:tab w:val="left" w:pos="993"/>
        </w:tabs>
        <w:spacing w:after="0" w:line="240" w:lineRule="auto"/>
        <w:contextualSpacing/>
        <w:rPr>
          <w:rFonts w:ascii="Times New Roman" w:eastAsia="Calibri" w:hAnsi="Times New Roman"/>
          <w:szCs w:val="24"/>
          <w:lang w:val="ru-RU"/>
        </w:rPr>
      </w:pPr>
      <w:r w:rsidRPr="00BE18B6">
        <w:rPr>
          <w:rFonts w:ascii="Times New Roman" w:eastAsia="Calibri" w:hAnsi="Times New Roman"/>
          <w:szCs w:val="24"/>
          <w:lang w:val="ru-RU"/>
        </w:rPr>
        <w:t>•</w:t>
      </w:r>
      <w:r w:rsidRPr="00BE18B6">
        <w:rPr>
          <w:rFonts w:ascii="Times New Roman" w:eastAsia="Calibri" w:hAnsi="Times New Roman"/>
          <w:szCs w:val="24"/>
          <w:lang w:val="ru-RU"/>
        </w:rPr>
        <w:tab/>
        <w:t>увеличение на минималния размер на пенсията за осигурителен стаж и възраст от 580,57 лв. на 630,50 лв. от 1 юли 2025 г.;</w:t>
      </w:r>
    </w:p>
    <w:p w14:paraId="795CE281" w14:textId="77777777" w:rsidR="00BE18B6" w:rsidRPr="00BE18B6" w:rsidRDefault="00BE18B6" w:rsidP="000C235A">
      <w:pPr>
        <w:tabs>
          <w:tab w:val="left" w:pos="993"/>
        </w:tabs>
        <w:spacing w:after="0" w:line="240" w:lineRule="auto"/>
        <w:contextualSpacing/>
        <w:rPr>
          <w:rFonts w:ascii="Times New Roman" w:eastAsia="Calibri" w:hAnsi="Times New Roman"/>
          <w:szCs w:val="24"/>
          <w:lang w:val="ru-RU"/>
        </w:rPr>
      </w:pPr>
      <w:r w:rsidRPr="00BE18B6">
        <w:rPr>
          <w:rFonts w:ascii="Times New Roman" w:eastAsia="Calibri" w:hAnsi="Times New Roman"/>
          <w:szCs w:val="24"/>
          <w:lang w:val="ru-RU"/>
        </w:rPr>
        <w:t>•</w:t>
      </w:r>
      <w:r w:rsidRPr="00BE18B6">
        <w:rPr>
          <w:rFonts w:ascii="Times New Roman" w:eastAsia="Calibri" w:hAnsi="Times New Roman"/>
          <w:szCs w:val="24"/>
          <w:lang w:val="ru-RU"/>
        </w:rPr>
        <w:tab/>
        <w:t>запазване на максималния размер на получаваните една или повече пенсии, без добавките към тях, на нивото  от 1 октомври 2022 г. - 3 400,00 лв.;</w:t>
      </w:r>
    </w:p>
    <w:p w14:paraId="7B6A6DA3" w14:textId="77777777" w:rsidR="00BE18B6" w:rsidRPr="00BE18B6" w:rsidRDefault="00BE18B6" w:rsidP="000C235A">
      <w:pPr>
        <w:tabs>
          <w:tab w:val="left" w:pos="993"/>
        </w:tabs>
        <w:spacing w:after="0" w:line="240" w:lineRule="auto"/>
        <w:contextualSpacing/>
        <w:rPr>
          <w:rFonts w:ascii="Times New Roman" w:eastAsia="Calibri" w:hAnsi="Times New Roman"/>
          <w:szCs w:val="24"/>
          <w:lang w:val="ru-RU"/>
        </w:rPr>
      </w:pPr>
      <w:r w:rsidRPr="00BE18B6">
        <w:rPr>
          <w:rFonts w:ascii="Times New Roman" w:eastAsia="Calibri" w:hAnsi="Times New Roman"/>
          <w:szCs w:val="24"/>
          <w:lang w:val="ru-RU"/>
        </w:rPr>
        <w:t>•</w:t>
      </w:r>
      <w:r w:rsidRPr="00BE18B6">
        <w:rPr>
          <w:rFonts w:ascii="Times New Roman" w:eastAsia="Calibri" w:hAnsi="Times New Roman"/>
          <w:szCs w:val="24"/>
          <w:lang w:val="ru-RU"/>
        </w:rPr>
        <w:tab/>
        <w:t>увеличение на социалната пенсия за старост от 307,07 лв. на 333,48 лв. от 1 юли 2025 г.;</w:t>
      </w:r>
    </w:p>
    <w:p w14:paraId="3CFD134E" w14:textId="77777777" w:rsidR="00BE18B6" w:rsidRPr="00BE18B6" w:rsidRDefault="00BE18B6" w:rsidP="000C235A">
      <w:pPr>
        <w:tabs>
          <w:tab w:val="left" w:pos="993"/>
        </w:tabs>
        <w:spacing w:after="0" w:line="240" w:lineRule="auto"/>
        <w:contextualSpacing/>
        <w:rPr>
          <w:rFonts w:ascii="Times New Roman" w:eastAsia="Calibri" w:hAnsi="Times New Roman"/>
          <w:szCs w:val="24"/>
          <w:lang w:val="ru-RU"/>
        </w:rPr>
      </w:pPr>
      <w:r w:rsidRPr="00BE18B6">
        <w:rPr>
          <w:rFonts w:ascii="Times New Roman" w:eastAsia="Calibri" w:hAnsi="Times New Roman"/>
          <w:szCs w:val="24"/>
          <w:lang w:val="ru-RU"/>
        </w:rPr>
        <w:t>•</w:t>
      </w:r>
      <w:r w:rsidRPr="00BE18B6">
        <w:rPr>
          <w:rFonts w:ascii="Times New Roman" w:eastAsia="Calibri" w:hAnsi="Times New Roman"/>
          <w:szCs w:val="24"/>
          <w:lang w:val="ru-RU"/>
        </w:rPr>
        <w:tab/>
        <w:t>увеличение с 8,6% от 1 юли 2025 г. на всички пенсии за трудова дейност, отпуснати до 31.12.2024 г.</w:t>
      </w:r>
    </w:p>
    <w:p w14:paraId="53DA725F" w14:textId="77777777" w:rsidR="00BE18B6" w:rsidRPr="00BE18B6" w:rsidRDefault="00BE18B6" w:rsidP="000C235A">
      <w:pPr>
        <w:tabs>
          <w:tab w:val="left" w:pos="993"/>
        </w:tabs>
        <w:spacing w:after="0" w:line="240" w:lineRule="auto"/>
        <w:contextualSpacing/>
        <w:rPr>
          <w:rFonts w:ascii="Times New Roman" w:eastAsia="Calibri" w:hAnsi="Times New Roman"/>
          <w:szCs w:val="24"/>
          <w:lang w:val="ru-RU"/>
        </w:rPr>
      </w:pPr>
      <w:r w:rsidRPr="00BE18B6">
        <w:rPr>
          <w:rFonts w:ascii="Times New Roman" w:eastAsia="Calibri" w:hAnsi="Times New Roman"/>
          <w:szCs w:val="24"/>
          <w:lang w:val="ru-RU"/>
        </w:rPr>
        <w:t>•</w:t>
      </w:r>
      <w:r w:rsidRPr="00BE18B6">
        <w:rPr>
          <w:rFonts w:ascii="Times New Roman" w:eastAsia="Calibri" w:hAnsi="Times New Roman"/>
          <w:szCs w:val="24"/>
          <w:lang w:val="ru-RU"/>
        </w:rPr>
        <w:tab/>
        <w:t xml:space="preserve">Пенсиите за трудова дейност, отпуснати до 31 декември на предходната година, се осъвременяват от 1 юли на съответната година по чл. 100 от КСО. </w:t>
      </w:r>
    </w:p>
    <w:p w14:paraId="7E629AF2" w14:textId="77777777" w:rsidR="00BE18B6" w:rsidRPr="000C235A" w:rsidRDefault="00BE18B6" w:rsidP="00BE18B6">
      <w:pPr>
        <w:spacing w:after="0" w:line="240" w:lineRule="auto"/>
        <w:contextualSpacing/>
        <w:rPr>
          <w:rFonts w:ascii="Times New Roman" w:eastAsia="Calibri" w:hAnsi="Times New Roman"/>
          <w:sz w:val="10"/>
          <w:szCs w:val="10"/>
          <w:lang w:val="ru-RU"/>
        </w:rPr>
      </w:pPr>
    </w:p>
    <w:p w14:paraId="27DF4075" w14:textId="77777777" w:rsidR="00BE18B6" w:rsidRPr="00BE18B6" w:rsidRDefault="00BE18B6" w:rsidP="00BE18B6">
      <w:pPr>
        <w:spacing w:after="0" w:line="240" w:lineRule="auto"/>
        <w:contextualSpacing/>
        <w:rPr>
          <w:rFonts w:ascii="Times New Roman" w:eastAsia="Calibri" w:hAnsi="Times New Roman"/>
          <w:szCs w:val="24"/>
          <w:lang w:val="ru-RU"/>
        </w:rPr>
      </w:pPr>
      <w:r w:rsidRPr="00BE18B6">
        <w:rPr>
          <w:rFonts w:ascii="Times New Roman" w:eastAsia="Calibri" w:hAnsi="Times New Roman"/>
          <w:szCs w:val="24"/>
          <w:lang w:val="ru-RU"/>
        </w:rPr>
        <w:t>В дългосрочен план, най-силно влияние върху финансовото състояние на държавната пенсионна система в България ще оказват следните фактори:</w:t>
      </w:r>
    </w:p>
    <w:p w14:paraId="3AB89CCD" w14:textId="77777777" w:rsidR="00BE18B6" w:rsidRPr="00BE18B6" w:rsidRDefault="00BE18B6" w:rsidP="000C235A">
      <w:pPr>
        <w:tabs>
          <w:tab w:val="left" w:pos="993"/>
        </w:tabs>
        <w:spacing w:after="0" w:line="240" w:lineRule="auto"/>
        <w:contextualSpacing/>
        <w:rPr>
          <w:rFonts w:ascii="Times New Roman" w:eastAsia="Calibri" w:hAnsi="Times New Roman"/>
          <w:szCs w:val="24"/>
          <w:lang w:val="ru-RU"/>
        </w:rPr>
      </w:pPr>
      <w:r w:rsidRPr="00BE18B6">
        <w:rPr>
          <w:rFonts w:ascii="Times New Roman" w:eastAsia="Calibri" w:hAnsi="Times New Roman"/>
          <w:szCs w:val="24"/>
          <w:lang w:val="ru-RU"/>
        </w:rPr>
        <w:t>•</w:t>
      </w:r>
      <w:r w:rsidRPr="00BE18B6">
        <w:rPr>
          <w:rFonts w:ascii="Times New Roman" w:eastAsia="Calibri" w:hAnsi="Times New Roman"/>
          <w:szCs w:val="24"/>
          <w:lang w:val="ru-RU"/>
        </w:rPr>
        <w:tab/>
        <w:t>демографските промени, представени чрез коефициента на възрастова зависимост;</w:t>
      </w:r>
    </w:p>
    <w:p w14:paraId="57642536" w14:textId="77777777" w:rsidR="00BE18B6" w:rsidRPr="00BE18B6" w:rsidRDefault="00BE18B6" w:rsidP="000C235A">
      <w:pPr>
        <w:tabs>
          <w:tab w:val="left" w:pos="993"/>
        </w:tabs>
        <w:spacing w:after="0" w:line="240" w:lineRule="auto"/>
        <w:contextualSpacing/>
        <w:rPr>
          <w:rFonts w:ascii="Times New Roman" w:eastAsia="Calibri" w:hAnsi="Times New Roman"/>
          <w:szCs w:val="24"/>
          <w:lang w:val="ru-RU"/>
        </w:rPr>
      </w:pPr>
      <w:r w:rsidRPr="00BE18B6">
        <w:rPr>
          <w:rFonts w:ascii="Times New Roman" w:eastAsia="Calibri" w:hAnsi="Times New Roman"/>
          <w:szCs w:val="24"/>
          <w:lang w:val="ru-RU"/>
        </w:rPr>
        <w:t>•</w:t>
      </w:r>
      <w:r w:rsidRPr="00BE18B6">
        <w:rPr>
          <w:rFonts w:ascii="Times New Roman" w:eastAsia="Calibri" w:hAnsi="Times New Roman"/>
          <w:szCs w:val="24"/>
          <w:lang w:val="ru-RU"/>
        </w:rPr>
        <w:tab/>
        <w:t>условията за пенсиониране, представени чрез вътрешносистемния коефициент на зависимост;</w:t>
      </w:r>
    </w:p>
    <w:p w14:paraId="37F4600F" w14:textId="77777777" w:rsidR="00BE18B6" w:rsidRPr="00BE18B6" w:rsidRDefault="00BE18B6" w:rsidP="000C235A">
      <w:pPr>
        <w:tabs>
          <w:tab w:val="left" w:pos="993"/>
        </w:tabs>
        <w:spacing w:after="0" w:line="240" w:lineRule="auto"/>
        <w:contextualSpacing/>
        <w:rPr>
          <w:rFonts w:ascii="Times New Roman" w:eastAsia="Calibri" w:hAnsi="Times New Roman"/>
          <w:szCs w:val="24"/>
          <w:lang w:val="ru-RU"/>
        </w:rPr>
      </w:pPr>
      <w:r w:rsidRPr="00BE18B6">
        <w:rPr>
          <w:rFonts w:ascii="Times New Roman" w:eastAsia="Calibri" w:hAnsi="Times New Roman"/>
          <w:szCs w:val="24"/>
          <w:lang w:val="ru-RU"/>
        </w:rPr>
        <w:t>•</w:t>
      </w:r>
      <w:r w:rsidRPr="00BE18B6">
        <w:rPr>
          <w:rFonts w:ascii="Times New Roman" w:eastAsia="Calibri" w:hAnsi="Times New Roman"/>
          <w:szCs w:val="24"/>
          <w:lang w:val="ru-RU"/>
        </w:rPr>
        <w:tab/>
        <w:t>„щедростта“ на публичната пенсионна схема, представена чрез коефициента на заместване на дохода.</w:t>
      </w:r>
    </w:p>
    <w:p w14:paraId="3515F851" w14:textId="77777777" w:rsidR="00BE18B6" w:rsidRPr="00BE18B6" w:rsidRDefault="00BE18B6" w:rsidP="00BE18B6">
      <w:pPr>
        <w:spacing w:after="0" w:line="240" w:lineRule="auto"/>
        <w:contextualSpacing/>
        <w:rPr>
          <w:rFonts w:ascii="Times New Roman" w:eastAsia="Calibri" w:hAnsi="Times New Roman"/>
          <w:szCs w:val="24"/>
          <w:lang w:val="ru-RU"/>
        </w:rPr>
      </w:pPr>
      <w:r w:rsidRPr="00BE18B6">
        <w:rPr>
          <w:rFonts w:ascii="Times New Roman" w:eastAsia="Calibri" w:hAnsi="Times New Roman"/>
          <w:szCs w:val="24"/>
          <w:lang w:val="ru-RU"/>
        </w:rPr>
        <w:t xml:space="preserve">България е една от най-бързо застаряващите държави в ЕС поради ниските нива на раждаемост и нарастващата продължителност на живота. </w:t>
      </w:r>
    </w:p>
    <w:p w14:paraId="26E3FF3D" w14:textId="77777777" w:rsidR="00BE18B6" w:rsidRPr="00BE18B6" w:rsidRDefault="00BE18B6" w:rsidP="00BE18B6">
      <w:pPr>
        <w:spacing w:after="0" w:line="240" w:lineRule="auto"/>
        <w:contextualSpacing/>
        <w:rPr>
          <w:rFonts w:ascii="Times New Roman" w:eastAsia="Calibri" w:hAnsi="Times New Roman"/>
          <w:szCs w:val="24"/>
          <w:lang w:val="ru-RU"/>
        </w:rPr>
      </w:pPr>
      <w:r w:rsidRPr="00BE18B6">
        <w:rPr>
          <w:rFonts w:ascii="Times New Roman" w:eastAsia="Calibri" w:hAnsi="Times New Roman"/>
          <w:szCs w:val="24"/>
          <w:lang w:val="ru-RU"/>
        </w:rPr>
        <w:t>Според демографската прогноза на Евростат населението на България ще намалее до 5,3 млн. лица през 2070 г. Въпреки</w:t>
      </w:r>
      <w:r w:rsidR="00FC2A75">
        <w:rPr>
          <w:rFonts w:ascii="Times New Roman" w:eastAsia="Calibri" w:hAnsi="Times New Roman"/>
          <w:szCs w:val="24"/>
          <w:lang w:val="ru-RU"/>
        </w:rPr>
        <w:t>,</w:t>
      </w:r>
      <w:r w:rsidRPr="00BE18B6">
        <w:rPr>
          <w:rFonts w:ascii="Times New Roman" w:eastAsia="Calibri" w:hAnsi="Times New Roman"/>
          <w:szCs w:val="24"/>
          <w:lang w:val="ru-RU"/>
        </w:rPr>
        <w:t xml:space="preserve"> че се очаква общият коефициент на плодовитост да нарасне от 1,57 през 2023 г. до 1,69 през 2070 г., той остава под нивото на естествено заместване от 2,1. В същото време средната продължителност на живота, която през </w:t>
      </w:r>
      <w:r w:rsidRPr="00BE18B6">
        <w:rPr>
          <w:rFonts w:ascii="Times New Roman" w:eastAsia="Calibri" w:hAnsi="Times New Roman"/>
          <w:szCs w:val="24"/>
          <w:lang w:val="ru-RU"/>
        </w:rPr>
        <w:lastRenderedPageBreak/>
        <w:t>2023</w:t>
      </w:r>
      <w:r w:rsidR="000C235A">
        <w:rPr>
          <w:rFonts w:ascii="Times New Roman" w:eastAsia="Calibri" w:hAnsi="Times New Roman"/>
          <w:szCs w:val="24"/>
          <w:lang w:val="ru-RU"/>
        </w:rPr>
        <w:t> </w:t>
      </w:r>
      <w:r w:rsidRPr="00BE18B6">
        <w:rPr>
          <w:rFonts w:ascii="Times New Roman" w:eastAsia="Calibri" w:hAnsi="Times New Roman"/>
          <w:szCs w:val="24"/>
          <w:lang w:val="ru-RU"/>
        </w:rPr>
        <w:t xml:space="preserve">г. е била 71,1 години за мъжете и 78,2 години за жените, се очаква да се увеличи до 82,8 години за мъжете и 87,7 години за жените през 2070 г. </w:t>
      </w:r>
    </w:p>
    <w:p w14:paraId="13C38966" w14:textId="77777777" w:rsidR="00BE18B6" w:rsidRPr="00BE18B6" w:rsidRDefault="00BE18B6" w:rsidP="00BE18B6">
      <w:pPr>
        <w:spacing w:after="0" w:line="240" w:lineRule="auto"/>
        <w:contextualSpacing/>
        <w:rPr>
          <w:rFonts w:ascii="Times New Roman" w:eastAsia="Calibri" w:hAnsi="Times New Roman"/>
          <w:szCs w:val="24"/>
          <w:lang w:val="ru-RU"/>
        </w:rPr>
      </w:pPr>
      <w:r w:rsidRPr="00BE18B6">
        <w:rPr>
          <w:rFonts w:ascii="Times New Roman" w:eastAsia="Calibri" w:hAnsi="Times New Roman"/>
          <w:szCs w:val="24"/>
          <w:lang w:val="ru-RU"/>
        </w:rPr>
        <w:t xml:space="preserve">Очаква се възрастовата структура на българското население да се промени значително през следващите десетилетия поради динамиката на раждаемостта, продължителността на живота и миграционните потоци. Прогнозите сочат, че населението в трудоспособна възраст </w:t>
      </w:r>
      <w:r w:rsidRPr="00AA4BFA">
        <w:rPr>
          <w:rFonts w:ascii="Times New Roman" w:eastAsia="Calibri" w:hAnsi="Times New Roman"/>
          <w:szCs w:val="24"/>
          <w:lang w:val="ru-RU"/>
        </w:rPr>
        <w:t>(15</w:t>
      </w:r>
      <w:r w:rsidRPr="00BE18B6">
        <w:rPr>
          <w:rFonts w:ascii="Times New Roman" w:eastAsia="Calibri" w:hAnsi="Times New Roman"/>
          <w:szCs w:val="24"/>
          <w:lang w:val="ru-RU"/>
        </w:rPr>
        <w:t xml:space="preserve">-64 години) ще намалее спрямо общото население и докато през 2023 г. хората в трудоспособна възраст представляват 63,6% от българското население, през 2070 г. техният дял ще спадне до 56%. От друга страна, делът в общото население на възрастовите групи над 65 години се очаква да нарасне от около 21% </w:t>
      </w:r>
      <w:r w:rsidRPr="00CC3F73">
        <w:rPr>
          <w:rFonts w:ascii="Times New Roman" w:eastAsia="Calibri" w:hAnsi="Times New Roman"/>
          <w:szCs w:val="24"/>
          <w:lang w:val="ru-RU"/>
        </w:rPr>
        <w:t>през 202</w:t>
      </w:r>
      <w:r w:rsidR="00CC3F73" w:rsidRPr="008A3830">
        <w:rPr>
          <w:rFonts w:ascii="Times New Roman" w:eastAsia="Calibri" w:hAnsi="Times New Roman"/>
          <w:szCs w:val="24"/>
          <w:lang w:val="ru-RU"/>
        </w:rPr>
        <w:t>5</w:t>
      </w:r>
      <w:r w:rsidRPr="00CC3F73">
        <w:rPr>
          <w:rFonts w:ascii="Times New Roman" w:eastAsia="Calibri" w:hAnsi="Times New Roman"/>
          <w:szCs w:val="24"/>
          <w:lang w:val="ru-RU"/>
        </w:rPr>
        <w:t xml:space="preserve"> г.</w:t>
      </w:r>
      <w:r w:rsidRPr="00BE18B6">
        <w:rPr>
          <w:rFonts w:ascii="Times New Roman" w:eastAsia="Calibri" w:hAnsi="Times New Roman"/>
          <w:szCs w:val="24"/>
          <w:lang w:val="ru-RU"/>
        </w:rPr>
        <w:t xml:space="preserve"> до 31% през 2070 г. В резултат на това коефициентът на възрастова зависимост нараства от 34</w:t>
      </w:r>
      <w:r w:rsidRPr="00CC3F73">
        <w:rPr>
          <w:rFonts w:ascii="Times New Roman" w:eastAsia="Calibri" w:hAnsi="Times New Roman"/>
          <w:szCs w:val="24"/>
          <w:lang w:val="ru-RU"/>
        </w:rPr>
        <w:t>% през 202</w:t>
      </w:r>
      <w:r w:rsidR="00CC3F73" w:rsidRPr="008A3830">
        <w:rPr>
          <w:rFonts w:ascii="Times New Roman" w:eastAsia="Calibri" w:hAnsi="Times New Roman"/>
          <w:szCs w:val="24"/>
          <w:lang w:val="ru-RU"/>
        </w:rPr>
        <w:t>5</w:t>
      </w:r>
      <w:r w:rsidRPr="00CC3F73">
        <w:rPr>
          <w:rFonts w:ascii="Times New Roman" w:eastAsia="Calibri" w:hAnsi="Times New Roman"/>
          <w:szCs w:val="24"/>
          <w:lang w:val="ru-RU"/>
        </w:rPr>
        <w:t xml:space="preserve"> г. до</w:t>
      </w:r>
      <w:r w:rsidRPr="00BE18B6">
        <w:rPr>
          <w:rFonts w:ascii="Times New Roman" w:eastAsia="Calibri" w:hAnsi="Times New Roman"/>
          <w:szCs w:val="24"/>
          <w:lang w:val="ru-RU"/>
        </w:rPr>
        <w:t xml:space="preserve"> най-високата си стойност от 60% през 2058 г. </w:t>
      </w:r>
    </w:p>
    <w:p w14:paraId="4F7AD769" w14:textId="77777777" w:rsidR="00BE18B6" w:rsidRPr="00BE18B6" w:rsidRDefault="00BE18B6" w:rsidP="00BE18B6">
      <w:pPr>
        <w:spacing w:after="0" w:line="240" w:lineRule="auto"/>
        <w:contextualSpacing/>
        <w:rPr>
          <w:rFonts w:ascii="Times New Roman" w:eastAsia="Calibri" w:hAnsi="Times New Roman"/>
          <w:szCs w:val="24"/>
          <w:lang w:val="ru-RU"/>
        </w:rPr>
      </w:pPr>
      <w:r w:rsidRPr="00BE18B6">
        <w:rPr>
          <w:rFonts w:ascii="Times New Roman" w:eastAsia="Calibri" w:hAnsi="Times New Roman"/>
          <w:szCs w:val="24"/>
          <w:lang w:val="ru-RU"/>
        </w:rPr>
        <w:t>В дългосрочен план съотношението между броя на пенсионерите и броя на осигурените лица ще нараства.</w:t>
      </w:r>
    </w:p>
    <w:p w14:paraId="36A6AA51" w14:textId="77777777" w:rsidR="00BE18B6" w:rsidRPr="00BE18B6" w:rsidRDefault="00BE18B6" w:rsidP="00BE18B6">
      <w:pPr>
        <w:spacing w:after="0" w:line="240" w:lineRule="auto"/>
        <w:contextualSpacing/>
        <w:rPr>
          <w:rFonts w:ascii="Times New Roman" w:eastAsia="Calibri" w:hAnsi="Times New Roman"/>
          <w:szCs w:val="24"/>
          <w:lang w:val="ru-RU"/>
        </w:rPr>
      </w:pPr>
      <w:r w:rsidRPr="00BE18B6">
        <w:rPr>
          <w:rFonts w:ascii="Times New Roman" w:eastAsia="Calibri" w:hAnsi="Times New Roman"/>
          <w:szCs w:val="24"/>
          <w:lang w:val="ru-RU"/>
        </w:rPr>
        <w:t xml:space="preserve">Съотношението между броя на пенсионерите с пенсии за трудова дейност и броя на осигурените лица, наричано още системен коефициент на зависимост, е ключов индикатор за финансовото състояние на системите от разходопокривен тип. Застаряването на населението и нарастването на средната продължителност на живота от една страна и намаляването на населението в трудоспособна възраст от друга, ще оказват съществено влияние върху държавната осигурителна система. </w:t>
      </w:r>
    </w:p>
    <w:p w14:paraId="32E0B0BB" w14:textId="77777777" w:rsidR="00BE18B6" w:rsidRPr="00BE18B6" w:rsidRDefault="00BE18B6" w:rsidP="00BE18B6">
      <w:pPr>
        <w:spacing w:after="0" w:line="240" w:lineRule="auto"/>
        <w:contextualSpacing/>
        <w:rPr>
          <w:rFonts w:ascii="Times New Roman" w:eastAsia="Calibri" w:hAnsi="Times New Roman"/>
          <w:szCs w:val="24"/>
          <w:lang w:val="ru-RU"/>
        </w:rPr>
      </w:pPr>
      <w:r w:rsidRPr="00BE18B6">
        <w:rPr>
          <w:rFonts w:ascii="Times New Roman" w:eastAsia="Calibri" w:hAnsi="Times New Roman"/>
          <w:szCs w:val="24"/>
          <w:lang w:val="ru-RU"/>
        </w:rPr>
        <w:t>В дългосрочен план броят на осигурените лица следва тенденцията в броя на заетите, като до 2028 г. се очаква увеличение, а след това до 2070 г. тенденцията е намаляваща, което е резултат от прогнозираното от Евростат намаление на населението в трудоспособна възраст, водещо от своя страна до свиване на работната сила и намаление в броя на заетите лица.</w:t>
      </w:r>
    </w:p>
    <w:p w14:paraId="70E8BE76" w14:textId="77777777" w:rsidR="00BE18B6" w:rsidRPr="00BE18B6" w:rsidRDefault="00BE18B6" w:rsidP="00BE18B6">
      <w:pPr>
        <w:spacing w:after="0" w:line="240" w:lineRule="auto"/>
        <w:contextualSpacing/>
        <w:rPr>
          <w:rFonts w:ascii="Times New Roman" w:eastAsia="Calibri" w:hAnsi="Times New Roman"/>
          <w:szCs w:val="24"/>
          <w:lang w:val="ru-RU"/>
        </w:rPr>
      </w:pPr>
      <w:r w:rsidRPr="00BE18B6">
        <w:rPr>
          <w:rFonts w:ascii="Times New Roman" w:eastAsia="Calibri" w:hAnsi="Times New Roman"/>
          <w:szCs w:val="24"/>
          <w:lang w:val="ru-RU"/>
        </w:rPr>
        <w:t xml:space="preserve">Средният месечен брой на пенсионерите с пенсии за трудова дейност, изплащани от ДОО през 2024 г. е бил 1 982,6 хил. лица. В средносрочен план се очаква общият брой на пенсионерите да се увеличи. Тази тенденция се наблюдава от началото на 2023 г. и е свързана с някои законодателни промени, настъпили през 2023 г., които водят до увеличение в броя на правоимащите лица и до по-голям брой на новоотпуснатите пенсии. </w:t>
      </w:r>
    </w:p>
    <w:p w14:paraId="2BDFAE7A" w14:textId="77777777" w:rsidR="00BE18B6" w:rsidRPr="00BE18B6" w:rsidRDefault="00BE18B6" w:rsidP="00BE18B6">
      <w:pPr>
        <w:spacing w:after="0" w:line="240" w:lineRule="auto"/>
        <w:contextualSpacing/>
        <w:rPr>
          <w:rFonts w:ascii="Times New Roman" w:eastAsia="Calibri" w:hAnsi="Times New Roman"/>
          <w:szCs w:val="24"/>
          <w:lang w:val="ru-RU"/>
        </w:rPr>
      </w:pPr>
      <w:r w:rsidRPr="00BE18B6">
        <w:rPr>
          <w:rFonts w:ascii="Times New Roman" w:eastAsia="Calibri" w:hAnsi="Times New Roman"/>
          <w:szCs w:val="24"/>
          <w:lang w:val="ru-RU"/>
        </w:rPr>
        <w:t xml:space="preserve">В броя на пенсионерите с лични пенсии за осигурителен стаж и възраст се очаква намаление в периода до 2040 г. Това е резултат от постепенното увеличение на пенсионната възраст и на изискуемия осигурителен стаж за придобиване право на пенсия за осигурителен стаж и възраст и ще се дължи основно на по-ниския брой на новоотпуснатите пенсии по чл. 68, ал. 1-2 от КСО (трета категория труд, пълен осигурителен стаж). От началото на 2023 г. се наблюдава увеличаване в броя на пенсионерите с пенсии, отпуснати при непълен осигурителен стаж по чл. 68, ал. 3 от КСО. То ще продължи и в дългосрочен план, но ще бъде компенсирано от по-ниския брой на пенсионерите с пенсии, отпуснати по чл. 68, ал. 1-2 от КСО. </w:t>
      </w:r>
    </w:p>
    <w:p w14:paraId="3F3550AB" w14:textId="77777777" w:rsidR="00BE18B6" w:rsidRPr="00BE18B6" w:rsidRDefault="00BE18B6" w:rsidP="00BE18B6">
      <w:pPr>
        <w:spacing w:after="0" w:line="240" w:lineRule="auto"/>
        <w:contextualSpacing/>
        <w:rPr>
          <w:rFonts w:ascii="Times New Roman" w:eastAsia="Calibri" w:hAnsi="Times New Roman"/>
          <w:szCs w:val="24"/>
          <w:lang w:val="ru-RU"/>
        </w:rPr>
      </w:pPr>
      <w:r w:rsidRPr="00BE18B6">
        <w:rPr>
          <w:rFonts w:ascii="Times New Roman" w:eastAsia="Calibri" w:hAnsi="Times New Roman"/>
          <w:szCs w:val="24"/>
          <w:lang w:val="ru-RU"/>
        </w:rPr>
        <w:t xml:space="preserve">От 1 491,0 хил. през 2024 г. броят на пенсионерите с лични пенсии за осигурителен стаж и възраст намалява с 324 хил. до около 1 167,0 хил. в 2040 г. След 2040 г. броят започва постепенно да нараства и в 2060 г. достига 1 240,0 хил. В последната декада от прогнозния период броят на пенсионерите отново започва да намалява, което е резултат от прогнозираното от Евростат подобрение в коефициента на възрастова зависимост (брой лица на възраст на 65 и повече години на 100 лица на възраст </w:t>
      </w:r>
      <w:r w:rsidRPr="00AA4BFA">
        <w:rPr>
          <w:rFonts w:ascii="Times New Roman" w:eastAsia="Calibri" w:hAnsi="Times New Roman"/>
          <w:szCs w:val="24"/>
          <w:lang w:val="ru-RU"/>
        </w:rPr>
        <w:t>15-</w:t>
      </w:r>
      <w:r w:rsidRPr="00BE18B6">
        <w:rPr>
          <w:rFonts w:ascii="Times New Roman" w:eastAsia="Calibri" w:hAnsi="Times New Roman"/>
          <w:szCs w:val="24"/>
          <w:lang w:val="ru-RU"/>
        </w:rPr>
        <w:t xml:space="preserve">64 г.), като в края на прогнозния период броят на пенсионерите с лични пенсии за осигурителен стаж и възраст е 1 182,0 хил. или с около 309,0 хил. по-малък в сравнение с базовата 2024 г. </w:t>
      </w:r>
    </w:p>
    <w:p w14:paraId="7B647B7F" w14:textId="77777777" w:rsidR="00BE18B6" w:rsidRPr="00BE18B6" w:rsidRDefault="00BE18B6" w:rsidP="00BE18B6">
      <w:pPr>
        <w:spacing w:after="0" w:line="240" w:lineRule="auto"/>
        <w:contextualSpacing/>
        <w:rPr>
          <w:rFonts w:ascii="Times New Roman" w:eastAsia="Calibri" w:hAnsi="Times New Roman"/>
          <w:szCs w:val="24"/>
          <w:lang w:val="ru-RU"/>
        </w:rPr>
      </w:pPr>
      <w:r w:rsidRPr="00BE18B6">
        <w:rPr>
          <w:rFonts w:ascii="Times New Roman" w:eastAsia="Calibri" w:hAnsi="Times New Roman"/>
          <w:szCs w:val="24"/>
          <w:lang w:val="ru-RU"/>
        </w:rPr>
        <w:t xml:space="preserve">Намалението в броя на пенсионерите с пенсии за осигурителен стаж и възраст е съпроводено с увеличение в броя на пенсионерите с инвалидни пенсии. Докато през последните години тенденцията в броя на инвалидните пенсии беше намаляваща, от началото на 2023 г. настъпи обрат и броят им започна да нараства. Причината е в извършената през 2023 г. промяна  в Наредбата за медицинската експертиза. Съгласно промяната в Наредбата, общият процент трайно намалена работоспособност/вид и степен </w:t>
      </w:r>
      <w:r w:rsidRPr="00BE18B6">
        <w:rPr>
          <w:rFonts w:ascii="Times New Roman" w:eastAsia="Calibri" w:hAnsi="Times New Roman"/>
          <w:szCs w:val="24"/>
          <w:lang w:val="ru-RU"/>
        </w:rPr>
        <w:lastRenderedPageBreak/>
        <w:t>на увреждане се определя, като към най-високия процент на най-тежкото увреждане се прибавят 20% от сбора на процентите на всички съпътстващи увреждания. Това обстоятелство допринася за увеличаването на броя на новоотпуснатите пенсии за инвалидност.</w:t>
      </w:r>
    </w:p>
    <w:p w14:paraId="58E2ACFF" w14:textId="77777777" w:rsidR="00BE18B6" w:rsidRPr="00BE18B6" w:rsidRDefault="00BE18B6" w:rsidP="00BE18B6">
      <w:pPr>
        <w:spacing w:after="0" w:line="240" w:lineRule="auto"/>
        <w:contextualSpacing/>
        <w:rPr>
          <w:rFonts w:ascii="Times New Roman" w:eastAsia="Calibri" w:hAnsi="Times New Roman"/>
          <w:szCs w:val="24"/>
          <w:lang w:val="ru-RU"/>
        </w:rPr>
      </w:pPr>
      <w:r w:rsidRPr="00BE18B6">
        <w:rPr>
          <w:rFonts w:ascii="Times New Roman" w:eastAsia="Calibri" w:hAnsi="Times New Roman"/>
          <w:szCs w:val="24"/>
          <w:lang w:val="ru-RU"/>
        </w:rPr>
        <w:t>В дългосрочен план, в резултат на негативните демографски тенденции се очаква и броят на осигурените лица, и броят на пенсионерите да намалява. С оглед на факта, че през 2037 г. ще приключи законодателно определеното нарастване на пенсионната възраст, както и поради нарастването на средната продължителност на живота, броят на пенсионерите ще намалява по-бавно от този на осигурените лица. В съответствие със заложените в прогнозата демографски допускания, в дългосрочен план общият брой на пенсионерите с пенсии за трудова дейност ще намалее до около 1 650,0 хил. лица в 2070</w:t>
      </w:r>
      <w:r w:rsidR="00FC2A75">
        <w:rPr>
          <w:rFonts w:ascii="Times New Roman" w:eastAsia="Calibri" w:hAnsi="Times New Roman"/>
          <w:szCs w:val="24"/>
          <w:lang w:val="ru-RU"/>
        </w:rPr>
        <w:t> </w:t>
      </w:r>
      <w:r w:rsidRPr="00BE18B6">
        <w:rPr>
          <w:rFonts w:ascii="Times New Roman" w:eastAsia="Calibri" w:hAnsi="Times New Roman"/>
          <w:szCs w:val="24"/>
          <w:lang w:val="ru-RU"/>
        </w:rPr>
        <w:t xml:space="preserve">г. и ще бъде с около 330 хиляди лица по-малък в сравнение </w:t>
      </w:r>
      <w:r w:rsidRPr="00CC3F73">
        <w:rPr>
          <w:rFonts w:ascii="Times New Roman" w:eastAsia="Calibri" w:hAnsi="Times New Roman"/>
          <w:szCs w:val="24"/>
          <w:lang w:val="ru-RU"/>
        </w:rPr>
        <w:t>с базовата 2024 г. Съотношението</w:t>
      </w:r>
      <w:r w:rsidRPr="00BE18B6">
        <w:rPr>
          <w:rFonts w:ascii="Times New Roman" w:eastAsia="Calibri" w:hAnsi="Times New Roman"/>
          <w:szCs w:val="24"/>
          <w:lang w:val="ru-RU"/>
        </w:rPr>
        <w:t xml:space="preserve"> между броя на пенсионерите и броя на осигурените лица обаче, ще се увеличи от 68% </w:t>
      </w:r>
      <w:r w:rsidRPr="00CC3F73">
        <w:rPr>
          <w:rFonts w:ascii="Times New Roman" w:eastAsia="Calibri" w:hAnsi="Times New Roman"/>
          <w:szCs w:val="24"/>
          <w:lang w:val="ru-RU"/>
        </w:rPr>
        <w:t>през 202</w:t>
      </w:r>
      <w:r w:rsidR="00CC3F73" w:rsidRPr="008A3830">
        <w:rPr>
          <w:rFonts w:ascii="Times New Roman" w:eastAsia="Calibri" w:hAnsi="Times New Roman"/>
          <w:szCs w:val="24"/>
          <w:lang w:val="ru-RU"/>
        </w:rPr>
        <w:t>5</w:t>
      </w:r>
      <w:r w:rsidRPr="00CC3F73">
        <w:rPr>
          <w:rFonts w:ascii="Times New Roman" w:eastAsia="Calibri" w:hAnsi="Times New Roman"/>
          <w:szCs w:val="24"/>
          <w:lang w:val="ru-RU"/>
        </w:rPr>
        <w:t xml:space="preserve"> г. до</w:t>
      </w:r>
      <w:r w:rsidRPr="00BE18B6">
        <w:rPr>
          <w:rFonts w:ascii="Times New Roman" w:eastAsia="Calibri" w:hAnsi="Times New Roman"/>
          <w:szCs w:val="24"/>
          <w:lang w:val="ru-RU"/>
        </w:rPr>
        <w:t xml:space="preserve"> 78% през 2070 г.</w:t>
      </w:r>
    </w:p>
    <w:p w14:paraId="0B13A834" w14:textId="77777777" w:rsidR="00BE18B6" w:rsidRPr="00BE18B6" w:rsidRDefault="00BE18B6" w:rsidP="00BE18B6">
      <w:pPr>
        <w:spacing w:after="0" w:line="240" w:lineRule="auto"/>
        <w:contextualSpacing/>
        <w:rPr>
          <w:rFonts w:ascii="Times New Roman" w:eastAsia="Calibri" w:hAnsi="Times New Roman"/>
          <w:szCs w:val="24"/>
          <w:lang w:val="ru-RU"/>
        </w:rPr>
      </w:pPr>
      <w:r w:rsidRPr="00BE18B6">
        <w:rPr>
          <w:rFonts w:ascii="Times New Roman" w:eastAsia="Calibri" w:hAnsi="Times New Roman"/>
          <w:szCs w:val="24"/>
          <w:lang w:val="ru-RU"/>
        </w:rPr>
        <w:t>През 2024 г. на 100 осигурени лица са съответствали 68 пенсионери с пенсии за трудова дейност. През следващите няколко години не се очаква подобрение в коефициента на зависимост, основно поради нарастващия брой на инвалидните пенсии. Въпреки прогнозирания по-малък брой новоотпуснати пенсии за осигурителен стаж и възраст вследствие на увеличаването на пенсионната възраст и на изискуемия осигурителен стаж, ограничаването на ранното пенсиониране, както и поради наличието на стимули за по-дълго оставане на пазара на труда на възрастните работници, коефициентът на зависимост ще се задържи на нива от около 68-70% до 2040 г. След 2040</w:t>
      </w:r>
      <w:r w:rsidR="005F1F02">
        <w:rPr>
          <w:rFonts w:ascii="Times New Roman" w:eastAsia="Calibri" w:hAnsi="Times New Roman"/>
          <w:szCs w:val="24"/>
          <w:lang w:val="ru-RU"/>
        </w:rPr>
        <w:t> </w:t>
      </w:r>
      <w:r w:rsidRPr="00BE18B6">
        <w:rPr>
          <w:rFonts w:ascii="Times New Roman" w:eastAsia="Calibri" w:hAnsi="Times New Roman"/>
          <w:szCs w:val="24"/>
          <w:lang w:val="ru-RU"/>
        </w:rPr>
        <w:t xml:space="preserve">г., под въздействието на фактори като застаряване на населението, увеличаваща се средна продължителност на живота и намаляващ брой на заетите лица, стойностите на този показател нарастват значително, като според прогнозните резултати през 2060 г. на 100 осигурени лица ще съответстват 82 пенсионери с пенсии за трудова дейност. Между 2060 г. и 2070 г. се наблюдава известно подобрение в коефициента на зависимост в резултат на прогнозирания от Евростат по-висок тотален коефициент на плодовитост, което ще доведе до увеличение на дела на населението в трудоспособна възраст към края на периода, когато на 100 осигурени лица се очаква да съответстват 78 пенсионери. </w:t>
      </w:r>
    </w:p>
    <w:p w14:paraId="0C288625" w14:textId="77777777" w:rsidR="00BE18B6" w:rsidRPr="00BE18B6" w:rsidRDefault="00BE18B6" w:rsidP="00BE18B6">
      <w:pPr>
        <w:spacing w:after="0" w:line="240" w:lineRule="auto"/>
        <w:contextualSpacing/>
        <w:rPr>
          <w:rFonts w:ascii="Times New Roman" w:eastAsia="Calibri" w:hAnsi="Times New Roman"/>
          <w:szCs w:val="24"/>
          <w:lang w:val="ru-RU"/>
        </w:rPr>
      </w:pPr>
      <w:r w:rsidRPr="00BE18B6">
        <w:rPr>
          <w:rFonts w:ascii="Times New Roman" w:eastAsia="Calibri" w:hAnsi="Times New Roman"/>
          <w:szCs w:val="24"/>
          <w:lang w:val="ru-RU"/>
        </w:rPr>
        <w:t xml:space="preserve">Провежданите в последните години пенсионни политики съдействаха за повишаване на адекватността на пенсиите.  </w:t>
      </w:r>
    </w:p>
    <w:p w14:paraId="09AEF636" w14:textId="77777777" w:rsidR="00BE18B6" w:rsidRPr="00BE18B6" w:rsidRDefault="00BE18B6" w:rsidP="00BE18B6">
      <w:pPr>
        <w:spacing w:after="0" w:line="240" w:lineRule="auto"/>
        <w:contextualSpacing/>
        <w:rPr>
          <w:rFonts w:ascii="Times New Roman" w:eastAsia="Calibri" w:hAnsi="Times New Roman"/>
          <w:szCs w:val="24"/>
          <w:lang w:val="ru-RU"/>
        </w:rPr>
      </w:pPr>
      <w:r w:rsidRPr="00BE18B6">
        <w:rPr>
          <w:rFonts w:ascii="Times New Roman" w:eastAsia="Calibri" w:hAnsi="Times New Roman"/>
          <w:szCs w:val="24"/>
          <w:lang w:val="ru-RU"/>
        </w:rPr>
        <w:t xml:space="preserve">През 2024 г. и 2025 г. размерите на пенсиите бяха увеличени от 1 юли съответно с 11,0% и с 8,6%. Увеличението от 1 юли 2024 г. на „вдовишките“ добавки към пенсиите от 26,5% на 30,0% от пенсията на починалия съпруг допълнително увеличи средните размери за 2024 г. От 2025 г. до края на прогнозния период е приложено ежегодно осъвременяване на пенсиите по чл. 100 от КСО с процент, равен на сбора от 50% от нарастването на осигурителния доход и 50% от индекса на потребителските цени през предходната календарна година. Предвидено е осъвременяване със същия процент на минималните размери на пенсиите за трудова дейност, както и на социалната пенсия за старост, респективно и на размерите на пенсиите, несвързани с трудова дейност. </w:t>
      </w:r>
    </w:p>
    <w:p w14:paraId="18283502" w14:textId="77777777" w:rsidR="00BE18B6" w:rsidRPr="00BE18B6" w:rsidRDefault="00BE18B6" w:rsidP="00BE18B6">
      <w:pPr>
        <w:spacing w:after="0" w:line="240" w:lineRule="auto"/>
        <w:contextualSpacing/>
        <w:rPr>
          <w:rFonts w:ascii="Times New Roman" w:eastAsia="Calibri" w:hAnsi="Times New Roman"/>
          <w:szCs w:val="24"/>
          <w:lang w:val="ru-RU"/>
        </w:rPr>
      </w:pPr>
      <w:r w:rsidRPr="00BE18B6">
        <w:rPr>
          <w:rFonts w:ascii="Times New Roman" w:eastAsia="Calibri" w:hAnsi="Times New Roman"/>
          <w:szCs w:val="24"/>
          <w:lang w:val="ru-RU"/>
        </w:rPr>
        <w:t xml:space="preserve">Коефициентът на заместване на дохода представлява съотношението на средната пенсия за трудова дейност към средния осигурителен доход на осигурените лица за съответната календарна година. Данните в прогнозата се отнасят единствено за коефициента на заместване на дохода от първия стълб на пенсионната система. </w:t>
      </w:r>
    </w:p>
    <w:p w14:paraId="59865AD4" w14:textId="77777777" w:rsidR="00BE18B6" w:rsidRPr="00BE18B6" w:rsidRDefault="00BE18B6" w:rsidP="00BE18B6">
      <w:pPr>
        <w:spacing w:after="0" w:line="240" w:lineRule="auto"/>
        <w:contextualSpacing/>
        <w:rPr>
          <w:rFonts w:ascii="Times New Roman" w:eastAsia="Calibri" w:hAnsi="Times New Roman"/>
          <w:szCs w:val="24"/>
          <w:lang w:val="ru-RU"/>
        </w:rPr>
      </w:pPr>
      <w:r w:rsidRPr="00BE18B6">
        <w:rPr>
          <w:rFonts w:ascii="Times New Roman" w:eastAsia="Calibri" w:hAnsi="Times New Roman"/>
          <w:szCs w:val="24"/>
          <w:lang w:val="ru-RU"/>
        </w:rPr>
        <w:t xml:space="preserve">За 2024 г. средната пенсия за трудова дейност е била 53,6% от средния брутен осигурителен доход. Нетният коефициент на заместване на дохода, изчислен като съотношение на средномесечния размер на пенсията на един пенсионер и средния нетен осигурителен доход (след приспадане на задължителните осигурителни вноски за сметка на лицето и данъка върху доходите) достигна 69,0%. </w:t>
      </w:r>
    </w:p>
    <w:p w14:paraId="12574D56" w14:textId="77777777" w:rsidR="00D33469" w:rsidRDefault="00BE18B6" w:rsidP="00BE18B6">
      <w:pPr>
        <w:spacing w:after="0" w:line="240" w:lineRule="auto"/>
        <w:contextualSpacing/>
        <w:rPr>
          <w:rFonts w:ascii="Times New Roman" w:eastAsia="Calibri" w:hAnsi="Times New Roman"/>
          <w:szCs w:val="24"/>
          <w:lang w:val="ru-RU"/>
        </w:rPr>
      </w:pPr>
      <w:r w:rsidRPr="00BE18B6">
        <w:rPr>
          <w:rFonts w:ascii="Times New Roman" w:eastAsia="Calibri" w:hAnsi="Times New Roman"/>
          <w:szCs w:val="24"/>
          <w:lang w:val="ru-RU"/>
        </w:rPr>
        <w:lastRenderedPageBreak/>
        <w:t>В дългосрочен план средната стойност на коефициента на заместване на дохода ще намалее до около 42%. Върху този процес най-съществено влияние ще оказват следните фактори:</w:t>
      </w:r>
    </w:p>
    <w:p w14:paraId="3A3E994F" w14:textId="77777777" w:rsidR="00D33469" w:rsidRDefault="00BE18B6" w:rsidP="00BE18B6">
      <w:pPr>
        <w:spacing w:after="0" w:line="240" w:lineRule="auto"/>
        <w:contextualSpacing/>
        <w:rPr>
          <w:rFonts w:ascii="Times New Roman" w:eastAsia="Calibri" w:hAnsi="Times New Roman"/>
          <w:szCs w:val="24"/>
          <w:lang w:val="ru-RU"/>
        </w:rPr>
      </w:pPr>
      <w:r w:rsidRPr="00BE18B6">
        <w:rPr>
          <w:rFonts w:ascii="Times New Roman" w:eastAsia="Calibri" w:hAnsi="Times New Roman"/>
          <w:szCs w:val="24"/>
          <w:lang w:val="ru-RU"/>
        </w:rPr>
        <w:t>(1) включването на осигурителния доход за цялата трудова кариера при изчисляване размера на пенсията за лицата, които са започнали тру</w:t>
      </w:r>
      <w:r w:rsidR="00D33469">
        <w:rPr>
          <w:rFonts w:ascii="Times New Roman" w:eastAsia="Calibri" w:hAnsi="Times New Roman"/>
          <w:szCs w:val="24"/>
          <w:lang w:val="ru-RU"/>
        </w:rPr>
        <w:t>довата си дейност след 1999 г.;</w:t>
      </w:r>
    </w:p>
    <w:p w14:paraId="0E8C46F7" w14:textId="77777777" w:rsidR="00D33469" w:rsidRDefault="00BE18B6" w:rsidP="00BE18B6">
      <w:pPr>
        <w:spacing w:after="0" w:line="240" w:lineRule="auto"/>
        <w:contextualSpacing/>
        <w:rPr>
          <w:rFonts w:ascii="Times New Roman" w:eastAsia="Calibri" w:hAnsi="Times New Roman"/>
          <w:szCs w:val="24"/>
          <w:lang w:val="ru-RU"/>
        </w:rPr>
      </w:pPr>
      <w:r w:rsidRPr="00BE18B6">
        <w:rPr>
          <w:rFonts w:ascii="Times New Roman" w:eastAsia="Calibri" w:hAnsi="Times New Roman"/>
          <w:szCs w:val="24"/>
          <w:lang w:val="ru-RU"/>
        </w:rPr>
        <w:t>(2) правилото за осъвременяване на пенсиите с процент, равен на сбора от 50% от нарастването на осигурителния доход и 50% от хармонизирания индекс на потребителските цени през предходната календарна година, в резултат на което нарастването в размерите на пенсиите е по-малко в сравнение с темпа на нарастване на средния осигурителен доход;</w:t>
      </w:r>
    </w:p>
    <w:p w14:paraId="368B2E59" w14:textId="77777777" w:rsidR="00BE18B6" w:rsidRPr="00BE18B6" w:rsidRDefault="00BE18B6" w:rsidP="00BE18B6">
      <w:pPr>
        <w:spacing w:after="0" w:line="240" w:lineRule="auto"/>
        <w:contextualSpacing/>
        <w:rPr>
          <w:rFonts w:ascii="Times New Roman" w:eastAsia="Calibri" w:hAnsi="Times New Roman"/>
          <w:szCs w:val="24"/>
          <w:lang w:val="ru-RU"/>
        </w:rPr>
      </w:pPr>
      <w:r w:rsidRPr="00BE18B6">
        <w:rPr>
          <w:rFonts w:ascii="Times New Roman" w:eastAsia="Calibri" w:hAnsi="Times New Roman"/>
          <w:szCs w:val="24"/>
          <w:lang w:val="ru-RU"/>
        </w:rPr>
        <w:t>(3) корекцията (намалението), съгласно действащата разпоредба на чл. 70 от КСО, на стойността на индивидуалния коефициент за лицата, които към момента на пенсионирането си са били осигурени и в УнПФ и в ДОО.</w:t>
      </w:r>
    </w:p>
    <w:p w14:paraId="147DE427" w14:textId="77777777" w:rsidR="00BE18B6" w:rsidRPr="00BE18B6" w:rsidRDefault="00BE18B6" w:rsidP="00BE18B6">
      <w:pPr>
        <w:spacing w:after="0" w:line="240" w:lineRule="auto"/>
        <w:contextualSpacing/>
        <w:rPr>
          <w:rFonts w:ascii="Times New Roman" w:eastAsia="Calibri" w:hAnsi="Times New Roman"/>
          <w:szCs w:val="24"/>
          <w:lang w:val="ru-RU"/>
        </w:rPr>
      </w:pPr>
      <w:r w:rsidRPr="00BE18B6">
        <w:rPr>
          <w:rFonts w:ascii="Times New Roman" w:eastAsia="Calibri" w:hAnsi="Times New Roman"/>
          <w:szCs w:val="24"/>
          <w:lang w:val="ru-RU"/>
        </w:rPr>
        <w:t>Влияние върху коефициента на заместване на дохода от първия стълб ще окаже и предвидената в законодателството възможност за преминаване от осигуряване в първи и втори стълб към осигуряване само в първи стълб. За пенсионерите, които са се осигурявали и в двата стълба на пенсионната система, коефициентът на заместване от ДОО ще бъде по-нисък. Техните пенсии ще бъдат изчислявани с корекция, отчитаща факта, че в рамките на осигурителната си кариера за тях в ДОО е постъпвал по-малък размер на осигурителната вноска. Тези лица обаче ще получават и допълнителна пенсия от УнПФ. Намалението в размера на пенсиите от ДОО, отпуснати на лицата, родени след 1959 г., които придобиват право на пенсия за осигурителен стаж и възраст през 2025 г., е между 11,0 и 12,0 %. Този процент ще нараства, достигайки до около 19% до 2040 г. и 22,5% до 2052 г., тъй като целият осигурителен стаж на лицата, които ще се пенсионират след 2040 г. ще обхваща периоди след 2001 г. с осигуряване в универсален пенсионен фонд. Важно е да се отбележи, че стойността на намалението е различна за всеки отделен пенсионер и зависи от конкретния период, който обхваща осигурителния му стаж. Лицата, които са избрали да променят осигуряването си изцяло към първия стълб, ще получават пенсия от ДОО в пълен размер, но няма да получат втора допълнителна пенсия от универсален пенсионен фонд.</w:t>
      </w:r>
    </w:p>
    <w:p w14:paraId="3CA65B26" w14:textId="77777777" w:rsidR="00BE18B6" w:rsidRPr="00BE18B6" w:rsidRDefault="00BE18B6" w:rsidP="00BE18B6">
      <w:pPr>
        <w:spacing w:after="0" w:line="240" w:lineRule="auto"/>
        <w:contextualSpacing/>
        <w:rPr>
          <w:rFonts w:ascii="Times New Roman" w:eastAsia="Calibri" w:hAnsi="Times New Roman"/>
          <w:szCs w:val="24"/>
          <w:lang w:val="ru-RU"/>
        </w:rPr>
      </w:pPr>
      <w:r w:rsidRPr="00BE18B6">
        <w:rPr>
          <w:rFonts w:ascii="Times New Roman" w:eastAsia="Calibri" w:hAnsi="Times New Roman"/>
          <w:szCs w:val="24"/>
          <w:lang w:val="ru-RU"/>
        </w:rPr>
        <w:t>Динамиката в разходите за пенсии е в пряка зависимост от динамиката в системния коефициент на зависимост и коефициента на заместване на дохода.</w:t>
      </w:r>
    </w:p>
    <w:p w14:paraId="5503965F" w14:textId="77777777" w:rsidR="00BE18B6" w:rsidRPr="00BE18B6" w:rsidRDefault="00BE18B6" w:rsidP="00BE18B6">
      <w:pPr>
        <w:spacing w:after="0" w:line="240" w:lineRule="auto"/>
        <w:contextualSpacing/>
        <w:rPr>
          <w:rFonts w:ascii="Times New Roman" w:eastAsia="Calibri" w:hAnsi="Times New Roman"/>
          <w:szCs w:val="24"/>
          <w:lang w:val="ru-RU"/>
        </w:rPr>
      </w:pPr>
      <w:r w:rsidRPr="00BE18B6">
        <w:rPr>
          <w:rFonts w:ascii="Times New Roman" w:eastAsia="Calibri" w:hAnsi="Times New Roman"/>
          <w:szCs w:val="24"/>
          <w:lang w:val="ru-RU"/>
        </w:rPr>
        <w:t xml:space="preserve">За 2024 г. общите разходи за пенсии представляват 10,7% от БВП, като разходите за пенсии за трудова дейност са 10,5%, а разходите за пенсии, несвързани с трудова дейност – около 0,2% от БВП. През следващите няколко години разходите за пенсии като процент от БВП ще нарастват, достигайки най-високите си стойности за целия прогнозен период. Това се дължи от една страна на очакваното увеличение в броя на пенсионерите с около 16,0 хиляди до 2028 г., а от друга страна на по-високите размери на пенсиите в резултат на мерките за подобряване на адекватността на пенсиите, провеждани в периода на пандемията на COVID-19, както и поради увеличението  от 1 юли 2024 г. на размера на „вдовишката“ добавка от 26,5% до 30,0% от пенсията на починалия. </w:t>
      </w:r>
    </w:p>
    <w:p w14:paraId="05ACA4FD" w14:textId="77777777" w:rsidR="00D33469" w:rsidRDefault="00BE18B6" w:rsidP="00BE18B6">
      <w:pPr>
        <w:spacing w:after="0" w:line="240" w:lineRule="auto"/>
        <w:contextualSpacing/>
        <w:rPr>
          <w:rFonts w:ascii="Times New Roman" w:eastAsia="Calibri" w:hAnsi="Times New Roman"/>
          <w:szCs w:val="24"/>
          <w:lang w:val="ru-RU"/>
        </w:rPr>
      </w:pPr>
      <w:r w:rsidRPr="00BE18B6">
        <w:rPr>
          <w:rFonts w:ascii="Times New Roman" w:eastAsia="Calibri" w:hAnsi="Times New Roman"/>
          <w:szCs w:val="24"/>
          <w:lang w:val="ru-RU"/>
        </w:rPr>
        <w:t xml:space="preserve"> След достигането на пик от 11,6% през 2028 г. делът на разходите за пенсии от БВП ще започне постепенно да намалява, и ще достигне най-ниската си стойност от 10,1% в годините около 2040 г. Причините за по-същественото намаление на разходите за пенсии като процент от БВП в периода 2027-2040 г. са комплексни и могат д</w:t>
      </w:r>
      <w:r w:rsidR="00D33469">
        <w:rPr>
          <w:rFonts w:ascii="Times New Roman" w:eastAsia="Calibri" w:hAnsi="Times New Roman"/>
          <w:szCs w:val="24"/>
          <w:lang w:val="ru-RU"/>
        </w:rPr>
        <w:t>а бъдат обобщени в три групи:</w:t>
      </w:r>
    </w:p>
    <w:p w14:paraId="4B4235A8" w14:textId="77777777" w:rsidR="00D33469" w:rsidRDefault="00BE18B6" w:rsidP="00BE18B6">
      <w:pPr>
        <w:spacing w:after="0" w:line="240" w:lineRule="auto"/>
        <w:contextualSpacing/>
        <w:rPr>
          <w:rFonts w:ascii="Times New Roman" w:eastAsia="Calibri" w:hAnsi="Times New Roman"/>
          <w:szCs w:val="24"/>
          <w:lang w:val="ru-RU"/>
        </w:rPr>
      </w:pPr>
      <w:r w:rsidRPr="00BE18B6">
        <w:rPr>
          <w:rFonts w:ascii="Times New Roman" w:eastAsia="Calibri" w:hAnsi="Times New Roman"/>
          <w:szCs w:val="24"/>
          <w:lang w:val="ru-RU"/>
        </w:rPr>
        <w:t>1) задържане на съотношението между броя на пенсионерите и осигурените лица на относително постоянно ниво – основно поради демографски причини и по-строгите условия за придобиване право на пенсия;</w:t>
      </w:r>
    </w:p>
    <w:p w14:paraId="46114D44" w14:textId="77777777" w:rsidR="00D33469" w:rsidRDefault="00BE18B6" w:rsidP="00BE18B6">
      <w:pPr>
        <w:spacing w:after="0" w:line="240" w:lineRule="auto"/>
        <w:contextualSpacing/>
        <w:rPr>
          <w:rFonts w:ascii="Times New Roman" w:eastAsia="Calibri" w:hAnsi="Times New Roman"/>
          <w:szCs w:val="24"/>
          <w:lang w:val="ru-RU"/>
        </w:rPr>
      </w:pPr>
      <w:r w:rsidRPr="00BE18B6">
        <w:rPr>
          <w:rFonts w:ascii="Times New Roman" w:eastAsia="Calibri" w:hAnsi="Times New Roman"/>
          <w:szCs w:val="24"/>
          <w:lang w:val="ru-RU"/>
        </w:rPr>
        <w:t>2) изпреварващ ръст на средния осигурителен доход спрямо средната пенсия поради прилагания механизъм за осъвременяване на пенсиите;</w:t>
      </w:r>
    </w:p>
    <w:p w14:paraId="20CDFE60" w14:textId="77777777" w:rsidR="00BE18B6" w:rsidRPr="00BE18B6" w:rsidRDefault="00BE18B6" w:rsidP="00BE18B6">
      <w:pPr>
        <w:spacing w:after="0" w:line="240" w:lineRule="auto"/>
        <w:contextualSpacing/>
        <w:rPr>
          <w:rFonts w:ascii="Times New Roman" w:eastAsia="Calibri" w:hAnsi="Times New Roman"/>
          <w:szCs w:val="24"/>
          <w:lang w:val="ru-RU"/>
        </w:rPr>
      </w:pPr>
      <w:r w:rsidRPr="00BE18B6">
        <w:rPr>
          <w:rFonts w:ascii="Times New Roman" w:eastAsia="Calibri" w:hAnsi="Times New Roman"/>
          <w:szCs w:val="24"/>
          <w:lang w:val="ru-RU"/>
        </w:rPr>
        <w:lastRenderedPageBreak/>
        <w:t>3) намаляването на пенсията от ДОО на лицата, които са били осигурени и в двата стълба към момента на пенсионирането си. Следователно, наред с демографските процеси, правилата за достъп до пенсия и механизма за осъвременяване, възможността за избор на промяна на осигуряването ще е един от важните фактори, имащи отношение към динамиката на разходите за пенсии в дългосрочен план.</w:t>
      </w:r>
    </w:p>
    <w:p w14:paraId="19A46618" w14:textId="77777777" w:rsidR="00BE18B6" w:rsidRPr="00BE18B6" w:rsidRDefault="00BE18B6" w:rsidP="00BE18B6">
      <w:pPr>
        <w:spacing w:after="0" w:line="240" w:lineRule="auto"/>
        <w:contextualSpacing/>
        <w:rPr>
          <w:rFonts w:ascii="Times New Roman" w:eastAsia="Calibri" w:hAnsi="Times New Roman"/>
          <w:szCs w:val="24"/>
          <w:lang w:val="ru-RU"/>
        </w:rPr>
      </w:pPr>
      <w:r w:rsidRPr="00BE18B6">
        <w:rPr>
          <w:rFonts w:ascii="Times New Roman" w:eastAsia="Calibri" w:hAnsi="Times New Roman"/>
          <w:szCs w:val="24"/>
          <w:lang w:val="ru-RU"/>
        </w:rPr>
        <w:t>След 2040 г., когато възрастта за пенсиониране на жените и мъжете ще бъде изравнена на 65 години, в резултат на процеса на застаряване на населението и на очакваната по-висока средна продължителност на живота, фискалният натиск върху държавната пенсионната система ще се увеличи и относителният дял на разходите за пенсии от БВП ще започне да нараства, като до 2060 г. ще достигне 10,9%. Слабият спад до 10,7% в края прогнозния период се дължи на прогнозираните от Евростат по-високи нива на раждаемост и постепенното увеличение на относителния дял на населението в работоспособна възраст в през последната декада от прогнозния период.</w:t>
      </w:r>
    </w:p>
    <w:p w14:paraId="52ED698E" w14:textId="77777777" w:rsidR="00BE18B6" w:rsidRPr="00BE18B6" w:rsidRDefault="00BE18B6" w:rsidP="00BE18B6">
      <w:pPr>
        <w:spacing w:after="0" w:line="240" w:lineRule="auto"/>
        <w:contextualSpacing/>
        <w:rPr>
          <w:rFonts w:ascii="Times New Roman" w:eastAsia="Calibri" w:hAnsi="Times New Roman"/>
          <w:szCs w:val="24"/>
          <w:lang w:val="ru-RU"/>
        </w:rPr>
      </w:pPr>
      <w:r w:rsidRPr="00BE18B6">
        <w:rPr>
          <w:rFonts w:ascii="Times New Roman" w:eastAsia="Calibri" w:hAnsi="Times New Roman"/>
          <w:szCs w:val="24"/>
          <w:lang w:val="ru-RU"/>
        </w:rPr>
        <w:t xml:space="preserve">Влияние върху разходите за пенсии в дългосрочен план ще оказва и предоставената възможност на осигурените лица, родени след 1959 г., които до август 2015 г. се осигуряваха задължително в ДОО (І стълб) и в универсален пенсионен фонд (ІІ стълб), да променят осигуряването си и да преминат към осигуряване само в първия стълб с увеличена осигурителна вноска. Към месец август 2025 г. с избор за промяна на осигуряването изцяло към ДОО са около 124,9 хил. лица, от които 1,4 хил. са починали, 69,8 хил. лица вече имат отпусната пенсия от ДОО в пълен размер, други 3,9 хил. лица са възстановили осигуряването си в УнПФ, а останалите 49,8 хил. лица (2,1% от осигурените лица, родени след 1959 г.) продължават да се осигуряват само в ДОО и да трупат пенсионни права. </w:t>
      </w:r>
    </w:p>
    <w:p w14:paraId="78F74752" w14:textId="77777777" w:rsidR="00BE18B6" w:rsidRPr="00BE18B6" w:rsidRDefault="00BE18B6" w:rsidP="00BE18B6">
      <w:pPr>
        <w:spacing w:after="0" w:line="240" w:lineRule="auto"/>
        <w:contextualSpacing/>
        <w:rPr>
          <w:rFonts w:ascii="Times New Roman" w:eastAsia="Calibri" w:hAnsi="Times New Roman"/>
          <w:szCs w:val="24"/>
          <w:lang w:val="ru-RU"/>
        </w:rPr>
      </w:pPr>
      <w:r w:rsidRPr="00BE18B6">
        <w:rPr>
          <w:rFonts w:ascii="Times New Roman" w:eastAsia="Calibri" w:hAnsi="Times New Roman"/>
          <w:szCs w:val="24"/>
          <w:lang w:val="ru-RU"/>
        </w:rPr>
        <w:t xml:space="preserve">Балансът на фондовете на ДОО представлява разликата между общите приходи и общите разходи на системата. Резултатите от дългосрочната оценка показват, че балансът ще остане отрицателен през целия период до 2070 г., като за балансирането на приходите и разходите ще е необходим трансфер от държавния бюджет за покриване на недостига от средства. </w:t>
      </w:r>
      <w:r w:rsidRPr="0065254A">
        <w:rPr>
          <w:rFonts w:ascii="Times New Roman" w:eastAsia="Calibri" w:hAnsi="Times New Roman"/>
          <w:szCs w:val="24"/>
          <w:lang w:val="ru-RU"/>
        </w:rPr>
        <w:t>При отчетена стойност на този трансфер от 5,4% от БВП за 2024 г. и очаквана стойност 5,2% от БВП за 2025 г., през следващите години</w:t>
      </w:r>
      <w:r w:rsidRPr="00BE18B6">
        <w:rPr>
          <w:rFonts w:ascii="Times New Roman" w:eastAsia="Calibri" w:hAnsi="Times New Roman"/>
          <w:szCs w:val="24"/>
          <w:lang w:val="ru-RU"/>
        </w:rPr>
        <w:t xml:space="preserve"> недостигът от средства на ДОО като дял от БВП ще започне постепенно да намалява. </w:t>
      </w:r>
    </w:p>
    <w:p w14:paraId="417813B8" w14:textId="77777777" w:rsidR="00BE18B6" w:rsidRPr="00BE18B6" w:rsidRDefault="00BE18B6" w:rsidP="00BE18B6">
      <w:pPr>
        <w:spacing w:after="0" w:line="240" w:lineRule="auto"/>
        <w:contextualSpacing/>
        <w:rPr>
          <w:rFonts w:ascii="Times New Roman" w:eastAsia="Calibri" w:hAnsi="Times New Roman"/>
          <w:szCs w:val="24"/>
          <w:lang w:val="ru-RU"/>
        </w:rPr>
      </w:pPr>
      <w:r w:rsidRPr="00BE18B6">
        <w:rPr>
          <w:rFonts w:ascii="Times New Roman" w:eastAsia="Calibri" w:hAnsi="Times New Roman"/>
          <w:szCs w:val="24"/>
          <w:lang w:val="ru-RU"/>
        </w:rPr>
        <w:t xml:space="preserve">В периода до 2040 г. се прогнозира съществено подобрение в баланса на ДОО. Недостигът от средства ще намалее от 5,2% до 3,8% от БВП, което е резултат от увеличението на осигурителната вноска за фонд „Пенсии“ и  намаляващия тренд в разходите за пенсии през този период поради намаляващия брутен коефициент на заместване (средна пенсия към среден осигурителен доход). Нарастването на разходите за пенсии през втората половина на прогнозния период ще доведе до известно влошаване на баланса, като между 2060 г. и 2070 г., той ще бъде  между 4 и 5% от БВП. </w:t>
      </w:r>
    </w:p>
    <w:p w14:paraId="3699484B" w14:textId="77777777" w:rsidR="00BE18B6" w:rsidRPr="000264B7" w:rsidRDefault="00BE18B6" w:rsidP="00BE18B6">
      <w:pPr>
        <w:spacing w:after="0" w:line="240" w:lineRule="auto"/>
        <w:contextualSpacing/>
        <w:rPr>
          <w:rFonts w:ascii="Times New Roman" w:eastAsia="Calibri" w:hAnsi="Times New Roman"/>
          <w:szCs w:val="24"/>
          <w:lang w:val="ru-RU"/>
        </w:rPr>
      </w:pPr>
      <w:r w:rsidRPr="00BE18B6">
        <w:rPr>
          <w:rFonts w:ascii="Times New Roman" w:eastAsia="Calibri" w:hAnsi="Times New Roman"/>
          <w:szCs w:val="24"/>
          <w:lang w:val="ru-RU"/>
        </w:rPr>
        <w:t xml:space="preserve">През следващите години необходимият размер на трансфера от държавния бюджет за покриване на недостига от средства на ДОО  в номинално изражение ще нараства, но в процент от общите разходи на системата ще намалява. От 42,7% през 2025 г.,  в резултат на увеличението на осигурителната вноска за фонд „Пенсии“ с 3 пр. п. до 2028 г., размерът на трансфера за </w:t>
      </w:r>
      <w:r w:rsidRPr="000264B7">
        <w:rPr>
          <w:rFonts w:ascii="Times New Roman" w:eastAsia="Calibri" w:hAnsi="Times New Roman"/>
          <w:szCs w:val="24"/>
          <w:lang w:val="ru-RU"/>
        </w:rPr>
        <w:t xml:space="preserve">недостига ще намалее до около 34% от общите разходи в средата на прогнозния период и ще остане под 40% до края на периода. </w:t>
      </w:r>
    </w:p>
    <w:p w14:paraId="317745E8" w14:textId="77777777" w:rsidR="0087581D" w:rsidRPr="00DD7C41" w:rsidRDefault="0087581D" w:rsidP="0087581D">
      <w:pPr>
        <w:spacing w:after="0" w:line="240" w:lineRule="auto"/>
        <w:contextualSpacing/>
        <w:rPr>
          <w:rFonts w:ascii="Times New Roman" w:eastAsia="Calibri" w:hAnsi="Times New Roman"/>
          <w:szCs w:val="24"/>
          <w:lang w:val="ru-RU"/>
        </w:rPr>
      </w:pPr>
      <w:r w:rsidRPr="000264B7">
        <w:rPr>
          <w:rFonts w:ascii="Times New Roman" w:eastAsia="Calibri" w:hAnsi="Times New Roman"/>
          <w:szCs w:val="24"/>
          <w:lang w:val="ru-RU"/>
        </w:rPr>
        <w:t>При запазване на текущото законодателство, финансовият</w:t>
      </w:r>
      <w:r w:rsidRPr="00023F2F">
        <w:rPr>
          <w:rFonts w:ascii="Times New Roman" w:eastAsia="Calibri" w:hAnsi="Times New Roman"/>
          <w:szCs w:val="24"/>
          <w:lang w:val="ru-RU"/>
        </w:rPr>
        <w:t xml:space="preserve"> натиск върху устойчивостта на държавната пенсионна система ще е най-силен през следващото десетилетие. Тогава и разходите за пенсии, и трансферът от държавния бюджет за покриване на недостига от средства, измерени като дял от БВП, ще са най-големи. Близо 50% от общите разходи на ДОО ще бъдат финансирани с трансфери от държавния бюджет, вместо от собствените приходи на системата.</w:t>
      </w:r>
    </w:p>
    <w:p w14:paraId="47C194E5" w14:textId="77777777" w:rsidR="00BE18B6" w:rsidRPr="00BE18B6" w:rsidRDefault="00BE18B6" w:rsidP="00BE18B6">
      <w:pPr>
        <w:spacing w:after="0" w:line="240" w:lineRule="auto"/>
        <w:contextualSpacing/>
        <w:rPr>
          <w:rFonts w:ascii="Times New Roman" w:eastAsia="Calibri" w:hAnsi="Times New Roman"/>
          <w:szCs w:val="24"/>
          <w:lang w:val="bg-BG" w:eastAsia="bg-BG"/>
        </w:rPr>
      </w:pPr>
      <w:r w:rsidRPr="00BE18B6">
        <w:rPr>
          <w:rFonts w:ascii="Times New Roman" w:eastAsia="Calibri" w:hAnsi="Times New Roman"/>
          <w:szCs w:val="24"/>
          <w:lang w:val="bg-BG" w:eastAsia="bg-BG"/>
        </w:rPr>
        <w:t xml:space="preserve">През първите девет месеца на 2025 г. икономическия растеж в световен план беше относително стабилен, макар и не висок. Американската икономика постигна значителен растеж от 3.8% през второто тримесечие, като прогнозите са този растеж да се запази до </w:t>
      </w:r>
      <w:r w:rsidRPr="00BE18B6">
        <w:rPr>
          <w:rFonts w:ascii="Times New Roman" w:eastAsia="Calibri" w:hAnsi="Times New Roman"/>
          <w:szCs w:val="24"/>
          <w:lang w:val="bg-BG" w:eastAsia="bg-BG"/>
        </w:rPr>
        <w:lastRenderedPageBreak/>
        <w:t xml:space="preserve">голяма степен, подкрепен освен от солидно представяне на потреблението, и от силното представяне на капиталовите пазари и възхода на компаниите за </w:t>
      </w:r>
      <w:r w:rsidR="005A32ED">
        <w:rPr>
          <w:rFonts w:ascii="Times New Roman" w:eastAsia="Calibri" w:hAnsi="Times New Roman"/>
          <w:szCs w:val="24"/>
          <w:lang w:val="bg-BG" w:eastAsia="bg-BG"/>
        </w:rPr>
        <w:t>изкуствен интелект</w:t>
      </w:r>
      <w:r w:rsidRPr="00BE18B6">
        <w:rPr>
          <w:rFonts w:ascii="Times New Roman" w:eastAsia="Calibri" w:hAnsi="Times New Roman"/>
          <w:szCs w:val="24"/>
          <w:lang w:val="bg-BG" w:eastAsia="bg-BG"/>
        </w:rPr>
        <w:t>. През следващите години американската икономика ще продължи да нараства по-бързо спрямо европейската икономика, но се очаква сближаване на растежите. Отново са налице значителни глобални рискове от геополитически и търговски характер, като те се оценяват като по-значими за икономиката на САЩ. Перспективите пред европейската икономика се оценяват като стабилни, но очакваният икономически растеж ще бъде доста умерен.</w:t>
      </w:r>
    </w:p>
    <w:p w14:paraId="6879F732" w14:textId="77777777" w:rsidR="00BE18B6" w:rsidRPr="00BE18B6" w:rsidRDefault="005A32ED" w:rsidP="00BE18B6">
      <w:pPr>
        <w:spacing w:after="0" w:line="240" w:lineRule="auto"/>
        <w:contextualSpacing/>
        <w:rPr>
          <w:rFonts w:ascii="Times New Roman" w:eastAsia="Calibri" w:hAnsi="Times New Roman"/>
          <w:szCs w:val="24"/>
          <w:lang w:val="bg-BG" w:eastAsia="bg-BG"/>
        </w:rPr>
      </w:pPr>
      <w:r>
        <w:rPr>
          <w:rFonts w:ascii="Times New Roman" w:eastAsia="Calibri" w:hAnsi="Times New Roman"/>
          <w:szCs w:val="24"/>
          <w:lang w:val="bg-BG" w:eastAsia="bg-BG"/>
        </w:rPr>
        <w:t>Европейската централна банка (</w:t>
      </w:r>
      <w:r w:rsidR="00BE18B6" w:rsidRPr="00BE18B6">
        <w:rPr>
          <w:rFonts w:ascii="Times New Roman" w:eastAsia="Calibri" w:hAnsi="Times New Roman"/>
          <w:szCs w:val="24"/>
          <w:lang w:val="bg-BG" w:eastAsia="bg-BG"/>
        </w:rPr>
        <w:t>ЕЦБ</w:t>
      </w:r>
      <w:r>
        <w:rPr>
          <w:rFonts w:ascii="Times New Roman" w:eastAsia="Calibri" w:hAnsi="Times New Roman"/>
          <w:szCs w:val="24"/>
          <w:lang w:val="bg-BG" w:eastAsia="bg-BG"/>
        </w:rPr>
        <w:t>)</w:t>
      </w:r>
      <w:r w:rsidR="00BE18B6" w:rsidRPr="00BE18B6">
        <w:rPr>
          <w:rFonts w:ascii="Times New Roman" w:eastAsia="Calibri" w:hAnsi="Times New Roman"/>
          <w:szCs w:val="24"/>
          <w:lang w:val="bg-BG" w:eastAsia="bg-BG"/>
        </w:rPr>
        <w:t xml:space="preserve"> продълж</w:t>
      </w:r>
      <w:r>
        <w:rPr>
          <w:rFonts w:ascii="Times New Roman" w:eastAsia="Calibri" w:hAnsi="Times New Roman"/>
          <w:szCs w:val="24"/>
          <w:lang w:val="bg-BG" w:eastAsia="bg-BG"/>
        </w:rPr>
        <w:t>ава</w:t>
      </w:r>
      <w:r w:rsidR="00BE18B6" w:rsidRPr="00BE18B6">
        <w:rPr>
          <w:rFonts w:ascii="Times New Roman" w:eastAsia="Calibri" w:hAnsi="Times New Roman"/>
          <w:szCs w:val="24"/>
          <w:lang w:val="bg-BG" w:eastAsia="bg-BG"/>
        </w:rPr>
        <w:t xml:space="preserve"> цикъла на понижение на основните лихвени проценти при намаляваща инфлация и относително слаб икономически растеж в еврозоната през първата половина на 2025 г., като извърши четири понижения с по 25 базисни точки. През втората половина на годината ЕЦБ спря пониженията</w:t>
      </w:r>
      <w:r>
        <w:rPr>
          <w:rFonts w:ascii="Times New Roman" w:eastAsia="Calibri" w:hAnsi="Times New Roman"/>
          <w:szCs w:val="24"/>
          <w:lang w:val="bg-BG" w:eastAsia="bg-BG"/>
        </w:rPr>
        <w:t>,</w:t>
      </w:r>
      <w:r w:rsidR="00BE18B6" w:rsidRPr="00BE18B6">
        <w:rPr>
          <w:rFonts w:ascii="Times New Roman" w:eastAsia="Calibri" w:hAnsi="Times New Roman"/>
          <w:szCs w:val="24"/>
          <w:lang w:val="bg-BG" w:eastAsia="bg-BG"/>
        </w:rPr>
        <w:t xml:space="preserve"> поради постигане на инфлационната цел от 2%, като запази относително положителни условия за финансиране и остана в позиция на изчакване с готовност да реагира на макроикономическите данни с промяна в паричната политика в необходимата посока.</w:t>
      </w:r>
    </w:p>
    <w:p w14:paraId="2A0D297C" w14:textId="77777777" w:rsidR="00BE18B6" w:rsidRPr="00BE18B6" w:rsidRDefault="00BE18B6" w:rsidP="00BE18B6">
      <w:pPr>
        <w:spacing w:after="0" w:line="240" w:lineRule="auto"/>
        <w:contextualSpacing/>
        <w:rPr>
          <w:rFonts w:ascii="Times New Roman" w:eastAsia="Calibri" w:hAnsi="Times New Roman"/>
          <w:szCs w:val="24"/>
          <w:lang w:val="bg-BG" w:eastAsia="bg-BG"/>
        </w:rPr>
      </w:pPr>
      <w:r w:rsidRPr="00BE18B6">
        <w:rPr>
          <w:rFonts w:ascii="Times New Roman" w:eastAsia="Calibri" w:hAnsi="Times New Roman"/>
          <w:szCs w:val="24"/>
          <w:lang w:val="bg-BG" w:eastAsia="bg-BG"/>
        </w:rPr>
        <w:t xml:space="preserve">През 2025 г. годишният темп на инфлация, измерен с </w:t>
      </w:r>
      <w:r w:rsidR="005A32ED">
        <w:rPr>
          <w:rFonts w:ascii="Times New Roman" w:eastAsia="Calibri" w:hAnsi="Times New Roman"/>
          <w:szCs w:val="24"/>
          <w:lang w:val="bg-BG" w:eastAsia="bg-BG"/>
        </w:rPr>
        <w:t>хармонизирания индекс на потребителските цени</w:t>
      </w:r>
      <w:r w:rsidRPr="00BE18B6">
        <w:rPr>
          <w:rFonts w:ascii="Times New Roman" w:eastAsia="Calibri" w:hAnsi="Times New Roman"/>
          <w:szCs w:val="24"/>
          <w:lang w:val="bg-BG" w:eastAsia="bg-BG"/>
        </w:rPr>
        <w:t xml:space="preserve">, се повиши до 3.8% през октомври при 2.1% в края на 2024 г. Водещ принос по основни компоненти на индекса имаха услугите, следвани от храните. Факторите за това бяха преобладаващо вътрешни, в условията на силно потребление на домакинствата и повишение на разходите за труд в икономиката. Енергийните стоки също имаха слабо положителен принос, поради повишението на административните цени на електрическа и топлинна енергия през юли. </w:t>
      </w:r>
    </w:p>
    <w:p w14:paraId="55FD383D" w14:textId="77777777" w:rsidR="00BE18B6" w:rsidRPr="00BE18B6" w:rsidRDefault="00BE18B6" w:rsidP="00BE18B6">
      <w:pPr>
        <w:spacing w:after="0" w:line="240" w:lineRule="auto"/>
        <w:contextualSpacing/>
        <w:rPr>
          <w:rFonts w:ascii="Times New Roman" w:eastAsia="Calibri" w:hAnsi="Times New Roman"/>
          <w:szCs w:val="24"/>
          <w:lang w:val="bg-BG" w:eastAsia="bg-BG"/>
        </w:rPr>
      </w:pPr>
      <w:r w:rsidRPr="00BE18B6">
        <w:rPr>
          <w:rFonts w:ascii="Times New Roman" w:eastAsia="Calibri" w:hAnsi="Times New Roman"/>
          <w:szCs w:val="24"/>
          <w:lang w:val="bg-BG" w:eastAsia="bg-BG"/>
        </w:rPr>
        <w:t>Текущите тенденции на финансовите пазари, отразяващи различни инвестиционни опции, са следните:</w:t>
      </w:r>
    </w:p>
    <w:p w14:paraId="6E634CDB" w14:textId="77777777" w:rsidR="00BE18B6" w:rsidRPr="00BE18B6" w:rsidRDefault="00BE18B6" w:rsidP="00023F2F">
      <w:pPr>
        <w:tabs>
          <w:tab w:val="left" w:pos="993"/>
        </w:tabs>
        <w:spacing w:after="0" w:line="240" w:lineRule="auto"/>
        <w:contextualSpacing/>
        <w:rPr>
          <w:rFonts w:ascii="Times New Roman" w:eastAsia="Calibri" w:hAnsi="Times New Roman"/>
          <w:szCs w:val="24"/>
          <w:lang w:val="bg-BG" w:eastAsia="bg-BG"/>
        </w:rPr>
      </w:pPr>
      <w:r w:rsidRPr="00BE18B6">
        <w:rPr>
          <w:rFonts w:ascii="Times New Roman" w:eastAsia="Calibri" w:hAnsi="Times New Roman"/>
          <w:szCs w:val="24"/>
          <w:lang w:val="bg-BG" w:eastAsia="bg-BG"/>
        </w:rPr>
        <w:t>•</w:t>
      </w:r>
      <w:r w:rsidRPr="00BE18B6">
        <w:rPr>
          <w:rFonts w:ascii="Times New Roman" w:eastAsia="Calibri" w:hAnsi="Times New Roman"/>
          <w:szCs w:val="24"/>
          <w:lang w:val="bg-BG" w:eastAsia="bg-BG"/>
        </w:rPr>
        <w:tab/>
        <w:t xml:space="preserve">При режима на функциониращия паричен съвет, лихвените проценти на междубанковия паричен пазар в България продължиха да отразяват тенденциите на паричния пазар в еврозоната. През 2025 г. понижението на основните лихвени проценти в еврозоната се пренасяше върху лихвените проценти по сключените сделки на междубанковия паричен пазар. Към края на ноември 2025 г. индексът </w:t>
      </w:r>
      <w:proofErr w:type="spellStart"/>
      <w:r w:rsidRPr="00BE18B6">
        <w:rPr>
          <w:rFonts w:ascii="Times New Roman" w:eastAsia="Calibri" w:hAnsi="Times New Roman"/>
          <w:szCs w:val="24"/>
          <w:lang w:val="bg-BG" w:eastAsia="bg-BG"/>
        </w:rPr>
        <w:t>Леониа</w:t>
      </w:r>
      <w:proofErr w:type="spellEnd"/>
      <w:r w:rsidRPr="00BE18B6">
        <w:rPr>
          <w:rFonts w:ascii="Times New Roman" w:eastAsia="Calibri" w:hAnsi="Times New Roman"/>
          <w:szCs w:val="24"/>
          <w:lang w:val="bg-BG" w:eastAsia="bg-BG"/>
        </w:rPr>
        <w:t xml:space="preserve"> Плюс достигна 1.84%, като остана малко под стойността на 3-месечния EURIBOR от 2.06%. По-ниските лихви на местния междубанков пазар традиционно могат да се свържат със свръхликвидността на банковата система.</w:t>
      </w:r>
    </w:p>
    <w:p w14:paraId="72885F72" w14:textId="77777777" w:rsidR="00BE18B6" w:rsidRPr="00BE18B6" w:rsidRDefault="00BE18B6" w:rsidP="00023F2F">
      <w:pPr>
        <w:tabs>
          <w:tab w:val="left" w:pos="993"/>
        </w:tabs>
        <w:spacing w:after="0" w:line="240" w:lineRule="auto"/>
        <w:contextualSpacing/>
        <w:rPr>
          <w:rFonts w:ascii="Times New Roman" w:eastAsia="Calibri" w:hAnsi="Times New Roman"/>
          <w:szCs w:val="24"/>
          <w:lang w:val="bg-BG" w:eastAsia="bg-BG"/>
        </w:rPr>
      </w:pPr>
      <w:r w:rsidRPr="00BE18B6">
        <w:rPr>
          <w:rFonts w:ascii="Times New Roman" w:eastAsia="Calibri" w:hAnsi="Times New Roman"/>
          <w:szCs w:val="24"/>
          <w:lang w:val="bg-BG" w:eastAsia="bg-BG"/>
        </w:rPr>
        <w:t>•</w:t>
      </w:r>
      <w:r w:rsidRPr="00BE18B6">
        <w:rPr>
          <w:rFonts w:ascii="Times New Roman" w:eastAsia="Calibri" w:hAnsi="Times New Roman"/>
          <w:szCs w:val="24"/>
          <w:lang w:val="bg-BG" w:eastAsia="bg-BG"/>
        </w:rPr>
        <w:tab/>
        <w:t xml:space="preserve">Лихвената политика на ЕЦБ се отрази върху среднопретегления лихвен процент по банковите депозити на нефинансови предприятия и домакинства. През октомври 2025 г. стойността му достигна 1.57% при 1.88% година по-рано. В началото на 2025 г. възвръщаемостта по средствата на ДФГУДПС в БНБ беше по-висока от предлаганата от търговските банки по депозити. След месец май обаче, номиналната възвръщаемост на „Сребърния фонд“ започна да се понижава по-бързо от пазарната по срочни депозити и към октомври остава малко под предлаганата от търговските банки (около 10 базисни точки). </w:t>
      </w:r>
    </w:p>
    <w:p w14:paraId="74C29C36" w14:textId="77777777" w:rsidR="00BE18B6" w:rsidRPr="00BE18B6" w:rsidRDefault="00BE18B6" w:rsidP="00023F2F">
      <w:pPr>
        <w:tabs>
          <w:tab w:val="left" w:pos="993"/>
        </w:tabs>
        <w:spacing w:after="0" w:line="240" w:lineRule="auto"/>
        <w:contextualSpacing/>
        <w:rPr>
          <w:rFonts w:ascii="Times New Roman" w:eastAsia="Calibri" w:hAnsi="Times New Roman"/>
          <w:szCs w:val="24"/>
          <w:lang w:val="bg-BG" w:eastAsia="bg-BG"/>
        </w:rPr>
      </w:pPr>
      <w:r w:rsidRPr="00BE18B6">
        <w:rPr>
          <w:rFonts w:ascii="Times New Roman" w:eastAsia="Calibri" w:hAnsi="Times New Roman"/>
          <w:szCs w:val="24"/>
          <w:lang w:val="bg-BG" w:eastAsia="bg-BG"/>
        </w:rPr>
        <w:t>•</w:t>
      </w:r>
      <w:r w:rsidRPr="00BE18B6">
        <w:rPr>
          <w:rFonts w:ascii="Times New Roman" w:eastAsia="Calibri" w:hAnsi="Times New Roman"/>
          <w:szCs w:val="24"/>
          <w:lang w:val="bg-BG" w:eastAsia="bg-BG"/>
        </w:rPr>
        <w:tab/>
      </w:r>
      <w:r w:rsidRPr="00023F2F">
        <w:rPr>
          <w:rFonts w:ascii="Times New Roman" w:eastAsia="Calibri" w:hAnsi="Times New Roman"/>
          <w:szCs w:val="24"/>
          <w:lang w:val="bg-BG" w:eastAsia="bg-BG"/>
        </w:rPr>
        <w:t>Реалната доходност на средствата на ДФГУДПС през 2025 г. премина на отрицателна територия още от началото на годината, предвид по-високия темп на годишна инфлация и същевременно понижение на номиналната възвръщаемост по сметката на фонда в БНБ. Въпреки очакваното забавяне на инфлацията през 2026 г., изчаквателната позиция от страна на ЕЦБ предполага минимални или никакви изменения на референтните лихвени проценти. Така, реалната доходност ще остане отрицателна през следващата година, макар и по-близо до неутралната спрямо 2025 г.</w:t>
      </w:r>
      <w:r w:rsidRPr="00BE18B6">
        <w:rPr>
          <w:rFonts w:ascii="Times New Roman" w:eastAsia="Calibri" w:hAnsi="Times New Roman"/>
          <w:szCs w:val="24"/>
          <w:lang w:val="bg-BG" w:eastAsia="bg-BG"/>
        </w:rPr>
        <w:t xml:space="preserve"> </w:t>
      </w:r>
    </w:p>
    <w:p w14:paraId="68EFB0EF" w14:textId="77777777" w:rsidR="00BE18B6" w:rsidRPr="00BE18B6" w:rsidRDefault="00BE18B6" w:rsidP="00023F2F">
      <w:pPr>
        <w:tabs>
          <w:tab w:val="left" w:pos="993"/>
        </w:tabs>
        <w:spacing w:after="0" w:line="240" w:lineRule="auto"/>
        <w:contextualSpacing/>
        <w:rPr>
          <w:rFonts w:ascii="Times New Roman" w:eastAsia="Calibri" w:hAnsi="Times New Roman"/>
          <w:szCs w:val="24"/>
          <w:lang w:val="bg-BG" w:eastAsia="bg-BG"/>
        </w:rPr>
      </w:pPr>
      <w:r w:rsidRPr="00BE18B6">
        <w:rPr>
          <w:rFonts w:ascii="Times New Roman" w:eastAsia="Calibri" w:hAnsi="Times New Roman"/>
          <w:szCs w:val="24"/>
          <w:lang w:val="bg-BG" w:eastAsia="bg-BG"/>
        </w:rPr>
        <w:t>•</w:t>
      </w:r>
      <w:r w:rsidRPr="00BE18B6">
        <w:rPr>
          <w:rFonts w:ascii="Times New Roman" w:eastAsia="Calibri" w:hAnsi="Times New Roman"/>
          <w:szCs w:val="24"/>
          <w:lang w:val="bg-BG" w:eastAsia="bg-BG"/>
        </w:rPr>
        <w:tab/>
        <w:t>Пазарите на акции се развиваха сравнително възходящо през изминалия период от 2025 г. под влияние на устойчивостта на икономиките на САЩ и еврозоната, а основният двигател на капиталовите пазари бяха компаниите, развиващи изкуствен интелект. Все пак, американските пазари се движеха устойчиво възходящо, докато европейските бяха по-</w:t>
      </w:r>
      <w:proofErr w:type="spellStart"/>
      <w:r w:rsidRPr="00BE18B6">
        <w:rPr>
          <w:rFonts w:ascii="Times New Roman" w:eastAsia="Calibri" w:hAnsi="Times New Roman"/>
          <w:szCs w:val="24"/>
          <w:lang w:val="bg-BG" w:eastAsia="bg-BG"/>
        </w:rPr>
        <w:t>волатилни</w:t>
      </w:r>
      <w:proofErr w:type="spellEnd"/>
      <w:r w:rsidRPr="00BE18B6">
        <w:rPr>
          <w:rFonts w:ascii="Times New Roman" w:eastAsia="Calibri" w:hAnsi="Times New Roman"/>
          <w:szCs w:val="24"/>
          <w:lang w:val="bg-BG" w:eastAsia="bg-BG"/>
        </w:rPr>
        <w:t xml:space="preserve"> с различно представяне в отделните държави, </w:t>
      </w:r>
      <w:r w:rsidRPr="00BE18B6">
        <w:rPr>
          <w:rFonts w:ascii="Times New Roman" w:eastAsia="Calibri" w:hAnsi="Times New Roman"/>
          <w:szCs w:val="24"/>
          <w:lang w:val="bg-BG" w:eastAsia="bg-BG"/>
        </w:rPr>
        <w:lastRenderedPageBreak/>
        <w:t>отразяващо и различните политически и фискални рискове. Перспективите за динамиката на пазарите на акции през следващата година остават основно положителни, но поради различията в икономическите и политически тенденции в САЩ спрямо ЕС и еврозоната в частност, степента на оптимизъм и рисковете също се различават. Американската икономика ще продължи да се представя по-добре от европейската и очакванията са пазарите на акции в САЩ да реализират по-голям възход. В Европа, макар и възстановяващ се, икономическият растеж остава по-слаб. Същевременно политическата несигурност в редица европейски държави увеличава рисковете. На този фон важна роля ще имат и геополитическите рискове, както и докога ще се запази високият рисков апетит на инвеститорите, което може да доведе до корекции на цените на активите.</w:t>
      </w:r>
    </w:p>
    <w:p w14:paraId="4E63C1A0" w14:textId="77777777" w:rsidR="00BE18B6" w:rsidRPr="00BE18B6" w:rsidRDefault="00BE18B6" w:rsidP="00023F2F">
      <w:pPr>
        <w:tabs>
          <w:tab w:val="left" w:pos="993"/>
        </w:tabs>
        <w:spacing w:after="0" w:line="240" w:lineRule="auto"/>
        <w:contextualSpacing/>
        <w:rPr>
          <w:rFonts w:ascii="Times New Roman" w:eastAsia="Calibri" w:hAnsi="Times New Roman"/>
          <w:szCs w:val="24"/>
          <w:lang w:val="bg-BG" w:eastAsia="bg-BG"/>
        </w:rPr>
      </w:pPr>
      <w:r w:rsidRPr="00BE18B6">
        <w:rPr>
          <w:rFonts w:ascii="Times New Roman" w:eastAsia="Calibri" w:hAnsi="Times New Roman"/>
          <w:szCs w:val="24"/>
          <w:lang w:val="bg-BG" w:eastAsia="bg-BG"/>
        </w:rPr>
        <w:t>•</w:t>
      </w:r>
      <w:r w:rsidRPr="00BE18B6">
        <w:rPr>
          <w:rFonts w:ascii="Times New Roman" w:eastAsia="Calibri" w:hAnsi="Times New Roman"/>
          <w:szCs w:val="24"/>
          <w:lang w:val="bg-BG" w:eastAsia="bg-BG"/>
        </w:rPr>
        <w:tab/>
        <w:t xml:space="preserve">2025 г. беше положителна за пазарите на държавен дълг. Перспективите за следващата година към момента също са положителни, като </w:t>
      </w:r>
      <w:proofErr w:type="spellStart"/>
      <w:r w:rsidRPr="00BE18B6">
        <w:rPr>
          <w:rFonts w:ascii="Times New Roman" w:eastAsia="Calibri" w:hAnsi="Times New Roman"/>
          <w:szCs w:val="24"/>
          <w:lang w:val="bg-BG" w:eastAsia="bg-BG"/>
        </w:rPr>
        <w:t>доходностите</w:t>
      </w:r>
      <w:proofErr w:type="spellEnd"/>
      <w:r w:rsidRPr="00BE18B6">
        <w:rPr>
          <w:rFonts w:ascii="Times New Roman" w:eastAsia="Calibri" w:hAnsi="Times New Roman"/>
          <w:szCs w:val="24"/>
          <w:lang w:val="bg-BG" w:eastAsia="bg-BG"/>
        </w:rPr>
        <w:t xml:space="preserve"> са все още достатъчно високи, а се очаква емитирането на значителен обем дълг в еврозоната. Същевременно, спредовете спрямо ДЦК на Германия се понижиха, което намалява възвръщаемостта спрямо поетия риск, а предвид съществуващите фискални рискове във водещите европейски икономики, финансовите анализатори препоръчват покупки на средносрочни ДЦК (оригинален матуритет под 10 години) и активно управление на портфейлите, което би било скъпо от гледна точка на ДФГУДПС. Към момента ДЦК на държави с инвестиционен рейтинг като Норвегия, Обединеното Кралство, Нова Зеландия, САЩ, Чехия и Австралия предлагат относително висока доходност (надвишаващи над два пъти доходността по депозита в БНБ) при относително ниско ниво на риск. Въпреки това, положителен ефект върху доходността на ДФГУДПС би могъл да се постигне при покупка в кратки срокове (нереалистично от административна гледна точка) и дългосрочен хоризонт на портфейла.   </w:t>
      </w:r>
    </w:p>
    <w:p w14:paraId="6407FA2E" w14:textId="77777777" w:rsidR="00BE18B6" w:rsidRPr="00BE18B6" w:rsidRDefault="00BE18B6" w:rsidP="00BE18B6">
      <w:pPr>
        <w:spacing w:after="0" w:line="240" w:lineRule="auto"/>
        <w:contextualSpacing/>
        <w:rPr>
          <w:rFonts w:ascii="Times New Roman" w:eastAsia="Calibri" w:hAnsi="Times New Roman"/>
          <w:szCs w:val="24"/>
          <w:lang w:val="bg-BG" w:eastAsia="bg-BG"/>
        </w:rPr>
      </w:pPr>
      <w:r w:rsidRPr="00BE18B6">
        <w:rPr>
          <w:rFonts w:ascii="Times New Roman" w:eastAsia="Calibri" w:hAnsi="Times New Roman"/>
          <w:szCs w:val="24"/>
          <w:lang w:val="bg-BG" w:eastAsia="bg-BG"/>
        </w:rPr>
        <w:t xml:space="preserve">На база на гореизложеното, не би могло да се препоръча инвестиране на средства от ДФГУДПС на фондовите пазари и пазарите на суверенен дълг в краткосрочен и средносрочен хоризонт. Препоръката отчита в качествен аспект и потенциалните ресурси, които ще са необходими за следене и управление на диверсифициран портфейл от акции, допустими по </w:t>
      </w:r>
      <w:r w:rsidR="00CB3CAE" w:rsidRPr="00BE18B6">
        <w:rPr>
          <w:rFonts w:ascii="Times New Roman" w:eastAsia="Calibri" w:hAnsi="Times New Roman"/>
          <w:szCs w:val="24"/>
          <w:lang w:val="bg-BG" w:eastAsia="bg-BG"/>
        </w:rPr>
        <w:t>ЗДФГУДПС</w:t>
      </w:r>
      <w:r w:rsidR="00CB3CAE">
        <w:rPr>
          <w:rFonts w:ascii="Times New Roman" w:eastAsia="Calibri" w:hAnsi="Times New Roman"/>
          <w:szCs w:val="24"/>
          <w:lang w:val="bg-BG" w:eastAsia="bg-BG"/>
        </w:rPr>
        <w:t>.</w:t>
      </w:r>
    </w:p>
    <w:p w14:paraId="2115957F" w14:textId="77777777" w:rsidR="00BE18B6" w:rsidRPr="00BE18B6" w:rsidRDefault="00BE18B6" w:rsidP="00BE18B6">
      <w:pPr>
        <w:spacing w:after="0" w:line="240" w:lineRule="auto"/>
        <w:contextualSpacing/>
        <w:rPr>
          <w:rFonts w:ascii="Times New Roman" w:eastAsia="Calibri" w:hAnsi="Times New Roman"/>
          <w:szCs w:val="24"/>
          <w:lang w:val="bg-BG" w:eastAsia="bg-BG"/>
        </w:rPr>
      </w:pPr>
      <w:r w:rsidRPr="00BE18B6">
        <w:rPr>
          <w:rFonts w:ascii="Times New Roman" w:eastAsia="Calibri" w:hAnsi="Times New Roman"/>
          <w:szCs w:val="24"/>
          <w:lang w:val="bg-BG" w:eastAsia="bg-BG"/>
        </w:rPr>
        <w:t xml:space="preserve">При описаните пазарни условия, постигането на по-висока номинална доходност в краткосрочен план би било възможно, но би било съпроводено с по-високи разходи за активно управление.  </w:t>
      </w:r>
    </w:p>
    <w:p w14:paraId="5414FA5C" w14:textId="77777777" w:rsidR="00BE18B6" w:rsidRPr="006602DE" w:rsidRDefault="00BE18B6" w:rsidP="00BE18B6">
      <w:pPr>
        <w:spacing w:after="0" w:line="240" w:lineRule="auto"/>
        <w:contextualSpacing/>
        <w:rPr>
          <w:rFonts w:ascii="Times New Roman" w:eastAsia="Calibri" w:hAnsi="Times New Roman"/>
          <w:szCs w:val="24"/>
          <w:lang w:val="bg-BG" w:eastAsia="bg-BG"/>
        </w:rPr>
      </w:pPr>
      <w:r w:rsidRPr="00BE18B6">
        <w:rPr>
          <w:rFonts w:ascii="Times New Roman" w:eastAsia="Calibri" w:hAnsi="Times New Roman"/>
          <w:szCs w:val="24"/>
          <w:lang w:val="bg-BG" w:eastAsia="bg-BG"/>
        </w:rPr>
        <w:t>С оглед на гореизложените аргументи, на рисковете пред държавната пенсионна система, и запазването и увеличаването на реалния размер на натрупаните средства, препоръчваме да се запази през 2026 г. консервативния подход при управление на средствата от фонда при ниска степен на риск чрез депозита в Българската народна банка. В същото време, предвид до голяма степен изчерпаните възможности за увеличаване средствата на ДФГУДПС извън промяна в пазарната стойност на активите</w:t>
      </w:r>
      <w:r w:rsidRPr="006602DE">
        <w:rPr>
          <w:rFonts w:ascii="Times New Roman" w:eastAsia="Calibri" w:hAnsi="Times New Roman"/>
          <w:szCs w:val="24"/>
          <w:lang w:val="bg-BG" w:eastAsia="bg-BG"/>
        </w:rPr>
        <w:t>, би било добре да се проучи възможността за по-активно управление на част от средствата за формиране на дългосрочни портфейли от акции и ДЦК съгласно предвидените в законодателството възможности за това (чл. 13 и чл. 8, ал. 3 от ЗДФГУДПС).</w:t>
      </w:r>
    </w:p>
    <w:p w14:paraId="43D5715D" w14:textId="77777777" w:rsidR="00BE18B6" w:rsidRPr="006602DE" w:rsidRDefault="00BE18B6" w:rsidP="00BE18B6">
      <w:pPr>
        <w:spacing w:after="0" w:line="240" w:lineRule="auto"/>
        <w:contextualSpacing/>
        <w:rPr>
          <w:rFonts w:ascii="Times New Roman" w:eastAsia="Calibri" w:hAnsi="Times New Roman"/>
          <w:szCs w:val="24"/>
          <w:lang w:val="bg-BG" w:eastAsia="bg-BG"/>
        </w:rPr>
      </w:pPr>
      <w:r w:rsidRPr="006602DE">
        <w:rPr>
          <w:rFonts w:ascii="Times New Roman" w:eastAsia="Calibri" w:hAnsi="Times New Roman"/>
          <w:szCs w:val="24"/>
          <w:lang w:val="bg-BG" w:eastAsia="bg-BG"/>
        </w:rPr>
        <w:t>Възможността за активно управление следва да се оцени от гледна точка на основната функция на ДФГУДПС, а именно – осигуряване на устойчивост на държавната пенсионна система, включително и в средносрочен и дългосрочен план.</w:t>
      </w:r>
    </w:p>
    <w:p w14:paraId="6E6AE3BC" w14:textId="77777777" w:rsidR="00767D09" w:rsidRPr="0007527A" w:rsidRDefault="00BE18B6" w:rsidP="0007527A">
      <w:pPr>
        <w:spacing w:after="0" w:line="240" w:lineRule="auto"/>
        <w:contextualSpacing/>
        <w:rPr>
          <w:rFonts w:ascii="Times New Roman" w:eastAsia="Calibri" w:hAnsi="Times New Roman"/>
          <w:szCs w:val="24"/>
          <w:lang w:val="bg-BG" w:eastAsia="bg-BG"/>
        </w:rPr>
      </w:pPr>
      <w:r w:rsidRPr="006602DE">
        <w:rPr>
          <w:rFonts w:ascii="Times New Roman" w:eastAsia="Calibri" w:hAnsi="Times New Roman"/>
          <w:szCs w:val="24"/>
          <w:lang w:val="bg-BG" w:eastAsia="bg-BG"/>
        </w:rPr>
        <w:t>Предвид постоянно нарастващите разходи на държавната пенсионна система, активиране на възможността за активно управление на част от ресурсите би дало възможност Фондът да се възползва от благоприятни пазарни условия в бъдеще, за да гарантира запазване на реалната стойност на средствата и евентуално нарастването им в дългосрочен план.</w:t>
      </w:r>
    </w:p>
    <w:p w14:paraId="15AF932B" w14:textId="77777777" w:rsidR="00201396" w:rsidRPr="006B7A46" w:rsidRDefault="00201396" w:rsidP="00A53D89">
      <w:pPr>
        <w:spacing w:after="0" w:line="240" w:lineRule="auto"/>
        <w:ind w:left="720" w:firstLine="0"/>
        <w:contextualSpacing/>
        <w:rPr>
          <w:rFonts w:ascii="Times New Roman" w:eastAsia="Calibri" w:hAnsi="Times New Roman"/>
          <w:sz w:val="20"/>
          <w:lang w:val="bg-BG"/>
        </w:rPr>
      </w:pPr>
    </w:p>
    <w:p w14:paraId="0BAD9371" w14:textId="77777777" w:rsidR="00B81A34" w:rsidRDefault="00B81A34" w:rsidP="00602ECA">
      <w:pPr>
        <w:tabs>
          <w:tab w:val="left" w:pos="342"/>
          <w:tab w:val="left" w:pos="1311"/>
          <w:tab w:val="left" w:pos="1368"/>
          <w:tab w:val="left" w:pos="2052"/>
        </w:tabs>
        <w:spacing w:after="0" w:line="240" w:lineRule="auto"/>
        <w:rPr>
          <w:rFonts w:ascii="Times New Roman" w:hAnsi="Times New Roman"/>
          <w:b/>
          <w:smallCaps/>
          <w:sz w:val="22"/>
          <w:szCs w:val="22"/>
          <w:lang w:val="bg-BG"/>
        </w:rPr>
      </w:pPr>
    </w:p>
    <w:p w14:paraId="1CFE2015" w14:textId="77777777" w:rsidR="00B81A34" w:rsidRDefault="00B81A34" w:rsidP="00602ECA">
      <w:pPr>
        <w:tabs>
          <w:tab w:val="left" w:pos="342"/>
          <w:tab w:val="left" w:pos="1311"/>
          <w:tab w:val="left" w:pos="1368"/>
          <w:tab w:val="left" w:pos="2052"/>
        </w:tabs>
        <w:spacing w:after="0" w:line="240" w:lineRule="auto"/>
        <w:rPr>
          <w:rFonts w:ascii="Times New Roman" w:hAnsi="Times New Roman"/>
          <w:b/>
          <w:smallCaps/>
          <w:sz w:val="22"/>
          <w:szCs w:val="22"/>
          <w:lang w:val="bg-BG"/>
        </w:rPr>
      </w:pPr>
    </w:p>
    <w:p w14:paraId="5C218AC9" w14:textId="77777777" w:rsidR="00B81A34" w:rsidRDefault="00B81A34" w:rsidP="00602ECA">
      <w:pPr>
        <w:tabs>
          <w:tab w:val="left" w:pos="342"/>
          <w:tab w:val="left" w:pos="1311"/>
          <w:tab w:val="left" w:pos="1368"/>
          <w:tab w:val="left" w:pos="2052"/>
        </w:tabs>
        <w:spacing w:after="0" w:line="240" w:lineRule="auto"/>
        <w:rPr>
          <w:rFonts w:ascii="Times New Roman" w:hAnsi="Times New Roman"/>
          <w:b/>
          <w:smallCaps/>
          <w:sz w:val="22"/>
          <w:szCs w:val="22"/>
          <w:lang w:val="bg-BG"/>
        </w:rPr>
      </w:pPr>
    </w:p>
    <w:p w14:paraId="0DD633F7" w14:textId="77777777" w:rsidR="002420A9" w:rsidRPr="006B7A46" w:rsidRDefault="002420A9" w:rsidP="00602ECA">
      <w:pPr>
        <w:tabs>
          <w:tab w:val="left" w:pos="342"/>
          <w:tab w:val="left" w:pos="1311"/>
          <w:tab w:val="left" w:pos="1368"/>
          <w:tab w:val="left" w:pos="2052"/>
        </w:tabs>
        <w:spacing w:after="0" w:line="240" w:lineRule="auto"/>
        <w:rPr>
          <w:rFonts w:ascii="Times New Roman" w:hAnsi="Times New Roman"/>
          <w:b/>
          <w:smallCaps/>
          <w:sz w:val="22"/>
          <w:szCs w:val="22"/>
          <w:lang w:val="bg-BG"/>
        </w:rPr>
      </w:pPr>
      <w:r w:rsidRPr="006B7A46">
        <w:rPr>
          <w:rFonts w:ascii="Times New Roman" w:hAnsi="Times New Roman"/>
          <w:b/>
          <w:smallCaps/>
          <w:sz w:val="22"/>
          <w:szCs w:val="22"/>
          <w:lang w:val="bg-BG"/>
        </w:rPr>
        <w:lastRenderedPageBreak/>
        <w:t>ЗАКЛЮЧЕНИЕ</w:t>
      </w:r>
    </w:p>
    <w:p w14:paraId="6D943044" w14:textId="77777777" w:rsidR="00A02CDD" w:rsidRPr="006B7A46" w:rsidRDefault="00A02CDD" w:rsidP="002420A9">
      <w:pPr>
        <w:tabs>
          <w:tab w:val="left" w:pos="342"/>
          <w:tab w:val="left" w:pos="1311"/>
          <w:tab w:val="left" w:pos="1368"/>
          <w:tab w:val="left" w:pos="2052"/>
        </w:tabs>
        <w:spacing w:after="0" w:line="240" w:lineRule="auto"/>
        <w:ind w:left="399" w:hanging="21"/>
        <w:rPr>
          <w:rFonts w:ascii="Times New Roman" w:hAnsi="Times New Roman"/>
          <w:b/>
          <w:smallCaps/>
          <w:sz w:val="10"/>
          <w:szCs w:val="10"/>
          <w:lang w:val="bg-BG"/>
        </w:rPr>
      </w:pPr>
    </w:p>
    <w:p w14:paraId="690CA0FA" w14:textId="77777777" w:rsidR="006941BC" w:rsidRPr="00DC04F0" w:rsidRDefault="002420A9" w:rsidP="00FB09BA">
      <w:pPr>
        <w:spacing w:line="240" w:lineRule="auto"/>
        <w:rPr>
          <w:rFonts w:ascii="Calibri" w:hAnsi="Calibri" w:cs="TimesNewRomanPSMT"/>
          <w:lang w:val="bg-BG" w:eastAsia="bg-BG"/>
        </w:rPr>
      </w:pPr>
      <w:r w:rsidRPr="006B7A46">
        <w:rPr>
          <w:rFonts w:ascii="Times New Roman" w:hAnsi="Times New Roman"/>
          <w:szCs w:val="24"/>
          <w:lang w:val="bg-BG" w:eastAsia="bg-BG"/>
        </w:rPr>
        <w:t>Дългосрочната инвестиционна политика на Д</w:t>
      </w:r>
      <w:r w:rsidR="006644C7">
        <w:rPr>
          <w:rFonts w:ascii="Times New Roman" w:hAnsi="Times New Roman"/>
          <w:szCs w:val="24"/>
          <w:lang w:val="bg-BG" w:eastAsia="bg-BG"/>
        </w:rPr>
        <w:t>ържавния фонд за гарантиране устойчивост на държавната пенсионна система</w:t>
      </w:r>
      <w:r w:rsidR="00DE3D33" w:rsidRPr="006B7A46">
        <w:rPr>
          <w:rFonts w:ascii="Times New Roman" w:hAnsi="Times New Roman"/>
          <w:szCs w:val="24"/>
          <w:lang w:val="bg-BG" w:eastAsia="bg-BG"/>
        </w:rPr>
        <w:t xml:space="preserve"> ще</w:t>
      </w:r>
      <w:r w:rsidR="009E7A60" w:rsidRPr="006B7A46">
        <w:rPr>
          <w:rFonts w:ascii="Times New Roman" w:hAnsi="Times New Roman"/>
          <w:szCs w:val="24"/>
          <w:lang w:val="bg-BG" w:eastAsia="bg-BG"/>
        </w:rPr>
        <w:t xml:space="preserve"> бъде съобразена с </w:t>
      </w:r>
      <w:r w:rsidR="0032714E" w:rsidRPr="006B7A46">
        <w:rPr>
          <w:rFonts w:ascii="Times New Roman" w:hAnsi="Times New Roman"/>
          <w:szCs w:val="24"/>
          <w:lang w:val="bg-BG" w:eastAsia="bg-BG"/>
        </w:rPr>
        <w:t xml:space="preserve">дългосрочната прогноза </w:t>
      </w:r>
      <w:r w:rsidR="00437BFC" w:rsidRPr="006B7A46">
        <w:rPr>
          <w:rFonts w:ascii="Times New Roman" w:hAnsi="Times New Roman"/>
          <w:szCs w:val="24"/>
          <w:lang w:val="bg-BG" w:eastAsia="bg-BG"/>
        </w:rPr>
        <w:t xml:space="preserve">с хоризонт </w:t>
      </w:r>
      <w:r w:rsidR="0032714E" w:rsidRPr="006B7A46">
        <w:rPr>
          <w:rFonts w:ascii="Times New Roman" w:hAnsi="Times New Roman"/>
          <w:szCs w:val="24"/>
          <w:lang w:val="bg-BG" w:eastAsia="bg-BG"/>
        </w:rPr>
        <w:t>до 2070 г. за разходите за пенсии, изплащани от ДОО</w:t>
      </w:r>
      <w:r w:rsidR="0069777F" w:rsidRPr="006B7A46">
        <w:rPr>
          <w:rFonts w:ascii="Times New Roman" w:hAnsi="Times New Roman"/>
          <w:szCs w:val="24"/>
          <w:lang w:val="bg-BG" w:eastAsia="bg-BG"/>
        </w:rPr>
        <w:t xml:space="preserve">. </w:t>
      </w:r>
      <w:r w:rsidR="00FB2D43" w:rsidRPr="006B7A46">
        <w:rPr>
          <w:rFonts w:ascii="Times New Roman" w:hAnsi="Times New Roman"/>
          <w:szCs w:val="24"/>
          <w:lang w:val="bg-BG" w:eastAsia="bg-BG"/>
        </w:rPr>
        <w:t xml:space="preserve">В средносрочен хоризонт </w:t>
      </w:r>
      <w:r w:rsidR="00DB0ED3" w:rsidRPr="006B7A46">
        <w:rPr>
          <w:rFonts w:ascii="Times New Roman" w:hAnsi="Times New Roman"/>
          <w:szCs w:val="24"/>
          <w:lang w:val="bg-BG" w:eastAsia="bg-BG"/>
        </w:rPr>
        <w:t xml:space="preserve">при </w:t>
      </w:r>
      <w:r w:rsidR="00A73AA7" w:rsidRPr="006B7A46">
        <w:rPr>
          <w:rFonts w:ascii="Times New Roman" w:hAnsi="Times New Roman"/>
          <w:szCs w:val="24"/>
          <w:lang w:val="bg-BG" w:eastAsia="bg-BG"/>
        </w:rPr>
        <w:t>прилагания до сега консервативен подход</w:t>
      </w:r>
      <w:r w:rsidR="00AC65C4" w:rsidRPr="006B7A46">
        <w:rPr>
          <w:rFonts w:ascii="Times New Roman" w:hAnsi="Times New Roman"/>
          <w:szCs w:val="24"/>
          <w:lang w:val="bg-BG" w:eastAsia="bg-BG"/>
        </w:rPr>
        <w:t xml:space="preserve"> а</w:t>
      </w:r>
      <w:r w:rsidR="00A73AA7" w:rsidRPr="006B7A46">
        <w:rPr>
          <w:rFonts w:ascii="Times New Roman" w:hAnsi="Times New Roman"/>
          <w:szCs w:val="24"/>
          <w:lang w:val="bg-BG" w:eastAsia="bg-BG"/>
        </w:rPr>
        <w:t xml:space="preserve">ктивите на </w:t>
      </w:r>
      <w:r w:rsidR="00E84F2E" w:rsidRPr="006B7A46">
        <w:rPr>
          <w:rFonts w:ascii="Times New Roman" w:hAnsi="Times New Roman"/>
          <w:szCs w:val="24"/>
          <w:lang w:val="bg-BG" w:eastAsia="bg-BG"/>
        </w:rPr>
        <w:t>ф</w:t>
      </w:r>
      <w:r w:rsidR="00A73AA7" w:rsidRPr="006B7A46">
        <w:rPr>
          <w:rFonts w:ascii="Times New Roman" w:hAnsi="Times New Roman"/>
          <w:szCs w:val="24"/>
          <w:lang w:val="bg-BG" w:eastAsia="bg-BG"/>
        </w:rPr>
        <w:t xml:space="preserve">онда </w:t>
      </w:r>
      <w:r w:rsidR="00AC038C" w:rsidRPr="006B7A46">
        <w:rPr>
          <w:rFonts w:ascii="Times New Roman" w:hAnsi="Times New Roman"/>
          <w:szCs w:val="24"/>
          <w:lang w:val="bg-BG" w:eastAsia="bg-BG"/>
        </w:rPr>
        <w:t xml:space="preserve">ще </w:t>
      </w:r>
      <w:r w:rsidR="00A73AA7" w:rsidRPr="006B7A46">
        <w:rPr>
          <w:rFonts w:ascii="Times New Roman" w:hAnsi="Times New Roman"/>
          <w:szCs w:val="24"/>
          <w:lang w:val="bg-BG" w:eastAsia="bg-BG"/>
        </w:rPr>
        <w:t>се управляват при спазване принципите на надеждност, ликвидност</w:t>
      </w:r>
      <w:r w:rsidR="00CF0138" w:rsidRPr="006B7A46">
        <w:rPr>
          <w:rFonts w:ascii="Times New Roman" w:hAnsi="Times New Roman"/>
          <w:szCs w:val="24"/>
          <w:lang w:val="bg-BG" w:eastAsia="bg-BG"/>
        </w:rPr>
        <w:t xml:space="preserve"> и прозрачност</w:t>
      </w:r>
      <w:r w:rsidR="00AC65C4" w:rsidRPr="006B7A46">
        <w:rPr>
          <w:rFonts w:ascii="Times New Roman" w:hAnsi="Times New Roman"/>
          <w:szCs w:val="24"/>
          <w:lang w:val="bg-BG" w:eastAsia="bg-BG"/>
        </w:rPr>
        <w:t xml:space="preserve"> под формата на депозит в централната банка или други инструменти по сметки в БНБ.</w:t>
      </w:r>
      <w:r w:rsidR="00FB2D43" w:rsidRPr="006B7A46">
        <w:rPr>
          <w:rFonts w:ascii="Times New Roman" w:hAnsi="Times New Roman"/>
          <w:szCs w:val="24"/>
          <w:lang w:val="bg-BG" w:eastAsia="bg-BG"/>
        </w:rPr>
        <w:t xml:space="preserve"> </w:t>
      </w:r>
      <w:r w:rsidR="00ED08C7" w:rsidRPr="006B7A46">
        <w:rPr>
          <w:rFonts w:ascii="Times New Roman" w:hAnsi="Times New Roman"/>
          <w:szCs w:val="24"/>
          <w:lang w:val="bg-BG" w:eastAsia="bg-BG"/>
        </w:rPr>
        <w:t>С</w:t>
      </w:r>
      <w:r w:rsidR="00ED08C7" w:rsidRPr="006B7A46">
        <w:rPr>
          <w:rFonts w:ascii="Times New Roman" w:eastAsia="Calibri" w:hAnsi="Times New Roman"/>
          <w:szCs w:val="24"/>
          <w:lang w:val="bg-BG"/>
        </w:rPr>
        <w:t xml:space="preserve"> оглед</w:t>
      </w:r>
      <w:r w:rsidR="00ED08C7" w:rsidRPr="006B7A46">
        <w:rPr>
          <w:rFonts w:ascii="Calibri" w:eastAsia="Calibri" w:hAnsi="Calibri"/>
          <w:sz w:val="22"/>
          <w:szCs w:val="22"/>
          <w:lang w:val="bg-BG"/>
        </w:rPr>
        <w:t xml:space="preserve"> </w:t>
      </w:r>
      <w:r w:rsidR="00ED08C7" w:rsidRPr="006B7A46">
        <w:rPr>
          <w:rFonts w:ascii="Times New Roman" w:eastAsia="Calibri" w:hAnsi="Times New Roman"/>
          <w:szCs w:val="24"/>
          <w:lang w:val="bg-BG"/>
        </w:rPr>
        <w:t xml:space="preserve">гарантирането на устойчивост на държавната пенсионна система, по-рисково инвестиране на средствата на фонда </w:t>
      </w:r>
      <w:r w:rsidR="00AE07EB" w:rsidRPr="006B7A46">
        <w:rPr>
          <w:rFonts w:ascii="Times New Roman" w:eastAsia="Calibri" w:hAnsi="Times New Roman"/>
          <w:szCs w:val="24"/>
          <w:lang w:val="bg-BG"/>
        </w:rPr>
        <w:t>е нецелесъобразно</w:t>
      </w:r>
      <w:r w:rsidR="00ED08C7" w:rsidRPr="006B7A46">
        <w:rPr>
          <w:rFonts w:ascii="Times New Roman" w:eastAsia="Calibri" w:hAnsi="Times New Roman"/>
          <w:szCs w:val="24"/>
          <w:lang w:val="bg-BG"/>
        </w:rPr>
        <w:t xml:space="preserve">. </w:t>
      </w:r>
      <w:r w:rsidR="00BE3794" w:rsidRPr="006B7A46">
        <w:rPr>
          <w:rFonts w:ascii="Times New Roman" w:hAnsi="Times New Roman"/>
          <w:szCs w:val="24"/>
          <w:lang w:val="bg-BG" w:eastAsia="bg-BG"/>
        </w:rPr>
        <w:t>В дългосрочен план, п</w:t>
      </w:r>
      <w:r w:rsidR="00FB2D43" w:rsidRPr="006B7A46">
        <w:rPr>
          <w:rFonts w:ascii="Times New Roman" w:hAnsi="Times New Roman"/>
          <w:szCs w:val="24"/>
          <w:lang w:val="bg-BG" w:eastAsia="bg-BG"/>
        </w:rPr>
        <w:t>ри благоприятно развитие на пазарните условия</w:t>
      </w:r>
      <w:r w:rsidR="001E79E2" w:rsidRPr="006B7A46">
        <w:rPr>
          <w:rFonts w:ascii="Times New Roman" w:hAnsi="Times New Roman"/>
          <w:szCs w:val="24"/>
          <w:lang w:val="bg-BG" w:eastAsia="bg-BG"/>
        </w:rPr>
        <w:t xml:space="preserve"> и при </w:t>
      </w:r>
      <w:r w:rsidR="00C01CE2" w:rsidRPr="006B7A46">
        <w:rPr>
          <w:rFonts w:ascii="Times New Roman" w:hAnsi="Times New Roman"/>
          <w:szCs w:val="24"/>
          <w:lang w:val="bg-BG" w:eastAsia="bg-BG"/>
        </w:rPr>
        <w:t>дефинирането</w:t>
      </w:r>
      <w:r w:rsidR="00453EBE" w:rsidRPr="006B7A46">
        <w:rPr>
          <w:rFonts w:ascii="Times New Roman" w:hAnsi="Times New Roman"/>
          <w:szCs w:val="24"/>
          <w:lang w:val="bg-BG" w:eastAsia="bg-BG"/>
        </w:rPr>
        <w:t xml:space="preserve"> на </w:t>
      </w:r>
      <w:r w:rsidR="001E79E2" w:rsidRPr="006B7A46">
        <w:rPr>
          <w:rFonts w:ascii="Times New Roman" w:hAnsi="Times New Roman"/>
          <w:szCs w:val="24"/>
          <w:lang w:val="bg-BG" w:eastAsia="bg-BG"/>
        </w:rPr>
        <w:t>ясен инвестиционен хоризонт</w:t>
      </w:r>
      <w:r w:rsidR="00453EBE" w:rsidRPr="006B7A46">
        <w:rPr>
          <w:rFonts w:ascii="Times New Roman" w:hAnsi="Times New Roman"/>
          <w:szCs w:val="24"/>
          <w:lang w:val="bg-BG" w:eastAsia="bg-BG"/>
        </w:rPr>
        <w:t>,</w:t>
      </w:r>
      <w:r w:rsidR="001E79E2" w:rsidRPr="006B7A46">
        <w:rPr>
          <w:rFonts w:ascii="Times New Roman" w:hAnsi="Times New Roman"/>
          <w:szCs w:val="24"/>
          <w:lang w:val="bg-BG" w:eastAsia="bg-BG"/>
        </w:rPr>
        <w:t xml:space="preserve"> </w:t>
      </w:r>
      <w:r w:rsidR="007964AF" w:rsidRPr="006B7A46">
        <w:rPr>
          <w:rFonts w:ascii="Times New Roman" w:hAnsi="Times New Roman"/>
          <w:szCs w:val="24"/>
          <w:lang w:val="bg-BG" w:eastAsia="bg-BG"/>
        </w:rPr>
        <w:t xml:space="preserve">възможността за </w:t>
      </w:r>
      <w:r w:rsidR="00AC65C4" w:rsidRPr="006B7A46">
        <w:rPr>
          <w:rFonts w:ascii="Times New Roman" w:hAnsi="Times New Roman"/>
          <w:szCs w:val="24"/>
          <w:lang w:val="bg-BG" w:eastAsia="bg-BG"/>
        </w:rPr>
        <w:t xml:space="preserve">по-активно управление на средствата на </w:t>
      </w:r>
      <w:r w:rsidR="00DB0ED3" w:rsidRPr="006B7A46">
        <w:rPr>
          <w:rFonts w:ascii="Times New Roman" w:hAnsi="Times New Roman"/>
          <w:szCs w:val="24"/>
          <w:lang w:val="bg-BG" w:eastAsia="bg-BG"/>
        </w:rPr>
        <w:t>ф</w:t>
      </w:r>
      <w:r w:rsidR="00AC65C4" w:rsidRPr="006B7A46">
        <w:rPr>
          <w:rFonts w:ascii="Times New Roman" w:hAnsi="Times New Roman"/>
          <w:szCs w:val="24"/>
          <w:lang w:val="bg-BG" w:eastAsia="bg-BG"/>
        </w:rPr>
        <w:t>онда и диверсификация на инвестициите</w:t>
      </w:r>
      <w:r w:rsidR="00DB0ED3" w:rsidRPr="006B7A46">
        <w:rPr>
          <w:rFonts w:ascii="Times New Roman" w:hAnsi="Times New Roman"/>
          <w:szCs w:val="24"/>
          <w:lang w:val="bg-BG" w:eastAsia="bg-BG"/>
        </w:rPr>
        <w:t xml:space="preserve"> ще бъде </w:t>
      </w:r>
      <w:r w:rsidR="00453EBE" w:rsidRPr="006B7A46">
        <w:rPr>
          <w:rFonts w:ascii="Times New Roman" w:hAnsi="Times New Roman"/>
          <w:szCs w:val="24"/>
          <w:lang w:val="bg-BG" w:eastAsia="bg-BG"/>
        </w:rPr>
        <w:t xml:space="preserve">анализирана </w:t>
      </w:r>
      <w:r w:rsidR="00DB0ED3" w:rsidRPr="006B7A46">
        <w:rPr>
          <w:rFonts w:ascii="Times New Roman" w:hAnsi="Times New Roman"/>
          <w:szCs w:val="24"/>
          <w:lang w:val="bg-BG" w:eastAsia="bg-BG"/>
        </w:rPr>
        <w:t>на база</w:t>
      </w:r>
      <w:r w:rsidR="00BE3794" w:rsidRPr="006B7A46">
        <w:rPr>
          <w:rFonts w:ascii="Times New Roman" w:hAnsi="Times New Roman"/>
          <w:szCs w:val="24"/>
          <w:lang w:val="bg-BG" w:eastAsia="bg-BG"/>
        </w:rPr>
        <w:t xml:space="preserve"> оценка на степента на риска, както и оценка на възможния нетен доход, след приспадане на разходите за управление на инвестициите</w:t>
      </w:r>
      <w:r w:rsidR="00E744AB" w:rsidRPr="006B7A46">
        <w:rPr>
          <w:rFonts w:ascii="Times New Roman" w:hAnsi="Times New Roman"/>
          <w:szCs w:val="24"/>
          <w:lang w:val="bg-BG" w:eastAsia="bg-BG"/>
        </w:rPr>
        <w:t xml:space="preserve"> и други разходи</w:t>
      </w:r>
      <w:r w:rsidR="00321DF4" w:rsidRPr="006B7A46">
        <w:rPr>
          <w:rFonts w:ascii="Times New Roman" w:hAnsi="Times New Roman"/>
          <w:szCs w:val="24"/>
          <w:lang w:val="bg-BG" w:eastAsia="bg-BG"/>
        </w:rPr>
        <w:t>, съгласно закона</w:t>
      </w:r>
      <w:r w:rsidR="00A73AA7" w:rsidRPr="006B7A46">
        <w:rPr>
          <w:rFonts w:ascii="Times New Roman" w:hAnsi="Times New Roman"/>
          <w:szCs w:val="24"/>
          <w:lang w:val="bg-BG" w:eastAsia="bg-BG"/>
        </w:rPr>
        <w:t>.</w:t>
      </w:r>
    </w:p>
    <w:sectPr w:rsidR="006941BC" w:rsidRPr="00DC04F0" w:rsidSect="002359E0">
      <w:footerReference w:type="default" r:id="rId9"/>
      <w:headerReference w:type="first" r:id="rId10"/>
      <w:footerReference w:type="first" r:id="rId11"/>
      <w:pgSz w:w="11906" w:h="16838" w:code="9"/>
      <w:pgMar w:top="993" w:right="1274" w:bottom="709" w:left="1425" w:header="507" w:footer="241" w:gutter="0"/>
      <w:cols w:space="708"/>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96D85" w14:textId="77777777" w:rsidR="000A678C" w:rsidRDefault="000A678C">
      <w:r>
        <w:separator/>
      </w:r>
    </w:p>
  </w:endnote>
  <w:endnote w:type="continuationSeparator" w:id="0">
    <w:p w14:paraId="5FB4E5E3" w14:textId="77777777" w:rsidR="000A678C" w:rsidRDefault="000A6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Futura Bk">
    <w:altName w:val="Century Gothic"/>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2099053"/>
      <w:docPartObj>
        <w:docPartGallery w:val="Page Numbers (Bottom of Page)"/>
        <w:docPartUnique/>
      </w:docPartObj>
    </w:sdtPr>
    <w:sdtEndPr>
      <w:rPr>
        <w:rFonts w:ascii="Times New Roman" w:hAnsi="Times New Roman"/>
        <w:noProof/>
      </w:rPr>
    </w:sdtEndPr>
    <w:sdtContent>
      <w:p w14:paraId="7F197B67" w14:textId="77777777" w:rsidR="00FD19B8" w:rsidRPr="00EB3BAB" w:rsidRDefault="00FD19B8">
        <w:pPr>
          <w:pStyle w:val="Footer"/>
          <w:jc w:val="center"/>
          <w:rPr>
            <w:rFonts w:ascii="Times New Roman" w:hAnsi="Times New Roman"/>
          </w:rPr>
        </w:pPr>
        <w:r w:rsidRPr="00EB3BAB">
          <w:rPr>
            <w:rFonts w:ascii="Times New Roman" w:hAnsi="Times New Roman"/>
          </w:rPr>
          <w:fldChar w:fldCharType="begin"/>
        </w:r>
        <w:r w:rsidRPr="00EB3BAB">
          <w:rPr>
            <w:rFonts w:ascii="Times New Roman" w:hAnsi="Times New Roman"/>
          </w:rPr>
          <w:instrText xml:space="preserve"> PAGE   \* MERGEFORMAT </w:instrText>
        </w:r>
        <w:r w:rsidRPr="00EB3BAB">
          <w:rPr>
            <w:rFonts w:ascii="Times New Roman" w:hAnsi="Times New Roman"/>
          </w:rPr>
          <w:fldChar w:fldCharType="separate"/>
        </w:r>
        <w:r w:rsidR="00365DE9">
          <w:rPr>
            <w:rFonts w:ascii="Times New Roman" w:hAnsi="Times New Roman"/>
            <w:noProof/>
          </w:rPr>
          <w:t>12</w:t>
        </w:r>
        <w:r w:rsidRPr="00EB3BAB">
          <w:rPr>
            <w:rFonts w:ascii="Times New Roman" w:hAnsi="Times New Roman"/>
            <w:noProof/>
          </w:rPr>
          <w:fldChar w:fldCharType="end"/>
        </w:r>
      </w:p>
    </w:sdtContent>
  </w:sdt>
  <w:p w14:paraId="0FA00CF1" w14:textId="77777777" w:rsidR="00FD19B8" w:rsidRDefault="00FD19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50CA0" w14:textId="77777777" w:rsidR="006F029B" w:rsidRDefault="006F029B">
    <w:pPr>
      <w:pStyle w:val="Footer"/>
      <w:tabs>
        <w:tab w:val="clear" w:pos="4153"/>
        <w:tab w:val="clear" w:pos="8306"/>
        <w:tab w:val="center" w:pos="5358"/>
        <w:tab w:val="right" w:pos="9923"/>
      </w:tabs>
      <w:spacing w:after="0" w:line="240" w:lineRule="auto"/>
      <w:ind w:left="-855" w:firstLine="0"/>
      <w:jc w:val="left"/>
      <w:rPr>
        <w:rFonts w:ascii="Times New Roman CYR" w:hAnsi="Times New Roman CYR"/>
        <w:b/>
        <w:color w:val="000000"/>
        <w:sz w:val="16"/>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88195" w14:textId="77777777" w:rsidR="000A678C" w:rsidRDefault="000A678C">
      <w:r>
        <w:separator/>
      </w:r>
    </w:p>
  </w:footnote>
  <w:footnote w:type="continuationSeparator" w:id="0">
    <w:p w14:paraId="04B35F86" w14:textId="77777777" w:rsidR="000A678C" w:rsidRDefault="000A6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3C64" w14:textId="77777777" w:rsidR="006F029B" w:rsidRPr="00CD2BD9" w:rsidRDefault="006F029B">
    <w:pPr>
      <w:autoSpaceDE w:val="0"/>
      <w:autoSpaceDN w:val="0"/>
      <w:adjustRightInd w:val="0"/>
      <w:spacing w:after="0" w:line="180" w:lineRule="atLeast"/>
      <w:ind w:left="-741" w:firstLine="228"/>
      <w:jc w:val="left"/>
      <w:rPr>
        <w:rFonts w:ascii="Times New Roman CYR" w:hAnsi="Times New Roman CYR"/>
        <w:sz w:val="22"/>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733F"/>
    <w:multiLevelType w:val="hybridMultilevel"/>
    <w:tmpl w:val="D5942CDE"/>
    <w:lvl w:ilvl="0" w:tplc="04090001">
      <w:start w:val="1"/>
      <w:numFmt w:val="bullet"/>
      <w:lvlText w:val=""/>
      <w:lvlJc w:val="left"/>
      <w:pPr>
        <w:ind w:left="720" w:hanging="360"/>
      </w:pPr>
      <w:rPr>
        <w:rFonts w:ascii="Symbol" w:hAnsi="Symbol" w:hint="default"/>
      </w:rPr>
    </w:lvl>
    <w:lvl w:ilvl="1" w:tplc="0402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A5EB3"/>
    <w:multiLevelType w:val="hybridMultilevel"/>
    <w:tmpl w:val="65DAF5F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5024AEB"/>
    <w:multiLevelType w:val="hybridMultilevel"/>
    <w:tmpl w:val="8E4EAEC0"/>
    <w:lvl w:ilvl="0" w:tplc="04020001">
      <w:start w:val="1"/>
      <w:numFmt w:val="bullet"/>
      <w:lvlText w:val=""/>
      <w:lvlJc w:val="left"/>
      <w:pPr>
        <w:ind w:left="1230" w:hanging="360"/>
      </w:pPr>
      <w:rPr>
        <w:rFonts w:ascii="Symbol" w:hAnsi="Symbol" w:hint="default"/>
      </w:rPr>
    </w:lvl>
    <w:lvl w:ilvl="1" w:tplc="04020003" w:tentative="1">
      <w:start w:val="1"/>
      <w:numFmt w:val="bullet"/>
      <w:lvlText w:val="o"/>
      <w:lvlJc w:val="left"/>
      <w:pPr>
        <w:ind w:left="1950" w:hanging="360"/>
      </w:pPr>
      <w:rPr>
        <w:rFonts w:ascii="Courier New" w:hAnsi="Courier New" w:cs="Courier New" w:hint="default"/>
      </w:rPr>
    </w:lvl>
    <w:lvl w:ilvl="2" w:tplc="04020005" w:tentative="1">
      <w:start w:val="1"/>
      <w:numFmt w:val="bullet"/>
      <w:lvlText w:val=""/>
      <w:lvlJc w:val="left"/>
      <w:pPr>
        <w:ind w:left="2670" w:hanging="360"/>
      </w:pPr>
      <w:rPr>
        <w:rFonts w:ascii="Wingdings" w:hAnsi="Wingdings" w:hint="default"/>
      </w:rPr>
    </w:lvl>
    <w:lvl w:ilvl="3" w:tplc="04020001" w:tentative="1">
      <w:start w:val="1"/>
      <w:numFmt w:val="bullet"/>
      <w:lvlText w:val=""/>
      <w:lvlJc w:val="left"/>
      <w:pPr>
        <w:ind w:left="3390" w:hanging="360"/>
      </w:pPr>
      <w:rPr>
        <w:rFonts w:ascii="Symbol" w:hAnsi="Symbol" w:hint="default"/>
      </w:rPr>
    </w:lvl>
    <w:lvl w:ilvl="4" w:tplc="04020003" w:tentative="1">
      <w:start w:val="1"/>
      <w:numFmt w:val="bullet"/>
      <w:lvlText w:val="o"/>
      <w:lvlJc w:val="left"/>
      <w:pPr>
        <w:ind w:left="4110" w:hanging="360"/>
      </w:pPr>
      <w:rPr>
        <w:rFonts w:ascii="Courier New" w:hAnsi="Courier New" w:cs="Courier New" w:hint="default"/>
      </w:rPr>
    </w:lvl>
    <w:lvl w:ilvl="5" w:tplc="04020005" w:tentative="1">
      <w:start w:val="1"/>
      <w:numFmt w:val="bullet"/>
      <w:lvlText w:val=""/>
      <w:lvlJc w:val="left"/>
      <w:pPr>
        <w:ind w:left="4830" w:hanging="360"/>
      </w:pPr>
      <w:rPr>
        <w:rFonts w:ascii="Wingdings" w:hAnsi="Wingdings" w:hint="default"/>
      </w:rPr>
    </w:lvl>
    <w:lvl w:ilvl="6" w:tplc="04020001" w:tentative="1">
      <w:start w:val="1"/>
      <w:numFmt w:val="bullet"/>
      <w:lvlText w:val=""/>
      <w:lvlJc w:val="left"/>
      <w:pPr>
        <w:ind w:left="5550" w:hanging="360"/>
      </w:pPr>
      <w:rPr>
        <w:rFonts w:ascii="Symbol" w:hAnsi="Symbol" w:hint="default"/>
      </w:rPr>
    </w:lvl>
    <w:lvl w:ilvl="7" w:tplc="04020003" w:tentative="1">
      <w:start w:val="1"/>
      <w:numFmt w:val="bullet"/>
      <w:lvlText w:val="o"/>
      <w:lvlJc w:val="left"/>
      <w:pPr>
        <w:ind w:left="6270" w:hanging="360"/>
      </w:pPr>
      <w:rPr>
        <w:rFonts w:ascii="Courier New" w:hAnsi="Courier New" w:cs="Courier New" w:hint="default"/>
      </w:rPr>
    </w:lvl>
    <w:lvl w:ilvl="8" w:tplc="04020005" w:tentative="1">
      <w:start w:val="1"/>
      <w:numFmt w:val="bullet"/>
      <w:lvlText w:val=""/>
      <w:lvlJc w:val="left"/>
      <w:pPr>
        <w:ind w:left="6990" w:hanging="360"/>
      </w:pPr>
      <w:rPr>
        <w:rFonts w:ascii="Wingdings" w:hAnsi="Wingdings" w:hint="default"/>
      </w:rPr>
    </w:lvl>
  </w:abstractNum>
  <w:abstractNum w:abstractNumId="3" w15:restartNumberingAfterBreak="0">
    <w:nsid w:val="08491904"/>
    <w:multiLevelType w:val="multilevel"/>
    <w:tmpl w:val="BDCCBEA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 w15:restartNumberingAfterBreak="0">
    <w:nsid w:val="0B1C7525"/>
    <w:multiLevelType w:val="hybridMultilevel"/>
    <w:tmpl w:val="B198A00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0D011A59"/>
    <w:multiLevelType w:val="hybridMultilevel"/>
    <w:tmpl w:val="0A3A9708"/>
    <w:lvl w:ilvl="0" w:tplc="9D961684">
      <w:start w:val="1"/>
      <w:numFmt w:val="bullet"/>
      <w:lvlText w:val="-"/>
      <w:lvlJc w:val="left"/>
      <w:pPr>
        <w:ind w:left="1080" w:hanging="360"/>
      </w:pPr>
      <w:rPr>
        <w:rFonts w:ascii="Times New Roman" w:eastAsia="Times New Roman" w:hAnsi="Times New Roman" w:hint="default"/>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6" w15:restartNumberingAfterBreak="0">
    <w:nsid w:val="1113298B"/>
    <w:multiLevelType w:val="hybridMultilevel"/>
    <w:tmpl w:val="1A5EF558"/>
    <w:lvl w:ilvl="0" w:tplc="1116BE38">
      <w:start w:val="2"/>
      <w:numFmt w:val="bullet"/>
      <w:lvlText w:val="-"/>
      <w:lvlJc w:val="left"/>
      <w:pPr>
        <w:tabs>
          <w:tab w:val="num" w:pos="1065"/>
        </w:tabs>
        <w:ind w:left="1065" w:hanging="360"/>
      </w:pPr>
      <w:rPr>
        <w:rFonts w:ascii="Times New Roman" w:eastAsia="Times New Roman" w:hAnsi="Times New Roman" w:cs="Times New Roman" w:hint="default"/>
        <w:b w:val="0"/>
      </w:rPr>
    </w:lvl>
    <w:lvl w:ilvl="1" w:tplc="04020003" w:tentative="1">
      <w:start w:val="1"/>
      <w:numFmt w:val="bullet"/>
      <w:lvlText w:val="o"/>
      <w:lvlJc w:val="left"/>
      <w:pPr>
        <w:tabs>
          <w:tab w:val="num" w:pos="1785"/>
        </w:tabs>
        <w:ind w:left="1785" w:hanging="360"/>
      </w:pPr>
      <w:rPr>
        <w:rFonts w:ascii="Courier New" w:hAnsi="Courier New" w:cs="Courier New" w:hint="default"/>
      </w:rPr>
    </w:lvl>
    <w:lvl w:ilvl="2" w:tplc="04020005" w:tentative="1">
      <w:start w:val="1"/>
      <w:numFmt w:val="bullet"/>
      <w:lvlText w:val=""/>
      <w:lvlJc w:val="left"/>
      <w:pPr>
        <w:tabs>
          <w:tab w:val="num" w:pos="2505"/>
        </w:tabs>
        <w:ind w:left="2505" w:hanging="360"/>
      </w:pPr>
      <w:rPr>
        <w:rFonts w:ascii="Wingdings" w:hAnsi="Wingdings" w:hint="default"/>
      </w:rPr>
    </w:lvl>
    <w:lvl w:ilvl="3" w:tplc="04020001" w:tentative="1">
      <w:start w:val="1"/>
      <w:numFmt w:val="bullet"/>
      <w:lvlText w:val=""/>
      <w:lvlJc w:val="left"/>
      <w:pPr>
        <w:tabs>
          <w:tab w:val="num" w:pos="3225"/>
        </w:tabs>
        <w:ind w:left="3225" w:hanging="360"/>
      </w:pPr>
      <w:rPr>
        <w:rFonts w:ascii="Symbol" w:hAnsi="Symbol" w:hint="default"/>
      </w:rPr>
    </w:lvl>
    <w:lvl w:ilvl="4" w:tplc="04020003" w:tentative="1">
      <w:start w:val="1"/>
      <w:numFmt w:val="bullet"/>
      <w:lvlText w:val="o"/>
      <w:lvlJc w:val="left"/>
      <w:pPr>
        <w:tabs>
          <w:tab w:val="num" w:pos="3945"/>
        </w:tabs>
        <w:ind w:left="3945" w:hanging="360"/>
      </w:pPr>
      <w:rPr>
        <w:rFonts w:ascii="Courier New" w:hAnsi="Courier New" w:cs="Courier New" w:hint="default"/>
      </w:rPr>
    </w:lvl>
    <w:lvl w:ilvl="5" w:tplc="04020005" w:tentative="1">
      <w:start w:val="1"/>
      <w:numFmt w:val="bullet"/>
      <w:lvlText w:val=""/>
      <w:lvlJc w:val="left"/>
      <w:pPr>
        <w:tabs>
          <w:tab w:val="num" w:pos="4665"/>
        </w:tabs>
        <w:ind w:left="4665" w:hanging="360"/>
      </w:pPr>
      <w:rPr>
        <w:rFonts w:ascii="Wingdings" w:hAnsi="Wingdings" w:hint="default"/>
      </w:rPr>
    </w:lvl>
    <w:lvl w:ilvl="6" w:tplc="04020001" w:tentative="1">
      <w:start w:val="1"/>
      <w:numFmt w:val="bullet"/>
      <w:lvlText w:val=""/>
      <w:lvlJc w:val="left"/>
      <w:pPr>
        <w:tabs>
          <w:tab w:val="num" w:pos="5385"/>
        </w:tabs>
        <w:ind w:left="5385" w:hanging="360"/>
      </w:pPr>
      <w:rPr>
        <w:rFonts w:ascii="Symbol" w:hAnsi="Symbol" w:hint="default"/>
      </w:rPr>
    </w:lvl>
    <w:lvl w:ilvl="7" w:tplc="04020003" w:tentative="1">
      <w:start w:val="1"/>
      <w:numFmt w:val="bullet"/>
      <w:lvlText w:val="o"/>
      <w:lvlJc w:val="left"/>
      <w:pPr>
        <w:tabs>
          <w:tab w:val="num" w:pos="6105"/>
        </w:tabs>
        <w:ind w:left="6105" w:hanging="360"/>
      </w:pPr>
      <w:rPr>
        <w:rFonts w:ascii="Courier New" w:hAnsi="Courier New" w:cs="Courier New" w:hint="default"/>
      </w:rPr>
    </w:lvl>
    <w:lvl w:ilvl="8" w:tplc="0402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191E5630"/>
    <w:multiLevelType w:val="hybridMultilevel"/>
    <w:tmpl w:val="5578626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C45E5C"/>
    <w:multiLevelType w:val="hybridMultilevel"/>
    <w:tmpl w:val="BAEC8C8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1D17F1B"/>
    <w:multiLevelType w:val="multilevel"/>
    <w:tmpl w:val="11B25C8C"/>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8E3462"/>
    <w:multiLevelType w:val="hybridMultilevel"/>
    <w:tmpl w:val="B5642C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4F45399"/>
    <w:multiLevelType w:val="hybridMultilevel"/>
    <w:tmpl w:val="325C413E"/>
    <w:lvl w:ilvl="0" w:tplc="6F2EB42C">
      <w:start w:val="1"/>
      <w:numFmt w:val="bullet"/>
      <w:lvlText w:val=""/>
      <w:lvlJc w:val="left"/>
      <w:pPr>
        <w:tabs>
          <w:tab w:val="num" w:pos="2160"/>
        </w:tabs>
        <w:ind w:left="2160" w:hanging="360"/>
      </w:pPr>
      <w:rPr>
        <w:rFonts w:ascii="Symbol" w:hAnsi="Symbol" w:hint="default"/>
      </w:rPr>
    </w:lvl>
    <w:lvl w:ilvl="1" w:tplc="04020003">
      <w:start w:val="1"/>
      <w:numFmt w:val="bullet"/>
      <w:lvlText w:val="o"/>
      <w:lvlJc w:val="left"/>
      <w:pPr>
        <w:tabs>
          <w:tab w:val="num" w:pos="2160"/>
        </w:tabs>
        <w:ind w:left="2160" w:hanging="360"/>
      </w:pPr>
      <w:rPr>
        <w:rFonts w:ascii="Courier New" w:hAnsi="Courier New" w:cs="Courier New" w:hint="default"/>
      </w:rPr>
    </w:lvl>
    <w:lvl w:ilvl="2" w:tplc="27C4F7DE">
      <w:start w:val="1"/>
      <w:numFmt w:val="bullet"/>
      <w:lvlText w:val=""/>
      <w:lvlJc w:val="left"/>
      <w:pPr>
        <w:tabs>
          <w:tab w:val="num" w:pos="2860"/>
        </w:tabs>
        <w:ind w:left="2860" w:hanging="340"/>
      </w:pPr>
      <w:rPr>
        <w:rFonts w:ascii="Symbol" w:hAnsi="Symbol" w:hint="default"/>
        <w:color w:val="auto"/>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8D813A3"/>
    <w:multiLevelType w:val="hybridMultilevel"/>
    <w:tmpl w:val="2E40DBD0"/>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3" w15:restartNumberingAfterBreak="0">
    <w:nsid w:val="295F5B9E"/>
    <w:multiLevelType w:val="hybridMultilevel"/>
    <w:tmpl w:val="12640998"/>
    <w:lvl w:ilvl="0" w:tplc="14E4E4FC">
      <w:numFmt w:val="bullet"/>
      <w:lvlText w:val="-"/>
      <w:lvlJc w:val="left"/>
      <w:pPr>
        <w:ind w:left="1068" w:hanging="360"/>
      </w:pPr>
      <w:rPr>
        <w:rFonts w:ascii="Times New Roman" w:eastAsia="Calibri"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4" w15:restartNumberingAfterBreak="0">
    <w:nsid w:val="2CD46D06"/>
    <w:multiLevelType w:val="hybridMultilevel"/>
    <w:tmpl w:val="CE12FFF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7B467C"/>
    <w:multiLevelType w:val="hybridMultilevel"/>
    <w:tmpl w:val="6986A438"/>
    <w:lvl w:ilvl="0" w:tplc="F60E2136">
      <w:start w:val="1"/>
      <w:numFmt w:val="decimal"/>
      <w:lvlText w:val="%1.1"/>
      <w:lvlJc w:val="left"/>
      <w:pPr>
        <w:tabs>
          <w:tab w:val="num" w:pos="720"/>
        </w:tabs>
        <w:ind w:left="720" w:hanging="360"/>
      </w:pPr>
      <w:rPr>
        <w:rFonts w:cs="Times New Roman" w:hint="default"/>
      </w:rPr>
    </w:lvl>
    <w:lvl w:ilvl="1" w:tplc="0402000B">
      <w:start w:val="1"/>
      <w:numFmt w:val="bullet"/>
      <w:lvlText w:val=""/>
      <w:lvlJc w:val="left"/>
      <w:pPr>
        <w:tabs>
          <w:tab w:val="num" w:pos="1440"/>
        </w:tabs>
        <w:ind w:left="1440" w:hanging="360"/>
      </w:pPr>
      <w:rPr>
        <w:rFonts w:ascii="Wingdings" w:hAnsi="Wingdings" w:hint="default"/>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0A323A7"/>
    <w:multiLevelType w:val="hybridMultilevel"/>
    <w:tmpl w:val="E312C874"/>
    <w:lvl w:ilvl="0" w:tplc="04020001">
      <w:start w:val="1"/>
      <w:numFmt w:val="bullet"/>
      <w:lvlText w:val=""/>
      <w:lvlJc w:val="left"/>
      <w:pPr>
        <w:ind w:left="1800" w:hanging="360"/>
      </w:pPr>
      <w:rPr>
        <w:rFonts w:ascii="Symbol" w:hAnsi="Symbol"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17" w15:restartNumberingAfterBreak="0">
    <w:nsid w:val="34C94373"/>
    <w:multiLevelType w:val="hybridMultilevel"/>
    <w:tmpl w:val="718441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C1543D9"/>
    <w:multiLevelType w:val="singleLevel"/>
    <w:tmpl w:val="36C47592"/>
    <w:lvl w:ilvl="0">
      <w:start w:val="1"/>
      <w:numFmt w:val="decimal"/>
      <w:lvlText w:val="%1."/>
      <w:lvlJc w:val="left"/>
      <w:pPr>
        <w:tabs>
          <w:tab w:val="num" w:pos="1080"/>
        </w:tabs>
        <w:ind w:left="1080" w:hanging="360"/>
      </w:pPr>
      <w:rPr>
        <w:rFonts w:hint="default"/>
      </w:rPr>
    </w:lvl>
  </w:abstractNum>
  <w:abstractNum w:abstractNumId="19" w15:restartNumberingAfterBreak="0">
    <w:nsid w:val="3E870507"/>
    <w:multiLevelType w:val="hybridMultilevel"/>
    <w:tmpl w:val="2E30722C"/>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F5565BE"/>
    <w:multiLevelType w:val="hybridMultilevel"/>
    <w:tmpl w:val="6F1E573E"/>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1" w15:restartNumberingAfterBreak="0">
    <w:nsid w:val="419535A9"/>
    <w:multiLevelType w:val="hybridMultilevel"/>
    <w:tmpl w:val="AA0AB490"/>
    <w:lvl w:ilvl="0" w:tplc="0402000B">
      <w:start w:val="1"/>
      <w:numFmt w:val="bullet"/>
      <w:lvlText w:val=""/>
      <w:lvlJc w:val="left"/>
      <w:pPr>
        <w:tabs>
          <w:tab w:val="num" w:pos="1440"/>
        </w:tabs>
        <w:ind w:left="1440" w:hanging="360"/>
      </w:pPr>
      <w:rPr>
        <w:rFonts w:ascii="Wingdings" w:hAnsi="Wingdings" w:hint="default"/>
      </w:rPr>
    </w:lvl>
    <w:lvl w:ilvl="1" w:tplc="04020003" w:tentative="1">
      <w:start w:val="1"/>
      <w:numFmt w:val="bullet"/>
      <w:lvlText w:val="o"/>
      <w:lvlJc w:val="left"/>
      <w:pPr>
        <w:tabs>
          <w:tab w:val="num" w:pos="2160"/>
        </w:tabs>
        <w:ind w:left="2160" w:hanging="360"/>
      </w:pPr>
      <w:rPr>
        <w:rFonts w:ascii="Courier New" w:hAnsi="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51B5DBA"/>
    <w:multiLevelType w:val="hybridMultilevel"/>
    <w:tmpl w:val="F7365586"/>
    <w:lvl w:ilvl="0" w:tplc="C4A0D012">
      <w:start w:val="1"/>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23" w15:restartNumberingAfterBreak="0">
    <w:nsid w:val="47082FA0"/>
    <w:multiLevelType w:val="hybridMultilevel"/>
    <w:tmpl w:val="5260B8BA"/>
    <w:lvl w:ilvl="0" w:tplc="4266D3D8">
      <w:start w:val="1"/>
      <w:numFmt w:val="decimal"/>
      <w:lvlText w:val="%1."/>
      <w:lvlJc w:val="left"/>
      <w:pPr>
        <w:ind w:left="720" w:hanging="360"/>
      </w:pPr>
      <w:rPr>
        <w:rFonts w:ascii="Times New Roman" w:hAnsi="Times New Roman" w:cs="Times New Roman" w:hint="default"/>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477D37CF"/>
    <w:multiLevelType w:val="hybridMultilevel"/>
    <w:tmpl w:val="BB24D148"/>
    <w:lvl w:ilvl="0" w:tplc="78AE5004">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5" w15:restartNumberingAfterBreak="0">
    <w:nsid w:val="49B27CE8"/>
    <w:multiLevelType w:val="multilevel"/>
    <w:tmpl w:val="549A01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5645AC"/>
    <w:multiLevelType w:val="hybridMultilevel"/>
    <w:tmpl w:val="4F887074"/>
    <w:lvl w:ilvl="0" w:tplc="8130B116">
      <w:start w:val="1"/>
      <w:numFmt w:val="decimal"/>
      <w:lvlText w:val="%1."/>
      <w:lvlJc w:val="left"/>
      <w:pPr>
        <w:ind w:left="1725" w:hanging="1005"/>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7" w15:restartNumberingAfterBreak="0">
    <w:nsid w:val="5CCB3395"/>
    <w:multiLevelType w:val="hybridMultilevel"/>
    <w:tmpl w:val="FE8A8072"/>
    <w:lvl w:ilvl="0" w:tplc="F740D6AC">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8" w15:restartNumberingAfterBreak="0">
    <w:nsid w:val="61524081"/>
    <w:multiLevelType w:val="hybridMultilevel"/>
    <w:tmpl w:val="8A38FD5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61BF1574"/>
    <w:multiLevelType w:val="hybridMultilevel"/>
    <w:tmpl w:val="8E20D40C"/>
    <w:lvl w:ilvl="0" w:tplc="4BAEC5F2">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0" w15:restartNumberingAfterBreak="0">
    <w:nsid w:val="622E4199"/>
    <w:multiLevelType w:val="hybridMultilevel"/>
    <w:tmpl w:val="81FAD040"/>
    <w:lvl w:ilvl="0" w:tplc="0402000B">
      <w:start w:val="1"/>
      <w:numFmt w:val="bullet"/>
      <w:lvlText w:val=""/>
      <w:lvlJc w:val="left"/>
      <w:pPr>
        <w:tabs>
          <w:tab w:val="num" w:pos="360"/>
        </w:tabs>
        <w:ind w:left="360" w:hanging="360"/>
      </w:pPr>
      <w:rPr>
        <w:rFonts w:ascii="Wingdings" w:hAnsi="Wingdings"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58865D2"/>
    <w:multiLevelType w:val="hybridMultilevel"/>
    <w:tmpl w:val="ED822704"/>
    <w:lvl w:ilvl="0" w:tplc="04020001">
      <w:start w:val="1"/>
      <w:numFmt w:val="bullet"/>
      <w:lvlText w:val=""/>
      <w:lvlJc w:val="left"/>
      <w:pPr>
        <w:tabs>
          <w:tab w:val="num" w:pos="2160"/>
        </w:tabs>
        <w:ind w:left="2160" w:hanging="360"/>
      </w:pPr>
      <w:rPr>
        <w:rFonts w:ascii="Symbol" w:hAnsi="Symbol" w:hint="default"/>
      </w:rPr>
    </w:lvl>
    <w:lvl w:ilvl="1" w:tplc="04020003" w:tentative="1">
      <w:start w:val="1"/>
      <w:numFmt w:val="bullet"/>
      <w:lvlText w:val="o"/>
      <w:lvlJc w:val="left"/>
      <w:pPr>
        <w:tabs>
          <w:tab w:val="num" w:pos="2880"/>
        </w:tabs>
        <w:ind w:left="2880" w:hanging="360"/>
      </w:pPr>
      <w:rPr>
        <w:rFonts w:ascii="Courier New" w:hAnsi="Courier New" w:cs="Courier New" w:hint="default"/>
      </w:rPr>
    </w:lvl>
    <w:lvl w:ilvl="2" w:tplc="04020005" w:tentative="1">
      <w:start w:val="1"/>
      <w:numFmt w:val="bullet"/>
      <w:lvlText w:val=""/>
      <w:lvlJc w:val="left"/>
      <w:pPr>
        <w:tabs>
          <w:tab w:val="num" w:pos="3600"/>
        </w:tabs>
        <w:ind w:left="3600" w:hanging="360"/>
      </w:pPr>
      <w:rPr>
        <w:rFonts w:ascii="Wingdings" w:hAnsi="Wingdings" w:hint="default"/>
      </w:rPr>
    </w:lvl>
    <w:lvl w:ilvl="3" w:tplc="04020001" w:tentative="1">
      <w:start w:val="1"/>
      <w:numFmt w:val="bullet"/>
      <w:lvlText w:val=""/>
      <w:lvlJc w:val="left"/>
      <w:pPr>
        <w:tabs>
          <w:tab w:val="num" w:pos="4320"/>
        </w:tabs>
        <w:ind w:left="4320" w:hanging="360"/>
      </w:pPr>
      <w:rPr>
        <w:rFonts w:ascii="Symbol" w:hAnsi="Symbol" w:hint="default"/>
      </w:rPr>
    </w:lvl>
    <w:lvl w:ilvl="4" w:tplc="04020003" w:tentative="1">
      <w:start w:val="1"/>
      <w:numFmt w:val="bullet"/>
      <w:lvlText w:val="o"/>
      <w:lvlJc w:val="left"/>
      <w:pPr>
        <w:tabs>
          <w:tab w:val="num" w:pos="5040"/>
        </w:tabs>
        <w:ind w:left="5040" w:hanging="360"/>
      </w:pPr>
      <w:rPr>
        <w:rFonts w:ascii="Courier New" w:hAnsi="Courier New" w:cs="Courier New" w:hint="default"/>
      </w:rPr>
    </w:lvl>
    <w:lvl w:ilvl="5" w:tplc="04020005" w:tentative="1">
      <w:start w:val="1"/>
      <w:numFmt w:val="bullet"/>
      <w:lvlText w:val=""/>
      <w:lvlJc w:val="left"/>
      <w:pPr>
        <w:tabs>
          <w:tab w:val="num" w:pos="5760"/>
        </w:tabs>
        <w:ind w:left="5760" w:hanging="360"/>
      </w:pPr>
      <w:rPr>
        <w:rFonts w:ascii="Wingdings" w:hAnsi="Wingdings" w:hint="default"/>
      </w:rPr>
    </w:lvl>
    <w:lvl w:ilvl="6" w:tplc="04020001" w:tentative="1">
      <w:start w:val="1"/>
      <w:numFmt w:val="bullet"/>
      <w:lvlText w:val=""/>
      <w:lvlJc w:val="left"/>
      <w:pPr>
        <w:tabs>
          <w:tab w:val="num" w:pos="6480"/>
        </w:tabs>
        <w:ind w:left="6480" w:hanging="360"/>
      </w:pPr>
      <w:rPr>
        <w:rFonts w:ascii="Symbol" w:hAnsi="Symbol" w:hint="default"/>
      </w:rPr>
    </w:lvl>
    <w:lvl w:ilvl="7" w:tplc="04020003" w:tentative="1">
      <w:start w:val="1"/>
      <w:numFmt w:val="bullet"/>
      <w:lvlText w:val="o"/>
      <w:lvlJc w:val="left"/>
      <w:pPr>
        <w:tabs>
          <w:tab w:val="num" w:pos="7200"/>
        </w:tabs>
        <w:ind w:left="7200" w:hanging="360"/>
      </w:pPr>
      <w:rPr>
        <w:rFonts w:ascii="Courier New" w:hAnsi="Courier New" w:cs="Courier New" w:hint="default"/>
      </w:rPr>
    </w:lvl>
    <w:lvl w:ilvl="8" w:tplc="0402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66854F11"/>
    <w:multiLevelType w:val="hybridMultilevel"/>
    <w:tmpl w:val="A754BB76"/>
    <w:lvl w:ilvl="0" w:tplc="3D5C5E1E">
      <w:start w:val="1"/>
      <w:numFmt w:val="decimal"/>
      <w:lvlText w:val="%1."/>
      <w:lvlJc w:val="left"/>
      <w:pPr>
        <w:tabs>
          <w:tab w:val="num" w:pos="1710"/>
        </w:tabs>
        <w:ind w:left="1710" w:hanging="990"/>
      </w:pPr>
      <w:rPr>
        <w:rFonts w:ascii="Times New Roman" w:eastAsia="Times New Roman" w:hAnsi="Times New Roman" w:cs="Times New Roman"/>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33" w15:restartNumberingAfterBreak="0">
    <w:nsid w:val="672A015D"/>
    <w:multiLevelType w:val="hybridMultilevel"/>
    <w:tmpl w:val="AB26454A"/>
    <w:lvl w:ilvl="0" w:tplc="23A02F02">
      <w:start w:val="2"/>
      <w:numFmt w:val="bullet"/>
      <w:lvlText w:val="-"/>
      <w:lvlJc w:val="left"/>
      <w:pPr>
        <w:ind w:left="1065" w:hanging="360"/>
      </w:pPr>
      <w:rPr>
        <w:rFonts w:ascii="Times New Roman" w:eastAsia="Calibri" w:hAnsi="Times New Roman" w:cs="Times New Roman" w:hint="default"/>
      </w:rPr>
    </w:lvl>
    <w:lvl w:ilvl="1" w:tplc="04020003" w:tentative="1">
      <w:start w:val="1"/>
      <w:numFmt w:val="bullet"/>
      <w:lvlText w:val="o"/>
      <w:lvlJc w:val="left"/>
      <w:pPr>
        <w:ind w:left="1785" w:hanging="360"/>
      </w:pPr>
      <w:rPr>
        <w:rFonts w:ascii="Courier New" w:hAnsi="Courier New" w:cs="Courier New" w:hint="default"/>
      </w:rPr>
    </w:lvl>
    <w:lvl w:ilvl="2" w:tplc="04020005" w:tentative="1">
      <w:start w:val="1"/>
      <w:numFmt w:val="bullet"/>
      <w:lvlText w:val=""/>
      <w:lvlJc w:val="left"/>
      <w:pPr>
        <w:ind w:left="2505" w:hanging="360"/>
      </w:pPr>
      <w:rPr>
        <w:rFonts w:ascii="Wingdings" w:hAnsi="Wingdings" w:hint="default"/>
      </w:rPr>
    </w:lvl>
    <w:lvl w:ilvl="3" w:tplc="04020001" w:tentative="1">
      <w:start w:val="1"/>
      <w:numFmt w:val="bullet"/>
      <w:lvlText w:val=""/>
      <w:lvlJc w:val="left"/>
      <w:pPr>
        <w:ind w:left="3225" w:hanging="360"/>
      </w:pPr>
      <w:rPr>
        <w:rFonts w:ascii="Symbol" w:hAnsi="Symbol" w:hint="default"/>
      </w:rPr>
    </w:lvl>
    <w:lvl w:ilvl="4" w:tplc="04020003" w:tentative="1">
      <w:start w:val="1"/>
      <w:numFmt w:val="bullet"/>
      <w:lvlText w:val="o"/>
      <w:lvlJc w:val="left"/>
      <w:pPr>
        <w:ind w:left="3945" w:hanging="360"/>
      </w:pPr>
      <w:rPr>
        <w:rFonts w:ascii="Courier New" w:hAnsi="Courier New" w:cs="Courier New" w:hint="default"/>
      </w:rPr>
    </w:lvl>
    <w:lvl w:ilvl="5" w:tplc="04020005" w:tentative="1">
      <w:start w:val="1"/>
      <w:numFmt w:val="bullet"/>
      <w:lvlText w:val=""/>
      <w:lvlJc w:val="left"/>
      <w:pPr>
        <w:ind w:left="4665" w:hanging="360"/>
      </w:pPr>
      <w:rPr>
        <w:rFonts w:ascii="Wingdings" w:hAnsi="Wingdings" w:hint="default"/>
      </w:rPr>
    </w:lvl>
    <w:lvl w:ilvl="6" w:tplc="04020001" w:tentative="1">
      <w:start w:val="1"/>
      <w:numFmt w:val="bullet"/>
      <w:lvlText w:val=""/>
      <w:lvlJc w:val="left"/>
      <w:pPr>
        <w:ind w:left="5385" w:hanging="360"/>
      </w:pPr>
      <w:rPr>
        <w:rFonts w:ascii="Symbol" w:hAnsi="Symbol" w:hint="default"/>
      </w:rPr>
    </w:lvl>
    <w:lvl w:ilvl="7" w:tplc="04020003" w:tentative="1">
      <w:start w:val="1"/>
      <w:numFmt w:val="bullet"/>
      <w:lvlText w:val="o"/>
      <w:lvlJc w:val="left"/>
      <w:pPr>
        <w:ind w:left="6105" w:hanging="360"/>
      </w:pPr>
      <w:rPr>
        <w:rFonts w:ascii="Courier New" w:hAnsi="Courier New" w:cs="Courier New" w:hint="default"/>
      </w:rPr>
    </w:lvl>
    <w:lvl w:ilvl="8" w:tplc="04020005" w:tentative="1">
      <w:start w:val="1"/>
      <w:numFmt w:val="bullet"/>
      <w:lvlText w:val=""/>
      <w:lvlJc w:val="left"/>
      <w:pPr>
        <w:ind w:left="6825" w:hanging="360"/>
      </w:pPr>
      <w:rPr>
        <w:rFonts w:ascii="Wingdings" w:hAnsi="Wingdings" w:hint="default"/>
      </w:rPr>
    </w:lvl>
  </w:abstractNum>
  <w:abstractNum w:abstractNumId="34" w15:restartNumberingAfterBreak="0">
    <w:nsid w:val="6A9D642D"/>
    <w:multiLevelType w:val="hybridMultilevel"/>
    <w:tmpl w:val="6292E800"/>
    <w:lvl w:ilvl="0" w:tplc="DC80C4D2">
      <w:start w:val="1"/>
      <w:numFmt w:val="decimal"/>
      <w:lvlText w:val="%1."/>
      <w:lvlJc w:val="left"/>
      <w:pPr>
        <w:tabs>
          <w:tab w:val="num" w:pos="1068"/>
        </w:tabs>
        <w:ind w:left="1068" w:hanging="360"/>
      </w:pPr>
      <w:rPr>
        <w:rFonts w:hint="default"/>
        <w:sz w:val="20"/>
        <w:szCs w:val="20"/>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35" w15:restartNumberingAfterBreak="0">
    <w:nsid w:val="6D522083"/>
    <w:multiLevelType w:val="hybridMultilevel"/>
    <w:tmpl w:val="94EA80C4"/>
    <w:lvl w:ilvl="0" w:tplc="BB9493EE">
      <w:start w:val="1"/>
      <w:numFmt w:val="decimal"/>
      <w:lvlText w:val="%1."/>
      <w:lvlJc w:val="left"/>
      <w:pPr>
        <w:ind w:left="738" w:hanging="360"/>
      </w:pPr>
      <w:rPr>
        <w:rFonts w:hint="default"/>
      </w:rPr>
    </w:lvl>
    <w:lvl w:ilvl="1" w:tplc="04020019" w:tentative="1">
      <w:start w:val="1"/>
      <w:numFmt w:val="lowerLetter"/>
      <w:lvlText w:val="%2."/>
      <w:lvlJc w:val="left"/>
      <w:pPr>
        <w:ind w:left="1458" w:hanging="360"/>
      </w:pPr>
    </w:lvl>
    <w:lvl w:ilvl="2" w:tplc="0402001B" w:tentative="1">
      <w:start w:val="1"/>
      <w:numFmt w:val="lowerRoman"/>
      <w:lvlText w:val="%3."/>
      <w:lvlJc w:val="right"/>
      <w:pPr>
        <w:ind w:left="2178" w:hanging="180"/>
      </w:pPr>
    </w:lvl>
    <w:lvl w:ilvl="3" w:tplc="0402000F" w:tentative="1">
      <w:start w:val="1"/>
      <w:numFmt w:val="decimal"/>
      <w:lvlText w:val="%4."/>
      <w:lvlJc w:val="left"/>
      <w:pPr>
        <w:ind w:left="2898" w:hanging="360"/>
      </w:pPr>
    </w:lvl>
    <w:lvl w:ilvl="4" w:tplc="04020019" w:tentative="1">
      <w:start w:val="1"/>
      <w:numFmt w:val="lowerLetter"/>
      <w:lvlText w:val="%5."/>
      <w:lvlJc w:val="left"/>
      <w:pPr>
        <w:ind w:left="3618" w:hanging="360"/>
      </w:pPr>
    </w:lvl>
    <w:lvl w:ilvl="5" w:tplc="0402001B" w:tentative="1">
      <w:start w:val="1"/>
      <w:numFmt w:val="lowerRoman"/>
      <w:lvlText w:val="%6."/>
      <w:lvlJc w:val="right"/>
      <w:pPr>
        <w:ind w:left="4338" w:hanging="180"/>
      </w:pPr>
    </w:lvl>
    <w:lvl w:ilvl="6" w:tplc="0402000F" w:tentative="1">
      <w:start w:val="1"/>
      <w:numFmt w:val="decimal"/>
      <w:lvlText w:val="%7."/>
      <w:lvlJc w:val="left"/>
      <w:pPr>
        <w:ind w:left="5058" w:hanging="360"/>
      </w:pPr>
    </w:lvl>
    <w:lvl w:ilvl="7" w:tplc="04020019" w:tentative="1">
      <w:start w:val="1"/>
      <w:numFmt w:val="lowerLetter"/>
      <w:lvlText w:val="%8."/>
      <w:lvlJc w:val="left"/>
      <w:pPr>
        <w:ind w:left="5778" w:hanging="360"/>
      </w:pPr>
    </w:lvl>
    <w:lvl w:ilvl="8" w:tplc="0402001B" w:tentative="1">
      <w:start w:val="1"/>
      <w:numFmt w:val="lowerRoman"/>
      <w:lvlText w:val="%9."/>
      <w:lvlJc w:val="right"/>
      <w:pPr>
        <w:ind w:left="6498" w:hanging="180"/>
      </w:pPr>
    </w:lvl>
  </w:abstractNum>
  <w:abstractNum w:abstractNumId="36" w15:restartNumberingAfterBreak="0">
    <w:nsid w:val="6FF43F54"/>
    <w:multiLevelType w:val="hybridMultilevel"/>
    <w:tmpl w:val="7F9634A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726F4B46"/>
    <w:multiLevelType w:val="hybridMultilevel"/>
    <w:tmpl w:val="9AD8E5CA"/>
    <w:lvl w:ilvl="0" w:tplc="5202695E">
      <w:start w:val="1"/>
      <w:numFmt w:val="decimal"/>
      <w:lvlText w:val="%1."/>
      <w:lvlJc w:val="left"/>
      <w:pPr>
        <w:tabs>
          <w:tab w:val="num" w:pos="1669"/>
        </w:tabs>
        <w:ind w:left="1669" w:hanging="960"/>
      </w:pPr>
      <w:rPr>
        <w:rFonts w:hint="default"/>
      </w:rPr>
    </w:lvl>
    <w:lvl w:ilvl="1" w:tplc="04020019" w:tentative="1">
      <w:start w:val="1"/>
      <w:numFmt w:val="lowerLetter"/>
      <w:lvlText w:val="%2."/>
      <w:lvlJc w:val="left"/>
      <w:pPr>
        <w:tabs>
          <w:tab w:val="num" w:pos="1789"/>
        </w:tabs>
        <w:ind w:left="1789" w:hanging="360"/>
      </w:pPr>
    </w:lvl>
    <w:lvl w:ilvl="2" w:tplc="0402001B" w:tentative="1">
      <w:start w:val="1"/>
      <w:numFmt w:val="lowerRoman"/>
      <w:lvlText w:val="%3."/>
      <w:lvlJc w:val="right"/>
      <w:pPr>
        <w:tabs>
          <w:tab w:val="num" w:pos="2509"/>
        </w:tabs>
        <w:ind w:left="2509" w:hanging="180"/>
      </w:pPr>
    </w:lvl>
    <w:lvl w:ilvl="3" w:tplc="0402000F" w:tentative="1">
      <w:start w:val="1"/>
      <w:numFmt w:val="decimal"/>
      <w:lvlText w:val="%4."/>
      <w:lvlJc w:val="left"/>
      <w:pPr>
        <w:tabs>
          <w:tab w:val="num" w:pos="3229"/>
        </w:tabs>
        <w:ind w:left="3229" w:hanging="360"/>
      </w:pPr>
    </w:lvl>
    <w:lvl w:ilvl="4" w:tplc="04020019" w:tentative="1">
      <w:start w:val="1"/>
      <w:numFmt w:val="lowerLetter"/>
      <w:lvlText w:val="%5."/>
      <w:lvlJc w:val="left"/>
      <w:pPr>
        <w:tabs>
          <w:tab w:val="num" w:pos="3949"/>
        </w:tabs>
        <w:ind w:left="3949" w:hanging="360"/>
      </w:pPr>
    </w:lvl>
    <w:lvl w:ilvl="5" w:tplc="0402001B" w:tentative="1">
      <w:start w:val="1"/>
      <w:numFmt w:val="lowerRoman"/>
      <w:lvlText w:val="%6."/>
      <w:lvlJc w:val="right"/>
      <w:pPr>
        <w:tabs>
          <w:tab w:val="num" w:pos="4669"/>
        </w:tabs>
        <w:ind w:left="4669" w:hanging="180"/>
      </w:pPr>
    </w:lvl>
    <w:lvl w:ilvl="6" w:tplc="0402000F" w:tentative="1">
      <w:start w:val="1"/>
      <w:numFmt w:val="decimal"/>
      <w:lvlText w:val="%7."/>
      <w:lvlJc w:val="left"/>
      <w:pPr>
        <w:tabs>
          <w:tab w:val="num" w:pos="5389"/>
        </w:tabs>
        <w:ind w:left="5389" w:hanging="360"/>
      </w:pPr>
    </w:lvl>
    <w:lvl w:ilvl="7" w:tplc="04020019" w:tentative="1">
      <w:start w:val="1"/>
      <w:numFmt w:val="lowerLetter"/>
      <w:lvlText w:val="%8."/>
      <w:lvlJc w:val="left"/>
      <w:pPr>
        <w:tabs>
          <w:tab w:val="num" w:pos="6109"/>
        </w:tabs>
        <w:ind w:left="6109" w:hanging="360"/>
      </w:pPr>
    </w:lvl>
    <w:lvl w:ilvl="8" w:tplc="0402001B" w:tentative="1">
      <w:start w:val="1"/>
      <w:numFmt w:val="lowerRoman"/>
      <w:lvlText w:val="%9."/>
      <w:lvlJc w:val="right"/>
      <w:pPr>
        <w:tabs>
          <w:tab w:val="num" w:pos="6829"/>
        </w:tabs>
        <w:ind w:left="6829" w:hanging="180"/>
      </w:pPr>
    </w:lvl>
  </w:abstractNum>
  <w:abstractNum w:abstractNumId="38" w15:restartNumberingAfterBreak="0">
    <w:nsid w:val="77AF359B"/>
    <w:multiLevelType w:val="hybridMultilevel"/>
    <w:tmpl w:val="642C4974"/>
    <w:lvl w:ilvl="0" w:tplc="4F1C5248">
      <w:start w:val="1"/>
      <w:numFmt w:val="bullet"/>
      <w:lvlText w:val=""/>
      <w:lvlJc w:val="left"/>
      <w:pPr>
        <w:tabs>
          <w:tab w:val="num" w:pos="720"/>
        </w:tabs>
        <w:ind w:left="720" w:hanging="360"/>
      </w:pPr>
      <w:rPr>
        <w:rFonts w:ascii="Symbol" w:hAnsi="Symbol" w:hint="default"/>
        <w:sz w:val="24"/>
        <w:szCs w:val="24"/>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3D7CE6"/>
    <w:multiLevelType w:val="multilevel"/>
    <w:tmpl w:val="00E6BD6E"/>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num w:numId="1" w16cid:durableId="425078544">
    <w:abstractNumId w:val="18"/>
  </w:num>
  <w:num w:numId="2" w16cid:durableId="544752103">
    <w:abstractNumId w:val="39"/>
  </w:num>
  <w:num w:numId="3" w16cid:durableId="313529222">
    <w:abstractNumId w:val="3"/>
  </w:num>
  <w:num w:numId="4" w16cid:durableId="869728836">
    <w:abstractNumId w:val="10"/>
  </w:num>
  <w:num w:numId="5" w16cid:durableId="2016573587">
    <w:abstractNumId w:val="9"/>
  </w:num>
  <w:num w:numId="6" w16cid:durableId="1723289698">
    <w:abstractNumId w:val="17"/>
  </w:num>
  <w:num w:numId="7" w16cid:durableId="1412386806">
    <w:abstractNumId w:val="38"/>
  </w:num>
  <w:num w:numId="8" w16cid:durableId="683628459">
    <w:abstractNumId w:val="30"/>
  </w:num>
  <w:num w:numId="9" w16cid:durableId="347683698">
    <w:abstractNumId w:val="34"/>
  </w:num>
  <w:num w:numId="10" w16cid:durableId="1610969137">
    <w:abstractNumId w:val="32"/>
  </w:num>
  <w:num w:numId="11" w16cid:durableId="1005398525">
    <w:abstractNumId w:val="6"/>
  </w:num>
  <w:num w:numId="12" w16cid:durableId="1755980227">
    <w:abstractNumId w:val="14"/>
  </w:num>
  <w:num w:numId="13" w16cid:durableId="198979247">
    <w:abstractNumId w:val="7"/>
  </w:num>
  <w:num w:numId="14" w16cid:durableId="1969699672">
    <w:abstractNumId w:val="31"/>
  </w:num>
  <w:num w:numId="15" w16cid:durableId="974259654">
    <w:abstractNumId w:val="22"/>
  </w:num>
  <w:num w:numId="16" w16cid:durableId="129716767">
    <w:abstractNumId w:val="37"/>
  </w:num>
  <w:num w:numId="17" w16cid:durableId="31423772">
    <w:abstractNumId w:val="25"/>
  </w:num>
  <w:num w:numId="18" w16cid:durableId="140468616">
    <w:abstractNumId w:val="5"/>
  </w:num>
  <w:num w:numId="19" w16cid:durableId="200213761">
    <w:abstractNumId w:val="19"/>
  </w:num>
  <w:num w:numId="20" w16cid:durableId="262422223">
    <w:abstractNumId w:val="15"/>
  </w:num>
  <w:num w:numId="21" w16cid:durableId="1024751592">
    <w:abstractNumId w:val="21"/>
  </w:num>
  <w:num w:numId="22" w16cid:durableId="1139228821">
    <w:abstractNumId w:val="36"/>
  </w:num>
  <w:num w:numId="23" w16cid:durableId="1025205470">
    <w:abstractNumId w:val="27"/>
  </w:num>
  <w:num w:numId="24" w16cid:durableId="825318744">
    <w:abstractNumId w:val="35"/>
  </w:num>
  <w:num w:numId="25" w16cid:durableId="2058623201">
    <w:abstractNumId w:val="24"/>
  </w:num>
  <w:num w:numId="26" w16cid:durableId="736708548">
    <w:abstractNumId w:val="11"/>
  </w:num>
  <w:num w:numId="27" w16cid:durableId="1069423295">
    <w:abstractNumId w:val="23"/>
  </w:num>
  <w:num w:numId="28" w16cid:durableId="1455096139">
    <w:abstractNumId w:val="29"/>
  </w:num>
  <w:num w:numId="29" w16cid:durableId="1148202601">
    <w:abstractNumId w:val="16"/>
  </w:num>
  <w:num w:numId="30" w16cid:durableId="1162967197">
    <w:abstractNumId w:val="26"/>
  </w:num>
  <w:num w:numId="31" w16cid:durableId="1361391784">
    <w:abstractNumId w:val="1"/>
  </w:num>
  <w:num w:numId="32" w16cid:durableId="1520925358">
    <w:abstractNumId w:val="4"/>
  </w:num>
  <w:num w:numId="33" w16cid:durableId="953905057">
    <w:abstractNumId w:val="8"/>
  </w:num>
  <w:num w:numId="34" w16cid:durableId="912351288">
    <w:abstractNumId w:val="33"/>
  </w:num>
  <w:num w:numId="35" w16cid:durableId="1986743044">
    <w:abstractNumId w:val="13"/>
  </w:num>
  <w:num w:numId="36" w16cid:durableId="1635790953">
    <w:abstractNumId w:val="0"/>
  </w:num>
  <w:num w:numId="37" w16cid:durableId="1884362938">
    <w:abstractNumId w:val="20"/>
  </w:num>
  <w:num w:numId="38" w16cid:durableId="1860385540">
    <w:abstractNumId w:val="28"/>
  </w:num>
  <w:num w:numId="39" w16cid:durableId="1110469512">
    <w:abstractNumId w:val="2"/>
  </w:num>
  <w:num w:numId="40" w16cid:durableId="10693062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rawingGridVerticalSpacing w:val="39"/>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E73"/>
    <w:rsid w:val="0000058F"/>
    <w:rsid w:val="00001B20"/>
    <w:rsid w:val="00002657"/>
    <w:rsid w:val="00005A6A"/>
    <w:rsid w:val="00006F1F"/>
    <w:rsid w:val="00007A2F"/>
    <w:rsid w:val="0001076F"/>
    <w:rsid w:val="0001185F"/>
    <w:rsid w:val="0001238E"/>
    <w:rsid w:val="0001309A"/>
    <w:rsid w:val="00013A71"/>
    <w:rsid w:val="00014649"/>
    <w:rsid w:val="00016706"/>
    <w:rsid w:val="00017D9D"/>
    <w:rsid w:val="00021183"/>
    <w:rsid w:val="00021384"/>
    <w:rsid w:val="00022A5C"/>
    <w:rsid w:val="00023F2F"/>
    <w:rsid w:val="00024044"/>
    <w:rsid w:val="00024506"/>
    <w:rsid w:val="000256BD"/>
    <w:rsid w:val="00025C5D"/>
    <w:rsid w:val="000264B7"/>
    <w:rsid w:val="00026D35"/>
    <w:rsid w:val="00027A83"/>
    <w:rsid w:val="000301A1"/>
    <w:rsid w:val="000301E1"/>
    <w:rsid w:val="000307C7"/>
    <w:rsid w:val="00031399"/>
    <w:rsid w:val="0003264B"/>
    <w:rsid w:val="0003530C"/>
    <w:rsid w:val="000364F8"/>
    <w:rsid w:val="00036807"/>
    <w:rsid w:val="00036F0A"/>
    <w:rsid w:val="00037085"/>
    <w:rsid w:val="00040131"/>
    <w:rsid w:val="000410FA"/>
    <w:rsid w:val="0004298A"/>
    <w:rsid w:val="00042E59"/>
    <w:rsid w:val="0004415F"/>
    <w:rsid w:val="000449A0"/>
    <w:rsid w:val="0004509A"/>
    <w:rsid w:val="000460D3"/>
    <w:rsid w:val="00050E13"/>
    <w:rsid w:val="00050FD5"/>
    <w:rsid w:val="00052548"/>
    <w:rsid w:val="00053B3E"/>
    <w:rsid w:val="000549E8"/>
    <w:rsid w:val="00054F27"/>
    <w:rsid w:val="000551B7"/>
    <w:rsid w:val="000635BC"/>
    <w:rsid w:val="00065206"/>
    <w:rsid w:val="00066083"/>
    <w:rsid w:val="00066C43"/>
    <w:rsid w:val="000701C3"/>
    <w:rsid w:val="0007074B"/>
    <w:rsid w:val="00072811"/>
    <w:rsid w:val="0007527A"/>
    <w:rsid w:val="000756AC"/>
    <w:rsid w:val="0007740F"/>
    <w:rsid w:val="00077A76"/>
    <w:rsid w:val="00080AB5"/>
    <w:rsid w:val="00080BAF"/>
    <w:rsid w:val="00081520"/>
    <w:rsid w:val="00081B37"/>
    <w:rsid w:val="00081E0F"/>
    <w:rsid w:val="0008281E"/>
    <w:rsid w:val="00082E3A"/>
    <w:rsid w:val="00083AFC"/>
    <w:rsid w:val="00084194"/>
    <w:rsid w:val="00084E16"/>
    <w:rsid w:val="00085647"/>
    <w:rsid w:val="00086735"/>
    <w:rsid w:val="00092C83"/>
    <w:rsid w:val="00094030"/>
    <w:rsid w:val="00095037"/>
    <w:rsid w:val="00096D2F"/>
    <w:rsid w:val="000A0BE8"/>
    <w:rsid w:val="000A0F3B"/>
    <w:rsid w:val="000A2B7C"/>
    <w:rsid w:val="000A4462"/>
    <w:rsid w:val="000A50C5"/>
    <w:rsid w:val="000A678C"/>
    <w:rsid w:val="000A68D0"/>
    <w:rsid w:val="000A6D20"/>
    <w:rsid w:val="000A7B09"/>
    <w:rsid w:val="000B0312"/>
    <w:rsid w:val="000B05F3"/>
    <w:rsid w:val="000B082A"/>
    <w:rsid w:val="000B1D4D"/>
    <w:rsid w:val="000B331B"/>
    <w:rsid w:val="000B5FB2"/>
    <w:rsid w:val="000C0349"/>
    <w:rsid w:val="000C0635"/>
    <w:rsid w:val="000C0BA3"/>
    <w:rsid w:val="000C141B"/>
    <w:rsid w:val="000C152A"/>
    <w:rsid w:val="000C21EE"/>
    <w:rsid w:val="000C235A"/>
    <w:rsid w:val="000C32BB"/>
    <w:rsid w:val="000C46E3"/>
    <w:rsid w:val="000C5C2F"/>
    <w:rsid w:val="000C5CC4"/>
    <w:rsid w:val="000C6193"/>
    <w:rsid w:val="000C6799"/>
    <w:rsid w:val="000D0E89"/>
    <w:rsid w:val="000D2FA2"/>
    <w:rsid w:val="000D30A0"/>
    <w:rsid w:val="000D3213"/>
    <w:rsid w:val="000D5CB3"/>
    <w:rsid w:val="000D62D8"/>
    <w:rsid w:val="000D687E"/>
    <w:rsid w:val="000D6B06"/>
    <w:rsid w:val="000E09B2"/>
    <w:rsid w:val="000E31A4"/>
    <w:rsid w:val="000E353E"/>
    <w:rsid w:val="000E36BF"/>
    <w:rsid w:val="000E375A"/>
    <w:rsid w:val="000E4653"/>
    <w:rsid w:val="000E5B58"/>
    <w:rsid w:val="000E727E"/>
    <w:rsid w:val="000E7A03"/>
    <w:rsid w:val="000F1178"/>
    <w:rsid w:val="000F1BC9"/>
    <w:rsid w:val="000F2C3A"/>
    <w:rsid w:val="000F7443"/>
    <w:rsid w:val="000F796F"/>
    <w:rsid w:val="00100483"/>
    <w:rsid w:val="00101B44"/>
    <w:rsid w:val="00105244"/>
    <w:rsid w:val="001054A3"/>
    <w:rsid w:val="0010665A"/>
    <w:rsid w:val="00106D8E"/>
    <w:rsid w:val="001073A8"/>
    <w:rsid w:val="00107EE5"/>
    <w:rsid w:val="00111ADD"/>
    <w:rsid w:val="001137E8"/>
    <w:rsid w:val="00113F23"/>
    <w:rsid w:val="00114A9C"/>
    <w:rsid w:val="0011772A"/>
    <w:rsid w:val="00121746"/>
    <w:rsid w:val="00122AE8"/>
    <w:rsid w:val="00123EE7"/>
    <w:rsid w:val="001305F3"/>
    <w:rsid w:val="00131CC1"/>
    <w:rsid w:val="00132F41"/>
    <w:rsid w:val="00133F65"/>
    <w:rsid w:val="001351D1"/>
    <w:rsid w:val="00136D42"/>
    <w:rsid w:val="00136E6C"/>
    <w:rsid w:val="0013737C"/>
    <w:rsid w:val="00137569"/>
    <w:rsid w:val="00137741"/>
    <w:rsid w:val="00137DC0"/>
    <w:rsid w:val="0014035B"/>
    <w:rsid w:val="00140DBA"/>
    <w:rsid w:val="001421E5"/>
    <w:rsid w:val="00142689"/>
    <w:rsid w:val="0014282D"/>
    <w:rsid w:val="001446A1"/>
    <w:rsid w:val="0014494D"/>
    <w:rsid w:val="00144E74"/>
    <w:rsid w:val="0014580A"/>
    <w:rsid w:val="00146D88"/>
    <w:rsid w:val="001514FF"/>
    <w:rsid w:val="00152238"/>
    <w:rsid w:val="00156078"/>
    <w:rsid w:val="00156345"/>
    <w:rsid w:val="00160DBC"/>
    <w:rsid w:val="00162ACB"/>
    <w:rsid w:val="00163A8E"/>
    <w:rsid w:val="00165183"/>
    <w:rsid w:val="001664D2"/>
    <w:rsid w:val="0016730C"/>
    <w:rsid w:val="0016767C"/>
    <w:rsid w:val="001705B3"/>
    <w:rsid w:val="0017410F"/>
    <w:rsid w:val="00174370"/>
    <w:rsid w:val="00176F8B"/>
    <w:rsid w:val="001811DE"/>
    <w:rsid w:val="00183174"/>
    <w:rsid w:val="00183AD1"/>
    <w:rsid w:val="00183CD6"/>
    <w:rsid w:val="00184BF4"/>
    <w:rsid w:val="001865B6"/>
    <w:rsid w:val="0018675F"/>
    <w:rsid w:val="00186C82"/>
    <w:rsid w:val="0019103D"/>
    <w:rsid w:val="00191CD7"/>
    <w:rsid w:val="00192C66"/>
    <w:rsid w:val="00192DFA"/>
    <w:rsid w:val="00193776"/>
    <w:rsid w:val="00195168"/>
    <w:rsid w:val="001978A2"/>
    <w:rsid w:val="001A0C85"/>
    <w:rsid w:val="001A1E94"/>
    <w:rsid w:val="001A2AC3"/>
    <w:rsid w:val="001A2BB1"/>
    <w:rsid w:val="001A400C"/>
    <w:rsid w:val="001A51C3"/>
    <w:rsid w:val="001A55F3"/>
    <w:rsid w:val="001A77C6"/>
    <w:rsid w:val="001B00EB"/>
    <w:rsid w:val="001B075A"/>
    <w:rsid w:val="001B1152"/>
    <w:rsid w:val="001B1476"/>
    <w:rsid w:val="001B2690"/>
    <w:rsid w:val="001B2957"/>
    <w:rsid w:val="001B4DAA"/>
    <w:rsid w:val="001B5864"/>
    <w:rsid w:val="001B5C86"/>
    <w:rsid w:val="001B5F1C"/>
    <w:rsid w:val="001B60A9"/>
    <w:rsid w:val="001B6C75"/>
    <w:rsid w:val="001B728E"/>
    <w:rsid w:val="001C0361"/>
    <w:rsid w:val="001C0B4E"/>
    <w:rsid w:val="001C1030"/>
    <w:rsid w:val="001C22C9"/>
    <w:rsid w:val="001C27DB"/>
    <w:rsid w:val="001C4F12"/>
    <w:rsid w:val="001C569A"/>
    <w:rsid w:val="001C644B"/>
    <w:rsid w:val="001C6541"/>
    <w:rsid w:val="001D207A"/>
    <w:rsid w:val="001D490F"/>
    <w:rsid w:val="001D5810"/>
    <w:rsid w:val="001D6FE8"/>
    <w:rsid w:val="001D7EF2"/>
    <w:rsid w:val="001E1114"/>
    <w:rsid w:val="001E1590"/>
    <w:rsid w:val="001E2CD2"/>
    <w:rsid w:val="001E371E"/>
    <w:rsid w:val="001E550D"/>
    <w:rsid w:val="001E59B2"/>
    <w:rsid w:val="001E5DD2"/>
    <w:rsid w:val="001E79E2"/>
    <w:rsid w:val="001F000D"/>
    <w:rsid w:val="001F016F"/>
    <w:rsid w:val="001F0E79"/>
    <w:rsid w:val="001F48BC"/>
    <w:rsid w:val="001F5AC3"/>
    <w:rsid w:val="001F763F"/>
    <w:rsid w:val="001F7CFD"/>
    <w:rsid w:val="00200779"/>
    <w:rsid w:val="00201396"/>
    <w:rsid w:val="00202300"/>
    <w:rsid w:val="0020448F"/>
    <w:rsid w:val="002052C3"/>
    <w:rsid w:val="0020682F"/>
    <w:rsid w:val="00213037"/>
    <w:rsid w:val="00213456"/>
    <w:rsid w:val="00213FC7"/>
    <w:rsid w:val="0021645D"/>
    <w:rsid w:val="00216B6C"/>
    <w:rsid w:val="00220DFA"/>
    <w:rsid w:val="002214F6"/>
    <w:rsid w:val="00221D1D"/>
    <w:rsid w:val="00221FB3"/>
    <w:rsid w:val="002232F2"/>
    <w:rsid w:val="002266EB"/>
    <w:rsid w:val="0022692F"/>
    <w:rsid w:val="00226E20"/>
    <w:rsid w:val="00230A24"/>
    <w:rsid w:val="00230D2A"/>
    <w:rsid w:val="00233C02"/>
    <w:rsid w:val="00233C0E"/>
    <w:rsid w:val="002359E0"/>
    <w:rsid w:val="00235E64"/>
    <w:rsid w:val="00236AA9"/>
    <w:rsid w:val="00236D07"/>
    <w:rsid w:val="002409A6"/>
    <w:rsid w:val="0024193E"/>
    <w:rsid w:val="00241EBA"/>
    <w:rsid w:val="002420A9"/>
    <w:rsid w:val="00242C71"/>
    <w:rsid w:val="00243B06"/>
    <w:rsid w:val="00243DEE"/>
    <w:rsid w:val="00244380"/>
    <w:rsid w:val="00244A2B"/>
    <w:rsid w:val="00245608"/>
    <w:rsid w:val="00246F57"/>
    <w:rsid w:val="00247CF1"/>
    <w:rsid w:val="002502B8"/>
    <w:rsid w:val="00250B93"/>
    <w:rsid w:val="00250D20"/>
    <w:rsid w:val="002516D3"/>
    <w:rsid w:val="00251B87"/>
    <w:rsid w:val="00256D6C"/>
    <w:rsid w:val="002576E0"/>
    <w:rsid w:val="00260325"/>
    <w:rsid w:val="00261209"/>
    <w:rsid w:val="00261ECF"/>
    <w:rsid w:val="00263B3A"/>
    <w:rsid w:val="00263E51"/>
    <w:rsid w:val="002705F7"/>
    <w:rsid w:val="00272773"/>
    <w:rsid w:val="0027474B"/>
    <w:rsid w:val="00277CED"/>
    <w:rsid w:val="00280DFE"/>
    <w:rsid w:val="002817F7"/>
    <w:rsid w:val="00282088"/>
    <w:rsid w:val="00283A30"/>
    <w:rsid w:val="002848D2"/>
    <w:rsid w:val="00285579"/>
    <w:rsid w:val="00286039"/>
    <w:rsid w:val="00290064"/>
    <w:rsid w:val="00291F0A"/>
    <w:rsid w:val="00292575"/>
    <w:rsid w:val="0029257B"/>
    <w:rsid w:val="00293C8D"/>
    <w:rsid w:val="002972D3"/>
    <w:rsid w:val="002A07A4"/>
    <w:rsid w:val="002A0F43"/>
    <w:rsid w:val="002A1260"/>
    <w:rsid w:val="002A1C48"/>
    <w:rsid w:val="002A435B"/>
    <w:rsid w:val="002A6005"/>
    <w:rsid w:val="002B034E"/>
    <w:rsid w:val="002B0709"/>
    <w:rsid w:val="002B248A"/>
    <w:rsid w:val="002B2545"/>
    <w:rsid w:val="002B2D4E"/>
    <w:rsid w:val="002B2F2B"/>
    <w:rsid w:val="002B31B8"/>
    <w:rsid w:val="002B3958"/>
    <w:rsid w:val="002B3AB6"/>
    <w:rsid w:val="002B4821"/>
    <w:rsid w:val="002B5297"/>
    <w:rsid w:val="002B689C"/>
    <w:rsid w:val="002B7436"/>
    <w:rsid w:val="002B7E58"/>
    <w:rsid w:val="002C015C"/>
    <w:rsid w:val="002C0574"/>
    <w:rsid w:val="002C1C98"/>
    <w:rsid w:val="002C2653"/>
    <w:rsid w:val="002C40BC"/>
    <w:rsid w:val="002C410E"/>
    <w:rsid w:val="002C6E90"/>
    <w:rsid w:val="002D0ADE"/>
    <w:rsid w:val="002D1D9A"/>
    <w:rsid w:val="002D2137"/>
    <w:rsid w:val="002D31FE"/>
    <w:rsid w:val="002D35A5"/>
    <w:rsid w:val="002D3889"/>
    <w:rsid w:val="002D4391"/>
    <w:rsid w:val="002D5B2A"/>
    <w:rsid w:val="002D60B8"/>
    <w:rsid w:val="002D67E0"/>
    <w:rsid w:val="002D72B6"/>
    <w:rsid w:val="002E1614"/>
    <w:rsid w:val="002E3B55"/>
    <w:rsid w:val="002E4283"/>
    <w:rsid w:val="002E44AE"/>
    <w:rsid w:val="002E4FD5"/>
    <w:rsid w:val="002E6C55"/>
    <w:rsid w:val="002E7168"/>
    <w:rsid w:val="002E76D3"/>
    <w:rsid w:val="002F0B25"/>
    <w:rsid w:val="002F400C"/>
    <w:rsid w:val="002F4A8B"/>
    <w:rsid w:val="002F4B05"/>
    <w:rsid w:val="002F5AD5"/>
    <w:rsid w:val="002F5FC1"/>
    <w:rsid w:val="002F6FC2"/>
    <w:rsid w:val="002F70EE"/>
    <w:rsid w:val="00300714"/>
    <w:rsid w:val="0030102E"/>
    <w:rsid w:val="00301592"/>
    <w:rsid w:val="00302AB9"/>
    <w:rsid w:val="00303266"/>
    <w:rsid w:val="0030450D"/>
    <w:rsid w:val="003076AA"/>
    <w:rsid w:val="00307AB7"/>
    <w:rsid w:val="003102BA"/>
    <w:rsid w:val="0031310B"/>
    <w:rsid w:val="00315825"/>
    <w:rsid w:val="00316C0E"/>
    <w:rsid w:val="0032188D"/>
    <w:rsid w:val="00321DF4"/>
    <w:rsid w:val="003226E8"/>
    <w:rsid w:val="00322D31"/>
    <w:rsid w:val="00325BA1"/>
    <w:rsid w:val="0032714E"/>
    <w:rsid w:val="00330468"/>
    <w:rsid w:val="00330BF6"/>
    <w:rsid w:val="0033134A"/>
    <w:rsid w:val="00331377"/>
    <w:rsid w:val="00332773"/>
    <w:rsid w:val="00333808"/>
    <w:rsid w:val="00333D84"/>
    <w:rsid w:val="00335F1E"/>
    <w:rsid w:val="00344F51"/>
    <w:rsid w:val="00350F1A"/>
    <w:rsid w:val="003514EF"/>
    <w:rsid w:val="003516CE"/>
    <w:rsid w:val="0035190A"/>
    <w:rsid w:val="00351AB2"/>
    <w:rsid w:val="003542DA"/>
    <w:rsid w:val="003553C9"/>
    <w:rsid w:val="0035717C"/>
    <w:rsid w:val="0036172A"/>
    <w:rsid w:val="00365DE9"/>
    <w:rsid w:val="00371611"/>
    <w:rsid w:val="00371EE4"/>
    <w:rsid w:val="00373141"/>
    <w:rsid w:val="0037438B"/>
    <w:rsid w:val="00375800"/>
    <w:rsid w:val="00376E67"/>
    <w:rsid w:val="00377546"/>
    <w:rsid w:val="00380583"/>
    <w:rsid w:val="0038128B"/>
    <w:rsid w:val="00381B9D"/>
    <w:rsid w:val="00382894"/>
    <w:rsid w:val="0038637B"/>
    <w:rsid w:val="003865E1"/>
    <w:rsid w:val="003868A4"/>
    <w:rsid w:val="00390C4A"/>
    <w:rsid w:val="00391692"/>
    <w:rsid w:val="00391D0D"/>
    <w:rsid w:val="00392808"/>
    <w:rsid w:val="00394E73"/>
    <w:rsid w:val="00394F26"/>
    <w:rsid w:val="00395EC5"/>
    <w:rsid w:val="0039650D"/>
    <w:rsid w:val="0039700C"/>
    <w:rsid w:val="003A1A65"/>
    <w:rsid w:val="003A475C"/>
    <w:rsid w:val="003A4DE6"/>
    <w:rsid w:val="003A5374"/>
    <w:rsid w:val="003B0C61"/>
    <w:rsid w:val="003B1953"/>
    <w:rsid w:val="003B2219"/>
    <w:rsid w:val="003B27FC"/>
    <w:rsid w:val="003B566B"/>
    <w:rsid w:val="003B5E77"/>
    <w:rsid w:val="003B5F56"/>
    <w:rsid w:val="003C0BDE"/>
    <w:rsid w:val="003C11B0"/>
    <w:rsid w:val="003C3095"/>
    <w:rsid w:val="003C5026"/>
    <w:rsid w:val="003C549A"/>
    <w:rsid w:val="003C5CFC"/>
    <w:rsid w:val="003C671E"/>
    <w:rsid w:val="003C762B"/>
    <w:rsid w:val="003C7A30"/>
    <w:rsid w:val="003D10F2"/>
    <w:rsid w:val="003D1649"/>
    <w:rsid w:val="003D1B6E"/>
    <w:rsid w:val="003D267D"/>
    <w:rsid w:val="003D4730"/>
    <w:rsid w:val="003D4778"/>
    <w:rsid w:val="003D530A"/>
    <w:rsid w:val="003D6278"/>
    <w:rsid w:val="003D6932"/>
    <w:rsid w:val="003D7193"/>
    <w:rsid w:val="003E0383"/>
    <w:rsid w:val="003E19A9"/>
    <w:rsid w:val="003E47A9"/>
    <w:rsid w:val="003E4DB4"/>
    <w:rsid w:val="003E5BC2"/>
    <w:rsid w:val="003E7F35"/>
    <w:rsid w:val="003F2149"/>
    <w:rsid w:val="003F33FA"/>
    <w:rsid w:val="003F4214"/>
    <w:rsid w:val="003F5D5B"/>
    <w:rsid w:val="003F6D00"/>
    <w:rsid w:val="00400B3D"/>
    <w:rsid w:val="00400FCA"/>
    <w:rsid w:val="00401F55"/>
    <w:rsid w:val="004030E5"/>
    <w:rsid w:val="0040310D"/>
    <w:rsid w:val="0040342D"/>
    <w:rsid w:val="004041C7"/>
    <w:rsid w:val="0040434C"/>
    <w:rsid w:val="00404696"/>
    <w:rsid w:val="00407B58"/>
    <w:rsid w:val="00410B49"/>
    <w:rsid w:val="0042289A"/>
    <w:rsid w:val="00422CEE"/>
    <w:rsid w:val="004233ED"/>
    <w:rsid w:val="00423A02"/>
    <w:rsid w:val="00425131"/>
    <w:rsid w:val="00432001"/>
    <w:rsid w:val="00432083"/>
    <w:rsid w:val="0043342F"/>
    <w:rsid w:val="00433BE6"/>
    <w:rsid w:val="00433E73"/>
    <w:rsid w:val="00433E99"/>
    <w:rsid w:val="004344B0"/>
    <w:rsid w:val="004349D6"/>
    <w:rsid w:val="00437BFC"/>
    <w:rsid w:val="004410BF"/>
    <w:rsid w:val="00441BF5"/>
    <w:rsid w:val="00442993"/>
    <w:rsid w:val="00442BF7"/>
    <w:rsid w:val="004430BD"/>
    <w:rsid w:val="004431A4"/>
    <w:rsid w:val="00443E7F"/>
    <w:rsid w:val="00446C4D"/>
    <w:rsid w:val="004476EE"/>
    <w:rsid w:val="00447AF0"/>
    <w:rsid w:val="004503CE"/>
    <w:rsid w:val="00450BC4"/>
    <w:rsid w:val="00450F5C"/>
    <w:rsid w:val="004513A8"/>
    <w:rsid w:val="004519C2"/>
    <w:rsid w:val="00452684"/>
    <w:rsid w:val="00453A33"/>
    <w:rsid w:val="00453EBE"/>
    <w:rsid w:val="0045539F"/>
    <w:rsid w:val="0046088F"/>
    <w:rsid w:val="00461FE4"/>
    <w:rsid w:val="00462BE0"/>
    <w:rsid w:val="0046300C"/>
    <w:rsid w:val="004676B3"/>
    <w:rsid w:val="00467ED0"/>
    <w:rsid w:val="004708D8"/>
    <w:rsid w:val="00470B76"/>
    <w:rsid w:val="004739BF"/>
    <w:rsid w:val="00474390"/>
    <w:rsid w:val="00475060"/>
    <w:rsid w:val="00476703"/>
    <w:rsid w:val="00476EFC"/>
    <w:rsid w:val="00477D3A"/>
    <w:rsid w:val="00481C11"/>
    <w:rsid w:val="004822C0"/>
    <w:rsid w:val="0048336B"/>
    <w:rsid w:val="0048359C"/>
    <w:rsid w:val="0048421C"/>
    <w:rsid w:val="00484B5D"/>
    <w:rsid w:val="00485C6F"/>
    <w:rsid w:val="004861DA"/>
    <w:rsid w:val="0049153B"/>
    <w:rsid w:val="00491671"/>
    <w:rsid w:val="0049409A"/>
    <w:rsid w:val="0049711C"/>
    <w:rsid w:val="004A1644"/>
    <w:rsid w:val="004A16B2"/>
    <w:rsid w:val="004A24FE"/>
    <w:rsid w:val="004A2C2A"/>
    <w:rsid w:val="004A346C"/>
    <w:rsid w:val="004A57A7"/>
    <w:rsid w:val="004A5E7A"/>
    <w:rsid w:val="004B2CAC"/>
    <w:rsid w:val="004B3DD4"/>
    <w:rsid w:val="004B4077"/>
    <w:rsid w:val="004B4AE3"/>
    <w:rsid w:val="004C0438"/>
    <w:rsid w:val="004C0ED6"/>
    <w:rsid w:val="004C1207"/>
    <w:rsid w:val="004C3F6A"/>
    <w:rsid w:val="004C7B12"/>
    <w:rsid w:val="004C7E20"/>
    <w:rsid w:val="004D0137"/>
    <w:rsid w:val="004D0184"/>
    <w:rsid w:val="004D094D"/>
    <w:rsid w:val="004D169D"/>
    <w:rsid w:val="004D24C4"/>
    <w:rsid w:val="004D30E5"/>
    <w:rsid w:val="004D352D"/>
    <w:rsid w:val="004D63DD"/>
    <w:rsid w:val="004D7429"/>
    <w:rsid w:val="004E2EEF"/>
    <w:rsid w:val="004E3A12"/>
    <w:rsid w:val="004E4DF1"/>
    <w:rsid w:val="004E4F2A"/>
    <w:rsid w:val="004E4F68"/>
    <w:rsid w:val="004E5CA4"/>
    <w:rsid w:val="004E6D94"/>
    <w:rsid w:val="004E6E56"/>
    <w:rsid w:val="004E7325"/>
    <w:rsid w:val="004F0786"/>
    <w:rsid w:val="004F11E1"/>
    <w:rsid w:val="004F2ADE"/>
    <w:rsid w:val="004F50FA"/>
    <w:rsid w:val="004F6412"/>
    <w:rsid w:val="00500D66"/>
    <w:rsid w:val="00500FA1"/>
    <w:rsid w:val="00501ADF"/>
    <w:rsid w:val="00501E86"/>
    <w:rsid w:val="0050277C"/>
    <w:rsid w:val="00502782"/>
    <w:rsid w:val="0050547F"/>
    <w:rsid w:val="00506CEE"/>
    <w:rsid w:val="00511CBC"/>
    <w:rsid w:val="0051240E"/>
    <w:rsid w:val="00514069"/>
    <w:rsid w:val="005140AC"/>
    <w:rsid w:val="00515E17"/>
    <w:rsid w:val="00516E22"/>
    <w:rsid w:val="005209E9"/>
    <w:rsid w:val="0052130E"/>
    <w:rsid w:val="0052197A"/>
    <w:rsid w:val="00521BFD"/>
    <w:rsid w:val="00522853"/>
    <w:rsid w:val="00526760"/>
    <w:rsid w:val="00527083"/>
    <w:rsid w:val="00527FCF"/>
    <w:rsid w:val="00530DB6"/>
    <w:rsid w:val="00530E99"/>
    <w:rsid w:val="00530F99"/>
    <w:rsid w:val="00531515"/>
    <w:rsid w:val="00531A08"/>
    <w:rsid w:val="00532290"/>
    <w:rsid w:val="00532C73"/>
    <w:rsid w:val="0053768E"/>
    <w:rsid w:val="005407AB"/>
    <w:rsid w:val="0054279E"/>
    <w:rsid w:val="00544196"/>
    <w:rsid w:val="005442F2"/>
    <w:rsid w:val="005456D6"/>
    <w:rsid w:val="005456F1"/>
    <w:rsid w:val="00545822"/>
    <w:rsid w:val="0054612C"/>
    <w:rsid w:val="005465AA"/>
    <w:rsid w:val="00546C9E"/>
    <w:rsid w:val="00547F0C"/>
    <w:rsid w:val="005523A0"/>
    <w:rsid w:val="00553BED"/>
    <w:rsid w:val="00554DEF"/>
    <w:rsid w:val="00555B62"/>
    <w:rsid w:val="00556D48"/>
    <w:rsid w:val="005608B1"/>
    <w:rsid w:val="00561006"/>
    <w:rsid w:val="00561D4B"/>
    <w:rsid w:val="0056303F"/>
    <w:rsid w:val="0056394A"/>
    <w:rsid w:val="00565DC3"/>
    <w:rsid w:val="0056651E"/>
    <w:rsid w:val="005670EB"/>
    <w:rsid w:val="0056766A"/>
    <w:rsid w:val="005676A8"/>
    <w:rsid w:val="005705AB"/>
    <w:rsid w:val="00571C6A"/>
    <w:rsid w:val="005741B1"/>
    <w:rsid w:val="0057629E"/>
    <w:rsid w:val="005778D4"/>
    <w:rsid w:val="00577B82"/>
    <w:rsid w:val="005802B7"/>
    <w:rsid w:val="00581D03"/>
    <w:rsid w:val="005869F7"/>
    <w:rsid w:val="00587269"/>
    <w:rsid w:val="00587E2E"/>
    <w:rsid w:val="00592D60"/>
    <w:rsid w:val="0059568C"/>
    <w:rsid w:val="00595E46"/>
    <w:rsid w:val="005A2A6F"/>
    <w:rsid w:val="005A32ED"/>
    <w:rsid w:val="005A3C2C"/>
    <w:rsid w:val="005A406F"/>
    <w:rsid w:val="005A5C9B"/>
    <w:rsid w:val="005A71E9"/>
    <w:rsid w:val="005B1103"/>
    <w:rsid w:val="005B31B5"/>
    <w:rsid w:val="005B4335"/>
    <w:rsid w:val="005B51A0"/>
    <w:rsid w:val="005B60D3"/>
    <w:rsid w:val="005B7470"/>
    <w:rsid w:val="005B7C79"/>
    <w:rsid w:val="005B7C91"/>
    <w:rsid w:val="005C103F"/>
    <w:rsid w:val="005C104C"/>
    <w:rsid w:val="005C2185"/>
    <w:rsid w:val="005C56CE"/>
    <w:rsid w:val="005C6270"/>
    <w:rsid w:val="005C6C03"/>
    <w:rsid w:val="005C7356"/>
    <w:rsid w:val="005D0225"/>
    <w:rsid w:val="005D1C31"/>
    <w:rsid w:val="005D2BB6"/>
    <w:rsid w:val="005D2D2B"/>
    <w:rsid w:val="005D443E"/>
    <w:rsid w:val="005D53DD"/>
    <w:rsid w:val="005D63E1"/>
    <w:rsid w:val="005E1778"/>
    <w:rsid w:val="005E1B47"/>
    <w:rsid w:val="005E2125"/>
    <w:rsid w:val="005E2958"/>
    <w:rsid w:val="005E2C5A"/>
    <w:rsid w:val="005E364C"/>
    <w:rsid w:val="005E4B6F"/>
    <w:rsid w:val="005E5458"/>
    <w:rsid w:val="005E54BF"/>
    <w:rsid w:val="005E5898"/>
    <w:rsid w:val="005E6CA9"/>
    <w:rsid w:val="005E7FA2"/>
    <w:rsid w:val="005F065C"/>
    <w:rsid w:val="005F1229"/>
    <w:rsid w:val="005F1F02"/>
    <w:rsid w:val="005F3BB1"/>
    <w:rsid w:val="005F43B5"/>
    <w:rsid w:val="005F5C47"/>
    <w:rsid w:val="0060168D"/>
    <w:rsid w:val="00602B89"/>
    <w:rsid w:val="00602ECA"/>
    <w:rsid w:val="00603879"/>
    <w:rsid w:val="00603C78"/>
    <w:rsid w:val="00604915"/>
    <w:rsid w:val="006049A5"/>
    <w:rsid w:val="00604F0F"/>
    <w:rsid w:val="00605254"/>
    <w:rsid w:val="00605C3D"/>
    <w:rsid w:val="00610374"/>
    <w:rsid w:val="00610C9A"/>
    <w:rsid w:val="00611733"/>
    <w:rsid w:val="00612CDE"/>
    <w:rsid w:val="00613F1A"/>
    <w:rsid w:val="00614CE8"/>
    <w:rsid w:val="0061505E"/>
    <w:rsid w:val="0062398C"/>
    <w:rsid w:val="00623F19"/>
    <w:rsid w:val="0062727D"/>
    <w:rsid w:val="00627BF3"/>
    <w:rsid w:val="006309C4"/>
    <w:rsid w:val="006349AB"/>
    <w:rsid w:val="00637F98"/>
    <w:rsid w:val="00640C4C"/>
    <w:rsid w:val="00641E4A"/>
    <w:rsid w:val="006420F8"/>
    <w:rsid w:val="00645260"/>
    <w:rsid w:val="00646162"/>
    <w:rsid w:val="00646589"/>
    <w:rsid w:val="0064661E"/>
    <w:rsid w:val="00646D2B"/>
    <w:rsid w:val="0064754A"/>
    <w:rsid w:val="0065043D"/>
    <w:rsid w:val="00651B78"/>
    <w:rsid w:val="0065254A"/>
    <w:rsid w:val="00656FE4"/>
    <w:rsid w:val="00657992"/>
    <w:rsid w:val="00660215"/>
    <w:rsid w:val="006602DE"/>
    <w:rsid w:val="00660370"/>
    <w:rsid w:val="00660448"/>
    <w:rsid w:val="0066182B"/>
    <w:rsid w:val="00662168"/>
    <w:rsid w:val="00662343"/>
    <w:rsid w:val="00662C2D"/>
    <w:rsid w:val="00662F6B"/>
    <w:rsid w:val="006644C7"/>
    <w:rsid w:val="006644FA"/>
    <w:rsid w:val="00664A60"/>
    <w:rsid w:val="0066522E"/>
    <w:rsid w:val="0066552D"/>
    <w:rsid w:val="00665626"/>
    <w:rsid w:val="006665E2"/>
    <w:rsid w:val="00667060"/>
    <w:rsid w:val="00667093"/>
    <w:rsid w:val="006671CA"/>
    <w:rsid w:val="006736C3"/>
    <w:rsid w:val="006749B6"/>
    <w:rsid w:val="00675967"/>
    <w:rsid w:val="00676533"/>
    <w:rsid w:val="00676CC3"/>
    <w:rsid w:val="00676F71"/>
    <w:rsid w:val="00677195"/>
    <w:rsid w:val="00682273"/>
    <w:rsid w:val="00682847"/>
    <w:rsid w:val="00685327"/>
    <w:rsid w:val="00686C47"/>
    <w:rsid w:val="00686CB1"/>
    <w:rsid w:val="006908CB"/>
    <w:rsid w:val="00690E57"/>
    <w:rsid w:val="00693EFF"/>
    <w:rsid w:val="006941BC"/>
    <w:rsid w:val="006944E9"/>
    <w:rsid w:val="0069478C"/>
    <w:rsid w:val="00694954"/>
    <w:rsid w:val="00696C78"/>
    <w:rsid w:val="00697526"/>
    <w:rsid w:val="0069777F"/>
    <w:rsid w:val="006A2206"/>
    <w:rsid w:val="006A426C"/>
    <w:rsid w:val="006A52E4"/>
    <w:rsid w:val="006A5892"/>
    <w:rsid w:val="006A6198"/>
    <w:rsid w:val="006A6436"/>
    <w:rsid w:val="006A6CA6"/>
    <w:rsid w:val="006A73AA"/>
    <w:rsid w:val="006B2A21"/>
    <w:rsid w:val="006B2AD6"/>
    <w:rsid w:val="006B3058"/>
    <w:rsid w:val="006B3482"/>
    <w:rsid w:val="006B3BCB"/>
    <w:rsid w:val="006B6F2E"/>
    <w:rsid w:val="006B786D"/>
    <w:rsid w:val="006B7A46"/>
    <w:rsid w:val="006B7FC1"/>
    <w:rsid w:val="006C016A"/>
    <w:rsid w:val="006C041A"/>
    <w:rsid w:val="006C19AD"/>
    <w:rsid w:val="006C2596"/>
    <w:rsid w:val="006C3A35"/>
    <w:rsid w:val="006C42BE"/>
    <w:rsid w:val="006C4765"/>
    <w:rsid w:val="006C68A2"/>
    <w:rsid w:val="006C7B2F"/>
    <w:rsid w:val="006D087F"/>
    <w:rsid w:val="006D0D4F"/>
    <w:rsid w:val="006D0EEA"/>
    <w:rsid w:val="006D1CC6"/>
    <w:rsid w:val="006D2099"/>
    <w:rsid w:val="006D498B"/>
    <w:rsid w:val="006D5C94"/>
    <w:rsid w:val="006D6E50"/>
    <w:rsid w:val="006D724D"/>
    <w:rsid w:val="006D7F5C"/>
    <w:rsid w:val="006E04E1"/>
    <w:rsid w:val="006E2463"/>
    <w:rsid w:val="006E3656"/>
    <w:rsid w:val="006E3A92"/>
    <w:rsid w:val="006E4991"/>
    <w:rsid w:val="006E4B98"/>
    <w:rsid w:val="006E4E27"/>
    <w:rsid w:val="006E5A5E"/>
    <w:rsid w:val="006E64C5"/>
    <w:rsid w:val="006E6D7D"/>
    <w:rsid w:val="006E7279"/>
    <w:rsid w:val="006E7B14"/>
    <w:rsid w:val="006E7D3D"/>
    <w:rsid w:val="006F029B"/>
    <w:rsid w:val="006F03FF"/>
    <w:rsid w:val="006F1569"/>
    <w:rsid w:val="006F31F4"/>
    <w:rsid w:val="006F5D86"/>
    <w:rsid w:val="006F5EE5"/>
    <w:rsid w:val="00700BCF"/>
    <w:rsid w:val="00703469"/>
    <w:rsid w:val="00703BC2"/>
    <w:rsid w:val="0070472E"/>
    <w:rsid w:val="00704D36"/>
    <w:rsid w:val="0070681F"/>
    <w:rsid w:val="00707162"/>
    <w:rsid w:val="00707F45"/>
    <w:rsid w:val="00710F55"/>
    <w:rsid w:val="00711F3E"/>
    <w:rsid w:val="007121D3"/>
    <w:rsid w:val="00712730"/>
    <w:rsid w:val="00713804"/>
    <w:rsid w:val="0071444B"/>
    <w:rsid w:val="007149EA"/>
    <w:rsid w:val="00717D71"/>
    <w:rsid w:val="00721084"/>
    <w:rsid w:val="00721527"/>
    <w:rsid w:val="00722928"/>
    <w:rsid w:val="00722993"/>
    <w:rsid w:val="00724689"/>
    <w:rsid w:val="00725038"/>
    <w:rsid w:val="007258B0"/>
    <w:rsid w:val="00726A7B"/>
    <w:rsid w:val="007278E3"/>
    <w:rsid w:val="00732808"/>
    <w:rsid w:val="00732AA3"/>
    <w:rsid w:val="0073338B"/>
    <w:rsid w:val="007363E4"/>
    <w:rsid w:val="00736E86"/>
    <w:rsid w:val="00740E83"/>
    <w:rsid w:val="00741FC3"/>
    <w:rsid w:val="00742D59"/>
    <w:rsid w:val="00743795"/>
    <w:rsid w:val="00743892"/>
    <w:rsid w:val="00744317"/>
    <w:rsid w:val="0074662D"/>
    <w:rsid w:val="0075067E"/>
    <w:rsid w:val="00750A67"/>
    <w:rsid w:val="00754557"/>
    <w:rsid w:val="00760701"/>
    <w:rsid w:val="00762757"/>
    <w:rsid w:val="00762AD0"/>
    <w:rsid w:val="00762C1F"/>
    <w:rsid w:val="007631CA"/>
    <w:rsid w:val="00765948"/>
    <w:rsid w:val="00765DAC"/>
    <w:rsid w:val="0076659B"/>
    <w:rsid w:val="00767D09"/>
    <w:rsid w:val="00770353"/>
    <w:rsid w:val="00770C24"/>
    <w:rsid w:val="0077153C"/>
    <w:rsid w:val="00772903"/>
    <w:rsid w:val="00772E89"/>
    <w:rsid w:val="00774EA6"/>
    <w:rsid w:val="00776D85"/>
    <w:rsid w:val="0078094D"/>
    <w:rsid w:val="00781AEB"/>
    <w:rsid w:val="00782320"/>
    <w:rsid w:val="00782F44"/>
    <w:rsid w:val="00784125"/>
    <w:rsid w:val="00785A5B"/>
    <w:rsid w:val="00785C87"/>
    <w:rsid w:val="00786962"/>
    <w:rsid w:val="00787132"/>
    <w:rsid w:val="00787E04"/>
    <w:rsid w:val="00790703"/>
    <w:rsid w:val="007916EE"/>
    <w:rsid w:val="00791E7E"/>
    <w:rsid w:val="00793337"/>
    <w:rsid w:val="00795645"/>
    <w:rsid w:val="007964AF"/>
    <w:rsid w:val="00796595"/>
    <w:rsid w:val="007967C4"/>
    <w:rsid w:val="00796F91"/>
    <w:rsid w:val="00797718"/>
    <w:rsid w:val="007A0363"/>
    <w:rsid w:val="007A23B8"/>
    <w:rsid w:val="007A32F4"/>
    <w:rsid w:val="007A33A0"/>
    <w:rsid w:val="007A5129"/>
    <w:rsid w:val="007A5193"/>
    <w:rsid w:val="007A5FDE"/>
    <w:rsid w:val="007A6D94"/>
    <w:rsid w:val="007A7226"/>
    <w:rsid w:val="007A7961"/>
    <w:rsid w:val="007B0099"/>
    <w:rsid w:val="007B2884"/>
    <w:rsid w:val="007B3640"/>
    <w:rsid w:val="007B381F"/>
    <w:rsid w:val="007B4006"/>
    <w:rsid w:val="007B42BC"/>
    <w:rsid w:val="007B5007"/>
    <w:rsid w:val="007B5C71"/>
    <w:rsid w:val="007B5F74"/>
    <w:rsid w:val="007B6B50"/>
    <w:rsid w:val="007C0108"/>
    <w:rsid w:val="007C0113"/>
    <w:rsid w:val="007C08CE"/>
    <w:rsid w:val="007C1269"/>
    <w:rsid w:val="007C1B70"/>
    <w:rsid w:val="007C5AE7"/>
    <w:rsid w:val="007C722C"/>
    <w:rsid w:val="007D4920"/>
    <w:rsid w:val="007D5C39"/>
    <w:rsid w:val="007D74D9"/>
    <w:rsid w:val="007E0CE8"/>
    <w:rsid w:val="007E1D59"/>
    <w:rsid w:val="007E20F2"/>
    <w:rsid w:val="007E2582"/>
    <w:rsid w:val="007E4F2E"/>
    <w:rsid w:val="007E574B"/>
    <w:rsid w:val="007E5A44"/>
    <w:rsid w:val="007E5F92"/>
    <w:rsid w:val="007E6408"/>
    <w:rsid w:val="007E73E9"/>
    <w:rsid w:val="007F2326"/>
    <w:rsid w:val="007F488B"/>
    <w:rsid w:val="007F6B88"/>
    <w:rsid w:val="007F6D01"/>
    <w:rsid w:val="008001A8"/>
    <w:rsid w:val="00801291"/>
    <w:rsid w:val="00801436"/>
    <w:rsid w:val="00801AC3"/>
    <w:rsid w:val="008023A5"/>
    <w:rsid w:val="008023F4"/>
    <w:rsid w:val="00803198"/>
    <w:rsid w:val="008035EA"/>
    <w:rsid w:val="00817DC3"/>
    <w:rsid w:val="00821797"/>
    <w:rsid w:val="00823702"/>
    <w:rsid w:val="00824379"/>
    <w:rsid w:val="0082606C"/>
    <w:rsid w:val="00826326"/>
    <w:rsid w:val="008273C1"/>
    <w:rsid w:val="00830DA5"/>
    <w:rsid w:val="0083471C"/>
    <w:rsid w:val="00834EA4"/>
    <w:rsid w:val="00835E71"/>
    <w:rsid w:val="0083617E"/>
    <w:rsid w:val="00837709"/>
    <w:rsid w:val="00841E69"/>
    <w:rsid w:val="00842042"/>
    <w:rsid w:val="00842A7A"/>
    <w:rsid w:val="008451E1"/>
    <w:rsid w:val="008476C0"/>
    <w:rsid w:val="00847B33"/>
    <w:rsid w:val="008535F4"/>
    <w:rsid w:val="008547DA"/>
    <w:rsid w:val="00857735"/>
    <w:rsid w:val="0086162D"/>
    <w:rsid w:val="00866433"/>
    <w:rsid w:val="008725D9"/>
    <w:rsid w:val="00874A13"/>
    <w:rsid w:val="0087581D"/>
    <w:rsid w:val="00876530"/>
    <w:rsid w:val="008766E6"/>
    <w:rsid w:val="00877E95"/>
    <w:rsid w:val="0088115C"/>
    <w:rsid w:val="00881574"/>
    <w:rsid w:val="008815C4"/>
    <w:rsid w:val="00881E44"/>
    <w:rsid w:val="00883B07"/>
    <w:rsid w:val="00884AE3"/>
    <w:rsid w:val="00884E5A"/>
    <w:rsid w:val="00885943"/>
    <w:rsid w:val="008862D4"/>
    <w:rsid w:val="008868F6"/>
    <w:rsid w:val="00887A37"/>
    <w:rsid w:val="00887FEE"/>
    <w:rsid w:val="008910C1"/>
    <w:rsid w:val="008912BC"/>
    <w:rsid w:val="0089218D"/>
    <w:rsid w:val="008924DB"/>
    <w:rsid w:val="00892C8C"/>
    <w:rsid w:val="00892F6D"/>
    <w:rsid w:val="00894453"/>
    <w:rsid w:val="0089466F"/>
    <w:rsid w:val="00895630"/>
    <w:rsid w:val="008960C9"/>
    <w:rsid w:val="00896BC2"/>
    <w:rsid w:val="00896E22"/>
    <w:rsid w:val="008A096F"/>
    <w:rsid w:val="008A12BE"/>
    <w:rsid w:val="008A1E92"/>
    <w:rsid w:val="008A233B"/>
    <w:rsid w:val="008A3830"/>
    <w:rsid w:val="008A466C"/>
    <w:rsid w:val="008A4F1F"/>
    <w:rsid w:val="008A6DB8"/>
    <w:rsid w:val="008B03D2"/>
    <w:rsid w:val="008B1C55"/>
    <w:rsid w:val="008B3142"/>
    <w:rsid w:val="008B36CD"/>
    <w:rsid w:val="008B4CF3"/>
    <w:rsid w:val="008B5E4F"/>
    <w:rsid w:val="008C1592"/>
    <w:rsid w:val="008C1C43"/>
    <w:rsid w:val="008C3FB3"/>
    <w:rsid w:val="008C4A0F"/>
    <w:rsid w:val="008C573A"/>
    <w:rsid w:val="008C614C"/>
    <w:rsid w:val="008C6D69"/>
    <w:rsid w:val="008D08D2"/>
    <w:rsid w:val="008D23E8"/>
    <w:rsid w:val="008D310D"/>
    <w:rsid w:val="008D5005"/>
    <w:rsid w:val="008D5315"/>
    <w:rsid w:val="008D5C10"/>
    <w:rsid w:val="008D5CEC"/>
    <w:rsid w:val="008D660E"/>
    <w:rsid w:val="008D763A"/>
    <w:rsid w:val="008E232D"/>
    <w:rsid w:val="008E2A4D"/>
    <w:rsid w:val="008E3E4E"/>
    <w:rsid w:val="008E48A1"/>
    <w:rsid w:val="008E664C"/>
    <w:rsid w:val="008E6E80"/>
    <w:rsid w:val="008F06BE"/>
    <w:rsid w:val="008F07ED"/>
    <w:rsid w:val="008F3127"/>
    <w:rsid w:val="008F37C7"/>
    <w:rsid w:val="008F4A3B"/>
    <w:rsid w:val="008F4E43"/>
    <w:rsid w:val="008F4E89"/>
    <w:rsid w:val="008F5946"/>
    <w:rsid w:val="008F616D"/>
    <w:rsid w:val="008F65AC"/>
    <w:rsid w:val="008F6930"/>
    <w:rsid w:val="008F6CB1"/>
    <w:rsid w:val="00901893"/>
    <w:rsid w:val="00902C7C"/>
    <w:rsid w:val="009047A3"/>
    <w:rsid w:val="00904D0A"/>
    <w:rsid w:val="00904EB0"/>
    <w:rsid w:val="00904F98"/>
    <w:rsid w:val="00905771"/>
    <w:rsid w:val="00905C4E"/>
    <w:rsid w:val="009061EB"/>
    <w:rsid w:val="009067F4"/>
    <w:rsid w:val="009128D8"/>
    <w:rsid w:val="00912FCB"/>
    <w:rsid w:val="00913040"/>
    <w:rsid w:val="0091341C"/>
    <w:rsid w:val="0091406B"/>
    <w:rsid w:val="00914B41"/>
    <w:rsid w:val="00914B8B"/>
    <w:rsid w:val="00916987"/>
    <w:rsid w:val="00917BE9"/>
    <w:rsid w:val="00917F11"/>
    <w:rsid w:val="009206EE"/>
    <w:rsid w:val="009233EC"/>
    <w:rsid w:val="0092624C"/>
    <w:rsid w:val="009270B6"/>
    <w:rsid w:val="00927EC1"/>
    <w:rsid w:val="00930EF6"/>
    <w:rsid w:val="00931767"/>
    <w:rsid w:val="009335A2"/>
    <w:rsid w:val="00933BAA"/>
    <w:rsid w:val="00934FF4"/>
    <w:rsid w:val="0093612B"/>
    <w:rsid w:val="00936367"/>
    <w:rsid w:val="00940013"/>
    <w:rsid w:val="00940557"/>
    <w:rsid w:val="0094475F"/>
    <w:rsid w:val="009454B4"/>
    <w:rsid w:val="009535BF"/>
    <w:rsid w:val="009536FC"/>
    <w:rsid w:val="00954442"/>
    <w:rsid w:val="00955530"/>
    <w:rsid w:val="00956295"/>
    <w:rsid w:val="00957DC2"/>
    <w:rsid w:val="00960EB9"/>
    <w:rsid w:val="00961A01"/>
    <w:rsid w:val="009624B3"/>
    <w:rsid w:val="00962E8F"/>
    <w:rsid w:val="00964641"/>
    <w:rsid w:val="00964C37"/>
    <w:rsid w:val="00967C93"/>
    <w:rsid w:val="00971A09"/>
    <w:rsid w:val="009733C4"/>
    <w:rsid w:val="00973689"/>
    <w:rsid w:val="00973808"/>
    <w:rsid w:val="009758EE"/>
    <w:rsid w:val="009770E7"/>
    <w:rsid w:val="00977CFF"/>
    <w:rsid w:val="00980218"/>
    <w:rsid w:val="00980548"/>
    <w:rsid w:val="00984586"/>
    <w:rsid w:val="0098489B"/>
    <w:rsid w:val="009856B6"/>
    <w:rsid w:val="00986C21"/>
    <w:rsid w:val="009878B3"/>
    <w:rsid w:val="0099084C"/>
    <w:rsid w:val="0099105C"/>
    <w:rsid w:val="00991688"/>
    <w:rsid w:val="00991E47"/>
    <w:rsid w:val="00992EC5"/>
    <w:rsid w:val="009935B2"/>
    <w:rsid w:val="00994C4D"/>
    <w:rsid w:val="00994DD8"/>
    <w:rsid w:val="00994F4B"/>
    <w:rsid w:val="00996FE0"/>
    <w:rsid w:val="00997D98"/>
    <w:rsid w:val="009A09E4"/>
    <w:rsid w:val="009A0DA1"/>
    <w:rsid w:val="009A2376"/>
    <w:rsid w:val="009A26FA"/>
    <w:rsid w:val="009A27A2"/>
    <w:rsid w:val="009A4406"/>
    <w:rsid w:val="009A4D0D"/>
    <w:rsid w:val="009A60D6"/>
    <w:rsid w:val="009A6558"/>
    <w:rsid w:val="009A662E"/>
    <w:rsid w:val="009A792A"/>
    <w:rsid w:val="009B13E2"/>
    <w:rsid w:val="009B16F9"/>
    <w:rsid w:val="009B2588"/>
    <w:rsid w:val="009B3F8B"/>
    <w:rsid w:val="009B4CC9"/>
    <w:rsid w:val="009B4CD6"/>
    <w:rsid w:val="009B5A61"/>
    <w:rsid w:val="009B6B3F"/>
    <w:rsid w:val="009B6B9E"/>
    <w:rsid w:val="009B7742"/>
    <w:rsid w:val="009B798C"/>
    <w:rsid w:val="009B7E04"/>
    <w:rsid w:val="009C079A"/>
    <w:rsid w:val="009C1DA0"/>
    <w:rsid w:val="009C4857"/>
    <w:rsid w:val="009C4C86"/>
    <w:rsid w:val="009C62F3"/>
    <w:rsid w:val="009C706B"/>
    <w:rsid w:val="009C77BE"/>
    <w:rsid w:val="009C7C4E"/>
    <w:rsid w:val="009D22BF"/>
    <w:rsid w:val="009D263A"/>
    <w:rsid w:val="009D2706"/>
    <w:rsid w:val="009D376F"/>
    <w:rsid w:val="009D46DF"/>
    <w:rsid w:val="009D4D68"/>
    <w:rsid w:val="009D596E"/>
    <w:rsid w:val="009D7254"/>
    <w:rsid w:val="009D7F7B"/>
    <w:rsid w:val="009E1106"/>
    <w:rsid w:val="009E153D"/>
    <w:rsid w:val="009E34A8"/>
    <w:rsid w:val="009E408F"/>
    <w:rsid w:val="009E574F"/>
    <w:rsid w:val="009E6589"/>
    <w:rsid w:val="009E6F01"/>
    <w:rsid w:val="009E7A60"/>
    <w:rsid w:val="009E7AA4"/>
    <w:rsid w:val="009F01F3"/>
    <w:rsid w:val="009F1648"/>
    <w:rsid w:val="009F1C1D"/>
    <w:rsid w:val="009F4248"/>
    <w:rsid w:val="009F699B"/>
    <w:rsid w:val="00A0019E"/>
    <w:rsid w:val="00A01E4A"/>
    <w:rsid w:val="00A0285A"/>
    <w:rsid w:val="00A02CDD"/>
    <w:rsid w:val="00A030C2"/>
    <w:rsid w:val="00A03D77"/>
    <w:rsid w:val="00A04D78"/>
    <w:rsid w:val="00A051BA"/>
    <w:rsid w:val="00A0560B"/>
    <w:rsid w:val="00A05BE5"/>
    <w:rsid w:val="00A05EB9"/>
    <w:rsid w:val="00A06B96"/>
    <w:rsid w:val="00A0711A"/>
    <w:rsid w:val="00A07187"/>
    <w:rsid w:val="00A14D9C"/>
    <w:rsid w:val="00A15836"/>
    <w:rsid w:val="00A16606"/>
    <w:rsid w:val="00A16C03"/>
    <w:rsid w:val="00A17418"/>
    <w:rsid w:val="00A17CE8"/>
    <w:rsid w:val="00A2411D"/>
    <w:rsid w:val="00A25DFC"/>
    <w:rsid w:val="00A277F8"/>
    <w:rsid w:val="00A279E3"/>
    <w:rsid w:val="00A3074B"/>
    <w:rsid w:val="00A3192D"/>
    <w:rsid w:val="00A321C5"/>
    <w:rsid w:val="00A32D6E"/>
    <w:rsid w:val="00A34876"/>
    <w:rsid w:val="00A37778"/>
    <w:rsid w:val="00A442DF"/>
    <w:rsid w:val="00A447B3"/>
    <w:rsid w:val="00A46EA8"/>
    <w:rsid w:val="00A46EB4"/>
    <w:rsid w:val="00A5205B"/>
    <w:rsid w:val="00A52CC3"/>
    <w:rsid w:val="00A53D89"/>
    <w:rsid w:val="00A54189"/>
    <w:rsid w:val="00A550C7"/>
    <w:rsid w:val="00A55663"/>
    <w:rsid w:val="00A6208D"/>
    <w:rsid w:val="00A62CDA"/>
    <w:rsid w:val="00A6379B"/>
    <w:rsid w:val="00A65BA4"/>
    <w:rsid w:val="00A66D7B"/>
    <w:rsid w:val="00A706E5"/>
    <w:rsid w:val="00A715C9"/>
    <w:rsid w:val="00A72566"/>
    <w:rsid w:val="00A72BD8"/>
    <w:rsid w:val="00A72C88"/>
    <w:rsid w:val="00A73AA7"/>
    <w:rsid w:val="00A73B05"/>
    <w:rsid w:val="00A74C72"/>
    <w:rsid w:val="00A75611"/>
    <w:rsid w:val="00A75E1D"/>
    <w:rsid w:val="00A76CD8"/>
    <w:rsid w:val="00A76ED5"/>
    <w:rsid w:val="00A80CEB"/>
    <w:rsid w:val="00A81AE3"/>
    <w:rsid w:val="00A82440"/>
    <w:rsid w:val="00A83903"/>
    <w:rsid w:val="00A85493"/>
    <w:rsid w:val="00A85C69"/>
    <w:rsid w:val="00A861C1"/>
    <w:rsid w:val="00A86424"/>
    <w:rsid w:val="00A87BBD"/>
    <w:rsid w:val="00A90109"/>
    <w:rsid w:val="00A930FA"/>
    <w:rsid w:val="00A93175"/>
    <w:rsid w:val="00A944E4"/>
    <w:rsid w:val="00A96013"/>
    <w:rsid w:val="00A962CE"/>
    <w:rsid w:val="00A97156"/>
    <w:rsid w:val="00AA0C19"/>
    <w:rsid w:val="00AA1C9A"/>
    <w:rsid w:val="00AA3497"/>
    <w:rsid w:val="00AA35E0"/>
    <w:rsid w:val="00AA38DD"/>
    <w:rsid w:val="00AA4208"/>
    <w:rsid w:val="00AA4BFA"/>
    <w:rsid w:val="00AA5CE5"/>
    <w:rsid w:val="00AB0289"/>
    <w:rsid w:val="00AB0D04"/>
    <w:rsid w:val="00AB0D60"/>
    <w:rsid w:val="00AB0FEE"/>
    <w:rsid w:val="00AB1979"/>
    <w:rsid w:val="00AB1DEA"/>
    <w:rsid w:val="00AB206A"/>
    <w:rsid w:val="00AB25CB"/>
    <w:rsid w:val="00AB3F67"/>
    <w:rsid w:val="00AB4C73"/>
    <w:rsid w:val="00AB4D00"/>
    <w:rsid w:val="00AB5479"/>
    <w:rsid w:val="00AB63CA"/>
    <w:rsid w:val="00AB6C04"/>
    <w:rsid w:val="00AB6CB3"/>
    <w:rsid w:val="00AB7530"/>
    <w:rsid w:val="00AB79B6"/>
    <w:rsid w:val="00AC008B"/>
    <w:rsid w:val="00AC009B"/>
    <w:rsid w:val="00AC038C"/>
    <w:rsid w:val="00AC2C1D"/>
    <w:rsid w:val="00AC449B"/>
    <w:rsid w:val="00AC5361"/>
    <w:rsid w:val="00AC65C4"/>
    <w:rsid w:val="00AC699A"/>
    <w:rsid w:val="00AC705E"/>
    <w:rsid w:val="00AD26F4"/>
    <w:rsid w:val="00AD2AB3"/>
    <w:rsid w:val="00AD46D8"/>
    <w:rsid w:val="00AD5AB5"/>
    <w:rsid w:val="00AD71F7"/>
    <w:rsid w:val="00AD7A9B"/>
    <w:rsid w:val="00AE0174"/>
    <w:rsid w:val="00AE07EB"/>
    <w:rsid w:val="00AE135D"/>
    <w:rsid w:val="00AE145B"/>
    <w:rsid w:val="00AE442E"/>
    <w:rsid w:val="00AE4AAE"/>
    <w:rsid w:val="00AE4F39"/>
    <w:rsid w:val="00AE6B3A"/>
    <w:rsid w:val="00AE7C5F"/>
    <w:rsid w:val="00AF1722"/>
    <w:rsid w:val="00AF26E5"/>
    <w:rsid w:val="00AF305B"/>
    <w:rsid w:val="00AF3B66"/>
    <w:rsid w:val="00AF3F4D"/>
    <w:rsid w:val="00AF5C71"/>
    <w:rsid w:val="00B0070A"/>
    <w:rsid w:val="00B0138F"/>
    <w:rsid w:val="00B01D4F"/>
    <w:rsid w:val="00B04C6C"/>
    <w:rsid w:val="00B05030"/>
    <w:rsid w:val="00B1140C"/>
    <w:rsid w:val="00B13270"/>
    <w:rsid w:val="00B14F3D"/>
    <w:rsid w:val="00B152A8"/>
    <w:rsid w:val="00B159BD"/>
    <w:rsid w:val="00B173A6"/>
    <w:rsid w:val="00B1778E"/>
    <w:rsid w:val="00B20B13"/>
    <w:rsid w:val="00B2267A"/>
    <w:rsid w:val="00B22CE7"/>
    <w:rsid w:val="00B23DDE"/>
    <w:rsid w:val="00B24BD8"/>
    <w:rsid w:val="00B30200"/>
    <w:rsid w:val="00B31212"/>
    <w:rsid w:val="00B314DA"/>
    <w:rsid w:val="00B32833"/>
    <w:rsid w:val="00B32A7A"/>
    <w:rsid w:val="00B33247"/>
    <w:rsid w:val="00B33BAA"/>
    <w:rsid w:val="00B34F84"/>
    <w:rsid w:val="00B379AD"/>
    <w:rsid w:val="00B37E17"/>
    <w:rsid w:val="00B414CD"/>
    <w:rsid w:val="00B41629"/>
    <w:rsid w:val="00B446FF"/>
    <w:rsid w:val="00B5060D"/>
    <w:rsid w:val="00B51D21"/>
    <w:rsid w:val="00B53052"/>
    <w:rsid w:val="00B54AF3"/>
    <w:rsid w:val="00B551D5"/>
    <w:rsid w:val="00B55708"/>
    <w:rsid w:val="00B57E3C"/>
    <w:rsid w:val="00B57E50"/>
    <w:rsid w:val="00B57E73"/>
    <w:rsid w:val="00B60B9E"/>
    <w:rsid w:val="00B611A3"/>
    <w:rsid w:val="00B62945"/>
    <w:rsid w:val="00B63080"/>
    <w:rsid w:val="00B63DF2"/>
    <w:rsid w:val="00B6587F"/>
    <w:rsid w:val="00B65B23"/>
    <w:rsid w:val="00B65E83"/>
    <w:rsid w:val="00B67C7A"/>
    <w:rsid w:val="00B70084"/>
    <w:rsid w:val="00B70B8D"/>
    <w:rsid w:val="00B71066"/>
    <w:rsid w:val="00B725A7"/>
    <w:rsid w:val="00B74273"/>
    <w:rsid w:val="00B757ED"/>
    <w:rsid w:val="00B77294"/>
    <w:rsid w:val="00B81069"/>
    <w:rsid w:val="00B8186D"/>
    <w:rsid w:val="00B81A34"/>
    <w:rsid w:val="00B8220F"/>
    <w:rsid w:val="00B823EC"/>
    <w:rsid w:val="00B82C1B"/>
    <w:rsid w:val="00B84C94"/>
    <w:rsid w:val="00B850D0"/>
    <w:rsid w:val="00B856D4"/>
    <w:rsid w:val="00B858F3"/>
    <w:rsid w:val="00B867B0"/>
    <w:rsid w:val="00B91CBE"/>
    <w:rsid w:val="00B92FFE"/>
    <w:rsid w:val="00B95BDF"/>
    <w:rsid w:val="00B97079"/>
    <w:rsid w:val="00B97B57"/>
    <w:rsid w:val="00BA20A8"/>
    <w:rsid w:val="00BA3D89"/>
    <w:rsid w:val="00BA3F1B"/>
    <w:rsid w:val="00BA5151"/>
    <w:rsid w:val="00BA7117"/>
    <w:rsid w:val="00BA746A"/>
    <w:rsid w:val="00BA7EC7"/>
    <w:rsid w:val="00BB73B1"/>
    <w:rsid w:val="00BC34AB"/>
    <w:rsid w:val="00BC4001"/>
    <w:rsid w:val="00BC5EF7"/>
    <w:rsid w:val="00BC60EF"/>
    <w:rsid w:val="00BC6183"/>
    <w:rsid w:val="00BD0202"/>
    <w:rsid w:val="00BD14BC"/>
    <w:rsid w:val="00BD31A3"/>
    <w:rsid w:val="00BD3784"/>
    <w:rsid w:val="00BD4DB6"/>
    <w:rsid w:val="00BD5060"/>
    <w:rsid w:val="00BD5341"/>
    <w:rsid w:val="00BD573D"/>
    <w:rsid w:val="00BD692D"/>
    <w:rsid w:val="00BD69E8"/>
    <w:rsid w:val="00BD74B3"/>
    <w:rsid w:val="00BD7C05"/>
    <w:rsid w:val="00BE18B6"/>
    <w:rsid w:val="00BE28D5"/>
    <w:rsid w:val="00BE2E79"/>
    <w:rsid w:val="00BE3794"/>
    <w:rsid w:val="00BE5785"/>
    <w:rsid w:val="00BE70E7"/>
    <w:rsid w:val="00BF10A8"/>
    <w:rsid w:val="00BF1FC2"/>
    <w:rsid w:val="00BF2848"/>
    <w:rsid w:val="00BF4A0D"/>
    <w:rsid w:val="00BF7F9C"/>
    <w:rsid w:val="00C0006D"/>
    <w:rsid w:val="00C00867"/>
    <w:rsid w:val="00C0098C"/>
    <w:rsid w:val="00C01CE2"/>
    <w:rsid w:val="00C021FC"/>
    <w:rsid w:val="00C025AC"/>
    <w:rsid w:val="00C030BA"/>
    <w:rsid w:val="00C03564"/>
    <w:rsid w:val="00C04E09"/>
    <w:rsid w:val="00C0570B"/>
    <w:rsid w:val="00C071BF"/>
    <w:rsid w:val="00C072D9"/>
    <w:rsid w:val="00C079E3"/>
    <w:rsid w:val="00C10F95"/>
    <w:rsid w:val="00C11733"/>
    <w:rsid w:val="00C122A3"/>
    <w:rsid w:val="00C12351"/>
    <w:rsid w:val="00C147FC"/>
    <w:rsid w:val="00C14BA0"/>
    <w:rsid w:val="00C14D45"/>
    <w:rsid w:val="00C14D64"/>
    <w:rsid w:val="00C1660A"/>
    <w:rsid w:val="00C16B11"/>
    <w:rsid w:val="00C16DFB"/>
    <w:rsid w:val="00C200F4"/>
    <w:rsid w:val="00C21A32"/>
    <w:rsid w:val="00C301B8"/>
    <w:rsid w:val="00C31A1C"/>
    <w:rsid w:val="00C3429B"/>
    <w:rsid w:val="00C34552"/>
    <w:rsid w:val="00C37B5D"/>
    <w:rsid w:val="00C43863"/>
    <w:rsid w:val="00C464C7"/>
    <w:rsid w:val="00C46B05"/>
    <w:rsid w:val="00C50B8F"/>
    <w:rsid w:val="00C517CF"/>
    <w:rsid w:val="00C526B9"/>
    <w:rsid w:val="00C54CE1"/>
    <w:rsid w:val="00C56896"/>
    <w:rsid w:val="00C56C15"/>
    <w:rsid w:val="00C62A1A"/>
    <w:rsid w:val="00C648CD"/>
    <w:rsid w:val="00C64CEE"/>
    <w:rsid w:val="00C66640"/>
    <w:rsid w:val="00C67AF9"/>
    <w:rsid w:val="00C67E3F"/>
    <w:rsid w:val="00C70476"/>
    <w:rsid w:val="00C722AA"/>
    <w:rsid w:val="00C724AE"/>
    <w:rsid w:val="00C74F57"/>
    <w:rsid w:val="00C756A3"/>
    <w:rsid w:val="00C760D5"/>
    <w:rsid w:val="00C7661E"/>
    <w:rsid w:val="00C76FF6"/>
    <w:rsid w:val="00C8061C"/>
    <w:rsid w:val="00C80AD9"/>
    <w:rsid w:val="00C811AB"/>
    <w:rsid w:val="00C81797"/>
    <w:rsid w:val="00C81B44"/>
    <w:rsid w:val="00C833B2"/>
    <w:rsid w:val="00C84064"/>
    <w:rsid w:val="00C84764"/>
    <w:rsid w:val="00C858C5"/>
    <w:rsid w:val="00C8597E"/>
    <w:rsid w:val="00C8620E"/>
    <w:rsid w:val="00C90B67"/>
    <w:rsid w:val="00C9224E"/>
    <w:rsid w:val="00C93A4C"/>
    <w:rsid w:val="00C95224"/>
    <w:rsid w:val="00C964C8"/>
    <w:rsid w:val="00C96CFF"/>
    <w:rsid w:val="00C97369"/>
    <w:rsid w:val="00C973DE"/>
    <w:rsid w:val="00C975BD"/>
    <w:rsid w:val="00CA0552"/>
    <w:rsid w:val="00CA075F"/>
    <w:rsid w:val="00CA0A50"/>
    <w:rsid w:val="00CA0D65"/>
    <w:rsid w:val="00CA1B88"/>
    <w:rsid w:val="00CA1CB3"/>
    <w:rsid w:val="00CA346D"/>
    <w:rsid w:val="00CA3B5E"/>
    <w:rsid w:val="00CA49F5"/>
    <w:rsid w:val="00CA5616"/>
    <w:rsid w:val="00CA5BC8"/>
    <w:rsid w:val="00CB06E5"/>
    <w:rsid w:val="00CB1537"/>
    <w:rsid w:val="00CB24FC"/>
    <w:rsid w:val="00CB2839"/>
    <w:rsid w:val="00CB2FDE"/>
    <w:rsid w:val="00CB332F"/>
    <w:rsid w:val="00CB3665"/>
    <w:rsid w:val="00CB3CAE"/>
    <w:rsid w:val="00CB4054"/>
    <w:rsid w:val="00CB4757"/>
    <w:rsid w:val="00CB4A17"/>
    <w:rsid w:val="00CB6F26"/>
    <w:rsid w:val="00CB74F7"/>
    <w:rsid w:val="00CC1350"/>
    <w:rsid w:val="00CC3A64"/>
    <w:rsid w:val="00CC3F73"/>
    <w:rsid w:val="00CC5C22"/>
    <w:rsid w:val="00CC5C8A"/>
    <w:rsid w:val="00CC62E3"/>
    <w:rsid w:val="00CD25F5"/>
    <w:rsid w:val="00CD2BD9"/>
    <w:rsid w:val="00CD379E"/>
    <w:rsid w:val="00CD5393"/>
    <w:rsid w:val="00CD5496"/>
    <w:rsid w:val="00CD7625"/>
    <w:rsid w:val="00CD7802"/>
    <w:rsid w:val="00CE0341"/>
    <w:rsid w:val="00CE051D"/>
    <w:rsid w:val="00CE20D9"/>
    <w:rsid w:val="00CE53A7"/>
    <w:rsid w:val="00CE5AEC"/>
    <w:rsid w:val="00CE655E"/>
    <w:rsid w:val="00CF0138"/>
    <w:rsid w:val="00CF0262"/>
    <w:rsid w:val="00CF1336"/>
    <w:rsid w:val="00CF3564"/>
    <w:rsid w:val="00CF501E"/>
    <w:rsid w:val="00CF5E86"/>
    <w:rsid w:val="00CF7F2C"/>
    <w:rsid w:val="00D00526"/>
    <w:rsid w:val="00D01362"/>
    <w:rsid w:val="00D01960"/>
    <w:rsid w:val="00D0205C"/>
    <w:rsid w:val="00D03429"/>
    <w:rsid w:val="00D0444C"/>
    <w:rsid w:val="00D056EF"/>
    <w:rsid w:val="00D06B42"/>
    <w:rsid w:val="00D101C6"/>
    <w:rsid w:val="00D10308"/>
    <w:rsid w:val="00D1488D"/>
    <w:rsid w:val="00D1748B"/>
    <w:rsid w:val="00D17739"/>
    <w:rsid w:val="00D20D0D"/>
    <w:rsid w:val="00D21F9E"/>
    <w:rsid w:val="00D221C0"/>
    <w:rsid w:val="00D236B1"/>
    <w:rsid w:val="00D23C7C"/>
    <w:rsid w:val="00D243B5"/>
    <w:rsid w:val="00D26B4F"/>
    <w:rsid w:val="00D26EBA"/>
    <w:rsid w:val="00D33469"/>
    <w:rsid w:val="00D34960"/>
    <w:rsid w:val="00D34FEB"/>
    <w:rsid w:val="00D35D5E"/>
    <w:rsid w:val="00D374EF"/>
    <w:rsid w:val="00D418E8"/>
    <w:rsid w:val="00D4199C"/>
    <w:rsid w:val="00D41A43"/>
    <w:rsid w:val="00D434BF"/>
    <w:rsid w:val="00D45236"/>
    <w:rsid w:val="00D45539"/>
    <w:rsid w:val="00D46158"/>
    <w:rsid w:val="00D46429"/>
    <w:rsid w:val="00D47D28"/>
    <w:rsid w:val="00D51232"/>
    <w:rsid w:val="00D51E9A"/>
    <w:rsid w:val="00D52090"/>
    <w:rsid w:val="00D5284D"/>
    <w:rsid w:val="00D542EB"/>
    <w:rsid w:val="00D55147"/>
    <w:rsid w:val="00D55691"/>
    <w:rsid w:val="00D56267"/>
    <w:rsid w:val="00D57341"/>
    <w:rsid w:val="00D636D7"/>
    <w:rsid w:val="00D642EB"/>
    <w:rsid w:val="00D659DD"/>
    <w:rsid w:val="00D66523"/>
    <w:rsid w:val="00D665DE"/>
    <w:rsid w:val="00D666AD"/>
    <w:rsid w:val="00D668C1"/>
    <w:rsid w:val="00D66EE8"/>
    <w:rsid w:val="00D700BE"/>
    <w:rsid w:val="00D7313F"/>
    <w:rsid w:val="00D763EE"/>
    <w:rsid w:val="00D77A6B"/>
    <w:rsid w:val="00D77C97"/>
    <w:rsid w:val="00D77ED8"/>
    <w:rsid w:val="00D813B8"/>
    <w:rsid w:val="00D83E72"/>
    <w:rsid w:val="00D8410F"/>
    <w:rsid w:val="00D846D0"/>
    <w:rsid w:val="00D8513C"/>
    <w:rsid w:val="00D85582"/>
    <w:rsid w:val="00D8715E"/>
    <w:rsid w:val="00D90086"/>
    <w:rsid w:val="00D92893"/>
    <w:rsid w:val="00D96049"/>
    <w:rsid w:val="00DA0904"/>
    <w:rsid w:val="00DA1A8C"/>
    <w:rsid w:val="00DA1A94"/>
    <w:rsid w:val="00DA2B0F"/>
    <w:rsid w:val="00DA57A6"/>
    <w:rsid w:val="00DA5B9D"/>
    <w:rsid w:val="00DA5C53"/>
    <w:rsid w:val="00DB0ED3"/>
    <w:rsid w:val="00DB30B4"/>
    <w:rsid w:val="00DB343E"/>
    <w:rsid w:val="00DB3878"/>
    <w:rsid w:val="00DB5E78"/>
    <w:rsid w:val="00DB7FF6"/>
    <w:rsid w:val="00DC03B6"/>
    <w:rsid w:val="00DC04F0"/>
    <w:rsid w:val="00DC0E9C"/>
    <w:rsid w:val="00DC11A4"/>
    <w:rsid w:val="00DC156A"/>
    <w:rsid w:val="00DC1949"/>
    <w:rsid w:val="00DC2BC4"/>
    <w:rsid w:val="00DC467A"/>
    <w:rsid w:val="00DC4D48"/>
    <w:rsid w:val="00DC533A"/>
    <w:rsid w:val="00DD016C"/>
    <w:rsid w:val="00DD0D96"/>
    <w:rsid w:val="00DD1F6E"/>
    <w:rsid w:val="00DD22AD"/>
    <w:rsid w:val="00DD3585"/>
    <w:rsid w:val="00DD5B18"/>
    <w:rsid w:val="00DD63F0"/>
    <w:rsid w:val="00DD70F7"/>
    <w:rsid w:val="00DD7C41"/>
    <w:rsid w:val="00DD7FFE"/>
    <w:rsid w:val="00DE03A5"/>
    <w:rsid w:val="00DE0A8F"/>
    <w:rsid w:val="00DE0B75"/>
    <w:rsid w:val="00DE1DF0"/>
    <w:rsid w:val="00DE249D"/>
    <w:rsid w:val="00DE326C"/>
    <w:rsid w:val="00DE3D33"/>
    <w:rsid w:val="00DE4BA8"/>
    <w:rsid w:val="00DE66FF"/>
    <w:rsid w:val="00DE695E"/>
    <w:rsid w:val="00DE78DC"/>
    <w:rsid w:val="00DF0DF4"/>
    <w:rsid w:val="00DF1152"/>
    <w:rsid w:val="00DF133A"/>
    <w:rsid w:val="00DF2166"/>
    <w:rsid w:val="00DF24C3"/>
    <w:rsid w:val="00DF299C"/>
    <w:rsid w:val="00DF4747"/>
    <w:rsid w:val="00DF5266"/>
    <w:rsid w:val="00DF5368"/>
    <w:rsid w:val="00DF550B"/>
    <w:rsid w:val="00DF658D"/>
    <w:rsid w:val="00DF6842"/>
    <w:rsid w:val="00DF699D"/>
    <w:rsid w:val="00DF745A"/>
    <w:rsid w:val="00DF79A8"/>
    <w:rsid w:val="00E00B9D"/>
    <w:rsid w:val="00E013AD"/>
    <w:rsid w:val="00E01A1C"/>
    <w:rsid w:val="00E024B6"/>
    <w:rsid w:val="00E03720"/>
    <w:rsid w:val="00E07420"/>
    <w:rsid w:val="00E104DB"/>
    <w:rsid w:val="00E11157"/>
    <w:rsid w:val="00E11B2A"/>
    <w:rsid w:val="00E13A1E"/>
    <w:rsid w:val="00E2069B"/>
    <w:rsid w:val="00E2086F"/>
    <w:rsid w:val="00E228F8"/>
    <w:rsid w:val="00E22C8F"/>
    <w:rsid w:val="00E23043"/>
    <w:rsid w:val="00E23093"/>
    <w:rsid w:val="00E242A9"/>
    <w:rsid w:val="00E24C0E"/>
    <w:rsid w:val="00E256A5"/>
    <w:rsid w:val="00E27DF2"/>
    <w:rsid w:val="00E34F83"/>
    <w:rsid w:val="00E360D4"/>
    <w:rsid w:val="00E3645E"/>
    <w:rsid w:val="00E37616"/>
    <w:rsid w:val="00E37E0B"/>
    <w:rsid w:val="00E416A0"/>
    <w:rsid w:val="00E43D5C"/>
    <w:rsid w:val="00E44356"/>
    <w:rsid w:val="00E45A60"/>
    <w:rsid w:val="00E50D35"/>
    <w:rsid w:val="00E516B8"/>
    <w:rsid w:val="00E537F6"/>
    <w:rsid w:val="00E55BFC"/>
    <w:rsid w:val="00E5752F"/>
    <w:rsid w:val="00E57C76"/>
    <w:rsid w:val="00E612E9"/>
    <w:rsid w:val="00E622E1"/>
    <w:rsid w:val="00E62E3C"/>
    <w:rsid w:val="00E64BC8"/>
    <w:rsid w:val="00E66759"/>
    <w:rsid w:val="00E66900"/>
    <w:rsid w:val="00E71D11"/>
    <w:rsid w:val="00E74143"/>
    <w:rsid w:val="00E743D5"/>
    <w:rsid w:val="00E744AB"/>
    <w:rsid w:val="00E751EB"/>
    <w:rsid w:val="00E75774"/>
    <w:rsid w:val="00E76594"/>
    <w:rsid w:val="00E76C02"/>
    <w:rsid w:val="00E8208A"/>
    <w:rsid w:val="00E83585"/>
    <w:rsid w:val="00E84F2E"/>
    <w:rsid w:val="00E85283"/>
    <w:rsid w:val="00E866CB"/>
    <w:rsid w:val="00E909FB"/>
    <w:rsid w:val="00E91DD0"/>
    <w:rsid w:val="00E94298"/>
    <w:rsid w:val="00E94448"/>
    <w:rsid w:val="00E978AA"/>
    <w:rsid w:val="00EA08F2"/>
    <w:rsid w:val="00EA2A32"/>
    <w:rsid w:val="00EA2CC0"/>
    <w:rsid w:val="00EA37B4"/>
    <w:rsid w:val="00EA5A39"/>
    <w:rsid w:val="00EA62CE"/>
    <w:rsid w:val="00EA7A1D"/>
    <w:rsid w:val="00EB1024"/>
    <w:rsid w:val="00EB1A39"/>
    <w:rsid w:val="00EB3BAB"/>
    <w:rsid w:val="00EB49A9"/>
    <w:rsid w:val="00EB4C25"/>
    <w:rsid w:val="00EB52C2"/>
    <w:rsid w:val="00EB54E1"/>
    <w:rsid w:val="00EB6126"/>
    <w:rsid w:val="00EB66B7"/>
    <w:rsid w:val="00EB6953"/>
    <w:rsid w:val="00EB7234"/>
    <w:rsid w:val="00EC14BC"/>
    <w:rsid w:val="00EC1BCF"/>
    <w:rsid w:val="00EC2A61"/>
    <w:rsid w:val="00EC43A6"/>
    <w:rsid w:val="00EC7248"/>
    <w:rsid w:val="00EC7904"/>
    <w:rsid w:val="00ED0196"/>
    <w:rsid w:val="00ED08C7"/>
    <w:rsid w:val="00ED24E0"/>
    <w:rsid w:val="00ED5F27"/>
    <w:rsid w:val="00ED752C"/>
    <w:rsid w:val="00EE233B"/>
    <w:rsid w:val="00EE2E94"/>
    <w:rsid w:val="00EE3165"/>
    <w:rsid w:val="00EE35D3"/>
    <w:rsid w:val="00EE3760"/>
    <w:rsid w:val="00EE3A82"/>
    <w:rsid w:val="00EE41CA"/>
    <w:rsid w:val="00EE49CB"/>
    <w:rsid w:val="00EE4BA6"/>
    <w:rsid w:val="00EE52B5"/>
    <w:rsid w:val="00EE5B9A"/>
    <w:rsid w:val="00EE746C"/>
    <w:rsid w:val="00EF20A5"/>
    <w:rsid w:val="00EF2E2B"/>
    <w:rsid w:val="00EF5017"/>
    <w:rsid w:val="00EF6921"/>
    <w:rsid w:val="00EF771A"/>
    <w:rsid w:val="00F002D4"/>
    <w:rsid w:val="00F00681"/>
    <w:rsid w:val="00F00D4B"/>
    <w:rsid w:val="00F022BB"/>
    <w:rsid w:val="00F03D28"/>
    <w:rsid w:val="00F03ECC"/>
    <w:rsid w:val="00F050C9"/>
    <w:rsid w:val="00F07CA4"/>
    <w:rsid w:val="00F108FD"/>
    <w:rsid w:val="00F1426B"/>
    <w:rsid w:val="00F14388"/>
    <w:rsid w:val="00F14502"/>
    <w:rsid w:val="00F162B6"/>
    <w:rsid w:val="00F17AF1"/>
    <w:rsid w:val="00F17D89"/>
    <w:rsid w:val="00F20A3F"/>
    <w:rsid w:val="00F20AB4"/>
    <w:rsid w:val="00F21815"/>
    <w:rsid w:val="00F22358"/>
    <w:rsid w:val="00F2441C"/>
    <w:rsid w:val="00F249B4"/>
    <w:rsid w:val="00F267CB"/>
    <w:rsid w:val="00F27FEE"/>
    <w:rsid w:val="00F3009C"/>
    <w:rsid w:val="00F33FF9"/>
    <w:rsid w:val="00F343AB"/>
    <w:rsid w:val="00F355B9"/>
    <w:rsid w:val="00F3665E"/>
    <w:rsid w:val="00F36B06"/>
    <w:rsid w:val="00F37F09"/>
    <w:rsid w:val="00F41294"/>
    <w:rsid w:val="00F422FD"/>
    <w:rsid w:val="00F44CB5"/>
    <w:rsid w:val="00F44F1A"/>
    <w:rsid w:val="00F472C3"/>
    <w:rsid w:val="00F47C9E"/>
    <w:rsid w:val="00F47FFB"/>
    <w:rsid w:val="00F51A89"/>
    <w:rsid w:val="00F550B0"/>
    <w:rsid w:val="00F5686A"/>
    <w:rsid w:val="00F5754D"/>
    <w:rsid w:val="00F57D2F"/>
    <w:rsid w:val="00F6167A"/>
    <w:rsid w:val="00F64373"/>
    <w:rsid w:val="00F64F2D"/>
    <w:rsid w:val="00F6559C"/>
    <w:rsid w:val="00F65C73"/>
    <w:rsid w:val="00F66701"/>
    <w:rsid w:val="00F66BE2"/>
    <w:rsid w:val="00F7167A"/>
    <w:rsid w:val="00F72B5E"/>
    <w:rsid w:val="00F74393"/>
    <w:rsid w:val="00F750FE"/>
    <w:rsid w:val="00F7527B"/>
    <w:rsid w:val="00F7582C"/>
    <w:rsid w:val="00F8287C"/>
    <w:rsid w:val="00F833E1"/>
    <w:rsid w:val="00F841DB"/>
    <w:rsid w:val="00F84BD5"/>
    <w:rsid w:val="00F85343"/>
    <w:rsid w:val="00F85524"/>
    <w:rsid w:val="00F85A0B"/>
    <w:rsid w:val="00F86A96"/>
    <w:rsid w:val="00F87A21"/>
    <w:rsid w:val="00F90424"/>
    <w:rsid w:val="00F918B6"/>
    <w:rsid w:val="00F92305"/>
    <w:rsid w:val="00F92A22"/>
    <w:rsid w:val="00F9301A"/>
    <w:rsid w:val="00F93BF4"/>
    <w:rsid w:val="00F93BF5"/>
    <w:rsid w:val="00F94F98"/>
    <w:rsid w:val="00F952AA"/>
    <w:rsid w:val="00F96373"/>
    <w:rsid w:val="00F96CEF"/>
    <w:rsid w:val="00F970D8"/>
    <w:rsid w:val="00F97961"/>
    <w:rsid w:val="00FA0131"/>
    <w:rsid w:val="00FA0EDD"/>
    <w:rsid w:val="00FA2287"/>
    <w:rsid w:val="00FA2353"/>
    <w:rsid w:val="00FA35FE"/>
    <w:rsid w:val="00FA4B27"/>
    <w:rsid w:val="00FA522D"/>
    <w:rsid w:val="00FA7F8D"/>
    <w:rsid w:val="00FB09BA"/>
    <w:rsid w:val="00FB0B76"/>
    <w:rsid w:val="00FB1039"/>
    <w:rsid w:val="00FB29AA"/>
    <w:rsid w:val="00FB2D43"/>
    <w:rsid w:val="00FB74B3"/>
    <w:rsid w:val="00FC041F"/>
    <w:rsid w:val="00FC19F0"/>
    <w:rsid w:val="00FC1F28"/>
    <w:rsid w:val="00FC24C5"/>
    <w:rsid w:val="00FC2A75"/>
    <w:rsid w:val="00FC49CF"/>
    <w:rsid w:val="00FC49F9"/>
    <w:rsid w:val="00FC4D2D"/>
    <w:rsid w:val="00FC4EFE"/>
    <w:rsid w:val="00FC4F58"/>
    <w:rsid w:val="00FC6E18"/>
    <w:rsid w:val="00FD0204"/>
    <w:rsid w:val="00FD1711"/>
    <w:rsid w:val="00FD19B8"/>
    <w:rsid w:val="00FD1CA1"/>
    <w:rsid w:val="00FD342B"/>
    <w:rsid w:val="00FD3EC3"/>
    <w:rsid w:val="00FD4B51"/>
    <w:rsid w:val="00FD4D97"/>
    <w:rsid w:val="00FD50C5"/>
    <w:rsid w:val="00FD571A"/>
    <w:rsid w:val="00FE47C6"/>
    <w:rsid w:val="00FE52F0"/>
    <w:rsid w:val="00FE5444"/>
    <w:rsid w:val="00FE578C"/>
    <w:rsid w:val="00FE59B3"/>
    <w:rsid w:val="00FE697E"/>
    <w:rsid w:val="00FF0396"/>
    <w:rsid w:val="00FF137E"/>
    <w:rsid w:val="00FF29A4"/>
    <w:rsid w:val="00FF2CEF"/>
    <w:rsid w:val="00FF426D"/>
    <w:rsid w:val="00FF6095"/>
    <w:rsid w:val="00FF6295"/>
    <w:rsid w:val="00FF6685"/>
    <w:rsid w:val="00FF6F2B"/>
    <w:rsid w:val="00FF7E6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70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4B27"/>
    <w:pPr>
      <w:spacing w:after="120" w:line="360" w:lineRule="auto"/>
      <w:ind w:firstLine="720"/>
      <w:jc w:val="both"/>
    </w:pPr>
    <w:rPr>
      <w:rFonts w:ascii="Arial" w:hAnsi="Arial"/>
      <w:sz w:val="24"/>
      <w:lang w:val="en-AU" w:eastAsia="en-US"/>
    </w:rPr>
  </w:style>
  <w:style w:type="paragraph" w:styleId="Heading1">
    <w:name w:val="heading 1"/>
    <w:basedOn w:val="Normal"/>
    <w:next w:val="Normal"/>
    <w:qFormat/>
    <w:pPr>
      <w:keepNext/>
      <w:autoSpaceDE w:val="0"/>
      <w:autoSpaceDN w:val="0"/>
      <w:adjustRightInd w:val="0"/>
      <w:spacing w:after="0" w:line="240" w:lineRule="auto"/>
      <w:ind w:firstLine="0"/>
      <w:jc w:val="center"/>
      <w:outlineLvl w:val="0"/>
    </w:pPr>
    <w:rPr>
      <w:rFonts w:ascii="Times New Roman CYR" w:hAnsi="Times New Roman CYR"/>
      <w:b/>
      <w:bCs/>
      <w:sz w:val="20"/>
      <w:szCs w:val="24"/>
      <w:lang w:val="en-US"/>
    </w:rPr>
  </w:style>
  <w:style w:type="paragraph" w:styleId="Heading2">
    <w:name w:val="heading 2"/>
    <w:basedOn w:val="Normal"/>
    <w:next w:val="Normal"/>
    <w:qFormat/>
    <w:pPr>
      <w:keepNext/>
      <w:ind w:firstLine="5040"/>
      <w:outlineLvl w:val="1"/>
    </w:pPr>
    <w:rPr>
      <w:sz w:val="28"/>
      <w:lang w:val="bg-BG"/>
    </w:rPr>
  </w:style>
  <w:style w:type="paragraph" w:styleId="Heading3">
    <w:name w:val="heading 3"/>
    <w:basedOn w:val="Normal"/>
    <w:next w:val="Normal"/>
    <w:qFormat/>
    <w:rsid w:val="00084194"/>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spacing w:after="0" w:line="240" w:lineRule="auto"/>
      <w:ind w:firstLine="1530"/>
    </w:pPr>
    <w:rPr>
      <w:rFonts w:ascii="Times New Roman" w:hAnsi="Times New Roman"/>
      <w:sz w:val="28"/>
      <w:lang w:val="bg-BG"/>
    </w:rPr>
  </w:style>
  <w:style w:type="paragraph" w:customStyle="1" w:styleId="firstline">
    <w:name w:val="firstline"/>
    <w:basedOn w:val="Normal"/>
    <w:rsid w:val="001A0C85"/>
    <w:pPr>
      <w:spacing w:before="100" w:beforeAutospacing="1" w:after="100" w:afterAutospacing="1" w:line="240" w:lineRule="auto"/>
      <w:ind w:firstLine="0"/>
      <w:jc w:val="left"/>
    </w:pPr>
    <w:rPr>
      <w:rFonts w:ascii="Times New Roman" w:eastAsia="Batang" w:hAnsi="Times New Roman"/>
      <w:szCs w:val="24"/>
      <w:lang w:val="bg-BG" w:eastAsia="ko-KR"/>
    </w:rPr>
  </w:style>
  <w:style w:type="paragraph" w:styleId="BodyText2">
    <w:name w:val="Body Text 2"/>
    <w:basedOn w:val="Normal"/>
    <w:rsid w:val="008547DA"/>
    <w:pPr>
      <w:spacing w:line="480" w:lineRule="auto"/>
    </w:pPr>
  </w:style>
  <w:style w:type="paragraph" w:customStyle="1" w:styleId="CharCharCharChar">
    <w:name w:val="Char Char Char Char"/>
    <w:basedOn w:val="Normal"/>
    <w:semiHidden/>
    <w:rsid w:val="008547DA"/>
    <w:pPr>
      <w:tabs>
        <w:tab w:val="left" w:pos="709"/>
      </w:tabs>
      <w:spacing w:after="0" w:line="240" w:lineRule="auto"/>
      <w:ind w:firstLine="0"/>
      <w:jc w:val="left"/>
    </w:pPr>
    <w:rPr>
      <w:rFonts w:ascii="Futura Bk" w:hAnsi="Futura Bk"/>
      <w:szCs w:val="24"/>
      <w:lang w:val="pl-PL" w:eastAsia="pl-PL"/>
    </w:rPr>
  </w:style>
  <w:style w:type="paragraph" w:styleId="BalloonText">
    <w:name w:val="Balloon Text"/>
    <w:basedOn w:val="Normal"/>
    <w:semiHidden/>
    <w:rsid w:val="00F57D2F"/>
    <w:rPr>
      <w:rFonts w:ascii="Tahoma" w:hAnsi="Tahoma" w:cs="Tahoma"/>
      <w:sz w:val="16"/>
      <w:szCs w:val="16"/>
    </w:rPr>
  </w:style>
  <w:style w:type="paragraph" w:customStyle="1" w:styleId="Char">
    <w:name w:val="Char"/>
    <w:basedOn w:val="Normal"/>
    <w:autoRedefine/>
    <w:rsid w:val="00C756A3"/>
    <w:pPr>
      <w:spacing w:line="240" w:lineRule="auto"/>
      <w:ind w:firstLine="0"/>
    </w:pPr>
    <w:rPr>
      <w:rFonts w:ascii="Times New Roman" w:hAnsi="Times New Roman"/>
      <w:szCs w:val="24"/>
      <w:lang w:val="pl-PL" w:eastAsia="pl-PL"/>
    </w:rPr>
  </w:style>
  <w:style w:type="paragraph" w:styleId="FootnoteText">
    <w:name w:val="footnote text"/>
    <w:basedOn w:val="Normal"/>
    <w:link w:val="FootnoteTextChar"/>
    <w:uiPriority w:val="99"/>
    <w:semiHidden/>
    <w:rsid w:val="001B728E"/>
    <w:pPr>
      <w:spacing w:after="0" w:line="240" w:lineRule="auto"/>
      <w:ind w:firstLine="0"/>
      <w:jc w:val="left"/>
    </w:pPr>
    <w:rPr>
      <w:rFonts w:ascii="Times New Roman" w:eastAsia="MS Mincho" w:hAnsi="Times New Roman"/>
      <w:sz w:val="20"/>
      <w:lang w:val="bg-BG" w:eastAsia="ja-JP"/>
    </w:rPr>
  </w:style>
  <w:style w:type="character" w:styleId="FootnoteReference">
    <w:name w:val="footnote reference"/>
    <w:uiPriority w:val="99"/>
    <w:semiHidden/>
    <w:rsid w:val="001B728E"/>
    <w:rPr>
      <w:vertAlign w:val="superscript"/>
    </w:rPr>
  </w:style>
  <w:style w:type="paragraph" w:styleId="NormalWeb">
    <w:name w:val="Normal (Web)"/>
    <w:basedOn w:val="Normal"/>
    <w:rsid w:val="00F97961"/>
    <w:pPr>
      <w:spacing w:before="120" w:after="100" w:afterAutospacing="1" w:line="240" w:lineRule="auto"/>
      <w:ind w:firstLine="0"/>
    </w:pPr>
    <w:rPr>
      <w:rFonts w:ascii="Times New Roman" w:hAnsi="Times New Roman"/>
      <w:szCs w:val="24"/>
      <w:lang w:val="bg-BG" w:eastAsia="bg-BG"/>
    </w:rPr>
  </w:style>
  <w:style w:type="character" w:customStyle="1" w:styleId="arrow">
    <w:name w:val="arrow"/>
    <w:basedOn w:val="DefaultParagraphFont"/>
    <w:rsid w:val="00084194"/>
  </w:style>
  <w:style w:type="character" w:customStyle="1" w:styleId="FootnoteTextChar">
    <w:name w:val="Footnote Text Char"/>
    <w:link w:val="FootnoteText"/>
    <w:uiPriority w:val="99"/>
    <w:semiHidden/>
    <w:rsid w:val="00D846D0"/>
    <w:rPr>
      <w:rFonts w:eastAsia="MS Mincho"/>
      <w:lang w:eastAsia="ja-JP"/>
    </w:rPr>
  </w:style>
  <w:style w:type="paragraph" w:styleId="ListParagraph">
    <w:name w:val="List Paragraph"/>
    <w:basedOn w:val="Normal"/>
    <w:uiPriority w:val="99"/>
    <w:qFormat/>
    <w:rsid w:val="00D846D0"/>
    <w:pPr>
      <w:ind w:left="720"/>
      <w:contextualSpacing/>
    </w:pPr>
  </w:style>
  <w:style w:type="paragraph" w:customStyle="1" w:styleId="a">
    <w:name w:val="Обикн. параграф"/>
    <w:basedOn w:val="Normal"/>
    <w:rsid w:val="0007074B"/>
    <w:pPr>
      <w:spacing w:before="120" w:after="0"/>
    </w:pPr>
    <w:rPr>
      <w:rFonts w:ascii="Times New Roman" w:hAnsi="Times New Roman"/>
      <w:lang w:val="bg-BG" w:eastAsia="bg-BG"/>
    </w:rPr>
  </w:style>
  <w:style w:type="paragraph" w:customStyle="1" w:styleId="3">
    <w:name w:val="Заглавие 3 ляво"/>
    <w:basedOn w:val="Normal"/>
    <w:next w:val="a"/>
    <w:rsid w:val="0007074B"/>
    <w:pPr>
      <w:spacing w:before="240" w:after="60"/>
      <w:ind w:firstLine="0"/>
      <w:jc w:val="left"/>
    </w:pPr>
    <w:rPr>
      <w:rFonts w:ascii="Times New Roman" w:hAnsi="Times New Roman"/>
      <w:b/>
      <w:lang w:val="bg-BG" w:eastAsia="bg-BG"/>
    </w:rPr>
  </w:style>
  <w:style w:type="character" w:styleId="CommentReference">
    <w:name w:val="annotation reference"/>
    <w:rsid w:val="00722928"/>
    <w:rPr>
      <w:sz w:val="16"/>
      <w:szCs w:val="16"/>
    </w:rPr>
  </w:style>
  <w:style w:type="paragraph" w:styleId="CommentText">
    <w:name w:val="annotation text"/>
    <w:basedOn w:val="Normal"/>
    <w:link w:val="CommentTextChar"/>
    <w:rsid w:val="00722928"/>
    <w:rPr>
      <w:sz w:val="20"/>
    </w:rPr>
  </w:style>
  <w:style w:type="character" w:customStyle="1" w:styleId="CommentTextChar">
    <w:name w:val="Comment Text Char"/>
    <w:link w:val="CommentText"/>
    <w:rsid w:val="00722928"/>
    <w:rPr>
      <w:rFonts w:ascii="Arial" w:hAnsi="Arial"/>
      <w:lang w:val="en-AU" w:eastAsia="en-US"/>
    </w:rPr>
  </w:style>
  <w:style w:type="paragraph" w:styleId="CommentSubject">
    <w:name w:val="annotation subject"/>
    <w:basedOn w:val="CommentText"/>
    <w:next w:val="CommentText"/>
    <w:link w:val="CommentSubjectChar"/>
    <w:rsid w:val="00722928"/>
    <w:rPr>
      <w:b/>
      <w:bCs/>
    </w:rPr>
  </w:style>
  <w:style w:type="character" w:customStyle="1" w:styleId="CommentSubjectChar">
    <w:name w:val="Comment Subject Char"/>
    <w:link w:val="CommentSubject"/>
    <w:rsid w:val="00722928"/>
    <w:rPr>
      <w:rFonts w:ascii="Arial" w:hAnsi="Arial"/>
      <w:b/>
      <w:bCs/>
      <w:lang w:val="en-AU" w:eastAsia="en-US"/>
    </w:rPr>
  </w:style>
  <w:style w:type="character" w:styleId="Hyperlink">
    <w:name w:val="Hyperlink"/>
    <w:uiPriority w:val="99"/>
    <w:unhideWhenUsed/>
    <w:rsid w:val="001305F3"/>
    <w:rPr>
      <w:strike w:val="0"/>
      <w:dstrike w:val="0"/>
      <w:color w:val="337AB7"/>
      <w:u w:val="single"/>
      <w:effect w:val="none"/>
      <w:shd w:val="clear" w:color="auto" w:fill="auto"/>
    </w:rPr>
  </w:style>
  <w:style w:type="paragraph" w:styleId="Revision">
    <w:name w:val="Revision"/>
    <w:hidden/>
    <w:uiPriority w:val="99"/>
    <w:semiHidden/>
    <w:rsid w:val="00B55708"/>
    <w:rPr>
      <w:rFonts w:ascii="Arial" w:hAnsi="Arial"/>
      <w:sz w:val="24"/>
      <w:lang w:val="en-AU" w:eastAsia="en-US"/>
    </w:rPr>
  </w:style>
  <w:style w:type="character" w:customStyle="1" w:styleId="HeaderChar">
    <w:name w:val="Header Char"/>
    <w:basedOn w:val="DefaultParagraphFont"/>
    <w:link w:val="Header"/>
    <w:uiPriority w:val="99"/>
    <w:rsid w:val="00FD19B8"/>
    <w:rPr>
      <w:rFonts w:ascii="Arial" w:hAnsi="Arial"/>
      <w:sz w:val="24"/>
      <w:lang w:val="en-AU" w:eastAsia="en-US"/>
    </w:rPr>
  </w:style>
  <w:style w:type="character" w:customStyle="1" w:styleId="FooterChar">
    <w:name w:val="Footer Char"/>
    <w:basedOn w:val="DefaultParagraphFont"/>
    <w:link w:val="Footer"/>
    <w:uiPriority w:val="99"/>
    <w:rsid w:val="00FD19B8"/>
    <w:rPr>
      <w:rFonts w:ascii="Arial" w:hAnsi="Arial"/>
      <w:sz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251244">
      <w:bodyDiv w:val="1"/>
      <w:marLeft w:val="0"/>
      <w:marRight w:val="0"/>
      <w:marTop w:val="0"/>
      <w:marBottom w:val="0"/>
      <w:divBdr>
        <w:top w:val="none" w:sz="0" w:space="0" w:color="auto"/>
        <w:left w:val="none" w:sz="0" w:space="0" w:color="auto"/>
        <w:bottom w:val="none" w:sz="0" w:space="0" w:color="auto"/>
        <w:right w:val="none" w:sz="0" w:space="0" w:color="auto"/>
      </w:divBdr>
    </w:div>
    <w:div w:id="365103405">
      <w:bodyDiv w:val="1"/>
      <w:marLeft w:val="0"/>
      <w:marRight w:val="0"/>
      <w:marTop w:val="0"/>
      <w:marBottom w:val="0"/>
      <w:divBdr>
        <w:top w:val="none" w:sz="0" w:space="0" w:color="auto"/>
        <w:left w:val="none" w:sz="0" w:space="0" w:color="auto"/>
        <w:bottom w:val="none" w:sz="0" w:space="0" w:color="auto"/>
        <w:right w:val="none" w:sz="0" w:space="0" w:color="auto"/>
      </w:divBdr>
    </w:div>
    <w:div w:id="655916653">
      <w:bodyDiv w:val="1"/>
      <w:marLeft w:val="0"/>
      <w:marRight w:val="0"/>
      <w:marTop w:val="0"/>
      <w:marBottom w:val="0"/>
      <w:divBdr>
        <w:top w:val="none" w:sz="0" w:space="0" w:color="auto"/>
        <w:left w:val="none" w:sz="0" w:space="0" w:color="auto"/>
        <w:bottom w:val="none" w:sz="0" w:space="0" w:color="auto"/>
        <w:right w:val="none" w:sz="0" w:space="0" w:color="auto"/>
      </w:divBdr>
      <w:divsChild>
        <w:div w:id="115815712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932978099">
      <w:bodyDiv w:val="1"/>
      <w:marLeft w:val="0"/>
      <w:marRight w:val="0"/>
      <w:marTop w:val="0"/>
      <w:marBottom w:val="0"/>
      <w:divBdr>
        <w:top w:val="none" w:sz="0" w:space="0" w:color="auto"/>
        <w:left w:val="none" w:sz="0" w:space="0" w:color="auto"/>
        <w:bottom w:val="none" w:sz="0" w:space="0" w:color="auto"/>
        <w:right w:val="none" w:sz="0" w:space="0" w:color="auto"/>
      </w:divBdr>
      <w:divsChild>
        <w:div w:id="107482158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095858023">
      <w:bodyDiv w:val="1"/>
      <w:marLeft w:val="0"/>
      <w:marRight w:val="0"/>
      <w:marTop w:val="0"/>
      <w:marBottom w:val="0"/>
      <w:divBdr>
        <w:top w:val="none" w:sz="0" w:space="0" w:color="auto"/>
        <w:left w:val="none" w:sz="0" w:space="0" w:color="auto"/>
        <w:bottom w:val="none" w:sz="0" w:space="0" w:color="auto"/>
        <w:right w:val="none" w:sz="0" w:space="0" w:color="auto"/>
      </w:divBdr>
      <w:divsChild>
        <w:div w:id="2000426107">
          <w:marLeft w:val="0"/>
          <w:marRight w:val="0"/>
          <w:marTop w:val="0"/>
          <w:marBottom w:val="0"/>
          <w:divBdr>
            <w:top w:val="none" w:sz="0" w:space="0" w:color="auto"/>
            <w:left w:val="none" w:sz="0" w:space="0" w:color="auto"/>
            <w:bottom w:val="none" w:sz="0" w:space="0" w:color="auto"/>
            <w:right w:val="none" w:sz="0" w:space="0" w:color="auto"/>
          </w:divBdr>
          <w:divsChild>
            <w:div w:id="1800877193">
              <w:marLeft w:val="2700"/>
              <w:marRight w:val="2250"/>
              <w:marTop w:val="600"/>
              <w:marBottom w:val="0"/>
              <w:divBdr>
                <w:top w:val="none" w:sz="0" w:space="0" w:color="auto"/>
                <w:left w:val="none" w:sz="0" w:space="0" w:color="auto"/>
                <w:bottom w:val="none" w:sz="0" w:space="0" w:color="auto"/>
                <w:right w:val="none" w:sz="0" w:space="0" w:color="auto"/>
              </w:divBdr>
              <w:divsChild>
                <w:div w:id="1730378023">
                  <w:marLeft w:val="0"/>
                  <w:marRight w:val="0"/>
                  <w:marTop w:val="0"/>
                  <w:marBottom w:val="225"/>
                  <w:divBdr>
                    <w:top w:val="none" w:sz="0" w:space="0" w:color="auto"/>
                    <w:left w:val="none" w:sz="0" w:space="0" w:color="auto"/>
                    <w:bottom w:val="none" w:sz="0" w:space="0" w:color="auto"/>
                    <w:right w:val="none" w:sz="0" w:space="0" w:color="auto"/>
                  </w:divBdr>
                  <w:divsChild>
                    <w:div w:id="64581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433123">
      <w:bodyDiv w:val="1"/>
      <w:marLeft w:val="0"/>
      <w:marRight w:val="0"/>
      <w:marTop w:val="0"/>
      <w:marBottom w:val="0"/>
      <w:divBdr>
        <w:top w:val="none" w:sz="0" w:space="0" w:color="auto"/>
        <w:left w:val="none" w:sz="0" w:space="0" w:color="auto"/>
        <w:bottom w:val="none" w:sz="0" w:space="0" w:color="auto"/>
        <w:right w:val="none" w:sz="0" w:space="0" w:color="auto"/>
      </w:divBdr>
      <w:divsChild>
        <w:div w:id="1947736621">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85920342">
      <w:bodyDiv w:val="1"/>
      <w:marLeft w:val="0"/>
      <w:marRight w:val="0"/>
      <w:marTop w:val="0"/>
      <w:marBottom w:val="0"/>
      <w:divBdr>
        <w:top w:val="none" w:sz="0" w:space="0" w:color="auto"/>
        <w:left w:val="none" w:sz="0" w:space="0" w:color="auto"/>
        <w:bottom w:val="none" w:sz="0" w:space="0" w:color="auto"/>
        <w:right w:val="none" w:sz="0" w:space="0" w:color="auto"/>
      </w:divBdr>
      <w:divsChild>
        <w:div w:id="73073889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803844042">
      <w:bodyDiv w:val="1"/>
      <w:marLeft w:val="0"/>
      <w:marRight w:val="0"/>
      <w:marTop w:val="0"/>
      <w:marBottom w:val="0"/>
      <w:divBdr>
        <w:top w:val="none" w:sz="0" w:space="0" w:color="auto"/>
        <w:left w:val="none" w:sz="0" w:space="0" w:color="auto"/>
        <w:bottom w:val="none" w:sz="0" w:space="0" w:color="auto"/>
        <w:right w:val="none" w:sz="0" w:space="0" w:color="auto"/>
      </w:divBdr>
      <w:divsChild>
        <w:div w:id="1200512116">
          <w:marLeft w:val="0"/>
          <w:marRight w:val="0"/>
          <w:marTop w:val="0"/>
          <w:marBottom w:val="0"/>
          <w:divBdr>
            <w:top w:val="none" w:sz="0" w:space="0" w:color="auto"/>
            <w:left w:val="none" w:sz="0" w:space="0" w:color="auto"/>
            <w:bottom w:val="none" w:sz="0" w:space="0" w:color="auto"/>
            <w:right w:val="none" w:sz="0" w:space="0" w:color="auto"/>
          </w:divBdr>
          <w:divsChild>
            <w:div w:id="885332732">
              <w:marLeft w:val="2700"/>
              <w:marRight w:val="2250"/>
              <w:marTop w:val="600"/>
              <w:marBottom w:val="0"/>
              <w:divBdr>
                <w:top w:val="none" w:sz="0" w:space="0" w:color="auto"/>
                <w:left w:val="none" w:sz="0" w:space="0" w:color="auto"/>
                <w:bottom w:val="none" w:sz="0" w:space="0" w:color="auto"/>
                <w:right w:val="none" w:sz="0" w:space="0" w:color="auto"/>
              </w:divBdr>
              <w:divsChild>
                <w:div w:id="1662730543">
                  <w:marLeft w:val="0"/>
                  <w:marRight w:val="0"/>
                  <w:marTop w:val="0"/>
                  <w:marBottom w:val="225"/>
                  <w:divBdr>
                    <w:top w:val="none" w:sz="0" w:space="0" w:color="auto"/>
                    <w:left w:val="none" w:sz="0" w:space="0" w:color="auto"/>
                    <w:bottom w:val="none" w:sz="0" w:space="0" w:color="auto"/>
                    <w:right w:val="none" w:sz="0" w:space="0" w:color="auto"/>
                  </w:divBdr>
                  <w:divsChild>
                    <w:div w:id="51723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pis://NORM|4049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8A6EA-B0A6-416B-95EB-6D6BE373A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5196</Words>
  <Characters>29267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34395</CharactersWithSpaces>
  <SharedDoc>false</SharedDoc>
  <HLinks>
    <vt:vector size="6" baseType="variant">
      <vt:variant>
        <vt:i4>6946913</vt:i4>
      </vt:variant>
      <vt:variant>
        <vt:i4>0</vt:i4>
      </vt:variant>
      <vt:variant>
        <vt:i4>0</vt:i4>
      </vt:variant>
      <vt:variant>
        <vt:i4>5</vt:i4>
      </vt:variant>
      <vt:variant>
        <vt:lpwstr>apis://NORM|40492|0||/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2026-01-12T11:26:00Z</dcterms:created>
  <dcterms:modified xsi:type="dcterms:W3CDTF">2026-01-12T11:26:00Z</dcterms:modified>
</cp:coreProperties>
</file>