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4415" w14:textId="77777777" w:rsidR="00151177" w:rsidRPr="00FF736A" w:rsidRDefault="00230384" w:rsidP="00151177">
      <w:pPr>
        <w:pStyle w:val="Heading1"/>
        <w:spacing w:line="276" w:lineRule="auto"/>
        <w:rPr>
          <w:color w:val="000000" w:themeColor="text1"/>
          <w:sz w:val="22"/>
          <w:szCs w:val="22"/>
          <w:lang w:val="bg-BG"/>
        </w:rPr>
      </w:pPr>
      <w:r w:rsidRPr="008953A4">
        <w:rPr>
          <w:color w:val="000000"/>
          <w:sz w:val="22"/>
          <w:szCs w:val="22"/>
          <w:lang w:val="bg-BG"/>
        </w:rPr>
        <w:tab/>
      </w:r>
      <w:r w:rsidRPr="008953A4">
        <w:rPr>
          <w:color w:val="000000"/>
          <w:sz w:val="22"/>
          <w:szCs w:val="22"/>
          <w:lang w:val="bg-BG"/>
        </w:rPr>
        <w:tab/>
      </w:r>
      <w:r w:rsidRPr="008953A4">
        <w:rPr>
          <w:color w:val="000000"/>
          <w:sz w:val="22"/>
          <w:szCs w:val="22"/>
          <w:lang w:val="bg-BG"/>
        </w:rPr>
        <w:tab/>
      </w:r>
      <w:r w:rsidRPr="008953A4">
        <w:rPr>
          <w:color w:val="000000"/>
          <w:sz w:val="22"/>
          <w:szCs w:val="22"/>
          <w:lang w:val="bg-BG"/>
        </w:rPr>
        <w:tab/>
      </w:r>
      <w:r w:rsidR="00151177" w:rsidRPr="008953A4">
        <w:rPr>
          <w:color w:val="000000"/>
          <w:sz w:val="22"/>
          <w:szCs w:val="22"/>
          <w:lang w:val="bg-BG"/>
        </w:rPr>
        <w:tab/>
      </w:r>
      <w:r w:rsidR="00151177" w:rsidRPr="008953A4">
        <w:rPr>
          <w:color w:val="000000"/>
          <w:sz w:val="22"/>
          <w:szCs w:val="22"/>
          <w:lang w:val="bg-BG"/>
        </w:rPr>
        <w:tab/>
      </w:r>
      <w:r w:rsidR="00151177" w:rsidRPr="008953A4">
        <w:rPr>
          <w:color w:val="000000"/>
          <w:sz w:val="22"/>
          <w:szCs w:val="22"/>
          <w:lang w:val="bg-BG"/>
        </w:rPr>
        <w:tab/>
      </w:r>
      <w:r w:rsidR="00151177" w:rsidRPr="008953A4">
        <w:rPr>
          <w:color w:val="000000"/>
          <w:sz w:val="22"/>
          <w:szCs w:val="22"/>
          <w:lang w:val="bg-BG"/>
        </w:rPr>
        <w:tab/>
      </w:r>
      <w:r w:rsidR="00151177" w:rsidRPr="00FF736A">
        <w:rPr>
          <w:color w:val="000000" w:themeColor="text1"/>
          <w:sz w:val="22"/>
          <w:szCs w:val="22"/>
          <w:lang w:val="bg-BG"/>
        </w:rPr>
        <w:tab/>
      </w:r>
      <w:r w:rsidR="00E05EE8" w:rsidRPr="00FF736A">
        <w:rPr>
          <w:color w:val="000000" w:themeColor="text1"/>
          <w:sz w:val="22"/>
          <w:szCs w:val="22"/>
          <w:lang w:val="bg-BG"/>
        </w:rPr>
        <w:t>Приложение № 2</w:t>
      </w:r>
    </w:p>
    <w:p w14:paraId="7B0BD1F6" w14:textId="77777777" w:rsidR="00C96CFF" w:rsidRPr="00FF736A" w:rsidRDefault="00C96CFF" w:rsidP="00C96CFF">
      <w:pPr>
        <w:pStyle w:val="Heading1"/>
        <w:spacing w:line="276" w:lineRule="auto"/>
        <w:rPr>
          <w:color w:val="000000" w:themeColor="text1"/>
          <w:sz w:val="22"/>
          <w:szCs w:val="22"/>
          <w:lang w:val="bg-BG"/>
        </w:rPr>
      </w:pPr>
    </w:p>
    <w:p w14:paraId="0F82BFA2" w14:textId="77777777" w:rsidR="00C96CFF" w:rsidRPr="00FF736A" w:rsidRDefault="00C96CFF" w:rsidP="00C96CFF">
      <w:pPr>
        <w:pStyle w:val="Heading1"/>
        <w:spacing w:line="276" w:lineRule="auto"/>
        <w:rPr>
          <w:color w:val="000000" w:themeColor="text1"/>
          <w:sz w:val="22"/>
          <w:szCs w:val="22"/>
          <w:lang w:val="bg-BG"/>
        </w:rPr>
      </w:pPr>
    </w:p>
    <w:p w14:paraId="25FE67AB" w14:textId="77777777" w:rsidR="00C96CFF" w:rsidRPr="00FF736A" w:rsidRDefault="00C96CFF" w:rsidP="00C96CFF">
      <w:pPr>
        <w:pStyle w:val="Heading1"/>
        <w:spacing w:line="276" w:lineRule="auto"/>
        <w:rPr>
          <w:color w:val="000000" w:themeColor="text1"/>
          <w:sz w:val="22"/>
          <w:szCs w:val="22"/>
          <w:lang w:val="bg-BG"/>
        </w:rPr>
      </w:pPr>
    </w:p>
    <w:p w14:paraId="2BDBDF58" w14:textId="77777777" w:rsidR="00154523" w:rsidRPr="00FF736A" w:rsidRDefault="00154523" w:rsidP="00154523">
      <w:pPr>
        <w:rPr>
          <w:color w:val="000000" w:themeColor="text1"/>
          <w:lang w:val="bg-BG"/>
        </w:rPr>
      </w:pPr>
    </w:p>
    <w:p w14:paraId="2D13ECBD" w14:textId="77777777" w:rsidR="00154523" w:rsidRDefault="00154523" w:rsidP="00154523">
      <w:pPr>
        <w:rPr>
          <w:lang w:val="bg-BG"/>
        </w:rPr>
      </w:pPr>
    </w:p>
    <w:p w14:paraId="706DEA38" w14:textId="77777777" w:rsidR="00EE27C8" w:rsidRDefault="00EE27C8" w:rsidP="00154523">
      <w:pPr>
        <w:rPr>
          <w:lang w:val="bg-BG"/>
        </w:rPr>
      </w:pPr>
    </w:p>
    <w:p w14:paraId="43BF6533" w14:textId="77777777" w:rsidR="00EE27C8" w:rsidRDefault="00EE27C8" w:rsidP="00154523">
      <w:pPr>
        <w:rPr>
          <w:lang w:val="bg-BG"/>
        </w:rPr>
      </w:pPr>
    </w:p>
    <w:p w14:paraId="209A1CF0" w14:textId="77777777" w:rsidR="00154523" w:rsidRPr="00154523" w:rsidRDefault="00154523" w:rsidP="00154523">
      <w:pPr>
        <w:rPr>
          <w:lang w:val="bg-BG"/>
        </w:rPr>
      </w:pPr>
    </w:p>
    <w:p w14:paraId="5354DAA2" w14:textId="77777777" w:rsidR="00D96049" w:rsidRDefault="00B0138F" w:rsidP="00C96CFF">
      <w:pPr>
        <w:spacing w:line="276" w:lineRule="auto"/>
        <w:jc w:val="center"/>
        <w:rPr>
          <w:rFonts w:ascii="Times New Roman" w:hAnsi="Times New Roman"/>
          <w:sz w:val="56"/>
          <w:szCs w:val="56"/>
          <w:lang w:val="bg-BG"/>
        </w:rPr>
      </w:pPr>
      <w:r>
        <w:rPr>
          <w:rFonts w:ascii="Times New Roman" w:hAnsi="Times New Roman"/>
          <w:b/>
          <w:sz w:val="48"/>
          <w:szCs w:val="48"/>
          <w:lang w:val="bg-BG"/>
        </w:rPr>
        <w:t>СРЕДНОСРОЧНА</w:t>
      </w:r>
      <w:r w:rsidR="00D96049" w:rsidRPr="00D96049">
        <w:rPr>
          <w:rFonts w:ascii="Times New Roman" w:hAnsi="Times New Roman"/>
          <w:b/>
          <w:sz w:val="48"/>
          <w:szCs w:val="48"/>
          <w:lang w:val="bg-BG"/>
        </w:rPr>
        <w:t xml:space="preserve"> СТРАТЕГИЯ</w:t>
      </w:r>
      <w:r w:rsidR="00D96049">
        <w:rPr>
          <w:rFonts w:ascii="Times New Roman" w:hAnsi="Times New Roman"/>
          <w:sz w:val="56"/>
          <w:szCs w:val="56"/>
          <w:lang w:val="bg-BG"/>
        </w:rPr>
        <w:t xml:space="preserve"> </w:t>
      </w:r>
    </w:p>
    <w:p w14:paraId="79546292" w14:textId="77777777" w:rsidR="00724689" w:rsidRPr="00743795" w:rsidRDefault="00724689" w:rsidP="00D96049">
      <w:pPr>
        <w:spacing w:line="276" w:lineRule="auto"/>
        <w:jc w:val="center"/>
        <w:rPr>
          <w:rFonts w:ascii="Times New Roman" w:hAnsi="Times New Roman"/>
          <w:b/>
          <w:sz w:val="36"/>
          <w:szCs w:val="36"/>
          <w:lang w:val="bg-BG"/>
        </w:rPr>
      </w:pPr>
      <w:r w:rsidRPr="00743795">
        <w:rPr>
          <w:rFonts w:ascii="Times New Roman" w:hAnsi="Times New Roman"/>
          <w:b/>
          <w:sz w:val="36"/>
          <w:szCs w:val="36"/>
          <w:lang w:val="bg-BG"/>
        </w:rPr>
        <w:t>ЗА ИНВЕСТИРАНЕ НА СРЕДСТВАТА</w:t>
      </w:r>
    </w:p>
    <w:p w14:paraId="3556868E" w14:textId="77777777" w:rsidR="00D96049" w:rsidRPr="00743795" w:rsidRDefault="00D96049" w:rsidP="00D96049">
      <w:pPr>
        <w:spacing w:line="276" w:lineRule="auto"/>
        <w:jc w:val="center"/>
        <w:rPr>
          <w:rFonts w:ascii="Times New Roman" w:hAnsi="Times New Roman"/>
          <w:b/>
          <w:sz w:val="36"/>
          <w:szCs w:val="36"/>
          <w:lang w:val="bg-BG"/>
        </w:rPr>
      </w:pPr>
      <w:r w:rsidRPr="00743795">
        <w:rPr>
          <w:rFonts w:ascii="Times New Roman" w:hAnsi="Times New Roman"/>
          <w:b/>
          <w:sz w:val="36"/>
          <w:szCs w:val="36"/>
          <w:lang w:val="bg-BG"/>
        </w:rPr>
        <w:t>НА ДЪРЖАВНИЯ ФОНД ЗА ГАРАНТИРАНЕ УСТОЙЧИВОСТ НА ДЪРЖАВНАТА ПЕНСИОННА СИСТЕМА</w:t>
      </w:r>
    </w:p>
    <w:p w14:paraId="5374D7D1" w14:textId="77777777" w:rsidR="00C96CFF" w:rsidRPr="00C0006D" w:rsidRDefault="00C96CFF" w:rsidP="00C0006D">
      <w:pPr>
        <w:spacing w:line="276" w:lineRule="auto"/>
        <w:ind w:firstLine="0"/>
        <w:jc w:val="center"/>
        <w:rPr>
          <w:rFonts w:ascii="Times New Roman" w:hAnsi="Times New Roman"/>
          <w:b/>
          <w:sz w:val="36"/>
          <w:szCs w:val="36"/>
          <w:lang w:val="bg-BG"/>
        </w:rPr>
      </w:pPr>
      <w:r w:rsidRPr="00C0006D">
        <w:rPr>
          <w:rFonts w:ascii="Times New Roman" w:hAnsi="Times New Roman"/>
          <w:b/>
          <w:sz w:val="36"/>
          <w:szCs w:val="36"/>
          <w:lang w:val="bg-BG"/>
        </w:rPr>
        <w:t xml:space="preserve">ЗА </w:t>
      </w:r>
      <w:r w:rsidR="00F22358">
        <w:rPr>
          <w:rFonts w:ascii="Times New Roman" w:hAnsi="Times New Roman"/>
          <w:b/>
          <w:sz w:val="36"/>
          <w:szCs w:val="36"/>
          <w:lang w:val="bg-BG"/>
        </w:rPr>
        <w:t xml:space="preserve">ПЕРИОДА </w:t>
      </w:r>
      <w:r w:rsidRPr="00C0006D">
        <w:rPr>
          <w:rFonts w:ascii="Times New Roman" w:hAnsi="Times New Roman"/>
          <w:b/>
          <w:sz w:val="36"/>
          <w:szCs w:val="36"/>
          <w:lang w:val="bg-BG"/>
        </w:rPr>
        <w:t>20</w:t>
      </w:r>
      <w:r w:rsidR="00E81E24">
        <w:rPr>
          <w:rFonts w:ascii="Times New Roman" w:hAnsi="Times New Roman"/>
          <w:b/>
          <w:sz w:val="36"/>
          <w:szCs w:val="36"/>
          <w:lang w:val="bg-BG"/>
        </w:rPr>
        <w:t>2</w:t>
      </w:r>
      <w:r w:rsidR="00CA5ECE">
        <w:rPr>
          <w:rFonts w:ascii="Times New Roman" w:hAnsi="Times New Roman"/>
          <w:b/>
          <w:sz w:val="36"/>
          <w:szCs w:val="36"/>
          <w:lang w:val="bg-BG"/>
        </w:rPr>
        <w:t>6</w:t>
      </w:r>
      <w:r w:rsidR="00D96049" w:rsidRPr="00C0006D">
        <w:rPr>
          <w:rFonts w:ascii="Times New Roman" w:hAnsi="Times New Roman"/>
          <w:b/>
          <w:sz w:val="36"/>
          <w:szCs w:val="36"/>
          <w:lang w:val="bg-BG"/>
        </w:rPr>
        <w:t>-20</w:t>
      </w:r>
      <w:r w:rsidR="00E85A4A">
        <w:rPr>
          <w:rFonts w:ascii="Times New Roman" w:hAnsi="Times New Roman"/>
          <w:b/>
          <w:sz w:val="36"/>
          <w:szCs w:val="36"/>
          <w:lang w:val="bg-BG"/>
        </w:rPr>
        <w:t>2</w:t>
      </w:r>
      <w:r w:rsidR="00CA5ECE">
        <w:rPr>
          <w:rFonts w:ascii="Times New Roman" w:hAnsi="Times New Roman"/>
          <w:b/>
          <w:sz w:val="36"/>
          <w:szCs w:val="36"/>
          <w:lang w:val="bg-BG"/>
        </w:rPr>
        <w:t>8</w:t>
      </w:r>
      <w:r w:rsidRPr="00C0006D">
        <w:rPr>
          <w:rFonts w:ascii="Times New Roman" w:hAnsi="Times New Roman"/>
          <w:b/>
          <w:sz w:val="36"/>
          <w:szCs w:val="36"/>
          <w:lang w:val="bg-BG"/>
        </w:rPr>
        <w:t xml:space="preserve"> г.</w:t>
      </w:r>
    </w:p>
    <w:p w14:paraId="44884BC9" w14:textId="77777777" w:rsidR="002D67E0" w:rsidRPr="00C67AF9" w:rsidRDefault="002D67E0" w:rsidP="002D67E0">
      <w:pPr>
        <w:widowControl w:val="0"/>
        <w:autoSpaceDE w:val="0"/>
        <w:autoSpaceDN w:val="0"/>
        <w:adjustRightInd w:val="0"/>
        <w:rPr>
          <w:rFonts w:ascii="Times New Roman" w:hAnsi="Times New Roman"/>
          <w:sz w:val="28"/>
          <w:szCs w:val="28"/>
          <w:lang w:val="bg-BG"/>
        </w:rPr>
      </w:pPr>
    </w:p>
    <w:p w14:paraId="3BD03636" w14:textId="77777777" w:rsidR="002D67E0" w:rsidRPr="00C67AF9" w:rsidRDefault="002D67E0" w:rsidP="002D67E0">
      <w:pPr>
        <w:widowControl w:val="0"/>
        <w:autoSpaceDE w:val="0"/>
        <w:autoSpaceDN w:val="0"/>
        <w:adjustRightInd w:val="0"/>
        <w:ind w:firstLine="1080"/>
        <w:rPr>
          <w:rFonts w:ascii="Times New Roman" w:hAnsi="Times New Roman"/>
          <w:sz w:val="28"/>
          <w:szCs w:val="28"/>
          <w:lang w:val="bg-BG"/>
        </w:rPr>
      </w:pPr>
    </w:p>
    <w:p w14:paraId="3DBC8770" w14:textId="77777777" w:rsidR="002D67E0" w:rsidRPr="009F01F3" w:rsidRDefault="002D67E0" w:rsidP="002D67E0">
      <w:pPr>
        <w:widowControl w:val="0"/>
        <w:autoSpaceDE w:val="0"/>
        <w:autoSpaceDN w:val="0"/>
        <w:adjustRightInd w:val="0"/>
        <w:ind w:firstLine="1080"/>
        <w:rPr>
          <w:rFonts w:ascii="Times New Roman" w:hAnsi="Times New Roman"/>
          <w:sz w:val="28"/>
          <w:szCs w:val="28"/>
          <w:lang w:val="bg-BG"/>
        </w:rPr>
      </w:pPr>
    </w:p>
    <w:p w14:paraId="04A4BB04" w14:textId="77777777" w:rsidR="00C96CFF" w:rsidRDefault="00C96CFF" w:rsidP="002D67E0">
      <w:pPr>
        <w:widowControl w:val="0"/>
        <w:autoSpaceDE w:val="0"/>
        <w:autoSpaceDN w:val="0"/>
        <w:adjustRightInd w:val="0"/>
        <w:ind w:firstLine="1080"/>
        <w:rPr>
          <w:sz w:val="28"/>
          <w:szCs w:val="28"/>
          <w:lang w:val="bg-BG"/>
        </w:rPr>
      </w:pPr>
    </w:p>
    <w:p w14:paraId="3EA74E70" w14:textId="77777777" w:rsidR="00C96CFF" w:rsidRDefault="00C96CFF" w:rsidP="002D67E0">
      <w:pPr>
        <w:widowControl w:val="0"/>
        <w:autoSpaceDE w:val="0"/>
        <w:autoSpaceDN w:val="0"/>
        <w:adjustRightInd w:val="0"/>
        <w:ind w:firstLine="1080"/>
        <w:rPr>
          <w:sz w:val="28"/>
          <w:szCs w:val="28"/>
          <w:lang w:val="bg-BG"/>
        </w:rPr>
      </w:pPr>
    </w:p>
    <w:p w14:paraId="3378EB31" w14:textId="77777777" w:rsidR="00C96CFF" w:rsidRDefault="00C96CFF" w:rsidP="002D67E0">
      <w:pPr>
        <w:widowControl w:val="0"/>
        <w:autoSpaceDE w:val="0"/>
        <w:autoSpaceDN w:val="0"/>
        <w:adjustRightInd w:val="0"/>
        <w:ind w:firstLine="1080"/>
        <w:rPr>
          <w:sz w:val="28"/>
          <w:szCs w:val="28"/>
          <w:lang w:val="bg-BG"/>
        </w:rPr>
      </w:pPr>
    </w:p>
    <w:p w14:paraId="40E37BBC" w14:textId="77777777" w:rsidR="00C96CFF" w:rsidRDefault="00C96CFF" w:rsidP="002D67E0">
      <w:pPr>
        <w:widowControl w:val="0"/>
        <w:autoSpaceDE w:val="0"/>
        <w:autoSpaceDN w:val="0"/>
        <w:adjustRightInd w:val="0"/>
        <w:ind w:firstLine="1080"/>
        <w:rPr>
          <w:sz w:val="28"/>
          <w:szCs w:val="28"/>
          <w:lang w:val="bg-BG"/>
        </w:rPr>
      </w:pPr>
    </w:p>
    <w:p w14:paraId="720EB954" w14:textId="77777777" w:rsidR="00C96CFF" w:rsidRDefault="00C96CFF" w:rsidP="002D67E0">
      <w:pPr>
        <w:widowControl w:val="0"/>
        <w:autoSpaceDE w:val="0"/>
        <w:autoSpaceDN w:val="0"/>
        <w:adjustRightInd w:val="0"/>
        <w:ind w:firstLine="1080"/>
        <w:rPr>
          <w:sz w:val="28"/>
          <w:szCs w:val="28"/>
          <w:lang w:val="bg-BG"/>
        </w:rPr>
      </w:pPr>
    </w:p>
    <w:p w14:paraId="39E8CA25" w14:textId="77777777" w:rsidR="00C96CFF" w:rsidRDefault="00C96CFF" w:rsidP="002D67E0">
      <w:pPr>
        <w:widowControl w:val="0"/>
        <w:autoSpaceDE w:val="0"/>
        <w:autoSpaceDN w:val="0"/>
        <w:adjustRightInd w:val="0"/>
        <w:ind w:firstLine="1080"/>
        <w:rPr>
          <w:sz w:val="28"/>
          <w:szCs w:val="28"/>
          <w:lang w:val="bg-BG"/>
        </w:rPr>
      </w:pPr>
    </w:p>
    <w:p w14:paraId="329FC662" w14:textId="77777777" w:rsidR="009F01F3" w:rsidRDefault="009F01F3" w:rsidP="002D67E0">
      <w:pPr>
        <w:widowControl w:val="0"/>
        <w:autoSpaceDE w:val="0"/>
        <w:autoSpaceDN w:val="0"/>
        <w:adjustRightInd w:val="0"/>
        <w:ind w:firstLine="1080"/>
        <w:rPr>
          <w:sz w:val="28"/>
          <w:szCs w:val="28"/>
          <w:lang w:val="bg-BG"/>
        </w:rPr>
      </w:pPr>
    </w:p>
    <w:p w14:paraId="368A6862" w14:textId="77777777" w:rsidR="005A2A6F" w:rsidRDefault="005A2A6F" w:rsidP="007F488B">
      <w:pPr>
        <w:tabs>
          <w:tab w:val="left" w:pos="2340"/>
        </w:tabs>
        <w:jc w:val="center"/>
        <w:rPr>
          <w:rFonts w:ascii="Times New Roman" w:hAnsi="Times New Roman"/>
          <w:b/>
          <w:smallCaps/>
          <w:szCs w:val="24"/>
          <w:lang w:val="bg-BG"/>
        </w:rPr>
      </w:pPr>
    </w:p>
    <w:p w14:paraId="76D335B7" w14:textId="77777777" w:rsidR="005A2A6F" w:rsidRDefault="005A2A6F" w:rsidP="007F488B">
      <w:pPr>
        <w:tabs>
          <w:tab w:val="left" w:pos="2340"/>
        </w:tabs>
        <w:jc w:val="center"/>
        <w:rPr>
          <w:rFonts w:ascii="Times New Roman" w:hAnsi="Times New Roman"/>
          <w:b/>
          <w:smallCaps/>
          <w:szCs w:val="24"/>
          <w:lang w:val="bg-BG"/>
        </w:rPr>
      </w:pPr>
    </w:p>
    <w:p w14:paraId="1FC09D93" w14:textId="77777777" w:rsidR="00743795" w:rsidRPr="00865B65" w:rsidRDefault="00743795" w:rsidP="00CB06E5">
      <w:pPr>
        <w:tabs>
          <w:tab w:val="left" w:pos="342"/>
          <w:tab w:val="left" w:pos="2340"/>
        </w:tabs>
        <w:ind w:left="399" w:hanging="21"/>
        <w:jc w:val="center"/>
        <w:rPr>
          <w:rFonts w:ascii="Times New Roman" w:hAnsi="Times New Roman"/>
          <w:b/>
          <w:smallCaps/>
          <w:szCs w:val="24"/>
          <w:lang w:val="bg-BG"/>
        </w:rPr>
      </w:pPr>
    </w:p>
    <w:p w14:paraId="3B69E00D" w14:textId="77777777" w:rsidR="00C24D8A" w:rsidRPr="00865B65" w:rsidRDefault="00C24D8A" w:rsidP="00CB06E5">
      <w:pPr>
        <w:tabs>
          <w:tab w:val="left" w:pos="342"/>
          <w:tab w:val="left" w:pos="2340"/>
        </w:tabs>
        <w:ind w:left="399" w:hanging="21"/>
        <w:jc w:val="center"/>
        <w:rPr>
          <w:rFonts w:ascii="Times New Roman" w:hAnsi="Times New Roman"/>
          <w:b/>
          <w:smallCaps/>
          <w:szCs w:val="24"/>
          <w:lang w:val="bg-BG"/>
        </w:rPr>
      </w:pPr>
    </w:p>
    <w:p w14:paraId="67C52FC8" w14:textId="77777777" w:rsidR="00CB06E5" w:rsidRPr="0032486C" w:rsidRDefault="00CB06E5" w:rsidP="00CB06E5">
      <w:pPr>
        <w:tabs>
          <w:tab w:val="left" w:pos="342"/>
          <w:tab w:val="left" w:pos="2340"/>
        </w:tabs>
        <w:ind w:left="399" w:hanging="21"/>
        <w:jc w:val="center"/>
        <w:rPr>
          <w:rFonts w:ascii="Times New Roman" w:hAnsi="Times New Roman"/>
          <w:b/>
          <w:smallCaps/>
          <w:szCs w:val="24"/>
          <w:lang w:val="bg-BG"/>
        </w:rPr>
      </w:pPr>
      <w:r w:rsidRPr="0032486C">
        <w:rPr>
          <w:rFonts w:ascii="Times New Roman" w:hAnsi="Times New Roman"/>
          <w:b/>
          <w:smallCaps/>
          <w:szCs w:val="24"/>
          <w:lang w:val="bg-BG"/>
        </w:rPr>
        <w:t>СЪДЪРЖАНИЕ</w:t>
      </w:r>
    </w:p>
    <w:p w14:paraId="12C6FC6D" w14:textId="77777777" w:rsidR="00EE27C8" w:rsidRPr="00EE27C8" w:rsidRDefault="00EE27C8" w:rsidP="00CB06E5">
      <w:pPr>
        <w:tabs>
          <w:tab w:val="left" w:pos="342"/>
          <w:tab w:val="left" w:pos="399"/>
        </w:tabs>
        <w:ind w:left="399" w:hanging="21"/>
        <w:rPr>
          <w:rFonts w:ascii="Times New Roman" w:hAnsi="Times New Roman"/>
          <w:smallCaps/>
          <w:sz w:val="16"/>
          <w:szCs w:val="16"/>
          <w:lang w:val="bg-BG"/>
        </w:rPr>
      </w:pPr>
    </w:p>
    <w:p w14:paraId="76CEA33B" w14:textId="77777777" w:rsidR="00CB06E5" w:rsidRPr="00A305F8" w:rsidRDefault="009E6F01" w:rsidP="00CB06E5">
      <w:pPr>
        <w:tabs>
          <w:tab w:val="left" w:pos="342"/>
          <w:tab w:val="left" w:pos="399"/>
        </w:tabs>
        <w:ind w:left="399" w:hanging="21"/>
        <w:rPr>
          <w:rFonts w:ascii="Times New Roman" w:hAnsi="Times New Roman"/>
          <w:b/>
          <w:smallCaps/>
          <w:sz w:val="22"/>
          <w:szCs w:val="22"/>
          <w:lang w:val="bg-BG"/>
        </w:rPr>
      </w:pPr>
      <w:r w:rsidRPr="00A305F8">
        <w:rPr>
          <w:rFonts w:ascii="Times New Roman" w:hAnsi="Times New Roman"/>
          <w:b/>
          <w:smallCaps/>
          <w:sz w:val="22"/>
          <w:szCs w:val="22"/>
          <w:lang w:val="bg-BG"/>
        </w:rPr>
        <w:t>В</w:t>
      </w:r>
      <w:r w:rsidR="00FA4B27" w:rsidRPr="00A305F8">
        <w:rPr>
          <w:rFonts w:ascii="Times New Roman" w:hAnsi="Times New Roman"/>
          <w:b/>
          <w:smallCaps/>
          <w:sz w:val="22"/>
          <w:szCs w:val="22"/>
          <w:lang w:val="bg-BG"/>
        </w:rPr>
        <w:t>ЪВЕДЕНИЕ</w:t>
      </w:r>
    </w:p>
    <w:p w14:paraId="70591321" w14:textId="77777777" w:rsidR="00CB06E5" w:rsidRPr="00A305F8" w:rsidRDefault="00CB06E5" w:rsidP="00CB06E5">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 xml:space="preserve">І. </w:t>
      </w:r>
      <w:r w:rsidR="00F92A22" w:rsidRPr="00A305F8">
        <w:rPr>
          <w:rFonts w:ascii="Times New Roman" w:hAnsi="Times New Roman"/>
          <w:b/>
          <w:smallCaps/>
          <w:sz w:val="22"/>
          <w:szCs w:val="22"/>
          <w:lang w:val="bg-BG"/>
        </w:rPr>
        <w:t>ОБЗОР</w:t>
      </w:r>
      <w:r w:rsidRPr="00A305F8">
        <w:rPr>
          <w:rFonts w:ascii="Times New Roman" w:hAnsi="Times New Roman"/>
          <w:b/>
          <w:smallCaps/>
          <w:sz w:val="22"/>
          <w:szCs w:val="22"/>
          <w:lang w:val="bg-BG"/>
        </w:rPr>
        <w:t xml:space="preserve"> НА </w:t>
      </w:r>
      <w:r w:rsidR="00F92A22" w:rsidRPr="00A305F8">
        <w:rPr>
          <w:rFonts w:ascii="Times New Roman" w:hAnsi="Times New Roman"/>
          <w:b/>
          <w:smallCaps/>
          <w:sz w:val="22"/>
          <w:szCs w:val="22"/>
          <w:lang w:val="bg-BG"/>
        </w:rPr>
        <w:t xml:space="preserve">ДЕЙНОСТТА И ТЕКУЩО СЪСТОЯНИЕ НА </w:t>
      </w:r>
      <w:r w:rsidRPr="00A305F8">
        <w:rPr>
          <w:rFonts w:ascii="Times New Roman" w:hAnsi="Times New Roman"/>
          <w:b/>
          <w:smallCaps/>
          <w:sz w:val="22"/>
          <w:szCs w:val="22"/>
          <w:lang w:val="bg-BG"/>
        </w:rPr>
        <w:t xml:space="preserve">ДЪРЖАВНИЯ ФОНД ЗА ГАРАНТИРАНЕ УСТОЙЧИВОСТ НА ДЪРЖАВНАТА ПЕНСИОННА СИСТЕМА </w:t>
      </w:r>
    </w:p>
    <w:p w14:paraId="243FCD34" w14:textId="77777777" w:rsidR="001D6582" w:rsidRPr="00A305F8" w:rsidRDefault="00CB06E5" w:rsidP="001D6582">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 xml:space="preserve">1. </w:t>
      </w:r>
      <w:r w:rsidR="002D1D9A" w:rsidRPr="003646F0">
        <w:rPr>
          <w:rFonts w:ascii="Times New Roman" w:hAnsi="Times New Roman"/>
          <w:b/>
          <w:smallCaps/>
          <w:sz w:val="22"/>
          <w:szCs w:val="22"/>
          <w:lang w:val="bg-BG"/>
        </w:rPr>
        <w:t>П</w:t>
      </w:r>
      <w:r w:rsidR="002D1D9A" w:rsidRPr="00A305F8">
        <w:rPr>
          <w:rFonts w:ascii="Times New Roman" w:hAnsi="Times New Roman"/>
          <w:b/>
          <w:smallCaps/>
          <w:sz w:val="22"/>
          <w:szCs w:val="22"/>
          <w:lang w:val="bg-BG"/>
        </w:rPr>
        <w:t>реглед на д</w:t>
      </w:r>
      <w:r w:rsidRPr="00A305F8">
        <w:rPr>
          <w:rFonts w:ascii="Times New Roman" w:hAnsi="Times New Roman"/>
          <w:b/>
          <w:smallCaps/>
          <w:sz w:val="22"/>
          <w:szCs w:val="22"/>
          <w:lang w:val="bg-BG"/>
        </w:rPr>
        <w:t>ейност</w:t>
      </w:r>
      <w:r w:rsidR="002D1D9A" w:rsidRPr="00A305F8">
        <w:rPr>
          <w:rFonts w:ascii="Times New Roman" w:hAnsi="Times New Roman"/>
          <w:b/>
          <w:smallCaps/>
          <w:sz w:val="22"/>
          <w:szCs w:val="22"/>
          <w:lang w:val="bg-BG"/>
        </w:rPr>
        <w:t>та</w:t>
      </w:r>
      <w:r w:rsidRPr="00A305F8">
        <w:rPr>
          <w:rFonts w:ascii="Times New Roman" w:hAnsi="Times New Roman"/>
          <w:b/>
          <w:smallCaps/>
          <w:sz w:val="22"/>
          <w:szCs w:val="22"/>
          <w:lang w:val="bg-BG"/>
        </w:rPr>
        <w:t xml:space="preserve"> на управителния съвет на </w:t>
      </w:r>
      <w:r w:rsidR="001D6582">
        <w:rPr>
          <w:rFonts w:ascii="Times New Roman" w:hAnsi="Times New Roman"/>
          <w:b/>
          <w:smallCaps/>
          <w:sz w:val="22"/>
          <w:szCs w:val="22"/>
          <w:lang w:val="bg-BG"/>
        </w:rPr>
        <w:t>Държавния фонд за гарантиране устойчивост на държавната пенсионна система</w:t>
      </w:r>
    </w:p>
    <w:p w14:paraId="3EB0133D" w14:textId="77777777" w:rsidR="00CB06E5" w:rsidRPr="00A305F8" w:rsidRDefault="00CB06E5" w:rsidP="00CB06E5">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2. Приходоизточници</w:t>
      </w:r>
    </w:p>
    <w:p w14:paraId="03DEF2B7" w14:textId="77777777" w:rsidR="00CB06E5" w:rsidRPr="00A305F8" w:rsidRDefault="00CB06E5" w:rsidP="00CB06E5">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3. Управление на средствата</w:t>
      </w:r>
    </w:p>
    <w:p w14:paraId="1B120B02" w14:textId="77777777" w:rsidR="00EE27C8" w:rsidRPr="00EE27C8" w:rsidRDefault="00EE27C8" w:rsidP="001D6582">
      <w:pPr>
        <w:tabs>
          <w:tab w:val="left" w:pos="342"/>
          <w:tab w:val="left" w:pos="1311"/>
          <w:tab w:val="left" w:pos="1368"/>
          <w:tab w:val="left" w:pos="2052"/>
        </w:tabs>
        <w:spacing w:line="240" w:lineRule="auto"/>
        <w:ind w:left="403" w:hanging="23"/>
        <w:rPr>
          <w:rFonts w:ascii="Times New Roman" w:hAnsi="Times New Roman"/>
          <w:b/>
          <w:smallCaps/>
          <w:sz w:val="16"/>
          <w:szCs w:val="16"/>
          <w:lang w:val="bg-BG"/>
        </w:rPr>
      </w:pPr>
    </w:p>
    <w:p w14:paraId="1E3D0BDE" w14:textId="77777777" w:rsidR="001D6582" w:rsidRPr="00A305F8" w:rsidRDefault="005C56CE" w:rsidP="001D6582">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ІІ.</w:t>
      </w:r>
      <w:r w:rsidR="00B97B57" w:rsidRPr="00A305F8">
        <w:rPr>
          <w:rFonts w:ascii="Times New Roman" w:hAnsi="Times New Roman"/>
          <w:b/>
          <w:smallCaps/>
          <w:sz w:val="22"/>
          <w:szCs w:val="22"/>
          <w:lang w:val="bg-BG"/>
        </w:rPr>
        <w:t xml:space="preserve"> </w:t>
      </w:r>
      <w:r w:rsidR="00C0006D" w:rsidRPr="00A305F8">
        <w:rPr>
          <w:rFonts w:ascii="Times New Roman" w:hAnsi="Times New Roman"/>
          <w:b/>
          <w:smallCaps/>
          <w:sz w:val="22"/>
          <w:szCs w:val="22"/>
          <w:lang w:val="bg-BG"/>
        </w:rPr>
        <w:t>А</w:t>
      </w:r>
      <w:r w:rsidR="00984586" w:rsidRPr="00A305F8">
        <w:rPr>
          <w:rFonts w:ascii="Times New Roman" w:hAnsi="Times New Roman"/>
          <w:b/>
          <w:smallCaps/>
          <w:sz w:val="22"/>
          <w:szCs w:val="22"/>
          <w:lang w:val="bg-BG"/>
        </w:rPr>
        <w:t xml:space="preserve">НАЛИЗ НА ВЪЗМОЖНОСТИТЕ ЗА ИНВЕСТИРАНЕ НА СРЕДСТВАТА НА </w:t>
      </w:r>
      <w:r w:rsidR="001D6582" w:rsidRPr="00A305F8">
        <w:rPr>
          <w:rFonts w:ascii="Times New Roman" w:hAnsi="Times New Roman"/>
          <w:b/>
          <w:smallCaps/>
          <w:sz w:val="22"/>
          <w:szCs w:val="22"/>
          <w:lang w:val="bg-BG"/>
        </w:rPr>
        <w:t xml:space="preserve">ДЪРЖАВНИЯ ФОНД ЗА ГАРАНТИРАНЕ УСТОЙЧИВОСТ НА ДЪРЖАВНАТА ПЕНСИОННА СИСТЕМА </w:t>
      </w:r>
    </w:p>
    <w:p w14:paraId="26FD09B5" w14:textId="77777777" w:rsidR="00C0006D" w:rsidRPr="00EE27C8" w:rsidRDefault="00C0006D" w:rsidP="001D6582">
      <w:pPr>
        <w:spacing w:line="240" w:lineRule="auto"/>
        <w:ind w:left="426" w:firstLine="0"/>
        <w:rPr>
          <w:rFonts w:ascii="Times New Roman" w:hAnsi="Times New Roman"/>
          <w:b/>
          <w:smallCaps/>
          <w:sz w:val="20"/>
          <w:lang w:val="bg-BG"/>
        </w:rPr>
      </w:pPr>
    </w:p>
    <w:p w14:paraId="546A3839" w14:textId="77777777" w:rsidR="001D6582" w:rsidRPr="00A305F8" w:rsidRDefault="00C0006D" w:rsidP="001D6582">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 xml:space="preserve">ІІІ. </w:t>
      </w:r>
      <w:r w:rsidR="00B97B57" w:rsidRPr="00A305F8">
        <w:rPr>
          <w:rFonts w:ascii="Times New Roman" w:hAnsi="Times New Roman"/>
          <w:b/>
          <w:smallCaps/>
          <w:sz w:val="22"/>
          <w:szCs w:val="22"/>
          <w:lang w:val="bg-BG"/>
        </w:rPr>
        <w:t xml:space="preserve">РИСКОВЕ, СВЪРЗАНИ С </w:t>
      </w:r>
      <w:r w:rsidR="000C141B" w:rsidRPr="00A305F8">
        <w:rPr>
          <w:rFonts w:ascii="Times New Roman" w:hAnsi="Times New Roman"/>
          <w:b/>
          <w:smallCaps/>
          <w:sz w:val="22"/>
          <w:szCs w:val="22"/>
          <w:lang w:val="bg-BG"/>
        </w:rPr>
        <w:t>ИНВЕСТИРАНЕТО</w:t>
      </w:r>
      <w:r w:rsidR="00B97B57" w:rsidRPr="00A305F8">
        <w:rPr>
          <w:rFonts w:ascii="Times New Roman" w:hAnsi="Times New Roman"/>
          <w:b/>
          <w:smallCaps/>
          <w:sz w:val="22"/>
          <w:szCs w:val="22"/>
          <w:lang w:val="bg-BG"/>
        </w:rPr>
        <w:t xml:space="preserve"> НА СРЕДСТВАТА НА </w:t>
      </w:r>
      <w:r w:rsidR="001D6582" w:rsidRPr="00A305F8">
        <w:rPr>
          <w:rFonts w:ascii="Times New Roman" w:hAnsi="Times New Roman"/>
          <w:b/>
          <w:smallCaps/>
          <w:sz w:val="22"/>
          <w:szCs w:val="22"/>
          <w:lang w:val="bg-BG"/>
        </w:rPr>
        <w:t xml:space="preserve">ДЪРЖАВНИЯ ФОНД ЗА ГАРАНТИРАНЕ УСТОЙЧИВОСТ НА ДЪРЖАВНАТА ПЕНСИОННА СИСТЕМА </w:t>
      </w:r>
    </w:p>
    <w:p w14:paraId="09FBC9E3" w14:textId="77777777" w:rsidR="005C56CE" w:rsidRPr="00EE27C8" w:rsidRDefault="005C56CE" w:rsidP="00CB06E5">
      <w:pPr>
        <w:tabs>
          <w:tab w:val="left" w:pos="342"/>
          <w:tab w:val="left" w:pos="1311"/>
          <w:tab w:val="left" w:pos="1368"/>
          <w:tab w:val="left" w:pos="2052"/>
        </w:tabs>
        <w:spacing w:after="0" w:line="240" w:lineRule="auto"/>
        <w:ind w:left="399" w:hanging="21"/>
        <w:rPr>
          <w:rFonts w:ascii="Times New Roman" w:hAnsi="Times New Roman"/>
          <w:b/>
          <w:smallCaps/>
          <w:sz w:val="20"/>
          <w:lang w:val="bg-BG"/>
        </w:rPr>
      </w:pPr>
    </w:p>
    <w:p w14:paraId="1B7CC184" w14:textId="77777777" w:rsidR="00085647" w:rsidRPr="00A305F8" w:rsidRDefault="00CB06E5" w:rsidP="00A305F8">
      <w:pPr>
        <w:tabs>
          <w:tab w:val="left" w:pos="342"/>
          <w:tab w:val="left" w:pos="1311"/>
          <w:tab w:val="left" w:pos="1368"/>
          <w:tab w:val="left" w:pos="2052"/>
        </w:tabs>
        <w:spacing w:line="240" w:lineRule="auto"/>
        <w:ind w:left="403" w:hanging="23"/>
        <w:rPr>
          <w:rFonts w:ascii="Times New Roman" w:hAnsi="Times New Roman"/>
          <w:b/>
          <w:smallCaps/>
          <w:sz w:val="22"/>
          <w:szCs w:val="22"/>
          <w:lang w:val="bg-BG"/>
        </w:rPr>
      </w:pPr>
      <w:r w:rsidRPr="00A305F8">
        <w:rPr>
          <w:rFonts w:ascii="Times New Roman" w:hAnsi="Times New Roman"/>
          <w:b/>
          <w:smallCaps/>
          <w:sz w:val="22"/>
          <w:szCs w:val="22"/>
          <w:lang w:val="bg-BG"/>
        </w:rPr>
        <w:t>І</w:t>
      </w:r>
      <w:r w:rsidR="00C0006D" w:rsidRPr="00A305F8">
        <w:rPr>
          <w:rFonts w:ascii="Times New Roman" w:hAnsi="Times New Roman"/>
          <w:b/>
          <w:smallCaps/>
          <w:sz w:val="22"/>
          <w:szCs w:val="22"/>
          <w:lang w:val="en-US"/>
        </w:rPr>
        <w:t>V</w:t>
      </w:r>
      <w:r w:rsidRPr="00A305F8">
        <w:rPr>
          <w:rFonts w:ascii="Times New Roman" w:hAnsi="Times New Roman"/>
          <w:b/>
          <w:smallCaps/>
          <w:sz w:val="22"/>
          <w:szCs w:val="22"/>
          <w:lang w:val="bg-BG"/>
        </w:rPr>
        <w:t xml:space="preserve">. </w:t>
      </w:r>
      <w:r w:rsidR="00085647" w:rsidRPr="00A305F8">
        <w:rPr>
          <w:rFonts w:ascii="Times New Roman" w:hAnsi="Times New Roman"/>
          <w:b/>
          <w:smallCaps/>
          <w:sz w:val="22"/>
          <w:szCs w:val="22"/>
          <w:lang w:val="bg-BG"/>
        </w:rPr>
        <w:t>О</w:t>
      </w:r>
      <w:r w:rsidR="00984586" w:rsidRPr="00A305F8">
        <w:rPr>
          <w:rFonts w:ascii="Times New Roman" w:hAnsi="Times New Roman"/>
          <w:b/>
          <w:smallCaps/>
          <w:sz w:val="22"/>
          <w:szCs w:val="22"/>
          <w:lang w:val="bg-BG"/>
        </w:rPr>
        <w:t xml:space="preserve">СНОВНИ ИНСТРУМЕНТИ, В КОИТО СЕ ПРЕДВИЖДА ДА БЪДАТ ИНВЕСТИРАНИ СРЕДСТВАТА НА </w:t>
      </w:r>
      <w:r w:rsidR="001D6582" w:rsidRPr="00A305F8">
        <w:rPr>
          <w:rFonts w:ascii="Times New Roman" w:hAnsi="Times New Roman"/>
          <w:b/>
          <w:smallCaps/>
          <w:sz w:val="22"/>
          <w:szCs w:val="22"/>
          <w:lang w:val="bg-BG"/>
        </w:rPr>
        <w:t xml:space="preserve">ДЪРЖАВНИЯ ФОНД ЗА ГАРАНТИРАНЕ УСТОЙЧИВОСТ НА ДЪРЖАВНАТА ПЕНСИОННА СИСТЕМА </w:t>
      </w:r>
      <w:r w:rsidR="00984586" w:rsidRPr="00A305F8">
        <w:rPr>
          <w:rFonts w:ascii="Times New Roman" w:hAnsi="Times New Roman"/>
          <w:b/>
          <w:smallCaps/>
          <w:sz w:val="22"/>
          <w:szCs w:val="22"/>
          <w:lang w:val="bg-BG"/>
        </w:rPr>
        <w:t>В ПЕРИОДА 20</w:t>
      </w:r>
      <w:r w:rsidR="00DB7571">
        <w:rPr>
          <w:rFonts w:ascii="Times New Roman" w:hAnsi="Times New Roman"/>
          <w:b/>
          <w:smallCaps/>
          <w:sz w:val="22"/>
          <w:szCs w:val="22"/>
          <w:lang w:val="bg-BG"/>
        </w:rPr>
        <w:t>2</w:t>
      </w:r>
      <w:r w:rsidR="00CA5ECE">
        <w:rPr>
          <w:rFonts w:ascii="Times New Roman" w:hAnsi="Times New Roman"/>
          <w:b/>
          <w:smallCaps/>
          <w:sz w:val="22"/>
          <w:szCs w:val="22"/>
          <w:lang w:val="bg-BG"/>
        </w:rPr>
        <w:t>6</w:t>
      </w:r>
      <w:r w:rsidR="00984586" w:rsidRPr="00A305F8">
        <w:rPr>
          <w:rFonts w:ascii="Times New Roman" w:hAnsi="Times New Roman"/>
          <w:b/>
          <w:smallCaps/>
          <w:sz w:val="22"/>
          <w:szCs w:val="22"/>
          <w:lang w:val="bg-BG"/>
        </w:rPr>
        <w:t>-20</w:t>
      </w:r>
      <w:r w:rsidR="00E85A4A" w:rsidRPr="00A305F8">
        <w:rPr>
          <w:rFonts w:ascii="Times New Roman" w:hAnsi="Times New Roman"/>
          <w:b/>
          <w:smallCaps/>
          <w:sz w:val="22"/>
          <w:szCs w:val="22"/>
          <w:lang w:val="bg-BG"/>
        </w:rPr>
        <w:t>2</w:t>
      </w:r>
      <w:r w:rsidR="00CA5ECE">
        <w:rPr>
          <w:rFonts w:ascii="Times New Roman" w:hAnsi="Times New Roman"/>
          <w:b/>
          <w:smallCaps/>
          <w:sz w:val="22"/>
          <w:szCs w:val="22"/>
          <w:lang w:val="bg-BG"/>
        </w:rPr>
        <w:t>8</w:t>
      </w:r>
      <w:r w:rsidR="00676391">
        <w:rPr>
          <w:rFonts w:ascii="Times New Roman" w:hAnsi="Times New Roman"/>
          <w:b/>
          <w:smallCaps/>
          <w:sz w:val="22"/>
          <w:szCs w:val="22"/>
          <w:lang w:val="bg-BG"/>
        </w:rPr>
        <w:t> </w:t>
      </w:r>
      <w:r w:rsidR="00FA4B27" w:rsidRPr="00A305F8">
        <w:rPr>
          <w:rFonts w:ascii="Times New Roman" w:hAnsi="Times New Roman"/>
          <w:b/>
          <w:smallCaps/>
          <w:sz w:val="22"/>
          <w:szCs w:val="22"/>
          <w:lang w:val="bg-BG"/>
        </w:rPr>
        <w:t>г</w:t>
      </w:r>
      <w:r w:rsidR="00984586" w:rsidRPr="00A305F8">
        <w:rPr>
          <w:rFonts w:ascii="Times New Roman" w:hAnsi="Times New Roman"/>
          <w:b/>
          <w:smallCaps/>
          <w:sz w:val="22"/>
          <w:szCs w:val="22"/>
          <w:lang w:val="bg-BG"/>
        </w:rPr>
        <w:t>.</w:t>
      </w:r>
    </w:p>
    <w:p w14:paraId="1C189356" w14:textId="77777777" w:rsidR="00EE5B9A" w:rsidRPr="00A305F8" w:rsidRDefault="00EE5B9A" w:rsidP="00984586">
      <w:pPr>
        <w:tabs>
          <w:tab w:val="left" w:pos="342"/>
          <w:tab w:val="left" w:pos="1311"/>
          <w:tab w:val="left" w:pos="1368"/>
          <w:tab w:val="left" w:pos="2052"/>
        </w:tabs>
        <w:spacing w:after="0" w:line="240" w:lineRule="auto"/>
        <w:ind w:left="399" w:hanging="21"/>
        <w:rPr>
          <w:rFonts w:ascii="Times New Roman" w:hAnsi="Times New Roman"/>
          <w:b/>
          <w:smallCaps/>
          <w:sz w:val="22"/>
          <w:szCs w:val="22"/>
          <w:lang w:val="bg-BG"/>
        </w:rPr>
      </w:pPr>
    </w:p>
    <w:p w14:paraId="75D90E6D" w14:textId="77777777" w:rsidR="00EE5B9A" w:rsidRPr="00A305F8" w:rsidRDefault="00EE5B9A" w:rsidP="00984586">
      <w:pPr>
        <w:tabs>
          <w:tab w:val="left" w:pos="342"/>
          <w:tab w:val="left" w:pos="1311"/>
          <w:tab w:val="left" w:pos="1368"/>
          <w:tab w:val="left" w:pos="2052"/>
        </w:tabs>
        <w:spacing w:after="0" w:line="240" w:lineRule="auto"/>
        <w:ind w:left="399" w:hanging="21"/>
        <w:rPr>
          <w:rFonts w:ascii="Times New Roman" w:hAnsi="Times New Roman"/>
          <w:b/>
          <w:smallCaps/>
          <w:sz w:val="22"/>
          <w:szCs w:val="22"/>
          <w:lang w:val="bg-BG"/>
        </w:rPr>
      </w:pPr>
      <w:r w:rsidRPr="00A305F8">
        <w:rPr>
          <w:rFonts w:ascii="Times New Roman" w:hAnsi="Times New Roman"/>
          <w:b/>
          <w:smallCaps/>
          <w:sz w:val="22"/>
          <w:szCs w:val="22"/>
          <w:lang w:val="bg-BG"/>
        </w:rPr>
        <w:t>ЗАКЛЮЧЕНИЕ</w:t>
      </w:r>
    </w:p>
    <w:p w14:paraId="230B50AE" w14:textId="77777777" w:rsidR="00CB06E5" w:rsidRPr="001D6582" w:rsidRDefault="00CB06E5" w:rsidP="00EE52B5">
      <w:pPr>
        <w:autoSpaceDE w:val="0"/>
        <w:autoSpaceDN w:val="0"/>
        <w:adjustRightInd w:val="0"/>
        <w:spacing w:after="0" w:line="240" w:lineRule="auto"/>
        <w:jc w:val="center"/>
        <w:rPr>
          <w:rFonts w:ascii="Times New Roman" w:hAnsi="Times New Roman"/>
          <w:b/>
          <w:smallCaps/>
          <w:sz w:val="22"/>
          <w:szCs w:val="22"/>
          <w:lang w:val="bg-BG"/>
        </w:rPr>
      </w:pPr>
    </w:p>
    <w:p w14:paraId="0422D80A" w14:textId="77777777" w:rsidR="00CB06E5" w:rsidRPr="00960A2D" w:rsidRDefault="00CB06E5" w:rsidP="00EE52B5">
      <w:pPr>
        <w:autoSpaceDE w:val="0"/>
        <w:autoSpaceDN w:val="0"/>
        <w:adjustRightInd w:val="0"/>
        <w:spacing w:after="0" w:line="240" w:lineRule="auto"/>
        <w:jc w:val="center"/>
        <w:rPr>
          <w:rFonts w:ascii="Times New Roman" w:hAnsi="Times New Roman"/>
          <w:b/>
          <w:smallCaps/>
          <w:sz w:val="22"/>
          <w:szCs w:val="22"/>
          <w:lang w:val="bg-BG"/>
        </w:rPr>
      </w:pPr>
    </w:p>
    <w:p w14:paraId="47C6AD48"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2BF27F18"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110290B1"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2A758907"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7A16AA41"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528E8236"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40264289"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16D35159"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43E47310"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2E1EFB57" w14:textId="77777777" w:rsidR="00CB06E5" w:rsidRPr="00A305F8" w:rsidRDefault="00CB06E5" w:rsidP="00EE52B5">
      <w:pPr>
        <w:autoSpaceDE w:val="0"/>
        <w:autoSpaceDN w:val="0"/>
        <w:adjustRightInd w:val="0"/>
        <w:spacing w:after="0" w:line="240" w:lineRule="auto"/>
        <w:jc w:val="center"/>
        <w:rPr>
          <w:rFonts w:ascii="Times New Roman" w:hAnsi="Times New Roman"/>
          <w:b/>
          <w:i/>
          <w:color w:val="000000"/>
          <w:sz w:val="22"/>
          <w:szCs w:val="22"/>
          <w:lang w:val="bg-BG" w:eastAsia="bg-BG"/>
        </w:rPr>
      </w:pPr>
    </w:p>
    <w:p w14:paraId="759CF9DD"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22A9B82"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579C8665"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2ADCA510"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6DB51E84"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5860A7A3"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F0BF175"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583AD5CB"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6428A0BD" w14:textId="77777777" w:rsidR="00CB06E5" w:rsidRPr="00C67AF9"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05AB6441" w14:textId="77777777" w:rsidR="00CB06E5" w:rsidRDefault="00CB06E5"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1B31D32E" w14:textId="77777777" w:rsidR="00387D7A" w:rsidRPr="00C67AF9" w:rsidRDefault="00387D7A" w:rsidP="00EE52B5">
      <w:pPr>
        <w:autoSpaceDE w:val="0"/>
        <w:autoSpaceDN w:val="0"/>
        <w:adjustRightInd w:val="0"/>
        <w:spacing w:after="0" w:line="240" w:lineRule="auto"/>
        <w:jc w:val="center"/>
        <w:rPr>
          <w:rFonts w:ascii="Times New Roman" w:hAnsi="Times New Roman"/>
          <w:b/>
          <w:i/>
          <w:color w:val="000000"/>
          <w:szCs w:val="24"/>
          <w:lang w:val="bg-BG" w:eastAsia="bg-BG"/>
        </w:rPr>
      </w:pPr>
    </w:p>
    <w:p w14:paraId="617F3CB6" w14:textId="77777777" w:rsidR="00EE52B5" w:rsidRPr="00C50C49" w:rsidRDefault="00A447B3" w:rsidP="00323589">
      <w:pPr>
        <w:autoSpaceDE w:val="0"/>
        <w:autoSpaceDN w:val="0"/>
        <w:adjustRightInd w:val="0"/>
        <w:spacing w:after="0" w:line="240" w:lineRule="auto"/>
        <w:rPr>
          <w:rFonts w:ascii="Times New Roman" w:hAnsi="Times New Roman"/>
          <w:b/>
          <w:color w:val="000000"/>
          <w:szCs w:val="24"/>
          <w:lang w:val="bg-BG" w:eastAsia="bg-BG"/>
        </w:rPr>
      </w:pPr>
      <w:r w:rsidRPr="00C50C49">
        <w:rPr>
          <w:rFonts w:ascii="Times New Roman" w:hAnsi="Times New Roman"/>
          <w:b/>
          <w:color w:val="000000"/>
          <w:szCs w:val="24"/>
          <w:lang w:val="bg-BG" w:eastAsia="bg-BG"/>
        </w:rPr>
        <w:t>ВЪВЕДЕНИЕ</w:t>
      </w:r>
    </w:p>
    <w:p w14:paraId="69490A60" w14:textId="77777777" w:rsidR="00EE52B5" w:rsidRPr="00323589" w:rsidRDefault="00EE52B5" w:rsidP="002B2F2B">
      <w:pPr>
        <w:autoSpaceDE w:val="0"/>
        <w:autoSpaceDN w:val="0"/>
        <w:adjustRightInd w:val="0"/>
        <w:spacing w:after="0" w:line="240" w:lineRule="auto"/>
        <w:rPr>
          <w:rFonts w:ascii="Times New Roman" w:hAnsi="Times New Roman"/>
          <w:color w:val="000000"/>
          <w:sz w:val="10"/>
          <w:szCs w:val="10"/>
          <w:lang w:val="bg-BG" w:eastAsia="bg-BG"/>
        </w:rPr>
      </w:pPr>
    </w:p>
    <w:p w14:paraId="321FF32C" w14:textId="77777777" w:rsidR="00094030" w:rsidRPr="00A305F8" w:rsidRDefault="002B2F2B" w:rsidP="00094030">
      <w:pPr>
        <w:autoSpaceDE w:val="0"/>
        <w:autoSpaceDN w:val="0"/>
        <w:adjustRightInd w:val="0"/>
        <w:spacing w:after="0" w:line="240" w:lineRule="auto"/>
        <w:rPr>
          <w:rFonts w:ascii="Times New Roman" w:hAnsi="Times New Roman"/>
          <w:color w:val="000000"/>
          <w:szCs w:val="24"/>
          <w:lang w:val="bg-BG" w:eastAsia="bg-BG"/>
        </w:rPr>
      </w:pPr>
      <w:r w:rsidRPr="007B5007">
        <w:rPr>
          <w:rFonts w:ascii="Times New Roman" w:hAnsi="Times New Roman"/>
          <w:color w:val="000000"/>
          <w:szCs w:val="24"/>
          <w:lang w:val="bg-BG" w:eastAsia="bg-BG"/>
        </w:rPr>
        <w:t>Средносрочната с</w:t>
      </w:r>
      <w:r w:rsidR="004676B3" w:rsidRPr="007B5007">
        <w:rPr>
          <w:rFonts w:ascii="Times New Roman" w:hAnsi="Times New Roman"/>
          <w:color w:val="000000"/>
          <w:szCs w:val="24"/>
          <w:lang w:val="bg-BG" w:eastAsia="bg-BG"/>
        </w:rPr>
        <w:t>тратегия</w:t>
      </w:r>
      <w:r w:rsidRPr="007B5007">
        <w:rPr>
          <w:rFonts w:ascii="Times New Roman" w:hAnsi="Times New Roman"/>
          <w:color w:val="000000"/>
          <w:szCs w:val="24"/>
          <w:lang w:val="bg-BG" w:eastAsia="bg-BG"/>
        </w:rPr>
        <w:t xml:space="preserve"> </w:t>
      </w:r>
      <w:r w:rsidR="00724689">
        <w:rPr>
          <w:rFonts w:ascii="Times New Roman" w:hAnsi="Times New Roman"/>
          <w:color w:val="000000"/>
          <w:szCs w:val="24"/>
          <w:lang w:val="bg-BG" w:eastAsia="bg-BG"/>
        </w:rPr>
        <w:t xml:space="preserve">за инвестиране на средствата </w:t>
      </w:r>
      <w:r w:rsidRPr="001D6582">
        <w:rPr>
          <w:rFonts w:ascii="Times New Roman" w:hAnsi="Times New Roman"/>
          <w:color w:val="000000"/>
          <w:szCs w:val="24"/>
          <w:lang w:val="bg-BG" w:eastAsia="bg-BG"/>
        </w:rPr>
        <w:t xml:space="preserve">на Държавния фонд за гарантиране устойчивост на държавната пенсионна система </w:t>
      </w:r>
      <w:r w:rsidRPr="00960A2D">
        <w:rPr>
          <w:rFonts w:ascii="Times New Roman" w:hAnsi="Times New Roman"/>
          <w:color w:val="000000"/>
          <w:szCs w:val="24"/>
          <w:lang w:val="bg-BG" w:eastAsia="bg-BG"/>
        </w:rPr>
        <w:t>(</w:t>
      </w:r>
      <w:r w:rsidR="00724689" w:rsidRPr="00A305F8">
        <w:rPr>
          <w:rFonts w:ascii="Times New Roman" w:hAnsi="Times New Roman"/>
          <w:szCs w:val="24"/>
          <w:lang w:val="bg-BG" w:eastAsia="bg-BG"/>
        </w:rPr>
        <w:t>„ДФГУДПС” или „</w:t>
      </w:r>
      <w:r w:rsidR="00DC2CA3" w:rsidRPr="00A305F8">
        <w:rPr>
          <w:rFonts w:ascii="Times New Roman" w:hAnsi="Times New Roman"/>
          <w:szCs w:val="24"/>
          <w:lang w:val="bg-BG" w:eastAsia="bg-BG"/>
        </w:rPr>
        <w:t>ф</w:t>
      </w:r>
      <w:r w:rsidR="00724689" w:rsidRPr="00A305F8">
        <w:rPr>
          <w:rFonts w:ascii="Times New Roman" w:hAnsi="Times New Roman"/>
          <w:szCs w:val="24"/>
          <w:lang w:val="bg-BG" w:eastAsia="bg-BG"/>
        </w:rPr>
        <w:t>онда”)</w:t>
      </w:r>
      <w:r w:rsidR="004676B3" w:rsidRPr="00A305F8">
        <w:rPr>
          <w:rFonts w:ascii="Times New Roman" w:hAnsi="Times New Roman"/>
          <w:color w:val="000000"/>
          <w:szCs w:val="24"/>
          <w:lang w:val="bg-BG" w:eastAsia="bg-BG"/>
        </w:rPr>
        <w:t xml:space="preserve"> е документ, </w:t>
      </w:r>
      <w:r w:rsidR="00B6587F" w:rsidRPr="00A305F8">
        <w:rPr>
          <w:rFonts w:ascii="Times New Roman" w:hAnsi="Times New Roman"/>
          <w:color w:val="000000"/>
          <w:szCs w:val="24"/>
          <w:lang w:val="bg-BG" w:eastAsia="bg-BG"/>
        </w:rPr>
        <w:t xml:space="preserve">одобрен от управителния съвет на </w:t>
      </w:r>
      <w:r w:rsidR="00DC2CA3" w:rsidRPr="00A305F8">
        <w:rPr>
          <w:rFonts w:ascii="Times New Roman" w:hAnsi="Times New Roman"/>
          <w:color w:val="000000"/>
          <w:szCs w:val="24"/>
          <w:lang w:val="bg-BG" w:eastAsia="bg-BG"/>
        </w:rPr>
        <w:t>ф</w:t>
      </w:r>
      <w:r w:rsidR="00B6587F" w:rsidRPr="00A305F8">
        <w:rPr>
          <w:rFonts w:ascii="Times New Roman" w:hAnsi="Times New Roman"/>
          <w:color w:val="000000"/>
          <w:szCs w:val="24"/>
          <w:lang w:val="bg-BG" w:eastAsia="bg-BG"/>
        </w:rPr>
        <w:t>онда</w:t>
      </w:r>
      <w:r w:rsidR="00A3192D" w:rsidRPr="00A305F8">
        <w:rPr>
          <w:rFonts w:ascii="Times New Roman" w:hAnsi="Times New Roman"/>
          <w:color w:val="000000"/>
          <w:szCs w:val="24"/>
          <w:lang w:val="bg-BG" w:eastAsia="bg-BG"/>
        </w:rPr>
        <w:t xml:space="preserve"> на основание Закона за </w:t>
      </w:r>
      <w:r w:rsidR="00FF5473" w:rsidRPr="00FF5473">
        <w:rPr>
          <w:rFonts w:ascii="Times New Roman" w:hAnsi="Times New Roman"/>
          <w:color w:val="000000"/>
          <w:szCs w:val="24"/>
          <w:lang w:val="bg-BG" w:eastAsia="bg-BG"/>
        </w:rPr>
        <w:t xml:space="preserve">Държавния фонд за гарантиране устойчивост на държавната пенсионна система </w:t>
      </w:r>
      <w:r w:rsidR="00FF5473" w:rsidRPr="00865B65">
        <w:rPr>
          <w:rFonts w:ascii="Times New Roman" w:hAnsi="Times New Roman"/>
          <w:color w:val="000000"/>
          <w:szCs w:val="24"/>
          <w:lang w:val="bg-BG" w:eastAsia="bg-BG"/>
        </w:rPr>
        <w:t>(</w:t>
      </w:r>
      <w:r w:rsidR="00FF5473">
        <w:rPr>
          <w:rFonts w:ascii="Times New Roman" w:hAnsi="Times New Roman"/>
          <w:color w:val="000000"/>
          <w:szCs w:val="24"/>
          <w:lang w:val="bg-BG" w:eastAsia="bg-BG"/>
        </w:rPr>
        <w:t>З</w:t>
      </w:r>
      <w:r w:rsidR="008815C4" w:rsidRPr="00A305F8">
        <w:rPr>
          <w:rFonts w:ascii="Times New Roman" w:hAnsi="Times New Roman"/>
          <w:color w:val="000000"/>
          <w:szCs w:val="24"/>
          <w:lang w:val="bg-BG" w:eastAsia="bg-BG"/>
        </w:rPr>
        <w:t>ДФГУДПС</w:t>
      </w:r>
      <w:r w:rsidR="00FF5473" w:rsidRPr="00865B65">
        <w:rPr>
          <w:rFonts w:ascii="Times New Roman" w:hAnsi="Times New Roman"/>
          <w:color w:val="000000"/>
          <w:szCs w:val="24"/>
          <w:lang w:val="bg-BG" w:eastAsia="bg-BG"/>
        </w:rPr>
        <w:t>)</w:t>
      </w:r>
      <w:r w:rsidR="00A3192D" w:rsidRPr="00A305F8">
        <w:rPr>
          <w:rFonts w:ascii="Times New Roman" w:hAnsi="Times New Roman"/>
          <w:color w:val="000000"/>
          <w:szCs w:val="24"/>
          <w:lang w:val="bg-BG" w:eastAsia="bg-BG"/>
        </w:rPr>
        <w:t xml:space="preserve">. </w:t>
      </w:r>
      <w:r w:rsidR="005E6CA9" w:rsidRPr="00A305F8">
        <w:rPr>
          <w:rFonts w:ascii="Times New Roman" w:hAnsi="Times New Roman"/>
          <w:color w:val="000000"/>
          <w:szCs w:val="24"/>
          <w:lang w:val="bg-BG" w:eastAsia="bg-BG"/>
        </w:rPr>
        <w:t xml:space="preserve">Времевият хоризонт на документа е </w:t>
      </w:r>
      <w:r w:rsidR="005E6CA9" w:rsidRPr="00C34C63">
        <w:rPr>
          <w:rFonts w:ascii="Times New Roman" w:hAnsi="Times New Roman"/>
          <w:color w:val="000000"/>
          <w:szCs w:val="24"/>
          <w:lang w:val="bg-BG" w:eastAsia="bg-BG"/>
        </w:rPr>
        <w:t>периода 20</w:t>
      </w:r>
      <w:r w:rsidR="00E81E24">
        <w:rPr>
          <w:rFonts w:ascii="Times New Roman" w:hAnsi="Times New Roman"/>
          <w:color w:val="000000"/>
          <w:szCs w:val="24"/>
          <w:lang w:val="bg-BG" w:eastAsia="bg-BG"/>
        </w:rPr>
        <w:t>2</w:t>
      </w:r>
      <w:r w:rsidR="00CA5ECE">
        <w:rPr>
          <w:rFonts w:ascii="Times New Roman" w:hAnsi="Times New Roman"/>
          <w:color w:val="000000"/>
          <w:szCs w:val="24"/>
          <w:lang w:val="bg-BG" w:eastAsia="bg-BG"/>
        </w:rPr>
        <w:t>6</w:t>
      </w:r>
      <w:r w:rsidR="005E6CA9" w:rsidRPr="00C34C63">
        <w:rPr>
          <w:rFonts w:ascii="Times New Roman" w:hAnsi="Times New Roman"/>
          <w:color w:val="000000"/>
          <w:szCs w:val="24"/>
          <w:lang w:val="bg-BG" w:eastAsia="bg-BG"/>
        </w:rPr>
        <w:t>-20</w:t>
      </w:r>
      <w:r w:rsidR="00E85A4A" w:rsidRPr="00C34C63">
        <w:rPr>
          <w:rFonts w:ascii="Times New Roman" w:hAnsi="Times New Roman"/>
          <w:color w:val="000000"/>
          <w:szCs w:val="24"/>
          <w:lang w:val="bg-BG" w:eastAsia="bg-BG"/>
        </w:rPr>
        <w:t>2</w:t>
      </w:r>
      <w:r w:rsidR="00CA5ECE">
        <w:rPr>
          <w:rFonts w:ascii="Times New Roman" w:hAnsi="Times New Roman"/>
          <w:color w:val="000000"/>
          <w:szCs w:val="24"/>
          <w:lang w:val="bg-BG" w:eastAsia="bg-BG"/>
        </w:rPr>
        <w:t>8</w:t>
      </w:r>
      <w:r w:rsidR="005E6CA9" w:rsidRPr="00C34C63">
        <w:rPr>
          <w:rFonts w:ascii="Times New Roman" w:hAnsi="Times New Roman"/>
          <w:color w:val="000000"/>
          <w:szCs w:val="24"/>
          <w:lang w:val="bg-BG" w:eastAsia="bg-BG"/>
        </w:rPr>
        <w:t xml:space="preserve"> г</w:t>
      </w:r>
      <w:r w:rsidR="00761B92" w:rsidRPr="00C34C63">
        <w:rPr>
          <w:rFonts w:ascii="Times New Roman" w:hAnsi="Times New Roman"/>
          <w:color w:val="000000"/>
          <w:szCs w:val="24"/>
          <w:lang w:val="bg-BG" w:eastAsia="bg-BG"/>
        </w:rPr>
        <w:t>.</w:t>
      </w:r>
      <w:r w:rsidR="005E6CA9" w:rsidRPr="00A305F8">
        <w:rPr>
          <w:rFonts w:ascii="Times New Roman" w:hAnsi="Times New Roman"/>
          <w:color w:val="000000"/>
          <w:szCs w:val="24"/>
          <w:lang w:val="bg-BG" w:eastAsia="bg-BG"/>
        </w:rPr>
        <w:t xml:space="preserve"> и</w:t>
      </w:r>
      <w:r w:rsidR="004676B3" w:rsidRPr="00A305F8">
        <w:rPr>
          <w:rFonts w:ascii="Times New Roman" w:hAnsi="Times New Roman"/>
          <w:color w:val="000000"/>
          <w:szCs w:val="24"/>
          <w:lang w:val="bg-BG" w:eastAsia="bg-BG"/>
        </w:rPr>
        <w:t xml:space="preserve"> </w:t>
      </w:r>
      <w:r w:rsidR="004F0786" w:rsidRPr="00A305F8">
        <w:rPr>
          <w:rFonts w:ascii="Times New Roman" w:hAnsi="Times New Roman"/>
          <w:color w:val="000000"/>
          <w:szCs w:val="24"/>
          <w:lang w:val="bg-BG" w:eastAsia="bg-BG"/>
        </w:rPr>
        <w:t xml:space="preserve">акцентира върху управлението на </w:t>
      </w:r>
      <w:r w:rsidR="008815C4" w:rsidRPr="00A305F8">
        <w:rPr>
          <w:rFonts w:ascii="Times New Roman" w:hAnsi="Times New Roman"/>
          <w:color w:val="000000"/>
          <w:szCs w:val="24"/>
          <w:lang w:val="bg-BG" w:eastAsia="bg-BG"/>
        </w:rPr>
        <w:t xml:space="preserve">паричния </w:t>
      </w:r>
      <w:r w:rsidR="004F0786" w:rsidRPr="00A305F8">
        <w:rPr>
          <w:rFonts w:ascii="Times New Roman" w:hAnsi="Times New Roman"/>
          <w:color w:val="000000"/>
          <w:szCs w:val="24"/>
          <w:lang w:val="bg-BG" w:eastAsia="bg-BG"/>
        </w:rPr>
        <w:t xml:space="preserve">ресурс на </w:t>
      </w:r>
      <w:r w:rsidR="00DC2CA3" w:rsidRPr="00A305F8">
        <w:rPr>
          <w:rFonts w:ascii="Times New Roman" w:hAnsi="Times New Roman"/>
          <w:color w:val="000000"/>
          <w:szCs w:val="24"/>
          <w:lang w:val="bg-BG" w:eastAsia="bg-BG"/>
        </w:rPr>
        <w:t>ф</w:t>
      </w:r>
      <w:r w:rsidR="004F0786" w:rsidRPr="00A305F8">
        <w:rPr>
          <w:rFonts w:ascii="Times New Roman" w:hAnsi="Times New Roman"/>
          <w:color w:val="000000"/>
          <w:szCs w:val="24"/>
          <w:lang w:val="bg-BG" w:eastAsia="bg-BG"/>
        </w:rPr>
        <w:t>онда</w:t>
      </w:r>
      <w:r w:rsidR="004676B3" w:rsidRPr="00A305F8">
        <w:rPr>
          <w:rFonts w:ascii="Times New Roman" w:hAnsi="Times New Roman"/>
          <w:color w:val="000000"/>
          <w:szCs w:val="24"/>
          <w:lang w:val="bg-BG" w:eastAsia="bg-BG"/>
        </w:rPr>
        <w:t xml:space="preserve"> в средносрочен аспект. </w:t>
      </w:r>
    </w:p>
    <w:p w14:paraId="0EC0A0DA" w14:textId="77777777" w:rsidR="006F029B" w:rsidRPr="007B5007" w:rsidRDefault="00640C4C" w:rsidP="007B5007">
      <w:pPr>
        <w:autoSpaceDE w:val="0"/>
        <w:autoSpaceDN w:val="0"/>
        <w:adjustRightInd w:val="0"/>
        <w:spacing w:after="0" w:line="240" w:lineRule="auto"/>
        <w:rPr>
          <w:rFonts w:ascii="Times New Roman" w:hAnsi="Times New Roman"/>
          <w:color w:val="000000"/>
          <w:szCs w:val="24"/>
          <w:lang w:val="bg-BG" w:eastAsia="bg-BG"/>
        </w:rPr>
      </w:pPr>
      <w:r w:rsidRPr="00A305F8">
        <w:rPr>
          <w:rFonts w:ascii="Times New Roman" w:hAnsi="Times New Roman"/>
          <w:color w:val="000000"/>
          <w:szCs w:val="24"/>
          <w:lang w:val="bg-BG" w:eastAsia="bg-BG"/>
        </w:rPr>
        <w:t>Стратегията</w:t>
      </w:r>
      <w:r w:rsidR="009B4CC9" w:rsidRPr="00A305F8">
        <w:rPr>
          <w:rFonts w:ascii="Times New Roman" w:hAnsi="Times New Roman"/>
          <w:color w:val="000000"/>
          <w:szCs w:val="24"/>
          <w:lang w:val="bg-BG" w:eastAsia="bg-BG"/>
        </w:rPr>
        <w:t xml:space="preserve"> </w:t>
      </w:r>
      <w:r w:rsidR="006F029B" w:rsidRPr="00A305F8">
        <w:rPr>
          <w:rFonts w:ascii="Times New Roman" w:hAnsi="Times New Roman"/>
          <w:color w:val="000000"/>
          <w:szCs w:val="24"/>
          <w:lang w:val="bg-BG" w:eastAsia="bg-BG"/>
        </w:rPr>
        <w:t>ще бъде актуализиран</w:t>
      </w:r>
      <w:r w:rsidR="000410FA" w:rsidRPr="00A305F8">
        <w:rPr>
          <w:rFonts w:ascii="Times New Roman" w:hAnsi="Times New Roman"/>
          <w:color w:val="000000"/>
          <w:szCs w:val="24"/>
          <w:lang w:val="bg-BG" w:eastAsia="bg-BG"/>
        </w:rPr>
        <w:t>а</w:t>
      </w:r>
      <w:r w:rsidR="006F029B" w:rsidRPr="00A305F8">
        <w:rPr>
          <w:rFonts w:ascii="Times New Roman" w:hAnsi="Times New Roman"/>
          <w:color w:val="000000"/>
          <w:szCs w:val="24"/>
          <w:lang w:val="bg-BG" w:eastAsia="bg-BG"/>
        </w:rPr>
        <w:t xml:space="preserve"> ежегодно в съответствие с икономическото</w:t>
      </w:r>
      <w:r w:rsidR="006F029B" w:rsidRPr="007B5007">
        <w:rPr>
          <w:rFonts w:ascii="Times New Roman" w:hAnsi="Times New Roman"/>
          <w:color w:val="000000"/>
          <w:szCs w:val="24"/>
          <w:lang w:val="bg-BG" w:eastAsia="bg-BG"/>
        </w:rPr>
        <w:t xml:space="preserve"> развитие, пазарните показатели </w:t>
      </w:r>
      <w:r w:rsidR="00891117" w:rsidRPr="00891117">
        <w:rPr>
          <w:rFonts w:ascii="Times New Roman" w:hAnsi="Times New Roman"/>
          <w:color w:val="000000"/>
          <w:szCs w:val="24"/>
          <w:lang w:val="bg-BG" w:eastAsia="bg-BG"/>
        </w:rPr>
        <w:t>и промените в параметрите на държавн</w:t>
      </w:r>
      <w:r w:rsidR="00397C7A">
        <w:rPr>
          <w:rFonts w:ascii="Times New Roman" w:hAnsi="Times New Roman"/>
          <w:color w:val="000000"/>
          <w:szCs w:val="24"/>
          <w:lang w:val="bg-BG" w:eastAsia="bg-BG"/>
        </w:rPr>
        <w:t>ата</w:t>
      </w:r>
      <w:r w:rsidR="00891117" w:rsidRPr="00891117">
        <w:rPr>
          <w:rFonts w:ascii="Times New Roman" w:hAnsi="Times New Roman"/>
          <w:color w:val="000000"/>
          <w:szCs w:val="24"/>
          <w:lang w:val="bg-BG" w:eastAsia="bg-BG"/>
        </w:rPr>
        <w:t xml:space="preserve"> пенсионна система, вследствие на законови промени</w:t>
      </w:r>
      <w:r w:rsidR="00891117">
        <w:rPr>
          <w:rFonts w:ascii="Times New Roman" w:hAnsi="Times New Roman"/>
          <w:color w:val="000000"/>
          <w:szCs w:val="24"/>
          <w:lang w:val="bg-BG" w:eastAsia="bg-BG"/>
        </w:rPr>
        <w:t>,</w:t>
      </w:r>
      <w:r w:rsidR="00891117" w:rsidRPr="00891117" w:rsidDel="00891117">
        <w:rPr>
          <w:rFonts w:ascii="Times New Roman" w:hAnsi="Times New Roman"/>
          <w:color w:val="000000"/>
          <w:szCs w:val="24"/>
          <w:lang w:val="bg-BG" w:eastAsia="bg-BG"/>
        </w:rPr>
        <w:t xml:space="preserve"> </w:t>
      </w:r>
      <w:r w:rsidR="006F029B" w:rsidRPr="007B5007">
        <w:rPr>
          <w:rFonts w:ascii="Times New Roman" w:hAnsi="Times New Roman"/>
          <w:color w:val="000000"/>
          <w:szCs w:val="24"/>
          <w:lang w:val="bg-BG" w:eastAsia="bg-BG"/>
        </w:rPr>
        <w:t xml:space="preserve">и ще бъде </w:t>
      </w:r>
      <w:r w:rsidR="00B86342">
        <w:rPr>
          <w:rFonts w:ascii="Times New Roman" w:hAnsi="Times New Roman"/>
          <w:color w:val="000000"/>
          <w:szCs w:val="24"/>
          <w:lang w:val="bg-BG" w:eastAsia="bg-BG"/>
        </w:rPr>
        <w:t xml:space="preserve">внасяна за </w:t>
      </w:r>
      <w:r w:rsidR="00DA4689">
        <w:rPr>
          <w:rFonts w:ascii="Times New Roman" w:hAnsi="Times New Roman"/>
          <w:color w:val="000000"/>
          <w:szCs w:val="24"/>
          <w:lang w:val="bg-BG" w:eastAsia="bg-BG"/>
        </w:rPr>
        <w:t>разглеждан</w:t>
      </w:r>
      <w:r w:rsidR="00B86342">
        <w:rPr>
          <w:rFonts w:ascii="Times New Roman" w:hAnsi="Times New Roman"/>
          <w:color w:val="000000"/>
          <w:szCs w:val="24"/>
          <w:lang w:val="bg-BG" w:eastAsia="bg-BG"/>
        </w:rPr>
        <w:t>е</w:t>
      </w:r>
      <w:r w:rsidR="00DA4689">
        <w:rPr>
          <w:rFonts w:ascii="Times New Roman" w:hAnsi="Times New Roman"/>
          <w:color w:val="000000"/>
          <w:szCs w:val="24"/>
          <w:lang w:val="bg-BG" w:eastAsia="bg-BG"/>
        </w:rPr>
        <w:t xml:space="preserve"> и прие</w:t>
      </w:r>
      <w:r w:rsidR="00B86342">
        <w:rPr>
          <w:rFonts w:ascii="Times New Roman" w:hAnsi="Times New Roman"/>
          <w:color w:val="000000"/>
          <w:szCs w:val="24"/>
          <w:lang w:val="bg-BG" w:eastAsia="bg-BG"/>
        </w:rPr>
        <w:t>мане</w:t>
      </w:r>
      <w:r w:rsidR="006F029B" w:rsidRPr="007B5007">
        <w:rPr>
          <w:rFonts w:ascii="Times New Roman" w:hAnsi="Times New Roman"/>
          <w:color w:val="000000"/>
          <w:szCs w:val="24"/>
          <w:lang w:val="bg-BG" w:eastAsia="bg-BG"/>
        </w:rPr>
        <w:t xml:space="preserve"> от Министерския съвет. Това позволява своевременното и адекватно</w:t>
      </w:r>
      <w:r w:rsidR="00F20AB4" w:rsidRPr="007B5007">
        <w:rPr>
          <w:rFonts w:ascii="Times New Roman" w:hAnsi="Times New Roman"/>
          <w:color w:val="000000"/>
          <w:szCs w:val="24"/>
          <w:lang w:val="bg-BG" w:eastAsia="bg-BG"/>
        </w:rPr>
        <w:t xml:space="preserve"> </w:t>
      </w:r>
      <w:r w:rsidR="006F029B" w:rsidRPr="007B5007">
        <w:rPr>
          <w:rFonts w:ascii="Times New Roman" w:hAnsi="Times New Roman"/>
          <w:color w:val="000000"/>
          <w:szCs w:val="24"/>
          <w:lang w:val="bg-BG" w:eastAsia="bg-BG"/>
        </w:rPr>
        <w:t>предефиниране на част от целите и действията в хода на</w:t>
      </w:r>
      <w:r>
        <w:rPr>
          <w:rFonts w:ascii="Times New Roman" w:hAnsi="Times New Roman"/>
          <w:color w:val="000000"/>
          <w:szCs w:val="24"/>
          <w:lang w:val="bg-BG" w:eastAsia="bg-BG"/>
        </w:rPr>
        <w:t xml:space="preserve"> нейното</w:t>
      </w:r>
      <w:r w:rsidR="006F029B" w:rsidRPr="007B5007">
        <w:rPr>
          <w:rFonts w:ascii="Times New Roman" w:hAnsi="Times New Roman"/>
          <w:color w:val="000000"/>
          <w:szCs w:val="24"/>
          <w:lang w:val="bg-BG" w:eastAsia="bg-BG"/>
        </w:rPr>
        <w:t xml:space="preserve"> изпълнение.</w:t>
      </w:r>
    </w:p>
    <w:p w14:paraId="0EE771B6" w14:textId="77777777" w:rsidR="002B2F2B" w:rsidRPr="007B5007" w:rsidRDefault="002B2F2B" w:rsidP="0030450D">
      <w:pPr>
        <w:autoSpaceDE w:val="0"/>
        <w:autoSpaceDN w:val="0"/>
        <w:adjustRightInd w:val="0"/>
        <w:spacing w:after="0" w:line="240" w:lineRule="auto"/>
        <w:rPr>
          <w:rFonts w:ascii="Times New Roman" w:hAnsi="Times New Roman"/>
          <w:color w:val="000000"/>
          <w:szCs w:val="24"/>
          <w:lang w:val="bg-BG" w:eastAsia="bg-BG"/>
        </w:rPr>
      </w:pPr>
      <w:r w:rsidRPr="007B5007">
        <w:rPr>
          <w:rFonts w:ascii="Times New Roman" w:hAnsi="Times New Roman"/>
          <w:szCs w:val="24"/>
          <w:lang w:val="bg-BG" w:eastAsia="bg-BG"/>
        </w:rPr>
        <w:t xml:space="preserve">Функционалната същност на </w:t>
      </w:r>
      <w:r w:rsidR="00827288">
        <w:rPr>
          <w:rFonts w:ascii="Times New Roman" w:hAnsi="Times New Roman"/>
          <w:szCs w:val="24"/>
          <w:lang w:val="bg-BG" w:eastAsia="bg-BG"/>
        </w:rPr>
        <w:t>с</w:t>
      </w:r>
      <w:r w:rsidR="00640C4C">
        <w:rPr>
          <w:rFonts w:ascii="Times New Roman" w:hAnsi="Times New Roman"/>
          <w:szCs w:val="24"/>
          <w:lang w:val="bg-BG" w:eastAsia="bg-BG"/>
        </w:rPr>
        <w:t>тратегията</w:t>
      </w:r>
      <w:r w:rsidRPr="007B5007">
        <w:rPr>
          <w:rFonts w:ascii="Times New Roman" w:hAnsi="Times New Roman"/>
          <w:szCs w:val="24"/>
          <w:lang w:val="bg-BG" w:eastAsia="bg-BG"/>
        </w:rPr>
        <w:t xml:space="preserve"> като цяло очертава намеренията </w:t>
      </w:r>
      <w:r w:rsidR="0030450D">
        <w:rPr>
          <w:rFonts w:ascii="Times New Roman" w:hAnsi="Times New Roman"/>
          <w:szCs w:val="24"/>
          <w:lang w:val="bg-BG" w:eastAsia="bg-BG"/>
        </w:rPr>
        <w:t xml:space="preserve">при </w:t>
      </w:r>
      <w:r w:rsidR="00724689">
        <w:rPr>
          <w:rFonts w:ascii="Times New Roman" w:hAnsi="Times New Roman"/>
          <w:szCs w:val="24"/>
          <w:lang w:val="bg-BG" w:eastAsia="bg-BG"/>
        </w:rPr>
        <w:t xml:space="preserve">инвестиране на средствата </w:t>
      </w:r>
      <w:r w:rsidRPr="007B5007">
        <w:rPr>
          <w:rFonts w:ascii="Times New Roman" w:hAnsi="Times New Roman"/>
          <w:szCs w:val="24"/>
          <w:lang w:val="bg-BG" w:eastAsia="bg-BG"/>
        </w:rPr>
        <w:t xml:space="preserve">на </w:t>
      </w:r>
      <w:r w:rsidR="0030450D" w:rsidRPr="007B5007">
        <w:rPr>
          <w:rFonts w:ascii="Times New Roman" w:hAnsi="Times New Roman"/>
          <w:color w:val="000000"/>
          <w:szCs w:val="24"/>
          <w:lang w:val="bg-BG" w:eastAsia="bg-BG"/>
        </w:rPr>
        <w:t>ДФГУДПС</w:t>
      </w:r>
      <w:r w:rsidRPr="007B5007">
        <w:rPr>
          <w:rFonts w:ascii="Times New Roman" w:hAnsi="Times New Roman"/>
          <w:szCs w:val="24"/>
          <w:lang w:val="bg-BG" w:eastAsia="bg-BG"/>
        </w:rPr>
        <w:t>, както и дефинира</w:t>
      </w:r>
      <w:r w:rsidR="007B5007" w:rsidRPr="007B5007">
        <w:rPr>
          <w:rFonts w:ascii="Times New Roman" w:hAnsi="Times New Roman"/>
          <w:szCs w:val="24"/>
          <w:lang w:val="bg-BG" w:eastAsia="bg-BG"/>
        </w:rPr>
        <w:t xml:space="preserve"> </w:t>
      </w:r>
      <w:r w:rsidRPr="007B5007">
        <w:rPr>
          <w:rFonts w:ascii="Times New Roman" w:hAnsi="Times New Roman"/>
          <w:szCs w:val="24"/>
          <w:lang w:val="bg-BG" w:eastAsia="bg-BG"/>
        </w:rPr>
        <w:t xml:space="preserve">инструментариума за тяхното реализиране. Публичното </w:t>
      </w:r>
      <w:r w:rsidR="00640C4C">
        <w:rPr>
          <w:rFonts w:ascii="Times New Roman" w:hAnsi="Times New Roman"/>
          <w:szCs w:val="24"/>
          <w:lang w:val="bg-BG" w:eastAsia="bg-BG"/>
        </w:rPr>
        <w:t>й</w:t>
      </w:r>
      <w:r w:rsidRPr="007B5007">
        <w:rPr>
          <w:rFonts w:ascii="Times New Roman" w:hAnsi="Times New Roman"/>
          <w:szCs w:val="24"/>
          <w:lang w:val="bg-BG" w:eastAsia="bg-BG"/>
        </w:rPr>
        <w:t xml:space="preserve"> оповестяване е предпоставка</w:t>
      </w:r>
      <w:r w:rsidR="007B5007" w:rsidRPr="007B5007">
        <w:rPr>
          <w:rFonts w:ascii="Times New Roman" w:hAnsi="Times New Roman"/>
          <w:szCs w:val="24"/>
          <w:lang w:val="bg-BG" w:eastAsia="bg-BG"/>
        </w:rPr>
        <w:t xml:space="preserve"> </w:t>
      </w:r>
      <w:r w:rsidRPr="007B5007">
        <w:rPr>
          <w:rFonts w:ascii="Times New Roman" w:hAnsi="Times New Roman"/>
          <w:szCs w:val="24"/>
          <w:lang w:val="bg-BG" w:eastAsia="bg-BG"/>
        </w:rPr>
        <w:t xml:space="preserve">за провеждане на очертаната средносрочна политика </w:t>
      </w:r>
      <w:r w:rsidR="0030450D">
        <w:rPr>
          <w:rFonts w:ascii="Times New Roman" w:hAnsi="Times New Roman"/>
          <w:szCs w:val="24"/>
          <w:lang w:val="bg-BG" w:eastAsia="bg-BG"/>
        </w:rPr>
        <w:t>по</w:t>
      </w:r>
      <w:r w:rsidR="007B5007" w:rsidRPr="007B5007">
        <w:rPr>
          <w:rFonts w:ascii="Times New Roman" w:hAnsi="Times New Roman"/>
          <w:szCs w:val="24"/>
          <w:lang w:val="bg-BG" w:eastAsia="bg-BG"/>
        </w:rPr>
        <w:t xml:space="preserve"> управление на ресурса</w:t>
      </w:r>
      <w:r w:rsidRPr="007B5007">
        <w:rPr>
          <w:rFonts w:ascii="Times New Roman" w:hAnsi="Times New Roman"/>
          <w:szCs w:val="24"/>
          <w:lang w:val="bg-BG" w:eastAsia="bg-BG"/>
        </w:rPr>
        <w:t xml:space="preserve"> по прозрачен и предвидим</w:t>
      </w:r>
      <w:r w:rsidR="007B5007" w:rsidRPr="007B5007">
        <w:rPr>
          <w:rFonts w:ascii="Times New Roman" w:hAnsi="Times New Roman"/>
          <w:szCs w:val="24"/>
          <w:lang w:val="bg-BG" w:eastAsia="bg-BG"/>
        </w:rPr>
        <w:t xml:space="preserve"> </w:t>
      </w:r>
      <w:r w:rsidRPr="007B5007">
        <w:rPr>
          <w:rFonts w:ascii="Times New Roman" w:hAnsi="Times New Roman"/>
          <w:szCs w:val="24"/>
          <w:lang w:val="bg-BG" w:eastAsia="bg-BG"/>
        </w:rPr>
        <w:t>начин</w:t>
      </w:r>
      <w:r w:rsidR="00CF0138">
        <w:rPr>
          <w:rFonts w:ascii="Times New Roman" w:hAnsi="Times New Roman"/>
          <w:szCs w:val="24"/>
          <w:lang w:val="bg-BG" w:eastAsia="bg-BG"/>
        </w:rPr>
        <w:t>.</w:t>
      </w:r>
    </w:p>
    <w:p w14:paraId="60021487" w14:textId="77777777" w:rsidR="00F97961" w:rsidRDefault="00F97961" w:rsidP="00F97961">
      <w:pPr>
        <w:pStyle w:val="NormalWeb"/>
        <w:spacing w:before="0" w:after="0" w:afterAutospacing="0"/>
        <w:ind w:firstLine="720"/>
        <w:rPr>
          <w:color w:val="000000"/>
        </w:rPr>
      </w:pPr>
      <w:r w:rsidRPr="007B5007">
        <w:rPr>
          <w:color w:val="000000"/>
        </w:rPr>
        <w:t xml:space="preserve">Средносрочната стратегия </w:t>
      </w:r>
      <w:r w:rsidR="00724689">
        <w:rPr>
          <w:color w:val="000000"/>
        </w:rPr>
        <w:t xml:space="preserve">за инвестиране на средствата </w:t>
      </w:r>
      <w:r w:rsidRPr="007B5007">
        <w:rPr>
          <w:color w:val="000000"/>
        </w:rPr>
        <w:t xml:space="preserve">на </w:t>
      </w:r>
      <w:r w:rsidR="00DC2CA3">
        <w:rPr>
          <w:color w:val="000000"/>
        </w:rPr>
        <w:t>ф</w:t>
      </w:r>
      <w:r>
        <w:rPr>
          <w:color w:val="000000"/>
        </w:rPr>
        <w:t>онда</w:t>
      </w:r>
      <w:r w:rsidRPr="00F97961">
        <w:rPr>
          <w:color w:val="000000"/>
        </w:rPr>
        <w:t xml:space="preserve"> представлява последователно и структурирано описание на начина, по който се вземат решенията с оглед постигане на цел</w:t>
      </w:r>
      <w:r>
        <w:rPr>
          <w:color w:val="000000"/>
        </w:rPr>
        <w:t>ите</w:t>
      </w:r>
      <w:r w:rsidRPr="00F97961">
        <w:rPr>
          <w:color w:val="000000"/>
        </w:rPr>
        <w:t>.</w:t>
      </w:r>
    </w:p>
    <w:p w14:paraId="4ADA6ED6" w14:textId="77777777" w:rsidR="00F97961" w:rsidRPr="00ED5F27" w:rsidRDefault="00FD571A" w:rsidP="00F97961">
      <w:pPr>
        <w:pStyle w:val="NormalWeb"/>
        <w:spacing w:before="0" w:after="0" w:afterAutospacing="0"/>
        <w:ind w:firstLine="720"/>
        <w:rPr>
          <w:color w:val="000000"/>
        </w:rPr>
      </w:pPr>
      <w:r w:rsidRPr="00183201">
        <w:rPr>
          <w:color w:val="000000"/>
        </w:rPr>
        <w:t xml:space="preserve">Средносрочната стратегия </w:t>
      </w:r>
      <w:r w:rsidR="00F97961" w:rsidRPr="00183201">
        <w:rPr>
          <w:color w:val="000000"/>
        </w:rPr>
        <w:t>изпълнява две важни задачи. Първо, като налага ясна структура на самия процес на вземане на решения</w:t>
      </w:r>
      <w:r w:rsidR="00362A83" w:rsidRPr="00183201">
        <w:rPr>
          <w:color w:val="000000"/>
        </w:rPr>
        <w:t xml:space="preserve"> и</w:t>
      </w:r>
      <w:r w:rsidR="00F97961" w:rsidRPr="00183201">
        <w:rPr>
          <w:color w:val="000000"/>
        </w:rPr>
        <w:t xml:space="preserve"> гарантира, че </w:t>
      </w:r>
      <w:r w:rsidR="00385707" w:rsidRPr="00183201">
        <w:rPr>
          <w:color w:val="000000"/>
        </w:rPr>
        <w:t>управителният съвет</w:t>
      </w:r>
      <w:r w:rsidR="00F97961" w:rsidRPr="00183201">
        <w:rPr>
          <w:color w:val="000000"/>
        </w:rPr>
        <w:t xml:space="preserve"> на </w:t>
      </w:r>
      <w:r w:rsidR="00DC2CA3" w:rsidRPr="00183201">
        <w:rPr>
          <w:color w:val="000000"/>
        </w:rPr>
        <w:t>ф</w:t>
      </w:r>
      <w:r w:rsidR="00F97961" w:rsidRPr="00183201">
        <w:rPr>
          <w:color w:val="000000"/>
        </w:rPr>
        <w:t>онда разполага</w:t>
      </w:r>
      <w:r w:rsidR="00F97961" w:rsidRPr="00FA663D">
        <w:rPr>
          <w:color w:val="000000"/>
        </w:rPr>
        <w:t xml:space="preserve"> с</w:t>
      </w:r>
      <w:r w:rsidR="00F97961" w:rsidRPr="00ED5F27">
        <w:rPr>
          <w:color w:val="000000"/>
        </w:rPr>
        <w:t xml:space="preserve"> необходимите анализи и информация, нужни за вземането на такива решения (вътрешно измерение). Второ, </w:t>
      </w:r>
      <w:r w:rsidR="00640C4C" w:rsidRPr="00ED5F27">
        <w:rPr>
          <w:color w:val="000000"/>
        </w:rPr>
        <w:t>стратегията</w:t>
      </w:r>
      <w:r w:rsidR="00F97961" w:rsidRPr="00ED5F27">
        <w:rPr>
          <w:color w:val="000000"/>
        </w:rPr>
        <w:t xml:space="preserve"> е средство за </w:t>
      </w:r>
      <w:r w:rsidR="00132800">
        <w:rPr>
          <w:color w:val="000000"/>
        </w:rPr>
        <w:t>публичност</w:t>
      </w:r>
      <w:r w:rsidR="00F97961" w:rsidRPr="00ED5F27">
        <w:rPr>
          <w:color w:val="000000"/>
        </w:rPr>
        <w:t xml:space="preserve"> на решенията относно </w:t>
      </w:r>
      <w:r w:rsidRPr="00ED5F27">
        <w:rPr>
          <w:color w:val="000000"/>
        </w:rPr>
        <w:t>инвестирането</w:t>
      </w:r>
      <w:r w:rsidR="00F97961" w:rsidRPr="00ED5F27">
        <w:rPr>
          <w:color w:val="000000"/>
        </w:rPr>
        <w:t xml:space="preserve"> на ресурса пред обществеността (външно измерение). </w:t>
      </w:r>
    </w:p>
    <w:p w14:paraId="38DAE1E2" w14:textId="77777777" w:rsidR="00C8597E" w:rsidRPr="00BF1E4D" w:rsidRDefault="00C8597E" w:rsidP="00C8597E">
      <w:pPr>
        <w:spacing w:after="0" w:line="240" w:lineRule="auto"/>
        <w:ind w:right="50"/>
        <w:rPr>
          <w:rFonts w:ascii="Times New Roman" w:hAnsi="Times New Roman"/>
          <w:szCs w:val="24"/>
          <w:lang w:val="bg-BG"/>
        </w:rPr>
      </w:pPr>
      <w:r w:rsidRPr="00ED5F27">
        <w:rPr>
          <w:rFonts w:ascii="Times New Roman" w:hAnsi="Times New Roman"/>
          <w:szCs w:val="24"/>
          <w:lang w:val="bg-BG"/>
        </w:rPr>
        <w:t>От създаването на Д</w:t>
      </w:r>
      <w:r w:rsidR="00EE5B9A" w:rsidRPr="00ED5F27">
        <w:rPr>
          <w:rFonts w:ascii="Times New Roman" w:hAnsi="Times New Roman"/>
          <w:szCs w:val="24"/>
          <w:lang w:val="bg-BG"/>
        </w:rPr>
        <w:t>ФГУДПС</w:t>
      </w:r>
      <w:r w:rsidRPr="00ED5F27">
        <w:rPr>
          <w:rFonts w:ascii="Times New Roman" w:hAnsi="Times New Roman"/>
          <w:szCs w:val="24"/>
          <w:lang w:val="bg-BG"/>
        </w:rPr>
        <w:t xml:space="preserve"> той е разглеждан като част от концепцията за развитие на пенсионната система. </w:t>
      </w:r>
      <w:r w:rsidRPr="00ED5F27">
        <w:rPr>
          <w:rFonts w:ascii="Times New Roman" w:hAnsi="Times New Roman"/>
          <w:szCs w:val="24"/>
          <w:lang w:val="bg-BG" w:eastAsia="bg-BG"/>
        </w:rPr>
        <w:t xml:space="preserve">Съгласно ЗДФГУДПС във </w:t>
      </w:r>
      <w:r w:rsidR="00DC2CA3">
        <w:rPr>
          <w:rFonts w:ascii="Times New Roman" w:hAnsi="Times New Roman"/>
          <w:szCs w:val="24"/>
          <w:lang w:val="bg-BG" w:eastAsia="bg-BG"/>
        </w:rPr>
        <w:t>ф</w:t>
      </w:r>
      <w:r w:rsidRPr="00ED5F27">
        <w:rPr>
          <w:rFonts w:ascii="Times New Roman" w:hAnsi="Times New Roman"/>
          <w:szCs w:val="24"/>
          <w:lang w:val="bg-BG" w:eastAsia="bg-BG"/>
        </w:rPr>
        <w:t xml:space="preserve">онда се акумулират средства, които гарантират устойчивост на пенсионната система. </w:t>
      </w:r>
      <w:r w:rsidRPr="00C34C63">
        <w:rPr>
          <w:rFonts w:ascii="Times New Roman" w:hAnsi="Times New Roman"/>
          <w:szCs w:val="24"/>
          <w:lang w:val="bg-BG" w:eastAsia="bg-BG"/>
        </w:rPr>
        <w:t>Г</w:t>
      </w:r>
      <w:r w:rsidRPr="00C34C63">
        <w:rPr>
          <w:rFonts w:ascii="Times New Roman" w:hAnsi="Times New Roman"/>
          <w:spacing w:val="-4"/>
          <w:szCs w:val="24"/>
          <w:lang w:val="bg-BG" w:eastAsia="bg-BG"/>
        </w:rPr>
        <w:t xml:space="preserve">арантирането </w:t>
      </w:r>
      <w:r w:rsidR="00CB4A17" w:rsidRPr="00C34C63">
        <w:rPr>
          <w:rFonts w:ascii="Times New Roman" w:hAnsi="Times New Roman"/>
          <w:spacing w:val="-4"/>
          <w:szCs w:val="24"/>
          <w:lang w:val="bg-BG" w:eastAsia="bg-BG"/>
        </w:rPr>
        <w:t xml:space="preserve">на </w:t>
      </w:r>
      <w:r w:rsidRPr="00C34C63">
        <w:rPr>
          <w:rFonts w:ascii="Times New Roman" w:hAnsi="Times New Roman"/>
          <w:spacing w:val="-4"/>
          <w:szCs w:val="24"/>
          <w:lang w:val="bg-BG" w:eastAsia="bg-BG"/>
        </w:rPr>
        <w:t xml:space="preserve">устойчивост на пенсионната система означава осигуряване на </w:t>
      </w:r>
      <w:r w:rsidR="00D763EE" w:rsidRPr="00C34C63">
        <w:rPr>
          <w:rFonts w:ascii="Times New Roman" w:hAnsi="Times New Roman"/>
          <w:spacing w:val="-4"/>
          <w:szCs w:val="24"/>
          <w:lang w:val="bg-BG" w:eastAsia="bg-BG"/>
        </w:rPr>
        <w:t>средства</w:t>
      </w:r>
      <w:r w:rsidRPr="00C34C63">
        <w:rPr>
          <w:rFonts w:ascii="Times New Roman" w:hAnsi="Times New Roman"/>
          <w:spacing w:val="-4"/>
          <w:szCs w:val="24"/>
          <w:lang w:val="bg-BG" w:eastAsia="bg-BG"/>
        </w:rPr>
        <w:t xml:space="preserve"> за пенсии в момент</w:t>
      </w:r>
      <w:r w:rsidR="00011B15">
        <w:rPr>
          <w:rFonts w:ascii="Times New Roman" w:hAnsi="Times New Roman"/>
          <w:spacing w:val="-4"/>
          <w:szCs w:val="24"/>
          <w:lang w:val="bg-BG" w:eastAsia="bg-BG"/>
        </w:rPr>
        <w:t>,</w:t>
      </w:r>
      <w:r w:rsidRPr="00C34C63">
        <w:rPr>
          <w:rFonts w:ascii="Times New Roman" w:hAnsi="Times New Roman"/>
          <w:spacing w:val="-4"/>
          <w:szCs w:val="24"/>
          <w:lang w:val="bg-BG" w:eastAsia="bg-BG"/>
        </w:rPr>
        <w:t xml:space="preserve"> когато актюерските разчети показват необходимост от допълнително финансиране</w:t>
      </w:r>
      <w:r w:rsidRPr="00BF1E4D">
        <w:rPr>
          <w:rFonts w:ascii="Times New Roman" w:hAnsi="Times New Roman"/>
          <w:spacing w:val="-4"/>
          <w:szCs w:val="24"/>
          <w:lang w:val="bg-BG" w:eastAsia="bg-BG"/>
        </w:rPr>
        <w:t xml:space="preserve">. В тази връзка </w:t>
      </w:r>
      <w:r w:rsidR="00235DC0" w:rsidRPr="00BF1E4D">
        <w:rPr>
          <w:rFonts w:ascii="Times New Roman" w:hAnsi="Times New Roman"/>
          <w:spacing w:val="-4"/>
          <w:szCs w:val="24"/>
          <w:lang w:val="bg-BG" w:eastAsia="bg-BG"/>
        </w:rPr>
        <w:t>с</w:t>
      </w:r>
      <w:r w:rsidR="002E20D6" w:rsidRPr="00BF1E4D">
        <w:rPr>
          <w:rFonts w:ascii="Times New Roman" w:hAnsi="Times New Roman"/>
          <w:spacing w:val="-4"/>
          <w:szCs w:val="24"/>
          <w:lang w:val="bg-BG" w:eastAsia="bg-BG"/>
        </w:rPr>
        <w:t xml:space="preserve"> § 3 от преходни</w:t>
      </w:r>
      <w:r w:rsidR="00362A83" w:rsidRPr="00BF1E4D">
        <w:rPr>
          <w:rFonts w:ascii="Times New Roman" w:hAnsi="Times New Roman"/>
          <w:spacing w:val="-4"/>
          <w:szCs w:val="24"/>
          <w:lang w:val="bg-BG" w:eastAsia="bg-BG"/>
        </w:rPr>
        <w:t>те</w:t>
      </w:r>
      <w:r w:rsidR="002E20D6" w:rsidRPr="00BF1E4D">
        <w:rPr>
          <w:rFonts w:ascii="Times New Roman" w:hAnsi="Times New Roman"/>
          <w:spacing w:val="-4"/>
          <w:szCs w:val="24"/>
          <w:lang w:val="bg-BG" w:eastAsia="bg-BG"/>
        </w:rPr>
        <w:t xml:space="preserve"> и заключителни разпоредби на ЗДФГУДПС</w:t>
      </w:r>
      <w:r w:rsidR="002E20D6" w:rsidRPr="00BF1E4D">
        <w:rPr>
          <w:rFonts w:ascii="Times New Roman" w:hAnsi="Times New Roman"/>
          <w:szCs w:val="24"/>
          <w:lang w:val="bg-BG"/>
        </w:rPr>
        <w:t xml:space="preserve"> е предвидено трансферирането на средства от фонда към бюджета на </w:t>
      </w:r>
      <w:r w:rsidR="00676391" w:rsidRPr="00BF1E4D">
        <w:rPr>
          <w:rFonts w:ascii="Times New Roman" w:hAnsi="Times New Roman"/>
          <w:szCs w:val="24"/>
          <w:lang w:val="bg-BG"/>
        </w:rPr>
        <w:t xml:space="preserve">държавното обществено осигуряване </w:t>
      </w:r>
      <w:r w:rsidR="00676391" w:rsidRPr="00865B65">
        <w:rPr>
          <w:rFonts w:ascii="Times New Roman" w:hAnsi="Times New Roman"/>
          <w:szCs w:val="24"/>
          <w:lang w:val="bg-BG"/>
        </w:rPr>
        <w:t>(</w:t>
      </w:r>
      <w:r w:rsidR="002E20D6" w:rsidRPr="00BF1E4D">
        <w:rPr>
          <w:rFonts w:ascii="Times New Roman" w:hAnsi="Times New Roman"/>
          <w:szCs w:val="24"/>
          <w:lang w:val="bg-BG"/>
        </w:rPr>
        <w:t>ДОО</w:t>
      </w:r>
      <w:r w:rsidR="00676391" w:rsidRPr="00865B65">
        <w:rPr>
          <w:rFonts w:ascii="Times New Roman" w:hAnsi="Times New Roman"/>
          <w:szCs w:val="24"/>
          <w:lang w:val="bg-BG"/>
        </w:rPr>
        <w:t>)</w:t>
      </w:r>
      <w:r w:rsidR="002E20D6" w:rsidRPr="00BF1E4D">
        <w:rPr>
          <w:rFonts w:ascii="Times New Roman" w:hAnsi="Times New Roman"/>
          <w:szCs w:val="24"/>
          <w:lang w:val="bg-BG"/>
        </w:rPr>
        <w:t xml:space="preserve"> за фонд „Пенсии“ да може да се извършва н</w:t>
      </w:r>
      <w:r w:rsidR="0066094B" w:rsidRPr="00BF1E4D">
        <w:rPr>
          <w:rFonts w:ascii="Times New Roman" w:hAnsi="Times New Roman"/>
          <w:szCs w:val="24"/>
          <w:lang w:val="bg-BG"/>
        </w:rPr>
        <w:t>е</w:t>
      </w:r>
      <w:r w:rsidR="002E20D6" w:rsidRPr="00BF1E4D">
        <w:rPr>
          <w:rFonts w:ascii="Times New Roman" w:hAnsi="Times New Roman"/>
          <w:szCs w:val="24"/>
          <w:lang w:val="bg-BG"/>
        </w:rPr>
        <w:t xml:space="preserve"> по-рано от 10 години от влизането на закона в сила, т.е. не по-рано от 18.11.2018 г.</w:t>
      </w:r>
    </w:p>
    <w:p w14:paraId="40186249" w14:textId="77777777" w:rsidR="002C0574" w:rsidRPr="00ED5F27" w:rsidRDefault="002C0574" w:rsidP="00511CBC">
      <w:pPr>
        <w:pStyle w:val="NormalWeb"/>
        <w:spacing w:before="0" w:after="0" w:afterAutospacing="0"/>
        <w:ind w:firstLine="720"/>
        <w:rPr>
          <w:color w:val="000000"/>
        </w:rPr>
      </w:pPr>
      <w:r w:rsidRPr="00BF1E4D">
        <w:rPr>
          <w:color w:val="000000"/>
        </w:rPr>
        <w:t xml:space="preserve">Конструктивно </w:t>
      </w:r>
      <w:r w:rsidR="00C072D9" w:rsidRPr="00BF1E4D">
        <w:rPr>
          <w:color w:val="000000"/>
        </w:rPr>
        <w:t>документ</w:t>
      </w:r>
      <w:r w:rsidR="000410FA" w:rsidRPr="00BF1E4D">
        <w:rPr>
          <w:color w:val="000000"/>
        </w:rPr>
        <w:t>ът</w:t>
      </w:r>
      <w:r w:rsidRPr="00BF1E4D">
        <w:rPr>
          <w:color w:val="000000"/>
        </w:rPr>
        <w:t xml:space="preserve"> е структуриран в </w:t>
      </w:r>
      <w:r w:rsidR="00136E6C" w:rsidRPr="00BF1E4D">
        <w:rPr>
          <w:color w:val="000000"/>
        </w:rPr>
        <w:t>четири</w:t>
      </w:r>
      <w:r w:rsidRPr="00BF1E4D">
        <w:rPr>
          <w:color w:val="000000"/>
        </w:rPr>
        <w:t xml:space="preserve"> основни части.</w:t>
      </w:r>
    </w:p>
    <w:p w14:paraId="027F536E" w14:textId="77777777" w:rsidR="002C0574" w:rsidRPr="00925EAB" w:rsidRDefault="002C0574" w:rsidP="00511CBC">
      <w:pPr>
        <w:autoSpaceDE w:val="0"/>
        <w:autoSpaceDN w:val="0"/>
        <w:adjustRightInd w:val="0"/>
        <w:spacing w:after="0" w:line="240" w:lineRule="auto"/>
        <w:rPr>
          <w:rFonts w:ascii="Times New Roman" w:hAnsi="Times New Roman"/>
          <w:spacing w:val="-4"/>
          <w:szCs w:val="24"/>
          <w:lang w:val="bg-BG" w:eastAsia="bg-BG"/>
        </w:rPr>
      </w:pPr>
      <w:r w:rsidRPr="00925EAB">
        <w:rPr>
          <w:rFonts w:ascii="Times New Roman" w:hAnsi="Times New Roman"/>
          <w:spacing w:val="-4"/>
          <w:szCs w:val="24"/>
          <w:lang w:val="bg-BG" w:eastAsia="bg-BG"/>
        </w:rPr>
        <w:t xml:space="preserve">Първата от тях разглежда </w:t>
      </w:r>
      <w:r w:rsidR="00A46EA8" w:rsidRPr="00925EAB">
        <w:rPr>
          <w:rFonts w:ascii="Times New Roman" w:hAnsi="Times New Roman"/>
          <w:spacing w:val="-4"/>
          <w:szCs w:val="24"/>
          <w:lang w:val="bg-BG" w:eastAsia="bg-BG"/>
        </w:rPr>
        <w:t xml:space="preserve">текущото </w:t>
      </w:r>
      <w:r w:rsidRPr="00925EAB">
        <w:rPr>
          <w:rFonts w:ascii="Times New Roman" w:hAnsi="Times New Roman"/>
          <w:spacing w:val="-4"/>
          <w:szCs w:val="24"/>
          <w:lang w:val="bg-BG" w:eastAsia="bg-BG"/>
        </w:rPr>
        <w:t xml:space="preserve">състояние на </w:t>
      </w:r>
      <w:r w:rsidR="00DC2CA3">
        <w:rPr>
          <w:rFonts w:ascii="Times New Roman" w:hAnsi="Times New Roman"/>
          <w:spacing w:val="-4"/>
          <w:szCs w:val="24"/>
          <w:lang w:val="bg-BG" w:eastAsia="bg-BG"/>
        </w:rPr>
        <w:t>ф</w:t>
      </w:r>
      <w:r w:rsidR="00A46EA8" w:rsidRPr="00925EAB">
        <w:rPr>
          <w:rFonts w:ascii="Times New Roman" w:hAnsi="Times New Roman"/>
          <w:spacing w:val="-4"/>
          <w:szCs w:val="24"/>
          <w:lang w:val="bg-BG" w:eastAsia="bg-BG"/>
        </w:rPr>
        <w:t xml:space="preserve">онда и </w:t>
      </w:r>
      <w:r w:rsidRPr="00925EAB">
        <w:rPr>
          <w:rFonts w:ascii="Times New Roman" w:hAnsi="Times New Roman"/>
          <w:spacing w:val="-4"/>
          <w:szCs w:val="24"/>
          <w:lang w:val="bg-BG" w:eastAsia="bg-BG"/>
        </w:rPr>
        <w:t xml:space="preserve">представлява преглед и анализ на извършеното до момента, в рамките на </w:t>
      </w:r>
      <w:r w:rsidR="00A46EA8" w:rsidRPr="00925EAB">
        <w:rPr>
          <w:rFonts w:ascii="Times New Roman" w:hAnsi="Times New Roman"/>
          <w:spacing w:val="-4"/>
          <w:szCs w:val="24"/>
          <w:lang w:val="bg-BG" w:eastAsia="bg-BG"/>
        </w:rPr>
        <w:t>законовите разпоредби</w:t>
      </w:r>
      <w:r w:rsidRPr="00925EAB">
        <w:rPr>
          <w:rFonts w:ascii="Times New Roman" w:hAnsi="Times New Roman"/>
          <w:spacing w:val="-4"/>
          <w:szCs w:val="24"/>
          <w:lang w:val="bg-BG" w:eastAsia="bg-BG"/>
        </w:rPr>
        <w:t>.</w:t>
      </w:r>
    </w:p>
    <w:p w14:paraId="69B04C52" w14:textId="77777777" w:rsidR="00136E6C" w:rsidRPr="00925EAB" w:rsidRDefault="00136E6C" w:rsidP="00511CBC">
      <w:pPr>
        <w:autoSpaceDE w:val="0"/>
        <w:autoSpaceDN w:val="0"/>
        <w:adjustRightInd w:val="0"/>
        <w:spacing w:after="0" w:line="240" w:lineRule="auto"/>
        <w:rPr>
          <w:rFonts w:ascii="Times New Roman" w:hAnsi="Times New Roman"/>
          <w:spacing w:val="-4"/>
          <w:szCs w:val="24"/>
          <w:lang w:val="bg-BG" w:eastAsia="bg-BG"/>
        </w:rPr>
      </w:pPr>
      <w:r w:rsidRPr="00DB7571">
        <w:rPr>
          <w:rFonts w:ascii="Times New Roman" w:hAnsi="Times New Roman"/>
          <w:spacing w:val="-4"/>
          <w:szCs w:val="24"/>
          <w:lang w:val="bg-BG" w:eastAsia="bg-BG"/>
        </w:rPr>
        <w:t>Във в</w:t>
      </w:r>
      <w:r w:rsidR="00DF133A" w:rsidRPr="00DB7571">
        <w:rPr>
          <w:rFonts w:ascii="Times New Roman" w:hAnsi="Times New Roman"/>
          <w:spacing w:val="-4"/>
          <w:szCs w:val="24"/>
          <w:lang w:val="bg-BG" w:eastAsia="bg-BG"/>
        </w:rPr>
        <w:t xml:space="preserve">тората част </w:t>
      </w:r>
      <w:r w:rsidRPr="00DB7571">
        <w:rPr>
          <w:rFonts w:ascii="Times New Roman" w:hAnsi="Times New Roman"/>
          <w:spacing w:val="-4"/>
          <w:szCs w:val="24"/>
          <w:lang w:val="bg-BG" w:eastAsia="bg-BG"/>
        </w:rPr>
        <w:t>е извършен</w:t>
      </w:r>
      <w:r w:rsidRPr="00925EAB">
        <w:rPr>
          <w:rFonts w:ascii="Times New Roman" w:hAnsi="Times New Roman"/>
          <w:spacing w:val="-4"/>
          <w:szCs w:val="24"/>
          <w:lang w:val="bg-BG" w:eastAsia="bg-BG"/>
        </w:rPr>
        <w:t xml:space="preserve"> анализ на възможностите за инвестиране на средствата на </w:t>
      </w:r>
      <w:r w:rsidR="00DC2CA3">
        <w:rPr>
          <w:rFonts w:ascii="Times New Roman" w:hAnsi="Times New Roman"/>
          <w:spacing w:val="-4"/>
          <w:szCs w:val="24"/>
          <w:lang w:val="bg-BG" w:eastAsia="bg-BG"/>
        </w:rPr>
        <w:t>ф</w:t>
      </w:r>
      <w:r w:rsidRPr="00925EAB">
        <w:rPr>
          <w:rFonts w:ascii="Times New Roman" w:hAnsi="Times New Roman"/>
          <w:spacing w:val="-4"/>
          <w:szCs w:val="24"/>
          <w:lang w:val="bg-BG" w:eastAsia="bg-BG"/>
        </w:rPr>
        <w:t>онда</w:t>
      </w:r>
      <w:r w:rsidR="00B14495">
        <w:rPr>
          <w:rFonts w:ascii="Times New Roman" w:hAnsi="Times New Roman"/>
          <w:spacing w:val="-4"/>
          <w:szCs w:val="24"/>
          <w:lang w:val="bg-BG" w:eastAsia="bg-BG"/>
        </w:rPr>
        <w:t>.</w:t>
      </w:r>
    </w:p>
    <w:p w14:paraId="2B6CC9D2" w14:textId="77777777" w:rsidR="00DF133A" w:rsidRPr="00925EAB" w:rsidRDefault="00136E6C" w:rsidP="00511CBC">
      <w:pPr>
        <w:autoSpaceDE w:val="0"/>
        <w:autoSpaceDN w:val="0"/>
        <w:adjustRightInd w:val="0"/>
        <w:spacing w:after="0" w:line="240" w:lineRule="auto"/>
        <w:rPr>
          <w:rFonts w:ascii="Times New Roman" w:hAnsi="Times New Roman"/>
          <w:spacing w:val="-4"/>
          <w:szCs w:val="24"/>
          <w:lang w:val="bg-BG" w:eastAsia="bg-BG"/>
        </w:rPr>
      </w:pPr>
      <w:r w:rsidRPr="00DB7571">
        <w:rPr>
          <w:rFonts w:ascii="Times New Roman" w:hAnsi="Times New Roman"/>
          <w:spacing w:val="-4"/>
          <w:szCs w:val="24"/>
          <w:lang w:val="bg-BG" w:eastAsia="bg-BG"/>
        </w:rPr>
        <w:t>Третата част</w:t>
      </w:r>
      <w:r w:rsidR="009B798C" w:rsidRPr="00DB7571">
        <w:rPr>
          <w:rFonts w:ascii="Times New Roman" w:hAnsi="Times New Roman"/>
          <w:spacing w:val="-4"/>
          <w:szCs w:val="24"/>
          <w:lang w:val="bg-BG" w:eastAsia="bg-BG"/>
        </w:rPr>
        <w:t xml:space="preserve"> </w:t>
      </w:r>
      <w:r w:rsidR="00DF133A" w:rsidRPr="00DB7571">
        <w:rPr>
          <w:rFonts w:ascii="Times New Roman" w:hAnsi="Times New Roman"/>
          <w:spacing w:val="-4"/>
          <w:szCs w:val="24"/>
          <w:lang w:val="bg-BG" w:eastAsia="bg-BG"/>
        </w:rPr>
        <w:t>дефинира</w:t>
      </w:r>
      <w:r w:rsidR="00DF133A" w:rsidRPr="00925EAB">
        <w:rPr>
          <w:rFonts w:ascii="Times New Roman" w:hAnsi="Times New Roman"/>
          <w:spacing w:val="-4"/>
          <w:szCs w:val="24"/>
          <w:lang w:val="bg-BG" w:eastAsia="bg-BG"/>
        </w:rPr>
        <w:t xml:space="preserve"> рисковете, свързани с </w:t>
      </w:r>
      <w:r w:rsidR="004C3F6A" w:rsidRPr="00925EAB">
        <w:rPr>
          <w:rFonts w:ascii="Times New Roman" w:hAnsi="Times New Roman"/>
          <w:spacing w:val="-4"/>
          <w:szCs w:val="24"/>
          <w:lang w:val="bg-BG" w:eastAsia="bg-BG"/>
        </w:rPr>
        <w:t>инвестирането</w:t>
      </w:r>
      <w:r w:rsidR="00DF133A" w:rsidRPr="00925EAB">
        <w:rPr>
          <w:rFonts w:ascii="Times New Roman" w:hAnsi="Times New Roman"/>
          <w:spacing w:val="-4"/>
          <w:szCs w:val="24"/>
          <w:lang w:val="bg-BG" w:eastAsia="bg-BG"/>
        </w:rPr>
        <w:t xml:space="preserve"> на средствата на </w:t>
      </w:r>
      <w:r w:rsidR="00DC2CA3">
        <w:rPr>
          <w:rFonts w:ascii="Times New Roman" w:hAnsi="Times New Roman"/>
          <w:spacing w:val="-4"/>
          <w:szCs w:val="24"/>
          <w:lang w:val="bg-BG" w:eastAsia="bg-BG"/>
        </w:rPr>
        <w:t>ф</w:t>
      </w:r>
      <w:r w:rsidR="00DF133A" w:rsidRPr="00925EAB">
        <w:rPr>
          <w:rFonts w:ascii="Times New Roman" w:hAnsi="Times New Roman"/>
          <w:spacing w:val="-4"/>
          <w:szCs w:val="24"/>
          <w:lang w:val="bg-BG" w:eastAsia="bg-BG"/>
        </w:rPr>
        <w:t>онда</w:t>
      </w:r>
      <w:r w:rsidR="00A715C9" w:rsidRPr="00925EAB">
        <w:rPr>
          <w:rFonts w:ascii="Times New Roman" w:hAnsi="Times New Roman"/>
          <w:spacing w:val="-4"/>
          <w:szCs w:val="24"/>
          <w:lang w:val="bg-BG" w:eastAsia="bg-BG"/>
        </w:rPr>
        <w:t xml:space="preserve">, както </w:t>
      </w:r>
      <w:r w:rsidR="00A715C9" w:rsidRPr="00FA663D">
        <w:rPr>
          <w:rFonts w:ascii="Times New Roman" w:hAnsi="Times New Roman"/>
          <w:spacing w:val="-4"/>
          <w:szCs w:val="24"/>
          <w:lang w:val="bg-BG" w:eastAsia="bg-BG"/>
        </w:rPr>
        <w:t xml:space="preserve">и </w:t>
      </w:r>
      <w:r w:rsidR="00A715C9" w:rsidRPr="00183201">
        <w:rPr>
          <w:rFonts w:ascii="Times New Roman" w:hAnsi="Times New Roman"/>
          <w:spacing w:val="-4"/>
          <w:szCs w:val="24"/>
          <w:lang w:val="bg-BG" w:eastAsia="bg-BG"/>
        </w:rPr>
        <w:t>анализ</w:t>
      </w:r>
      <w:r w:rsidR="00A715C9" w:rsidRPr="00FA663D">
        <w:rPr>
          <w:rFonts w:ascii="Times New Roman" w:hAnsi="Times New Roman"/>
          <w:spacing w:val="-4"/>
          <w:szCs w:val="24"/>
          <w:lang w:val="bg-BG" w:eastAsia="bg-BG"/>
        </w:rPr>
        <w:t xml:space="preserve"> на пазарните</w:t>
      </w:r>
      <w:r w:rsidR="00A715C9" w:rsidRPr="00925EAB">
        <w:rPr>
          <w:rFonts w:ascii="Times New Roman" w:hAnsi="Times New Roman"/>
          <w:spacing w:val="-4"/>
          <w:szCs w:val="24"/>
          <w:lang w:val="bg-BG" w:eastAsia="bg-BG"/>
        </w:rPr>
        <w:t xml:space="preserve"> промени и тяхното измерение</w:t>
      </w:r>
      <w:r w:rsidRPr="00925EAB">
        <w:rPr>
          <w:rFonts w:ascii="Times New Roman" w:hAnsi="Times New Roman"/>
          <w:spacing w:val="-4"/>
          <w:szCs w:val="24"/>
          <w:lang w:val="bg-BG" w:eastAsia="bg-BG"/>
        </w:rPr>
        <w:t>.</w:t>
      </w:r>
    </w:p>
    <w:p w14:paraId="07875A94" w14:textId="77777777" w:rsidR="00885943" w:rsidRDefault="00885943" w:rsidP="00511CBC">
      <w:pPr>
        <w:autoSpaceDE w:val="0"/>
        <w:autoSpaceDN w:val="0"/>
        <w:adjustRightInd w:val="0"/>
        <w:spacing w:after="0" w:line="240" w:lineRule="auto"/>
        <w:rPr>
          <w:rFonts w:ascii="Times New Roman" w:hAnsi="Times New Roman"/>
          <w:spacing w:val="-4"/>
          <w:szCs w:val="24"/>
          <w:lang w:val="bg-BG" w:eastAsia="bg-BG"/>
        </w:rPr>
      </w:pPr>
      <w:r w:rsidRPr="00925EAB">
        <w:rPr>
          <w:rFonts w:ascii="Times New Roman" w:hAnsi="Times New Roman"/>
          <w:spacing w:val="-4"/>
          <w:szCs w:val="24"/>
          <w:lang w:val="bg-BG" w:eastAsia="bg-BG"/>
        </w:rPr>
        <w:t xml:space="preserve">В </w:t>
      </w:r>
      <w:r w:rsidR="00136E6C" w:rsidRPr="00925EAB">
        <w:rPr>
          <w:rFonts w:ascii="Times New Roman" w:hAnsi="Times New Roman"/>
          <w:spacing w:val="-4"/>
          <w:szCs w:val="24"/>
          <w:lang w:val="bg-BG" w:eastAsia="bg-BG"/>
        </w:rPr>
        <w:t>четвъртата</w:t>
      </w:r>
      <w:r w:rsidRPr="00925EAB">
        <w:rPr>
          <w:rFonts w:ascii="Times New Roman" w:hAnsi="Times New Roman"/>
          <w:spacing w:val="-4"/>
          <w:szCs w:val="24"/>
          <w:lang w:val="bg-BG" w:eastAsia="bg-BG"/>
        </w:rPr>
        <w:t xml:space="preserve"> част </w:t>
      </w:r>
      <w:r w:rsidR="00E76C02" w:rsidRPr="00925EAB">
        <w:rPr>
          <w:rFonts w:ascii="Times New Roman" w:hAnsi="Times New Roman"/>
          <w:spacing w:val="-4"/>
          <w:szCs w:val="24"/>
          <w:lang w:val="bg-BG" w:eastAsia="bg-BG"/>
        </w:rPr>
        <w:t>е</w:t>
      </w:r>
      <w:r w:rsidRPr="00925EAB">
        <w:rPr>
          <w:rFonts w:ascii="Times New Roman" w:hAnsi="Times New Roman"/>
          <w:spacing w:val="-4"/>
          <w:szCs w:val="24"/>
          <w:lang w:val="bg-BG" w:eastAsia="bg-BG"/>
        </w:rPr>
        <w:t xml:space="preserve"> </w:t>
      </w:r>
      <w:r w:rsidR="00E76C02" w:rsidRPr="00925EAB">
        <w:rPr>
          <w:rFonts w:ascii="Times New Roman" w:hAnsi="Times New Roman"/>
          <w:spacing w:val="-4"/>
          <w:szCs w:val="24"/>
          <w:lang w:val="bg-BG" w:eastAsia="bg-BG"/>
        </w:rPr>
        <w:t>о</w:t>
      </w:r>
      <w:r w:rsidRPr="00925EAB">
        <w:rPr>
          <w:rFonts w:ascii="Times New Roman" w:hAnsi="Times New Roman"/>
          <w:spacing w:val="-4"/>
          <w:szCs w:val="24"/>
          <w:lang w:val="bg-BG" w:eastAsia="bg-BG"/>
        </w:rPr>
        <w:t xml:space="preserve">чертан инструментариумът, който ще </w:t>
      </w:r>
      <w:r w:rsidR="00FC49CF" w:rsidRPr="00925EAB">
        <w:rPr>
          <w:rFonts w:ascii="Times New Roman" w:hAnsi="Times New Roman"/>
          <w:spacing w:val="-4"/>
          <w:szCs w:val="24"/>
          <w:lang w:val="bg-BG" w:eastAsia="bg-BG"/>
        </w:rPr>
        <w:t xml:space="preserve">бъде използван за инвестиране на средствата на </w:t>
      </w:r>
      <w:r w:rsidR="00DC2CA3">
        <w:rPr>
          <w:rFonts w:ascii="Times New Roman" w:hAnsi="Times New Roman"/>
          <w:spacing w:val="-4"/>
          <w:szCs w:val="24"/>
          <w:lang w:val="bg-BG" w:eastAsia="bg-BG"/>
        </w:rPr>
        <w:t>ф</w:t>
      </w:r>
      <w:r w:rsidR="00FC49CF" w:rsidRPr="00925EAB">
        <w:rPr>
          <w:rFonts w:ascii="Times New Roman" w:hAnsi="Times New Roman"/>
          <w:spacing w:val="-4"/>
          <w:szCs w:val="24"/>
          <w:lang w:val="bg-BG" w:eastAsia="bg-BG"/>
        </w:rPr>
        <w:t>онда в периода 20</w:t>
      </w:r>
      <w:r w:rsidR="0002358F">
        <w:rPr>
          <w:rFonts w:ascii="Times New Roman" w:hAnsi="Times New Roman"/>
          <w:spacing w:val="-4"/>
          <w:szCs w:val="24"/>
          <w:lang w:val="bg-BG" w:eastAsia="bg-BG"/>
        </w:rPr>
        <w:t>2</w:t>
      </w:r>
      <w:r w:rsidR="00CA5ECE">
        <w:rPr>
          <w:rFonts w:ascii="Times New Roman" w:hAnsi="Times New Roman"/>
          <w:spacing w:val="-4"/>
          <w:szCs w:val="24"/>
          <w:lang w:val="bg-BG" w:eastAsia="bg-BG"/>
        </w:rPr>
        <w:t>6</w:t>
      </w:r>
      <w:r w:rsidR="00FC49CF" w:rsidRPr="00925EAB">
        <w:rPr>
          <w:rFonts w:ascii="Times New Roman" w:hAnsi="Times New Roman"/>
          <w:spacing w:val="-4"/>
          <w:szCs w:val="24"/>
          <w:lang w:val="bg-BG" w:eastAsia="bg-BG"/>
        </w:rPr>
        <w:t>-20</w:t>
      </w:r>
      <w:r w:rsidR="00E85A4A" w:rsidRPr="00925EAB">
        <w:rPr>
          <w:rFonts w:ascii="Times New Roman" w:hAnsi="Times New Roman"/>
          <w:spacing w:val="-4"/>
          <w:szCs w:val="24"/>
          <w:lang w:val="bg-BG" w:eastAsia="bg-BG"/>
        </w:rPr>
        <w:t>2</w:t>
      </w:r>
      <w:r w:rsidR="00CA5ECE">
        <w:rPr>
          <w:rFonts w:ascii="Times New Roman" w:hAnsi="Times New Roman"/>
          <w:spacing w:val="-4"/>
          <w:szCs w:val="24"/>
          <w:lang w:val="bg-BG" w:eastAsia="bg-BG"/>
        </w:rPr>
        <w:t>8</w:t>
      </w:r>
      <w:r w:rsidR="001A55F3" w:rsidRPr="00925EAB">
        <w:rPr>
          <w:rFonts w:ascii="Times New Roman" w:hAnsi="Times New Roman"/>
          <w:spacing w:val="-4"/>
          <w:szCs w:val="24"/>
          <w:lang w:val="bg-BG" w:eastAsia="bg-BG"/>
        </w:rPr>
        <w:t> </w:t>
      </w:r>
      <w:r w:rsidR="00FC49CF" w:rsidRPr="00925EAB">
        <w:rPr>
          <w:rFonts w:ascii="Times New Roman" w:hAnsi="Times New Roman"/>
          <w:spacing w:val="-4"/>
          <w:szCs w:val="24"/>
          <w:lang w:val="bg-BG" w:eastAsia="bg-BG"/>
        </w:rPr>
        <w:t>г. при</w:t>
      </w:r>
      <w:r w:rsidRPr="00925EAB">
        <w:rPr>
          <w:rFonts w:ascii="Times New Roman" w:hAnsi="Times New Roman"/>
          <w:spacing w:val="-4"/>
          <w:szCs w:val="24"/>
          <w:lang w:val="bg-BG" w:eastAsia="bg-BG"/>
        </w:rPr>
        <w:t xml:space="preserve"> минимизиране на потенциалните рискове.</w:t>
      </w:r>
    </w:p>
    <w:p w14:paraId="6EAA98B5" w14:textId="77777777" w:rsidR="00B85274" w:rsidRDefault="00B85274" w:rsidP="00511CBC">
      <w:pPr>
        <w:autoSpaceDE w:val="0"/>
        <w:autoSpaceDN w:val="0"/>
        <w:adjustRightInd w:val="0"/>
        <w:spacing w:after="0" w:line="240" w:lineRule="auto"/>
        <w:rPr>
          <w:rFonts w:ascii="Times New Roman" w:hAnsi="Times New Roman"/>
          <w:spacing w:val="-4"/>
          <w:szCs w:val="24"/>
          <w:lang w:val="bg-BG" w:eastAsia="bg-BG"/>
        </w:rPr>
      </w:pPr>
    </w:p>
    <w:p w14:paraId="21B159C2" w14:textId="77777777" w:rsidR="000F6EF2" w:rsidRDefault="000F6EF2" w:rsidP="00511CBC">
      <w:pPr>
        <w:autoSpaceDE w:val="0"/>
        <w:autoSpaceDN w:val="0"/>
        <w:adjustRightInd w:val="0"/>
        <w:spacing w:after="0" w:line="240" w:lineRule="auto"/>
        <w:rPr>
          <w:rFonts w:ascii="Times New Roman" w:hAnsi="Times New Roman"/>
          <w:spacing w:val="-4"/>
          <w:szCs w:val="24"/>
          <w:lang w:val="bg-BG" w:eastAsia="bg-BG"/>
        </w:rPr>
      </w:pPr>
    </w:p>
    <w:p w14:paraId="2BCD20A6" w14:textId="77777777" w:rsidR="00A85E89" w:rsidRDefault="00A85E89" w:rsidP="00511CBC">
      <w:pPr>
        <w:autoSpaceDE w:val="0"/>
        <w:autoSpaceDN w:val="0"/>
        <w:adjustRightInd w:val="0"/>
        <w:spacing w:after="0" w:line="240" w:lineRule="auto"/>
        <w:rPr>
          <w:rFonts w:ascii="Times New Roman" w:hAnsi="Times New Roman"/>
          <w:spacing w:val="-4"/>
          <w:szCs w:val="24"/>
          <w:lang w:val="bg-BG" w:eastAsia="bg-BG"/>
        </w:rPr>
      </w:pPr>
    </w:p>
    <w:p w14:paraId="776A4A7B" w14:textId="77777777" w:rsidR="00A85E89" w:rsidRDefault="00A85E89" w:rsidP="00511CBC">
      <w:pPr>
        <w:autoSpaceDE w:val="0"/>
        <w:autoSpaceDN w:val="0"/>
        <w:adjustRightInd w:val="0"/>
        <w:spacing w:after="0" w:line="240" w:lineRule="auto"/>
        <w:rPr>
          <w:rFonts w:ascii="Times New Roman" w:hAnsi="Times New Roman"/>
          <w:spacing w:val="-4"/>
          <w:szCs w:val="24"/>
          <w:lang w:val="bg-BG" w:eastAsia="bg-BG"/>
        </w:rPr>
      </w:pPr>
    </w:p>
    <w:p w14:paraId="43B84A24" w14:textId="77777777" w:rsidR="00A85E89" w:rsidRDefault="00A85E89" w:rsidP="00511CBC">
      <w:pPr>
        <w:autoSpaceDE w:val="0"/>
        <w:autoSpaceDN w:val="0"/>
        <w:adjustRightInd w:val="0"/>
        <w:spacing w:after="0" w:line="240" w:lineRule="auto"/>
        <w:rPr>
          <w:rFonts w:ascii="Times New Roman" w:hAnsi="Times New Roman"/>
          <w:spacing w:val="-4"/>
          <w:szCs w:val="24"/>
          <w:lang w:val="bg-BG" w:eastAsia="bg-BG"/>
        </w:rPr>
      </w:pPr>
    </w:p>
    <w:p w14:paraId="100131DB" w14:textId="77777777" w:rsidR="00A85E89" w:rsidRDefault="00A85E89" w:rsidP="00511CBC">
      <w:pPr>
        <w:autoSpaceDE w:val="0"/>
        <w:autoSpaceDN w:val="0"/>
        <w:adjustRightInd w:val="0"/>
        <w:spacing w:after="0" w:line="240" w:lineRule="auto"/>
        <w:rPr>
          <w:rFonts w:ascii="Times New Roman" w:hAnsi="Times New Roman"/>
          <w:spacing w:val="-4"/>
          <w:szCs w:val="24"/>
          <w:lang w:val="bg-BG" w:eastAsia="bg-BG"/>
        </w:rPr>
      </w:pPr>
    </w:p>
    <w:p w14:paraId="18E24BD1" w14:textId="77777777" w:rsidR="00A85E89" w:rsidRPr="00925EAB" w:rsidRDefault="00A85E89" w:rsidP="00511CBC">
      <w:pPr>
        <w:autoSpaceDE w:val="0"/>
        <w:autoSpaceDN w:val="0"/>
        <w:adjustRightInd w:val="0"/>
        <w:spacing w:after="0" w:line="240" w:lineRule="auto"/>
        <w:rPr>
          <w:rFonts w:ascii="Times New Roman" w:hAnsi="Times New Roman"/>
          <w:spacing w:val="-4"/>
          <w:szCs w:val="24"/>
          <w:lang w:val="bg-BG" w:eastAsia="bg-BG"/>
        </w:rPr>
      </w:pPr>
    </w:p>
    <w:p w14:paraId="3C835FAD" w14:textId="77777777" w:rsidR="00F44CB5" w:rsidRPr="00F16E39" w:rsidRDefault="00F44CB5" w:rsidP="00F44CB5">
      <w:pPr>
        <w:autoSpaceDE w:val="0"/>
        <w:autoSpaceDN w:val="0"/>
        <w:adjustRightInd w:val="0"/>
        <w:spacing w:after="0" w:line="240" w:lineRule="auto"/>
        <w:jc w:val="center"/>
        <w:rPr>
          <w:rFonts w:ascii="Times New Roman" w:hAnsi="Times New Roman"/>
          <w:b/>
          <w:i/>
          <w:color w:val="000000"/>
          <w:sz w:val="16"/>
          <w:szCs w:val="16"/>
          <w:lang w:val="bg-BG" w:eastAsia="bg-BG"/>
        </w:rPr>
      </w:pPr>
    </w:p>
    <w:p w14:paraId="16FA4605" w14:textId="77777777" w:rsidR="00D846D0" w:rsidRDefault="00D846D0" w:rsidP="00323589">
      <w:pPr>
        <w:tabs>
          <w:tab w:val="left" w:pos="342"/>
          <w:tab w:val="left" w:pos="1311"/>
          <w:tab w:val="left" w:pos="1368"/>
          <w:tab w:val="left" w:pos="2052"/>
        </w:tabs>
        <w:spacing w:line="240" w:lineRule="auto"/>
        <w:rPr>
          <w:rFonts w:ascii="Times New Roman" w:hAnsi="Times New Roman"/>
          <w:b/>
          <w:smallCaps/>
          <w:sz w:val="22"/>
          <w:szCs w:val="22"/>
          <w:lang w:val="bg-BG"/>
        </w:rPr>
      </w:pPr>
      <w:r>
        <w:rPr>
          <w:rFonts w:ascii="Times New Roman" w:hAnsi="Times New Roman"/>
          <w:b/>
          <w:smallCaps/>
          <w:sz w:val="22"/>
          <w:szCs w:val="22"/>
          <w:lang w:val="bg-BG"/>
        </w:rPr>
        <w:lastRenderedPageBreak/>
        <w:t xml:space="preserve">І. </w:t>
      </w:r>
      <w:r w:rsidR="00F92A22">
        <w:rPr>
          <w:rFonts w:ascii="Times New Roman" w:hAnsi="Times New Roman"/>
          <w:b/>
          <w:smallCaps/>
          <w:sz w:val="22"/>
          <w:szCs w:val="22"/>
          <w:lang w:val="bg-BG"/>
        </w:rPr>
        <w:t>ОБЗОР</w:t>
      </w:r>
      <w:r w:rsidR="00F92A22" w:rsidRPr="00724689">
        <w:rPr>
          <w:rFonts w:ascii="Times New Roman" w:hAnsi="Times New Roman"/>
          <w:b/>
          <w:smallCaps/>
          <w:sz w:val="22"/>
          <w:szCs w:val="22"/>
          <w:lang w:val="bg-BG"/>
        </w:rPr>
        <w:t xml:space="preserve"> НА </w:t>
      </w:r>
      <w:r w:rsidR="00F92A22">
        <w:rPr>
          <w:rFonts w:ascii="Times New Roman" w:hAnsi="Times New Roman"/>
          <w:b/>
          <w:smallCaps/>
          <w:sz w:val="22"/>
          <w:szCs w:val="22"/>
          <w:lang w:val="bg-BG"/>
        </w:rPr>
        <w:t xml:space="preserve">ДЕЙНОСТТА И ТЕКУЩО СЪСТОЯНИЕ НА </w:t>
      </w:r>
      <w:r>
        <w:rPr>
          <w:rFonts w:ascii="Times New Roman" w:hAnsi="Times New Roman"/>
          <w:b/>
          <w:smallCaps/>
          <w:sz w:val="22"/>
          <w:szCs w:val="22"/>
          <w:lang w:val="bg-BG"/>
        </w:rPr>
        <w:t>ДФГУДПС</w:t>
      </w:r>
    </w:p>
    <w:p w14:paraId="1A5CDCF3" w14:textId="77777777" w:rsidR="00D846D0" w:rsidRDefault="00D846D0" w:rsidP="00B80A21">
      <w:pPr>
        <w:spacing w:after="0" w:line="240" w:lineRule="auto"/>
        <w:rPr>
          <w:rFonts w:ascii="Times New Roman" w:hAnsi="Times New Roman"/>
          <w:b/>
          <w:szCs w:val="24"/>
          <w:lang w:val="bg-BG"/>
        </w:rPr>
      </w:pPr>
      <w:r w:rsidRPr="00CC1933">
        <w:rPr>
          <w:rFonts w:ascii="Times New Roman" w:hAnsi="Times New Roman"/>
          <w:b/>
          <w:szCs w:val="24"/>
          <w:lang w:val="bg-BG"/>
        </w:rPr>
        <w:t xml:space="preserve">1. </w:t>
      </w:r>
      <w:r w:rsidR="00BA20A8">
        <w:rPr>
          <w:rFonts w:ascii="Times New Roman" w:hAnsi="Times New Roman"/>
          <w:b/>
          <w:szCs w:val="24"/>
          <w:lang w:val="bg-BG"/>
        </w:rPr>
        <w:t>Преглед на д</w:t>
      </w:r>
      <w:r w:rsidRPr="00CC1933">
        <w:rPr>
          <w:rFonts w:ascii="Times New Roman" w:hAnsi="Times New Roman"/>
          <w:b/>
          <w:szCs w:val="24"/>
          <w:lang w:val="bg-BG"/>
        </w:rPr>
        <w:t>ейност</w:t>
      </w:r>
      <w:r w:rsidR="00BA20A8">
        <w:rPr>
          <w:rFonts w:ascii="Times New Roman" w:hAnsi="Times New Roman"/>
          <w:b/>
          <w:szCs w:val="24"/>
          <w:lang w:val="bg-BG"/>
        </w:rPr>
        <w:t>та</w:t>
      </w:r>
      <w:r w:rsidRPr="00CC1933">
        <w:rPr>
          <w:rFonts w:ascii="Times New Roman" w:hAnsi="Times New Roman"/>
          <w:b/>
          <w:szCs w:val="24"/>
          <w:lang w:val="bg-BG"/>
        </w:rPr>
        <w:t xml:space="preserve"> на </w:t>
      </w:r>
      <w:r w:rsidR="00FF5473">
        <w:rPr>
          <w:rFonts w:ascii="Times New Roman" w:hAnsi="Times New Roman"/>
          <w:b/>
          <w:szCs w:val="24"/>
          <w:lang w:val="bg-BG"/>
        </w:rPr>
        <w:t>управителния съвет</w:t>
      </w:r>
      <w:r w:rsidRPr="00CC1933">
        <w:rPr>
          <w:rFonts w:ascii="Times New Roman" w:hAnsi="Times New Roman"/>
          <w:b/>
          <w:szCs w:val="24"/>
          <w:lang w:val="bg-BG"/>
        </w:rPr>
        <w:t xml:space="preserve"> на ДФГУДПС</w:t>
      </w:r>
    </w:p>
    <w:p w14:paraId="7795136A" w14:textId="77777777" w:rsidR="00711803" w:rsidRDefault="00711803" w:rsidP="004337E3">
      <w:pPr>
        <w:numPr>
          <w:ilvl w:val="0"/>
          <w:numId w:val="28"/>
        </w:numPr>
        <w:spacing w:after="0" w:line="240" w:lineRule="auto"/>
        <w:rPr>
          <w:rFonts w:ascii="Times New Roman" w:hAnsi="Times New Roman"/>
          <w:b/>
          <w:szCs w:val="24"/>
          <w:lang w:val="bg-BG"/>
        </w:rPr>
      </w:pPr>
      <w:r>
        <w:rPr>
          <w:rFonts w:ascii="Times New Roman" w:hAnsi="Times New Roman"/>
          <w:b/>
          <w:szCs w:val="24"/>
          <w:lang w:val="bg-BG"/>
        </w:rPr>
        <w:t>Обзор</w:t>
      </w:r>
    </w:p>
    <w:p w14:paraId="2D16D21B" w14:textId="77777777" w:rsidR="00EE27C8" w:rsidRPr="00B80A21" w:rsidRDefault="00EE27C8" w:rsidP="00B80A21">
      <w:pPr>
        <w:spacing w:after="0" w:line="240" w:lineRule="auto"/>
        <w:rPr>
          <w:rFonts w:ascii="Times New Roman" w:hAnsi="Times New Roman"/>
          <w:b/>
          <w:sz w:val="10"/>
          <w:szCs w:val="10"/>
          <w:lang w:val="bg-BG"/>
        </w:rPr>
      </w:pPr>
    </w:p>
    <w:p w14:paraId="5F870E61" w14:textId="77777777" w:rsidR="00D846D0" w:rsidRPr="00BE28D5" w:rsidRDefault="00D846D0" w:rsidP="00EE27C8">
      <w:pPr>
        <w:spacing w:after="0" w:line="240" w:lineRule="auto"/>
        <w:rPr>
          <w:rFonts w:ascii="Times New Roman" w:hAnsi="Times New Roman"/>
          <w:color w:val="000000"/>
          <w:szCs w:val="24"/>
          <w:lang w:val="bg-BG" w:eastAsia="bg-BG"/>
        </w:rPr>
      </w:pPr>
      <w:r w:rsidRPr="00927EC1">
        <w:rPr>
          <w:rFonts w:ascii="Times New Roman" w:hAnsi="Times New Roman"/>
          <w:szCs w:val="24"/>
          <w:lang w:val="bg-BG" w:eastAsia="bg-BG"/>
        </w:rPr>
        <w:t xml:space="preserve">Първа стъпка след стартиране дейността на </w:t>
      </w:r>
      <w:r w:rsidR="00DC2CA3">
        <w:rPr>
          <w:rFonts w:ascii="Times New Roman" w:hAnsi="Times New Roman"/>
          <w:szCs w:val="24"/>
          <w:lang w:val="bg-BG" w:eastAsia="bg-BG"/>
        </w:rPr>
        <w:t>ф</w:t>
      </w:r>
      <w:r w:rsidRPr="00927EC1">
        <w:rPr>
          <w:rFonts w:ascii="Times New Roman" w:hAnsi="Times New Roman"/>
          <w:szCs w:val="24"/>
          <w:lang w:val="bg-BG" w:eastAsia="bg-BG"/>
        </w:rPr>
        <w:t xml:space="preserve">онда е </w:t>
      </w:r>
      <w:r w:rsidR="00121746" w:rsidRPr="00927EC1">
        <w:rPr>
          <w:rFonts w:ascii="Times New Roman" w:hAnsi="Times New Roman"/>
          <w:szCs w:val="24"/>
          <w:lang w:val="bg-BG" w:eastAsia="bg-BG"/>
        </w:rPr>
        <w:t>о</w:t>
      </w:r>
      <w:r w:rsidRPr="00927EC1">
        <w:rPr>
          <w:rFonts w:ascii="Times New Roman" w:hAnsi="Times New Roman"/>
          <w:szCs w:val="24"/>
          <w:lang w:val="bg-BG" w:eastAsia="bg-BG"/>
        </w:rPr>
        <w:t>бсъждан</w:t>
      </w:r>
      <w:r w:rsidR="00121746" w:rsidRPr="00927EC1">
        <w:rPr>
          <w:rFonts w:ascii="Times New Roman" w:hAnsi="Times New Roman"/>
          <w:szCs w:val="24"/>
          <w:lang w:val="bg-BG" w:eastAsia="bg-BG"/>
        </w:rPr>
        <w:t xml:space="preserve">е на </w:t>
      </w:r>
      <w:r w:rsidRPr="00927EC1">
        <w:rPr>
          <w:rFonts w:ascii="Times New Roman" w:hAnsi="Times New Roman"/>
          <w:szCs w:val="24"/>
          <w:lang w:val="bg-BG" w:eastAsia="bg-BG"/>
        </w:rPr>
        <w:t>първоначалната визия за управление на ресурса</w:t>
      </w:r>
      <w:r w:rsidR="00121746" w:rsidRPr="00927EC1">
        <w:rPr>
          <w:rFonts w:ascii="Times New Roman" w:hAnsi="Times New Roman"/>
          <w:szCs w:val="24"/>
          <w:lang w:val="bg-BG" w:eastAsia="bg-BG"/>
        </w:rPr>
        <w:t>, като</w:t>
      </w:r>
      <w:r w:rsidRPr="00927EC1">
        <w:rPr>
          <w:rFonts w:ascii="Times New Roman" w:hAnsi="Times New Roman"/>
          <w:szCs w:val="24"/>
          <w:lang w:val="bg-BG" w:eastAsia="bg-BG"/>
        </w:rPr>
        <w:t xml:space="preserve"> акцентът е върху възможностите за инвестиране в краткосрочен план</w:t>
      </w:r>
      <w:r w:rsidRPr="0088115C">
        <w:rPr>
          <w:rFonts w:ascii="Times New Roman" w:hAnsi="Times New Roman"/>
          <w:szCs w:val="24"/>
          <w:lang w:val="bg-BG" w:eastAsia="bg-BG"/>
        </w:rPr>
        <w:t>. Вследствие</w:t>
      </w:r>
      <w:r w:rsidRPr="005226ED">
        <w:rPr>
          <w:rFonts w:ascii="Times New Roman" w:hAnsi="Times New Roman"/>
          <w:szCs w:val="24"/>
          <w:lang w:val="bg-BG" w:eastAsia="bg-BG"/>
        </w:rPr>
        <w:t xml:space="preserve"> на обсъжданията е взето решение за инвестиране на средствата в </w:t>
      </w:r>
      <w:r w:rsidR="00983B97">
        <w:rPr>
          <w:rFonts w:ascii="Times New Roman" w:hAnsi="Times New Roman"/>
          <w:szCs w:val="24"/>
          <w:lang w:val="bg-BG" w:eastAsia="bg-BG"/>
        </w:rPr>
        <w:t>Българска</w:t>
      </w:r>
      <w:r w:rsidR="00604F71">
        <w:rPr>
          <w:rFonts w:ascii="Times New Roman" w:hAnsi="Times New Roman"/>
          <w:szCs w:val="24"/>
          <w:lang w:val="bg-BG" w:eastAsia="bg-BG"/>
        </w:rPr>
        <w:t>та</w:t>
      </w:r>
      <w:r w:rsidR="00983B97">
        <w:rPr>
          <w:rFonts w:ascii="Times New Roman" w:hAnsi="Times New Roman"/>
          <w:szCs w:val="24"/>
          <w:lang w:val="bg-BG" w:eastAsia="bg-BG"/>
        </w:rPr>
        <w:t xml:space="preserve"> народна </w:t>
      </w:r>
      <w:r w:rsidR="00983B97" w:rsidRPr="001D6582">
        <w:rPr>
          <w:rFonts w:ascii="Times New Roman" w:hAnsi="Times New Roman"/>
          <w:szCs w:val="24"/>
          <w:lang w:val="bg-BG" w:eastAsia="bg-BG"/>
        </w:rPr>
        <w:t xml:space="preserve">банка </w:t>
      </w:r>
      <w:r w:rsidR="00983B97" w:rsidRPr="00865B65">
        <w:rPr>
          <w:rFonts w:ascii="Times New Roman" w:hAnsi="Times New Roman"/>
          <w:szCs w:val="24"/>
          <w:lang w:val="bg-BG" w:eastAsia="bg-BG"/>
        </w:rPr>
        <w:t>(</w:t>
      </w:r>
      <w:r w:rsidRPr="00A305F8">
        <w:rPr>
          <w:rFonts w:ascii="Times New Roman" w:hAnsi="Times New Roman"/>
          <w:szCs w:val="24"/>
          <w:lang w:val="bg-BG" w:eastAsia="bg-BG"/>
        </w:rPr>
        <w:t>БНБ</w:t>
      </w:r>
      <w:r w:rsidR="00983B97" w:rsidRPr="00865B65">
        <w:rPr>
          <w:rFonts w:ascii="Times New Roman" w:hAnsi="Times New Roman"/>
          <w:szCs w:val="24"/>
          <w:lang w:val="bg-BG" w:eastAsia="bg-BG"/>
        </w:rPr>
        <w:t>)</w:t>
      </w:r>
      <w:r w:rsidRPr="00A305F8">
        <w:rPr>
          <w:rFonts w:ascii="Times New Roman" w:hAnsi="Times New Roman"/>
          <w:szCs w:val="24"/>
          <w:lang w:val="bg-BG" w:eastAsia="bg-BG"/>
        </w:rPr>
        <w:t xml:space="preserve"> в</w:t>
      </w:r>
      <w:r w:rsidRPr="005226ED">
        <w:rPr>
          <w:rFonts w:ascii="Times New Roman" w:hAnsi="Times New Roman"/>
          <w:szCs w:val="24"/>
          <w:lang w:val="bg-BG" w:eastAsia="bg-BG"/>
        </w:rPr>
        <w:t xml:space="preserve"> депозити с различна срочност за по-голяма диверсификация, по-добра адекватност по отношение на движението на различните лихвени индекси и възможното реализиране на по-висока доходност</w:t>
      </w:r>
      <w:r>
        <w:rPr>
          <w:rFonts w:ascii="Times New Roman" w:hAnsi="Times New Roman"/>
          <w:szCs w:val="24"/>
          <w:lang w:val="bg-BG" w:eastAsia="bg-BG"/>
        </w:rPr>
        <w:t>.</w:t>
      </w:r>
      <w:r w:rsidR="00CF0138">
        <w:rPr>
          <w:rFonts w:ascii="Times New Roman" w:hAnsi="Times New Roman"/>
          <w:szCs w:val="24"/>
          <w:lang w:val="bg-BG" w:eastAsia="bg-BG"/>
        </w:rPr>
        <w:t xml:space="preserve"> Приходите от лихви за периода </w:t>
      </w:r>
      <w:r w:rsidR="0088115C">
        <w:rPr>
          <w:rFonts w:ascii="Times New Roman" w:hAnsi="Times New Roman"/>
          <w:szCs w:val="24"/>
          <w:lang w:val="bg-BG" w:eastAsia="bg-BG"/>
        </w:rPr>
        <w:t xml:space="preserve">от 2007 г. </w:t>
      </w:r>
      <w:r w:rsidR="00CF0138">
        <w:rPr>
          <w:rFonts w:ascii="Times New Roman" w:hAnsi="Times New Roman"/>
          <w:szCs w:val="24"/>
          <w:lang w:val="bg-BG" w:eastAsia="bg-BG"/>
        </w:rPr>
        <w:t xml:space="preserve">до 2011 г. са в размер </w:t>
      </w:r>
      <w:r w:rsidR="00CF0138" w:rsidRPr="007D5C39">
        <w:rPr>
          <w:rFonts w:ascii="Times New Roman" w:hAnsi="Times New Roman"/>
          <w:szCs w:val="24"/>
          <w:lang w:val="bg-BG" w:eastAsia="bg-BG"/>
        </w:rPr>
        <w:t>на</w:t>
      </w:r>
      <w:r w:rsidR="007D5C39" w:rsidRPr="007D5C39">
        <w:rPr>
          <w:rFonts w:ascii="Times New Roman" w:hAnsi="Times New Roman"/>
          <w:szCs w:val="24"/>
          <w:lang w:val="bg-BG" w:eastAsia="bg-BG"/>
        </w:rPr>
        <w:t xml:space="preserve"> </w:t>
      </w:r>
      <w:r w:rsidR="007D5C39" w:rsidRPr="00BE28D5">
        <w:rPr>
          <w:rFonts w:ascii="Times New Roman" w:hAnsi="Times New Roman"/>
          <w:color w:val="000000"/>
          <w:szCs w:val="24"/>
          <w:lang w:val="bg-BG" w:eastAsia="bg-BG"/>
        </w:rPr>
        <w:t>43,4</w:t>
      </w:r>
      <w:r w:rsidR="00DE5820">
        <w:rPr>
          <w:rFonts w:ascii="Times New Roman" w:hAnsi="Times New Roman"/>
          <w:color w:val="000000"/>
          <w:szCs w:val="24"/>
          <w:lang w:val="bg-BG" w:eastAsia="bg-BG"/>
        </w:rPr>
        <w:t> </w:t>
      </w:r>
      <w:r w:rsidR="007D5C39" w:rsidRPr="00BE28D5">
        <w:rPr>
          <w:rFonts w:ascii="Times New Roman" w:hAnsi="Times New Roman"/>
          <w:color w:val="000000"/>
          <w:szCs w:val="24"/>
          <w:lang w:val="bg-BG" w:eastAsia="bg-BG"/>
        </w:rPr>
        <w:t>млн.</w:t>
      </w:r>
      <w:r w:rsidR="00DE5820">
        <w:rPr>
          <w:rFonts w:ascii="Times New Roman" w:hAnsi="Times New Roman"/>
          <w:color w:val="000000"/>
          <w:szCs w:val="24"/>
          <w:lang w:val="bg-BG" w:eastAsia="bg-BG"/>
        </w:rPr>
        <w:t> </w:t>
      </w:r>
      <w:r w:rsidR="007D5C39" w:rsidRPr="00BE28D5">
        <w:rPr>
          <w:rFonts w:ascii="Times New Roman" w:hAnsi="Times New Roman"/>
          <w:color w:val="000000"/>
          <w:szCs w:val="24"/>
          <w:lang w:val="bg-BG" w:eastAsia="bg-BG"/>
        </w:rPr>
        <w:t>л</w:t>
      </w:r>
      <w:r w:rsidR="007749F1">
        <w:rPr>
          <w:rFonts w:ascii="Times New Roman" w:hAnsi="Times New Roman"/>
          <w:color w:val="000000"/>
          <w:szCs w:val="24"/>
          <w:lang w:val="bg-BG" w:eastAsia="bg-BG"/>
        </w:rPr>
        <w:t>е</w:t>
      </w:r>
      <w:r w:rsidR="007D5C39" w:rsidRPr="00BE28D5">
        <w:rPr>
          <w:rFonts w:ascii="Times New Roman" w:hAnsi="Times New Roman"/>
          <w:color w:val="000000"/>
          <w:szCs w:val="24"/>
          <w:lang w:val="bg-BG" w:eastAsia="bg-BG"/>
        </w:rPr>
        <w:t>в</w:t>
      </w:r>
      <w:r w:rsidR="007749F1">
        <w:rPr>
          <w:rFonts w:ascii="Times New Roman" w:hAnsi="Times New Roman"/>
          <w:color w:val="000000"/>
          <w:szCs w:val="24"/>
          <w:lang w:val="bg-BG" w:eastAsia="bg-BG"/>
        </w:rPr>
        <w:t>а</w:t>
      </w:r>
      <w:r w:rsidR="00CF0138" w:rsidRPr="00BE28D5">
        <w:rPr>
          <w:rFonts w:ascii="Times New Roman" w:hAnsi="Times New Roman"/>
          <w:color w:val="000000"/>
          <w:szCs w:val="24"/>
          <w:lang w:val="bg-BG" w:eastAsia="bg-BG"/>
        </w:rPr>
        <w:t>.</w:t>
      </w:r>
    </w:p>
    <w:p w14:paraId="5B3F7E65" w14:textId="77777777" w:rsidR="00D846D0" w:rsidRDefault="00D846D0" w:rsidP="00983B97">
      <w:pPr>
        <w:spacing w:after="0" w:line="240" w:lineRule="auto"/>
        <w:rPr>
          <w:rFonts w:ascii="Times New Roman" w:hAnsi="Times New Roman"/>
          <w:szCs w:val="24"/>
          <w:lang w:val="bg-BG" w:eastAsia="bg-BG"/>
        </w:rPr>
      </w:pPr>
      <w:r w:rsidRPr="00EE277F">
        <w:rPr>
          <w:rFonts w:ascii="Times New Roman" w:hAnsi="Times New Roman"/>
          <w:szCs w:val="24"/>
          <w:lang w:val="bg-BG" w:eastAsia="bg-BG"/>
        </w:rPr>
        <w:t xml:space="preserve">На заседанията на </w:t>
      </w:r>
      <w:r w:rsidR="00FF5473">
        <w:rPr>
          <w:rFonts w:ascii="Times New Roman" w:hAnsi="Times New Roman"/>
          <w:szCs w:val="24"/>
          <w:lang w:val="bg-BG" w:eastAsia="bg-BG"/>
        </w:rPr>
        <w:t>управителния съвет</w:t>
      </w:r>
      <w:r w:rsidRPr="00EE277F">
        <w:rPr>
          <w:rFonts w:ascii="Times New Roman" w:hAnsi="Times New Roman"/>
          <w:szCs w:val="24"/>
          <w:lang w:val="bg-BG" w:eastAsia="bg-BG"/>
        </w:rPr>
        <w:t xml:space="preserve"> на ДФГУДПС, проведени </w:t>
      </w:r>
      <w:r w:rsidR="00B14495">
        <w:rPr>
          <w:rFonts w:ascii="Times New Roman" w:hAnsi="Times New Roman"/>
          <w:szCs w:val="24"/>
          <w:lang w:val="bg-BG" w:eastAsia="bg-BG"/>
        </w:rPr>
        <w:t>през</w:t>
      </w:r>
      <w:r w:rsidR="00682A35">
        <w:rPr>
          <w:rFonts w:ascii="Times New Roman" w:hAnsi="Times New Roman"/>
          <w:szCs w:val="24"/>
          <w:lang w:val="bg-BG" w:eastAsia="bg-BG"/>
        </w:rPr>
        <w:t xml:space="preserve"> </w:t>
      </w:r>
      <w:r w:rsidRPr="00EE277F">
        <w:rPr>
          <w:rFonts w:ascii="Times New Roman" w:hAnsi="Times New Roman"/>
          <w:szCs w:val="24"/>
          <w:lang w:val="bg-BG" w:eastAsia="bg-BG"/>
        </w:rPr>
        <w:t xml:space="preserve">2010 г., тема на задълбочени обсъждания е концептуалното изграждане на първоначална визия за </w:t>
      </w:r>
      <w:r w:rsidRPr="00C414EC">
        <w:rPr>
          <w:rFonts w:ascii="Times New Roman" w:hAnsi="Times New Roman"/>
          <w:szCs w:val="24"/>
          <w:lang w:val="bg-BG" w:eastAsia="bg-BG"/>
        </w:rPr>
        <w:t>управление</w:t>
      </w:r>
      <w:r w:rsidRPr="00EE277F">
        <w:rPr>
          <w:rFonts w:ascii="Times New Roman" w:hAnsi="Times New Roman"/>
          <w:szCs w:val="24"/>
          <w:lang w:val="bg-BG" w:eastAsia="bg-BG"/>
        </w:rPr>
        <w:t xml:space="preserve"> на акумулираните средства на </w:t>
      </w:r>
      <w:r w:rsidR="00DC2CA3">
        <w:rPr>
          <w:rFonts w:ascii="Times New Roman" w:hAnsi="Times New Roman"/>
          <w:szCs w:val="24"/>
          <w:lang w:val="bg-BG" w:eastAsia="bg-BG"/>
        </w:rPr>
        <w:t>ф</w:t>
      </w:r>
      <w:r w:rsidRPr="00EE277F">
        <w:rPr>
          <w:rFonts w:ascii="Times New Roman" w:hAnsi="Times New Roman"/>
          <w:szCs w:val="24"/>
          <w:lang w:val="bg-BG" w:eastAsia="bg-BG"/>
        </w:rPr>
        <w:t xml:space="preserve">онда. Отчитайки необходимостта от разработване на </w:t>
      </w:r>
      <w:r w:rsidRPr="00772903">
        <w:rPr>
          <w:rFonts w:ascii="Times New Roman" w:hAnsi="Times New Roman"/>
          <w:szCs w:val="24"/>
          <w:lang w:val="bg-BG" w:eastAsia="bg-BG"/>
        </w:rPr>
        <w:t>дългосрочна инвестиционна политика</w:t>
      </w:r>
      <w:r w:rsidRPr="00675967">
        <w:rPr>
          <w:rFonts w:ascii="Times New Roman" w:hAnsi="Times New Roman"/>
          <w:szCs w:val="24"/>
          <w:lang w:val="bg-BG" w:eastAsia="bg-BG"/>
        </w:rPr>
        <w:t xml:space="preserve"> и средносрочна стратегия за инвестиране </w:t>
      </w:r>
      <w:r w:rsidR="00795645">
        <w:rPr>
          <w:rFonts w:ascii="Times New Roman" w:hAnsi="Times New Roman"/>
          <w:szCs w:val="24"/>
          <w:lang w:val="bg-BG" w:eastAsia="bg-BG"/>
        </w:rPr>
        <w:t xml:space="preserve">на </w:t>
      </w:r>
      <w:r w:rsidRPr="00675967">
        <w:rPr>
          <w:rFonts w:ascii="Times New Roman" w:hAnsi="Times New Roman"/>
          <w:szCs w:val="24"/>
          <w:lang w:val="bg-BG" w:eastAsia="bg-BG"/>
        </w:rPr>
        <w:t xml:space="preserve">средствата на </w:t>
      </w:r>
      <w:r w:rsidR="00DC2CA3">
        <w:rPr>
          <w:rFonts w:ascii="Times New Roman" w:hAnsi="Times New Roman"/>
          <w:szCs w:val="24"/>
          <w:lang w:val="bg-BG" w:eastAsia="bg-BG"/>
        </w:rPr>
        <w:t>ф</w:t>
      </w:r>
      <w:r w:rsidRPr="00675967">
        <w:rPr>
          <w:rFonts w:ascii="Times New Roman" w:hAnsi="Times New Roman"/>
          <w:szCs w:val="24"/>
          <w:lang w:val="bg-BG" w:eastAsia="bg-BG"/>
        </w:rPr>
        <w:t xml:space="preserve">онда, </w:t>
      </w:r>
      <w:r w:rsidRPr="00772903">
        <w:rPr>
          <w:rFonts w:ascii="Times New Roman" w:hAnsi="Times New Roman"/>
          <w:szCs w:val="24"/>
          <w:lang w:val="bg-BG" w:eastAsia="bg-BG"/>
        </w:rPr>
        <w:t>очертаването на концептуалния подход, който да бъде заложен при разработването на визираните стратегически документи, е възприето като своеобразна гаранция, че ще бъдат</w:t>
      </w:r>
      <w:r w:rsidRPr="00675967">
        <w:rPr>
          <w:rFonts w:ascii="Times New Roman" w:hAnsi="Times New Roman"/>
          <w:szCs w:val="24"/>
          <w:lang w:val="bg-BG" w:eastAsia="bg-BG"/>
        </w:rPr>
        <w:t xml:space="preserve"> отчетени новите предизвикателства, свързани с промените в глобален и вътрешен план по отношение на инвестиционните стратегии, като пряко следствие от световната</w:t>
      </w:r>
      <w:r w:rsidRPr="00EE277F">
        <w:rPr>
          <w:rFonts w:ascii="Times New Roman" w:hAnsi="Times New Roman"/>
          <w:szCs w:val="24"/>
          <w:lang w:val="bg-BG" w:eastAsia="bg-BG"/>
        </w:rPr>
        <w:t xml:space="preserve"> финансова криза, разразила се от края на 2008 г. (т.е. в периода около приемането на ЗДФГУДПС</w:t>
      </w:r>
      <w:r w:rsidRPr="00EE277F">
        <w:rPr>
          <w:rFonts w:ascii="Times New Roman" w:hAnsi="Times New Roman"/>
          <w:szCs w:val="24"/>
          <w:vertAlign w:val="superscript"/>
          <w:lang w:val="bg-BG" w:eastAsia="bg-BG"/>
        </w:rPr>
        <w:footnoteReference w:id="1"/>
      </w:r>
      <w:r w:rsidRPr="00EE277F">
        <w:rPr>
          <w:rFonts w:ascii="Times New Roman" w:hAnsi="Times New Roman"/>
          <w:szCs w:val="24"/>
          <w:lang w:val="bg-BG" w:eastAsia="bg-BG"/>
        </w:rPr>
        <w:t>)</w:t>
      </w:r>
      <w:r>
        <w:rPr>
          <w:rFonts w:ascii="Times New Roman" w:hAnsi="Times New Roman"/>
          <w:szCs w:val="24"/>
          <w:lang w:val="bg-BG" w:eastAsia="bg-BG"/>
        </w:rPr>
        <w:t>.</w:t>
      </w:r>
    </w:p>
    <w:p w14:paraId="2DE0DCC2" w14:textId="77777777" w:rsidR="00D846D0" w:rsidRPr="00C67AF9" w:rsidRDefault="00D846D0" w:rsidP="00983B97">
      <w:pPr>
        <w:spacing w:after="0" w:line="240" w:lineRule="auto"/>
        <w:rPr>
          <w:rFonts w:ascii="Times New Roman" w:hAnsi="Times New Roman"/>
          <w:szCs w:val="24"/>
          <w:lang w:val="bg-BG" w:eastAsia="bg-BG"/>
        </w:rPr>
      </w:pPr>
      <w:r w:rsidRPr="00772903">
        <w:rPr>
          <w:rFonts w:ascii="Times New Roman" w:hAnsi="Times New Roman"/>
          <w:szCs w:val="24"/>
          <w:lang w:val="bg-BG" w:eastAsia="bg-BG"/>
        </w:rPr>
        <w:t xml:space="preserve">В пряка </w:t>
      </w:r>
      <w:proofErr w:type="spellStart"/>
      <w:r w:rsidRPr="0023310D">
        <w:rPr>
          <w:rFonts w:ascii="Times New Roman" w:hAnsi="Times New Roman"/>
          <w:szCs w:val="24"/>
          <w:lang w:val="bg-BG" w:eastAsia="bg-BG"/>
        </w:rPr>
        <w:t>взаимообвързаност</w:t>
      </w:r>
      <w:proofErr w:type="spellEnd"/>
      <w:r w:rsidRPr="00772903">
        <w:rPr>
          <w:rFonts w:ascii="Times New Roman" w:hAnsi="Times New Roman"/>
          <w:szCs w:val="24"/>
          <w:lang w:val="bg-BG" w:eastAsia="bg-BG"/>
        </w:rPr>
        <w:t xml:space="preserve"> с разглежданата проблематика </w:t>
      </w:r>
      <w:r w:rsidR="002D5B2A" w:rsidRPr="00772903">
        <w:rPr>
          <w:rFonts w:ascii="Times New Roman" w:hAnsi="Times New Roman"/>
          <w:szCs w:val="24"/>
          <w:lang w:val="bg-BG" w:eastAsia="bg-BG"/>
        </w:rPr>
        <w:t xml:space="preserve">е </w:t>
      </w:r>
      <w:r w:rsidRPr="00772903">
        <w:rPr>
          <w:rFonts w:ascii="Times New Roman" w:hAnsi="Times New Roman"/>
          <w:szCs w:val="24"/>
          <w:lang w:val="bg-BG" w:eastAsia="bg-BG"/>
        </w:rPr>
        <w:t xml:space="preserve">и </w:t>
      </w:r>
      <w:r w:rsidR="002D5B2A" w:rsidRPr="00772903">
        <w:rPr>
          <w:rFonts w:ascii="Times New Roman" w:hAnsi="Times New Roman"/>
          <w:szCs w:val="24"/>
          <w:lang w:val="bg-BG" w:eastAsia="bg-BG"/>
        </w:rPr>
        <w:t xml:space="preserve">една от </w:t>
      </w:r>
      <w:r w:rsidRPr="00772903">
        <w:rPr>
          <w:rFonts w:ascii="Times New Roman" w:hAnsi="Times New Roman"/>
          <w:szCs w:val="24"/>
          <w:lang w:val="bg-BG" w:eastAsia="bg-BG"/>
        </w:rPr>
        <w:t>одобрените от Министерския съвет</w:t>
      </w:r>
      <w:r w:rsidRPr="00772903">
        <w:rPr>
          <w:rFonts w:ascii="Times New Roman" w:hAnsi="Times New Roman"/>
          <w:szCs w:val="24"/>
          <w:vertAlign w:val="superscript"/>
          <w:lang w:val="bg-BG" w:eastAsia="bg-BG"/>
        </w:rPr>
        <w:footnoteReference w:id="2"/>
      </w:r>
      <w:r w:rsidR="00CF0138" w:rsidRPr="00772903">
        <w:rPr>
          <w:rFonts w:ascii="Times New Roman" w:hAnsi="Times New Roman"/>
          <w:szCs w:val="24"/>
          <w:lang w:val="bg-BG" w:eastAsia="bg-BG"/>
        </w:rPr>
        <w:t xml:space="preserve"> </w:t>
      </w:r>
      <w:r w:rsidRPr="00772903">
        <w:rPr>
          <w:rFonts w:ascii="Times New Roman" w:hAnsi="Times New Roman"/>
          <w:szCs w:val="24"/>
          <w:lang w:val="bg-BG" w:eastAsia="bg-BG"/>
        </w:rPr>
        <w:t>през 2010 г. мерки за подкрепа на заетостта, домакинствата, бизнеса и фискалната позиция, ко</w:t>
      </w:r>
      <w:r w:rsidR="002D5B2A" w:rsidRPr="00772903">
        <w:rPr>
          <w:rFonts w:ascii="Times New Roman" w:hAnsi="Times New Roman"/>
          <w:szCs w:val="24"/>
          <w:lang w:val="bg-BG" w:eastAsia="bg-BG"/>
        </w:rPr>
        <w:t>я</w:t>
      </w:r>
      <w:r w:rsidRPr="00772903">
        <w:rPr>
          <w:rFonts w:ascii="Times New Roman" w:hAnsi="Times New Roman"/>
          <w:szCs w:val="24"/>
          <w:lang w:val="bg-BG" w:eastAsia="bg-BG"/>
        </w:rPr>
        <w:t xml:space="preserve">то </w:t>
      </w:r>
      <w:r w:rsidRPr="00F44E77">
        <w:rPr>
          <w:rFonts w:ascii="Times New Roman" w:hAnsi="Times New Roman"/>
          <w:szCs w:val="24"/>
          <w:lang w:val="bg-BG" w:eastAsia="bg-BG"/>
        </w:rPr>
        <w:t>предвижда либерализация</w:t>
      </w:r>
      <w:r w:rsidRPr="00675967">
        <w:rPr>
          <w:rFonts w:ascii="Times New Roman" w:hAnsi="Times New Roman"/>
          <w:szCs w:val="24"/>
          <w:lang w:val="bg-BG" w:eastAsia="bg-BG"/>
        </w:rPr>
        <w:t xml:space="preserve"> на инвестиционния режим на ДФГУДПС чрез разрешаване на инвестиции в</w:t>
      </w:r>
      <w:r w:rsidRPr="000B31FF">
        <w:rPr>
          <w:rFonts w:ascii="Times New Roman" w:hAnsi="Times New Roman"/>
          <w:szCs w:val="24"/>
          <w:lang w:val="bg-BG" w:eastAsia="bg-BG"/>
        </w:rPr>
        <w:t xml:space="preserve"> нискорискови български финансови инструменти</w:t>
      </w:r>
      <w:r w:rsidRPr="000B31FF">
        <w:rPr>
          <w:rFonts w:ascii="Times New Roman" w:hAnsi="Times New Roman"/>
          <w:szCs w:val="24"/>
          <w:vertAlign w:val="superscript"/>
          <w:lang w:val="bg-BG" w:eastAsia="bg-BG"/>
        </w:rPr>
        <w:footnoteReference w:id="3"/>
      </w:r>
      <w:r w:rsidRPr="000B31FF">
        <w:rPr>
          <w:rFonts w:ascii="Times New Roman" w:hAnsi="Times New Roman"/>
          <w:szCs w:val="24"/>
          <w:lang w:val="bg-BG" w:eastAsia="bg-BG"/>
        </w:rPr>
        <w:t xml:space="preserve">. Имплементирането на визираната мярка предполага изменения в ЗДФГУДПС, и в частност на видовете активи, допустими за инвестиране </w:t>
      </w:r>
      <w:r w:rsidR="00795645">
        <w:rPr>
          <w:rFonts w:ascii="Times New Roman" w:hAnsi="Times New Roman"/>
          <w:szCs w:val="24"/>
          <w:lang w:val="bg-BG" w:eastAsia="bg-BG"/>
        </w:rPr>
        <w:t xml:space="preserve">на </w:t>
      </w:r>
      <w:r w:rsidRPr="000B31FF">
        <w:rPr>
          <w:rFonts w:ascii="Times New Roman" w:hAnsi="Times New Roman"/>
          <w:szCs w:val="24"/>
          <w:lang w:val="bg-BG" w:eastAsia="bg-BG"/>
        </w:rPr>
        <w:t xml:space="preserve">средствата на </w:t>
      </w:r>
      <w:r w:rsidR="00DC2CA3">
        <w:rPr>
          <w:rFonts w:ascii="Times New Roman" w:hAnsi="Times New Roman"/>
          <w:szCs w:val="24"/>
          <w:lang w:val="bg-BG" w:eastAsia="bg-BG"/>
        </w:rPr>
        <w:t>ф</w:t>
      </w:r>
      <w:r w:rsidRPr="000B31FF">
        <w:rPr>
          <w:rFonts w:ascii="Times New Roman" w:hAnsi="Times New Roman"/>
          <w:szCs w:val="24"/>
          <w:lang w:val="bg-BG" w:eastAsia="bg-BG"/>
        </w:rPr>
        <w:t>онда</w:t>
      </w:r>
      <w:r w:rsidRPr="00C67AF9">
        <w:rPr>
          <w:rFonts w:ascii="Times New Roman" w:hAnsi="Times New Roman"/>
          <w:szCs w:val="24"/>
          <w:lang w:val="bg-BG" w:eastAsia="bg-BG"/>
        </w:rPr>
        <w:t>.</w:t>
      </w:r>
    </w:p>
    <w:p w14:paraId="2681BFD1" w14:textId="77777777" w:rsidR="00D846D0" w:rsidRDefault="00D846D0" w:rsidP="00983B97">
      <w:pPr>
        <w:spacing w:after="0" w:line="240" w:lineRule="auto"/>
        <w:rPr>
          <w:rFonts w:ascii="Times New Roman" w:hAnsi="Times New Roman"/>
          <w:szCs w:val="24"/>
          <w:lang w:val="bg-BG" w:eastAsia="bg-BG"/>
        </w:rPr>
      </w:pPr>
      <w:r w:rsidRPr="000B31FF">
        <w:rPr>
          <w:rFonts w:ascii="Times New Roman" w:hAnsi="Times New Roman"/>
          <w:szCs w:val="24"/>
          <w:lang w:val="bg-BG" w:eastAsia="bg-BG"/>
        </w:rPr>
        <w:t xml:space="preserve">Воден от разбирането, че проблематиката за промени в инвестиционната политика на </w:t>
      </w:r>
      <w:r w:rsidR="00DC2CA3">
        <w:rPr>
          <w:rFonts w:ascii="Times New Roman" w:hAnsi="Times New Roman"/>
          <w:szCs w:val="24"/>
          <w:lang w:val="bg-BG" w:eastAsia="bg-BG"/>
        </w:rPr>
        <w:t>ф</w:t>
      </w:r>
      <w:r w:rsidRPr="000B31FF">
        <w:rPr>
          <w:rFonts w:ascii="Times New Roman" w:hAnsi="Times New Roman"/>
          <w:szCs w:val="24"/>
          <w:lang w:val="bg-BG" w:eastAsia="bg-BG"/>
        </w:rPr>
        <w:t xml:space="preserve">онда е изключително комплицирана, сложна и многоаспектна, </w:t>
      </w:r>
      <w:r w:rsidR="00FF5473">
        <w:rPr>
          <w:rFonts w:ascii="Times New Roman" w:hAnsi="Times New Roman"/>
          <w:szCs w:val="24"/>
          <w:lang w:val="bg-BG" w:eastAsia="bg-BG"/>
        </w:rPr>
        <w:t xml:space="preserve">управителният съвет </w:t>
      </w:r>
      <w:r w:rsidRPr="000B31FF">
        <w:rPr>
          <w:rFonts w:ascii="Times New Roman" w:hAnsi="Times New Roman"/>
          <w:szCs w:val="24"/>
          <w:lang w:val="bg-BG" w:eastAsia="bg-BG"/>
        </w:rPr>
        <w:t xml:space="preserve">на </w:t>
      </w:r>
      <w:r w:rsidR="00DC2CA3">
        <w:rPr>
          <w:rFonts w:ascii="Times New Roman" w:hAnsi="Times New Roman"/>
          <w:szCs w:val="24"/>
          <w:lang w:val="bg-BG" w:eastAsia="bg-BG"/>
        </w:rPr>
        <w:t>ф</w:t>
      </w:r>
      <w:r w:rsidRPr="000B31FF">
        <w:rPr>
          <w:rFonts w:ascii="Times New Roman" w:hAnsi="Times New Roman"/>
          <w:szCs w:val="24"/>
          <w:lang w:val="bg-BG" w:eastAsia="bg-BG"/>
        </w:rPr>
        <w:t xml:space="preserve">онда </w:t>
      </w:r>
      <w:r w:rsidR="00F44E77">
        <w:rPr>
          <w:rFonts w:ascii="Times New Roman" w:hAnsi="Times New Roman"/>
          <w:szCs w:val="24"/>
          <w:lang w:val="bg-BG" w:eastAsia="bg-BG"/>
        </w:rPr>
        <w:t xml:space="preserve">е </w:t>
      </w:r>
      <w:r w:rsidRPr="000B31FF">
        <w:rPr>
          <w:rFonts w:ascii="Times New Roman" w:hAnsi="Times New Roman"/>
          <w:szCs w:val="24"/>
          <w:lang w:val="bg-BG" w:eastAsia="bg-BG"/>
        </w:rPr>
        <w:t>предприе</w:t>
      </w:r>
      <w:r w:rsidR="00F44E77">
        <w:rPr>
          <w:rFonts w:ascii="Times New Roman" w:hAnsi="Times New Roman"/>
          <w:szCs w:val="24"/>
          <w:lang w:val="bg-BG" w:eastAsia="bg-BG"/>
        </w:rPr>
        <w:t>л</w:t>
      </w:r>
      <w:r w:rsidRPr="000B31FF">
        <w:rPr>
          <w:rFonts w:ascii="Times New Roman" w:hAnsi="Times New Roman"/>
          <w:szCs w:val="24"/>
          <w:lang w:val="bg-BG" w:eastAsia="bg-BG"/>
        </w:rPr>
        <w:t xml:space="preserve"> действия за създаване на екип с широко представителство на експерти от институциите, представени в </w:t>
      </w:r>
      <w:r w:rsidR="00FF5473">
        <w:rPr>
          <w:rFonts w:ascii="Times New Roman" w:hAnsi="Times New Roman"/>
          <w:szCs w:val="24"/>
          <w:lang w:val="bg-BG" w:eastAsia="bg-BG"/>
        </w:rPr>
        <w:t>управителния съвет</w:t>
      </w:r>
      <w:r w:rsidR="00011B15">
        <w:rPr>
          <w:rFonts w:ascii="Times New Roman" w:hAnsi="Times New Roman"/>
          <w:szCs w:val="24"/>
          <w:lang w:val="bg-BG" w:eastAsia="bg-BG"/>
        </w:rPr>
        <w:t>,</w:t>
      </w:r>
      <w:r w:rsidRPr="000B31FF">
        <w:rPr>
          <w:rFonts w:ascii="Times New Roman" w:hAnsi="Times New Roman"/>
          <w:szCs w:val="24"/>
          <w:lang w:val="bg-BG" w:eastAsia="bg-BG"/>
        </w:rPr>
        <w:t xml:space="preserve"> с цел изготвяне на предложения за бъдещи промени в ЗДФГУДПС. Подобни промени, обезпечавайки на първо място реализацията на основната цел на ДФГУДПС за постигане и гарантиране устойчивост на държавната пенсионна система, инкорпорира</w:t>
      </w:r>
      <w:r w:rsidR="00795645">
        <w:rPr>
          <w:rFonts w:ascii="Times New Roman" w:hAnsi="Times New Roman"/>
          <w:szCs w:val="24"/>
          <w:lang w:val="bg-BG" w:eastAsia="bg-BG"/>
        </w:rPr>
        <w:t>т</w:t>
      </w:r>
      <w:r w:rsidRPr="000B31FF">
        <w:rPr>
          <w:rFonts w:ascii="Times New Roman" w:hAnsi="Times New Roman"/>
          <w:szCs w:val="24"/>
          <w:lang w:val="bg-BG" w:eastAsia="bg-BG"/>
        </w:rPr>
        <w:t xml:space="preserve"> в себе си и такива за насърчаване възможностите за инвестиции в страната, с цел подпомагане политиката за развитие на българската икономика. Не на последно място, едни бъдещи изменения </w:t>
      </w:r>
      <w:r w:rsidR="00F44E77">
        <w:rPr>
          <w:rFonts w:ascii="Times New Roman" w:hAnsi="Times New Roman"/>
          <w:szCs w:val="24"/>
          <w:lang w:val="bg-BG" w:eastAsia="bg-BG"/>
        </w:rPr>
        <w:t xml:space="preserve">е </w:t>
      </w:r>
      <w:r w:rsidRPr="000B31FF">
        <w:rPr>
          <w:rFonts w:ascii="Times New Roman" w:hAnsi="Times New Roman"/>
          <w:szCs w:val="24"/>
          <w:lang w:val="bg-BG" w:eastAsia="bg-BG"/>
        </w:rPr>
        <w:t>следва</w:t>
      </w:r>
      <w:r w:rsidR="00F44E77">
        <w:rPr>
          <w:rFonts w:ascii="Times New Roman" w:hAnsi="Times New Roman"/>
          <w:szCs w:val="24"/>
          <w:lang w:val="bg-BG" w:eastAsia="bg-BG"/>
        </w:rPr>
        <w:t>ло</w:t>
      </w:r>
      <w:r w:rsidRPr="000B31FF">
        <w:rPr>
          <w:rFonts w:ascii="Times New Roman" w:hAnsi="Times New Roman"/>
          <w:szCs w:val="24"/>
          <w:lang w:val="bg-BG" w:eastAsia="bg-BG"/>
        </w:rPr>
        <w:t xml:space="preserve"> да отчитат мащабите и ликвидността на местния капиталов пазар и влиянието при инвестирането на значителни по своя размер средства върху пазара</w:t>
      </w:r>
      <w:r>
        <w:rPr>
          <w:rFonts w:ascii="Times New Roman" w:hAnsi="Times New Roman"/>
          <w:szCs w:val="24"/>
          <w:lang w:val="bg-BG" w:eastAsia="bg-BG"/>
        </w:rPr>
        <w:t>.</w:t>
      </w:r>
    </w:p>
    <w:p w14:paraId="5AA87763" w14:textId="77777777" w:rsidR="00D846D0" w:rsidRDefault="00D846D0" w:rsidP="00983B97">
      <w:pPr>
        <w:spacing w:after="0" w:line="240" w:lineRule="auto"/>
        <w:rPr>
          <w:rFonts w:ascii="Times New Roman" w:hAnsi="Times New Roman"/>
          <w:szCs w:val="24"/>
          <w:lang w:val="bg-BG" w:eastAsia="bg-BG"/>
        </w:rPr>
      </w:pPr>
      <w:r>
        <w:rPr>
          <w:rFonts w:ascii="Times New Roman" w:hAnsi="Times New Roman"/>
          <w:szCs w:val="24"/>
          <w:lang w:val="bg-BG" w:eastAsia="bg-BG"/>
        </w:rPr>
        <w:t>Законоп</w:t>
      </w:r>
      <w:r w:rsidRPr="00CA70F0">
        <w:rPr>
          <w:rFonts w:ascii="Times New Roman" w:hAnsi="Times New Roman"/>
          <w:szCs w:val="24"/>
          <w:lang w:val="bg-BG" w:eastAsia="bg-BG"/>
        </w:rPr>
        <w:t>роектът</w:t>
      </w:r>
      <w:r w:rsidRPr="00C67AF9">
        <w:rPr>
          <w:lang w:val="bg-BG"/>
        </w:rPr>
        <w:t xml:space="preserve"> </w:t>
      </w:r>
      <w:r w:rsidR="00083AFC" w:rsidRPr="00C0006D">
        <w:rPr>
          <w:rFonts w:ascii="Times New Roman" w:hAnsi="Times New Roman"/>
          <w:szCs w:val="24"/>
          <w:lang w:val="bg-BG" w:eastAsia="bg-BG"/>
        </w:rPr>
        <w:t>з</w:t>
      </w:r>
      <w:r w:rsidRPr="00051CD9">
        <w:rPr>
          <w:rFonts w:ascii="Times New Roman" w:hAnsi="Times New Roman"/>
          <w:szCs w:val="24"/>
          <w:lang w:val="bg-BG" w:eastAsia="bg-BG"/>
        </w:rPr>
        <w:t>а изменение и допълнение на ЗДФГУДПС</w:t>
      </w:r>
      <w:r w:rsidRPr="00CA70F0">
        <w:rPr>
          <w:rFonts w:ascii="Times New Roman" w:hAnsi="Times New Roman"/>
          <w:szCs w:val="24"/>
          <w:lang w:val="bg-BG" w:eastAsia="bg-BG"/>
        </w:rPr>
        <w:t xml:space="preserve"> е подготвен при активното съдействие на представители на Българската асоциация на лицензираните инвестиционни посредници и експерти при Българска фондова борса</w:t>
      </w:r>
      <w:r w:rsidR="00676391">
        <w:rPr>
          <w:rFonts w:ascii="Times New Roman" w:hAnsi="Times New Roman"/>
          <w:szCs w:val="24"/>
          <w:lang w:val="bg-BG" w:eastAsia="bg-BG"/>
        </w:rPr>
        <w:t xml:space="preserve"> </w:t>
      </w:r>
      <w:r w:rsidRPr="00CA70F0">
        <w:rPr>
          <w:rFonts w:ascii="Times New Roman" w:hAnsi="Times New Roman"/>
          <w:szCs w:val="24"/>
          <w:lang w:val="bg-BG" w:eastAsia="bg-BG"/>
        </w:rPr>
        <w:t>-</w:t>
      </w:r>
      <w:r w:rsidR="00676391">
        <w:rPr>
          <w:rFonts w:ascii="Times New Roman" w:hAnsi="Times New Roman"/>
          <w:szCs w:val="24"/>
          <w:lang w:val="bg-BG" w:eastAsia="bg-BG"/>
        </w:rPr>
        <w:t xml:space="preserve"> </w:t>
      </w:r>
      <w:r w:rsidRPr="00CA70F0">
        <w:rPr>
          <w:rFonts w:ascii="Times New Roman" w:hAnsi="Times New Roman"/>
          <w:szCs w:val="24"/>
          <w:lang w:val="bg-BG" w:eastAsia="bg-BG"/>
        </w:rPr>
        <w:t xml:space="preserve">София АД. При изготвянето на измененията е отчетена правната регламентация на фондовете за допълнително задължително пенсионно осигуряване (Кодекс за социално </w:t>
      </w:r>
      <w:r w:rsidRPr="001D6582">
        <w:rPr>
          <w:rFonts w:ascii="Times New Roman" w:hAnsi="Times New Roman"/>
          <w:szCs w:val="24"/>
          <w:lang w:val="bg-BG" w:eastAsia="bg-BG"/>
        </w:rPr>
        <w:t>осигуряване,</w:t>
      </w:r>
      <w:r w:rsidR="00385707">
        <w:rPr>
          <w:rFonts w:ascii="Times New Roman" w:hAnsi="Times New Roman"/>
          <w:szCs w:val="24"/>
          <w:lang w:val="bg-BG" w:eastAsia="bg-BG"/>
        </w:rPr>
        <w:t> </w:t>
      </w:r>
      <w:r w:rsidRPr="00960A2D">
        <w:rPr>
          <w:rFonts w:ascii="Times New Roman" w:hAnsi="Times New Roman"/>
          <w:szCs w:val="24"/>
          <w:lang w:val="bg-BG" w:eastAsia="bg-BG"/>
        </w:rPr>
        <w:t>КСО</w:t>
      </w:r>
      <w:r w:rsidRPr="00A305F8">
        <w:rPr>
          <w:rFonts w:ascii="Times New Roman" w:hAnsi="Times New Roman"/>
          <w:szCs w:val="24"/>
          <w:lang w:val="bg-BG" w:eastAsia="bg-BG"/>
        </w:rPr>
        <w:t>), тъй</w:t>
      </w:r>
      <w:r w:rsidRPr="00CA70F0">
        <w:rPr>
          <w:rFonts w:ascii="Times New Roman" w:hAnsi="Times New Roman"/>
          <w:szCs w:val="24"/>
          <w:lang w:val="bg-BG" w:eastAsia="bg-BG"/>
        </w:rPr>
        <w:t xml:space="preserve"> като пенсионните фондове като част от пенсионно-осигурителната система, се подчиняват на сходни инвестиционни ограничения, характерни и за дейността на ДФГУДПС. Предложените промени </w:t>
      </w:r>
      <w:r w:rsidR="00F44E77">
        <w:rPr>
          <w:rFonts w:ascii="Times New Roman" w:hAnsi="Times New Roman"/>
          <w:szCs w:val="24"/>
          <w:lang w:val="bg-BG" w:eastAsia="bg-BG"/>
        </w:rPr>
        <w:t>са</w:t>
      </w:r>
      <w:r w:rsidRPr="00CA70F0">
        <w:rPr>
          <w:rFonts w:ascii="Times New Roman" w:hAnsi="Times New Roman"/>
          <w:szCs w:val="24"/>
          <w:lang w:val="bg-BG" w:eastAsia="bg-BG"/>
        </w:rPr>
        <w:t xml:space="preserve"> </w:t>
      </w:r>
      <w:proofErr w:type="spellStart"/>
      <w:r>
        <w:rPr>
          <w:rFonts w:ascii="Times New Roman" w:hAnsi="Times New Roman"/>
          <w:szCs w:val="24"/>
          <w:lang w:val="bg-BG" w:eastAsia="bg-BG"/>
        </w:rPr>
        <w:t>взаимствани</w:t>
      </w:r>
      <w:proofErr w:type="spellEnd"/>
      <w:r>
        <w:rPr>
          <w:rFonts w:ascii="Times New Roman" w:hAnsi="Times New Roman"/>
          <w:szCs w:val="24"/>
          <w:lang w:val="bg-BG" w:eastAsia="bg-BG"/>
        </w:rPr>
        <w:t xml:space="preserve"> и от</w:t>
      </w:r>
      <w:r w:rsidRPr="00CA70F0">
        <w:rPr>
          <w:rFonts w:ascii="Times New Roman" w:hAnsi="Times New Roman"/>
          <w:szCs w:val="24"/>
          <w:lang w:val="bg-BG" w:eastAsia="bg-BG"/>
        </w:rPr>
        <w:t xml:space="preserve"> практиките, наложени по </w:t>
      </w:r>
      <w:r w:rsidRPr="00CA70F0">
        <w:rPr>
          <w:rFonts w:ascii="Times New Roman" w:hAnsi="Times New Roman"/>
          <w:szCs w:val="24"/>
          <w:lang w:val="bg-BG" w:eastAsia="bg-BG"/>
        </w:rPr>
        <w:lastRenderedPageBreak/>
        <w:t>отношение управлението и инвестирането на средствата, акумулирани от държавни резервни пенсионни фондове (</w:t>
      </w:r>
      <w:proofErr w:type="spellStart"/>
      <w:r w:rsidRPr="00CA70F0">
        <w:rPr>
          <w:rFonts w:ascii="Times New Roman" w:hAnsi="Times New Roman"/>
          <w:szCs w:val="24"/>
          <w:lang w:val="bg-BG" w:eastAsia="bg-BG"/>
        </w:rPr>
        <w:t>Sovereign</w:t>
      </w:r>
      <w:proofErr w:type="spellEnd"/>
      <w:r w:rsidR="00EE2E94">
        <w:rPr>
          <w:rFonts w:ascii="Times New Roman" w:hAnsi="Times New Roman"/>
          <w:szCs w:val="24"/>
          <w:lang w:val="bg-BG" w:eastAsia="bg-BG"/>
        </w:rPr>
        <w:t xml:space="preserve"> </w:t>
      </w:r>
      <w:proofErr w:type="spellStart"/>
      <w:r w:rsidRPr="00CA70F0">
        <w:rPr>
          <w:rFonts w:ascii="Times New Roman" w:hAnsi="Times New Roman"/>
          <w:szCs w:val="24"/>
          <w:lang w:val="bg-BG" w:eastAsia="bg-BG"/>
        </w:rPr>
        <w:t>Pension</w:t>
      </w:r>
      <w:proofErr w:type="spellEnd"/>
      <w:r w:rsidR="00EE2E94">
        <w:rPr>
          <w:rFonts w:ascii="Times New Roman" w:hAnsi="Times New Roman"/>
          <w:szCs w:val="24"/>
          <w:lang w:val="bg-BG" w:eastAsia="bg-BG"/>
        </w:rPr>
        <w:t xml:space="preserve"> </w:t>
      </w:r>
      <w:proofErr w:type="spellStart"/>
      <w:r w:rsidRPr="00CA70F0">
        <w:rPr>
          <w:rFonts w:ascii="Times New Roman" w:hAnsi="Times New Roman"/>
          <w:szCs w:val="24"/>
          <w:lang w:val="bg-BG" w:eastAsia="bg-BG"/>
        </w:rPr>
        <w:t>Reserve</w:t>
      </w:r>
      <w:proofErr w:type="spellEnd"/>
      <w:r w:rsidR="00EE2E94">
        <w:rPr>
          <w:rFonts w:ascii="Times New Roman" w:hAnsi="Times New Roman"/>
          <w:szCs w:val="24"/>
          <w:lang w:val="bg-BG" w:eastAsia="bg-BG"/>
        </w:rPr>
        <w:t xml:space="preserve"> </w:t>
      </w:r>
      <w:proofErr w:type="spellStart"/>
      <w:r w:rsidRPr="00CA70F0">
        <w:rPr>
          <w:rFonts w:ascii="Times New Roman" w:hAnsi="Times New Roman"/>
          <w:szCs w:val="24"/>
          <w:lang w:val="bg-BG" w:eastAsia="bg-BG"/>
        </w:rPr>
        <w:t>Fund</w:t>
      </w:r>
      <w:proofErr w:type="spellEnd"/>
      <w:r w:rsidRPr="00CA70F0">
        <w:rPr>
          <w:rFonts w:ascii="Times New Roman" w:hAnsi="Times New Roman"/>
          <w:szCs w:val="24"/>
          <w:lang w:val="bg-BG" w:eastAsia="bg-BG"/>
        </w:rPr>
        <w:t>, SPRF), към групата на които принадлежи и ДФГУДПС.</w:t>
      </w:r>
    </w:p>
    <w:p w14:paraId="0BF8EF3A" w14:textId="77777777" w:rsidR="00D846D0" w:rsidRPr="00C46C85" w:rsidRDefault="00D846D0" w:rsidP="00983B97">
      <w:pPr>
        <w:spacing w:after="0" w:line="240" w:lineRule="auto"/>
        <w:rPr>
          <w:rFonts w:ascii="Times New Roman" w:hAnsi="Times New Roman"/>
          <w:szCs w:val="24"/>
          <w:lang w:val="bg-BG" w:eastAsia="bg-BG"/>
        </w:rPr>
      </w:pPr>
      <w:r w:rsidRPr="00C46C85">
        <w:rPr>
          <w:rFonts w:ascii="Times New Roman" w:hAnsi="Times New Roman"/>
          <w:szCs w:val="24"/>
          <w:lang w:val="bg-BG" w:eastAsia="bg-BG"/>
        </w:rPr>
        <w:t>Основните промени</w:t>
      </w:r>
      <w:r>
        <w:rPr>
          <w:rFonts w:ascii="Times New Roman" w:hAnsi="Times New Roman"/>
          <w:szCs w:val="24"/>
          <w:lang w:val="bg-BG" w:eastAsia="bg-BG"/>
        </w:rPr>
        <w:t>, предложени с проекта на З</w:t>
      </w:r>
      <w:r w:rsidR="00FF1A23">
        <w:rPr>
          <w:rFonts w:ascii="Times New Roman" w:hAnsi="Times New Roman"/>
          <w:szCs w:val="24"/>
          <w:lang w:val="bg-BG" w:eastAsia="bg-BG"/>
        </w:rPr>
        <w:t xml:space="preserve">акон за изменение и допълнение </w:t>
      </w:r>
      <w:r w:rsidR="00FF1A23" w:rsidRPr="00865B65">
        <w:rPr>
          <w:rFonts w:ascii="Times New Roman" w:hAnsi="Times New Roman"/>
          <w:szCs w:val="24"/>
          <w:lang w:val="bg-BG" w:eastAsia="bg-BG"/>
        </w:rPr>
        <w:t>(</w:t>
      </w:r>
      <w:r w:rsidR="00FF1A23">
        <w:rPr>
          <w:rFonts w:ascii="Times New Roman" w:hAnsi="Times New Roman"/>
          <w:szCs w:val="24"/>
          <w:lang w:val="bg-BG" w:eastAsia="bg-BG"/>
        </w:rPr>
        <w:t>З</w:t>
      </w:r>
      <w:r>
        <w:rPr>
          <w:rFonts w:ascii="Times New Roman" w:hAnsi="Times New Roman"/>
          <w:szCs w:val="24"/>
          <w:lang w:val="bg-BG" w:eastAsia="bg-BG"/>
        </w:rPr>
        <w:t>ИД</w:t>
      </w:r>
      <w:r w:rsidR="00FF1A23" w:rsidRPr="00865B65">
        <w:rPr>
          <w:rFonts w:ascii="Times New Roman" w:hAnsi="Times New Roman"/>
          <w:szCs w:val="24"/>
          <w:lang w:val="bg-BG" w:eastAsia="bg-BG"/>
        </w:rPr>
        <w:t>)</w:t>
      </w:r>
      <w:r>
        <w:rPr>
          <w:rFonts w:ascii="Times New Roman" w:hAnsi="Times New Roman"/>
          <w:szCs w:val="24"/>
          <w:lang w:val="bg-BG" w:eastAsia="bg-BG"/>
        </w:rPr>
        <w:t xml:space="preserve"> на З</w:t>
      </w:r>
      <w:r w:rsidRPr="00CA70F0">
        <w:rPr>
          <w:rFonts w:ascii="Times New Roman" w:hAnsi="Times New Roman"/>
          <w:szCs w:val="24"/>
          <w:lang w:val="bg-BG" w:eastAsia="bg-BG"/>
        </w:rPr>
        <w:t>ДФГУДПС</w:t>
      </w:r>
      <w:r>
        <w:rPr>
          <w:rFonts w:ascii="Times New Roman" w:hAnsi="Times New Roman"/>
          <w:szCs w:val="24"/>
          <w:lang w:val="bg-BG" w:eastAsia="bg-BG"/>
        </w:rPr>
        <w:t>, одобрен от Министерския съвет на 12 април 2012 г. (РМС №</w:t>
      </w:r>
      <w:r w:rsidR="00291685">
        <w:rPr>
          <w:rFonts w:ascii="Times New Roman" w:hAnsi="Times New Roman"/>
          <w:szCs w:val="24"/>
          <w:lang w:val="bg-BG" w:eastAsia="bg-BG"/>
        </w:rPr>
        <w:t> </w:t>
      </w:r>
      <w:r>
        <w:rPr>
          <w:rFonts w:ascii="Times New Roman" w:hAnsi="Times New Roman"/>
          <w:szCs w:val="24"/>
          <w:lang w:val="bg-BG" w:eastAsia="bg-BG"/>
        </w:rPr>
        <w:t xml:space="preserve">293/12.04.2012), </w:t>
      </w:r>
      <w:r w:rsidR="00F44E77">
        <w:rPr>
          <w:rFonts w:ascii="Times New Roman" w:hAnsi="Times New Roman"/>
          <w:szCs w:val="24"/>
          <w:lang w:val="bg-BG" w:eastAsia="bg-BG"/>
        </w:rPr>
        <w:t>са били</w:t>
      </w:r>
      <w:r w:rsidR="002D5B2A">
        <w:rPr>
          <w:rFonts w:ascii="Times New Roman" w:hAnsi="Times New Roman"/>
          <w:szCs w:val="24"/>
          <w:lang w:val="bg-BG" w:eastAsia="bg-BG"/>
        </w:rPr>
        <w:t xml:space="preserve"> </w:t>
      </w:r>
      <w:r w:rsidRPr="00C46C85">
        <w:rPr>
          <w:rFonts w:ascii="Times New Roman" w:hAnsi="Times New Roman"/>
          <w:szCs w:val="24"/>
          <w:lang w:val="bg-BG" w:eastAsia="bg-BG"/>
        </w:rPr>
        <w:t>насочени към:</w:t>
      </w:r>
    </w:p>
    <w:p w14:paraId="67FE4AE0" w14:textId="77777777" w:rsidR="00D846D0" w:rsidRPr="00C0006D" w:rsidRDefault="00D846D0" w:rsidP="00323589">
      <w:pPr>
        <w:pStyle w:val="ListParagraph"/>
        <w:numPr>
          <w:ilvl w:val="0"/>
          <w:numId w:val="18"/>
        </w:numPr>
        <w:spacing w:after="0" w:line="240" w:lineRule="auto"/>
        <w:ind w:left="851" w:hanging="131"/>
        <w:rPr>
          <w:rFonts w:ascii="Times New Roman" w:hAnsi="Times New Roman"/>
          <w:szCs w:val="24"/>
          <w:lang w:val="bg-BG" w:eastAsia="bg-BG"/>
        </w:rPr>
      </w:pPr>
      <w:r w:rsidRPr="00C0006D">
        <w:rPr>
          <w:rFonts w:ascii="Times New Roman" w:hAnsi="Times New Roman"/>
          <w:szCs w:val="24"/>
          <w:lang w:val="bg-BG" w:eastAsia="bg-BG"/>
        </w:rPr>
        <w:t>Разширяване на инвестиционните възможности</w:t>
      </w:r>
      <w:r w:rsidR="009461FD">
        <w:rPr>
          <w:rFonts w:ascii="Times New Roman" w:hAnsi="Times New Roman"/>
          <w:szCs w:val="24"/>
          <w:lang w:val="en-US" w:eastAsia="bg-BG"/>
        </w:rPr>
        <w:t>:</w:t>
      </w:r>
    </w:p>
    <w:p w14:paraId="218B662B" w14:textId="77777777" w:rsidR="00D846D0" w:rsidRPr="00FC04EF" w:rsidRDefault="00D846D0" w:rsidP="00983B97">
      <w:pPr>
        <w:spacing w:after="0" w:line="240" w:lineRule="auto"/>
        <w:rPr>
          <w:rFonts w:ascii="Times New Roman" w:hAnsi="Times New Roman"/>
          <w:szCs w:val="24"/>
          <w:lang w:val="bg-BG" w:eastAsia="bg-BG"/>
        </w:rPr>
      </w:pPr>
      <w:r w:rsidRPr="00ED5F27">
        <w:rPr>
          <w:rFonts w:ascii="Times New Roman" w:hAnsi="Times New Roman"/>
          <w:szCs w:val="24"/>
          <w:lang w:val="bg-BG" w:eastAsia="bg-BG"/>
        </w:rPr>
        <w:t xml:space="preserve">Предложенията за усъвършенстване на инвестиционните регулации </w:t>
      </w:r>
      <w:r w:rsidR="00F44E77">
        <w:rPr>
          <w:rFonts w:ascii="Times New Roman" w:hAnsi="Times New Roman"/>
          <w:szCs w:val="24"/>
          <w:lang w:val="bg-BG" w:eastAsia="bg-BG"/>
        </w:rPr>
        <w:t xml:space="preserve">са </w:t>
      </w:r>
      <w:r w:rsidR="00CF0138" w:rsidRPr="00ED5F27">
        <w:rPr>
          <w:rFonts w:ascii="Times New Roman" w:hAnsi="Times New Roman"/>
          <w:szCs w:val="24"/>
          <w:lang w:val="bg-BG" w:eastAsia="bg-BG"/>
        </w:rPr>
        <w:t>предвижда</w:t>
      </w:r>
      <w:r w:rsidR="00F44E77">
        <w:rPr>
          <w:rFonts w:ascii="Times New Roman" w:hAnsi="Times New Roman"/>
          <w:szCs w:val="24"/>
          <w:lang w:val="bg-BG" w:eastAsia="bg-BG"/>
        </w:rPr>
        <w:t>ли</w:t>
      </w:r>
      <w:r w:rsidR="00CF0138" w:rsidRPr="00ED5F27">
        <w:rPr>
          <w:rFonts w:ascii="Times New Roman" w:hAnsi="Times New Roman"/>
          <w:szCs w:val="24"/>
          <w:lang w:val="bg-BG" w:eastAsia="bg-BG"/>
        </w:rPr>
        <w:t xml:space="preserve"> </w:t>
      </w:r>
      <w:r w:rsidRPr="00ED5F27">
        <w:rPr>
          <w:rFonts w:ascii="Times New Roman" w:hAnsi="Times New Roman"/>
          <w:szCs w:val="24"/>
          <w:lang w:val="bg-BG" w:eastAsia="bg-BG"/>
        </w:rPr>
        <w:t>предоставя</w:t>
      </w:r>
      <w:r w:rsidR="00CF0138" w:rsidRPr="00ED5F27">
        <w:rPr>
          <w:rFonts w:ascii="Times New Roman" w:hAnsi="Times New Roman"/>
          <w:szCs w:val="24"/>
          <w:lang w:val="bg-BG" w:eastAsia="bg-BG"/>
        </w:rPr>
        <w:t>не на</w:t>
      </w:r>
      <w:r w:rsidRPr="00ED5F27">
        <w:rPr>
          <w:rFonts w:ascii="Times New Roman" w:hAnsi="Times New Roman"/>
          <w:szCs w:val="24"/>
          <w:lang w:val="bg-BG" w:eastAsia="bg-BG"/>
        </w:rPr>
        <w:t xml:space="preserve"> възможност за по-широка диверсификация на портфейла на териториален признак. </w:t>
      </w:r>
      <w:r w:rsidR="00CF0138" w:rsidRPr="00ED5F27">
        <w:rPr>
          <w:rFonts w:ascii="Times New Roman" w:hAnsi="Times New Roman"/>
          <w:szCs w:val="24"/>
          <w:lang w:val="bg-BG" w:eastAsia="bg-BG"/>
        </w:rPr>
        <w:t>Предложено е в</w:t>
      </w:r>
      <w:r w:rsidRPr="00ED5F27">
        <w:rPr>
          <w:rFonts w:ascii="Times New Roman" w:hAnsi="Times New Roman"/>
          <w:szCs w:val="24"/>
          <w:lang w:val="bg-BG" w:eastAsia="bg-BG"/>
        </w:rPr>
        <w:t>ъвежда</w:t>
      </w:r>
      <w:r w:rsidR="00CF0138" w:rsidRPr="00ED5F27">
        <w:rPr>
          <w:rFonts w:ascii="Times New Roman" w:hAnsi="Times New Roman"/>
          <w:szCs w:val="24"/>
          <w:lang w:val="bg-BG" w:eastAsia="bg-BG"/>
        </w:rPr>
        <w:t>не</w:t>
      </w:r>
      <w:r w:rsidR="001D5810" w:rsidRPr="00ED5F27">
        <w:rPr>
          <w:rFonts w:ascii="Times New Roman" w:hAnsi="Times New Roman"/>
          <w:szCs w:val="24"/>
          <w:lang w:val="bg-BG" w:eastAsia="bg-BG"/>
        </w:rPr>
        <w:t xml:space="preserve"> на</w:t>
      </w:r>
      <w:r w:rsidRPr="00ED5F27">
        <w:rPr>
          <w:rFonts w:ascii="Times New Roman" w:hAnsi="Times New Roman"/>
          <w:szCs w:val="24"/>
          <w:lang w:val="bg-BG" w:eastAsia="bg-BG"/>
        </w:rPr>
        <w:t xml:space="preserve"> възможност ДФГУДПС да придобива финансови инструменти</w:t>
      </w:r>
      <w:r w:rsidR="00B95BDF" w:rsidRPr="00ED5F27">
        <w:rPr>
          <w:rFonts w:ascii="Times New Roman" w:hAnsi="Times New Roman"/>
          <w:szCs w:val="24"/>
          <w:lang w:val="bg-BG" w:eastAsia="bg-BG"/>
        </w:rPr>
        <w:t>,</w:t>
      </w:r>
      <w:r w:rsidRPr="00ED5F27">
        <w:rPr>
          <w:rFonts w:ascii="Times New Roman" w:hAnsi="Times New Roman"/>
          <w:szCs w:val="24"/>
          <w:lang w:val="bg-BG" w:eastAsia="bg-BG"/>
        </w:rPr>
        <w:t xml:space="preserve"> издадени от български емитенти, в това число и от българската държава. </w:t>
      </w:r>
      <w:r w:rsidR="004E2EEF" w:rsidRPr="00ED5F27">
        <w:rPr>
          <w:rFonts w:ascii="Times New Roman" w:hAnsi="Times New Roman"/>
          <w:szCs w:val="24"/>
          <w:lang w:val="bg-BG" w:eastAsia="bg-BG"/>
        </w:rPr>
        <w:t>В</w:t>
      </w:r>
      <w:r w:rsidRPr="00ED5F27">
        <w:rPr>
          <w:rFonts w:ascii="Times New Roman" w:hAnsi="Times New Roman"/>
          <w:szCs w:val="24"/>
          <w:lang w:val="bg-BG" w:eastAsia="bg-BG"/>
        </w:rPr>
        <w:t xml:space="preserve"> случай, че </w:t>
      </w:r>
      <w:r w:rsidR="004E2EEF" w:rsidRPr="00ED5F27">
        <w:rPr>
          <w:rFonts w:ascii="Times New Roman" w:hAnsi="Times New Roman"/>
          <w:szCs w:val="24"/>
          <w:lang w:val="bg-BG" w:eastAsia="bg-BG"/>
        </w:rPr>
        <w:t xml:space="preserve">се използва </w:t>
      </w:r>
      <w:r w:rsidRPr="00ED5F27">
        <w:rPr>
          <w:rFonts w:ascii="Times New Roman" w:hAnsi="Times New Roman"/>
          <w:szCs w:val="24"/>
          <w:lang w:val="bg-BG" w:eastAsia="bg-BG"/>
        </w:rPr>
        <w:t xml:space="preserve">възможността за инвестиции в български </w:t>
      </w:r>
      <w:r w:rsidR="00FF1A23">
        <w:rPr>
          <w:rFonts w:ascii="Times New Roman" w:hAnsi="Times New Roman"/>
          <w:szCs w:val="24"/>
          <w:lang w:val="bg-BG" w:eastAsia="bg-BG"/>
        </w:rPr>
        <w:t>държавни ценни книжа</w:t>
      </w:r>
      <w:r w:rsidRPr="00ED5F27">
        <w:rPr>
          <w:rFonts w:ascii="Times New Roman" w:hAnsi="Times New Roman"/>
          <w:szCs w:val="24"/>
          <w:lang w:val="bg-BG" w:eastAsia="bg-BG"/>
        </w:rPr>
        <w:t xml:space="preserve">, </w:t>
      </w:r>
      <w:r w:rsidR="004E2EEF" w:rsidRPr="00ED5F27">
        <w:rPr>
          <w:rFonts w:ascii="Times New Roman" w:hAnsi="Times New Roman"/>
          <w:szCs w:val="24"/>
          <w:lang w:val="bg-BG" w:eastAsia="bg-BG"/>
        </w:rPr>
        <w:t xml:space="preserve">се </w:t>
      </w:r>
      <w:r w:rsidR="00F44E77">
        <w:rPr>
          <w:rFonts w:ascii="Times New Roman" w:hAnsi="Times New Roman"/>
          <w:szCs w:val="24"/>
          <w:lang w:val="bg-BG" w:eastAsia="bg-BG"/>
        </w:rPr>
        <w:t xml:space="preserve">е </w:t>
      </w:r>
      <w:r w:rsidR="004E2EEF" w:rsidRPr="00ED5F27">
        <w:rPr>
          <w:rFonts w:ascii="Times New Roman" w:hAnsi="Times New Roman"/>
          <w:szCs w:val="24"/>
          <w:lang w:val="bg-BG" w:eastAsia="bg-BG"/>
        </w:rPr>
        <w:t>предвижда</w:t>
      </w:r>
      <w:r w:rsidR="00F44E77">
        <w:rPr>
          <w:rFonts w:ascii="Times New Roman" w:hAnsi="Times New Roman"/>
          <w:szCs w:val="24"/>
          <w:lang w:val="bg-BG" w:eastAsia="bg-BG"/>
        </w:rPr>
        <w:t>ло</w:t>
      </w:r>
      <w:r w:rsidR="004E2EEF" w:rsidRPr="00ED5F27">
        <w:rPr>
          <w:rFonts w:ascii="Times New Roman" w:hAnsi="Times New Roman"/>
          <w:szCs w:val="24"/>
          <w:lang w:val="bg-BG" w:eastAsia="bg-BG"/>
        </w:rPr>
        <w:t xml:space="preserve"> същите</w:t>
      </w:r>
      <w:r w:rsidRPr="00ED5F27">
        <w:rPr>
          <w:rFonts w:ascii="Times New Roman" w:hAnsi="Times New Roman"/>
          <w:szCs w:val="24"/>
          <w:lang w:val="bg-BG" w:eastAsia="bg-BG"/>
        </w:rPr>
        <w:t xml:space="preserve"> да бъдат извършвани поетапно чрез 10%-</w:t>
      </w:r>
      <w:proofErr w:type="spellStart"/>
      <w:r w:rsidRPr="00ED5F27">
        <w:rPr>
          <w:rFonts w:ascii="Times New Roman" w:hAnsi="Times New Roman"/>
          <w:szCs w:val="24"/>
          <w:lang w:val="bg-BG" w:eastAsia="bg-BG"/>
        </w:rPr>
        <w:t>тно</w:t>
      </w:r>
      <w:proofErr w:type="spellEnd"/>
      <w:r w:rsidRPr="00ED5F27">
        <w:rPr>
          <w:rFonts w:ascii="Times New Roman" w:hAnsi="Times New Roman"/>
          <w:szCs w:val="24"/>
          <w:lang w:val="bg-BG" w:eastAsia="bg-BG"/>
        </w:rPr>
        <w:t xml:space="preserve"> стъпаловидно увеличение за всяка следваща година, но не повече от 70</w:t>
      </w:r>
      <w:r w:rsidRPr="00FC04EF">
        <w:rPr>
          <w:rFonts w:ascii="Times New Roman" w:hAnsi="Times New Roman"/>
          <w:szCs w:val="24"/>
          <w:lang w:val="bg-BG" w:eastAsia="bg-BG"/>
        </w:rPr>
        <w:t xml:space="preserve">% от активите на </w:t>
      </w:r>
      <w:r w:rsidR="00EF728C">
        <w:rPr>
          <w:rFonts w:ascii="Times New Roman" w:hAnsi="Times New Roman"/>
          <w:szCs w:val="24"/>
          <w:lang w:val="bg-BG" w:eastAsia="bg-BG"/>
        </w:rPr>
        <w:t>ф</w:t>
      </w:r>
      <w:r w:rsidRPr="00FC04EF">
        <w:rPr>
          <w:rFonts w:ascii="Times New Roman" w:hAnsi="Times New Roman"/>
          <w:szCs w:val="24"/>
          <w:lang w:val="bg-BG" w:eastAsia="bg-BG"/>
        </w:rPr>
        <w:t>онда</w:t>
      </w:r>
      <w:r w:rsidR="00CF0138">
        <w:rPr>
          <w:rFonts w:ascii="Times New Roman" w:hAnsi="Times New Roman"/>
          <w:szCs w:val="24"/>
          <w:lang w:val="bg-BG" w:eastAsia="bg-BG"/>
        </w:rPr>
        <w:t>.</w:t>
      </w:r>
    </w:p>
    <w:p w14:paraId="7BDB3D95" w14:textId="77777777" w:rsidR="00D846D0" w:rsidRPr="00FC04EF" w:rsidRDefault="002D5B2A" w:rsidP="00983B97">
      <w:pPr>
        <w:spacing w:after="0" w:line="240" w:lineRule="auto"/>
        <w:rPr>
          <w:rFonts w:ascii="Times New Roman" w:hAnsi="Times New Roman"/>
          <w:szCs w:val="24"/>
          <w:lang w:val="bg-BG" w:eastAsia="bg-BG"/>
        </w:rPr>
      </w:pPr>
      <w:r>
        <w:rPr>
          <w:rFonts w:ascii="Times New Roman" w:hAnsi="Times New Roman"/>
          <w:szCs w:val="24"/>
          <w:lang w:val="bg-BG" w:eastAsia="bg-BG"/>
        </w:rPr>
        <w:t>Предложено е да се з</w:t>
      </w:r>
      <w:r w:rsidR="00D846D0" w:rsidRPr="00FC04EF">
        <w:rPr>
          <w:rFonts w:ascii="Times New Roman" w:hAnsi="Times New Roman"/>
          <w:szCs w:val="24"/>
          <w:lang w:val="bg-BG" w:eastAsia="bg-BG"/>
        </w:rPr>
        <w:t>апаз</w:t>
      </w:r>
      <w:r>
        <w:rPr>
          <w:rFonts w:ascii="Times New Roman" w:hAnsi="Times New Roman"/>
          <w:szCs w:val="24"/>
          <w:lang w:val="bg-BG" w:eastAsia="bg-BG"/>
        </w:rPr>
        <w:t>я</w:t>
      </w:r>
      <w:r w:rsidR="00D846D0" w:rsidRPr="00FC04EF">
        <w:rPr>
          <w:rFonts w:ascii="Times New Roman" w:hAnsi="Times New Roman"/>
          <w:szCs w:val="24"/>
          <w:lang w:val="bg-BG" w:eastAsia="bg-BG"/>
        </w:rPr>
        <w:t xml:space="preserve">т забраните за инвестиции в акции и дялове на колективни инвестиционни схеми или други предприятия за колективно инвестиране, в недвижимо имущество (включително чрез акции или дялове на предприятия за колективно инвестиране), както и в </w:t>
      </w:r>
      <w:r w:rsidR="00D846D0" w:rsidRPr="008B3460">
        <w:rPr>
          <w:rFonts w:ascii="Times New Roman" w:hAnsi="Times New Roman"/>
          <w:szCs w:val="24"/>
          <w:lang w:val="bg-BG" w:eastAsia="bg-BG"/>
        </w:rPr>
        <w:t>ценни метали</w:t>
      </w:r>
      <w:r w:rsidR="00D846D0" w:rsidRPr="004E499E">
        <w:rPr>
          <w:rFonts w:ascii="Times New Roman" w:hAnsi="Times New Roman"/>
          <w:szCs w:val="24"/>
          <w:lang w:val="bg-BG" w:eastAsia="bg-BG"/>
        </w:rPr>
        <w:t xml:space="preserve"> и</w:t>
      </w:r>
      <w:r w:rsidR="00D846D0" w:rsidRPr="00FC04EF">
        <w:rPr>
          <w:rFonts w:ascii="Times New Roman" w:hAnsi="Times New Roman"/>
          <w:szCs w:val="24"/>
          <w:lang w:val="bg-BG" w:eastAsia="bg-BG"/>
        </w:rPr>
        <w:t xml:space="preserve"> сертификати върху тях.</w:t>
      </w:r>
    </w:p>
    <w:p w14:paraId="24D685A6" w14:textId="77777777" w:rsidR="00D846D0" w:rsidRPr="00C0006D" w:rsidRDefault="00D846D0" w:rsidP="00323589">
      <w:pPr>
        <w:pStyle w:val="ListParagraph"/>
        <w:numPr>
          <w:ilvl w:val="0"/>
          <w:numId w:val="18"/>
        </w:numPr>
        <w:tabs>
          <w:tab w:val="left" w:pos="851"/>
        </w:tabs>
        <w:spacing w:after="0" w:line="240" w:lineRule="auto"/>
        <w:ind w:left="0" w:firstLine="720"/>
        <w:rPr>
          <w:rFonts w:ascii="Times New Roman" w:hAnsi="Times New Roman"/>
          <w:szCs w:val="24"/>
          <w:lang w:val="bg-BG" w:eastAsia="bg-BG"/>
        </w:rPr>
      </w:pPr>
      <w:r w:rsidRPr="00C0006D">
        <w:rPr>
          <w:rFonts w:ascii="Times New Roman" w:hAnsi="Times New Roman"/>
          <w:szCs w:val="24"/>
          <w:lang w:val="bg-BG" w:eastAsia="bg-BG"/>
        </w:rPr>
        <w:t>По-високи изисквания към качествените характеристики на инвестиционните инструменти</w:t>
      </w:r>
      <w:r w:rsidR="009461FD" w:rsidRPr="00865B65">
        <w:rPr>
          <w:rFonts w:ascii="Times New Roman" w:hAnsi="Times New Roman"/>
          <w:szCs w:val="24"/>
          <w:lang w:val="bg-BG" w:eastAsia="bg-BG"/>
        </w:rPr>
        <w:t>:</w:t>
      </w:r>
    </w:p>
    <w:p w14:paraId="54D20958" w14:textId="77777777" w:rsidR="00D846D0" w:rsidRPr="00694347" w:rsidRDefault="00D846D0" w:rsidP="00983B97">
      <w:pPr>
        <w:spacing w:after="0" w:line="240" w:lineRule="auto"/>
        <w:ind w:firstLine="709"/>
        <w:rPr>
          <w:rFonts w:ascii="Times New Roman" w:hAnsi="Times New Roman"/>
          <w:szCs w:val="24"/>
          <w:lang w:val="bg-BG" w:eastAsia="bg-BG"/>
        </w:rPr>
      </w:pPr>
      <w:r>
        <w:rPr>
          <w:rFonts w:ascii="Times New Roman" w:hAnsi="Times New Roman"/>
          <w:szCs w:val="24"/>
          <w:lang w:val="bg-BG"/>
        </w:rPr>
        <w:t xml:space="preserve">Законопроектът </w:t>
      </w:r>
      <w:r w:rsidR="00D6072C">
        <w:rPr>
          <w:rFonts w:ascii="Times New Roman" w:hAnsi="Times New Roman"/>
          <w:szCs w:val="24"/>
          <w:lang w:val="bg-BG"/>
        </w:rPr>
        <w:t xml:space="preserve">е </w:t>
      </w:r>
      <w:r w:rsidRPr="006B3058">
        <w:rPr>
          <w:rFonts w:ascii="Times New Roman" w:hAnsi="Times New Roman"/>
          <w:szCs w:val="24"/>
          <w:lang w:val="bg-BG"/>
        </w:rPr>
        <w:t>предвижда</w:t>
      </w:r>
      <w:r w:rsidR="00D6072C">
        <w:rPr>
          <w:rFonts w:ascii="Times New Roman" w:hAnsi="Times New Roman"/>
          <w:szCs w:val="24"/>
          <w:lang w:val="bg-BG"/>
        </w:rPr>
        <w:t>л</w:t>
      </w:r>
      <w:r w:rsidRPr="006B3058">
        <w:rPr>
          <w:rFonts w:ascii="Times New Roman" w:hAnsi="Times New Roman"/>
          <w:szCs w:val="24"/>
          <w:lang w:val="bg-BG"/>
        </w:rPr>
        <w:t xml:space="preserve"> промени</w:t>
      </w:r>
      <w:r w:rsidRPr="00A6476B">
        <w:rPr>
          <w:rFonts w:ascii="Times New Roman" w:hAnsi="Times New Roman"/>
          <w:szCs w:val="24"/>
          <w:lang w:val="bg-BG"/>
        </w:rPr>
        <w:t xml:space="preserve"> и по отношение на качествените </w:t>
      </w:r>
      <w:r w:rsidRPr="00A6476B">
        <w:rPr>
          <w:rFonts w:ascii="Times New Roman" w:hAnsi="Times New Roman"/>
          <w:szCs w:val="24"/>
          <w:lang w:val="bg-BG" w:eastAsia="bg-BG"/>
        </w:rPr>
        <w:t xml:space="preserve">характеристики на приемливите инвестиционни алтернативи в структурата на инвестиционния портфейл на </w:t>
      </w:r>
      <w:r w:rsidR="00DC2CA3">
        <w:rPr>
          <w:rFonts w:ascii="Times New Roman" w:hAnsi="Times New Roman"/>
          <w:szCs w:val="24"/>
          <w:lang w:val="bg-BG" w:eastAsia="bg-BG"/>
        </w:rPr>
        <w:t>ф</w:t>
      </w:r>
      <w:r w:rsidRPr="00A6476B">
        <w:rPr>
          <w:rFonts w:ascii="Times New Roman" w:hAnsi="Times New Roman"/>
          <w:szCs w:val="24"/>
          <w:lang w:val="bg-BG" w:eastAsia="bg-BG"/>
        </w:rPr>
        <w:t>онда. По</w:t>
      </w:r>
      <w:r w:rsidRPr="00694347">
        <w:rPr>
          <w:rFonts w:ascii="Times New Roman" w:hAnsi="Times New Roman"/>
          <w:szCs w:val="24"/>
          <w:lang w:val="bg-BG" w:eastAsia="bg-BG"/>
        </w:rPr>
        <w:t xml:space="preserve"> отношение на инвестициите в акции на местния и чужди пазари е постав</w:t>
      </w:r>
      <w:r w:rsidR="00CF0138">
        <w:rPr>
          <w:rFonts w:ascii="Times New Roman" w:hAnsi="Times New Roman"/>
          <w:szCs w:val="24"/>
          <w:lang w:val="bg-BG" w:eastAsia="bg-BG"/>
        </w:rPr>
        <w:t>ено</w:t>
      </w:r>
      <w:r w:rsidRPr="00694347">
        <w:rPr>
          <w:rFonts w:ascii="Times New Roman" w:hAnsi="Times New Roman"/>
          <w:szCs w:val="24"/>
          <w:lang w:val="bg-BG" w:eastAsia="bg-BG"/>
        </w:rPr>
        <w:t xml:space="preserve"> кумулативно изискван</w:t>
      </w:r>
      <w:r w:rsidR="009461FD">
        <w:rPr>
          <w:rFonts w:ascii="Times New Roman" w:hAnsi="Times New Roman"/>
          <w:szCs w:val="24"/>
          <w:lang w:val="en-US" w:eastAsia="bg-BG"/>
        </w:rPr>
        <w:t>e</w:t>
      </w:r>
      <w:r w:rsidRPr="00694347">
        <w:rPr>
          <w:rFonts w:ascii="Times New Roman" w:hAnsi="Times New Roman"/>
          <w:szCs w:val="24"/>
          <w:lang w:val="bg-BG" w:eastAsia="bg-BG"/>
        </w:rPr>
        <w:t xml:space="preserve"> същите да бъдат приети за търговия на регулиран пазар и да </w:t>
      </w:r>
      <w:r w:rsidR="00CF0138">
        <w:rPr>
          <w:rFonts w:ascii="Times New Roman" w:hAnsi="Times New Roman"/>
          <w:szCs w:val="24"/>
          <w:lang w:val="bg-BG" w:eastAsia="bg-BG"/>
        </w:rPr>
        <w:t>бъдат</w:t>
      </w:r>
      <w:r w:rsidRPr="00694347">
        <w:rPr>
          <w:rFonts w:ascii="Times New Roman" w:hAnsi="Times New Roman"/>
          <w:szCs w:val="24"/>
          <w:lang w:val="bg-BG" w:eastAsia="bg-BG"/>
        </w:rPr>
        <w:t xml:space="preserve"> включени в представителен индекс. Присъствието на акциите в индекс на регулиран пазар е гаранция за това, че инструментите отговарят на редица високи изисквания, които допълнително осигуряват ликвидността на финансовите инструменти.</w:t>
      </w:r>
    </w:p>
    <w:p w14:paraId="18BD5F38" w14:textId="77777777" w:rsidR="00D846D0" w:rsidRPr="006B3058" w:rsidRDefault="00D846D0" w:rsidP="00983B97">
      <w:pPr>
        <w:spacing w:after="0" w:line="240" w:lineRule="auto"/>
        <w:ind w:firstLine="709"/>
        <w:rPr>
          <w:rFonts w:ascii="Times New Roman" w:hAnsi="Times New Roman"/>
          <w:szCs w:val="24"/>
          <w:lang w:val="bg-BG" w:eastAsia="bg-BG"/>
        </w:rPr>
      </w:pPr>
      <w:r w:rsidRPr="00694347">
        <w:rPr>
          <w:rFonts w:ascii="Times New Roman" w:hAnsi="Times New Roman"/>
          <w:szCs w:val="24"/>
          <w:lang w:val="bg-BG" w:eastAsia="bg-BG"/>
        </w:rPr>
        <w:t xml:space="preserve">За дълговите ценни книжа </w:t>
      </w:r>
      <w:r w:rsidRPr="006B3058">
        <w:rPr>
          <w:rFonts w:ascii="Times New Roman" w:hAnsi="Times New Roman"/>
          <w:szCs w:val="24"/>
          <w:lang w:val="bg-BG" w:eastAsia="bg-BG"/>
        </w:rPr>
        <w:t>оста</w:t>
      </w:r>
      <w:r w:rsidR="00D6072C">
        <w:rPr>
          <w:rFonts w:ascii="Times New Roman" w:hAnsi="Times New Roman"/>
          <w:szCs w:val="24"/>
          <w:lang w:val="bg-BG" w:eastAsia="bg-BG"/>
        </w:rPr>
        <w:t>в</w:t>
      </w:r>
      <w:r w:rsidRPr="006B3058">
        <w:rPr>
          <w:rFonts w:ascii="Times New Roman" w:hAnsi="Times New Roman"/>
          <w:szCs w:val="24"/>
          <w:lang w:val="bg-BG" w:eastAsia="bg-BG"/>
        </w:rPr>
        <w:t>а</w:t>
      </w:r>
      <w:r w:rsidRPr="00694347">
        <w:rPr>
          <w:rFonts w:ascii="Times New Roman" w:hAnsi="Times New Roman"/>
          <w:szCs w:val="24"/>
          <w:lang w:val="bg-BG" w:eastAsia="bg-BG"/>
        </w:rPr>
        <w:t xml:space="preserve"> изискването да бъдат с инвестиционен клас рейтинг, присъден от регистрирана или сертифицирана </w:t>
      </w:r>
      <w:r w:rsidRPr="006B3058">
        <w:rPr>
          <w:rFonts w:ascii="Times New Roman" w:hAnsi="Times New Roman"/>
          <w:szCs w:val="24"/>
          <w:lang w:val="bg-BG" w:eastAsia="bg-BG"/>
        </w:rPr>
        <w:t>агенция за кредитен рейтинг</w:t>
      </w:r>
      <w:r w:rsidR="006B3058">
        <w:rPr>
          <w:rFonts w:ascii="Times New Roman" w:hAnsi="Times New Roman"/>
          <w:szCs w:val="24"/>
          <w:lang w:val="bg-BG" w:eastAsia="bg-BG"/>
        </w:rPr>
        <w:t xml:space="preserve"> </w:t>
      </w:r>
      <w:r w:rsidR="005D443E" w:rsidRPr="00694347">
        <w:rPr>
          <w:rFonts w:ascii="Times New Roman" w:hAnsi="Times New Roman"/>
          <w:szCs w:val="24"/>
          <w:lang w:val="bg-BG" w:eastAsia="bg-BG"/>
        </w:rPr>
        <w:t xml:space="preserve">съгласно Регламент </w:t>
      </w:r>
      <w:r w:rsidR="00EE2E94">
        <w:rPr>
          <w:rFonts w:ascii="Times New Roman" w:hAnsi="Times New Roman"/>
          <w:szCs w:val="24"/>
          <w:lang w:val="bg-BG" w:eastAsia="bg-BG"/>
        </w:rPr>
        <w:t xml:space="preserve">(ЕО) № </w:t>
      </w:r>
      <w:r w:rsidR="00EE2E94" w:rsidRPr="00694347">
        <w:rPr>
          <w:rFonts w:ascii="Times New Roman" w:hAnsi="Times New Roman"/>
          <w:szCs w:val="24"/>
          <w:lang w:val="bg-BG" w:eastAsia="bg-BG"/>
        </w:rPr>
        <w:t>1060/</w:t>
      </w:r>
      <w:r w:rsidR="00EE2E94" w:rsidRPr="006B3058">
        <w:rPr>
          <w:rFonts w:ascii="Times New Roman" w:hAnsi="Times New Roman"/>
          <w:szCs w:val="24"/>
          <w:lang w:val="bg-BG" w:eastAsia="bg-BG"/>
        </w:rPr>
        <w:t>2009</w:t>
      </w:r>
      <w:r w:rsidR="00EE2E94">
        <w:rPr>
          <w:rFonts w:ascii="Times New Roman" w:hAnsi="Times New Roman"/>
          <w:szCs w:val="24"/>
          <w:lang w:val="bg-BG" w:eastAsia="bg-BG"/>
        </w:rPr>
        <w:t> на Европейския парламент и на Съвета от 16</w:t>
      </w:r>
      <w:r w:rsidR="00235DC0">
        <w:rPr>
          <w:rFonts w:ascii="Times New Roman" w:hAnsi="Times New Roman"/>
          <w:szCs w:val="24"/>
          <w:lang w:val="bg-BG" w:eastAsia="bg-BG"/>
        </w:rPr>
        <w:t> </w:t>
      </w:r>
      <w:r w:rsidR="00EE2E94">
        <w:rPr>
          <w:rFonts w:ascii="Times New Roman" w:hAnsi="Times New Roman"/>
          <w:szCs w:val="24"/>
          <w:lang w:val="bg-BG" w:eastAsia="bg-BG"/>
        </w:rPr>
        <w:t>септември 2009 г. относно агенциите за кредитен рейтинг</w:t>
      </w:r>
      <w:r w:rsidRPr="006B3058">
        <w:rPr>
          <w:rFonts w:ascii="Times New Roman" w:hAnsi="Times New Roman"/>
          <w:szCs w:val="24"/>
          <w:lang w:val="bg-BG" w:eastAsia="bg-BG"/>
        </w:rPr>
        <w:t>. За корпоративните дългови инструменти е предвидено и допълнителното изискване да бъдат търгувани на регулиран пазар.</w:t>
      </w:r>
    </w:p>
    <w:p w14:paraId="33FAB08D" w14:textId="77777777" w:rsidR="00D846D0" w:rsidRDefault="00D846D0" w:rsidP="00983B97">
      <w:pPr>
        <w:spacing w:after="0" w:line="240" w:lineRule="auto"/>
        <w:rPr>
          <w:rFonts w:ascii="Times New Roman" w:hAnsi="Times New Roman"/>
          <w:szCs w:val="24"/>
          <w:lang w:val="bg-BG" w:eastAsia="bg-BG"/>
        </w:rPr>
      </w:pPr>
      <w:r w:rsidRPr="006B3058">
        <w:rPr>
          <w:rFonts w:ascii="Times New Roman" w:hAnsi="Times New Roman"/>
          <w:szCs w:val="24"/>
          <w:lang w:val="bg-BG" w:eastAsia="bg-BG"/>
        </w:rPr>
        <w:t>Успоредно с предвидените</w:t>
      </w:r>
      <w:r w:rsidRPr="00A6476B">
        <w:rPr>
          <w:rFonts w:ascii="Times New Roman" w:hAnsi="Times New Roman"/>
          <w:szCs w:val="24"/>
          <w:lang w:val="bg-BG" w:eastAsia="bg-BG"/>
        </w:rPr>
        <w:t xml:space="preserve"> максимално допустими лимити за инвестиране на активите на </w:t>
      </w:r>
      <w:r w:rsidR="00DC2CA3">
        <w:rPr>
          <w:rFonts w:ascii="Times New Roman" w:hAnsi="Times New Roman"/>
          <w:szCs w:val="24"/>
          <w:lang w:val="bg-BG" w:eastAsia="bg-BG"/>
        </w:rPr>
        <w:t>ф</w:t>
      </w:r>
      <w:r w:rsidRPr="00A6476B">
        <w:rPr>
          <w:rFonts w:ascii="Times New Roman" w:hAnsi="Times New Roman"/>
          <w:szCs w:val="24"/>
          <w:lang w:val="bg-BG" w:eastAsia="bg-BG"/>
        </w:rPr>
        <w:t>онда по класове финансови инструменти</w:t>
      </w:r>
      <w:r w:rsidR="00CF0138">
        <w:rPr>
          <w:rFonts w:ascii="Times New Roman" w:hAnsi="Times New Roman"/>
          <w:szCs w:val="24"/>
          <w:lang w:val="bg-BG" w:eastAsia="bg-BG"/>
        </w:rPr>
        <w:t xml:space="preserve"> </w:t>
      </w:r>
      <w:r w:rsidR="00D6072C">
        <w:rPr>
          <w:rFonts w:ascii="Times New Roman" w:hAnsi="Times New Roman"/>
          <w:szCs w:val="24"/>
          <w:lang w:val="bg-BG" w:eastAsia="bg-BG"/>
        </w:rPr>
        <w:t>са били</w:t>
      </w:r>
      <w:r w:rsidRPr="00A6476B">
        <w:rPr>
          <w:rFonts w:ascii="Times New Roman" w:hAnsi="Times New Roman"/>
          <w:szCs w:val="24"/>
          <w:lang w:val="bg-BG" w:eastAsia="bg-BG"/>
        </w:rPr>
        <w:t xml:space="preserve"> предвидени разпоредби за максимална експозиция към един емитент и група свързани с него лица. Подобно ограничение не е предвидено в действащия закон и това представлява потенциален риск от прекомерно обвързване с резултатите на един емитент.</w:t>
      </w:r>
    </w:p>
    <w:p w14:paraId="3353D675" w14:textId="77777777" w:rsidR="00D846D0" w:rsidRPr="00C0006D" w:rsidRDefault="00D846D0" w:rsidP="00323589">
      <w:pPr>
        <w:pStyle w:val="ListParagraph"/>
        <w:numPr>
          <w:ilvl w:val="0"/>
          <w:numId w:val="18"/>
        </w:numPr>
        <w:tabs>
          <w:tab w:val="left" w:pos="851"/>
        </w:tabs>
        <w:spacing w:after="0" w:line="240" w:lineRule="auto"/>
        <w:ind w:left="0" w:firstLine="720"/>
        <w:rPr>
          <w:rFonts w:ascii="Times New Roman" w:hAnsi="Times New Roman"/>
          <w:szCs w:val="24"/>
          <w:lang w:val="bg-BG"/>
        </w:rPr>
      </w:pPr>
      <w:r w:rsidRPr="00C0006D">
        <w:rPr>
          <w:rFonts w:ascii="Times New Roman" w:hAnsi="Times New Roman"/>
          <w:szCs w:val="24"/>
          <w:lang w:val="bg-BG" w:eastAsia="bg-BG"/>
        </w:rPr>
        <w:t>Други</w:t>
      </w:r>
      <w:r w:rsidRPr="00C0006D">
        <w:rPr>
          <w:rFonts w:ascii="Times New Roman" w:hAnsi="Times New Roman"/>
          <w:szCs w:val="24"/>
          <w:lang w:val="bg-BG"/>
        </w:rPr>
        <w:t xml:space="preserve"> изменения</w:t>
      </w:r>
      <w:r w:rsidR="009461FD">
        <w:rPr>
          <w:rFonts w:ascii="Times New Roman" w:hAnsi="Times New Roman"/>
          <w:szCs w:val="24"/>
          <w:lang w:val="en-US"/>
        </w:rPr>
        <w:t>:</w:t>
      </w:r>
    </w:p>
    <w:p w14:paraId="32571A0D" w14:textId="77777777" w:rsidR="00D846D0" w:rsidRPr="00A6476B" w:rsidRDefault="00D846D0" w:rsidP="00983B97">
      <w:pPr>
        <w:spacing w:after="0" w:line="240" w:lineRule="auto"/>
        <w:ind w:firstLine="709"/>
        <w:rPr>
          <w:rFonts w:ascii="Times New Roman" w:hAnsi="Times New Roman"/>
          <w:szCs w:val="24"/>
          <w:lang w:val="bg-BG"/>
        </w:rPr>
      </w:pPr>
      <w:r w:rsidRPr="00A6476B">
        <w:rPr>
          <w:rFonts w:ascii="Times New Roman" w:hAnsi="Times New Roman"/>
          <w:szCs w:val="24"/>
          <w:lang w:val="bg-BG"/>
        </w:rPr>
        <w:t>С цел поясняване на някои понятия</w:t>
      </w:r>
      <w:r w:rsidR="002B2D4E">
        <w:rPr>
          <w:rFonts w:ascii="Times New Roman" w:hAnsi="Times New Roman"/>
          <w:szCs w:val="24"/>
          <w:lang w:val="bg-BG"/>
        </w:rPr>
        <w:t>,</w:t>
      </w:r>
      <w:r w:rsidRPr="00A6476B">
        <w:rPr>
          <w:rFonts w:ascii="Times New Roman" w:hAnsi="Times New Roman"/>
          <w:szCs w:val="24"/>
          <w:lang w:val="bg-BG"/>
        </w:rPr>
        <w:t xml:space="preserve"> произтичащи от предложените със законопроекта изменения, в </w:t>
      </w:r>
      <w:r w:rsidR="005D443E">
        <w:rPr>
          <w:rFonts w:ascii="Times New Roman" w:hAnsi="Times New Roman"/>
          <w:szCs w:val="24"/>
          <w:lang w:val="bg-BG"/>
        </w:rPr>
        <w:t>д</w:t>
      </w:r>
      <w:r w:rsidRPr="00A6476B">
        <w:rPr>
          <w:rFonts w:ascii="Times New Roman" w:hAnsi="Times New Roman"/>
          <w:szCs w:val="24"/>
          <w:lang w:val="bg-BG"/>
        </w:rPr>
        <w:t xml:space="preserve">опълнителните разпоредби </w:t>
      </w:r>
      <w:r w:rsidRPr="006C7B2F">
        <w:rPr>
          <w:rFonts w:ascii="Times New Roman" w:hAnsi="Times New Roman"/>
          <w:szCs w:val="24"/>
          <w:lang w:val="bg-BG"/>
        </w:rPr>
        <w:t>е предл</w:t>
      </w:r>
      <w:r w:rsidR="002B2D4E" w:rsidRPr="006C7B2F">
        <w:rPr>
          <w:rFonts w:ascii="Times New Roman" w:hAnsi="Times New Roman"/>
          <w:szCs w:val="24"/>
          <w:lang w:val="bg-BG"/>
        </w:rPr>
        <w:t>ож</w:t>
      </w:r>
      <w:r w:rsidR="00CF0138" w:rsidRPr="006C7B2F">
        <w:rPr>
          <w:rFonts w:ascii="Times New Roman" w:hAnsi="Times New Roman"/>
          <w:szCs w:val="24"/>
          <w:lang w:val="bg-BG"/>
        </w:rPr>
        <w:t>ено</w:t>
      </w:r>
      <w:r w:rsidRPr="005D443E">
        <w:rPr>
          <w:rFonts w:ascii="Times New Roman" w:hAnsi="Times New Roman"/>
          <w:szCs w:val="24"/>
          <w:lang w:val="bg-BG"/>
        </w:rPr>
        <w:t xml:space="preserve"> включването</w:t>
      </w:r>
      <w:r w:rsidRPr="00A6476B">
        <w:rPr>
          <w:rFonts w:ascii="Times New Roman" w:hAnsi="Times New Roman"/>
          <w:szCs w:val="24"/>
          <w:lang w:val="bg-BG"/>
        </w:rPr>
        <w:t xml:space="preserve"> на определения за понятията „свързани лица” и „контрол” за целите на управлението на инвестициите на </w:t>
      </w:r>
      <w:r w:rsidR="00DC2CA3">
        <w:rPr>
          <w:rFonts w:ascii="Times New Roman" w:hAnsi="Times New Roman"/>
          <w:szCs w:val="24"/>
          <w:lang w:val="bg-BG"/>
        </w:rPr>
        <w:t>ф</w:t>
      </w:r>
      <w:r w:rsidRPr="00A6476B">
        <w:rPr>
          <w:rFonts w:ascii="Times New Roman" w:hAnsi="Times New Roman"/>
          <w:szCs w:val="24"/>
          <w:lang w:val="bg-BG"/>
        </w:rPr>
        <w:t xml:space="preserve">онда по чл. 13 от лицата, управители на портфейли по чл. 14, които целят да предоставят достатъчно гаранции за независимост на потенциалните кандидати за управители на портфейли от емитенти, в чиито ценни книжа биха могли да бъдат инвестирани средства на </w:t>
      </w:r>
      <w:r w:rsidR="00DC2CA3">
        <w:rPr>
          <w:rFonts w:ascii="Times New Roman" w:hAnsi="Times New Roman"/>
          <w:szCs w:val="24"/>
          <w:lang w:val="bg-BG"/>
        </w:rPr>
        <w:t>ф</w:t>
      </w:r>
      <w:r w:rsidRPr="00A6476B">
        <w:rPr>
          <w:rFonts w:ascii="Times New Roman" w:hAnsi="Times New Roman"/>
          <w:szCs w:val="24"/>
          <w:lang w:val="bg-BG"/>
        </w:rPr>
        <w:t>онда. Същевременно</w:t>
      </w:r>
      <w:r w:rsidRPr="005D443E">
        <w:rPr>
          <w:rFonts w:ascii="Times New Roman" w:hAnsi="Times New Roman"/>
          <w:szCs w:val="24"/>
          <w:lang w:val="bg-BG"/>
        </w:rPr>
        <w:t xml:space="preserve">, </w:t>
      </w:r>
      <w:r w:rsidRPr="006C7B2F">
        <w:rPr>
          <w:rFonts w:ascii="Times New Roman" w:hAnsi="Times New Roman"/>
          <w:szCs w:val="24"/>
          <w:lang w:val="bg-BG"/>
        </w:rPr>
        <w:t xml:space="preserve">е </w:t>
      </w:r>
      <w:r w:rsidR="002B2D4E" w:rsidRPr="006C7B2F">
        <w:rPr>
          <w:rFonts w:ascii="Times New Roman" w:hAnsi="Times New Roman"/>
          <w:szCs w:val="24"/>
          <w:lang w:val="bg-BG"/>
        </w:rPr>
        <w:t>предл</w:t>
      </w:r>
      <w:r w:rsidR="002B2D4E" w:rsidRPr="005D443E">
        <w:rPr>
          <w:rFonts w:ascii="Times New Roman" w:hAnsi="Times New Roman"/>
          <w:szCs w:val="24"/>
          <w:lang w:val="bg-BG"/>
        </w:rPr>
        <w:t>ож</w:t>
      </w:r>
      <w:r w:rsidR="00CF0138" w:rsidRPr="005D443E">
        <w:rPr>
          <w:rFonts w:ascii="Times New Roman" w:hAnsi="Times New Roman"/>
          <w:szCs w:val="24"/>
          <w:lang w:val="bg-BG"/>
        </w:rPr>
        <w:t>ено</w:t>
      </w:r>
      <w:r w:rsidR="002B2D4E" w:rsidRPr="00A6476B">
        <w:rPr>
          <w:rFonts w:ascii="Times New Roman" w:hAnsi="Times New Roman"/>
          <w:szCs w:val="24"/>
          <w:lang w:val="bg-BG"/>
        </w:rPr>
        <w:t xml:space="preserve"> </w:t>
      </w:r>
      <w:r w:rsidRPr="00A6476B">
        <w:rPr>
          <w:rFonts w:ascii="Times New Roman" w:hAnsi="Times New Roman"/>
          <w:szCs w:val="24"/>
          <w:lang w:val="bg-BG"/>
        </w:rPr>
        <w:t xml:space="preserve">да отпадне определението за „финансова институция”, съгласно което се </w:t>
      </w:r>
      <w:r w:rsidR="00D6072C">
        <w:rPr>
          <w:rFonts w:ascii="Times New Roman" w:hAnsi="Times New Roman"/>
          <w:szCs w:val="24"/>
          <w:lang w:val="bg-BG"/>
        </w:rPr>
        <w:t xml:space="preserve">е </w:t>
      </w:r>
      <w:r w:rsidRPr="00A6476B">
        <w:rPr>
          <w:rFonts w:ascii="Times New Roman" w:hAnsi="Times New Roman"/>
          <w:szCs w:val="24"/>
          <w:lang w:val="bg-BG"/>
        </w:rPr>
        <w:t>предвижда</w:t>
      </w:r>
      <w:r w:rsidR="00D6072C">
        <w:rPr>
          <w:rFonts w:ascii="Times New Roman" w:hAnsi="Times New Roman"/>
          <w:szCs w:val="24"/>
          <w:lang w:val="bg-BG"/>
        </w:rPr>
        <w:t>ла</w:t>
      </w:r>
      <w:r w:rsidRPr="00A6476B">
        <w:rPr>
          <w:rFonts w:ascii="Times New Roman" w:hAnsi="Times New Roman"/>
          <w:szCs w:val="24"/>
          <w:lang w:val="bg-BG"/>
        </w:rPr>
        <w:t xml:space="preserve"> възможност единствено банки и инвестиционни посредници да бъдат допустими кандидати за управители на инвестиционен портфейл. Допустимите финансови институции - управители на портфейли не биха могли да бъдат предварително изчерпателно определени на законово ниво. С цел извършване на избор на най-подходящия кандидат за управител на портфейл от активи на </w:t>
      </w:r>
      <w:r w:rsidR="00DC2CA3">
        <w:rPr>
          <w:rFonts w:ascii="Times New Roman" w:hAnsi="Times New Roman"/>
          <w:szCs w:val="24"/>
          <w:lang w:val="bg-BG"/>
        </w:rPr>
        <w:t>ф</w:t>
      </w:r>
      <w:r w:rsidRPr="00A6476B">
        <w:rPr>
          <w:rFonts w:ascii="Times New Roman" w:hAnsi="Times New Roman"/>
          <w:szCs w:val="24"/>
          <w:lang w:val="bg-BG"/>
        </w:rPr>
        <w:t xml:space="preserve">онда, </w:t>
      </w:r>
      <w:r w:rsidR="005D443E">
        <w:rPr>
          <w:rFonts w:ascii="Times New Roman" w:hAnsi="Times New Roman"/>
          <w:szCs w:val="24"/>
          <w:lang w:val="bg-BG"/>
        </w:rPr>
        <w:t>е</w:t>
      </w:r>
      <w:r w:rsidRPr="00A6476B">
        <w:rPr>
          <w:rFonts w:ascii="Times New Roman" w:hAnsi="Times New Roman"/>
          <w:szCs w:val="24"/>
          <w:lang w:val="bg-BG"/>
        </w:rPr>
        <w:t xml:space="preserve"> </w:t>
      </w:r>
      <w:r w:rsidR="00CF0138">
        <w:rPr>
          <w:rFonts w:ascii="Times New Roman" w:hAnsi="Times New Roman"/>
          <w:szCs w:val="24"/>
          <w:lang w:val="bg-BG"/>
        </w:rPr>
        <w:t>предви</w:t>
      </w:r>
      <w:r w:rsidR="005D443E">
        <w:rPr>
          <w:rFonts w:ascii="Times New Roman" w:hAnsi="Times New Roman"/>
          <w:szCs w:val="24"/>
          <w:lang w:val="bg-BG"/>
        </w:rPr>
        <w:t>дено</w:t>
      </w:r>
      <w:r w:rsidR="00CF0138">
        <w:rPr>
          <w:rFonts w:ascii="Times New Roman" w:hAnsi="Times New Roman"/>
          <w:szCs w:val="24"/>
          <w:lang w:val="bg-BG"/>
        </w:rPr>
        <w:t xml:space="preserve"> обсъждане на</w:t>
      </w:r>
      <w:r w:rsidRPr="00A6476B">
        <w:rPr>
          <w:rFonts w:ascii="Times New Roman" w:hAnsi="Times New Roman"/>
          <w:szCs w:val="24"/>
          <w:lang w:val="bg-BG"/>
        </w:rPr>
        <w:t xml:space="preserve"> </w:t>
      </w:r>
      <w:r w:rsidR="00CF0138">
        <w:rPr>
          <w:rFonts w:ascii="Times New Roman" w:hAnsi="Times New Roman"/>
          <w:szCs w:val="24"/>
          <w:lang w:val="bg-BG"/>
        </w:rPr>
        <w:t>по-</w:t>
      </w:r>
      <w:r w:rsidRPr="00A6476B">
        <w:rPr>
          <w:rFonts w:ascii="Times New Roman" w:hAnsi="Times New Roman"/>
          <w:szCs w:val="24"/>
          <w:lang w:val="bg-BG"/>
        </w:rPr>
        <w:t>високи критерии за допустимост, при спазване на процедурата за избор</w:t>
      </w:r>
      <w:r>
        <w:rPr>
          <w:rFonts w:ascii="Times New Roman" w:hAnsi="Times New Roman"/>
          <w:szCs w:val="24"/>
          <w:lang w:val="bg-BG"/>
        </w:rPr>
        <w:t>,</w:t>
      </w:r>
      <w:r w:rsidRPr="00A6476B">
        <w:rPr>
          <w:rFonts w:ascii="Times New Roman" w:hAnsi="Times New Roman"/>
          <w:szCs w:val="24"/>
          <w:lang w:val="bg-BG"/>
        </w:rPr>
        <w:t xml:space="preserve"> предвидена и в действащия закон.</w:t>
      </w:r>
    </w:p>
    <w:p w14:paraId="528F2C81" w14:textId="77777777" w:rsidR="00D846D0" w:rsidRDefault="00D846D0" w:rsidP="00983B97">
      <w:pPr>
        <w:spacing w:after="0" w:line="240" w:lineRule="auto"/>
        <w:rPr>
          <w:rFonts w:ascii="Times New Roman" w:hAnsi="Times New Roman"/>
          <w:szCs w:val="24"/>
          <w:lang w:val="bg-BG"/>
        </w:rPr>
      </w:pPr>
      <w:r w:rsidRPr="00A6476B">
        <w:rPr>
          <w:rFonts w:ascii="Times New Roman" w:hAnsi="Times New Roman"/>
          <w:szCs w:val="24"/>
          <w:lang w:val="bg-BG"/>
        </w:rPr>
        <w:lastRenderedPageBreak/>
        <w:t xml:space="preserve">Наред с изложеното </w:t>
      </w:r>
      <w:r w:rsidR="00D6072C">
        <w:rPr>
          <w:rFonts w:ascii="Times New Roman" w:hAnsi="Times New Roman"/>
          <w:szCs w:val="24"/>
          <w:lang w:val="bg-BG"/>
        </w:rPr>
        <w:t>са били</w:t>
      </w:r>
      <w:r w:rsidR="00AB206A">
        <w:rPr>
          <w:rFonts w:ascii="Times New Roman" w:hAnsi="Times New Roman"/>
          <w:szCs w:val="24"/>
          <w:lang w:val="bg-BG"/>
        </w:rPr>
        <w:t xml:space="preserve"> п</w:t>
      </w:r>
      <w:r w:rsidRPr="00A6476B">
        <w:rPr>
          <w:rFonts w:ascii="Times New Roman" w:hAnsi="Times New Roman"/>
          <w:szCs w:val="24"/>
          <w:lang w:val="bg-BG"/>
        </w:rPr>
        <w:t>редл</w:t>
      </w:r>
      <w:r w:rsidR="00AB206A">
        <w:rPr>
          <w:rFonts w:ascii="Times New Roman" w:hAnsi="Times New Roman"/>
          <w:szCs w:val="24"/>
          <w:lang w:val="bg-BG"/>
        </w:rPr>
        <w:t>ож</w:t>
      </w:r>
      <w:r w:rsidR="005D443E">
        <w:rPr>
          <w:rFonts w:ascii="Times New Roman" w:hAnsi="Times New Roman"/>
          <w:szCs w:val="24"/>
          <w:lang w:val="bg-BG"/>
        </w:rPr>
        <w:t>ени</w:t>
      </w:r>
      <w:r w:rsidRPr="00A6476B">
        <w:rPr>
          <w:rFonts w:ascii="Times New Roman" w:hAnsi="Times New Roman"/>
          <w:szCs w:val="24"/>
          <w:lang w:val="bg-BG"/>
        </w:rPr>
        <w:t xml:space="preserve"> допълнения в разпоредбите</w:t>
      </w:r>
      <w:r>
        <w:rPr>
          <w:rFonts w:ascii="Times New Roman" w:hAnsi="Times New Roman"/>
          <w:szCs w:val="24"/>
          <w:lang w:val="bg-BG"/>
        </w:rPr>
        <w:t>,</w:t>
      </w:r>
      <w:r w:rsidRPr="00A6476B">
        <w:rPr>
          <w:rFonts w:ascii="Times New Roman" w:hAnsi="Times New Roman"/>
          <w:szCs w:val="24"/>
          <w:lang w:val="bg-BG"/>
        </w:rPr>
        <w:t xml:space="preserve"> регламентиращи правомощията на управителния съвет, допъл</w:t>
      </w:r>
      <w:r w:rsidR="005D443E">
        <w:rPr>
          <w:rFonts w:ascii="Times New Roman" w:hAnsi="Times New Roman"/>
          <w:szCs w:val="24"/>
          <w:lang w:val="bg-BG"/>
        </w:rPr>
        <w:t>вайки</w:t>
      </w:r>
      <w:r w:rsidRPr="00A6476B">
        <w:rPr>
          <w:rFonts w:ascii="Times New Roman" w:hAnsi="Times New Roman"/>
          <w:szCs w:val="24"/>
          <w:lang w:val="bg-BG"/>
        </w:rPr>
        <w:t xml:space="preserve"> разпоредби от действащия закон и</w:t>
      </w:r>
      <w:r w:rsidR="00AB206A">
        <w:rPr>
          <w:rFonts w:ascii="Times New Roman" w:hAnsi="Times New Roman"/>
          <w:szCs w:val="24"/>
          <w:lang w:val="bg-BG"/>
        </w:rPr>
        <w:t xml:space="preserve"> </w:t>
      </w:r>
      <w:r w:rsidRPr="00A6476B">
        <w:rPr>
          <w:rFonts w:ascii="Times New Roman" w:hAnsi="Times New Roman"/>
          <w:szCs w:val="24"/>
          <w:lang w:val="bg-BG"/>
        </w:rPr>
        <w:t>промени</w:t>
      </w:r>
      <w:r w:rsidR="00AB206A">
        <w:rPr>
          <w:rFonts w:ascii="Times New Roman" w:hAnsi="Times New Roman"/>
          <w:szCs w:val="24"/>
          <w:lang w:val="bg-BG"/>
        </w:rPr>
        <w:t>,</w:t>
      </w:r>
      <w:r w:rsidRPr="00A6476B">
        <w:rPr>
          <w:rFonts w:ascii="Times New Roman" w:hAnsi="Times New Roman"/>
          <w:szCs w:val="24"/>
          <w:lang w:val="bg-BG"/>
        </w:rPr>
        <w:t xml:space="preserve"> произтичащи от предложените изменения в други части на закона</w:t>
      </w:r>
      <w:r>
        <w:rPr>
          <w:rFonts w:ascii="Times New Roman" w:hAnsi="Times New Roman"/>
          <w:szCs w:val="24"/>
          <w:lang w:val="bg-BG"/>
        </w:rPr>
        <w:t>.</w:t>
      </w:r>
    </w:p>
    <w:p w14:paraId="59AB2B27" w14:textId="77777777" w:rsidR="007967C4" w:rsidRPr="00C34C63" w:rsidRDefault="007967C4" w:rsidP="00983B97">
      <w:pPr>
        <w:spacing w:after="0" w:line="240" w:lineRule="auto"/>
        <w:rPr>
          <w:rFonts w:ascii="Times New Roman" w:hAnsi="Times New Roman"/>
          <w:szCs w:val="24"/>
          <w:lang w:val="bg-BG"/>
        </w:rPr>
      </w:pPr>
      <w:r w:rsidRPr="00C34C63">
        <w:rPr>
          <w:rFonts w:ascii="Times New Roman" w:hAnsi="Times New Roman"/>
          <w:szCs w:val="24"/>
          <w:lang w:val="bg-BG"/>
        </w:rPr>
        <w:t>Внесеният в Народното събрание проект на З</w:t>
      </w:r>
      <w:r w:rsidR="00FF1A23">
        <w:rPr>
          <w:rFonts w:ascii="Times New Roman" w:hAnsi="Times New Roman"/>
          <w:szCs w:val="24"/>
          <w:lang w:val="bg-BG"/>
        </w:rPr>
        <w:t>ИД</w:t>
      </w:r>
      <w:r w:rsidRPr="00C34C63">
        <w:rPr>
          <w:rFonts w:ascii="Times New Roman" w:hAnsi="Times New Roman"/>
          <w:szCs w:val="24"/>
          <w:lang w:val="bg-BG"/>
        </w:rPr>
        <w:t xml:space="preserve"> на ЗД</w:t>
      </w:r>
      <w:r w:rsidR="005F5C47" w:rsidRPr="00C34C63">
        <w:rPr>
          <w:rFonts w:ascii="Times New Roman" w:hAnsi="Times New Roman"/>
          <w:szCs w:val="24"/>
          <w:lang w:val="bg-BG"/>
        </w:rPr>
        <w:t>ФГУДПС</w:t>
      </w:r>
      <w:r w:rsidRPr="00C34C63">
        <w:rPr>
          <w:rFonts w:ascii="Times New Roman" w:hAnsi="Times New Roman"/>
          <w:szCs w:val="24"/>
          <w:lang w:val="bg-BG"/>
        </w:rPr>
        <w:t xml:space="preserve">, </w:t>
      </w:r>
      <w:r w:rsidR="00DF61E9">
        <w:rPr>
          <w:rFonts w:ascii="Times New Roman" w:hAnsi="Times New Roman"/>
          <w:szCs w:val="24"/>
          <w:lang w:val="bg-BG"/>
        </w:rPr>
        <w:t>одобрен</w:t>
      </w:r>
      <w:r w:rsidRPr="00C34C63">
        <w:rPr>
          <w:rFonts w:ascii="Times New Roman" w:hAnsi="Times New Roman"/>
          <w:szCs w:val="24"/>
          <w:lang w:val="bg-BG"/>
        </w:rPr>
        <w:t xml:space="preserve"> с решение на Министерски съвет, не е</w:t>
      </w:r>
      <w:r w:rsidR="00D6072C">
        <w:rPr>
          <w:rFonts w:ascii="Times New Roman" w:hAnsi="Times New Roman"/>
          <w:szCs w:val="24"/>
          <w:lang w:val="bg-BG"/>
        </w:rPr>
        <w:t xml:space="preserve"> бил</w:t>
      </w:r>
      <w:r w:rsidRPr="00C34C63">
        <w:rPr>
          <w:rFonts w:ascii="Times New Roman" w:hAnsi="Times New Roman"/>
          <w:szCs w:val="24"/>
          <w:lang w:val="bg-BG"/>
        </w:rPr>
        <w:t xml:space="preserve"> разгледан и приет от Н</w:t>
      </w:r>
      <w:r w:rsidR="005F5C47" w:rsidRPr="00C34C63">
        <w:rPr>
          <w:rFonts w:ascii="Times New Roman" w:hAnsi="Times New Roman"/>
          <w:szCs w:val="24"/>
          <w:lang w:val="bg-BG"/>
        </w:rPr>
        <w:t>ародното събрание</w:t>
      </w:r>
      <w:r w:rsidRPr="00C34C63">
        <w:rPr>
          <w:rFonts w:ascii="Times New Roman" w:hAnsi="Times New Roman"/>
          <w:szCs w:val="24"/>
          <w:lang w:val="bg-BG"/>
        </w:rPr>
        <w:t>.</w:t>
      </w:r>
    </w:p>
    <w:p w14:paraId="16A34C4A" w14:textId="77777777" w:rsidR="00ED2732" w:rsidRDefault="00D846D0" w:rsidP="0014058C">
      <w:pPr>
        <w:spacing w:after="0" w:line="240" w:lineRule="auto"/>
        <w:ind w:firstLine="709"/>
        <w:rPr>
          <w:rFonts w:ascii="Times New Roman" w:hAnsi="Times New Roman"/>
          <w:szCs w:val="24"/>
          <w:lang w:val="bg-BG" w:eastAsia="bg-BG"/>
        </w:rPr>
      </w:pPr>
      <w:r w:rsidRPr="00C34C63">
        <w:rPr>
          <w:rFonts w:ascii="Times New Roman" w:hAnsi="Times New Roman"/>
          <w:szCs w:val="24"/>
          <w:lang w:val="bg-BG" w:eastAsia="bg-BG"/>
        </w:rPr>
        <w:t xml:space="preserve">В </w:t>
      </w:r>
      <w:r w:rsidR="00CF0138" w:rsidRPr="00C34C63">
        <w:rPr>
          <w:rFonts w:ascii="Times New Roman" w:hAnsi="Times New Roman"/>
          <w:szCs w:val="24"/>
          <w:lang w:val="bg-BG" w:eastAsia="bg-BG"/>
        </w:rPr>
        <w:t xml:space="preserve">същото време </w:t>
      </w:r>
      <w:r w:rsidR="00FF5473">
        <w:rPr>
          <w:rFonts w:ascii="Times New Roman" w:hAnsi="Times New Roman"/>
          <w:szCs w:val="24"/>
          <w:lang w:val="bg-BG" w:eastAsia="bg-BG"/>
        </w:rPr>
        <w:t>управителният съвет</w:t>
      </w:r>
      <w:r w:rsidR="00CF0138" w:rsidRPr="00985896">
        <w:rPr>
          <w:rFonts w:ascii="Times New Roman" w:hAnsi="Times New Roman"/>
          <w:szCs w:val="24"/>
          <w:lang w:val="bg-BG" w:eastAsia="bg-BG"/>
        </w:rPr>
        <w:t xml:space="preserve"> продължи прилагането на консервативния подход при управлението на средствата, а именно съхранението им под формата на депозити в БНБ</w:t>
      </w:r>
      <w:r w:rsidR="00CF0138">
        <w:rPr>
          <w:rFonts w:ascii="Times New Roman" w:hAnsi="Times New Roman"/>
          <w:szCs w:val="24"/>
          <w:lang w:val="bg-BG" w:eastAsia="bg-BG"/>
        </w:rPr>
        <w:t xml:space="preserve"> в</w:t>
      </w:r>
      <w:r w:rsidR="00CF0138" w:rsidRPr="00985896">
        <w:rPr>
          <w:rFonts w:ascii="Times New Roman" w:hAnsi="Times New Roman"/>
          <w:szCs w:val="24"/>
          <w:lang w:val="bg-BG" w:eastAsia="bg-BG"/>
        </w:rPr>
        <w:t xml:space="preserve"> </w:t>
      </w:r>
      <w:r w:rsidRPr="00985896">
        <w:rPr>
          <w:rFonts w:ascii="Times New Roman" w:hAnsi="Times New Roman"/>
          <w:szCs w:val="24"/>
          <w:lang w:val="bg-BG" w:eastAsia="bg-BG"/>
        </w:rPr>
        <w:t xml:space="preserve">контекста на международната пазарна конюнктура и разразилата се суверенна дългова криза в редица държави-членки на </w:t>
      </w:r>
      <w:r w:rsidR="00761B92">
        <w:rPr>
          <w:rFonts w:ascii="Times New Roman" w:hAnsi="Times New Roman"/>
          <w:szCs w:val="24"/>
          <w:lang w:val="bg-BG" w:eastAsia="bg-BG"/>
        </w:rPr>
        <w:t xml:space="preserve">Европейския съюз </w:t>
      </w:r>
      <w:r w:rsidR="00761B92" w:rsidRPr="00865B65">
        <w:rPr>
          <w:rFonts w:ascii="Times New Roman" w:hAnsi="Times New Roman"/>
          <w:szCs w:val="24"/>
          <w:lang w:val="bg-BG" w:eastAsia="bg-BG"/>
        </w:rPr>
        <w:t>(</w:t>
      </w:r>
      <w:r w:rsidRPr="001D6582">
        <w:rPr>
          <w:rFonts w:ascii="Times New Roman" w:hAnsi="Times New Roman"/>
          <w:szCs w:val="24"/>
          <w:lang w:val="bg-BG" w:eastAsia="bg-BG"/>
        </w:rPr>
        <w:t>ЕС</w:t>
      </w:r>
      <w:r w:rsidR="00761B92" w:rsidRPr="00865B65">
        <w:rPr>
          <w:rFonts w:ascii="Times New Roman" w:hAnsi="Times New Roman"/>
          <w:szCs w:val="24"/>
          <w:lang w:val="bg-BG" w:eastAsia="bg-BG"/>
        </w:rPr>
        <w:t>)</w:t>
      </w:r>
      <w:r w:rsidRPr="001D6582">
        <w:rPr>
          <w:rFonts w:ascii="Times New Roman" w:hAnsi="Times New Roman"/>
          <w:szCs w:val="24"/>
          <w:lang w:val="bg-BG" w:eastAsia="bg-BG"/>
        </w:rPr>
        <w:t xml:space="preserve"> от</w:t>
      </w:r>
      <w:r w:rsidRPr="00985896">
        <w:rPr>
          <w:rFonts w:ascii="Times New Roman" w:hAnsi="Times New Roman"/>
          <w:szCs w:val="24"/>
          <w:lang w:val="bg-BG" w:eastAsia="bg-BG"/>
        </w:rPr>
        <w:t xml:space="preserve"> т. нар. „периферия” на Еврозоната, като пряко следствие от започналата през 2008</w:t>
      </w:r>
      <w:r w:rsidR="00FF5473">
        <w:rPr>
          <w:rFonts w:ascii="Times New Roman" w:hAnsi="Times New Roman"/>
          <w:szCs w:val="24"/>
          <w:lang w:val="bg-BG" w:eastAsia="bg-BG"/>
        </w:rPr>
        <w:t> </w:t>
      </w:r>
      <w:r w:rsidRPr="00985896">
        <w:rPr>
          <w:rFonts w:ascii="Times New Roman" w:hAnsi="Times New Roman"/>
          <w:szCs w:val="24"/>
          <w:lang w:val="bg-BG" w:eastAsia="bg-BG"/>
        </w:rPr>
        <w:t>г. глобална икономическа криза</w:t>
      </w:r>
      <w:r w:rsidR="00CF0138">
        <w:rPr>
          <w:rFonts w:ascii="Times New Roman" w:hAnsi="Times New Roman"/>
          <w:szCs w:val="24"/>
          <w:lang w:val="bg-BG" w:eastAsia="bg-BG"/>
        </w:rPr>
        <w:t>.</w:t>
      </w:r>
      <w:r w:rsidRPr="00985896">
        <w:rPr>
          <w:rFonts w:ascii="Times New Roman" w:hAnsi="Times New Roman"/>
          <w:szCs w:val="24"/>
          <w:lang w:val="bg-BG" w:eastAsia="bg-BG"/>
        </w:rPr>
        <w:t xml:space="preserve"> </w:t>
      </w:r>
      <w:r w:rsidRPr="0014058C">
        <w:rPr>
          <w:rFonts w:ascii="Times New Roman" w:hAnsi="Times New Roman"/>
          <w:szCs w:val="24"/>
          <w:lang w:val="bg-BG" w:eastAsia="bg-BG"/>
        </w:rPr>
        <w:t xml:space="preserve">Това обезпечи недопускането на загуби от инвестиционен характер и запазване на номиналния размер на акумулираните във </w:t>
      </w:r>
      <w:r w:rsidR="00DC2CA3">
        <w:rPr>
          <w:rFonts w:ascii="Times New Roman" w:hAnsi="Times New Roman"/>
          <w:szCs w:val="24"/>
          <w:lang w:val="bg-BG" w:eastAsia="bg-BG"/>
        </w:rPr>
        <w:t>ф</w:t>
      </w:r>
      <w:r w:rsidRPr="0014058C">
        <w:rPr>
          <w:rFonts w:ascii="Times New Roman" w:hAnsi="Times New Roman"/>
          <w:szCs w:val="24"/>
          <w:lang w:val="bg-BG" w:eastAsia="bg-BG"/>
        </w:rPr>
        <w:t>онда публични средства.</w:t>
      </w:r>
      <w:r w:rsidRPr="00ED2732">
        <w:rPr>
          <w:rFonts w:ascii="Times New Roman" w:hAnsi="Times New Roman"/>
          <w:szCs w:val="24"/>
          <w:lang w:val="bg-BG" w:eastAsia="bg-BG"/>
        </w:rPr>
        <w:t xml:space="preserve"> </w:t>
      </w:r>
      <w:r w:rsidRPr="0014058C">
        <w:rPr>
          <w:rFonts w:ascii="Times New Roman" w:hAnsi="Times New Roman"/>
          <w:szCs w:val="24"/>
          <w:lang w:val="bg-BG" w:eastAsia="bg-BG"/>
        </w:rPr>
        <w:t>Поставянето на акцент върху сигурността гарантира отсъствието на поети рискове.</w:t>
      </w:r>
      <w:r w:rsidRPr="00985896">
        <w:rPr>
          <w:rFonts w:ascii="Times New Roman" w:hAnsi="Times New Roman"/>
          <w:szCs w:val="24"/>
          <w:lang w:val="bg-BG" w:eastAsia="bg-BG"/>
        </w:rPr>
        <w:t xml:space="preserve"> </w:t>
      </w:r>
    </w:p>
    <w:p w14:paraId="11B2738D" w14:textId="77777777" w:rsidR="0062158C" w:rsidRDefault="00D6072C" w:rsidP="00983B97">
      <w:pPr>
        <w:spacing w:after="0" w:line="240" w:lineRule="auto"/>
        <w:rPr>
          <w:rFonts w:ascii="Times New Roman" w:hAnsi="Times New Roman"/>
          <w:szCs w:val="24"/>
          <w:lang w:val="bg-BG" w:eastAsia="bg-BG"/>
        </w:rPr>
      </w:pPr>
      <w:r>
        <w:rPr>
          <w:rFonts w:ascii="Times New Roman" w:hAnsi="Times New Roman"/>
          <w:szCs w:val="24"/>
          <w:lang w:val="bg-BG" w:eastAsia="bg-BG"/>
        </w:rPr>
        <w:t>Както бе посочено в</w:t>
      </w:r>
      <w:r w:rsidR="00D846D0" w:rsidRPr="00985896">
        <w:rPr>
          <w:rFonts w:ascii="Times New Roman" w:hAnsi="Times New Roman"/>
          <w:szCs w:val="24"/>
          <w:lang w:val="bg-BG" w:eastAsia="bg-BG"/>
        </w:rPr>
        <w:t xml:space="preserve"> периода до 2011 г. се отчиташе реализация на положителна номинална </w:t>
      </w:r>
      <w:r w:rsidR="00D846D0" w:rsidRPr="00ED5F27">
        <w:rPr>
          <w:rFonts w:ascii="Times New Roman" w:hAnsi="Times New Roman"/>
          <w:szCs w:val="24"/>
          <w:lang w:val="bg-BG" w:eastAsia="bg-BG"/>
        </w:rPr>
        <w:t xml:space="preserve">доходност на акумулираните средства. От края на 2011 г. до </w:t>
      </w:r>
      <w:r w:rsidR="006201E5">
        <w:rPr>
          <w:rFonts w:ascii="Times New Roman" w:hAnsi="Times New Roman"/>
          <w:szCs w:val="24"/>
          <w:lang w:val="bg-BG" w:eastAsia="bg-BG"/>
        </w:rPr>
        <w:t xml:space="preserve">декември 2015 г. </w:t>
      </w:r>
      <w:r w:rsidR="00D846D0" w:rsidRPr="00ED5F27">
        <w:rPr>
          <w:rFonts w:ascii="Times New Roman" w:hAnsi="Times New Roman"/>
          <w:szCs w:val="24"/>
          <w:lang w:val="bg-BG" w:eastAsia="bg-BG"/>
        </w:rPr>
        <w:t>лихвените нива на референтните котировки, с които БНБ олихвява депозитите съгласно действащите Общи условия</w:t>
      </w:r>
      <w:r w:rsidR="001D5810" w:rsidRPr="00ED5F27">
        <w:rPr>
          <w:rFonts w:ascii="Times New Roman" w:hAnsi="Times New Roman"/>
          <w:szCs w:val="24"/>
          <w:lang w:val="bg-BG" w:eastAsia="bg-BG"/>
        </w:rPr>
        <w:t>,</w:t>
      </w:r>
      <w:r w:rsidR="00D846D0" w:rsidRPr="00ED5F27">
        <w:rPr>
          <w:rFonts w:ascii="Times New Roman" w:hAnsi="Times New Roman"/>
          <w:szCs w:val="24"/>
          <w:lang w:val="bg-BG" w:eastAsia="bg-BG"/>
        </w:rPr>
        <w:t xml:space="preserve"> прилагани от БНБ при откриване на депозитни/инвестиционни сметки</w:t>
      </w:r>
      <w:r w:rsidR="005D443E" w:rsidRPr="00ED5F27">
        <w:rPr>
          <w:rFonts w:ascii="Times New Roman" w:hAnsi="Times New Roman"/>
          <w:szCs w:val="24"/>
          <w:lang w:val="bg-BG" w:eastAsia="bg-BG"/>
        </w:rPr>
        <w:t>,</w:t>
      </w:r>
      <w:r w:rsidR="00D846D0" w:rsidRPr="00ED5F27">
        <w:rPr>
          <w:rFonts w:ascii="Times New Roman" w:hAnsi="Times New Roman"/>
          <w:szCs w:val="24"/>
          <w:lang w:val="bg-BG" w:eastAsia="bg-BG"/>
        </w:rPr>
        <w:t xml:space="preserve"> са нулеви.</w:t>
      </w:r>
    </w:p>
    <w:p w14:paraId="06079256" w14:textId="77777777" w:rsidR="00AD5954" w:rsidRPr="00AD5954" w:rsidRDefault="00AD5954" w:rsidP="00983B97">
      <w:pPr>
        <w:spacing w:after="0" w:line="240" w:lineRule="auto"/>
        <w:rPr>
          <w:rFonts w:ascii="Times New Roman" w:hAnsi="Times New Roman"/>
          <w:szCs w:val="24"/>
          <w:lang w:val="bg-BG" w:eastAsia="bg-BG"/>
        </w:rPr>
      </w:pPr>
      <w:r>
        <w:rPr>
          <w:rFonts w:ascii="Times New Roman" w:hAnsi="Times New Roman"/>
          <w:szCs w:val="24"/>
          <w:lang w:val="bg-BG" w:eastAsia="bg-BG"/>
        </w:rPr>
        <w:t xml:space="preserve">През 2016 </w:t>
      </w:r>
      <w:r w:rsidR="003C26FD">
        <w:rPr>
          <w:rFonts w:ascii="Times New Roman" w:hAnsi="Times New Roman"/>
          <w:szCs w:val="24"/>
          <w:lang w:val="bg-BG" w:eastAsia="bg-BG"/>
        </w:rPr>
        <w:t xml:space="preserve">г. </w:t>
      </w:r>
      <w:r>
        <w:rPr>
          <w:rFonts w:ascii="Times New Roman" w:hAnsi="Times New Roman"/>
          <w:szCs w:val="24"/>
          <w:lang w:val="bg-BG" w:eastAsia="bg-BG"/>
        </w:rPr>
        <w:t xml:space="preserve">са </w:t>
      </w:r>
      <w:r w:rsidRPr="00206C1F">
        <w:rPr>
          <w:rFonts w:ascii="Times New Roman" w:hAnsi="Times New Roman"/>
          <w:szCs w:val="24"/>
          <w:lang w:val="bg-BG" w:eastAsia="bg-BG"/>
        </w:rPr>
        <w:t>въведени нови принципи в лихвената</w:t>
      </w:r>
      <w:r w:rsidRPr="00AD5954">
        <w:rPr>
          <w:rFonts w:ascii="Times New Roman" w:hAnsi="Times New Roman"/>
          <w:szCs w:val="24"/>
          <w:lang w:val="ru-RU" w:eastAsia="bg-BG"/>
        </w:rPr>
        <w:t xml:space="preserve"> политика на БНБ</w:t>
      </w:r>
      <w:r>
        <w:rPr>
          <w:rFonts w:ascii="Times New Roman" w:hAnsi="Times New Roman"/>
          <w:szCs w:val="24"/>
          <w:lang w:val="ru-RU" w:eastAsia="bg-BG"/>
        </w:rPr>
        <w:t>.</w:t>
      </w:r>
      <w:r w:rsidRPr="00AD5954">
        <w:rPr>
          <w:rFonts w:ascii="Times New Roman" w:hAnsi="Times New Roman"/>
          <w:szCs w:val="24"/>
          <w:lang w:val="bg-BG" w:eastAsia="bg-BG"/>
        </w:rPr>
        <w:t xml:space="preserve"> </w:t>
      </w:r>
      <w:r>
        <w:rPr>
          <w:rFonts w:ascii="Times New Roman" w:hAnsi="Times New Roman"/>
          <w:szCs w:val="24"/>
          <w:lang w:val="bg-BG" w:eastAsia="bg-BG"/>
        </w:rPr>
        <w:t>Ц</w:t>
      </w:r>
      <w:r w:rsidRPr="00AD5954">
        <w:rPr>
          <w:rFonts w:ascii="Times New Roman" w:hAnsi="Times New Roman"/>
          <w:szCs w:val="24"/>
          <w:lang w:val="bg-BG" w:eastAsia="bg-BG"/>
        </w:rPr>
        <w:t>елта на промени</w:t>
      </w:r>
      <w:r>
        <w:rPr>
          <w:rFonts w:ascii="Times New Roman" w:hAnsi="Times New Roman"/>
          <w:szCs w:val="24"/>
          <w:lang w:val="bg-BG" w:eastAsia="bg-BG"/>
        </w:rPr>
        <w:t>те</w:t>
      </w:r>
      <w:r w:rsidRPr="00AD5954">
        <w:rPr>
          <w:rFonts w:ascii="Times New Roman" w:hAnsi="Times New Roman"/>
          <w:szCs w:val="24"/>
          <w:lang w:val="bg-BG" w:eastAsia="bg-BG"/>
        </w:rPr>
        <w:t xml:space="preserve"> в лихвената политика на БНБ е да се постигне спазване на изискванията на чл. 123 от Договора за функциониране на </w:t>
      </w:r>
      <w:r w:rsidR="00761B92">
        <w:rPr>
          <w:rFonts w:ascii="Times New Roman" w:hAnsi="Times New Roman"/>
          <w:szCs w:val="24"/>
          <w:lang w:val="bg-BG" w:eastAsia="bg-BG"/>
        </w:rPr>
        <w:t>ЕС</w:t>
      </w:r>
      <w:r w:rsidRPr="00AD5954">
        <w:rPr>
          <w:rFonts w:ascii="Times New Roman" w:hAnsi="Times New Roman"/>
          <w:szCs w:val="24"/>
          <w:lang w:val="bg-BG" w:eastAsia="bg-BG"/>
        </w:rPr>
        <w:t xml:space="preserve"> за забрана на паричното финансиране, да се осигури по-добро финансово управление на депозираните в БНБ средства от клиенти на банката, както и да се сближи лихвената политика на БНБ с тази на Евросистемата.</w:t>
      </w:r>
    </w:p>
    <w:p w14:paraId="6B85A3DD" w14:textId="77777777" w:rsidR="007C2FC1" w:rsidRPr="00865B65" w:rsidRDefault="00AD5954" w:rsidP="007C2FC1">
      <w:pPr>
        <w:spacing w:after="0" w:line="240" w:lineRule="auto"/>
        <w:ind w:firstLine="0"/>
        <w:rPr>
          <w:rFonts w:ascii="Times New Roman" w:hAnsi="Times New Roman"/>
          <w:szCs w:val="24"/>
          <w:lang w:val="bg-BG"/>
        </w:rPr>
      </w:pPr>
      <w:r w:rsidRPr="00AD5954">
        <w:rPr>
          <w:rFonts w:ascii="Times New Roman" w:hAnsi="Times New Roman"/>
          <w:szCs w:val="24"/>
          <w:lang w:val="bg-BG" w:eastAsia="bg-BG"/>
        </w:rPr>
        <w:tab/>
      </w:r>
      <w:r w:rsidRPr="00B134E3">
        <w:rPr>
          <w:rFonts w:ascii="Times New Roman" w:hAnsi="Times New Roman"/>
          <w:szCs w:val="24"/>
          <w:lang w:val="bg-BG" w:eastAsia="bg-BG"/>
        </w:rPr>
        <w:t>В</w:t>
      </w:r>
      <w:r w:rsidRPr="00B134E3">
        <w:rPr>
          <w:rFonts w:ascii="Times New Roman" w:hAnsi="Times New Roman"/>
          <w:szCs w:val="24"/>
          <w:lang w:val="bg-BG"/>
        </w:rPr>
        <w:t xml:space="preserve">ъвеждането на лихвена политика на БНБ </w:t>
      </w:r>
      <w:r w:rsidR="001A5AFE">
        <w:rPr>
          <w:rFonts w:ascii="Times New Roman" w:hAnsi="Times New Roman"/>
          <w:szCs w:val="24"/>
          <w:lang w:val="bg-BG"/>
        </w:rPr>
        <w:t xml:space="preserve">от 2016 г. </w:t>
      </w:r>
      <w:r w:rsidRPr="00B134E3">
        <w:rPr>
          <w:rFonts w:ascii="Times New Roman" w:hAnsi="Times New Roman"/>
          <w:szCs w:val="24"/>
          <w:lang w:val="bg-BG"/>
        </w:rPr>
        <w:t xml:space="preserve">допуска възможността за начисляване на отрицателна лихва върху </w:t>
      </w:r>
      <w:r w:rsidR="003C26FD" w:rsidRPr="00B134E3">
        <w:rPr>
          <w:rFonts w:ascii="Times New Roman" w:hAnsi="Times New Roman"/>
          <w:szCs w:val="24"/>
          <w:lang w:val="bg-BG"/>
        </w:rPr>
        <w:t xml:space="preserve">управляваните от БНБ ресурси, вкл. </w:t>
      </w:r>
      <w:r w:rsidRPr="00B134E3">
        <w:rPr>
          <w:rFonts w:ascii="Times New Roman" w:hAnsi="Times New Roman"/>
          <w:szCs w:val="24"/>
          <w:lang w:val="bg-BG"/>
        </w:rPr>
        <w:t>публични средства</w:t>
      </w:r>
      <w:r w:rsidR="0062158C" w:rsidRPr="00B134E3">
        <w:rPr>
          <w:rFonts w:ascii="Times New Roman" w:hAnsi="Times New Roman"/>
          <w:szCs w:val="24"/>
          <w:lang w:val="bg-BG"/>
        </w:rPr>
        <w:t>, като пл</w:t>
      </w:r>
      <w:r w:rsidRPr="00B134E3">
        <w:rPr>
          <w:rFonts w:ascii="Times New Roman" w:hAnsi="Times New Roman"/>
          <w:szCs w:val="24"/>
          <w:lang w:val="bg-BG"/>
        </w:rPr>
        <w:t xml:space="preserve">ащанията на отрицателни лихви </w:t>
      </w:r>
      <w:r w:rsidR="003C26FD" w:rsidRPr="00B134E3">
        <w:rPr>
          <w:rFonts w:ascii="Times New Roman" w:hAnsi="Times New Roman"/>
          <w:szCs w:val="24"/>
          <w:lang w:val="bg-BG"/>
        </w:rPr>
        <w:t xml:space="preserve">начислени върху депозитите на фонда </w:t>
      </w:r>
      <w:r w:rsidR="0062158C" w:rsidRPr="00B134E3">
        <w:rPr>
          <w:rFonts w:ascii="Times New Roman" w:hAnsi="Times New Roman"/>
          <w:szCs w:val="24"/>
          <w:lang w:val="bg-BG"/>
        </w:rPr>
        <w:t xml:space="preserve">са </w:t>
      </w:r>
      <w:r w:rsidRPr="00B134E3">
        <w:rPr>
          <w:rFonts w:ascii="Times New Roman" w:hAnsi="Times New Roman"/>
          <w:szCs w:val="24"/>
          <w:lang w:val="bg-BG"/>
        </w:rPr>
        <w:t>за сметка на централния бюджет</w:t>
      </w:r>
      <w:r w:rsidR="009D55DF" w:rsidRPr="00B134E3">
        <w:rPr>
          <w:rFonts w:ascii="Times New Roman" w:hAnsi="Times New Roman"/>
          <w:szCs w:val="24"/>
          <w:lang w:val="bg-BG"/>
        </w:rPr>
        <w:t xml:space="preserve"> </w:t>
      </w:r>
      <w:r w:rsidR="009D55DF" w:rsidRPr="00865B65">
        <w:rPr>
          <w:rFonts w:ascii="Times New Roman" w:hAnsi="Times New Roman"/>
          <w:szCs w:val="24"/>
          <w:lang w:val="bg-BG"/>
        </w:rPr>
        <w:t>(</w:t>
      </w:r>
      <w:r w:rsidR="009D55DF" w:rsidRPr="00865B65">
        <w:rPr>
          <w:rFonts w:ascii="Times New Roman" w:eastAsia="Calibri" w:hAnsi="Times New Roman"/>
          <w:szCs w:val="24"/>
          <w:lang w:val="bg-BG"/>
        </w:rPr>
        <w:t>чл. 13, ал. 12 от ЗДФГУДПС)</w:t>
      </w:r>
      <w:r w:rsidR="009D55DF" w:rsidRPr="00B134E3">
        <w:rPr>
          <w:rFonts w:ascii="Times New Roman" w:hAnsi="Times New Roman"/>
          <w:szCs w:val="24"/>
          <w:lang w:val="bg-BG"/>
        </w:rPr>
        <w:t>.</w:t>
      </w:r>
      <w:r w:rsidR="007C2FC1">
        <w:rPr>
          <w:rFonts w:ascii="Times New Roman" w:hAnsi="Times New Roman"/>
          <w:szCs w:val="24"/>
          <w:lang w:val="bg-BG"/>
        </w:rPr>
        <w:t xml:space="preserve"> </w:t>
      </w:r>
      <w:r w:rsidR="007C2FC1" w:rsidRPr="00200924">
        <w:rPr>
          <w:rFonts w:ascii="Times New Roman" w:hAnsi="Times New Roman"/>
          <w:szCs w:val="24"/>
          <w:lang w:val="bg-BG"/>
        </w:rPr>
        <w:t xml:space="preserve">За периода </w:t>
      </w:r>
      <w:r w:rsidR="001A5AFE" w:rsidRPr="00200924">
        <w:rPr>
          <w:rFonts w:ascii="Times New Roman" w:hAnsi="Times New Roman"/>
          <w:szCs w:val="24"/>
          <w:lang w:val="bg-BG"/>
        </w:rPr>
        <w:t xml:space="preserve">от </w:t>
      </w:r>
      <w:r w:rsidR="00C93AC3" w:rsidRPr="00200924">
        <w:rPr>
          <w:rFonts w:ascii="Times New Roman" w:hAnsi="Times New Roman"/>
          <w:szCs w:val="24"/>
          <w:lang w:val="bg-BG"/>
        </w:rPr>
        <w:t>29</w:t>
      </w:r>
      <w:r w:rsidR="007C2FC1" w:rsidRPr="00200924">
        <w:rPr>
          <w:rFonts w:ascii="Times New Roman" w:hAnsi="Times New Roman"/>
          <w:szCs w:val="24"/>
          <w:lang w:val="bg-BG"/>
        </w:rPr>
        <w:t>.0</w:t>
      </w:r>
      <w:r w:rsidR="00C93AC3" w:rsidRPr="00200924">
        <w:rPr>
          <w:rFonts w:ascii="Times New Roman" w:hAnsi="Times New Roman"/>
          <w:szCs w:val="24"/>
          <w:lang w:val="bg-BG"/>
        </w:rPr>
        <w:t>7</w:t>
      </w:r>
      <w:r w:rsidR="007C2FC1" w:rsidRPr="00200924">
        <w:rPr>
          <w:rFonts w:ascii="Times New Roman" w:hAnsi="Times New Roman"/>
          <w:szCs w:val="24"/>
          <w:lang w:val="bg-BG"/>
        </w:rPr>
        <w:t>.2022</w:t>
      </w:r>
      <w:r w:rsidR="00FC545A" w:rsidRPr="009C5662">
        <w:rPr>
          <w:rFonts w:ascii="Times New Roman" w:hAnsi="Times New Roman"/>
          <w:szCs w:val="24"/>
          <w:lang w:val="bg-BG"/>
        </w:rPr>
        <w:t> </w:t>
      </w:r>
      <w:r w:rsidR="007C2FC1" w:rsidRPr="00200924">
        <w:rPr>
          <w:rFonts w:ascii="Times New Roman" w:hAnsi="Times New Roman"/>
          <w:szCs w:val="24"/>
          <w:lang w:val="bg-BG"/>
        </w:rPr>
        <w:t>г. – 13.09.2022 г. лихвата е нулева</w:t>
      </w:r>
      <w:r w:rsidR="00C93AC3" w:rsidRPr="00200924">
        <w:rPr>
          <w:rFonts w:ascii="Times New Roman" w:hAnsi="Times New Roman"/>
          <w:szCs w:val="24"/>
          <w:lang w:val="bg-BG"/>
        </w:rPr>
        <w:t>.</w:t>
      </w:r>
      <w:r w:rsidR="007C2FC1" w:rsidRPr="00200924">
        <w:rPr>
          <w:rFonts w:ascii="Times New Roman" w:hAnsi="Times New Roman"/>
          <w:szCs w:val="24"/>
          <w:lang w:val="bg-BG"/>
        </w:rPr>
        <w:t xml:space="preserve"> </w:t>
      </w:r>
      <w:r w:rsidR="00C93AC3" w:rsidRPr="00200924">
        <w:rPr>
          <w:rFonts w:ascii="Times New Roman" w:hAnsi="Times New Roman"/>
          <w:szCs w:val="24"/>
          <w:lang w:val="bg-BG"/>
        </w:rPr>
        <w:t xml:space="preserve">Считано от 14.09.2022 г. за паричните средства в лева и евро се начислява 0,50 % лихва, а от 02.11.2022 г. – 1,25 % лихва, </w:t>
      </w:r>
      <w:r w:rsidR="00291685">
        <w:rPr>
          <w:rFonts w:ascii="Times New Roman" w:hAnsi="Times New Roman"/>
          <w:szCs w:val="24"/>
          <w:lang w:val="bg-BG"/>
        </w:rPr>
        <w:t>съгласно</w:t>
      </w:r>
      <w:r w:rsidR="00C93AC3" w:rsidRPr="00200924">
        <w:rPr>
          <w:rFonts w:ascii="Times New Roman" w:hAnsi="Times New Roman"/>
          <w:szCs w:val="24"/>
          <w:lang w:val="bg-BG"/>
        </w:rPr>
        <w:t xml:space="preserve"> Бюлетина за лихвените проценти на правителството и бюджетните организации в БНБ.</w:t>
      </w:r>
    </w:p>
    <w:p w14:paraId="00EC3F17" w14:textId="77777777" w:rsidR="00D0205C" w:rsidRDefault="00D846D0" w:rsidP="00DB09ED">
      <w:pPr>
        <w:spacing w:after="0" w:line="240" w:lineRule="auto"/>
        <w:rPr>
          <w:rFonts w:ascii="Times New Roman" w:hAnsi="Times New Roman"/>
          <w:szCs w:val="24"/>
          <w:lang w:val="bg-BG" w:eastAsia="bg-BG"/>
        </w:rPr>
      </w:pPr>
      <w:r w:rsidRPr="00385707">
        <w:rPr>
          <w:rFonts w:ascii="Times New Roman" w:hAnsi="Times New Roman"/>
          <w:szCs w:val="24"/>
          <w:lang w:val="bg-BG" w:eastAsia="bg-BG"/>
        </w:rPr>
        <w:t xml:space="preserve">Предвид на това и отчитайки влиянието на инфлацията върху средствата на </w:t>
      </w:r>
      <w:r w:rsidR="00DC2CA3" w:rsidRPr="00385707">
        <w:rPr>
          <w:rFonts w:ascii="Times New Roman" w:hAnsi="Times New Roman"/>
          <w:szCs w:val="24"/>
          <w:lang w:val="bg-BG" w:eastAsia="bg-BG"/>
        </w:rPr>
        <w:t>ф</w:t>
      </w:r>
      <w:r w:rsidRPr="00385707">
        <w:rPr>
          <w:rFonts w:ascii="Times New Roman" w:hAnsi="Times New Roman"/>
          <w:szCs w:val="24"/>
          <w:lang w:val="bg-BG" w:eastAsia="bg-BG"/>
        </w:rPr>
        <w:t xml:space="preserve">онда, изразяващо се в реализирането на отрицателна реална доходност, задълбочено </w:t>
      </w:r>
      <w:r w:rsidR="00D0205C" w:rsidRPr="00385707">
        <w:rPr>
          <w:rFonts w:ascii="Times New Roman" w:hAnsi="Times New Roman"/>
          <w:szCs w:val="24"/>
          <w:lang w:val="bg-BG" w:eastAsia="bg-BG"/>
        </w:rPr>
        <w:t>бяха</w:t>
      </w:r>
      <w:r w:rsidR="00CF0138" w:rsidRPr="00385707">
        <w:rPr>
          <w:rFonts w:ascii="Times New Roman" w:hAnsi="Times New Roman"/>
          <w:szCs w:val="24"/>
          <w:lang w:val="bg-BG" w:eastAsia="bg-BG"/>
        </w:rPr>
        <w:t xml:space="preserve"> </w:t>
      </w:r>
      <w:r w:rsidR="00D0205C" w:rsidRPr="00385707">
        <w:rPr>
          <w:rFonts w:ascii="Times New Roman" w:hAnsi="Times New Roman"/>
          <w:szCs w:val="24"/>
          <w:lang w:val="bg-BG" w:eastAsia="bg-BG"/>
        </w:rPr>
        <w:t>дис</w:t>
      </w:r>
      <w:r w:rsidRPr="00385707">
        <w:rPr>
          <w:rFonts w:ascii="Times New Roman" w:hAnsi="Times New Roman"/>
          <w:szCs w:val="24"/>
          <w:lang w:val="bg-BG" w:eastAsia="bg-BG"/>
        </w:rPr>
        <w:t>кутира</w:t>
      </w:r>
      <w:r w:rsidR="00D0205C" w:rsidRPr="00385707">
        <w:rPr>
          <w:rFonts w:ascii="Times New Roman" w:hAnsi="Times New Roman"/>
          <w:szCs w:val="24"/>
          <w:lang w:val="bg-BG" w:eastAsia="bg-BG"/>
        </w:rPr>
        <w:t>н</w:t>
      </w:r>
      <w:r w:rsidR="00CF0138" w:rsidRPr="00385707">
        <w:rPr>
          <w:rFonts w:ascii="Times New Roman" w:hAnsi="Times New Roman"/>
          <w:szCs w:val="24"/>
          <w:lang w:val="bg-BG" w:eastAsia="bg-BG"/>
        </w:rPr>
        <w:t>и</w:t>
      </w:r>
      <w:r w:rsidRPr="00385707">
        <w:rPr>
          <w:rFonts w:ascii="Times New Roman" w:hAnsi="Times New Roman"/>
          <w:szCs w:val="24"/>
          <w:lang w:val="bg-BG" w:eastAsia="bg-BG"/>
        </w:rPr>
        <w:t xml:space="preserve"> възможните подходи, с цел предотвратяване дългосрочната обезценка на средствата на </w:t>
      </w:r>
      <w:r w:rsidR="00DC2CA3" w:rsidRPr="00385707">
        <w:rPr>
          <w:rFonts w:ascii="Times New Roman" w:hAnsi="Times New Roman"/>
          <w:szCs w:val="24"/>
          <w:lang w:val="bg-BG" w:eastAsia="bg-BG"/>
        </w:rPr>
        <w:t>ф</w:t>
      </w:r>
      <w:r w:rsidRPr="00385707">
        <w:rPr>
          <w:rFonts w:ascii="Times New Roman" w:hAnsi="Times New Roman"/>
          <w:szCs w:val="24"/>
          <w:lang w:val="bg-BG" w:eastAsia="bg-BG"/>
        </w:rPr>
        <w:t xml:space="preserve">онда. </w:t>
      </w:r>
      <w:r w:rsidR="00D90B7C" w:rsidRPr="00385707">
        <w:rPr>
          <w:rFonts w:ascii="Times New Roman" w:hAnsi="Times New Roman"/>
          <w:szCs w:val="24"/>
          <w:lang w:val="bg-BG" w:eastAsia="bg-BG"/>
        </w:rPr>
        <w:t xml:space="preserve">В </w:t>
      </w:r>
      <w:r w:rsidR="00081FF9">
        <w:rPr>
          <w:rFonts w:ascii="Times New Roman" w:hAnsi="Times New Roman"/>
          <w:szCs w:val="24"/>
          <w:lang w:val="bg-BG" w:eastAsia="bg-BG"/>
        </w:rPr>
        <w:t xml:space="preserve">периода на </w:t>
      </w:r>
      <w:r w:rsidR="00081FF9" w:rsidRPr="00B34CF0">
        <w:rPr>
          <w:rFonts w:ascii="Times New Roman" w:hAnsi="Times New Roman"/>
          <w:szCs w:val="24"/>
          <w:lang w:val="bg-BG" w:eastAsia="bg-BG"/>
        </w:rPr>
        <w:t xml:space="preserve">провежданата от </w:t>
      </w:r>
      <w:r w:rsidR="00081FF9" w:rsidRPr="00865B65">
        <w:rPr>
          <w:rFonts w:ascii="Times New Roman" w:hAnsi="Times New Roman"/>
          <w:szCs w:val="24"/>
          <w:lang w:val="bg-BG" w:eastAsia="bg-BG"/>
        </w:rPr>
        <w:t>ЕЦБ политика на отрицателни лихви</w:t>
      </w:r>
      <w:r w:rsidR="00081FF9">
        <w:rPr>
          <w:rFonts w:ascii="Times New Roman" w:hAnsi="Times New Roman"/>
          <w:szCs w:val="24"/>
          <w:lang w:val="bg-BG" w:eastAsia="bg-BG"/>
        </w:rPr>
        <w:t xml:space="preserve"> поради</w:t>
      </w:r>
      <w:r w:rsidRPr="00385707">
        <w:rPr>
          <w:rFonts w:ascii="Times New Roman" w:hAnsi="Times New Roman"/>
          <w:szCs w:val="24"/>
          <w:lang w:val="bg-BG" w:eastAsia="bg-BG"/>
        </w:rPr>
        <w:t xml:space="preserve"> продължаваща </w:t>
      </w:r>
      <w:r w:rsidR="00AC1792" w:rsidRPr="00385707">
        <w:rPr>
          <w:rFonts w:ascii="Times New Roman" w:hAnsi="Times New Roman"/>
          <w:szCs w:val="24"/>
          <w:lang w:val="bg-BG" w:eastAsia="bg-BG"/>
        </w:rPr>
        <w:t>нес</w:t>
      </w:r>
      <w:r w:rsidR="00466692" w:rsidRPr="00385707">
        <w:rPr>
          <w:rFonts w:ascii="Times New Roman" w:hAnsi="Times New Roman"/>
          <w:szCs w:val="24"/>
          <w:lang w:val="bg-BG" w:eastAsia="bg-BG"/>
        </w:rPr>
        <w:t>и</w:t>
      </w:r>
      <w:r w:rsidR="00AC1792" w:rsidRPr="00385707">
        <w:rPr>
          <w:rFonts w:ascii="Times New Roman" w:hAnsi="Times New Roman"/>
          <w:szCs w:val="24"/>
          <w:lang w:val="bg-BG" w:eastAsia="bg-BG"/>
        </w:rPr>
        <w:t>гурност пред икономическия растеж в държавите от Еврозоната</w:t>
      </w:r>
      <w:r w:rsidRPr="00B34CF0">
        <w:rPr>
          <w:rFonts w:ascii="Times New Roman" w:hAnsi="Times New Roman"/>
          <w:szCs w:val="24"/>
          <w:lang w:val="bg-BG" w:eastAsia="bg-BG"/>
        </w:rPr>
        <w:t xml:space="preserve">, </w:t>
      </w:r>
      <w:r w:rsidR="00385707">
        <w:rPr>
          <w:rFonts w:ascii="Times New Roman" w:hAnsi="Times New Roman"/>
          <w:szCs w:val="24"/>
          <w:lang w:val="bg-BG" w:eastAsia="bg-BG"/>
        </w:rPr>
        <w:t>управителният съвет</w:t>
      </w:r>
      <w:r w:rsidRPr="00B34CF0">
        <w:rPr>
          <w:rFonts w:ascii="Times New Roman" w:hAnsi="Times New Roman"/>
          <w:szCs w:val="24"/>
          <w:lang w:val="bg-BG" w:eastAsia="bg-BG"/>
        </w:rPr>
        <w:t xml:space="preserve"> </w:t>
      </w:r>
      <w:r w:rsidR="00AC1792" w:rsidRPr="00B34CF0">
        <w:rPr>
          <w:rFonts w:ascii="Times New Roman" w:hAnsi="Times New Roman"/>
          <w:szCs w:val="24"/>
          <w:lang w:val="bg-BG" w:eastAsia="bg-BG"/>
        </w:rPr>
        <w:t xml:space="preserve">запази </w:t>
      </w:r>
      <w:r w:rsidRPr="00B34CF0">
        <w:rPr>
          <w:rFonts w:ascii="Times New Roman" w:hAnsi="Times New Roman"/>
          <w:szCs w:val="24"/>
          <w:lang w:val="bg-BG" w:eastAsia="bg-BG"/>
        </w:rPr>
        <w:t>подхода за консервативното инвестиране</w:t>
      </w:r>
      <w:r w:rsidRPr="00B134E3">
        <w:rPr>
          <w:rFonts w:ascii="Times New Roman" w:hAnsi="Times New Roman"/>
          <w:szCs w:val="24"/>
          <w:lang w:val="bg-BG" w:eastAsia="bg-BG"/>
        </w:rPr>
        <w:t xml:space="preserve"> на средствата на </w:t>
      </w:r>
      <w:r w:rsidR="00DC2CA3" w:rsidRPr="00B134E3">
        <w:rPr>
          <w:rFonts w:ascii="Times New Roman" w:hAnsi="Times New Roman"/>
          <w:szCs w:val="24"/>
          <w:lang w:val="bg-BG" w:eastAsia="bg-BG"/>
        </w:rPr>
        <w:t>ф</w:t>
      </w:r>
      <w:r w:rsidRPr="00B134E3">
        <w:rPr>
          <w:rFonts w:ascii="Times New Roman" w:hAnsi="Times New Roman"/>
          <w:szCs w:val="24"/>
          <w:lang w:val="bg-BG" w:eastAsia="bg-BG"/>
        </w:rPr>
        <w:t>онда в депозитн</w:t>
      </w:r>
      <w:r w:rsidR="009138C3" w:rsidRPr="00B134E3">
        <w:rPr>
          <w:rFonts w:ascii="Times New Roman" w:hAnsi="Times New Roman"/>
          <w:szCs w:val="24"/>
          <w:lang w:val="bg-BG" w:eastAsia="bg-BG"/>
        </w:rPr>
        <w:t>и</w:t>
      </w:r>
      <w:r w:rsidRPr="00B134E3">
        <w:rPr>
          <w:rFonts w:ascii="Times New Roman" w:hAnsi="Times New Roman"/>
          <w:szCs w:val="24"/>
          <w:lang w:val="bg-BG" w:eastAsia="bg-BG"/>
        </w:rPr>
        <w:t xml:space="preserve"> сметк</w:t>
      </w:r>
      <w:r w:rsidR="009138C3" w:rsidRPr="00B134E3">
        <w:rPr>
          <w:rFonts w:ascii="Times New Roman" w:hAnsi="Times New Roman"/>
          <w:szCs w:val="24"/>
          <w:lang w:val="bg-BG" w:eastAsia="bg-BG"/>
        </w:rPr>
        <w:t>и</w:t>
      </w:r>
      <w:r w:rsidRPr="00B134E3">
        <w:rPr>
          <w:rFonts w:ascii="Times New Roman" w:hAnsi="Times New Roman"/>
          <w:szCs w:val="24"/>
          <w:lang w:val="bg-BG" w:eastAsia="bg-BG"/>
        </w:rPr>
        <w:t xml:space="preserve"> в БНБ,</w:t>
      </w:r>
      <w:r w:rsidR="003C26FD" w:rsidRPr="00B134E3">
        <w:rPr>
          <w:rFonts w:ascii="Times New Roman" w:hAnsi="Times New Roman"/>
          <w:szCs w:val="24"/>
          <w:lang w:val="bg-BG" w:eastAsia="bg-BG"/>
        </w:rPr>
        <w:t xml:space="preserve"> главно в едногодишни депозити, тъй като </w:t>
      </w:r>
      <w:r w:rsidR="008B77E0" w:rsidRPr="00B134E3">
        <w:rPr>
          <w:rFonts w:ascii="Times New Roman" w:hAnsi="Times New Roman"/>
          <w:szCs w:val="24"/>
          <w:lang w:val="bg-BG" w:eastAsia="bg-BG"/>
        </w:rPr>
        <w:t xml:space="preserve">при тях </w:t>
      </w:r>
      <w:r w:rsidR="00466692" w:rsidRPr="00865B65">
        <w:rPr>
          <w:rFonts w:ascii="Times New Roman" w:hAnsi="Times New Roman"/>
          <w:szCs w:val="24"/>
          <w:lang w:val="bg-BG" w:eastAsia="bg-BG"/>
        </w:rPr>
        <w:t xml:space="preserve">отрицателните </w:t>
      </w:r>
      <w:r w:rsidRPr="00B134E3">
        <w:rPr>
          <w:rFonts w:ascii="Times New Roman" w:hAnsi="Times New Roman"/>
          <w:szCs w:val="24"/>
          <w:lang w:val="bg-BG" w:eastAsia="bg-BG"/>
        </w:rPr>
        <w:t>лихвени</w:t>
      </w:r>
      <w:r w:rsidR="008B77E0" w:rsidRPr="00B134E3">
        <w:rPr>
          <w:rFonts w:ascii="Times New Roman" w:hAnsi="Times New Roman"/>
          <w:szCs w:val="24"/>
          <w:lang w:val="bg-BG" w:eastAsia="bg-BG"/>
        </w:rPr>
        <w:t>те</w:t>
      </w:r>
      <w:r w:rsidRPr="00B134E3">
        <w:rPr>
          <w:rFonts w:ascii="Times New Roman" w:hAnsi="Times New Roman"/>
          <w:szCs w:val="24"/>
          <w:lang w:val="bg-BG" w:eastAsia="bg-BG"/>
        </w:rPr>
        <w:t xml:space="preserve"> нива</w:t>
      </w:r>
      <w:r w:rsidR="008B77E0" w:rsidRPr="00B134E3">
        <w:rPr>
          <w:rFonts w:ascii="Times New Roman" w:hAnsi="Times New Roman"/>
          <w:szCs w:val="24"/>
          <w:lang w:val="bg-BG" w:eastAsia="bg-BG"/>
        </w:rPr>
        <w:t xml:space="preserve"> са</w:t>
      </w:r>
      <w:r w:rsidR="00B55867">
        <w:rPr>
          <w:rFonts w:ascii="Times New Roman" w:hAnsi="Times New Roman"/>
          <w:szCs w:val="24"/>
          <w:lang w:val="bg-BG" w:eastAsia="bg-BG"/>
        </w:rPr>
        <w:t xml:space="preserve"> били</w:t>
      </w:r>
      <w:r w:rsidR="008B77E0" w:rsidRPr="00B134E3">
        <w:rPr>
          <w:rFonts w:ascii="Times New Roman" w:hAnsi="Times New Roman"/>
          <w:szCs w:val="24"/>
          <w:lang w:val="bg-BG" w:eastAsia="bg-BG"/>
        </w:rPr>
        <w:t xml:space="preserve"> най-ниски и съответно разходите за бюджета по-оптимални</w:t>
      </w:r>
      <w:r w:rsidRPr="00B134E3">
        <w:rPr>
          <w:rFonts w:ascii="Times New Roman" w:hAnsi="Times New Roman"/>
          <w:szCs w:val="24"/>
          <w:lang w:val="bg-BG" w:eastAsia="bg-BG"/>
        </w:rPr>
        <w:t>. Обсъждан</w:t>
      </w:r>
      <w:r w:rsidR="005B443B" w:rsidRPr="00B134E3">
        <w:rPr>
          <w:rFonts w:ascii="Times New Roman" w:hAnsi="Times New Roman"/>
          <w:szCs w:val="24"/>
          <w:lang w:val="bg-BG" w:eastAsia="bg-BG"/>
        </w:rPr>
        <w:t xml:space="preserve">а </w:t>
      </w:r>
      <w:r w:rsidR="008B77E0" w:rsidRPr="00B134E3">
        <w:rPr>
          <w:rFonts w:ascii="Times New Roman" w:hAnsi="Times New Roman"/>
          <w:szCs w:val="24"/>
          <w:lang w:val="bg-BG" w:eastAsia="bg-BG"/>
        </w:rPr>
        <w:t xml:space="preserve">е </w:t>
      </w:r>
      <w:r w:rsidR="005B443B" w:rsidRPr="00B134E3">
        <w:rPr>
          <w:rFonts w:ascii="Times New Roman" w:hAnsi="Times New Roman"/>
          <w:szCs w:val="24"/>
          <w:lang w:val="bg-BG" w:eastAsia="bg-BG"/>
        </w:rPr>
        <w:t xml:space="preserve">възможността за </w:t>
      </w:r>
      <w:r w:rsidRPr="00B134E3">
        <w:rPr>
          <w:rFonts w:ascii="Times New Roman" w:hAnsi="Times New Roman"/>
          <w:szCs w:val="24"/>
          <w:lang w:val="bg-BG" w:eastAsia="bg-BG"/>
        </w:rPr>
        <w:t>по-активно инвестиране на средства</w:t>
      </w:r>
      <w:r w:rsidR="00385707">
        <w:rPr>
          <w:rFonts w:ascii="Times New Roman" w:hAnsi="Times New Roman"/>
          <w:szCs w:val="24"/>
          <w:lang w:val="bg-BG" w:eastAsia="bg-BG"/>
        </w:rPr>
        <w:t>та</w:t>
      </w:r>
      <w:r w:rsidRPr="00B134E3">
        <w:rPr>
          <w:rFonts w:ascii="Times New Roman" w:hAnsi="Times New Roman"/>
          <w:szCs w:val="24"/>
          <w:lang w:val="bg-BG" w:eastAsia="bg-BG"/>
        </w:rPr>
        <w:t xml:space="preserve"> на ДФГУДПС в ценни книжа по действащия закон</w:t>
      </w:r>
      <w:r w:rsidR="008B77E0" w:rsidRPr="00B134E3">
        <w:rPr>
          <w:rFonts w:ascii="Times New Roman" w:hAnsi="Times New Roman"/>
          <w:szCs w:val="24"/>
          <w:lang w:val="bg-BG" w:eastAsia="bg-BG"/>
        </w:rPr>
        <w:t xml:space="preserve">, което </w:t>
      </w:r>
      <w:r w:rsidR="00743596" w:rsidRPr="00B134E3">
        <w:rPr>
          <w:rFonts w:ascii="Times New Roman" w:hAnsi="Times New Roman"/>
          <w:szCs w:val="24"/>
          <w:lang w:val="bg-BG" w:eastAsia="bg-BG"/>
        </w:rPr>
        <w:t xml:space="preserve">би могло да допринесе за </w:t>
      </w:r>
      <w:r w:rsidRPr="00B134E3">
        <w:rPr>
          <w:rFonts w:ascii="Times New Roman" w:hAnsi="Times New Roman"/>
          <w:szCs w:val="24"/>
          <w:lang w:val="bg-BG" w:eastAsia="bg-BG"/>
        </w:rPr>
        <w:t>реализиране на по-висока доходност</w:t>
      </w:r>
      <w:r w:rsidR="00466692" w:rsidRPr="00B134E3">
        <w:rPr>
          <w:rFonts w:ascii="Times New Roman" w:hAnsi="Times New Roman"/>
          <w:szCs w:val="24"/>
          <w:lang w:val="bg-BG" w:eastAsia="bg-BG"/>
        </w:rPr>
        <w:t>,</w:t>
      </w:r>
      <w:r w:rsidR="00DD4912" w:rsidRPr="00B134E3">
        <w:rPr>
          <w:rFonts w:ascii="Times New Roman" w:hAnsi="Times New Roman"/>
          <w:szCs w:val="24"/>
          <w:lang w:val="bg-BG" w:eastAsia="bg-BG"/>
        </w:rPr>
        <w:t xml:space="preserve"> </w:t>
      </w:r>
      <w:r w:rsidR="00466692" w:rsidRPr="00B134E3">
        <w:rPr>
          <w:rFonts w:ascii="Times New Roman" w:hAnsi="Times New Roman"/>
          <w:szCs w:val="24"/>
          <w:lang w:val="bg-BG" w:eastAsia="bg-BG"/>
        </w:rPr>
        <w:t xml:space="preserve">но </w:t>
      </w:r>
      <w:r w:rsidR="00DD4912" w:rsidRPr="00B134E3">
        <w:rPr>
          <w:rFonts w:ascii="Times New Roman" w:hAnsi="Times New Roman"/>
          <w:szCs w:val="24"/>
          <w:lang w:val="bg-BG" w:eastAsia="bg-BG"/>
        </w:rPr>
        <w:t xml:space="preserve">при съпътстващ </w:t>
      </w:r>
      <w:r w:rsidRPr="00B134E3">
        <w:rPr>
          <w:rFonts w:ascii="Times New Roman" w:hAnsi="Times New Roman"/>
          <w:szCs w:val="24"/>
          <w:lang w:val="bg-BG" w:eastAsia="bg-BG"/>
        </w:rPr>
        <w:t>риск (инвестиционен, ликвиден и пр.)</w:t>
      </w:r>
      <w:r w:rsidR="008B77E0" w:rsidRPr="00B134E3">
        <w:rPr>
          <w:rFonts w:ascii="Times New Roman" w:hAnsi="Times New Roman"/>
          <w:szCs w:val="24"/>
          <w:lang w:val="bg-BG" w:eastAsia="bg-BG"/>
        </w:rPr>
        <w:t xml:space="preserve">, което </w:t>
      </w:r>
      <w:r w:rsidR="00466692" w:rsidRPr="00B134E3">
        <w:rPr>
          <w:rFonts w:ascii="Times New Roman" w:hAnsi="Times New Roman"/>
          <w:szCs w:val="24"/>
          <w:lang w:val="bg-BG" w:eastAsia="bg-BG"/>
        </w:rPr>
        <w:t>внимателно следва да се прецен</w:t>
      </w:r>
      <w:r w:rsidR="001D2E5A">
        <w:rPr>
          <w:rFonts w:ascii="Times New Roman" w:hAnsi="Times New Roman"/>
          <w:szCs w:val="24"/>
          <w:lang w:val="bg-BG" w:eastAsia="bg-BG"/>
        </w:rPr>
        <w:t>ява и отчита</w:t>
      </w:r>
      <w:r w:rsidR="008B77E0" w:rsidRPr="00B134E3">
        <w:rPr>
          <w:rFonts w:ascii="Times New Roman" w:hAnsi="Times New Roman"/>
          <w:szCs w:val="24"/>
          <w:lang w:val="bg-BG" w:eastAsia="bg-BG"/>
        </w:rPr>
        <w:t xml:space="preserve"> при управление на публични средства</w:t>
      </w:r>
      <w:r w:rsidRPr="00B134E3">
        <w:rPr>
          <w:rFonts w:ascii="Times New Roman" w:hAnsi="Times New Roman"/>
          <w:szCs w:val="24"/>
          <w:lang w:val="bg-BG" w:eastAsia="bg-BG"/>
        </w:rPr>
        <w:t>.</w:t>
      </w:r>
    </w:p>
    <w:p w14:paraId="023CF4C1" w14:textId="77777777" w:rsidR="00B565C6" w:rsidRPr="002842AC" w:rsidRDefault="00B565C6" w:rsidP="00B565C6">
      <w:pPr>
        <w:numPr>
          <w:ilvl w:val="0"/>
          <w:numId w:val="28"/>
        </w:numPr>
        <w:spacing w:after="0" w:line="240" w:lineRule="auto"/>
        <w:rPr>
          <w:rFonts w:ascii="Times New Roman" w:hAnsi="Times New Roman"/>
          <w:szCs w:val="24"/>
          <w:lang w:val="bg-BG" w:eastAsia="bg-BG"/>
        </w:rPr>
      </w:pPr>
      <w:r w:rsidRPr="002842AC">
        <w:rPr>
          <w:rFonts w:ascii="Times New Roman" w:hAnsi="Times New Roman"/>
          <w:szCs w:val="24"/>
          <w:lang w:val="bg-BG" w:eastAsia="bg-BG"/>
        </w:rPr>
        <w:t>202</w:t>
      </w:r>
      <w:r w:rsidR="00A650DB">
        <w:rPr>
          <w:rFonts w:ascii="Times New Roman" w:hAnsi="Times New Roman"/>
          <w:szCs w:val="24"/>
          <w:lang w:val="bg-BG" w:eastAsia="bg-BG"/>
        </w:rPr>
        <w:t>5</w:t>
      </w:r>
      <w:r w:rsidRPr="002842AC">
        <w:rPr>
          <w:rFonts w:ascii="Times New Roman" w:hAnsi="Times New Roman"/>
          <w:szCs w:val="24"/>
          <w:lang w:val="bg-BG" w:eastAsia="bg-BG"/>
        </w:rPr>
        <w:t xml:space="preserve"> г.</w:t>
      </w:r>
    </w:p>
    <w:p w14:paraId="778647B5" w14:textId="77777777" w:rsidR="00EA224B" w:rsidRPr="002842AC" w:rsidRDefault="00EA224B" w:rsidP="00EA224B">
      <w:pPr>
        <w:spacing w:after="0" w:line="240" w:lineRule="auto"/>
        <w:ind w:firstLine="709"/>
        <w:rPr>
          <w:rFonts w:ascii="Times New Roman" w:hAnsi="Times New Roman"/>
          <w:szCs w:val="24"/>
          <w:lang w:val="bg-BG" w:eastAsia="bg-BG"/>
        </w:rPr>
      </w:pPr>
      <w:r w:rsidRPr="002842AC">
        <w:rPr>
          <w:rFonts w:ascii="Times New Roman" w:hAnsi="Times New Roman"/>
          <w:szCs w:val="24"/>
          <w:lang w:val="bg-BG" w:eastAsia="bg-BG"/>
        </w:rPr>
        <w:t>В съответствие с изискванията на чл. 5, т. 9 от ЗДФГУДПС в правомощията на управителния съвет на фонда е да възложи разработването на демографски, актюерски, макроикономически и финансови прогнози за нуждите на дейността на фонда.</w:t>
      </w:r>
    </w:p>
    <w:p w14:paraId="7579EDE9"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Дългосрочната бюджетна прогноза за развитието на държавната пенсионна система е разработена от Националния осигурителен институт (НОИ) при параметрите на действащото през 2025 г. законодателство в областта на пенсиите и разпоредбите на Кодекса за социално осигуряване (КСО). Прогнозата е съобразена с демографската </w:t>
      </w:r>
      <w:r w:rsidRPr="00206C1F">
        <w:rPr>
          <w:rFonts w:ascii="Times New Roman" w:eastAsia="Calibri" w:hAnsi="Times New Roman"/>
          <w:szCs w:val="24"/>
          <w:lang w:val="bg-BG"/>
        </w:rPr>
        <w:lastRenderedPageBreak/>
        <w:t>прогноза на Евростат от 2023 г. и с параметрите на есенната макроикономическа прогноза на финансовото министерство от 2025 г.</w:t>
      </w:r>
    </w:p>
    <w:p w14:paraId="61A8FE9A"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През 2025 г. бяха реализирани следните политики, приети със Закона за бюджета на държавното обществено осигуряване за 2025 г., които оказват влияние върху размерите на пенсиите в дългосрочен план, а именно:</w:t>
      </w:r>
    </w:p>
    <w:p w14:paraId="2B3C36A2"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увеличение на минималния размер на пенсията за осигурителен стаж и възраст от 580,57 лв. на 630,50 лв. от 1 юли 2025 г.;</w:t>
      </w:r>
    </w:p>
    <w:p w14:paraId="4008B2C7"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запазване на максималния размер на получаваните една или повече пенсии, без добавките към тях, на нивото  от 1 октомври 2022 г. -  3 400,00 лв.;</w:t>
      </w:r>
    </w:p>
    <w:p w14:paraId="28BF528A"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увеличение на социалната пенсия за старост от 307,07 лв. на 333,48 лв. от 1 юли 2025 г.;</w:t>
      </w:r>
    </w:p>
    <w:p w14:paraId="4ECE2E3B"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увеличение с 8,6% от 1 юли 2025 г. на всички пенсии за трудова дейност, отпуснати до 31.12.2024 г.</w:t>
      </w:r>
    </w:p>
    <w:p w14:paraId="56D06CD1"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 xml:space="preserve">Пенсиите за трудова дейност, отпуснати до 31 декември на предходната година, се осъвременяват от 1 юли на съответната година по чл. 100 от КСО. </w:t>
      </w:r>
    </w:p>
    <w:p w14:paraId="14EB7089" w14:textId="77777777" w:rsidR="00A650DB" w:rsidRPr="00206C1F" w:rsidRDefault="00A650DB" w:rsidP="00A650DB">
      <w:pPr>
        <w:spacing w:after="0" w:line="240" w:lineRule="auto"/>
        <w:ind w:right="113" w:firstLine="709"/>
        <w:rPr>
          <w:rFonts w:ascii="Times New Roman" w:eastAsia="Calibri" w:hAnsi="Times New Roman"/>
          <w:sz w:val="10"/>
          <w:szCs w:val="10"/>
          <w:lang w:val="bg-BG"/>
        </w:rPr>
      </w:pPr>
    </w:p>
    <w:p w14:paraId="2748ECBF"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В дългосрочен план, най-силно влияние върху финансовото състояние на държавната пенсионна система в България ще оказват следните фактори:</w:t>
      </w:r>
    </w:p>
    <w:p w14:paraId="33AF1EF9"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демографските промени, представени чрез коефициента на възрастова зависимост;</w:t>
      </w:r>
    </w:p>
    <w:p w14:paraId="60440A26"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условията за пенсиониране, представени чрез вътрешносистемния коефициент на зависимост;</w:t>
      </w:r>
    </w:p>
    <w:p w14:paraId="2D464FE3" w14:textId="77777777" w:rsidR="00A650DB" w:rsidRPr="00206C1F" w:rsidRDefault="00A650DB" w:rsidP="00B537FA">
      <w:pPr>
        <w:tabs>
          <w:tab w:val="left" w:pos="993"/>
        </w:tabs>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w:t>
      </w:r>
      <w:r w:rsidRPr="00206C1F">
        <w:rPr>
          <w:rFonts w:ascii="Times New Roman" w:eastAsia="Calibri" w:hAnsi="Times New Roman"/>
          <w:szCs w:val="24"/>
          <w:lang w:val="bg-BG"/>
        </w:rPr>
        <w:tab/>
        <w:t>„щедростта“ на публичната пенсионна схема, представена чрез коефициента на заместване на дохода.</w:t>
      </w:r>
    </w:p>
    <w:p w14:paraId="7D738982"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България е една от най-бързо застаряващите държави в ЕС поради ниските нива на раждаемост и нарастващата продължителност на живота. </w:t>
      </w:r>
    </w:p>
    <w:p w14:paraId="546F3C75"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Според демографската прогноза на Евростат населението на България ще намалее до 5,3 млн. лица през 2070 г. Въпреки, че се очаква общият коефициент на плодовитост да нарасне от 1,57 през 2023 г. до 1,69 през 2070 г., той остава под нивото на естествено заместване от 2,1. В същото време средната продължителност на живота, която през 2023 г. е била 71,1 години за мъжете и 78,2 години за жените, се очаква да се увеличи до 82,8 години за мъжете и 87,7 години за жените през 2070 г. </w:t>
      </w:r>
    </w:p>
    <w:p w14:paraId="4A6F34A3"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Очаква се възрастовата структура на българското население да се промени значително през следващите десетилетия поради динамиката на раждаемостта, продължителността на живота и миграционните потоци. Прогнозите сочат, че населението в трудоспособна възраст (15-64 години) ще намалее спрямо общото население и докато през 2023 г. хората в трудоспособна възраст представляват 63,6% от българското население, през 2070 г. техният дял ще спадне до 56%. От друга страна, делът в общото население на възрастовите групи над 65 години се очаква да нарасне от около 21% през 2025 г. до 31% през 2070 г. В резултат на това коефициентът на възрастова зависимост нараства от 34% през 2025 г. до най-високата си стойност от 60% през 2058 г. </w:t>
      </w:r>
    </w:p>
    <w:p w14:paraId="27432CC7"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В дългосрочен план съотношението между броя на пенсионерите и броя на осигурените лица ще нараства.</w:t>
      </w:r>
    </w:p>
    <w:p w14:paraId="5719A6C8"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Съотношението между броя на пенсионерите с пенсии за трудова дейност и броя на осигурените лица, наричано още системен коефициент на зависимост, е ключов индикатор за финансовото състояние на системите от </w:t>
      </w:r>
      <w:proofErr w:type="spellStart"/>
      <w:r w:rsidRPr="00206C1F">
        <w:rPr>
          <w:rFonts w:ascii="Times New Roman" w:eastAsia="Calibri" w:hAnsi="Times New Roman"/>
          <w:szCs w:val="24"/>
          <w:lang w:val="bg-BG"/>
        </w:rPr>
        <w:t>разходопокривен</w:t>
      </w:r>
      <w:proofErr w:type="spellEnd"/>
      <w:r w:rsidRPr="00206C1F">
        <w:rPr>
          <w:rFonts w:ascii="Times New Roman" w:eastAsia="Calibri" w:hAnsi="Times New Roman"/>
          <w:szCs w:val="24"/>
          <w:lang w:val="bg-BG"/>
        </w:rPr>
        <w:t xml:space="preserve"> тип. Застаряването на населението и нарастването на средната продължителност на живота от една страна и намаляването на населението в трудоспособна възраст от друга, ще оказват съществено влияние върху държавната осигурителна система. </w:t>
      </w:r>
    </w:p>
    <w:p w14:paraId="0E20345B"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В дългосрочен план броят на осигурените лица следва тенденцията в броя на заетите, като до 2028 г. се очаква увеличение, а след това до 2070 г. тенденцията е намаляваща, което е резултат от прогнозираното от Евростат намаление на населението в трудоспособна </w:t>
      </w:r>
      <w:r w:rsidRPr="00206C1F">
        <w:rPr>
          <w:rFonts w:ascii="Times New Roman" w:eastAsia="Calibri" w:hAnsi="Times New Roman"/>
          <w:szCs w:val="24"/>
          <w:lang w:val="bg-BG"/>
        </w:rPr>
        <w:lastRenderedPageBreak/>
        <w:t>възраст, водещо от своя страна до свиване на работната сила и намаление в броя на заетите лица.</w:t>
      </w:r>
    </w:p>
    <w:p w14:paraId="0485378B"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Средният месечен брой на пенсионерите с пенсии за трудова дейност, изплащани от ДОО през 2024 г. е бил 1 982,6 хил. лица. В средносрочен план се очаква общият брой на пенсионерите да се увеличи. Тази тенденция се наблюдава от началото на 2023 г. и е свързана с някои законодателни промени, настъпили през 2023 г., които водят до увеличение в броя на правоимащите лица и до по-голям брой на новоотпуснатите пенсии. </w:t>
      </w:r>
    </w:p>
    <w:p w14:paraId="05B0709E"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В броя на пенсионерите с лични пенсии за осигурителен стаж и възраст се очаква намаление в периода до 2040 г. Това е резултат от постепенното увеличение на пенсионната възраст и на изискуемия осигурителен стаж за придобиване право на пенсия за осигурителен стаж и възраст и ще се дължи основно на по-ниския брой на новоотпуснатите пенсии по чл. 68, ал. 1-2 от КСО (трета категория труд, пълен осигурителен стаж). От началото на 2023 г. се наблюдава увеличаване в броя на пенсионерите с пенсии, отпуснати при непълен осигурителен стаж по чл. 68, ал. 3 от КСО. То ще продължи и в дългосрочен план, но ще бъде компенсирано от по-ниския брой на пенсионерите с пенсии, отпуснати по чл. 68, ал. 1-2 от КСО. </w:t>
      </w:r>
    </w:p>
    <w:p w14:paraId="5CDD1BD0"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От 1 491,0 хил. през 2024 г. броят на пенсионерите с лични пенсии за осигурителен стаж и възраст намалява с 324 хил. до около 1 167,0 хил. в 2040 г. След 2040 г. броят започва постепенно да нараства и в 2060 г. достига 1 240,0 хил. В последната декада от прогнозния период броят на пенсионерите отново започва да намалява, което е резултат от прогнозираното от Евростат подобрение в коефициента на възрастова зависимост (брой лица на възраст на 65 и повече години на 100 лица на възраст 15-64 г.), като в края на прогнозния период броят на пенсионерите с лични пенсии за осигурителен стаж и възраст е 1 182,0 хил. или с около 309,0 хил. по-малък в сравнение с базовата 2024 г. </w:t>
      </w:r>
    </w:p>
    <w:p w14:paraId="2980E02B"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Намалението в броя на пенсионерите с пенсии за осигурителен стаж и възраст е съпроводено с увеличение в броя на пенсионерите с инвалидни пенсии. Докато през последните години тенденцията в броя на инвалидните пенсии беше намаляваща, от началото на 2023 г. настъпи обрат и броят им започна да нараства. Причината е в извършената през 2023 г. промяна  в Наредбата за медицинската експертиза. Съгласно промяната в Наредбата, общият процент трайно намалена работоспособност/вид и степен на увреждане се определя, като към най-високия процент на най-тежкото увреждане се прибавят 20% от сбора на процентите на всички съпътстващи увреждания. Това обстоятелство допринася за увеличаването на броя на новоотпуснатите пенсии за инвалидност.</w:t>
      </w:r>
    </w:p>
    <w:p w14:paraId="502490C9"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В дългосрочен план, в резултат на негативните демографски тенденции се очаква и броят на осигурените лица, и броят на пенсионерите да намалява. С оглед на факта, че през 2037 г. ще приключи законодателно определеното нарастване на пенсионната възраст, както и поради нарастването на средната продължителност на живота, броят на пенсионерите ще намалява по-бавно от този на осигурените лица. В съответствие със заложените в прогнозата демографски допускания, в дългосрочен план общият брой на пенсионерите с пенсии за трудова дейност ще намалее до около 1 650,0 хил. лица в 2070 г. и ще бъде с около 330 хиляди лица по-малък в сравнение с базовата 2024 г. Съотношението между броя на пенсионерите и броя на осигурените лица обаче, ще се увеличи от 68% през 2025 г. до 78% през 2070 г.</w:t>
      </w:r>
    </w:p>
    <w:p w14:paraId="25D34D95"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През 2024 г. на 100 осигурени лица са съответствали 68 пенсионери с пенсии за трудова дейност. През следващите няколко години не се очаква подобрение в коефициента на зависимост, основно поради нарастващия брой на инвалидните пенсии. Въпреки прогнозирания по-малък брой новоотпуснати пенсии за осигурителен стаж и възраст вследствие на увеличаването на пенсионната възраст и на изискуемия осигурителен стаж, ограничаването на ранното пенсиониране, както и поради наличието на стимули за по-дълго оставане на пазара на труда на възрастните работници, коефициентът на зависимост ще се задържи на нива от около 68-70% до 2040 г. След 2040 г., под въздействието на фактори </w:t>
      </w:r>
      <w:r w:rsidRPr="00206C1F">
        <w:rPr>
          <w:rFonts w:ascii="Times New Roman" w:eastAsia="Calibri" w:hAnsi="Times New Roman"/>
          <w:szCs w:val="24"/>
          <w:lang w:val="bg-BG"/>
        </w:rPr>
        <w:lastRenderedPageBreak/>
        <w:t xml:space="preserve">като застаряване на населението, увеличаваща се средна продължителност на живота и намаляващ брой на заетите лица, стойностите на този показател нарастват значително, като според прогнозните резултати през 2060 г. на 100 осигурени лица ще съответстват 82 пенсионери с пенсии за трудова дейност. Между 2060 г. и 2070 г. се наблюдава известно подобрение в коефициента на зависимост в резултат на прогнозирания от Евростат по-висок тотален коефициент на плодовитост, което ще доведе до увеличение на дела на населението в трудоспособна възраст към края на периода, когато на 100 осигурени лица се очаква да съответстват 78 пенсионери. </w:t>
      </w:r>
    </w:p>
    <w:p w14:paraId="36540972"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Провежданите в последните години пенсионни политики съдействаха за повишаване на адекватността на пенсиите.  </w:t>
      </w:r>
    </w:p>
    <w:p w14:paraId="50FB3CB8"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През 2024 г. и 2025 г. размерите на пенсиите бяха увеличени от 1 юли съответно с 11,0% и с 8,6%. Увеличението от 1 юли 2024 г. на „вдовишките“ добавки към пенсиите от 26,5% на 30,0% от пенсията на починалия съпруг допълнително увеличи средните размери за 2024 г. От 2025 г. до края на прогнозния период е приложено ежегодно осъвременяване на пенсиите по чл. 100 от КСО с процент, равен на сбора от 50% от нарастването на осигурителния доход и 50% от индекса на потребителските цени през предходната календарна година. Предвидено е осъвременяване със същия процент на минималните размери на пенсиите за трудова дейност, както и на социалната пенсия за старост, респективно и на размерите на пенсиите, несвързани с трудова дейност. </w:t>
      </w:r>
    </w:p>
    <w:p w14:paraId="515544AC"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Коефициентът на заместване на дохода представлява съотношението на средната пенсия за трудова дейност към средния осигурителен доход на осигурените лица за съответната календарна година. Данните в прогнозата се отнасят единствено за коефициента на заместване на дохода от първия стълб на пенсионната система. </w:t>
      </w:r>
    </w:p>
    <w:p w14:paraId="4F384E8E"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За 2024 г. средната пенсия за трудова дейност е била 53,6% от средния брутен осигурителен доход. Нетният коефициент на заместване на дохода, изчислен като съотношение на средномесечния размер на пенсията на един пенсионер и средния нетен осигурителен доход (след приспадане на задължителните осигурителни вноски за сметка на лицето и данъка върху доходите) достигна 69,0%. </w:t>
      </w:r>
    </w:p>
    <w:p w14:paraId="3E2A6FC8"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В дългосрочен план средната стойност на коефициента на заместване на дохода ще намалее до около 42%. Върху този процес най-съществено влияние ще оказват следните фактори:</w:t>
      </w:r>
    </w:p>
    <w:p w14:paraId="7D0F2F75"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(1) включването на осигурителния доход за цялата трудова кариера при изчисляване размера на пенсията за лицата, които са започнали трудовата си дейност след 1999 г.;</w:t>
      </w:r>
    </w:p>
    <w:p w14:paraId="4A9C999C"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(2) правилото за осъвременяване на пенсиите с процент, равен на сбора от 50% от нарастването на осигурителния доход и 50% от хармонизирания индекс на потребителските цени през предходната календарна година, в резултат на което нарастването в размерите на пенсиите е по-малко в сравнение с темпа на нарастване на средния осигурителен доход;</w:t>
      </w:r>
    </w:p>
    <w:p w14:paraId="74BDC41E"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(3) корекцията (намалението), съгласно действащата разпоредба на чл. 70 от КСО, на стойността на индивидуалния коефициент за лицата, които към момента на пенсионирането си са били осигурени и в </w:t>
      </w:r>
      <w:proofErr w:type="spellStart"/>
      <w:r w:rsidRPr="00206C1F">
        <w:rPr>
          <w:rFonts w:ascii="Times New Roman" w:eastAsia="Calibri" w:hAnsi="Times New Roman"/>
          <w:szCs w:val="24"/>
          <w:lang w:val="bg-BG"/>
        </w:rPr>
        <w:t>УнПФ</w:t>
      </w:r>
      <w:proofErr w:type="spellEnd"/>
      <w:r w:rsidRPr="00206C1F">
        <w:rPr>
          <w:rFonts w:ascii="Times New Roman" w:eastAsia="Calibri" w:hAnsi="Times New Roman"/>
          <w:szCs w:val="24"/>
          <w:lang w:val="bg-BG"/>
        </w:rPr>
        <w:t xml:space="preserve"> и в ДОО.</w:t>
      </w:r>
    </w:p>
    <w:p w14:paraId="2F19B9EC"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Влияние върху коефициента на заместване на дохода от първия стълб ще окаже и предвидената в законодателството възможност за преминаване от осигуряване в първи и втори стълб към осигуряване само в първи стълб. За пенсионерите, които са се осигурявали и в двата стълба на пенсионната система, коефициентът на заместване от ДОО ще бъде по-нисък. Техните пенсии ще бъдат изчислявани с корекция, отчитаща факта, че в рамките на осигурителната си кариера за тях в ДОО е постъпвал по-малък размер на осигурителната вноска. Тези лица обаче ще получават и допълнителна пенсия от </w:t>
      </w:r>
      <w:proofErr w:type="spellStart"/>
      <w:r w:rsidRPr="00206C1F">
        <w:rPr>
          <w:rFonts w:ascii="Times New Roman" w:eastAsia="Calibri" w:hAnsi="Times New Roman"/>
          <w:szCs w:val="24"/>
          <w:lang w:val="bg-BG"/>
        </w:rPr>
        <w:t>УнПФ</w:t>
      </w:r>
      <w:proofErr w:type="spellEnd"/>
      <w:r w:rsidRPr="00206C1F">
        <w:rPr>
          <w:rFonts w:ascii="Times New Roman" w:eastAsia="Calibri" w:hAnsi="Times New Roman"/>
          <w:szCs w:val="24"/>
          <w:lang w:val="bg-BG"/>
        </w:rPr>
        <w:t xml:space="preserve">. Намалението в размера на пенсиите от ДОО, отпуснати на лицата, родени след 1959 г., които придобиват право на пенсия за осигурителен стаж и възраст през 2025 г., е между 11,0 и 12,0 %. Този процент ще нараства, достигайки до около 19% до 2040 г. и 22,5% до 2052 г., тъй като целият осигурителен стаж на лицата, които ще се пенсионират след 2040 г. ще обхваща периоди след 2001 г. с осигуряване в универсален пенсионен фонд. Важно е да се отбележи, че </w:t>
      </w:r>
      <w:r w:rsidRPr="00206C1F">
        <w:rPr>
          <w:rFonts w:ascii="Times New Roman" w:eastAsia="Calibri" w:hAnsi="Times New Roman"/>
          <w:szCs w:val="24"/>
          <w:lang w:val="bg-BG"/>
        </w:rPr>
        <w:lastRenderedPageBreak/>
        <w:t>стойността на намалението е различна за всеки отделен пенсионер и зависи от конкретния период, който обхваща осигурителния му стаж. Лицата, които са избрали да променят осигуряването си изцяло към първия стълб, ще получават пенсия от ДОО в пълен размер, но няма да получат втора допълнителна пенсия от универсален пенсионен фонд.</w:t>
      </w:r>
    </w:p>
    <w:p w14:paraId="08FE5281"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Динамиката в разходите за пенсии е в пряка зависимост от динамиката в системния коефициент на зависимост и коефициента на заместване на дохода.</w:t>
      </w:r>
    </w:p>
    <w:p w14:paraId="1FAFC215"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За 2024 г. общите разходи за пенсии представляват 10,7% от БВП, като разходите за пенсии за трудова дейност са 10,5%, а разходите за пенсии, несвързани с трудова дейност – около 0,2% от БВП. През следващите няколко години разходите за пенсии като процент от БВП ще нарастват, достигайки най-високите си стойности за целия прогнозен период. Това се дължи от една страна на очакваното увеличение в броя на пенсионерите с около 16,0 хиляди до 2028 г., а от друга страна на по-високите размери на пенсиите в резултат на мерките за подобряване на адекватността на пенсиите, провеждани в периода на пандемията на COVID-19, както и поради увеличението  от 1 юли 2024 г. на размера на „вдовишката“ добавка от 26,5% до 30,0% от пенсията на починалия. </w:t>
      </w:r>
    </w:p>
    <w:p w14:paraId="34B56158"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 След достигането на пик от 11,6% през 2028 г. делът на разходите за пенсии от БВП ще започне постепенно да намалява, и ще достигне най-ниската си стойност от 10,1% в годините около 2040 г. Причините за по-същественото намаление на разходите за пенсии като процент от БВП в периода 2027-2040 г. са комплексни и могат да бъдат обобщени в три групи:</w:t>
      </w:r>
    </w:p>
    <w:p w14:paraId="2D642BE9"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1) задържане на съотношението между броя на пенсионерите и осигурените лица на относително постоянно ниво – основно поради демографски причини и по-строгите условия за придобиване право на пенсия;</w:t>
      </w:r>
    </w:p>
    <w:p w14:paraId="76F5534C"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2) изпреварващ ръст на средния осигурителен доход спрямо средната пенсия поради прилагания механизъм за осъвременяване на пенсиите;</w:t>
      </w:r>
    </w:p>
    <w:p w14:paraId="3C8979A7"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3) намаляването на пенсията от ДОО на лицата, които са били осигурени и в двата стълба към момента на пенсионирането си. Следователно, наред с демографските процеси, правилата за достъп до пенсия и механизма за осъвременяване, възможността за избор на промяна на осигуряването ще е един от важните фактори, имащи отношение към динамиката на разходите за пенсии в дългосрочен план.</w:t>
      </w:r>
    </w:p>
    <w:p w14:paraId="010CDD01"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След 2040 г., когато възрастта за пенсиониране на жените и мъжете ще бъде изравнена на 65 години, в резултат на процеса на застаряване на населението и на очакваната по-висока средна продължителност на живота, фискалният натиск върху държавната пенсионната система ще се увеличи и относителният дял на разходите за пенсии от БВП ще започне да нараства, като до 2060 г. ще достигне 10,9%. Слабият спад до 10,7% в края прогнозния период се дължи на прогнозираните от Евростат по-високи нива на раждаемост и постепенното увеличение на относителния дял на населението в работоспособна възраст в през последната декада от прогнозния период.</w:t>
      </w:r>
    </w:p>
    <w:p w14:paraId="658720F7"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Влияние върху разходите за пенсии в дългосрочен план ще оказва и предоставената възможност на осигурените лица, родени след 1959 г., които до август 2015 г. се осигуряваха задължително в ДОО (І стълб) и в универсален пенсионен фонд (ІІ стълб), да променят осигуряването си и да преминат към осигуряване само в първия стълб с увеличена осигурителна вноска. Към месец август 2025 г. с избор за промяна на осигуряването изцяло към ДОО са около 124,9 хил. лица, от които 1,4 хил. са починали, 69,8 хил. лица вече имат отпусната пенсия от ДОО в пълен размер, други 3,9 хил. лица са възстановили осигуряването си в </w:t>
      </w:r>
      <w:proofErr w:type="spellStart"/>
      <w:r w:rsidRPr="00206C1F">
        <w:rPr>
          <w:rFonts w:ascii="Times New Roman" w:eastAsia="Calibri" w:hAnsi="Times New Roman"/>
          <w:szCs w:val="24"/>
          <w:lang w:val="bg-BG"/>
        </w:rPr>
        <w:t>УнПФ</w:t>
      </w:r>
      <w:proofErr w:type="spellEnd"/>
      <w:r w:rsidRPr="00206C1F">
        <w:rPr>
          <w:rFonts w:ascii="Times New Roman" w:eastAsia="Calibri" w:hAnsi="Times New Roman"/>
          <w:szCs w:val="24"/>
          <w:lang w:val="bg-BG"/>
        </w:rPr>
        <w:t xml:space="preserve">, а останалите 49,8 хил. лица (2,1% от осигурените лица, родени след 1959 г.) продължават да се осигуряват само в ДОО и да трупат пенсионни права. </w:t>
      </w:r>
    </w:p>
    <w:p w14:paraId="0C088704"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Балансът на фондовете на ДОО представлява разликата между общите приходи и общите разходи на системата. Резултатите от дългосрочната оценка показват, че балансът ще остане отрицателен през целия период до 2070 г., като за балансирането на приходите и разходите ще е необходим трансфер от държавния бюджет за покриване на недостига от средства. При отчетена стойност на този трансфер от 5,4% от БВП за 2024 г. и очаквана </w:t>
      </w:r>
      <w:r w:rsidRPr="00206C1F">
        <w:rPr>
          <w:rFonts w:ascii="Times New Roman" w:eastAsia="Calibri" w:hAnsi="Times New Roman"/>
          <w:szCs w:val="24"/>
          <w:lang w:val="bg-BG"/>
        </w:rPr>
        <w:lastRenderedPageBreak/>
        <w:t xml:space="preserve">стойност 5,2% от БВП за 2025 г., през следващите години недостигът от средства на ДОО като дял от БВП ще започне постепенно да намалява. </w:t>
      </w:r>
    </w:p>
    <w:p w14:paraId="3E3056E1" w14:textId="77777777" w:rsidR="00A650DB" w:rsidRPr="00206C1F" w:rsidRDefault="00A650DB" w:rsidP="00A650D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 xml:space="preserve">В периода до 2040 г. се прогнозира съществено подобрение в баланса на ДОО. Недостигът от средства ще намалее от 5,2% до 3,8% от БВП, което е резултат от увеличението на осигурителната вноска за фонд „Пенсии“ и  намаляващия тренд в разходите за пенсии през този период поради намаляващия брутен коефициент на заместване (средна пенсия към среден осигурителен доход). Нарастването на разходите за пенсии през втората половина на прогнозния период ще доведе до известно влошаване на баланса, като между 2060 г. и 2070 г., той ще бъде  между 4 и 5% от БВП. </w:t>
      </w:r>
    </w:p>
    <w:p w14:paraId="5F81D8F1" w14:textId="77777777" w:rsidR="00EA224B" w:rsidRPr="00206C1F" w:rsidRDefault="00A650DB" w:rsidP="00EA224B">
      <w:pPr>
        <w:spacing w:after="0" w:line="240" w:lineRule="auto"/>
        <w:ind w:right="113" w:firstLine="709"/>
        <w:rPr>
          <w:rFonts w:ascii="Times New Roman" w:eastAsia="Calibri" w:hAnsi="Times New Roman"/>
          <w:szCs w:val="24"/>
          <w:lang w:val="bg-BG"/>
        </w:rPr>
      </w:pPr>
      <w:r w:rsidRPr="00206C1F">
        <w:rPr>
          <w:rFonts w:ascii="Times New Roman" w:eastAsia="Calibri" w:hAnsi="Times New Roman"/>
          <w:szCs w:val="24"/>
          <w:lang w:val="bg-BG"/>
        </w:rPr>
        <w:t>През следващите години необходимият размер на трансфера от държавния бюджет за покриване на недостига от средства на ДОО  в номинално изражение ще нараства, но в процент от общите разходи на системата ще намалява. От 42,7% през 2025 г.,  в резултат на увеличението на осигурителната вноска за фонд „Пенсии“ с 3 пр. п. до 2028 г., размерът на трансфера за недостига ще намалее до около 34% от общите разходи в средата на прогнозния период и ще остане под 40% до края на периода.</w:t>
      </w:r>
    </w:p>
    <w:p w14:paraId="136C8246" w14:textId="77777777" w:rsidR="00EA224B" w:rsidRPr="00206C1F" w:rsidRDefault="00EA224B" w:rsidP="00B80A21">
      <w:pPr>
        <w:spacing w:after="0" w:line="240" w:lineRule="auto"/>
        <w:rPr>
          <w:rFonts w:ascii="Times New Roman" w:eastAsia="Calibri" w:hAnsi="Times New Roman"/>
          <w:szCs w:val="24"/>
          <w:lang w:val="bg-BG"/>
        </w:rPr>
      </w:pPr>
      <w:r w:rsidRPr="00206C1F">
        <w:rPr>
          <w:rFonts w:ascii="Times New Roman" w:eastAsia="Calibri" w:hAnsi="Times New Roman"/>
          <w:szCs w:val="24"/>
          <w:lang w:val="bg-BG"/>
        </w:rPr>
        <w:t>При запазване на текущото законодателство, финансовият натиск върху устойчивостта на държавната пенсионна система ще е най-силен през следващото десетилетие. Тогава и разходите за пенсии, и трансферът от държавния бюджет за покриване на недостига от средства, измерени като дял от БВП, ще са най-големи. Близо 50% от общите разходи на ДОО ще бъдат финансирани с трансфери от държавния бюджет, вместо от собствените приходи на системата.</w:t>
      </w:r>
    </w:p>
    <w:p w14:paraId="44CE8069" w14:textId="77777777" w:rsidR="00EA224B" w:rsidRDefault="00EA224B" w:rsidP="00B80A21">
      <w:pPr>
        <w:spacing w:after="0" w:line="240" w:lineRule="auto"/>
        <w:rPr>
          <w:rFonts w:ascii="Times New Roman" w:eastAsia="Calibri" w:hAnsi="Times New Roman"/>
          <w:szCs w:val="24"/>
          <w:lang w:val="ru-RU"/>
        </w:rPr>
      </w:pPr>
    </w:p>
    <w:p w14:paraId="412112D6" w14:textId="77777777" w:rsidR="00030380" w:rsidRDefault="00030380" w:rsidP="00B80A21">
      <w:pPr>
        <w:spacing w:after="0" w:line="240" w:lineRule="auto"/>
        <w:rPr>
          <w:rFonts w:ascii="Times New Roman" w:hAnsi="Times New Roman"/>
          <w:b/>
          <w:szCs w:val="24"/>
          <w:lang w:val="bg-BG" w:eastAsia="bg-BG"/>
        </w:rPr>
      </w:pPr>
      <w:r w:rsidRPr="00531306">
        <w:rPr>
          <w:rFonts w:ascii="Times New Roman" w:hAnsi="Times New Roman"/>
          <w:b/>
          <w:szCs w:val="24"/>
          <w:lang w:val="bg-BG" w:eastAsia="bg-BG"/>
        </w:rPr>
        <w:t>2. Приходоизточници</w:t>
      </w:r>
    </w:p>
    <w:p w14:paraId="2CDC7BA7" w14:textId="77777777" w:rsidR="00EE27C8" w:rsidRPr="00B80A21" w:rsidRDefault="00EE27C8" w:rsidP="00B80A21">
      <w:pPr>
        <w:spacing w:after="0" w:line="240" w:lineRule="auto"/>
        <w:rPr>
          <w:rFonts w:ascii="Times New Roman" w:hAnsi="Times New Roman"/>
          <w:b/>
          <w:sz w:val="10"/>
          <w:szCs w:val="10"/>
          <w:lang w:val="bg-BG" w:eastAsia="bg-BG"/>
        </w:rPr>
      </w:pPr>
    </w:p>
    <w:p w14:paraId="21807C54" w14:textId="77777777" w:rsidR="00030380" w:rsidRPr="002D0ADE" w:rsidRDefault="00030380" w:rsidP="001D5641">
      <w:pPr>
        <w:spacing w:after="0" w:line="240" w:lineRule="auto"/>
        <w:rPr>
          <w:rFonts w:ascii="Times New Roman" w:hAnsi="Times New Roman"/>
          <w:szCs w:val="24"/>
          <w:lang w:val="bg-BG" w:eastAsia="bg-BG"/>
        </w:rPr>
      </w:pPr>
      <w:r w:rsidRPr="00235AE9">
        <w:rPr>
          <w:rFonts w:ascii="Times New Roman" w:hAnsi="Times New Roman"/>
          <w:szCs w:val="24"/>
          <w:lang w:val="bg-BG" w:eastAsia="bg-BG"/>
        </w:rPr>
        <w:t>Политиката по акумулирането на средства в</w:t>
      </w:r>
      <w:r w:rsidR="00DC2CA3">
        <w:rPr>
          <w:rFonts w:ascii="Times New Roman" w:hAnsi="Times New Roman"/>
          <w:szCs w:val="24"/>
          <w:lang w:val="bg-BG" w:eastAsia="bg-BG"/>
        </w:rPr>
        <w:t xml:space="preserve"> ДФГУДПС</w:t>
      </w:r>
      <w:r w:rsidRPr="00235AE9">
        <w:rPr>
          <w:rFonts w:ascii="Times New Roman" w:hAnsi="Times New Roman"/>
          <w:szCs w:val="24"/>
          <w:lang w:val="bg-BG" w:eastAsia="bg-BG"/>
        </w:rPr>
        <w:t xml:space="preserve"> е дефинирана съобразно предвидените от законодателя приходоизточници. Акумулирането на средства </w:t>
      </w:r>
      <w:r w:rsidR="002C76B0">
        <w:rPr>
          <w:rFonts w:ascii="Times New Roman" w:hAnsi="Times New Roman"/>
          <w:szCs w:val="24"/>
          <w:lang w:val="bg-BG" w:eastAsia="bg-BG"/>
        </w:rPr>
        <w:t>е</w:t>
      </w:r>
      <w:r w:rsidRPr="00235AE9">
        <w:rPr>
          <w:rFonts w:ascii="Times New Roman" w:hAnsi="Times New Roman"/>
          <w:szCs w:val="24"/>
          <w:lang w:val="bg-BG" w:eastAsia="bg-BG"/>
        </w:rPr>
        <w:t xml:space="preserve"> основно на база на предвидените отчисления в полза на </w:t>
      </w:r>
      <w:r w:rsidR="00DC2CA3">
        <w:rPr>
          <w:rFonts w:ascii="Times New Roman" w:hAnsi="Times New Roman"/>
          <w:szCs w:val="24"/>
          <w:lang w:val="bg-BG" w:eastAsia="bg-BG"/>
        </w:rPr>
        <w:t>ф</w:t>
      </w:r>
      <w:r w:rsidRPr="00235AE9">
        <w:rPr>
          <w:rFonts w:ascii="Times New Roman" w:hAnsi="Times New Roman"/>
          <w:szCs w:val="24"/>
          <w:lang w:val="bg-BG" w:eastAsia="bg-BG"/>
        </w:rPr>
        <w:t>онда от централния бюджет</w:t>
      </w:r>
      <w:r w:rsidRPr="00531306">
        <w:rPr>
          <w:rFonts w:ascii="Times New Roman" w:hAnsi="Times New Roman"/>
          <w:szCs w:val="24"/>
          <w:lang w:val="bg-BG" w:eastAsia="bg-BG"/>
        </w:rPr>
        <w:t xml:space="preserve">. </w:t>
      </w:r>
      <w:r w:rsidRPr="00235AE9">
        <w:rPr>
          <w:rFonts w:ascii="Times New Roman" w:hAnsi="Times New Roman"/>
          <w:szCs w:val="24"/>
          <w:lang w:val="bg-BG" w:eastAsia="bg-BG"/>
        </w:rPr>
        <w:t xml:space="preserve">Законодателят е предвидил </w:t>
      </w:r>
      <w:r>
        <w:rPr>
          <w:rFonts w:ascii="Times New Roman" w:hAnsi="Times New Roman"/>
          <w:szCs w:val="24"/>
          <w:lang w:val="bg-BG" w:eastAsia="bg-BG"/>
        </w:rPr>
        <w:t xml:space="preserve">този ежегоден трансфер да се формира на база на </w:t>
      </w:r>
      <w:r w:rsidR="00761B92">
        <w:rPr>
          <w:rFonts w:ascii="Times New Roman" w:hAnsi="Times New Roman"/>
          <w:szCs w:val="24"/>
          <w:lang w:val="bg-BG" w:eastAsia="bg-BG"/>
        </w:rPr>
        <w:t>паричните постъпления</w:t>
      </w:r>
      <w:r w:rsidRPr="00235AE9">
        <w:rPr>
          <w:rFonts w:ascii="Times New Roman" w:hAnsi="Times New Roman"/>
          <w:szCs w:val="24"/>
          <w:lang w:val="bg-BG" w:eastAsia="bg-BG"/>
        </w:rPr>
        <w:t xml:space="preserve"> от приватизация </w:t>
      </w:r>
      <w:r>
        <w:rPr>
          <w:rFonts w:ascii="Times New Roman" w:hAnsi="Times New Roman"/>
          <w:szCs w:val="24"/>
          <w:lang w:val="bg-BG" w:eastAsia="bg-BG"/>
        </w:rPr>
        <w:t xml:space="preserve">и </w:t>
      </w:r>
      <w:r w:rsidRPr="00235AE9">
        <w:rPr>
          <w:rFonts w:ascii="Times New Roman" w:hAnsi="Times New Roman"/>
          <w:szCs w:val="24"/>
          <w:lang w:val="bg-BG" w:eastAsia="bg-BG"/>
        </w:rPr>
        <w:t>приходите от концесии</w:t>
      </w:r>
      <w:r>
        <w:rPr>
          <w:rFonts w:ascii="Times New Roman" w:hAnsi="Times New Roman"/>
          <w:szCs w:val="24"/>
          <w:lang w:val="bg-BG" w:eastAsia="bg-BG"/>
        </w:rPr>
        <w:t>, отчетени</w:t>
      </w:r>
      <w:r w:rsidRPr="00235AE9">
        <w:rPr>
          <w:rFonts w:ascii="Times New Roman" w:hAnsi="Times New Roman"/>
          <w:szCs w:val="24"/>
          <w:lang w:val="bg-BG" w:eastAsia="bg-BG"/>
        </w:rPr>
        <w:t xml:space="preserve"> по държавния бюджет и 25 на сто от </w:t>
      </w:r>
      <w:r>
        <w:rPr>
          <w:rFonts w:ascii="Times New Roman" w:hAnsi="Times New Roman"/>
          <w:szCs w:val="24"/>
          <w:lang w:val="bg-BG" w:eastAsia="bg-BG"/>
        </w:rPr>
        <w:t xml:space="preserve">отчетения </w:t>
      </w:r>
      <w:r w:rsidRPr="00235AE9">
        <w:rPr>
          <w:rFonts w:ascii="Times New Roman" w:hAnsi="Times New Roman"/>
          <w:szCs w:val="24"/>
          <w:lang w:val="bg-BG" w:eastAsia="bg-BG"/>
        </w:rPr>
        <w:t xml:space="preserve">излишък </w:t>
      </w:r>
      <w:r>
        <w:rPr>
          <w:rFonts w:ascii="Times New Roman" w:hAnsi="Times New Roman"/>
          <w:szCs w:val="24"/>
          <w:lang w:val="bg-BG" w:eastAsia="bg-BG"/>
        </w:rPr>
        <w:t>на</w:t>
      </w:r>
      <w:r w:rsidRPr="00235AE9">
        <w:rPr>
          <w:rFonts w:ascii="Times New Roman" w:hAnsi="Times New Roman"/>
          <w:szCs w:val="24"/>
          <w:lang w:val="bg-BG" w:eastAsia="bg-BG"/>
        </w:rPr>
        <w:t xml:space="preserve"> държавния бюджет за </w:t>
      </w:r>
      <w:r>
        <w:rPr>
          <w:rFonts w:ascii="Times New Roman" w:hAnsi="Times New Roman"/>
          <w:szCs w:val="24"/>
          <w:lang w:val="bg-BG" w:eastAsia="bg-BG"/>
        </w:rPr>
        <w:t>съответната</w:t>
      </w:r>
      <w:r w:rsidRPr="00235AE9">
        <w:rPr>
          <w:rFonts w:ascii="Times New Roman" w:hAnsi="Times New Roman"/>
          <w:szCs w:val="24"/>
          <w:lang w:val="bg-BG" w:eastAsia="bg-BG"/>
        </w:rPr>
        <w:t xml:space="preserve"> година, </w:t>
      </w:r>
      <w:r w:rsidRPr="00531306">
        <w:rPr>
          <w:rFonts w:ascii="Times New Roman" w:hAnsi="Times New Roman"/>
          <w:szCs w:val="24"/>
          <w:lang w:val="bg-BG" w:eastAsia="bg-BG"/>
        </w:rPr>
        <w:t>както и приходи от други източници, определени със закон или с акт на Министерския съвет</w:t>
      </w:r>
      <w:r w:rsidRPr="00235AE9">
        <w:rPr>
          <w:rFonts w:ascii="Times New Roman" w:hAnsi="Times New Roman"/>
          <w:szCs w:val="24"/>
          <w:lang w:val="bg-BG" w:eastAsia="bg-BG"/>
        </w:rPr>
        <w:t xml:space="preserve">. </w:t>
      </w:r>
      <w:r w:rsidRPr="00531306">
        <w:rPr>
          <w:rFonts w:ascii="Times New Roman" w:hAnsi="Times New Roman"/>
          <w:szCs w:val="24"/>
          <w:lang w:val="bg-BG" w:eastAsia="bg-BG"/>
        </w:rPr>
        <w:t xml:space="preserve">В последните години отчисления за сметка на източника излишък по държавния </w:t>
      </w:r>
      <w:r w:rsidRPr="00C67AF9">
        <w:rPr>
          <w:rFonts w:ascii="Times New Roman" w:hAnsi="Times New Roman"/>
          <w:szCs w:val="24"/>
          <w:lang w:val="bg-BG" w:eastAsia="bg-BG"/>
        </w:rPr>
        <w:t>(</w:t>
      </w:r>
      <w:r>
        <w:rPr>
          <w:rFonts w:ascii="Times New Roman" w:hAnsi="Times New Roman"/>
          <w:szCs w:val="24"/>
          <w:lang w:val="bg-BG" w:eastAsia="bg-BG"/>
        </w:rPr>
        <w:t>до 2013 г. по</w:t>
      </w:r>
      <w:r w:rsidRPr="00531306">
        <w:rPr>
          <w:rFonts w:ascii="Times New Roman" w:hAnsi="Times New Roman"/>
          <w:szCs w:val="24"/>
          <w:lang w:val="bg-BG" w:eastAsia="bg-BG"/>
        </w:rPr>
        <w:t xml:space="preserve"> републиканския</w:t>
      </w:r>
      <w:r w:rsidRPr="00C67AF9">
        <w:rPr>
          <w:rFonts w:ascii="Times New Roman" w:hAnsi="Times New Roman"/>
          <w:szCs w:val="24"/>
          <w:lang w:val="bg-BG" w:eastAsia="bg-BG"/>
        </w:rPr>
        <w:t>)</w:t>
      </w:r>
      <w:r w:rsidRPr="00531306">
        <w:rPr>
          <w:rFonts w:ascii="Times New Roman" w:hAnsi="Times New Roman"/>
          <w:szCs w:val="24"/>
          <w:lang w:val="bg-BG" w:eastAsia="bg-BG"/>
        </w:rPr>
        <w:t xml:space="preserve"> бюджет няма, предвид на това, че бюджетното салдо е </w:t>
      </w:r>
      <w:r w:rsidR="00676391">
        <w:rPr>
          <w:rFonts w:ascii="Times New Roman" w:hAnsi="Times New Roman"/>
          <w:szCs w:val="24"/>
          <w:lang w:val="bg-BG" w:eastAsia="bg-BG"/>
        </w:rPr>
        <w:t>дефицит</w:t>
      </w:r>
      <w:r w:rsidRPr="00531306">
        <w:rPr>
          <w:rFonts w:ascii="Times New Roman" w:hAnsi="Times New Roman"/>
          <w:szCs w:val="24"/>
          <w:lang w:val="bg-BG" w:eastAsia="bg-BG"/>
        </w:rPr>
        <w:t>. Приходите от други източници, определени със закон или с акт на Министерския съвет</w:t>
      </w:r>
      <w:r w:rsidR="001D5641">
        <w:rPr>
          <w:rFonts w:ascii="Times New Roman" w:hAnsi="Times New Roman"/>
          <w:szCs w:val="24"/>
          <w:lang w:val="bg-BG" w:eastAsia="bg-BG"/>
        </w:rPr>
        <w:t>,</w:t>
      </w:r>
      <w:r w:rsidRPr="00531306">
        <w:rPr>
          <w:rFonts w:ascii="Times New Roman" w:hAnsi="Times New Roman"/>
          <w:szCs w:val="24"/>
          <w:lang w:val="bg-BG" w:eastAsia="bg-BG"/>
        </w:rPr>
        <w:t xml:space="preserve"> са </w:t>
      </w:r>
      <w:r w:rsidRPr="00EA2A32">
        <w:rPr>
          <w:rFonts w:ascii="Times New Roman" w:hAnsi="Times New Roman"/>
          <w:szCs w:val="24"/>
          <w:lang w:val="bg-BG" w:eastAsia="bg-BG"/>
        </w:rPr>
        <w:t>средства</w:t>
      </w:r>
      <w:r>
        <w:rPr>
          <w:rFonts w:ascii="Times New Roman" w:hAnsi="Times New Roman"/>
          <w:szCs w:val="24"/>
          <w:lang w:val="bg-BG" w:eastAsia="bg-BG"/>
        </w:rPr>
        <w:t>та</w:t>
      </w:r>
      <w:r w:rsidRPr="00EA2A32">
        <w:rPr>
          <w:rFonts w:ascii="Times New Roman" w:hAnsi="Times New Roman"/>
          <w:szCs w:val="24"/>
          <w:lang w:val="bg-BG" w:eastAsia="bg-BG"/>
        </w:rPr>
        <w:t xml:space="preserve"> от глоби</w:t>
      </w:r>
      <w:r w:rsidR="001D5641">
        <w:rPr>
          <w:rFonts w:ascii="Times New Roman" w:hAnsi="Times New Roman"/>
          <w:szCs w:val="24"/>
          <w:lang w:val="bg-BG" w:eastAsia="bg-BG"/>
        </w:rPr>
        <w:t>те</w:t>
      </w:r>
      <w:r w:rsidRPr="00EA2A32">
        <w:rPr>
          <w:rFonts w:ascii="Times New Roman" w:hAnsi="Times New Roman"/>
          <w:szCs w:val="24"/>
          <w:lang w:val="bg-BG" w:eastAsia="bg-BG"/>
        </w:rPr>
        <w:t>, имуществени</w:t>
      </w:r>
      <w:r w:rsidR="001D5641">
        <w:rPr>
          <w:rFonts w:ascii="Times New Roman" w:hAnsi="Times New Roman"/>
          <w:szCs w:val="24"/>
          <w:lang w:val="bg-BG" w:eastAsia="bg-BG"/>
        </w:rPr>
        <w:t>те</w:t>
      </w:r>
      <w:r w:rsidRPr="00EA2A32">
        <w:rPr>
          <w:rFonts w:ascii="Times New Roman" w:hAnsi="Times New Roman"/>
          <w:szCs w:val="24"/>
          <w:lang w:val="bg-BG" w:eastAsia="bg-BG"/>
        </w:rPr>
        <w:t xml:space="preserve"> санкции и неустойки</w:t>
      </w:r>
      <w:r w:rsidR="001D5641">
        <w:rPr>
          <w:rFonts w:ascii="Times New Roman" w:hAnsi="Times New Roman"/>
          <w:szCs w:val="24"/>
          <w:lang w:val="bg-BG" w:eastAsia="bg-BG"/>
        </w:rPr>
        <w:t>те</w:t>
      </w:r>
      <w:r w:rsidRPr="00EA2A32">
        <w:rPr>
          <w:rFonts w:ascii="Times New Roman" w:hAnsi="Times New Roman"/>
          <w:szCs w:val="24"/>
          <w:lang w:val="bg-BG" w:eastAsia="bg-BG"/>
        </w:rPr>
        <w:t>, свързани с приватизационния процес</w:t>
      </w:r>
      <w:r w:rsidR="001D5641">
        <w:rPr>
          <w:rFonts w:ascii="Times New Roman" w:hAnsi="Times New Roman"/>
          <w:szCs w:val="24"/>
          <w:lang w:val="bg-BG" w:eastAsia="bg-BG"/>
        </w:rPr>
        <w:t xml:space="preserve">, както и от </w:t>
      </w:r>
      <w:r w:rsidRPr="00EA2A32">
        <w:rPr>
          <w:rFonts w:ascii="Times New Roman" w:hAnsi="Times New Roman"/>
          <w:szCs w:val="24"/>
          <w:lang w:val="bg-BG" w:eastAsia="bg-BG"/>
        </w:rPr>
        <w:t>присъдени</w:t>
      </w:r>
      <w:r w:rsidR="001D5641" w:rsidRPr="00865B65">
        <w:rPr>
          <w:lang w:val="bg-BG"/>
        </w:rPr>
        <w:t xml:space="preserve"> </w:t>
      </w:r>
      <w:r w:rsidR="001D5641" w:rsidRPr="001D5641">
        <w:rPr>
          <w:rFonts w:ascii="Times New Roman" w:hAnsi="Times New Roman"/>
          <w:szCs w:val="24"/>
          <w:lang w:val="bg-BG" w:eastAsia="bg-BG"/>
        </w:rPr>
        <w:t>в полза на Агенцията за публичните предприятия и контрол</w:t>
      </w:r>
      <w:r w:rsidRPr="00EA2A32">
        <w:rPr>
          <w:rFonts w:ascii="Times New Roman" w:hAnsi="Times New Roman"/>
          <w:szCs w:val="24"/>
          <w:lang w:val="bg-BG" w:eastAsia="bg-BG"/>
        </w:rPr>
        <w:t xml:space="preserve"> </w:t>
      </w:r>
      <w:proofErr w:type="spellStart"/>
      <w:r w:rsidRPr="00EA2A32">
        <w:rPr>
          <w:rFonts w:ascii="Times New Roman" w:hAnsi="Times New Roman"/>
          <w:szCs w:val="24"/>
          <w:lang w:val="bg-BG" w:eastAsia="bg-BG"/>
        </w:rPr>
        <w:t>юрисконсултски</w:t>
      </w:r>
      <w:proofErr w:type="spellEnd"/>
      <w:r w:rsidRPr="00EA2A32">
        <w:rPr>
          <w:rFonts w:ascii="Times New Roman" w:hAnsi="Times New Roman"/>
          <w:szCs w:val="24"/>
          <w:lang w:val="bg-BG" w:eastAsia="bg-BG"/>
        </w:rPr>
        <w:t xml:space="preserve"> възнаграждения </w:t>
      </w:r>
      <w:r w:rsidR="001D5641" w:rsidRPr="001D5641">
        <w:rPr>
          <w:rFonts w:ascii="Times New Roman" w:hAnsi="Times New Roman"/>
          <w:szCs w:val="24"/>
          <w:lang w:val="bg-BG" w:eastAsia="bg-BG"/>
        </w:rPr>
        <w:t>(</w:t>
      </w:r>
      <w:r w:rsidRPr="00EA2A32">
        <w:rPr>
          <w:rFonts w:ascii="Times New Roman" w:hAnsi="Times New Roman"/>
          <w:szCs w:val="24"/>
          <w:lang w:val="bg-BG" w:eastAsia="bg-BG"/>
        </w:rPr>
        <w:t>чл. 8, ал. 8</w:t>
      </w:r>
      <w:r w:rsidR="00676391">
        <w:rPr>
          <w:rFonts w:ascii="Times New Roman" w:hAnsi="Times New Roman"/>
          <w:szCs w:val="24"/>
          <w:lang w:val="bg-BG" w:eastAsia="bg-BG"/>
        </w:rPr>
        <w:t xml:space="preserve">, т. </w:t>
      </w:r>
      <w:r w:rsidRPr="0032486C">
        <w:rPr>
          <w:rFonts w:ascii="Times New Roman" w:hAnsi="Times New Roman"/>
          <w:szCs w:val="24"/>
          <w:lang w:val="bg-BG" w:eastAsia="bg-BG"/>
        </w:rPr>
        <w:t>2</w:t>
      </w:r>
      <w:r w:rsidRPr="00EA2A32">
        <w:rPr>
          <w:rFonts w:ascii="Times New Roman" w:hAnsi="Times New Roman"/>
          <w:szCs w:val="24"/>
          <w:lang w:val="bg-BG" w:eastAsia="bg-BG"/>
        </w:rPr>
        <w:t xml:space="preserve"> и ал. </w:t>
      </w:r>
      <w:r>
        <w:rPr>
          <w:rFonts w:ascii="Times New Roman" w:hAnsi="Times New Roman"/>
          <w:szCs w:val="24"/>
          <w:lang w:val="bg-BG" w:eastAsia="bg-BG"/>
        </w:rPr>
        <w:t>9</w:t>
      </w:r>
      <w:r w:rsidRPr="00EA2A32">
        <w:rPr>
          <w:rFonts w:ascii="Times New Roman" w:hAnsi="Times New Roman"/>
          <w:szCs w:val="24"/>
          <w:lang w:val="bg-BG" w:eastAsia="bg-BG"/>
        </w:rPr>
        <w:t xml:space="preserve"> от Закона за приватизация и следприватизационен контрол</w:t>
      </w:r>
      <w:r w:rsidR="001D5641" w:rsidRPr="00865B65">
        <w:rPr>
          <w:rFonts w:ascii="Times New Roman" w:hAnsi="Times New Roman"/>
          <w:szCs w:val="24"/>
          <w:lang w:val="bg-BG" w:eastAsia="bg-BG"/>
        </w:rPr>
        <w:t>)</w:t>
      </w:r>
      <w:r>
        <w:rPr>
          <w:rFonts w:ascii="Times New Roman" w:hAnsi="Times New Roman"/>
          <w:szCs w:val="24"/>
          <w:lang w:val="bg-BG" w:eastAsia="bg-BG"/>
        </w:rPr>
        <w:t>.</w:t>
      </w:r>
      <w:r w:rsidRPr="00EA2A32">
        <w:rPr>
          <w:rFonts w:ascii="Times New Roman" w:hAnsi="Times New Roman"/>
          <w:szCs w:val="24"/>
          <w:lang w:val="bg-BG" w:eastAsia="bg-BG"/>
        </w:rPr>
        <w:t xml:space="preserve"> </w:t>
      </w:r>
      <w:r>
        <w:rPr>
          <w:rFonts w:ascii="Times New Roman" w:hAnsi="Times New Roman"/>
          <w:szCs w:val="24"/>
          <w:lang w:val="bg-BG" w:eastAsia="bg-BG"/>
        </w:rPr>
        <w:t xml:space="preserve">Трансферът се извършва на база на отчетни данни за предходната година на посочените по-горе източници. </w:t>
      </w:r>
      <w:r w:rsidRPr="00E85A4A">
        <w:rPr>
          <w:rFonts w:ascii="Times New Roman" w:hAnsi="Times New Roman"/>
          <w:szCs w:val="24"/>
          <w:lang w:val="bg-BG" w:eastAsia="bg-BG"/>
        </w:rPr>
        <w:t>Освен това, от 2015 г. по сметка на фонда се трансферират и средства по реда на чл. 1, ал. 4 от ЗДФГУДПС във връзка с чл.</w:t>
      </w:r>
      <w:r w:rsidRPr="00925EAB">
        <w:rPr>
          <w:rFonts w:ascii="Times New Roman" w:hAnsi="Times New Roman"/>
          <w:szCs w:val="24"/>
          <w:lang w:val="bg-BG" w:eastAsia="bg-BG"/>
        </w:rPr>
        <w:t xml:space="preserve"> </w:t>
      </w:r>
      <w:r w:rsidRPr="00E85A4A">
        <w:rPr>
          <w:rFonts w:ascii="Times New Roman" w:hAnsi="Times New Roman"/>
          <w:szCs w:val="24"/>
          <w:lang w:val="bg-BG" w:eastAsia="bg-BG"/>
        </w:rPr>
        <w:t>129, ал. 12 от КСО</w:t>
      </w:r>
      <w:r w:rsidR="00E07892">
        <w:rPr>
          <w:rFonts w:ascii="Times New Roman" w:hAnsi="Times New Roman"/>
          <w:szCs w:val="24"/>
          <w:lang w:val="bg-BG" w:eastAsia="bg-BG"/>
        </w:rPr>
        <w:t xml:space="preserve">, а именно </w:t>
      </w:r>
      <w:r w:rsidR="00E07892" w:rsidRPr="00E07892">
        <w:rPr>
          <w:rFonts w:ascii="Times New Roman" w:hAnsi="Times New Roman"/>
          <w:szCs w:val="24"/>
          <w:lang w:val="bg-BG" w:eastAsia="bg-BG"/>
        </w:rPr>
        <w:t xml:space="preserve">натрупаните средства в индивидуалната партида на осигурените лица при промяна на осигуряването от универсален пенсионен фонд във фонд "Пенсии", съответно във фонд "Пенсии за лицата по чл. 69". При отпускане на пенсия по част първа или при смърт на лице, за което са прехвърлени средства по реда на чл. 129, ал. 12, същите се прехвърлят във фонд "Пенсии", съответно във фонд "Пенсии за лицата по чл. 69", на </w:t>
      </w:r>
      <w:r w:rsidR="00E07892">
        <w:rPr>
          <w:rFonts w:ascii="Times New Roman" w:hAnsi="Times New Roman"/>
          <w:szCs w:val="24"/>
          <w:lang w:val="bg-BG" w:eastAsia="bg-BG"/>
        </w:rPr>
        <w:t>ДОО</w:t>
      </w:r>
      <w:r w:rsidR="00E07892" w:rsidRPr="00E07892">
        <w:rPr>
          <w:rFonts w:ascii="Times New Roman" w:hAnsi="Times New Roman"/>
          <w:szCs w:val="24"/>
          <w:lang w:val="bg-BG" w:eastAsia="bg-BG"/>
        </w:rPr>
        <w:t>.</w:t>
      </w:r>
      <w:r w:rsidRPr="002D0ADE">
        <w:rPr>
          <w:rFonts w:ascii="Times New Roman" w:hAnsi="Times New Roman"/>
          <w:szCs w:val="24"/>
          <w:lang w:val="bg-BG" w:eastAsia="bg-BG"/>
        </w:rPr>
        <w:t xml:space="preserve"> </w:t>
      </w:r>
    </w:p>
    <w:p w14:paraId="592E6101" w14:textId="77777777" w:rsidR="00181736" w:rsidRDefault="00030380" w:rsidP="004878AA">
      <w:pPr>
        <w:spacing w:line="240" w:lineRule="auto"/>
        <w:ind w:firstLine="142"/>
        <w:rPr>
          <w:rFonts w:ascii="Times New Roman" w:hAnsi="Times New Roman"/>
          <w:szCs w:val="24"/>
          <w:lang w:val="bg-BG" w:eastAsia="bg-BG"/>
        </w:rPr>
      </w:pPr>
      <w:r>
        <w:rPr>
          <w:rFonts w:ascii="Times New Roman" w:hAnsi="Times New Roman"/>
          <w:szCs w:val="24"/>
          <w:lang w:val="bg-BG" w:eastAsia="bg-BG"/>
        </w:rPr>
        <w:t>Таблицата по-долу представя приходи и наличности на ДФГУДПС за периода от 2007</w:t>
      </w:r>
      <w:r w:rsidR="007F1716">
        <w:rPr>
          <w:rFonts w:ascii="Times New Roman" w:hAnsi="Times New Roman"/>
          <w:szCs w:val="24"/>
          <w:lang w:val="bg-BG" w:eastAsia="bg-BG"/>
        </w:rPr>
        <w:t> </w:t>
      </w:r>
      <w:r>
        <w:rPr>
          <w:rFonts w:ascii="Times New Roman" w:hAnsi="Times New Roman"/>
          <w:szCs w:val="24"/>
          <w:lang w:val="bg-BG" w:eastAsia="bg-BG"/>
        </w:rPr>
        <w:t>г. до 30.</w:t>
      </w:r>
      <w:r w:rsidR="00CA5ECE">
        <w:rPr>
          <w:rFonts w:ascii="Times New Roman" w:hAnsi="Times New Roman"/>
          <w:szCs w:val="24"/>
          <w:lang w:val="bg-BG" w:eastAsia="bg-BG"/>
        </w:rPr>
        <w:t>11</w:t>
      </w:r>
      <w:r>
        <w:rPr>
          <w:rFonts w:ascii="Times New Roman" w:hAnsi="Times New Roman"/>
          <w:szCs w:val="24"/>
          <w:lang w:val="bg-BG" w:eastAsia="bg-BG"/>
        </w:rPr>
        <w:t>.20</w:t>
      </w:r>
      <w:r w:rsidR="003646F0">
        <w:rPr>
          <w:rFonts w:ascii="Times New Roman" w:hAnsi="Times New Roman"/>
          <w:szCs w:val="24"/>
          <w:lang w:val="bg-BG" w:eastAsia="bg-BG"/>
        </w:rPr>
        <w:t>2</w:t>
      </w:r>
      <w:r w:rsidR="00CA5ECE">
        <w:rPr>
          <w:rFonts w:ascii="Times New Roman" w:hAnsi="Times New Roman"/>
          <w:szCs w:val="24"/>
          <w:lang w:val="bg-BG" w:eastAsia="bg-BG"/>
        </w:rPr>
        <w:t>5</w:t>
      </w:r>
      <w:r>
        <w:rPr>
          <w:rFonts w:ascii="Times New Roman" w:hAnsi="Times New Roman"/>
          <w:szCs w:val="24"/>
          <w:lang w:val="bg-BG" w:eastAsia="bg-BG"/>
        </w:rPr>
        <w:t xml:space="preserve"> г.</w:t>
      </w:r>
    </w:p>
    <w:p w14:paraId="634C4FEF" w14:textId="77777777" w:rsidR="004878AA" w:rsidRDefault="004878AA" w:rsidP="004878AA">
      <w:pPr>
        <w:spacing w:line="240" w:lineRule="auto"/>
        <w:ind w:firstLine="142"/>
        <w:rPr>
          <w:rFonts w:ascii="Times New Roman" w:hAnsi="Times New Roman"/>
          <w:szCs w:val="24"/>
          <w:lang w:val="bg-BG" w:eastAsia="bg-BG"/>
        </w:rPr>
      </w:pPr>
      <w:r w:rsidRPr="004878AA">
        <w:rPr>
          <w:noProof/>
          <w:lang w:val="bg-BG" w:eastAsia="bg-BG"/>
        </w:rPr>
        <w:lastRenderedPageBreak/>
        <w:drawing>
          <wp:inline distT="0" distB="0" distL="0" distR="0" wp14:anchorId="6FB9DB31" wp14:editId="481AD971">
            <wp:extent cx="6026150" cy="453111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0" cy="4531113"/>
                    </a:xfrm>
                    <a:prstGeom prst="rect">
                      <a:avLst/>
                    </a:prstGeom>
                    <a:noFill/>
                    <a:ln>
                      <a:noFill/>
                    </a:ln>
                  </pic:spPr>
                </pic:pic>
              </a:graphicData>
            </a:graphic>
          </wp:inline>
        </w:drawing>
      </w:r>
    </w:p>
    <w:p w14:paraId="01A3653C" w14:textId="77777777" w:rsidR="00181736" w:rsidRPr="00374658" w:rsidRDefault="00181736" w:rsidP="00157933">
      <w:pPr>
        <w:spacing w:line="240" w:lineRule="auto"/>
        <w:ind w:firstLine="142"/>
        <w:rPr>
          <w:rFonts w:ascii="Times New Roman" w:hAnsi="Times New Roman"/>
          <w:sz w:val="16"/>
          <w:szCs w:val="16"/>
          <w:lang w:val="bg-BG" w:eastAsia="bg-BG"/>
        </w:rPr>
      </w:pPr>
    </w:p>
    <w:p w14:paraId="746F675D" w14:textId="77777777" w:rsidR="00E516B8" w:rsidRDefault="00E516B8" w:rsidP="00B80A21">
      <w:pPr>
        <w:spacing w:after="0" w:line="240" w:lineRule="auto"/>
        <w:rPr>
          <w:rFonts w:ascii="Times New Roman" w:hAnsi="Times New Roman"/>
          <w:b/>
          <w:szCs w:val="24"/>
          <w:lang w:val="bg-BG" w:eastAsia="bg-BG"/>
        </w:rPr>
      </w:pPr>
      <w:r w:rsidRPr="00EA2A32">
        <w:rPr>
          <w:rFonts w:ascii="Times New Roman" w:hAnsi="Times New Roman"/>
          <w:b/>
          <w:szCs w:val="24"/>
          <w:lang w:val="bg-BG" w:eastAsia="bg-BG"/>
        </w:rPr>
        <w:t xml:space="preserve">3. </w:t>
      </w:r>
      <w:r w:rsidRPr="00C0006D">
        <w:rPr>
          <w:rFonts w:ascii="Times New Roman" w:hAnsi="Times New Roman"/>
          <w:b/>
          <w:szCs w:val="24"/>
          <w:lang w:val="bg-BG" w:eastAsia="bg-BG"/>
        </w:rPr>
        <w:t>Управление на средствата</w:t>
      </w:r>
    </w:p>
    <w:p w14:paraId="70DD604E" w14:textId="77777777" w:rsidR="00EE27C8" w:rsidRPr="00B80A21" w:rsidRDefault="00EE27C8" w:rsidP="00B80A21">
      <w:pPr>
        <w:spacing w:after="0" w:line="240" w:lineRule="auto"/>
        <w:rPr>
          <w:rFonts w:ascii="Times New Roman" w:hAnsi="Times New Roman"/>
          <w:b/>
          <w:sz w:val="10"/>
          <w:szCs w:val="10"/>
          <w:lang w:val="bg-BG" w:eastAsia="bg-BG"/>
        </w:rPr>
      </w:pPr>
    </w:p>
    <w:p w14:paraId="77C48FF0" w14:textId="77777777" w:rsidR="008C5837" w:rsidRDefault="00030380" w:rsidP="00707ECE">
      <w:pPr>
        <w:spacing w:after="0" w:line="240" w:lineRule="auto"/>
        <w:ind w:firstLine="709"/>
        <w:rPr>
          <w:rFonts w:ascii="Times New Roman" w:hAnsi="Times New Roman"/>
          <w:color w:val="000000"/>
          <w:szCs w:val="24"/>
          <w:lang w:val="bg-BG" w:eastAsia="bg-BG"/>
        </w:rPr>
      </w:pPr>
      <w:r>
        <w:rPr>
          <w:rFonts w:ascii="Times New Roman" w:hAnsi="Times New Roman"/>
          <w:color w:val="000000"/>
          <w:szCs w:val="24"/>
          <w:lang w:val="bg-BG" w:eastAsia="bg-BG"/>
        </w:rPr>
        <w:t xml:space="preserve">Акумулираните по сметка на </w:t>
      </w:r>
      <w:r w:rsidR="00DC2CA3">
        <w:rPr>
          <w:rFonts w:ascii="Times New Roman" w:hAnsi="Times New Roman"/>
          <w:color w:val="000000"/>
          <w:szCs w:val="24"/>
          <w:lang w:val="bg-BG" w:eastAsia="bg-BG"/>
        </w:rPr>
        <w:t>ф</w:t>
      </w:r>
      <w:r w:rsidRPr="001223A1">
        <w:rPr>
          <w:rFonts w:ascii="Times New Roman" w:hAnsi="Times New Roman"/>
          <w:color w:val="000000"/>
          <w:szCs w:val="24"/>
          <w:lang w:val="bg-BG" w:eastAsia="bg-BG"/>
        </w:rPr>
        <w:t xml:space="preserve">онда средства </w:t>
      </w:r>
      <w:r w:rsidR="00A870EA">
        <w:rPr>
          <w:rFonts w:ascii="Times New Roman" w:hAnsi="Times New Roman"/>
          <w:color w:val="000000"/>
          <w:szCs w:val="24"/>
          <w:lang w:val="bg-BG" w:eastAsia="bg-BG"/>
        </w:rPr>
        <w:t xml:space="preserve">към месец </w:t>
      </w:r>
      <w:r w:rsidR="00E87FED">
        <w:rPr>
          <w:rFonts w:ascii="Times New Roman" w:hAnsi="Times New Roman"/>
          <w:color w:val="000000"/>
          <w:szCs w:val="24"/>
          <w:lang w:val="bg-BG" w:eastAsia="bg-BG"/>
        </w:rPr>
        <w:t>ноември</w:t>
      </w:r>
      <w:r w:rsidR="00A870EA">
        <w:rPr>
          <w:rFonts w:ascii="Times New Roman" w:hAnsi="Times New Roman"/>
          <w:color w:val="000000"/>
          <w:szCs w:val="24"/>
          <w:lang w:val="bg-BG" w:eastAsia="bg-BG"/>
        </w:rPr>
        <w:t xml:space="preserve"> 20</w:t>
      </w:r>
      <w:r w:rsidR="00874543">
        <w:rPr>
          <w:rFonts w:ascii="Times New Roman" w:hAnsi="Times New Roman"/>
          <w:color w:val="000000"/>
          <w:szCs w:val="24"/>
          <w:lang w:val="bg-BG" w:eastAsia="bg-BG"/>
        </w:rPr>
        <w:t>2</w:t>
      </w:r>
      <w:r w:rsidR="00E87FED">
        <w:rPr>
          <w:rFonts w:ascii="Times New Roman" w:hAnsi="Times New Roman"/>
          <w:color w:val="000000"/>
          <w:szCs w:val="24"/>
          <w:lang w:val="bg-BG" w:eastAsia="bg-BG"/>
        </w:rPr>
        <w:t>5</w:t>
      </w:r>
      <w:r w:rsidR="00A870EA">
        <w:rPr>
          <w:rFonts w:ascii="Times New Roman" w:hAnsi="Times New Roman"/>
          <w:color w:val="000000"/>
          <w:szCs w:val="24"/>
          <w:lang w:val="bg-BG" w:eastAsia="bg-BG"/>
        </w:rPr>
        <w:t xml:space="preserve"> г. са в </w:t>
      </w:r>
      <w:r w:rsidR="00A870EA" w:rsidRPr="001223A1">
        <w:rPr>
          <w:rFonts w:ascii="Times New Roman" w:hAnsi="Times New Roman"/>
          <w:color w:val="000000"/>
          <w:szCs w:val="24"/>
          <w:lang w:val="bg-BG" w:eastAsia="bg-BG"/>
        </w:rPr>
        <w:t xml:space="preserve">размер на </w:t>
      </w:r>
      <w:r w:rsidR="00E40960">
        <w:rPr>
          <w:rFonts w:ascii="Times New Roman" w:hAnsi="Times New Roman"/>
          <w:color w:val="000000"/>
          <w:szCs w:val="24"/>
          <w:lang w:val="bg-BG" w:eastAsia="bg-BG"/>
        </w:rPr>
        <w:t>4</w:t>
      </w:r>
      <w:r w:rsidR="00707ECE" w:rsidRPr="00891117">
        <w:rPr>
          <w:rFonts w:ascii="Times New Roman" w:hAnsi="Times New Roman"/>
          <w:color w:val="000000"/>
          <w:szCs w:val="24"/>
          <w:lang w:val="bg-BG" w:eastAsia="bg-BG"/>
        </w:rPr>
        <w:t xml:space="preserve"> </w:t>
      </w:r>
      <w:r w:rsidR="00E87FED">
        <w:rPr>
          <w:rFonts w:ascii="Times New Roman" w:hAnsi="Times New Roman"/>
          <w:color w:val="000000"/>
          <w:szCs w:val="24"/>
          <w:lang w:val="bg-BG" w:eastAsia="bg-BG"/>
        </w:rPr>
        <w:t>385</w:t>
      </w:r>
      <w:r w:rsidR="00A870EA" w:rsidRPr="00891117">
        <w:rPr>
          <w:rFonts w:ascii="Times New Roman" w:hAnsi="Times New Roman"/>
          <w:color w:val="000000"/>
          <w:szCs w:val="24"/>
          <w:lang w:val="bg-BG" w:eastAsia="bg-BG"/>
        </w:rPr>
        <w:t>,</w:t>
      </w:r>
      <w:r w:rsidR="00E87FED">
        <w:rPr>
          <w:rFonts w:ascii="Times New Roman" w:hAnsi="Times New Roman"/>
          <w:color w:val="000000"/>
          <w:szCs w:val="24"/>
          <w:lang w:val="bg-BG" w:eastAsia="bg-BG"/>
        </w:rPr>
        <w:t>3</w:t>
      </w:r>
      <w:r w:rsidR="00A870EA" w:rsidRPr="002E6E7C">
        <w:rPr>
          <w:rFonts w:ascii="Times New Roman" w:hAnsi="Times New Roman"/>
          <w:color w:val="000000"/>
          <w:szCs w:val="24"/>
          <w:lang w:val="bg-BG" w:eastAsia="bg-BG"/>
        </w:rPr>
        <w:t xml:space="preserve"> млн. лв.</w:t>
      </w:r>
      <w:r w:rsidR="00E40960">
        <w:rPr>
          <w:rFonts w:ascii="Times New Roman" w:hAnsi="Times New Roman"/>
          <w:color w:val="000000"/>
          <w:szCs w:val="24"/>
          <w:lang w:val="bg-BG" w:eastAsia="bg-BG"/>
        </w:rPr>
        <w:t>, съхранявани в БНБ</w:t>
      </w:r>
      <w:r w:rsidR="006B5F9E">
        <w:rPr>
          <w:rFonts w:ascii="Times New Roman" w:hAnsi="Times New Roman"/>
          <w:color w:val="000000"/>
          <w:szCs w:val="24"/>
          <w:lang w:val="bg-BG" w:eastAsia="bg-BG"/>
        </w:rPr>
        <w:t xml:space="preserve"> </w:t>
      </w:r>
      <w:r w:rsidR="008C5837" w:rsidRPr="008C5837">
        <w:rPr>
          <w:rFonts w:ascii="Times New Roman" w:hAnsi="Times New Roman"/>
          <w:color w:val="000000"/>
          <w:szCs w:val="24"/>
          <w:lang w:val="bg-BG" w:eastAsia="bg-BG"/>
        </w:rPr>
        <w:t xml:space="preserve">при лихвен процент съгласно Общите условия на БНБ за обслужване на сметки на банки, бюджетни организации и други клиенти (промените са приети с решение на УС на БНБ, в сила </w:t>
      </w:r>
      <w:r w:rsidR="008C5837" w:rsidRPr="00FA3E61">
        <w:rPr>
          <w:rFonts w:ascii="Times New Roman" w:hAnsi="Times New Roman"/>
          <w:color w:val="000000"/>
          <w:szCs w:val="24"/>
          <w:lang w:val="bg-BG" w:eastAsia="bg-BG"/>
        </w:rPr>
        <w:t>от 01.07.2023 г.).</w:t>
      </w:r>
      <w:r w:rsidR="008C5837" w:rsidRPr="008C5837">
        <w:rPr>
          <w:rFonts w:ascii="Times New Roman" w:hAnsi="Times New Roman"/>
          <w:color w:val="000000"/>
          <w:szCs w:val="24"/>
          <w:lang w:val="bg-BG" w:eastAsia="bg-BG"/>
        </w:rPr>
        <w:t xml:space="preserve"> Върху депозитите на фонда ежемесечно се начисляват положителни лихви, съгласно Бюлетина за лихвените проценти на правителството и бюджетните организации в БНБ, които за периода </w:t>
      </w:r>
      <w:r w:rsidR="008C5837" w:rsidRPr="00E40960">
        <w:rPr>
          <w:rFonts w:ascii="Times New Roman" w:hAnsi="Times New Roman"/>
          <w:color w:val="000000"/>
          <w:szCs w:val="24"/>
          <w:lang w:val="bg-BG" w:eastAsia="bg-BG"/>
        </w:rPr>
        <w:t>01.01- 3</w:t>
      </w:r>
      <w:r w:rsidR="00E87FED">
        <w:rPr>
          <w:rFonts w:ascii="Times New Roman" w:hAnsi="Times New Roman"/>
          <w:color w:val="000000"/>
          <w:szCs w:val="24"/>
          <w:lang w:val="bg-BG" w:eastAsia="bg-BG"/>
        </w:rPr>
        <w:t>0</w:t>
      </w:r>
      <w:r w:rsidR="008C5837" w:rsidRPr="00E40960">
        <w:rPr>
          <w:rFonts w:ascii="Times New Roman" w:hAnsi="Times New Roman"/>
          <w:color w:val="000000"/>
          <w:szCs w:val="24"/>
          <w:lang w:val="bg-BG" w:eastAsia="bg-BG"/>
        </w:rPr>
        <w:t>.1</w:t>
      </w:r>
      <w:r w:rsidR="00E87FED">
        <w:rPr>
          <w:rFonts w:ascii="Times New Roman" w:hAnsi="Times New Roman"/>
          <w:color w:val="000000"/>
          <w:szCs w:val="24"/>
          <w:lang w:val="bg-BG" w:eastAsia="bg-BG"/>
        </w:rPr>
        <w:t>1</w:t>
      </w:r>
      <w:r w:rsidR="008C5837" w:rsidRPr="00E40960">
        <w:rPr>
          <w:rFonts w:ascii="Times New Roman" w:hAnsi="Times New Roman"/>
          <w:color w:val="000000"/>
          <w:szCs w:val="24"/>
          <w:lang w:val="bg-BG" w:eastAsia="bg-BG"/>
        </w:rPr>
        <w:t>.202</w:t>
      </w:r>
      <w:r w:rsidR="00E87FED">
        <w:rPr>
          <w:rFonts w:ascii="Times New Roman" w:hAnsi="Times New Roman"/>
          <w:color w:val="000000"/>
          <w:szCs w:val="24"/>
          <w:lang w:val="bg-BG" w:eastAsia="bg-BG"/>
        </w:rPr>
        <w:t>5</w:t>
      </w:r>
      <w:r w:rsidR="008C5837" w:rsidRPr="008C5837">
        <w:rPr>
          <w:rFonts w:ascii="Times New Roman" w:hAnsi="Times New Roman"/>
          <w:color w:val="000000"/>
          <w:szCs w:val="24"/>
          <w:lang w:val="bg-BG" w:eastAsia="bg-BG"/>
        </w:rPr>
        <w:t xml:space="preserve"> г. са в общ размер </w:t>
      </w:r>
      <w:r w:rsidR="008C5837" w:rsidRPr="00FA3E61">
        <w:rPr>
          <w:rFonts w:ascii="Times New Roman" w:hAnsi="Times New Roman"/>
          <w:color w:val="000000"/>
          <w:szCs w:val="24"/>
          <w:lang w:val="bg-BG" w:eastAsia="bg-BG"/>
        </w:rPr>
        <w:t xml:space="preserve">на </w:t>
      </w:r>
      <w:r w:rsidR="001756AD">
        <w:rPr>
          <w:rFonts w:ascii="Times New Roman" w:hAnsi="Times New Roman"/>
          <w:color w:val="000000"/>
          <w:szCs w:val="24"/>
          <w:lang w:val="bg-BG" w:eastAsia="bg-BG"/>
        </w:rPr>
        <w:t>74</w:t>
      </w:r>
      <w:r w:rsidR="008C5837" w:rsidRPr="00FA3E61">
        <w:rPr>
          <w:rFonts w:ascii="Times New Roman" w:hAnsi="Times New Roman"/>
          <w:color w:val="000000"/>
          <w:szCs w:val="24"/>
          <w:lang w:val="bg-BG" w:eastAsia="bg-BG"/>
        </w:rPr>
        <w:t>,</w:t>
      </w:r>
      <w:r w:rsidR="001756AD">
        <w:rPr>
          <w:rFonts w:ascii="Times New Roman" w:hAnsi="Times New Roman"/>
          <w:color w:val="000000"/>
          <w:szCs w:val="24"/>
          <w:lang w:val="bg-BG" w:eastAsia="bg-BG"/>
        </w:rPr>
        <w:t>4</w:t>
      </w:r>
      <w:r w:rsidR="008C5837" w:rsidRPr="00FA3E61">
        <w:rPr>
          <w:rFonts w:ascii="Times New Roman" w:hAnsi="Times New Roman"/>
          <w:color w:val="000000"/>
          <w:szCs w:val="24"/>
          <w:lang w:val="bg-BG" w:eastAsia="bg-BG"/>
        </w:rPr>
        <w:t xml:space="preserve"> млн</w:t>
      </w:r>
      <w:r w:rsidR="008C5837" w:rsidRPr="008C5837">
        <w:rPr>
          <w:rFonts w:ascii="Times New Roman" w:hAnsi="Times New Roman"/>
          <w:color w:val="000000"/>
          <w:szCs w:val="24"/>
          <w:lang w:val="bg-BG" w:eastAsia="bg-BG"/>
        </w:rPr>
        <w:t>. лв.</w:t>
      </w:r>
    </w:p>
    <w:p w14:paraId="4AD2D0EA" w14:textId="77777777" w:rsidR="0014058C" w:rsidRDefault="00030380" w:rsidP="00707ECE">
      <w:pPr>
        <w:spacing w:after="0" w:line="240" w:lineRule="auto"/>
        <w:ind w:firstLine="709"/>
        <w:rPr>
          <w:rFonts w:ascii="Times New Roman" w:hAnsi="Times New Roman"/>
          <w:szCs w:val="24"/>
          <w:lang w:val="bg-BG" w:eastAsia="bg-BG"/>
        </w:rPr>
      </w:pPr>
      <w:r w:rsidRPr="00234F9B">
        <w:rPr>
          <w:rFonts w:ascii="Times New Roman" w:hAnsi="Times New Roman"/>
          <w:szCs w:val="24"/>
          <w:lang w:val="bg-BG" w:eastAsia="bg-BG"/>
        </w:rPr>
        <w:t>При продължаваща нестабилност на световните фина</w:t>
      </w:r>
      <w:r w:rsidRPr="005A629C">
        <w:rPr>
          <w:rFonts w:ascii="Times New Roman" w:hAnsi="Times New Roman"/>
          <w:szCs w:val="24"/>
          <w:lang w:val="bg-BG" w:eastAsia="bg-BG"/>
        </w:rPr>
        <w:t xml:space="preserve">нсови пазари </w:t>
      </w:r>
      <w:r w:rsidR="0012677E">
        <w:rPr>
          <w:rFonts w:ascii="Times New Roman" w:hAnsi="Times New Roman"/>
          <w:szCs w:val="24"/>
          <w:lang w:val="bg-BG" w:eastAsia="bg-BG"/>
        </w:rPr>
        <w:t>управителният съвет</w:t>
      </w:r>
      <w:r w:rsidRPr="005A629C">
        <w:rPr>
          <w:rFonts w:ascii="Times New Roman" w:hAnsi="Times New Roman"/>
          <w:szCs w:val="24"/>
          <w:lang w:val="bg-BG" w:eastAsia="bg-BG"/>
        </w:rPr>
        <w:t xml:space="preserve"> продължи подхода за консервативното </w:t>
      </w:r>
      <w:r w:rsidR="00547E9D" w:rsidRPr="005A629C">
        <w:rPr>
          <w:rFonts w:ascii="Times New Roman" w:hAnsi="Times New Roman"/>
          <w:szCs w:val="24"/>
          <w:lang w:val="bg-BG" w:eastAsia="bg-BG"/>
        </w:rPr>
        <w:t>депозиране</w:t>
      </w:r>
      <w:r w:rsidRPr="005A629C">
        <w:rPr>
          <w:rFonts w:ascii="Times New Roman" w:hAnsi="Times New Roman"/>
          <w:szCs w:val="24"/>
          <w:lang w:val="bg-BG" w:eastAsia="bg-BG"/>
        </w:rPr>
        <w:t xml:space="preserve"> на средствата на </w:t>
      </w:r>
      <w:r w:rsidR="00DC2CA3" w:rsidRPr="005A629C">
        <w:rPr>
          <w:rFonts w:ascii="Times New Roman" w:hAnsi="Times New Roman"/>
          <w:szCs w:val="24"/>
          <w:lang w:val="bg-BG" w:eastAsia="bg-BG"/>
        </w:rPr>
        <w:t>ф</w:t>
      </w:r>
      <w:r w:rsidRPr="005A629C">
        <w:rPr>
          <w:rFonts w:ascii="Times New Roman" w:hAnsi="Times New Roman"/>
          <w:szCs w:val="24"/>
          <w:lang w:val="bg-BG" w:eastAsia="bg-BG"/>
        </w:rPr>
        <w:t xml:space="preserve">онда в </w:t>
      </w:r>
      <w:r w:rsidR="00D52468" w:rsidRPr="005A629C">
        <w:rPr>
          <w:rFonts w:ascii="Times New Roman" w:hAnsi="Times New Roman"/>
          <w:szCs w:val="24"/>
          <w:lang w:val="bg-BG" w:eastAsia="bg-BG"/>
        </w:rPr>
        <w:t xml:space="preserve">отделна </w:t>
      </w:r>
      <w:r w:rsidRPr="005A629C">
        <w:rPr>
          <w:rFonts w:ascii="Times New Roman" w:hAnsi="Times New Roman"/>
          <w:szCs w:val="24"/>
          <w:lang w:val="bg-BG" w:eastAsia="bg-BG"/>
        </w:rPr>
        <w:t>сметк</w:t>
      </w:r>
      <w:r w:rsidR="00D52468" w:rsidRPr="005A629C">
        <w:rPr>
          <w:rFonts w:ascii="Times New Roman" w:hAnsi="Times New Roman"/>
          <w:szCs w:val="24"/>
          <w:lang w:val="bg-BG" w:eastAsia="bg-BG"/>
        </w:rPr>
        <w:t>а</w:t>
      </w:r>
      <w:r w:rsidRPr="005A629C">
        <w:rPr>
          <w:rFonts w:ascii="Times New Roman" w:hAnsi="Times New Roman"/>
          <w:szCs w:val="24"/>
          <w:lang w:val="bg-BG" w:eastAsia="bg-BG"/>
        </w:rPr>
        <w:t xml:space="preserve"> в БНБ.</w:t>
      </w:r>
    </w:p>
    <w:p w14:paraId="14A57C0C" w14:textId="77777777" w:rsidR="00B80A21" w:rsidRPr="00156F84" w:rsidRDefault="00B80A21" w:rsidP="00B80A21">
      <w:pPr>
        <w:tabs>
          <w:tab w:val="left" w:pos="4253"/>
        </w:tabs>
        <w:spacing w:after="0" w:line="240" w:lineRule="auto"/>
        <w:rPr>
          <w:rFonts w:ascii="Times New Roman" w:hAnsi="Times New Roman"/>
          <w:color w:val="000000"/>
          <w:sz w:val="16"/>
          <w:szCs w:val="16"/>
          <w:lang w:val="bg-BG" w:eastAsia="bg-BG"/>
        </w:rPr>
      </w:pPr>
    </w:p>
    <w:p w14:paraId="2B94A670" w14:textId="77777777" w:rsidR="004B4077" w:rsidRDefault="004B4077" w:rsidP="00323589">
      <w:pPr>
        <w:spacing w:after="0" w:line="240" w:lineRule="auto"/>
        <w:rPr>
          <w:rFonts w:ascii="Times New Roman" w:hAnsi="Times New Roman"/>
          <w:b/>
          <w:smallCaps/>
          <w:sz w:val="22"/>
          <w:szCs w:val="22"/>
          <w:lang w:val="bg-BG"/>
        </w:rPr>
      </w:pPr>
      <w:r>
        <w:rPr>
          <w:rFonts w:ascii="Times New Roman" w:hAnsi="Times New Roman"/>
          <w:b/>
          <w:smallCaps/>
          <w:sz w:val="22"/>
          <w:szCs w:val="22"/>
          <w:lang w:val="bg-BG"/>
        </w:rPr>
        <w:t xml:space="preserve">ІІ. </w:t>
      </w:r>
      <w:r w:rsidRPr="00C0006D">
        <w:rPr>
          <w:rFonts w:ascii="Times New Roman" w:hAnsi="Times New Roman"/>
          <w:b/>
          <w:smallCaps/>
          <w:sz w:val="22"/>
          <w:szCs w:val="22"/>
          <w:lang w:val="bg-BG"/>
        </w:rPr>
        <w:t>А</w:t>
      </w:r>
      <w:r>
        <w:rPr>
          <w:rFonts w:ascii="Times New Roman" w:hAnsi="Times New Roman"/>
          <w:b/>
          <w:smallCaps/>
          <w:sz w:val="22"/>
          <w:szCs w:val="22"/>
          <w:lang w:val="bg-BG"/>
        </w:rPr>
        <w:t>НАЛИЗ НА ВЪЗМОЖНОСТИТЕ ЗА ИНВЕСТИРАНЕ НА СРЕДСТВАТА НА ДФГУДПС</w:t>
      </w:r>
    </w:p>
    <w:p w14:paraId="00C1D482" w14:textId="77777777" w:rsidR="00B80A21" w:rsidRPr="00B80A21" w:rsidRDefault="00B80A21" w:rsidP="00B80A21">
      <w:pPr>
        <w:spacing w:after="0" w:line="240" w:lineRule="auto"/>
        <w:ind w:left="426" w:firstLine="0"/>
        <w:rPr>
          <w:rFonts w:ascii="Times New Roman" w:hAnsi="Times New Roman"/>
          <w:b/>
          <w:smallCaps/>
          <w:sz w:val="10"/>
          <w:szCs w:val="10"/>
          <w:lang w:val="bg-BG"/>
        </w:rPr>
      </w:pPr>
    </w:p>
    <w:p w14:paraId="27022D16" w14:textId="77777777" w:rsidR="00030380" w:rsidRPr="00235AE9" w:rsidRDefault="00772903" w:rsidP="00A305F8">
      <w:pPr>
        <w:spacing w:after="0" w:line="240" w:lineRule="auto"/>
        <w:rPr>
          <w:rFonts w:ascii="Times New Roman" w:hAnsi="Times New Roman"/>
          <w:szCs w:val="24"/>
          <w:lang w:val="bg-BG" w:eastAsia="bg-BG"/>
        </w:rPr>
      </w:pPr>
      <w:r w:rsidRPr="00235AE9">
        <w:rPr>
          <w:rFonts w:ascii="Times New Roman" w:hAnsi="Times New Roman"/>
          <w:szCs w:val="24"/>
          <w:lang w:val="bg-BG" w:eastAsia="bg-BG"/>
        </w:rPr>
        <w:t xml:space="preserve">Съгласно чл. 1, ал. 2 </w:t>
      </w:r>
      <w:r w:rsidR="0029765F">
        <w:rPr>
          <w:rFonts w:ascii="Times New Roman" w:hAnsi="Times New Roman"/>
          <w:szCs w:val="24"/>
          <w:lang w:val="bg-BG" w:eastAsia="bg-BG"/>
        </w:rPr>
        <w:t>от</w:t>
      </w:r>
      <w:r w:rsidRPr="00235AE9">
        <w:rPr>
          <w:rFonts w:ascii="Times New Roman" w:hAnsi="Times New Roman"/>
          <w:szCs w:val="24"/>
          <w:lang w:val="bg-BG" w:eastAsia="bg-BG"/>
        </w:rPr>
        <w:t xml:space="preserve"> ЗД</w:t>
      </w:r>
      <w:r>
        <w:rPr>
          <w:rFonts w:ascii="Times New Roman" w:hAnsi="Times New Roman"/>
          <w:szCs w:val="24"/>
          <w:lang w:val="bg-BG" w:eastAsia="bg-BG"/>
        </w:rPr>
        <w:t>ФГУДПС</w:t>
      </w:r>
      <w:r w:rsidRPr="00235AE9">
        <w:rPr>
          <w:rFonts w:ascii="Times New Roman" w:hAnsi="Times New Roman"/>
          <w:szCs w:val="24"/>
          <w:lang w:val="bg-BG" w:eastAsia="bg-BG"/>
        </w:rPr>
        <w:t xml:space="preserve"> </w:t>
      </w:r>
      <w:r w:rsidR="00DC2CA3">
        <w:rPr>
          <w:rFonts w:ascii="Times New Roman" w:hAnsi="Times New Roman"/>
          <w:szCs w:val="24"/>
          <w:lang w:val="bg-BG" w:eastAsia="bg-BG"/>
        </w:rPr>
        <w:t>ф</w:t>
      </w:r>
      <w:r>
        <w:rPr>
          <w:rFonts w:ascii="Times New Roman" w:hAnsi="Times New Roman"/>
          <w:szCs w:val="24"/>
          <w:lang w:val="bg-BG" w:eastAsia="bg-BG"/>
        </w:rPr>
        <w:t>ондът</w:t>
      </w:r>
      <w:r w:rsidRPr="00235AE9">
        <w:rPr>
          <w:rFonts w:ascii="Times New Roman" w:hAnsi="Times New Roman"/>
          <w:szCs w:val="24"/>
          <w:lang w:val="bg-BG" w:eastAsia="bg-BG"/>
        </w:rPr>
        <w:t xml:space="preserve"> има за цел постигане и гарантиране устойчивост на държавната пенсионна система чрез акумулиране, инвестиране и трансфериране на допълнителни средства към бюджета на </w:t>
      </w:r>
      <w:r w:rsidR="00166CE1">
        <w:rPr>
          <w:rFonts w:ascii="Times New Roman" w:hAnsi="Times New Roman"/>
          <w:szCs w:val="24"/>
          <w:lang w:val="bg-BG" w:eastAsia="bg-BG"/>
        </w:rPr>
        <w:t>ДОО</w:t>
      </w:r>
      <w:r w:rsidR="00030380">
        <w:rPr>
          <w:rFonts w:ascii="Times New Roman" w:hAnsi="Times New Roman"/>
          <w:szCs w:val="24"/>
          <w:lang w:val="bg-BG" w:eastAsia="bg-BG"/>
        </w:rPr>
        <w:t xml:space="preserve"> за фонд „Пенсии“</w:t>
      </w:r>
      <w:r w:rsidR="00030380" w:rsidRPr="00235AE9">
        <w:rPr>
          <w:rFonts w:ascii="Times New Roman" w:hAnsi="Times New Roman"/>
          <w:szCs w:val="24"/>
          <w:lang w:val="bg-BG" w:eastAsia="bg-BG"/>
        </w:rPr>
        <w:t>.</w:t>
      </w:r>
    </w:p>
    <w:p w14:paraId="19885EC4" w14:textId="77777777" w:rsidR="00772903" w:rsidRPr="006C7B2F" w:rsidRDefault="00772903" w:rsidP="00154523">
      <w:pPr>
        <w:spacing w:after="0" w:line="240" w:lineRule="auto"/>
        <w:rPr>
          <w:rFonts w:ascii="Times New Roman" w:hAnsi="Times New Roman"/>
          <w:szCs w:val="24"/>
          <w:lang w:val="bg-BG" w:eastAsia="bg-BG"/>
        </w:rPr>
      </w:pPr>
      <w:r>
        <w:rPr>
          <w:rFonts w:ascii="Times New Roman" w:hAnsi="Times New Roman"/>
          <w:szCs w:val="24"/>
          <w:lang w:val="bg-BG" w:eastAsia="bg-BG"/>
        </w:rPr>
        <w:t>С</w:t>
      </w:r>
      <w:r w:rsidRPr="00C0006D">
        <w:rPr>
          <w:rFonts w:ascii="Times New Roman" w:hAnsi="Times New Roman"/>
          <w:szCs w:val="24"/>
          <w:lang w:val="bg-BG" w:eastAsia="bg-BG"/>
        </w:rPr>
        <w:t xml:space="preserve">ъгласно </w:t>
      </w:r>
      <w:r>
        <w:rPr>
          <w:rFonts w:ascii="Times New Roman" w:hAnsi="Times New Roman"/>
          <w:szCs w:val="24"/>
          <w:lang w:val="bg-BG" w:eastAsia="bg-BG"/>
        </w:rPr>
        <w:t xml:space="preserve">действащата </w:t>
      </w:r>
      <w:r w:rsidRPr="00C0006D">
        <w:rPr>
          <w:rFonts w:ascii="Times New Roman" w:hAnsi="Times New Roman"/>
          <w:szCs w:val="24"/>
          <w:lang w:val="bg-BG" w:eastAsia="bg-BG"/>
        </w:rPr>
        <w:t xml:space="preserve">законодателна </w:t>
      </w:r>
      <w:r w:rsidRPr="006C7B2F">
        <w:rPr>
          <w:rFonts w:ascii="Times New Roman" w:hAnsi="Times New Roman"/>
          <w:szCs w:val="24"/>
          <w:lang w:val="bg-BG" w:eastAsia="bg-BG"/>
        </w:rPr>
        <w:t xml:space="preserve">рамка съществуват следните възможности за инвестиране средствата на </w:t>
      </w:r>
      <w:r w:rsidR="00184625">
        <w:rPr>
          <w:rFonts w:ascii="Times New Roman" w:hAnsi="Times New Roman"/>
          <w:szCs w:val="24"/>
          <w:lang w:val="bg-BG" w:eastAsia="bg-BG"/>
        </w:rPr>
        <w:t>ф</w:t>
      </w:r>
      <w:r w:rsidRPr="006C7B2F">
        <w:rPr>
          <w:rFonts w:ascii="Times New Roman" w:hAnsi="Times New Roman"/>
          <w:szCs w:val="24"/>
          <w:lang w:val="bg-BG" w:eastAsia="bg-BG"/>
        </w:rPr>
        <w:t>онда:</w:t>
      </w:r>
    </w:p>
    <w:p w14:paraId="1FA845E8" w14:textId="77777777" w:rsidR="00772903" w:rsidRPr="00A305F8" w:rsidRDefault="00772903" w:rsidP="00070F29">
      <w:pPr>
        <w:numPr>
          <w:ilvl w:val="1"/>
          <w:numId w:val="20"/>
        </w:numPr>
        <w:tabs>
          <w:tab w:val="clear" w:pos="1440"/>
          <w:tab w:val="num" w:pos="1134"/>
        </w:tabs>
        <w:spacing w:after="0" w:line="240" w:lineRule="auto"/>
        <w:ind w:left="1134" w:hanging="425"/>
        <w:rPr>
          <w:rFonts w:ascii="Times New Roman" w:hAnsi="Times New Roman"/>
          <w:szCs w:val="24"/>
          <w:lang w:val="bg-BG" w:eastAsia="bg-BG"/>
        </w:rPr>
      </w:pPr>
      <w:r w:rsidRPr="00A305F8">
        <w:rPr>
          <w:rFonts w:ascii="Times New Roman" w:hAnsi="Times New Roman"/>
          <w:szCs w:val="24"/>
          <w:lang w:val="bg-BG" w:eastAsia="bg-BG"/>
        </w:rPr>
        <w:t xml:space="preserve">Инвестиции в депозити </w:t>
      </w:r>
      <w:r w:rsidR="0071582D" w:rsidRPr="0071582D">
        <w:rPr>
          <w:rFonts w:ascii="Times New Roman" w:hAnsi="Times New Roman"/>
          <w:szCs w:val="24"/>
          <w:lang w:val="bg-BG" w:eastAsia="bg-BG"/>
        </w:rPr>
        <w:t>и сметки в БНБ</w:t>
      </w:r>
      <w:r w:rsidR="00070F29">
        <w:rPr>
          <w:rFonts w:ascii="Times New Roman" w:hAnsi="Times New Roman"/>
          <w:szCs w:val="24"/>
          <w:lang w:val="bg-BG" w:eastAsia="bg-BG"/>
        </w:rPr>
        <w:t xml:space="preserve"> </w:t>
      </w:r>
      <w:r w:rsidRPr="00A305F8">
        <w:rPr>
          <w:rFonts w:ascii="Times New Roman" w:hAnsi="Times New Roman"/>
          <w:szCs w:val="24"/>
          <w:lang w:val="bg-BG" w:eastAsia="bg-BG"/>
        </w:rPr>
        <w:t xml:space="preserve">и </w:t>
      </w:r>
      <w:r w:rsidR="00070F29">
        <w:rPr>
          <w:rFonts w:ascii="Times New Roman" w:hAnsi="Times New Roman"/>
          <w:szCs w:val="24"/>
          <w:lang w:val="bg-BG" w:eastAsia="bg-BG"/>
        </w:rPr>
        <w:t xml:space="preserve">депозити </w:t>
      </w:r>
      <w:r w:rsidR="0071582D">
        <w:rPr>
          <w:rFonts w:ascii="Times New Roman" w:hAnsi="Times New Roman"/>
          <w:szCs w:val="24"/>
          <w:lang w:val="bg-BG" w:eastAsia="bg-BG"/>
        </w:rPr>
        <w:t xml:space="preserve">в </w:t>
      </w:r>
      <w:r w:rsidRPr="00A305F8">
        <w:rPr>
          <w:rFonts w:ascii="Times New Roman" w:hAnsi="Times New Roman"/>
          <w:szCs w:val="24"/>
          <w:lang w:val="bg-BG" w:eastAsia="bg-BG"/>
        </w:rPr>
        <w:t xml:space="preserve">банки </w:t>
      </w:r>
    </w:p>
    <w:p w14:paraId="158E960F" w14:textId="77777777" w:rsidR="00AB0D60" w:rsidRPr="00522699" w:rsidRDefault="00772903" w:rsidP="00A305F8">
      <w:pPr>
        <w:spacing w:after="0" w:line="240" w:lineRule="auto"/>
        <w:rPr>
          <w:rFonts w:ascii="Times New Roman" w:hAnsi="Times New Roman"/>
          <w:szCs w:val="24"/>
          <w:lang w:val="bg-BG" w:eastAsia="bg-BG"/>
        </w:rPr>
      </w:pPr>
      <w:r w:rsidRPr="00E00B9D">
        <w:rPr>
          <w:rFonts w:ascii="Times New Roman" w:hAnsi="Times New Roman"/>
          <w:szCs w:val="24"/>
          <w:lang w:val="bg-BG" w:eastAsia="bg-BG"/>
        </w:rPr>
        <w:t xml:space="preserve">Законодателят е предвидил </w:t>
      </w:r>
      <w:r w:rsidR="00781AEB" w:rsidRPr="00E00B9D">
        <w:rPr>
          <w:rFonts w:ascii="Times New Roman" w:hAnsi="Times New Roman"/>
          <w:szCs w:val="24"/>
          <w:lang w:val="bg-BG" w:eastAsia="bg-BG"/>
        </w:rPr>
        <w:t xml:space="preserve">активите на </w:t>
      </w:r>
      <w:r w:rsidR="00184625">
        <w:rPr>
          <w:rFonts w:ascii="Times New Roman" w:hAnsi="Times New Roman"/>
          <w:szCs w:val="24"/>
          <w:lang w:val="bg-BG" w:eastAsia="bg-BG"/>
        </w:rPr>
        <w:t>ф</w:t>
      </w:r>
      <w:r w:rsidR="00781AEB" w:rsidRPr="00E00B9D">
        <w:rPr>
          <w:rFonts w:ascii="Times New Roman" w:hAnsi="Times New Roman"/>
          <w:szCs w:val="24"/>
          <w:lang w:val="bg-BG" w:eastAsia="bg-BG"/>
        </w:rPr>
        <w:t>онда</w:t>
      </w:r>
      <w:r w:rsidRPr="00E00B9D">
        <w:rPr>
          <w:rFonts w:ascii="Times New Roman" w:hAnsi="Times New Roman"/>
          <w:szCs w:val="24"/>
          <w:lang w:val="bg-BG" w:eastAsia="bg-BG"/>
        </w:rPr>
        <w:t xml:space="preserve"> да </w:t>
      </w:r>
      <w:r w:rsidR="00781AEB" w:rsidRPr="00E00B9D">
        <w:rPr>
          <w:rFonts w:ascii="Times New Roman" w:hAnsi="Times New Roman"/>
          <w:szCs w:val="24"/>
          <w:lang w:val="bg-BG" w:eastAsia="bg-BG"/>
        </w:rPr>
        <w:t>се</w:t>
      </w:r>
      <w:r w:rsidRPr="00E00B9D">
        <w:rPr>
          <w:rFonts w:ascii="Times New Roman" w:hAnsi="Times New Roman"/>
          <w:szCs w:val="24"/>
          <w:lang w:val="bg-BG" w:eastAsia="bg-BG"/>
        </w:rPr>
        <w:t xml:space="preserve"> </w:t>
      </w:r>
      <w:r w:rsidRPr="00DE2239">
        <w:rPr>
          <w:rFonts w:ascii="Times New Roman" w:hAnsi="Times New Roman"/>
          <w:szCs w:val="24"/>
          <w:lang w:val="bg-BG" w:eastAsia="bg-BG"/>
        </w:rPr>
        <w:t>инвестира</w:t>
      </w:r>
      <w:r w:rsidR="00781AEB" w:rsidRPr="00DE2239">
        <w:rPr>
          <w:rFonts w:ascii="Times New Roman" w:hAnsi="Times New Roman"/>
          <w:szCs w:val="24"/>
          <w:lang w:val="bg-BG" w:eastAsia="bg-BG"/>
        </w:rPr>
        <w:t>т</w:t>
      </w:r>
      <w:r w:rsidRPr="00DE2239">
        <w:rPr>
          <w:rFonts w:ascii="Times New Roman" w:hAnsi="Times New Roman"/>
          <w:szCs w:val="24"/>
          <w:lang w:val="bg-BG" w:eastAsia="bg-BG"/>
        </w:rPr>
        <w:t xml:space="preserve"> в депозити </w:t>
      </w:r>
      <w:r w:rsidR="0071582D" w:rsidRPr="00DE2239">
        <w:rPr>
          <w:rFonts w:ascii="Times New Roman" w:hAnsi="Times New Roman"/>
          <w:szCs w:val="24"/>
          <w:lang w:val="bg-BG" w:eastAsia="bg-BG"/>
        </w:rPr>
        <w:t xml:space="preserve">и сметки </w:t>
      </w:r>
      <w:r w:rsidRPr="00DE2239">
        <w:rPr>
          <w:rFonts w:ascii="Times New Roman" w:hAnsi="Times New Roman"/>
          <w:szCs w:val="24"/>
          <w:lang w:val="bg-BG" w:eastAsia="bg-BG"/>
        </w:rPr>
        <w:t>в БНБ</w:t>
      </w:r>
      <w:r w:rsidR="00070F29" w:rsidRPr="00DE2239">
        <w:rPr>
          <w:rFonts w:ascii="Times New Roman" w:hAnsi="Times New Roman"/>
          <w:szCs w:val="24"/>
          <w:lang w:val="bg-BG" w:eastAsia="bg-BG"/>
        </w:rPr>
        <w:t xml:space="preserve"> </w:t>
      </w:r>
      <w:r w:rsidR="0071582D" w:rsidRPr="00DE2239">
        <w:rPr>
          <w:rFonts w:ascii="Times New Roman" w:hAnsi="Times New Roman"/>
          <w:szCs w:val="24"/>
          <w:lang w:val="bg-BG" w:eastAsia="bg-BG"/>
        </w:rPr>
        <w:t xml:space="preserve">и </w:t>
      </w:r>
      <w:r w:rsidR="00070F29" w:rsidRPr="00DE2239">
        <w:rPr>
          <w:rFonts w:ascii="Times New Roman" w:hAnsi="Times New Roman"/>
          <w:szCs w:val="24"/>
          <w:lang w:val="bg-BG" w:eastAsia="bg-BG"/>
        </w:rPr>
        <w:t xml:space="preserve">депозити </w:t>
      </w:r>
      <w:r w:rsidR="0071582D" w:rsidRPr="00DE2239">
        <w:rPr>
          <w:rFonts w:ascii="Times New Roman" w:hAnsi="Times New Roman"/>
          <w:szCs w:val="24"/>
          <w:lang w:val="bg-BG" w:eastAsia="bg-BG"/>
        </w:rPr>
        <w:t>в банки</w:t>
      </w:r>
      <w:r w:rsidRPr="00DE2239">
        <w:rPr>
          <w:rFonts w:ascii="Times New Roman" w:hAnsi="Times New Roman"/>
          <w:szCs w:val="24"/>
          <w:lang w:val="bg-BG" w:eastAsia="bg-BG"/>
        </w:rPr>
        <w:t xml:space="preserve">. </w:t>
      </w:r>
      <w:r w:rsidR="00781AEB" w:rsidRPr="00234F9B">
        <w:rPr>
          <w:rFonts w:ascii="Times New Roman" w:hAnsi="Times New Roman"/>
          <w:szCs w:val="24"/>
          <w:lang w:val="bg-BG" w:eastAsia="bg-BG"/>
        </w:rPr>
        <w:t xml:space="preserve">Акумулираните към момента средства на </w:t>
      </w:r>
      <w:r w:rsidR="00184625" w:rsidRPr="00234F9B">
        <w:rPr>
          <w:rFonts w:ascii="Times New Roman" w:hAnsi="Times New Roman"/>
          <w:szCs w:val="24"/>
          <w:lang w:val="bg-BG" w:eastAsia="bg-BG"/>
        </w:rPr>
        <w:t>ф</w:t>
      </w:r>
      <w:r w:rsidR="00781AEB" w:rsidRPr="00A60428">
        <w:rPr>
          <w:rFonts w:ascii="Times New Roman" w:hAnsi="Times New Roman"/>
          <w:szCs w:val="24"/>
          <w:lang w:val="bg-BG" w:eastAsia="bg-BG"/>
        </w:rPr>
        <w:t>онда</w:t>
      </w:r>
      <w:r w:rsidR="006C7B2F" w:rsidRPr="00E03355">
        <w:rPr>
          <w:rFonts w:ascii="Times New Roman" w:hAnsi="Times New Roman"/>
          <w:szCs w:val="24"/>
          <w:lang w:val="bg-BG" w:eastAsia="bg-BG"/>
        </w:rPr>
        <w:t>, депозирани</w:t>
      </w:r>
      <w:r w:rsidR="00781AEB" w:rsidRPr="00E03355">
        <w:rPr>
          <w:rFonts w:ascii="Times New Roman" w:hAnsi="Times New Roman"/>
          <w:szCs w:val="24"/>
          <w:lang w:val="bg-BG" w:eastAsia="bg-BG"/>
        </w:rPr>
        <w:t xml:space="preserve"> </w:t>
      </w:r>
      <w:r w:rsidR="006C7B2F" w:rsidRPr="003613CD">
        <w:rPr>
          <w:rFonts w:ascii="Times New Roman" w:hAnsi="Times New Roman"/>
          <w:szCs w:val="24"/>
          <w:lang w:val="bg-BG" w:eastAsia="bg-BG"/>
        </w:rPr>
        <w:t>в БНБ</w:t>
      </w:r>
      <w:r w:rsidR="00234F9B" w:rsidRPr="003613CD">
        <w:rPr>
          <w:rFonts w:ascii="Times New Roman" w:hAnsi="Times New Roman"/>
          <w:szCs w:val="24"/>
          <w:lang w:val="bg-BG" w:eastAsia="bg-BG"/>
        </w:rPr>
        <w:t xml:space="preserve"> са част от фискалния резерв</w:t>
      </w:r>
      <w:r w:rsidR="006C7B2F" w:rsidRPr="00234F9B">
        <w:rPr>
          <w:rFonts w:ascii="Times New Roman" w:hAnsi="Times New Roman"/>
          <w:szCs w:val="24"/>
          <w:lang w:val="bg-BG" w:eastAsia="bg-BG"/>
        </w:rPr>
        <w:t xml:space="preserve">, </w:t>
      </w:r>
      <w:r w:rsidR="00234F9B" w:rsidRPr="003613CD">
        <w:rPr>
          <w:rFonts w:ascii="Times New Roman" w:hAnsi="Times New Roman"/>
          <w:szCs w:val="24"/>
          <w:lang w:val="bg-BG" w:eastAsia="bg-BG"/>
        </w:rPr>
        <w:t>съответно от</w:t>
      </w:r>
      <w:r w:rsidR="00F47FFB" w:rsidRPr="00234F9B">
        <w:rPr>
          <w:rFonts w:ascii="Times New Roman" w:hAnsi="Times New Roman"/>
          <w:szCs w:val="24"/>
          <w:lang w:val="bg-BG" w:eastAsia="bg-BG"/>
        </w:rPr>
        <w:t xml:space="preserve"> </w:t>
      </w:r>
      <w:r w:rsidR="00781AEB" w:rsidRPr="00A60428">
        <w:rPr>
          <w:rFonts w:ascii="Times New Roman" w:hAnsi="Times New Roman"/>
          <w:szCs w:val="24"/>
          <w:lang w:val="bg-BG" w:eastAsia="bg-BG"/>
        </w:rPr>
        <w:t>международните валутни резерви</w:t>
      </w:r>
      <w:r w:rsidR="00234F9B" w:rsidRPr="003613CD">
        <w:rPr>
          <w:rFonts w:ascii="Times New Roman" w:hAnsi="Times New Roman"/>
          <w:szCs w:val="24"/>
          <w:lang w:val="bg-BG" w:eastAsia="bg-BG"/>
        </w:rPr>
        <w:t xml:space="preserve">. </w:t>
      </w:r>
      <w:r w:rsidR="001B2957" w:rsidRPr="003613CD">
        <w:rPr>
          <w:rFonts w:ascii="Times New Roman" w:hAnsi="Times New Roman"/>
          <w:szCs w:val="24"/>
          <w:lang w:val="bg-BG" w:eastAsia="bg-BG"/>
        </w:rPr>
        <w:t>О</w:t>
      </w:r>
      <w:r w:rsidR="00234F9B" w:rsidRPr="003613CD">
        <w:rPr>
          <w:rFonts w:ascii="Times New Roman" w:hAnsi="Times New Roman"/>
          <w:szCs w:val="24"/>
          <w:lang w:val="bg-BG" w:eastAsia="bg-BG"/>
        </w:rPr>
        <w:t>т друга страна банковата си</w:t>
      </w:r>
      <w:r w:rsidR="00234F9B">
        <w:rPr>
          <w:rFonts w:ascii="Times New Roman" w:hAnsi="Times New Roman"/>
          <w:szCs w:val="24"/>
          <w:lang w:val="bg-BG" w:eastAsia="bg-BG"/>
        </w:rPr>
        <w:t xml:space="preserve">стема в България разполага с </w:t>
      </w:r>
      <w:r w:rsidR="00234F9B" w:rsidRPr="00E00B9D">
        <w:rPr>
          <w:rFonts w:ascii="Times New Roman" w:hAnsi="Times New Roman"/>
          <w:szCs w:val="24"/>
          <w:lang w:val="bg-BG" w:eastAsia="bg-BG"/>
        </w:rPr>
        <w:t xml:space="preserve">високите нива на </w:t>
      </w:r>
      <w:r w:rsidR="00234F9B">
        <w:rPr>
          <w:rFonts w:ascii="Times New Roman" w:hAnsi="Times New Roman"/>
          <w:szCs w:val="24"/>
          <w:lang w:val="bg-BG" w:eastAsia="bg-BG"/>
        </w:rPr>
        <w:t xml:space="preserve">ликвидност и </w:t>
      </w:r>
      <w:r w:rsidR="001B2957">
        <w:rPr>
          <w:rFonts w:ascii="Times New Roman" w:hAnsi="Times New Roman"/>
          <w:szCs w:val="24"/>
          <w:lang w:val="bg-BG" w:eastAsia="bg-BG"/>
        </w:rPr>
        <w:lastRenderedPageBreak/>
        <w:t xml:space="preserve">допълнително вливане на </w:t>
      </w:r>
      <w:r w:rsidR="001B2957" w:rsidRPr="00E00B9D">
        <w:rPr>
          <w:rFonts w:ascii="Times New Roman" w:hAnsi="Times New Roman"/>
          <w:szCs w:val="24"/>
          <w:lang w:val="bg-BG" w:eastAsia="bg-BG"/>
        </w:rPr>
        <w:t>публичен ресурс</w:t>
      </w:r>
      <w:r w:rsidR="001B2957" w:rsidRPr="001B2957">
        <w:rPr>
          <w:rFonts w:ascii="Times New Roman" w:hAnsi="Times New Roman"/>
          <w:szCs w:val="24"/>
          <w:lang w:val="bg-BG" w:eastAsia="bg-BG"/>
        </w:rPr>
        <w:t xml:space="preserve"> </w:t>
      </w:r>
      <w:r w:rsidR="001B2957" w:rsidRPr="00E00B9D">
        <w:rPr>
          <w:rFonts w:ascii="Times New Roman" w:hAnsi="Times New Roman"/>
          <w:szCs w:val="24"/>
          <w:lang w:val="bg-BG" w:eastAsia="bg-BG"/>
        </w:rPr>
        <w:t>в банковата ни система</w:t>
      </w:r>
      <w:r w:rsidR="001B2957">
        <w:rPr>
          <w:rFonts w:ascii="Times New Roman" w:hAnsi="Times New Roman"/>
          <w:szCs w:val="24"/>
          <w:lang w:val="bg-BG" w:eastAsia="bg-BG"/>
        </w:rPr>
        <w:t xml:space="preserve"> е </w:t>
      </w:r>
      <w:r w:rsidR="001B2957" w:rsidRPr="00FA663D">
        <w:rPr>
          <w:rFonts w:ascii="Times New Roman" w:hAnsi="Times New Roman"/>
          <w:szCs w:val="24"/>
          <w:lang w:val="bg-BG" w:eastAsia="bg-BG"/>
        </w:rPr>
        <w:t>нецелесъобразно</w:t>
      </w:r>
      <w:r w:rsidR="00F93BF4" w:rsidRPr="00FA663D">
        <w:rPr>
          <w:rFonts w:ascii="Times New Roman" w:hAnsi="Times New Roman"/>
          <w:szCs w:val="24"/>
          <w:lang w:val="bg-BG" w:eastAsia="bg-BG"/>
        </w:rPr>
        <w:t xml:space="preserve"> и по същество представлява провеждане на парична политика в условията на Валутен борд</w:t>
      </w:r>
      <w:r w:rsidR="001B2957" w:rsidRPr="00FA663D">
        <w:rPr>
          <w:rFonts w:ascii="Times New Roman" w:hAnsi="Times New Roman"/>
          <w:szCs w:val="24"/>
          <w:lang w:val="bg-BG" w:eastAsia="bg-BG"/>
        </w:rPr>
        <w:t>.</w:t>
      </w:r>
      <w:r w:rsidR="006C7B2F" w:rsidRPr="00FA663D">
        <w:rPr>
          <w:rFonts w:ascii="Times New Roman" w:hAnsi="Times New Roman"/>
          <w:szCs w:val="24"/>
          <w:lang w:val="bg-BG" w:eastAsia="bg-BG"/>
        </w:rPr>
        <w:t xml:space="preserve"> </w:t>
      </w:r>
      <w:r w:rsidR="007C2A4E" w:rsidRPr="00FA663D">
        <w:rPr>
          <w:rFonts w:ascii="Times New Roman" w:hAnsi="Times New Roman"/>
          <w:szCs w:val="24"/>
          <w:lang w:val="bg-BG" w:eastAsia="bg-BG"/>
        </w:rPr>
        <w:t>Освен</w:t>
      </w:r>
      <w:r w:rsidR="007C2A4E">
        <w:rPr>
          <w:rFonts w:ascii="Times New Roman" w:hAnsi="Times New Roman"/>
          <w:szCs w:val="24"/>
          <w:lang w:val="bg-BG" w:eastAsia="bg-BG"/>
        </w:rPr>
        <w:t xml:space="preserve"> това и</w:t>
      </w:r>
      <w:r w:rsidR="007C2A4E" w:rsidRPr="00C34C63">
        <w:rPr>
          <w:rFonts w:ascii="Times New Roman" w:hAnsi="Times New Roman"/>
          <w:szCs w:val="24"/>
          <w:lang w:val="bg-BG" w:eastAsia="bg-BG"/>
        </w:rPr>
        <w:t xml:space="preserve">нвестирането на средствата на фонда в банки </w:t>
      </w:r>
      <w:r w:rsidR="007C2A4E">
        <w:rPr>
          <w:rFonts w:ascii="Times New Roman" w:hAnsi="Times New Roman"/>
          <w:szCs w:val="24"/>
          <w:lang w:val="bg-BG" w:eastAsia="bg-BG"/>
        </w:rPr>
        <w:t xml:space="preserve">би довело и до необходимост от </w:t>
      </w:r>
      <w:r w:rsidR="007C2A4E" w:rsidRPr="00C34C63">
        <w:rPr>
          <w:rFonts w:ascii="Times New Roman" w:hAnsi="Times New Roman"/>
          <w:szCs w:val="24"/>
          <w:lang w:val="bg-BG" w:eastAsia="bg-BG"/>
        </w:rPr>
        <w:t>обезпечаване</w:t>
      </w:r>
      <w:r w:rsidR="007C2A4E">
        <w:rPr>
          <w:rFonts w:ascii="Times New Roman" w:hAnsi="Times New Roman"/>
          <w:szCs w:val="24"/>
          <w:lang w:val="bg-BG" w:eastAsia="bg-BG"/>
        </w:rPr>
        <w:t>то им по реда на</w:t>
      </w:r>
      <w:r w:rsidR="007C2A4E" w:rsidRPr="00C34C63">
        <w:rPr>
          <w:rFonts w:ascii="Times New Roman" w:hAnsi="Times New Roman"/>
          <w:szCs w:val="24"/>
          <w:lang w:val="bg-BG" w:eastAsia="bg-BG"/>
        </w:rPr>
        <w:t xml:space="preserve"> чл. 152 от Закона за публичните финанси.</w:t>
      </w:r>
      <w:r w:rsidR="005806CB" w:rsidRPr="00865B65">
        <w:rPr>
          <w:rFonts w:ascii="Times New Roman" w:hAnsi="Times New Roman"/>
          <w:szCs w:val="24"/>
          <w:lang w:val="bg-BG" w:eastAsia="bg-BG"/>
        </w:rPr>
        <w:t xml:space="preserve"> </w:t>
      </w:r>
      <w:r w:rsidR="007C2A4E" w:rsidRPr="00522699">
        <w:rPr>
          <w:rFonts w:ascii="Times New Roman" w:hAnsi="Times New Roman"/>
          <w:szCs w:val="24"/>
          <w:lang w:val="bg-BG" w:eastAsia="bg-BG"/>
        </w:rPr>
        <w:t xml:space="preserve">Предвид </w:t>
      </w:r>
      <w:r w:rsidR="009D79F4" w:rsidRPr="00522699">
        <w:rPr>
          <w:rFonts w:ascii="Times New Roman" w:hAnsi="Times New Roman"/>
          <w:szCs w:val="24"/>
          <w:lang w:val="bg-BG" w:eastAsia="bg-BG"/>
        </w:rPr>
        <w:t xml:space="preserve">овладяването на инфлацията и дозираното понижаване на регулаторните </w:t>
      </w:r>
      <w:r w:rsidR="007C2A4E" w:rsidRPr="00522699">
        <w:rPr>
          <w:rFonts w:ascii="Times New Roman" w:hAnsi="Times New Roman"/>
          <w:szCs w:val="24"/>
          <w:lang w:val="bg-BG" w:eastAsia="bg-BG"/>
        </w:rPr>
        <w:t xml:space="preserve">лихвени проценти в основните финансови центрове като САЩ и Еврозоната, депозитите в БНБ биха могли да бъдат изгодни </w:t>
      </w:r>
      <w:r w:rsidR="009D79F4" w:rsidRPr="00522699">
        <w:rPr>
          <w:rFonts w:ascii="Times New Roman" w:hAnsi="Times New Roman"/>
          <w:szCs w:val="24"/>
          <w:lang w:val="bg-BG" w:eastAsia="bg-BG"/>
        </w:rPr>
        <w:t xml:space="preserve">с оглед на </w:t>
      </w:r>
      <w:r w:rsidR="006700DF" w:rsidRPr="00522699">
        <w:rPr>
          <w:rFonts w:ascii="Times New Roman" w:hAnsi="Times New Roman"/>
          <w:szCs w:val="24"/>
          <w:lang w:val="bg-BG" w:eastAsia="bg-BG"/>
        </w:rPr>
        <w:t xml:space="preserve">формираната </w:t>
      </w:r>
      <w:r w:rsidR="009D79F4" w:rsidRPr="00522699">
        <w:rPr>
          <w:rFonts w:ascii="Times New Roman" w:hAnsi="Times New Roman"/>
          <w:szCs w:val="24"/>
          <w:lang w:val="bg-BG" w:eastAsia="bg-BG"/>
        </w:rPr>
        <w:t>положителната нетна доходност</w:t>
      </w:r>
      <w:r w:rsidR="006C7B2F" w:rsidRPr="00522699">
        <w:rPr>
          <w:rFonts w:ascii="Times New Roman" w:hAnsi="Times New Roman"/>
          <w:szCs w:val="24"/>
          <w:lang w:val="bg-BG" w:eastAsia="bg-BG"/>
        </w:rPr>
        <w:t>.</w:t>
      </w:r>
      <w:r w:rsidR="00234F9B" w:rsidRPr="00522699">
        <w:rPr>
          <w:rFonts w:ascii="Times New Roman" w:hAnsi="Times New Roman"/>
          <w:szCs w:val="24"/>
          <w:lang w:val="bg-BG" w:eastAsia="bg-BG"/>
        </w:rPr>
        <w:t xml:space="preserve"> </w:t>
      </w:r>
    </w:p>
    <w:p w14:paraId="1A1F8532" w14:textId="77777777" w:rsidR="00772903" w:rsidRPr="00522699" w:rsidRDefault="00772903" w:rsidP="00323589">
      <w:pPr>
        <w:numPr>
          <w:ilvl w:val="0"/>
          <w:numId w:val="21"/>
        </w:numPr>
        <w:tabs>
          <w:tab w:val="clear" w:pos="1440"/>
          <w:tab w:val="num" w:pos="0"/>
          <w:tab w:val="left" w:pos="1134"/>
        </w:tabs>
        <w:spacing w:after="0" w:line="240" w:lineRule="auto"/>
        <w:ind w:left="0" w:firstLine="720"/>
        <w:rPr>
          <w:rFonts w:ascii="Times New Roman" w:hAnsi="Times New Roman"/>
          <w:szCs w:val="24"/>
          <w:lang w:val="bg-BG" w:eastAsia="bg-BG"/>
        </w:rPr>
      </w:pPr>
      <w:r w:rsidRPr="00522699">
        <w:rPr>
          <w:rFonts w:ascii="Times New Roman" w:hAnsi="Times New Roman"/>
          <w:szCs w:val="24"/>
          <w:lang w:val="bg-BG" w:eastAsia="bg-BG"/>
        </w:rPr>
        <w:t xml:space="preserve">Инвестиции в акции </w:t>
      </w:r>
    </w:p>
    <w:p w14:paraId="464592C9" w14:textId="77777777" w:rsidR="00772903" w:rsidRDefault="00772903" w:rsidP="00A305F8">
      <w:pPr>
        <w:spacing w:after="0" w:line="240" w:lineRule="auto"/>
        <w:rPr>
          <w:rFonts w:ascii="Times New Roman" w:hAnsi="Times New Roman"/>
          <w:szCs w:val="24"/>
          <w:lang w:val="bg-BG" w:eastAsia="bg-BG"/>
        </w:rPr>
      </w:pPr>
      <w:r w:rsidRPr="006D5C94">
        <w:rPr>
          <w:rFonts w:ascii="Times New Roman" w:hAnsi="Times New Roman"/>
          <w:szCs w:val="24"/>
          <w:lang w:val="bg-BG" w:eastAsia="bg-BG"/>
        </w:rPr>
        <w:t>Законодателят е предвидил възможност акумулирани</w:t>
      </w:r>
      <w:r w:rsidR="00184625">
        <w:rPr>
          <w:rFonts w:ascii="Times New Roman" w:hAnsi="Times New Roman"/>
          <w:szCs w:val="24"/>
          <w:lang w:val="bg-BG" w:eastAsia="bg-BG"/>
        </w:rPr>
        <w:t>те</w:t>
      </w:r>
      <w:r w:rsidRPr="006D5C94">
        <w:rPr>
          <w:rFonts w:ascii="Times New Roman" w:hAnsi="Times New Roman"/>
          <w:szCs w:val="24"/>
          <w:lang w:val="bg-BG" w:eastAsia="bg-BG"/>
        </w:rPr>
        <w:t xml:space="preserve"> средства </w:t>
      </w:r>
      <w:r>
        <w:rPr>
          <w:rFonts w:ascii="Times New Roman" w:hAnsi="Times New Roman"/>
          <w:szCs w:val="24"/>
          <w:lang w:val="bg-BG" w:eastAsia="bg-BG"/>
        </w:rPr>
        <w:t>на</w:t>
      </w:r>
      <w:r w:rsidRPr="006D5C94">
        <w:rPr>
          <w:rFonts w:ascii="Times New Roman" w:hAnsi="Times New Roman"/>
          <w:szCs w:val="24"/>
          <w:lang w:val="bg-BG" w:eastAsia="bg-BG"/>
        </w:rPr>
        <w:t xml:space="preserve"> </w:t>
      </w:r>
      <w:r w:rsidR="00184625">
        <w:rPr>
          <w:rFonts w:ascii="Times New Roman" w:hAnsi="Times New Roman"/>
          <w:szCs w:val="24"/>
          <w:lang w:val="bg-BG" w:eastAsia="bg-BG"/>
        </w:rPr>
        <w:t>ф</w:t>
      </w:r>
      <w:r w:rsidRPr="006D5C94">
        <w:rPr>
          <w:rFonts w:ascii="Times New Roman" w:hAnsi="Times New Roman"/>
          <w:szCs w:val="24"/>
          <w:lang w:val="bg-BG" w:eastAsia="bg-BG"/>
        </w:rPr>
        <w:t xml:space="preserve">онда да бъдат инвестирани в акции на дружества емитенти от държави-членки на </w:t>
      </w:r>
      <w:r w:rsidR="00F16E39">
        <w:rPr>
          <w:rFonts w:ascii="Times New Roman" w:hAnsi="Times New Roman"/>
          <w:szCs w:val="24"/>
          <w:lang w:val="bg-BG" w:eastAsia="bg-BG"/>
        </w:rPr>
        <w:t>ЕС</w:t>
      </w:r>
      <w:r w:rsidRPr="006D5C94">
        <w:rPr>
          <w:rFonts w:ascii="Times New Roman" w:hAnsi="Times New Roman"/>
          <w:szCs w:val="24"/>
          <w:lang w:val="bg-BG" w:eastAsia="bg-BG"/>
        </w:rPr>
        <w:t xml:space="preserve"> и трети </w:t>
      </w:r>
      <w:r>
        <w:rPr>
          <w:rFonts w:ascii="Times New Roman" w:hAnsi="Times New Roman"/>
          <w:szCs w:val="24"/>
          <w:lang w:val="bg-BG" w:eastAsia="bg-BG"/>
        </w:rPr>
        <w:t>държави</w:t>
      </w:r>
      <w:r w:rsidRPr="006D5C94">
        <w:rPr>
          <w:rFonts w:ascii="Times New Roman" w:hAnsi="Times New Roman"/>
          <w:szCs w:val="24"/>
          <w:lang w:val="bg-BG" w:eastAsia="bg-BG"/>
        </w:rPr>
        <w:t xml:space="preserve">, които са приети за търговия на регулирани пазари на ценни книжа или търгувани на многостранни системи за търговия, и които дружества имат присъден от международно призната агенция за кредитна оценка инвестиционен клас кредитен рейтинг за дългосрочните си задължения. </w:t>
      </w:r>
      <w:r w:rsidRPr="00522699">
        <w:rPr>
          <w:rFonts w:ascii="Times New Roman" w:hAnsi="Times New Roman"/>
          <w:szCs w:val="24"/>
          <w:lang w:val="bg-BG" w:eastAsia="bg-BG"/>
        </w:rPr>
        <w:t>При инвестиционн</w:t>
      </w:r>
      <w:r w:rsidR="00A24BAA" w:rsidRPr="00522699">
        <w:rPr>
          <w:rFonts w:ascii="Times New Roman" w:hAnsi="Times New Roman"/>
          <w:szCs w:val="24"/>
          <w:lang w:val="bg-BG" w:eastAsia="bg-BG"/>
        </w:rPr>
        <w:t>ия</w:t>
      </w:r>
      <w:r w:rsidRPr="00522699">
        <w:rPr>
          <w:rFonts w:ascii="Times New Roman" w:hAnsi="Times New Roman"/>
          <w:szCs w:val="24"/>
          <w:lang w:val="bg-BG" w:eastAsia="bg-BG"/>
        </w:rPr>
        <w:t xml:space="preserve"> хоризонт и повишения риск при инвестициите в акции </w:t>
      </w:r>
      <w:r w:rsidR="00234F9B" w:rsidRPr="00522699">
        <w:rPr>
          <w:rFonts w:ascii="Times New Roman" w:hAnsi="Times New Roman"/>
          <w:szCs w:val="24"/>
          <w:lang w:val="bg-BG" w:eastAsia="bg-BG"/>
        </w:rPr>
        <w:t xml:space="preserve">в настоящите икономически условия </w:t>
      </w:r>
      <w:r w:rsidRPr="00522699">
        <w:rPr>
          <w:rFonts w:ascii="Times New Roman" w:hAnsi="Times New Roman"/>
          <w:szCs w:val="24"/>
          <w:lang w:val="bg-BG" w:eastAsia="bg-BG"/>
        </w:rPr>
        <w:t xml:space="preserve">използването на тази инвестиционна възможност би била свързана с поемането на риск от обезценка и загуба на активи на </w:t>
      </w:r>
      <w:r w:rsidR="00184625" w:rsidRPr="00522699">
        <w:rPr>
          <w:rFonts w:ascii="Times New Roman" w:hAnsi="Times New Roman"/>
          <w:szCs w:val="24"/>
          <w:lang w:val="bg-BG" w:eastAsia="bg-BG"/>
        </w:rPr>
        <w:t>ф</w:t>
      </w:r>
      <w:r w:rsidRPr="00522699">
        <w:rPr>
          <w:rFonts w:ascii="Times New Roman" w:hAnsi="Times New Roman"/>
          <w:szCs w:val="24"/>
          <w:lang w:val="bg-BG" w:eastAsia="bg-BG"/>
        </w:rPr>
        <w:t>онда. Тази инвестиционна стратегия също така предполага професионално</w:t>
      </w:r>
      <w:r w:rsidRPr="00C34C63">
        <w:rPr>
          <w:rFonts w:ascii="Times New Roman" w:hAnsi="Times New Roman"/>
          <w:szCs w:val="24"/>
          <w:lang w:val="bg-BG" w:eastAsia="bg-BG"/>
        </w:rPr>
        <w:t xml:space="preserve"> управление на портфейла с активите на </w:t>
      </w:r>
      <w:r w:rsidR="00184625" w:rsidRPr="00C34C63">
        <w:rPr>
          <w:rFonts w:ascii="Times New Roman" w:hAnsi="Times New Roman"/>
          <w:szCs w:val="24"/>
          <w:lang w:val="bg-BG" w:eastAsia="bg-BG"/>
        </w:rPr>
        <w:t>ф</w:t>
      </w:r>
      <w:r w:rsidRPr="00C34C63">
        <w:rPr>
          <w:rFonts w:ascii="Times New Roman" w:hAnsi="Times New Roman"/>
          <w:szCs w:val="24"/>
          <w:lang w:val="bg-BG" w:eastAsia="bg-BG"/>
        </w:rPr>
        <w:t>онда, което от своя страна е свързано с допълнителни разходи.</w:t>
      </w:r>
    </w:p>
    <w:p w14:paraId="761D1361" w14:textId="77777777" w:rsidR="00772903" w:rsidRPr="002F0428" w:rsidRDefault="00772903" w:rsidP="00323589">
      <w:pPr>
        <w:numPr>
          <w:ilvl w:val="0"/>
          <w:numId w:val="21"/>
        </w:numPr>
        <w:tabs>
          <w:tab w:val="clear" w:pos="1440"/>
        </w:tabs>
        <w:spacing w:after="0" w:line="240" w:lineRule="auto"/>
        <w:ind w:left="1134" w:hanging="425"/>
        <w:rPr>
          <w:rFonts w:ascii="Times New Roman" w:hAnsi="Times New Roman"/>
          <w:szCs w:val="24"/>
          <w:lang w:val="bg-BG" w:eastAsia="bg-BG"/>
        </w:rPr>
      </w:pPr>
      <w:r w:rsidRPr="00A305F8">
        <w:rPr>
          <w:rFonts w:ascii="Times New Roman" w:hAnsi="Times New Roman"/>
          <w:szCs w:val="24"/>
          <w:lang w:val="bg-BG" w:eastAsia="bg-BG"/>
        </w:rPr>
        <w:t xml:space="preserve">Инвестиции в облигации и други дългови ценни книжа </w:t>
      </w:r>
    </w:p>
    <w:p w14:paraId="547D570A" w14:textId="77777777" w:rsidR="00772903" w:rsidRDefault="00772903" w:rsidP="00154523">
      <w:pPr>
        <w:spacing w:after="0" w:line="240" w:lineRule="auto"/>
        <w:ind w:firstLine="709"/>
        <w:rPr>
          <w:rFonts w:ascii="Times New Roman" w:hAnsi="Times New Roman"/>
          <w:szCs w:val="24"/>
          <w:lang w:val="bg-BG" w:eastAsia="bg-BG"/>
        </w:rPr>
      </w:pPr>
      <w:r w:rsidRPr="006D5C94">
        <w:rPr>
          <w:rFonts w:ascii="Times New Roman" w:hAnsi="Times New Roman"/>
          <w:szCs w:val="24"/>
          <w:lang w:val="bg-BG" w:eastAsia="bg-BG"/>
        </w:rPr>
        <w:t>Друга възможност</w:t>
      </w:r>
      <w:r w:rsidR="006C7B2F">
        <w:rPr>
          <w:rFonts w:ascii="Times New Roman" w:hAnsi="Times New Roman"/>
          <w:szCs w:val="24"/>
          <w:lang w:val="bg-BG" w:eastAsia="bg-BG"/>
        </w:rPr>
        <w:t>,</w:t>
      </w:r>
      <w:r w:rsidRPr="006D5C94">
        <w:rPr>
          <w:rFonts w:ascii="Times New Roman" w:hAnsi="Times New Roman"/>
          <w:szCs w:val="24"/>
          <w:lang w:val="bg-BG" w:eastAsia="bg-BG"/>
        </w:rPr>
        <w:t xml:space="preserve"> </w:t>
      </w:r>
      <w:r>
        <w:rPr>
          <w:rFonts w:ascii="Times New Roman" w:hAnsi="Times New Roman"/>
          <w:szCs w:val="24"/>
          <w:lang w:val="bg-BG" w:eastAsia="bg-BG"/>
        </w:rPr>
        <w:t>съгласно действащата законодателна рамка</w:t>
      </w:r>
      <w:r w:rsidR="006C7B2F">
        <w:rPr>
          <w:rFonts w:ascii="Times New Roman" w:hAnsi="Times New Roman"/>
          <w:szCs w:val="24"/>
          <w:lang w:val="bg-BG" w:eastAsia="bg-BG"/>
        </w:rPr>
        <w:t>,</w:t>
      </w:r>
      <w:r>
        <w:rPr>
          <w:rFonts w:ascii="Times New Roman" w:hAnsi="Times New Roman"/>
          <w:szCs w:val="24"/>
          <w:lang w:val="bg-BG" w:eastAsia="bg-BG"/>
        </w:rPr>
        <w:t xml:space="preserve"> </w:t>
      </w:r>
      <w:r w:rsidRPr="006D5C94">
        <w:rPr>
          <w:rFonts w:ascii="Times New Roman" w:hAnsi="Times New Roman"/>
          <w:szCs w:val="24"/>
          <w:lang w:val="bg-BG" w:eastAsia="bg-BG"/>
        </w:rPr>
        <w:t xml:space="preserve">е инвестирането на активи на </w:t>
      </w:r>
      <w:r w:rsidR="00184625">
        <w:rPr>
          <w:rFonts w:ascii="Times New Roman" w:hAnsi="Times New Roman"/>
          <w:szCs w:val="24"/>
          <w:lang w:val="bg-BG" w:eastAsia="bg-BG"/>
        </w:rPr>
        <w:t>ф</w:t>
      </w:r>
      <w:r w:rsidRPr="006D5C94">
        <w:rPr>
          <w:rFonts w:ascii="Times New Roman" w:hAnsi="Times New Roman"/>
          <w:szCs w:val="24"/>
          <w:lang w:val="bg-BG" w:eastAsia="bg-BG"/>
        </w:rPr>
        <w:t xml:space="preserve">онда в облигации и други дългови ценни книжа, които имат присъден </w:t>
      </w:r>
      <w:r w:rsidR="006C7B2F" w:rsidRPr="006D5C94">
        <w:rPr>
          <w:rFonts w:ascii="Times New Roman" w:hAnsi="Times New Roman"/>
          <w:szCs w:val="24"/>
          <w:lang w:val="bg-BG" w:eastAsia="bg-BG"/>
        </w:rPr>
        <w:t xml:space="preserve">кредитен рейтинг от инвестиционен клас </w:t>
      </w:r>
      <w:r w:rsidRPr="006D5C94">
        <w:rPr>
          <w:rFonts w:ascii="Times New Roman" w:hAnsi="Times New Roman"/>
          <w:szCs w:val="24"/>
          <w:lang w:val="bg-BG" w:eastAsia="bg-BG"/>
        </w:rPr>
        <w:t xml:space="preserve">от международно призната агенция за кредитна оценка. </w:t>
      </w:r>
      <w:r w:rsidR="00CB3B67" w:rsidRPr="009E2EC1">
        <w:rPr>
          <w:rFonts w:ascii="Times New Roman" w:hAnsi="Times New Roman"/>
          <w:szCs w:val="24"/>
          <w:lang w:val="bg-BG" w:eastAsia="bg-BG"/>
        </w:rPr>
        <w:t>Последните промени на пазара на облигации</w:t>
      </w:r>
      <w:r w:rsidR="00627EBE" w:rsidRPr="009E2EC1">
        <w:rPr>
          <w:rFonts w:ascii="Times New Roman" w:hAnsi="Times New Roman"/>
          <w:szCs w:val="24"/>
          <w:lang w:val="bg-BG" w:eastAsia="bg-BG"/>
        </w:rPr>
        <w:t xml:space="preserve"> дават възможност да се </w:t>
      </w:r>
      <w:r w:rsidRPr="009E2EC1">
        <w:rPr>
          <w:rFonts w:ascii="Times New Roman" w:hAnsi="Times New Roman"/>
          <w:szCs w:val="24"/>
          <w:lang w:val="bg-BG" w:eastAsia="bg-BG"/>
        </w:rPr>
        <w:t xml:space="preserve">инвестират средства в </w:t>
      </w:r>
      <w:r w:rsidR="006263C7" w:rsidRPr="009E2EC1">
        <w:rPr>
          <w:rFonts w:ascii="Times New Roman" w:hAnsi="Times New Roman"/>
          <w:szCs w:val="24"/>
          <w:lang w:val="bg-BG" w:eastAsia="bg-BG"/>
        </w:rPr>
        <w:t>дългови инструменти</w:t>
      </w:r>
      <w:r w:rsidRPr="009E2EC1">
        <w:rPr>
          <w:rFonts w:ascii="Times New Roman" w:hAnsi="Times New Roman"/>
          <w:szCs w:val="24"/>
          <w:lang w:val="bg-BG" w:eastAsia="bg-BG"/>
        </w:rPr>
        <w:t>, отговарящи на условията на ЗДФГУДПС</w:t>
      </w:r>
      <w:r w:rsidR="00627EBE" w:rsidRPr="009E2EC1">
        <w:rPr>
          <w:rFonts w:ascii="Times New Roman" w:hAnsi="Times New Roman"/>
          <w:szCs w:val="24"/>
          <w:lang w:val="bg-BG" w:eastAsia="bg-BG"/>
        </w:rPr>
        <w:t>.</w:t>
      </w:r>
      <w:r w:rsidRPr="009E2EC1">
        <w:rPr>
          <w:rFonts w:ascii="Times New Roman" w:hAnsi="Times New Roman"/>
          <w:szCs w:val="24"/>
          <w:lang w:val="bg-BG" w:eastAsia="bg-BG"/>
        </w:rPr>
        <w:t xml:space="preserve"> </w:t>
      </w:r>
      <w:r w:rsidR="00627EBE" w:rsidRPr="009E2EC1">
        <w:rPr>
          <w:rFonts w:ascii="Times New Roman" w:hAnsi="Times New Roman"/>
          <w:szCs w:val="24"/>
          <w:lang w:val="bg-BG" w:eastAsia="bg-BG"/>
        </w:rPr>
        <w:t xml:space="preserve">Отчитайки нормализирането на лихвените равнища и положителната доходност както на </w:t>
      </w:r>
      <w:proofErr w:type="spellStart"/>
      <w:r w:rsidR="00627EBE" w:rsidRPr="009E2EC1">
        <w:rPr>
          <w:rFonts w:ascii="Times New Roman" w:hAnsi="Times New Roman"/>
          <w:szCs w:val="24"/>
          <w:lang w:val="bg-BG" w:eastAsia="bg-BG"/>
        </w:rPr>
        <w:t>бенчмарковите</w:t>
      </w:r>
      <w:proofErr w:type="spellEnd"/>
      <w:r w:rsidR="00627EBE" w:rsidRPr="009E2EC1">
        <w:rPr>
          <w:rFonts w:ascii="Times New Roman" w:hAnsi="Times New Roman"/>
          <w:szCs w:val="24"/>
          <w:lang w:val="bg-BG" w:eastAsia="bg-BG"/>
        </w:rPr>
        <w:t xml:space="preserve"> германски ДЦК, така и на други страни с инвестиционен рейтинг, налице е възможност за получаване на доход от тези инструменти.</w:t>
      </w:r>
      <w:r w:rsidRPr="0009644F">
        <w:rPr>
          <w:rFonts w:ascii="Times New Roman" w:hAnsi="Times New Roman"/>
          <w:szCs w:val="24"/>
          <w:lang w:val="bg-BG" w:eastAsia="bg-BG"/>
        </w:rPr>
        <w:t xml:space="preserve"> От</w:t>
      </w:r>
      <w:r w:rsidRPr="00F10C9F">
        <w:rPr>
          <w:rFonts w:ascii="Times New Roman" w:hAnsi="Times New Roman"/>
          <w:szCs w:val="24"/>
          <w:lang w:val="bg-BG" w:eastAsia="bg-BG"/>
        </w:rPr>
        <w:t xml:space="preserve"> друга</w:t>
      </w:r>
      <w:r w:rsidRPr="00ED5F27">
        <w:rPr>
          <w:rFonts w:ascii="Times New Roman" w:hAnsi="Times New Roman"/>
          <w:szCs w:val="24"/>
          <w:lang w:val="bg-BG" w:eastAsia="bg-BG"/>
        </w:rPr>
        <w:t xml:space="preserve"> страна</w:t>
      </w:r>
      <w:r w:rsidR="005E54BF" w:rsidRPr="00ED5F27">
        <w:rPr>
          <w:rFonts w:ascii="Times New Roman" w:hAnsi="Times New Roman"/>
          <w:szCs w:val="24"/>
          <w:lang w:val="bg-BG" w:eastAsia="bg-BG"/>
        </w:rPr>
        <w:t>,</w:t>
      </w:r>
      <w:r w:rsidRPr="00ED5F27">
        <w:rPr>
          <w:rFonts w:ascii="Times New Roman" w:hAnsi="Times New Roman"/>
          <w:szCs w:val="24"/>
          <w:lang w:val="bg-BG" w:eastAsia="bg-BG"/>
        </w:rPr>
        <w:t xml:space="preserve"> както и при управлението на инвестиционен портфейл с акции</w:t>
      </w:r>
      <w:r w:rsidR="005E54BF" w:rsidRPr="00ED5F27">
        <w:rPr>
          <w:rFonts w:ascii="Times New Roman" w:hAnsi="Times New Roman"/>
          <w:szCs w:val="24"/>
          <w:lang w:val="bg-BG" w:eastAsia="bg-BG"/>
        </w:rPr>
        <w:t>,</w:t>
      </w:r>
      <w:r w:rsidRPr="00ED5F27">
        <w:rPr>
          <w:rFonts w:ascii="Times New Roman" w:hAnsi="Times New Roman"/>
          <w:szCs w:val="24"/>
          <w:lang w:val="bg-BG" w:eastAsia="bg-BG"/>
        </w:rPr>
        <w:t xml:space="preserve"> тази стратегия за инвестиране на средствата на </w:t>
      </w:r>
      <w:r w:rsidR="0047363F">
        <w:rPr>
          <w:rFonts w:ascii="Times New Roman" w:hAnsi="Times New Roman"/>
          <w:szCs w:val="24"/>
          <w:lang w:val="bg-BG" w:eastAsia="bg-BG"/>
        </w:rPr>
        <w:t>ф</w:t>
      </w:r>
      <w:r w:rsidRPr="00ED5F27">
        <w:rPr>
          <w:rFonts w:ascii="Times New Roman" w:hAnsi="Times New Roman"/>
          <w:szCs w:val="24"/>
          <w:lang w:val="bg-BG" w:eastAsia="bg-BG"/>
        </w:rPr>
        <w:t>онда предполага професионално управление на портфейла, което е свързано с допълнителни разходи. Отчитайки тези условия и прогнозите за развитието на икономиката в средносрочен хоризонт</w:t>
      </w:r>
      <w:r w:rsidR="005E54BF" w:rsidRPr="00ED5F27">
        <w:rPr>
          <w:rFonts w:ascii="Times New Roman" w:hAnsi="Times New Roman"/>
          <w:szCs w:val="24"/>
          <w:lang w:val="bg-BG" w:eastAsia="bg-BG"/>
        </w:rPr>
        <w:t>,</w:t>
      </w:r>
      <w:r w:rsidRPr="00ED5F27">
        <w:rPr>
          <w:rFonts w:ascii="Times New Roman" w:hAnsi="Times New Roman"/>
          <w:szCs w:val="24"/>
          <w:lang w:val="bg-BG" w:eastAsia="bg-BG"/>
        </w:rPr>
        <w:t xml:space="preserve"> стратегията с включване на портфейл с облигации и други дългови ценни книжа </w:t>
      </w:r>
      <w:r w:rsidR="00104E7E">
        <w:rPr>
          <w:rFonts w:ascii="Times New Roman" w:hAnsi="Times New Roman"/>
          <w:szCs w:val="24"/>
          <w:lang w:val="bg-BG" w:eastAsia="bg-BG"/>
        </w:rPr>
        <w:t xml:space="preserve">е алтернативна възможност за диверсификация на управлението на средствата на </w:t>
      </w:r>
      <w:r w:rsidR="00077C9E">
        <w:rPr>
          <w:rFonts w:ascii="Times New Roman" w:hAnsi="Times New Roman"/>
          <w:szCs w:val="24"/>
          <w:lang w:val="bg-BG" w:eastAsia="bg-BG"/>
        </w:rPr>
        <w:t>ф</w:t>
      </w:r>
      <w:r w:rsidR="00104E7E">
        <w:rPr>
          <w:rFonts w:ascii="Times New Roman" w:hAnsi="Times New Roman"/>
          <w:szCs w:val="24"/>
          <w:lang w:val="bg-BG" w:eastAsia="bg-BG"/>
        </w:rPr>
        <w:t xml:space="preserve">онда, която ще продължи да бъде текущо </w:t>
      </w:r>
      <w:r w:rsidR="00B90743">
        <w:rPr>
          <w:rFonts w:ascii="Times New Roman" w:hAnsi="Times New Roman"/>
          <w:szCs w:val="24"/>
          <w:lang w:val="bg-BG" w:eastAsia="bg-BG"/>
        </w:rPr>
        <w:t>наблюдавана, анализирана и възможна при промяна в пазарните тенденции в ра</w:t>
      </w:r>
      <w:r w:rsidR="009209F7">
        <w:rPr>
          <w:rFonts w:ascii="Times New Roman" w:hAnsi="Times New Roman"/>
          <w:szCs w:val="24"/>
          <w:lang w:val="bg-BG" w:eastAsia="bg-BG"/>
        </w:rPr>
        <w:t>м</w:t>
      </w:r>
      <w:r w:rsidR="00B90743">
        <w:rPr>
          <w:rFonts w:ascii="Times New Roman" w:hAnsi="Times New Roman"/>
          <w:szCs w:val="24"/>
          <w:lang w:val="bg-BG" w:eastAsia="bg-BG"/>
        </w:rPr>
        <w:t xml:space="preserve">ките на </w:t>
      </w:r>
      <w:r w:rsidRPr="00ED5F27">
        <w:rPr>
          <w:rFonts w:ascii="Times New Roman" w:hAnsi="Times New Roman"/>
          <w:szCs w:val="24"/>
          <w:lang w:val="bg-BG" w:eastAsia="bg-BG"/>
        </w:rPr>
        <w:t xml:space="preserve">базовия сценарий за управление на активите на </w:t>
      </w:r>
      <w:r w:rsidR="0047363F">
        <w:rPr>
          <w:rFonts w:ascii="Times New Roman" w:hAnsi="Times New Roman"/>
          <w:szCs w:val="24"/>
          <w:lang w:val="bg-BG" w:eastAsia="bg-BG"/>
        </w:rPr>
        <w:t>ф</w:t>
      </w:r>
      <w:r w:rsidRPr="00ED5F27">
        <w:rPr>
          <w:rFonts w:ascii="Times New Roman" w:hAnsi="Times New Roman"/>
          <w:szCs w:val="24"/>
          <w:lang w:val="bg-BG" w:eastAsia="bg-BG"/>
        </w:rPr>
        <w:t>онда.</w:t>
      </w:r>
    </w:p>
    <w:p w14:paraId="6780FC90" w14:textId="77777777" w:rsidR="003E598E" w:rsidRPr="00865B65" w:rsidRDefault="003E598E" w:rsidP="006665E2">
      <w:pPr>
        <w:spacing w:after="0" w:line="240" w:lineRule="auto"/>
        <w:ind w:firstLine="709"/>
        <w:rPr>
          <w:rFonts w:ascii="Times New Roman" w:hAnsi="Times New Roman"/>
          <w:sz w:val="20"/>
          <w:lang w:val="bg-BG" w:eastAsia="bg-BG"/>
        </w:rPr>
      </w:pPr>
    </w:p>
    <w:p w14:paraId="5A6609A9" w14:textId="77777777" w:rsidR="00C04E09" w:rsidRDefault="008D08D2" w:rsidP="00323589">
      <w:pPr>
        <w:tabs>
          <w:tab w:val="left" w:pos="342"/>
          <w:tab w:val="left" w:pos="1311"/>
          <w:tab w:val="left" w:pos="1368"/>
          <w:tab w:val="left" w:pos="2052"/>
        </w:tabs>
        <w:spacing w:after="0" w:line="240" w:lineRule="auto"/>
        <w:rPr>
          <w:rFonts w:ascii="Times New Roman" w:hAnsi="Times New Roman"/>
          <w:b/>
          <w:smallCaps/>
          <w:sz w:val="22"/>
          <w:szCs w:val="22"/>
          <w:lang w:val="bg-BG"/>
        </w:rPr>
      </w:pPr>
      <w:r w:rsidRPr="0041305B">
        <w:rPr>
          <w:rFonts w:ascii="Times New Roman" w:hAnsi="Times New Roman"/>
          <w:b/>
          <w:smallCaps/>
          <w:sz w:val="22"/>
          <w:szCs w:val="22"/>
          <w:lang w:val="bg-BG"/>
        </w:rPr>
        <w:t>ІІ</w:t>
      </w:r>
      <w:r w:rsidR="004B4077">
        <w:rPr>
          <w:rFonts w:ascii="Times New Roman" w:hAnsi="Times New Roman"/>
          <w:b/>
          <w:smallCaps/>
          <w:sz w:val="22"/>
          <w:szCs w:val="22"/>
          <w:lang w:val="bg-BG"/>
        </w:rPr>
        <w:t>І</w:t>
      </w:r>
      <w:r w:rsidRPr="0041305B">
        <w:rPr>
          <w:rFonts w:ascii="Times New Roman" w:hAnsi="Times New Roman"/>
          <w:b/>
          <w:smallCaps/>
          <w:sz w:val="22"/>
          <w:szCs w:val="22"/>
          <w:lang w:val="bg-BG"/>
        </w:rPr>
        <w:t>.</w:t>
      </w:r>
      <w:r w:rsidR="00C04E09">
        <w:rPr>
          <w:rFonts w:ascii="Times New Roman" w:hAnsi="Times New Roman"/>
          <w:b/>
          <w:smallCaps/>
          <w:sz w:val="22"/>
          <w:szCs w:val="22"/>
          <w:lang w:val="bg-BG"/>
        </w:rPr>
        <w:t xml:space="preserve"> РИСКОВЕ, СВЪРЗАНИ С </w:t>
      </w:r>
      <w:r w:rsidR="00F64373">
        <w:rPr>
          <w:rFonts w:ascii="Times New Roman" w:hAnsi="Times New Roman"/>
          <w:b/>
          <w:smallCaps/>
          <w:sz w:val="22"/>
          <w:szCs w:val="22"/>
          <w:lang w:val="bg-BG"/>
        </w:rPr>
        <w:t>ИНВЕСТИРАНЕТО</w:t>
      </w:r>
      <w:r w:rsidR="00C04E09">
        <w:rPr>
          <w:rFonts w:ascii="Times New Roman" w:hAnsi="Times New Roman"/>
          <w:b/>
          <w:smallCaps/>
          <w:sz w:val="22"/>
          <w:szCs w:val="22"/>
          <w:lang w:val="bg-BG"/>
        </w:rPr>
        <w:t xml:space="preserve"> НА СРЕДСТВАТА НА </w:t>
      </w:r>
      <w:r w:rsidR="00FA4B27" w:rsidRPr="002D35A5">
        <w:rPr>
          <w:rFonts w:ascii="Times New Roman" w:hAnsi="Times New Roman"/>
          <w:b/>
          <w:smallCaps/>
          <w:sz w:val="22"/>
          <w:szCs w:val="22"/>
          <w:lang w:val="bg-BG"/>
        </w:rPr>
        <w:t>ДФГУДПС</w:t>
      </w:r>
    </w:p>
    <w:p w14:paraId="178D8112" w14:textId="77777777" w:rsidR="008D08D2" w:rsidRPr="00A305F8" w:rsidRDefault="008D08D2" w:rsidP="008D08D2">
      <w:pPr>
        <w:spacing w:after="0" w:line="276" w:lineRule="auto"/>
        <w:ind w:firstLine="709"/>
        <w:rPr>
          <w:rFonts w:ascii="Times New Roman" w:eastAsia="Calibri" w:hAnsi="Times New Roman"/>
          <w:sz w:val="10"/>
          <w:szCs w:val="10"/>
          <w:lang w:val="bg-BG"/>
        </w:rPr>
      </w:pPr>
    </w:p>
    <w:p w14:paraId="2A9D5FDD" w14:textId="77777777" w:rsidR="00036DFA" w:rsidRDefault="002077A0" w:rsidP="00036DFA">
      <w:pPr>
        <w:spacing w:after="0" w:line="240" w:lineRule="auto"/>
        <w:ind w:firstLine="709"/>
        <w:rPr>
          <w:rFonts w:ascii="Times New Roman" w:eastAsia="Calibri" w:hAnsi="Times New Roman"/>
          <w:szCs w:val="24"/>
          <w:lang w:val="bg-BG"/>
        </w:rPr>
      </w:pPr>
      <w:r w:rsidRPr="002077A0">
        <w:rPr>
          <w:rFonts w:ascii="Times New Roman" w:eastAsia="Calibri" w:hAnsi="Times New Roman"/>
          <w:szCs w:val="24"/>
          <w:lang w:val="bg-BG"/>
        </w:rPr>
        <w:t>Според чл. 12 от ЗД</w:t>
      </w:r>
      <w:r w:rsidR="00662330">
        <w:rPr>
          <w:rFonts w:ascii="Times New Roman" w:eastAsia="Calibri" w:hAnsi="Times New Roman"/>
          <w:szCs w:val="24"/>
          <w:lang w:val="bg-BG"/>
        </w:rPr>
        <w:t>ФГУДПС</w:t>
      </w:r>
      <w:r w:rsidRPr="002077A0">
        <w:rPr>
          <w:rFonts w:ascii="Times New Roman" w:eastAsia="Calibri" w:hAnsi="Times New Roman"/>
          <w:szCs w:val="24"/>
          <w:lang w:val="bg-BG"/>
        </w:rPr>
        <w:t xml:space="preserve"> </w:t>
      </w:r>
      <w:r w:rsidRPr="00A305F8">
        <w:rPr>
          <w:rFonts w:ascii="Times New Roman" w:eastAsia="Calibri" w:hAnsi="Times New Roman"/>
          <w:szCs w:val="24"/>
          <w:lang w:val="bg-BG"/>
        </w:rPr>
        <w:t xml:space="preserve">средствата на </w:t>
      </w:r>
      <w:r w:rsidR="0047363F" w:rsidRPr="00A305F8">
        <w:rPr>
          <w:rFonts w:ascii="Times New Roman" w:eastAsia="Calibri" w:hAnsi="Times New Roman"/>
          <w:szCs w:val="24"/>
          <w:lang w:val="bg-BG"/>
        </w:rPr>
        <w:t>ф</w:t>
      </w:r>
      <w:r w:rsidRPr="00A305F8">
        <w:rPr>
          <w:rFonts w:ascii="Times New Roman" w:eastAsia="Calibri" w:hAnsi="Times New Roman"/>
          <w:szCs w:val="24"/>
          <w:lang w:val="bg-BG"/>
        </w:rPr>
        <w:t>онда се инвестират при спазване принципите на надеждност, доходност, ликвидност</w:t>
      </w:r>
      <w:r w:rsidRPr="00C34C63">
        <w:rPr>
          <w:rFonts w:ascii="Times New Roman" w:eastAsia="Calibri" w:hAnsi="Times New Roman"/>
          <w:szCs w:val="24"/>
          <w:lang w:val="bg-BG"/>
        </w:rPr>
        <w:t>, диверсификация, както</w:t>
      </w:r>
      <w:r w:rsidRPr="00154523">
        <w:rPr>
          <w:rFonts w:ascii="Times New Roman" w:eastAsia="Calibri" w:hAnsi="Times New Roman"/>
          <w:szCs w:val="24"/>
          <w:lang w:val="bg-BG"/>
        </w:rPr>
        <w:t xml:space="preserve"> и при спазване на теглови съотношения и ограничения на инвестиционните портфейли</w:t>
      </w:r>
      <w:r w:rsidRPr="002077A0">
        <w:rPr>
          <w:rFonts w:ascii="Times New Roman" w:eastAsia="Calibri" w:hAnsi="Times New Roman"/>
          <w:szCs w:val="24"/>
          <w:lang w:val="bg-BG"/>
        </w:rPr>
        <w:t xml:space="preserve">. От създаването си до настоящия момент наличните ресурси на фонда се намират в </w:t>
      </w:r>
      <w:r w:rsidR="00662330">
        <w:rPr>
          <w:rFonts w:ascii="Times New Roman" w:eastAsia="Calibri" w:hAnsi="Times New Roman"/>
          <w:szCs w:val="24"/>
          <w:lang w:val="bg-BG"/>
        </w:rPr>
        <w:t>отделна</w:t>
      </w:r>
      <w:r w:rsidRPr="002077A0">
        <w:rPr>
          <w:rFonts w:ascii="Times New Roman" w:eastAsia="Calibri" w:hAnsi="Times New Roman"/>
          <w:szCs w:val="24"/>
          <w:lang w:val="bg-BG"/>
        </w:rPr>
        <w:t xml:space="preserve"> сметка в БНБ</w:t>
      </w:r>
      <w:r w:rsidR="00C20FF2">
        <w:rPr>
          <w:rFonts w:ascii="Times New Roman" w:eastAsia="Calibri" w:hAnsi="Times New Roman"/>
          <w:szCs w:val="24"/>
          <w:lang w:val="bg-BG"/>
        </w:rPr>
        <w:t xml:space="preserve"> и </w:t>
      </w:r>
      <w:r w:rsidR="0064591E">
        <w:rPr>
          <w:rFonts w:ascii="Times New Roman" w:eastAsia="Calibri" w:hAnsi="Times New Roman"/>
          <w:szCs w:val="24"/>
          <w:lang w:val="bg-BG"/>
        </w:rPr>
        <w:t>са</w:t>
      </w:r>
      <w:r w:rsidR="00C20FF2">
        <w:rPr>
          <w:rFonts w:ascii="Times New Roman" w:eastAsia="Calibri" w:hAnsi="Times New Roman"/>
          <w:szCs w:val="24"/>
          <w:lang w:val="bg-BG"/>
        </w:rPr>
        <w:t xml:space="preserve"> </w:t>
      </w:r>
      <w:r w:rsidRPr="002077A0">
        <w:rPr>
          <w:rFonts w:ascii="Times New Roman" w:eastAsia="Calibri" w:hAnsi="Times New Roman"/>
          <w:szCs w:val="24"/>
          <w:lang w:val="bg-BG"/>
        </w:rPr>
        <w:t xml:space="preserve">част от </w:t>
      </w:r>
      <w:r w:rsidR="005552FF">
        <w:rPr>
          <w:rFonts w:ascii="Times New Roman" w:eastAsia="Calibri" w:hAnsi="Times New Roman"/>
          <w:szCs w:val="24"/>
          <w:lang w:val="bg-BG"/>
        </w:rPr>
        <w:t>фискалния резерв</w:t>
      </w:r>
      <w:r w:rsidRPr="002077A0">
        <w:rPr>
          <w:rFonts w:ascii="Times New Roman" w:eastAsia="Calibri" w:hAnsi="Times New Roman"/>
          <w:szCs w:val="24"/>
          <w:lang w:val="bg-BG"/>
        </w:rPr>
        <w:t xml:space="preserve"> на страната</w:t>
      </w:r>
      <w:r w:rsidR="00036DFA">
        <w:rPr>
          <w:rFonts w:ascii="Times New Roman" w:eastAsia="Calibri" w:hAnsi="Times New Roman"/>
          <w:szCs w:val="24"/>
          <w:lang w:val="bg-BG"/>
        </w:rPr>
        <w:t>.</w:t>
      </w:r>
      <w:r w:rsidRPr="002077A0">
        <w:rPr>
          <w:rFonts w:ascii="Times New Roman" w:eastAsia="Calibri" w:hAnsi="Times New Roman"/>
          <w:szCs w:val="24"/>
          <w:lang w:val="bg-BG"/>
        </w:rPr>
        <w:t xml:space="preserve"> </w:t>
      </w:r>
      <w:r w:rsidR="00036DFA" w:rsidRPr="00894453">
        <w:rPr>
          <w:rFonts w:ascii="Times New Roman" w:eastAsia="Calibri" w:hAnsi="Times New Roman"/>
          <w:szCs w:val="24"/>
          <w:lang w:val="bg-BG"/>
        </w:rPr>
        <w:t xml:space="preserve">Следваната до момента консервативна стратегия при инвестирането на средствата на ДФГУДПС в депозитни сметки в БНБ </w:t>
      </w:r>
      <w:r w:rsidR="005F2F1E" w:rsidRPr="00DC2A12">
        <w:rPr>
          <w:rFonts w:ascii="Times New Roman" w:eastAsia="Calibri" w:hAnsi="Times New Roman"/>
          <w:szCs w:val="24"/>
          <w:lang w:val="bg-BG"/>
        </w:rPr>
        <w:t>гарантира</w:t>
      </w:r>
      <w:r w:rsidR="00F00E0B">
        <w:rPr>
          <w:rFonts w:ascii="Times New Roman" w:eastAsia="Calibri" w:hAnsi="Times New Roman"/>
          <w:szCs w:val="24"/>
          <w:lang w:val="bg-BG"/>
        </w:rPr>
        <w:t xml:space="preserve"> елиминиране</w:t>
      </w:r>
      <w:r w:rsidR="005F2F1E" w:rsidRPr="00DC2A12">
        <w:rPr>
          <w:rFonts w:ascii="Times New Roman" w:eastAsia="Calibri" w:hAnsi="Times New Roman"/>
          <w:szCs w:val="24"/>
          <w:lang w:val="bg-BG"/>
        </w:rPr>
        <w:t xml:space="preserve"> на негативните ефекти и проявите на волатилност на международните капиталови пазари.</w:t>
      </w:r>
      <w:r w:rsidR="00036DFA">
        <w:rPr>
          <w:rFonts w:ascii="Times New Roman" w:eastAsia="Calibri" w:hAnsi="Times New Roman"/>
          <w:szCs w:val="24"/>
          <w:lang w:val="bg-BG"/>
        </w:rPr>
        <w:t xml:space="preserve"> Това от своя страна съответства на текущата пазарна среда и води до избягване на риска</w:t>
      </w:r>
      <w:r w:rsidR="002525EC">
        <w:rPr>
          <w:rFonts w:ascii="Times New Roman" w:eastAsia="Calibri" w:hAnsi="Times New Roman"/>
          <w:szCs w:val="24"/>
          <w:lang w:val="bg-BG"/>
        </w:rPr>
        <w:t>,</w:t>
      </w:r>
      <w:r w:rsidR="00036DFA">
        <w:rPr>
          <w:rFonts w:ascii="Times New Roman" w:eastAsia="Calibri" w:hAnsi="Times New Roman"/>
          <w:szCs w:val="24"/>
          <w:lang w:val="bg-BG"/>
        </w:rPr>
        <w:t xml:space="preserve"> </w:t>
      </w:r>
      <w:r w:rsidR="002525EC" w:rsidRPr="002525EC">
        <w:rPr>
          <w:rFonts w:ascii="Times New Roman" w:eastAsia="Calibri" w:hAnsi="Times New Roman"/>
          <w:szCs w:val="24"/>
          <w:lang w:val="bg-BG"/>
        </w:rPr>
        <w:t xml:space="preserve">свързан </w:t>
      </w:r>
      <w:r w:rsidR="002525EC" w:rsidRPr="00522699">
        <w:rPr>
          <w:rFonts w:ascii="Times New Roman" w:eastAsia="Calibri" w:hAnsi="Times New Roman"/>
          <w:szCs w:val="24"/>
          <w:lang w:val="bg-BG"/>
        </w:rPr>
        <w:t xml:space="preserve">с </w:t>
      </w:r>
      <w:r w:rsidR="002C3D57" w:rsidRPr="00522699">
        <w:rPr>
          <w:rFonts w:ascii="Times New Roman" w:eastAsia="Calibri" w:hAnsi="Times New Roman"/>
          <w:szCs w:val="24"/>
          <w:lang w:val="bg-BG"/>
        </w:rPr>
        <w:t xml:space="preserve">възможните </w:t>
      </w:r>
      <w:r w:rsidR="002525EC" w:rsidRPr="00522699">
        <w:rPr>
          <w:rFonts w:ascii="Times New Roman" w:eastAsia="Calibri" w:hAnsi="Times New Roman"/>
          <w:szCs w:val="24"/>
          <w:lang w:val="bg-BG"/>
        </w:rPr>
        <w:t>промени на външните</w:t>
      </w:r>
      <w:r w:rsidR="002525EC" w:rsidRPr="002525EC">
        <w:rPr>
          <w:rFonts w:ascii="Times New Roman" w:eastAsia="Calibri" w:hAnsi="Times New Roman"/>
          <w:szCs w:val="24"/>
          <w:lang w:val="bg-BG"/>
        </w:rPr>
        <w:t xml:space="preserve"> пазари.</w:t>
      </w:r>
    </w:p>
    <w:p w14:paraId="72737055" w14:textId="77777777" w:rsidR="002077A0" w:rsidRPr="00B134E3" w:rsidRDefault="002077A0" w:rsidP="002077A0">
      <w:pPr>
        <w:spacing w:after="0" w:line="240" w:lineRule="auto"/>
        <w:ind w:firstLine="709"/>
        <w:rPr>
          <w:rFonts w:ascii="Times New Roman" w:eastAsia="Calibri" w:hAnsi="Times New Roman"/>
          <w:szCs w:val="24"/>
          <w:lang w:val="bg-BG"/>
        </w:rPr>
      </w:pPr>
      <w:r w:rsidRPr="002077A0">
        <w:rPr>
          <w:rFonts w:ascii="Times New Roman" w:eastAsia="Calibri" w:hAnsi="Times New Roman"/>
          <w:szCs w:val="24"/>
          <w:lang w:val="bg-BG"/>
        </w:rPr>
        <w:t xml:space="preserve">При допускане за активно инвестиране на </w:t>
      </w:r>
      <w:r w:rsidR="00662330" w:rsidRPr="002077A0">
        <w:rPr>
          <w:rFonts w:ascii="Times New Roman" w:eastAsia="Calibri" w:hAnsi="Times New Roman"/>
          <w:szCs w:val="24"/>
          <w:lang w:val="bg-BG"/>
        </w:rPr>
        <w:t>Д</w:t>
      </w:r>
      <w:r w:rsidR="00662330">
        <w:rPr>
          <w:rFonts w:ascii="Times New Roman" w:eastAsia="Calibri" w:hAnsi="Times New Roman"/>
          <w:szCs w:val="24"/>
          <w:lang w:val="bg-BG"/>
        </w:rPr>
        <w:t>ФГУДПС</w:t>
      </w:r>
      <w:r w:rsidRPr="002077A0">
        <w:rPr>
          <w:rFonts w:ascii="Times New Roman" w:eastAsia="Calibri" w:hAnsi="Times New Roman"/>
          <w:szCs w:val="24"/>
          <w:lang w:val="bg-BG"/>
        </w:rPr>
        <w:t xml:space="preserve"> за достигане на по-висока доходност трябва да се вземе предвид, доколко пазарните условия биха позволили това и при </w:t>
      </w:r>
      <w:r w:rsidRPr="00B134E3">
        <w:rPr>
          <w:rFonts w:ascii="Times New Roman" w:eastAsia="Calibri" w:hAnsi="Times New Roman"/>
          <w:szCs w:val="24"/>
          <w:lang w:val="bg-BG"/>
        </w:rPr>
        <w:t xml:space="preserve">каква степен на риск. </w:t>
      </w:r>
    </w:p>
    <w:p w14:paraId="51A95EEB" w14:textId="77777777" w:rsidR="00D77B27" w:rsidRPr="00BE18B6" w:rsidRDefault="00D77B27" w:rsidP="00D77B27">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През първите девет месеца на 2025 г. икономическия растеж в световен план беше относително стабилен, макар и не висок. Американската икономика постигна значителен растеж от 3.8% през второто тримесечие, като прогнозите са този растеж да се запази до </w:t>
      </w:r>
      <w:r w:rsidRPr="00BE18B6">
        <w:rPr>
          <w:rFonts w:ascii="Times New Roman" w:eastAsia="Calibri" w:hAnsi="Times New Roman"/>
          <w:szCs w:val="24"/>
          <w:lang w:val="bg-BG" w:eastAsia="bg-BG"/>
        </w:rPr>
        <w:lastRenderedPageBreak/>
        <w:t xml:space="preserve">голяма степен, подкрепен освен от солидно представяне на потреблението, и от силното представяне на капиталовите пазари и възхода на компаниите за </w:t>
      </w:r>
      <w:r>
        <w:rPr>
          <w:rFonts w:ascii="Times New Roman" w:eastAsia="Calibri" w:hAnsi="Times New Roman"/>
          <w:szCs w:val="24"/>
          <w:lang w:val="bg-BG" w:eastAsia="bg-BG"/>
        </w:rPr>
        <w:t>изкуствен интелект</w:t>
      </w:r>
      <w:r w:rsidRPr="00BE18B6">
        <w:rPr>
          <w:rFonts w:ascii="Times New Roman" w:eastAsia="Calibri" w:hAnsi="Times New Roman"/>
          <w:szCs w:val="24"/>
          <w:lang w:val="bg-BG" w:eastAsia="bg-BG"/>
        </w:rPr>
        <w:t>. През следващите години американската икономика ще продължи да нараства по-бързо спрямо европейската икономика, но се очаква сближаване на растежите. Отново са налице значителни глобални рискове от геополитически и търговски характер, като те се оценяват като по-значими за икономиката на САЩ. Перспективите пред европейската икономика се оценяват като стабилни, но очакваният икономически растеж ще бъде доста умерен.</w:t>
      </w:r>
    </w:p>
    <w:p w14:paraId="69AB48E4" w14:textId="77777777" w:rsidR="00D77B27" w:rsidRPr="00BE18B6" w:rsidRDefault="00D77B27" w:rsidP="00D77B27">
      <w:pPr>
        <w:spacing w:after="0" w:line="240" w:lineRule="auto"/>
        <w:contextualSpacing/>
        <w:rPr>
          <w:rFonts w:ascii="Times New Roman" w:eastAsia="Calibri" w:hAnsi="Times New Roman"/>
          <w:szCs w:val="24"/>
          <w:lang w:val="bg-BG" w:eastAsia="bg-BG"/>
        </w:rPr>
      </w:pPr>
      <w:r>
        <w:rPr>
          <w:rFonts w:ascii="Times New Roman" w:eastAsia="Calibri" w:hAnsi="Times New Roman"/>
          <w:szCs w:val="24"/>
          <w:lang w:val="bg-BG" w:eastAsia="bg-BG"/>
        </w:rPr>
        <w:t>Европейската централна банка (</w:t>
      </w:r>
      <w:r w:rsidRPr="00BE18B6">
        <w:rPr>
          <w:rFonts w:ascii="Times New Roman" w:eastAsia="Calibri" w:hAnsi="Times New Roman"/>
          <w:szCs w:val="24"/>
          <w:lang w:val="bg-BG" w:eastAsia="bg-BG"/>
        </w:rPr>
        <w:t>ЕЦБ</w:t>
      </w:r>
      <w:r>
        <w:rPr>
          <w:rFonts w:ascii="Times New Roman" w:eastAsia="Calibri" w:hAnsi="Times New Roman"/>
          <w:szCs w:val="24"/>
          <w:lang w:val="bg-BG" w:eastAsia="bg-BG"/>
        </w:rPr>
        <w:t>)</w:t>
      </w:r>
      <w:r w:rsidRPr="00BE18B6">
        <w:rPr>
          <w:rFonts w:ascii="Times New Roman" w:eastAsia="Calibri" w:hAnsi="Times New Roman"/>
          <w:szCs w:val="24"/>
          <w:lang w:val="bg-BG" w:eastAsia="bg-BG"/>
        </w:rPr>
        <w:t xml:space="preserve"> продълж</w:t>
      </w:r>
      <w:r>
        <w:rPr>
          <w:rFonts w:ascii="Times New Roman" w:eastAsia="Calibri" w:hAnsi="Times New Roman"/>
          <w:szCs w:val="24"/>
          <w:lang w:val="bg-BG" w:eastAsia="bg-BG"/>
        </w:rPr>
        <w:t>ава</w:t>
      </w:r>
      <w:r w:rsidRPr="00BE18B6">
        <w:rPr>
          <w:rFonts w:ascii="Times New Roman" w:eastAsia="Calibri" w:hAnsi="Times New Roman"/>
          <w:szCs w:val="24"/>
          <w:lang w:val="bg-BG" w:eastAsia="bg-BG"/>
        </w:rPr>
        <w:t xml:space="preserve"> цикъла на понижение на основните лихвени проценти при намаляваща инфлация и относително слаб икономически растеж в еврозоната през първата половина на 2025 г., като извърши четири понижения с по 25 базисни точки. През втората половина на годината ЕЦБ спря пониженията</w:t>
      </w:r>
      <w:r>
        <w:rPr>
          <w:rFonts w:ascii="Times New Roman" w:eastAsia="Calibri" w:hAnsi="Times New Roman"/>
          <w:szCs w:val="24"/>
          <w:lang w:val="bg-BG" w:eastAsia="bg-BG"/>
        </w:rPr>
        <w:t>,</w:t>
      </w:r>
      <w:r w:rsidRPr="00BE18B6">
        <w:rPr>
          <w:rFonts w:ascii="Times New Roman" w:eastAsia="Calibri" w:hAnsi="Times New Roman"/>
          <w:szCs w:val="24"/>
          <w:lang w:val="bg-BG" w:eastAsia="bg-BG"/>
        </w:rPr>
        <w:t xml:space="preserve"> поради постигане на инфлационната цел от 2%, като запази относително положителни условия за финансиране и остана в позиция на изчакване с готовност да реагира на макроикономическите данни с промяна в паричната политика в необходимата посока.</w:t>
      </w:r>
    </w:p>
    <w:p w14:paraId="6B1845C4" w14:textId="77777777" w:rsidR="00D77B27" w:rsidRPr="00BE18B6" w:rsidRDefault="00D77B27" w:rsidP="00D77B27">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През 2025 г. годишният темп на инфлация, измерен с </w:t>
      </w:r>
      <w:r>
        <w:rPr>
          <w:rFonts w:ascii="Times New Roman" w:eastAsia="Calibri" w:hAnsi="Times New Roman"/>
          <w:szCs w:val="24"/>
          <w:lang w:val="bg-BG" w:eastAsia="bg-BG"/>
        </w:rPr>
        <w:t>хармонизирания индекс на потребителските цени</w:t>
      </w:r>
      <w:r w:rsidRPr="00BE18B6">
        <w:rPr>
          <w:rFonts w:ascii="Times New Roman" w:eastAsia="Calibri" w:hAnsi="Times New Roman"/>
          <w:szCs w:val="24"/>
          <w:lang w:val="bg-BG" w:eastAsia="bg-BG"/>
        </w:rPr>
        <w:t xml:space="preserve">, се повиши до 3.8% през октомври при 2.1% в края на 2024 г. Водещ принос по основни компоненти на индекса имаха услугите, следвани от храните. Факторите за това бяха преобладаващо вътрешни, в условията на силно потребление на домакинствата и повишение на разходите за труд в икономиката. Енергийните стоки също имаха слабо положителен принос, поради повишението на административните цени на електрическа и топлинна енергия през юли. </w:t>
      </w:r>
    </w:p>
    <w:p w14:paraId="1D396279" w14:textId="77777777" w:rsidR="00D77B27" w:rsidRPr="00BE18B6" w:rsidRDefault="00D77B27" w:rsidP="00D77B27">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Текущите тенденции на финансовите пазари, отразяващи различни инвестиционни опции, са следните:</w:t>
      </w:r>
    </w:p>
    <w:p w14:paraId="3D836F95" w14:textId="77777777" w:rsidR="00D77B27" w:rsidRPr="00BE18B6" w:rsidRDefault="00D77B27" w:rsidP="00D77B27">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 xml:space="preserve">При режима на функциониращия паричен съвет, лихвените проценти на междубанковия паричен пазар в България продължиха да отразяват тенденциите на паричния пазар в еврозоната. През 2025 г. понижението на основните лихвени проценти в еврозоната се пренасяше върху лихвените проценти по сключените сделки на междубанковия паричен пазар. Към края на ноември 2025 г. индексът </w:t>
      </w:r>
      <w:proofErr w:type="spellStart"/>
      <w:r w:rsidRPr="00BE18B6">
        <w:rPr>
          <w:rFonts w:ascii="Times New Roman" w:eastAsia="Calibri" w:hAnsi="Times New Roman"/>
          <w:szCs w:val="24"/>
          <w:lang w:val="bg-BG" w:eastAsia="bg-BG"/>
        </w:rPr>
        <w:t>Леониа</w:t>
      </w:r>
      <w:proofErr w:type="spellEnd"/>
      <w:r w:rsidRPr="00BE18B6">
        <w:rPr>
          <w:rFonts w:ascii="Times New Roman" w:eastAsia="Calibri" w:hAnsi="Times New Roman"/>
          <w:szCs w:val="24"/>
          <w:lang w:val="bg-BG" w:eastAsia="bg-BG"/>
        </w:rPr>
        <w:t xml:space="preserve"> Плюс достигна 1.84%, като остана малко под стойността на 3-месечния EURIBOR от 2.06%. По-ниските лихви на местния междубанков пазар традиционно могат да се свържат със свръхликвидността на банковата система.</w:t>
      </w:r>
    </w:p>
    <w:p w14:paraId="765C86BC" w14:textId="77777777" w:rsidR="00D77B27" w:rsidRPr="00BE18B6" w:rsidRDefault="00D77B27" w:rsidP="00D77B27">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 xml:space="preserve">Лихвената политика на ЕЦБ се отрази върху среднопретегления лихвен процент по банковите депозити на нефинансови предприятия и домакинства. През октомври 2025 г. стойността му достигна 1.57% при 1.88% година по-рано. В началото на 2025 г. възвръщаемостта по средствата на ДФГУДПС в БНБ беше по-висока от предлаганата от търговските банки по депозити. След месец май обаче, номиналната възвръщаемост на „Сребърния фонд“ започна да се понижава по-бързо от пазарната по срочни депозити и към октомври остава малко под предлаганата от търговските банки (около 10 базисни точки). </w:t>
      </w:r>
    </w:p>
    <w:p w14:paraId="56A9D1CE" w14:textId="77777777" w:rsidR="00D77B27" w:rsidRPr="00BE18B6" w:rsidRDefault="00D77B27" w:rsidP="00D77B27">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r>
      <w:r w:rsidRPr="00023F2F">
        <w:rPr>
          <w:rFonts w:ascii="Times New Roman" w:eastAsia="Calibri" w:hAnsi="Times New Roman"/>
          <w:szCs w:val="24"/>
          <w:lang w:val="bg-BG" w:eastAsia="bg-BG"/>
        </w:rPr>
        <w:t>Реалната доходност на средствата на ДФГУДПС през 2025 г. премина на отрицателна територия още от началото на годината, предвид по-високия темп на годишна инфлация и същевременно понижение на номиналната възвръщаемост по сметката на фонда в БНБ. Въпреки очакваното забавяне на инфлацията през 2026 г., изчаквателната позиция от страна на ЕЦБ предполага минимални или никакви изменения на референтните лихвени проценти. Така, реалната доходност ще остане отрицателна през следващата година, макар и по-близо до неутралната спрямо 2025 г.</w:t>
      </w:r>
      <w:r w:rsidRPr="00BE18B6">
        <w:rPr>
          <w:rFonts w:ascii="Times New Roman" w:eastAsia="Calibri" w:hAnsi="Times New Roman"/>
          <w:szCs w:val="24"/>
          <w:lang w:val="bg-BG" w:eastAsia="bg-BG"/>
        </w:rPr>
        <w:t xml:space="preserve"> </w:t>
      </w:r>
    </w:p>
    <w:p w14:paraId="4BE2C140" w14:textId="77777777" w:rsidR="00D77B27" w:rsidRPr="00BE18B6" w:rsidRDefault="00D77B27" w:rsidP="00D77B27">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Пазарите на акции се развиваха сравнително възходящо през изминалия период от 2025 г. под влияние на устойчивостта на икономиките на САЩ и еврозоната, а основният двигател на капиталовите пазари бяха компаниите, развиващи изкуствен интелект. Все пак, американските пазари се движеха устойчиво възходящо, докато европейските бяха по-</w:t>
      </w:r>
      <w:proofErr w:type="spellStart"/>
      <w:r w:rsidRPr="00BE18B6">
        <w:rPr>
          <w:rFonts w:ascii="Times New Roman" w:eastAsia="Calibri" w:hAnsi="Times New Roman"/>
          <w:szCs w:val="24"/>
          <w:lang w:val="bg-BG" w:eastAsia="bg-BG"/>
        </w:rPr>
        <w:t>волатилни</w:t>
      </w:r>
      <w:proofErr w:type="spellEnd"/>
      <w:r w:rsidRPr="00BE18B6">
        <w:rPr>
          <w:rFonts w:ascii="Times New Roman" w:eastAsia="Calibri" w:hAnsi="Times New Roman"/>
          <w:szCs w:val="24"/>
          <w:lang w:val="bg-BG" w:eastAsia="bg-BG"/>
        </w:rPr>
        <w:t xml:space="preserve"> с различно представяне в отделните държави, отразяващо и различните политически и фискални рискове. Перспективите за динамиката на пазарите на акции през следващата година остават основно положителни, но поради различията в икономическите и </w:t>
      </w:r>
      <w:r w:rsidRPr="00BE18B6">
        <w:rPr>
          <w:rFonts w:ascii="Times New Roman" w:eastAsia="Calibri" w:hAnsi="Times New Roman"/>
          <w:szCs w:val="24"/>
          <w:lang w:val="bg-BG" w:eastAsia="bg-BG"/>
        </w:rPr>
        <w:lastRenderedPageBreak/>
        <w:t>политически тенденции в САЩ спрямо ЕС и еврозоната в частност, степента на оптимизъм и рисковете също се различават. Американската икономика ще продължи да се представя по-добре от европейската и очакванията са пазарите на акции в САЩ да реализират по-голям възход. В Европа, макар и възстановяващ се, икономическият растеж остава по-слаб. Същевременно политическата несигурност в редица европейски държави увеличава рисковете. На този фон важна роля ще имат и геополитическите рискове, както и докога ще се запази високият рисков апетит на инвеститорите, което може да доведе до корекции на цените на активите.</w:t>
      </w:r>
    </w:p>
    <w:p w14:paraId="551C7FED" w14:textId="77777777" w:rsidR="00D77B27" w:rsidRPr="00BE18B6" w:rsidRDefault="00D77B27" w:rsidP="00D77B27">
      <w:pPr>
        <w:tabs>
          <w:tab w:val="left" w:pos="993"/>
        </w:tabs>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w:t>
      </w:r>
      <w:r w:rsidRPr="00BE18B6">
        <w:rPr>
          <w:rFonts w:ascii="Times New Roman" w:eastAsia="Calibri" w:hAnsi="Times New Roman"/>
          <w:szCs w:val="24"/>
          <w:lang w:val="bg-BG" w:eastAsia="bg-BG"/>
        </w:rPr>
        <w:tab/>
        <w:t xml:space="preserve">2025 г. беше положителна за пазарите на държавен дълг. Перспективите за следващата година към момента също са положителни, като </w:t>
      </w:r>
      <w:proofErr w:type="spellStart"/>
      <w:r w:rsidRPr="00BE18B6">
        <w:rPr>
          <w:rFonts w:ascii="Times New Roman" w:eastAsia="Calibri" w:hAnsi="Times New Roman"/>
          <w:szCs w:val="24"/>
          <w:lang w:val="bg-BG" w:eastAsia="bg-BG"/>
        </w:rPr>
        <w:t>доходностите</w:t>
      </w:r>
      <w:proofErr w:type="spellEnd"/>
      <w:r w:rsidRPr="00BE18B6">
        <w:rPr>
          <w:rFonts w:ascii="Times New Roman" w:eastAsia="Calibri" w:hAnsi="Times New Roman"/>
          <w:szCs w:val="24"/>
          <w:lang w:val="bg-BG" w:eastAsia="bg-BG"/>
        </w:rPr>
        <w:t xml:space="preserve"> са все още достатъчно високи, а се очаква емитирането на значителен обем дълг в еврозоната. Същевременно, спредовете спрямо ДЦК на Германия се понижиха, което намалява възвръщаемостта спрямо поетия риск, а предвид съществуващите фискални рискове във водещите европейски икономики, финансовите анализатори препоръчват покупки на средносрочни ДЦК (оригинален матуритет под 10 години) и активно управление на портфейлите, което би било скъпо от гледна точка на ДФГУДПС. Към момента ДЦК на държави с инвестиционен рейтинг като Норвегия, Обединеното Кралство, Нова Зеландия, САЩ, Чехия и Австралия предлагат относително висока доходност (надвишаващи над два пъти доходността по депозита в БНБ) при относително ниско ниво на риск. Въпреки това, положителен ефект върху доходността на ДФГУДПС би могъл да се постигне при покупка в кратки срокове (нереалистично от административна гледна точка) и дългосрочен хоризонт на портфейла.   </w:t>
      </w:r>
    </w:p>
    <w:p w14:paraId="41649278" w14:textId="77777777" w:rsidR="00D77B27" w:rsidRPr="00BE18B6" w:rsidRDefault="00D77B27" w:rsidP="00D77B27">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На база на гореизложеното, не би могло да се препоръча инвестиране на средства от ДФГУДПС на фондовите пазари и пазарите на суверенен дълг в краткосрочен и средносрочен хоризонт. Препоръката отчита в качествен аспект и потенциалните ресурси, които ще са необходими за следене и управление на диверсифициран портфейл от акции, допустими по ЗДФГУДПС</w:t>
      </w:r>
      <w:r>
        <w:rPr>
          <w:rFonts w:ascii="Times New Roman" w:eastAsia="Calibri" w:hAnsi="Times New Roman"/>
          <w:szCs w:val="24"/>
          <w:lang w:val="bg-BG" w:eastAsia="bg-BG"/>
        </w:rPr>
        <w:t>.</w:t>
      </w:r>
    </w:p>
    <w:p w14:paraId="4A53EA99" w14:textId="77777777" w:rsidR="00D77B27" w:rsidRPr="00BE18B6" w:rsidRDefault="00D77B27" w:rsidP="00D77B27">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 xml:space="preserve">При описаните пазарни условия, постигането на по-висока номинална доходност в краткосрочен план би било възможно, но би било съпроводено с по-високи разходи за активно управление.  </w:t>
      </w:r>
    </w:p>
    <w:p w14:paraId="105BC3BB" w14:textId="77777777" w:rsidR="00D77B27" w:rsidRPr="006602DE" w:rsidRDefault="00D77B27" w:rsidP="00D77B27">
      <w:pPr>
        <w:spacing w:after="0" w:line="240" w:lineRule="auto"/>
        <w:contextualSpacing/>
        <w:rPr>
          <w:rFonts w:ascii="Times New Roman" w:eastAsia="Calibri" w:hAnsi="Times New Roman"/>
          <w:szCs w:val="24"/>
          <w:lang w:val="bg-BG" w:eastAsia="bg-BG"/>
        </w:rPr>
      </w:pPr>
      <w:r w:rsidRPr="00BE18B6">
        <w:rPr>
          <w:rFonts w:ascii="Times New Roman" w:eastAsia="Calibri" w:hAnsi="Times New Roman"/>
          <w:szCs w:val="24"/>
          <w:lang w:val="bg-BG" w:eastAsia="bg-BG"/>
        </w:rPr>
        <w:t>С оглед на гореизложените аргументи, на рисковете пред държавната пенсионна система, и запазването и увеличаването на реалния размер на натрупаните средства, препоръчваме да се запази през 2026 г. консервативния подход при управление на средствата от фонда при ниска степен на риск чрез депозита в Българската народна банка. В същото време, предвид до голяма степен изчерпаните възможности за увеличаване средствата на ДФГУДПС извън промяна в пазарната стойност на активите</w:t>
      </w:r>
      <w:r w:rsidRPr="006602DE">
        <w:rPr>
          <w:rFonts w:ascii="Times New Roman" w:eastAsia="Calibri" w:hAnsi="Times New Roman"/>
          <w:szCs w:val="24"/>
          <w:lang w:val="bg-BG" w:eastAsia="bg-BG"/>
        </w:rPr>
        <w:t>, би било добре да се проучи възможността за по-активно управление на част от средствата за формиране на дългосрочни портфейли от акции и ДЦК съгласно предвидените в законодателството възможности за това (чл. 13 и чл. 8, ал. 3 от ЗДФГУДПС).</w:t>
      </w:r>
    </w:p>
    <w:p w14:paraId="2B708FBD" w14:textId="77777777" w:rsidR="00D77B27" w:rsidRPr="006602DE" w:rsidRDefault="00D77B27" w:rsidP="00D77B27">
      <w:pPr>
        <w:spacing w:after="0" w:line="240" w:lineRule="auto"/>
        <w:contextualSpacing/>
        <w:rPr>
          <w:rFonts w:ascii="Times New Roman" w:eastAsia="Calibri" w:hAnsi="Times New Roman"/>
          <w:szCs w:val="24"/>
          <w:lang w:val="bg-BG" w:eastAsia="bg-BG"/>
        </w:rPr>
      </w:pPr>
      <w:r w:rsidRPr="006602DE">
        <w:rPr>
          <w:rFonts w:ascii="Times New Roman" w:eastAsia="Calibri" w:hAnsi="Times New Roman"/>
          <w:szCs w:val="24"/>
          <w:lang w:val="bg-BG" w:eastAsia="bg-BG"/>
        </w:rPr>
        <w:t>Възможността за активно управление следва да се оцени от гледна точка на основната функция на ДФГУДПС, а именно – осигуряване на устойчивост на държавната пенсионна система, включително и в средносрочен и дългосрочен план.</w:t>
      </w:r>
    </w:p>
    <w:p w14:paraId="1846FEFC" w14:textId="77777777" w:rsidR="00D77B27" w:rsidRPr="0007527A" w:rsidRDefault="00D77B27" w:rsidP="00D77B27">
      <w:pPr>
        <w:spacing w:after="0" w:line="240" w:lineRule="auto"/>
        <w:contextualSpacing/>
        <w:rPr>
          <w:rFonts w:ascii="Times New Roman" w:eastAsia="Calibri" w:hAnsi="Times New Roman"/>
          <w:szCs w:val="24"/>
          <w:lang w:val="bg-BG" w:eastAsia="bg-BG"/>
        </w:rPr>
      </w:pPr>
      <w:r w:rsidRPr="006602DE">
        <w:rPr>
          <w:rFonts w:ascii="Times New Roman" w:eastAsia="Calibri" w:hAnsi="Times New Roman"/>
          <w:szCs w:val="24"/>
          <w:lang w:val="bg-BG" w:eastAsia="bg-BG"/>
        </w:rPr>
        <w:t>Предвид постоянно нарастващите разходи на държавната пенсионна система, активиране на възможността за активно управление на част от ресурсите би дало възможност Фондът да се възползва от благоприятни пазарни условия в бъдеще, за да гарантира запазване на реалната стойност на средствата и евентуално нарастването им в дългосрочен план.</w:t>
      </w:r>
    </w:p>
    <w:p w14:paraId="76B0BB4C" w14:textId="77777777" w:rsidR="007C2B6D" w:rsidRPr="002842AC" w:rsidRDefault="007C2B6D" w:rsidP="007C2B6D">
      <w:pPr>
        <w:spacing w:after="0" w:line="240" w:lineRule="auto"/>
        <w:ind w:firstLine="709"/>
        <w:rPr>
          <w:rFonts w:ascii="Times New Roman" w:eastAsia="Calibri" w:hAnsi="Times New Roman"/>
          <w:szCs w:val="24"/>
          <w:lang w:val="bg-BG" w:eastAsia="bg-BG"/>
        </w:rPr>
      </w:pPr>
      <w:r w:rsidRPr="002842AC">
        <w:rPr>
          <w:rFonts w:ascii="Times New Roman" w:eastAsia="Calibri" w:hAnsi="Times New Roman"/>
          <w:szCs w:val="24"/>
          <w:lang w:val="bg-BG" w:eastAsia="bg-BG"/>
        </w:rPr>
        <w:t xml:space="preserve">При описаните пазарни условия, постигането на по-висока номинална доходност в краткосрочен план би било трудно и то при благоприятна реализация на очакванията. Същевременно, възможността за активно управление следва да се оцени и от гледна точка на основната функция на ДФГУДПС, а именно – осигуряване на устойчивост на държавната пенсионна система, включително и в средносрочен и дългосрочен план.  </w:t>
      </w:r>
    </w:p>
    <w:p w14:paraId="750E43D3" w14:textId="77777777" w:rsidR="007C2B6D" w:rsidRPr="007C2B6D" w:rsidRDefault="007C2B6D" w:rsidP="007C2B6D">
      <w:pPr>
        <w:spacing w:after="0" w:line="240" w:lineRule="auto"/>
        <w:ind w:firstLine="709"/>
        <w:rPr>
          <w:rFonts w:ascii="Times New Roman" w:eastAsia="Calibri" w:hAnsi="Times New Roman"/>
          <w:szCs w:val="24"/>
          <w:lang w:val="bg-BG" w:eastAsia="bg-BG"/>
        </w:rPr>
      </w:pPr>
      <w:r w:rsidRPr="002842AC">
        <w:rPr>
          <w:rFonts w:ascii="Times New Roman" w:eastAsia="Calibri" w:hAnsi="Times New Roman"/>
          <w:szCs w:val="24"/>
          <w:lang w:val="bg-BG" w:eastAsia="bg-BG"/>
        </w:rPr>
        <w:lastRenderedPageBreak/>
        <w:t>С оглед на гореизложените аргументи, на рисковете пред държавната пенсионна система, и запазването и увеличаването на реалния размер на натрупаните средства, подходящо е да се запази консервативния подход при управление на средствата от фонда при ниска степен на риск чрез депозита в Българската народна банка. В същото време, предвид до голяма степен изчерпаните възможности за увеличаване средствата на ДФГУДПС извън промяна в пазарната стойност на активите, по-активно управление на част от средствата за формиране на дългосрочни портфейли от акции и ДЦК съгласно предвидените в законодателството възможности за това (чл. 13 и чл. 8, ал. 3 от ЗДФГУДПС) би било удачно при оценка за положителен нетен ефект от осъществяване на ниско рискова инвестиция.</w:t>
      </w:r>
      <w:r w:rsidRPr="007C2B6D">
        <w:rPr>
          <w:rFonts w:ascii="Times New Roman" w:eastAsia="Calibri" w:hAnsi="Times New Roman"/>
          <w:szCs w:val="24"/>
          <w:lang w:val="bg-BG" w:eastAsia="bg-BG"/>
        </w:rPr>
        <w:t xml:space="preserve">  </w:t>
      </w:r>
    </w:p>
    <w:p w14:paraId="3F4CE12D" w14:textId="77777777" w:rsidR="008D08D2" w:rsidRPr="00B80A21" w:rsidRDefault="008D08D2" w:rsidP="006F0842">
      <w:pPr>
        <w:spacing w:after="0" w:line="240" w:lineRule="auto"/>
        <w:ind w:firstLine="709"/>
        <w:rPr>
          <w:rFonts w:ascii="Times New Roman" w:eastAsia="Calibri" w:hAnsi="Times New Roman"/>
          <w:sz w:val="20"/>
          <w:lang w:val="bg-BG"/>
        </w:rPr>
      </w:pPr>
    </w:p>
    <w:p w14:paraId="03674801" w14:textId="77777777" w:rsidR="00FA4B27" w:rsidRDefault="00491671" w:rsidP="000D34AE">
      <w:pPr>
        <w:tabs>
          <w:tab w:val="left" w:pos="342"/>
          <w:tab w:val="left" w:pos="1311"/>
          <w:tab w:val="left" w:pos="1368"/>
          <w:tab w:val="left" w:pos="2052"/>
        </w:tabs>
        <w:spacing w:after="0" w:line="240" w:lineRule="auto"/>
        <w:rPr>
          <w:rFonts w:ascii="Times New Roman" w:hAnsi="Times New Roman"/>
          <w:b/>
          <w:smallCaps/>
          <w:sz w:val="22"/>
          <w:szCs w:val="22"/>
          <w:lang w:val="bg-BG"/>
        </w:rPr>
      </w:pPr>
      <w:r w:rsidRPr="0041305B">
        <w:rPr>
          <w:rFonts w:ascii="Times New Roman" w:hAnsi="Times New Roman"/>
          <w:b/>
          <w:smallCaps/>
          <w:sz w:val="22"/>
          <w:szCs w:val="22"/>
          <w:lang w:val="bg-BG"/>
        </w:rPr>
        <w:t>І</w:t>
      </w:r>
      <w:r>
        <w:rPr>
          <w:rFonts w:ascii="Times New Roman" w:hAnsi="Times New Roman"/>
          <w:b/>
          <w:smallCaps/>
          <w:sz w:val="22"/>
          <w:szCs w:val="22"/>
          <w:lang w:val="bg-BG"/>
        </w:rPr>
        <w:t>V</w:t>
      </w:r>
      <w:r w:rsidR="00A73AA7" w:rsidRPr="0041305B">
        <w:rPr>
          <w:rFonts w:ascii="Times New Roman" w:hAnsi="Times New Roman"/>
          <w:b/>
          <w:smallCaps/>
          <w:sz w:val="22"/>
          <w:szCs w:val="22"/>
          <w:lang w:val="bg-BG"/>
        </w:rPr>
        <w:t>.</w:t>
      </w:r>
      <w:r w:rsidR="00A73AA7">
        <w:rPr>
          <w:rFonts w:ascii="Times New Roman" w:hAnsi="Times New Roman"/>
          <w:b/>
          <w:smallCaps/>
          <w:sz w:val="22"/>
          <w:szCs w:val="22"/>
          <w:lang w:val="bg-BG"/>
        </w:rPr>
        <w:t xml:space="preserve"> </w:t>
      </w:r>
      <w:r w:rsidR="00FA4B27" w:rsidRPr="00984586">
        <w:rPr>
          <w:rFonts w:ascii="Times New Roman" w:hAnsi="Times New Roman"/>
          <w:b/>
          <w:smallCaps/>
          <w:sz w:val="22"/>
          <w:szCs w:val="22"/>
          <w:lang w:val="bg-BG"/>
        </w:rPr>
        <w:t>О</w:t>
      </w:r>
      <w:r w:rsidR="00FA4B27">
        <w:rPr>
          <w:rFonts w:ascii="Times New Roman" w:hAnsi="Times New Roman"/>
          <w:b/>
          <w:smallCaps/>
          <w:sz w:val="22"/>
          <w:szCs w:val="22"/>
          <w:lang w:val="bg-BG"/>
        </w:rPr>
        <w:t xml:space="preserve">СНОВНИ ИНСТРУМЕНТИ, В КОИТО СЕ ПРЕДВИЖДА ДА БЪДАТ ИНВЕСТИРАНИ СРЕДСТВАТА НА </w:t>
      </w:r>
      <w:r w:rsidR="00FA4B27" w:rsidRPr="002D35A5">
        <w:rPr>
          <w:rFonts w:ascii="Times New Roman" w:hAnsi="Times New Roman"/>
          <w:b/>
          <w:smallCaps/>
          <w:sz w:val="22"/>
          <w:szCs w:val="22"/>
          <w:lang w:val="bg-BG"/>
        </w:rPr>
        <w:t>ДФГУДПС</w:t>
      </w:r>
      <w:r w:rsidR="00FA4B27">
        <w:rPr>
          <w:rFonts w:ascii="Times New Roman" w:hAnsi="Times New Roman"/>
          <w:b/>
          <w:smallCaps/>
          <w:sz w:val="22"/>
          <w:szCs w:val="22"/>
          <w:lang w:val="bg-BG"/>
        </w:rPr>
        <w:t xml:space="preserve"> В ПЕРИОДА 20</w:t>
      </w:r>
      <w:r w:rsidR="007D4140">
        <w:rPr>
          <w:rFonts w:ascii="Times New Roman" w:hAnsi="Times New Roman"/>
          <w:b/>
          <w:smallCaps/>
          <w:sz w:val="22"/>
          <w:szCs w:val="22"/>
          <w:lang w:val="bg-BG"/>
        </w:rPr>
        <w:t>2</w:t>
      </w:r>
      <w:r w:rsidR="00E87FED">
        <w:rPr>
          <w:rFonts w:ascii="Times New Roman" w:hAnsi="Times New Roman"/>
          <w:b/>
          <w:smallCaps/>
          <w:sz w:val="22"/>
          <w:szCs w:val="22"/>
          <w:lang w:val="bg-BG"/>
        </w:rPr>
        <w:t>6</w:t>
      </w:r>
      <w:r w:rsidR="00FA4B27">
        <w:rPr>
          <w:rFonts w:ascii="Times New Roman" w:hAnsi="Times New Roman"/>
          <w:b/>
          <w:smallCaps/>
          <w:sz w:val="22"/>
          <w:szCs w:val="22"/>
          <w:lang w:val="bg-BG"/>
        </w:rPr>
        <w:t>-20</w:t>
      </w:r>
      <w:r w:rsidR="000B3D97">
        <w:rPr>
          <w:rFonts w:ascii="Times New Roman" w:hAnsi="Times New Roman"/>
          <w:b/>
          <w:smallCaps/>
          <w:sz w:val="22"/>
          <w:szCs w:val="22"/>
          <w:lang w:val="bg-BG"/>
        </w:rPr>
        <w:t>2</w:t>
      </w:r>
      <w:r w:rsidR="00E87FED">
        <w:rPr>
          <w:rFonts w:ascii="Times New Roman" w:hAnsi="Times New Roman"/>
          <w:b/>
          <w:smallCaps/>
          <w:sz w:val="22"/>
          <w:szCs w:val="22"/>
          <w:lang w:val="bg-BG"/>
        </w:rPr>
        <w:t>8</w:t>
      </w:r>
      <w:r w:rsidR="00FA4B27">
        <w:rPr>
          <w:rFonts w:ascii="Times New Roman" w:hAnsi="Times New Roman"/>
          <w:b/>
          <w:smallCaps/>
          <w:sz w:val="22"/>
          <w:szCs w:val="22"/>
          <w:lang w:val="bg-BG"/>
        </w:rPr>
        <w:t xml:space="preserve"> г.</w:t>
      </w:r>
    </w:p>
    <w:p w14:paraId="2C41FADF" w14:textId="77777777" w:rsidR="00FA4B27" w:rsidRPr="00A305F8" w:rsidRDefault="00FA4B27" w:rsidP="00FA4B27">
      <w:pPr>
        <w:tabs>
          <w:tab w:val="left" w:pos="342"/>
          <w:tab w:val="left" w:pos="1311"/>
          <w:tab w:val="left" w:pos="1368"/>
          <w:tab w:val="left" w:pos="2052"/>
        </w:tabs>
        <w:spacing w:after="0" w:line="240" w:lineRule="auto"/>
        <w:ind w:left="399" w:hanging="21"/>
        <w:rPr>
          <w:rFonts w:ascii="Times New Roman" w:hAnsi="Times New Roman"/>
          <w:b/>
          <w:smallCaps/>
          <w:sz w:val="10"/>
          <w:szCs w:val="10"/>
          <w:lang w:val="bg-BG"/>
        </w:rPr>
      </w:pPr>
    </w:p>
    <w:p w14:paraId="7A4212CD" w14:textId="77777777" w:rsidR="00030380" w:rsidRDefault="00A73AA7" w:rsidP="00A305F8">
      <w:pPr>
        <w:spacing w:after="0" w:line="240" w:lineRule="auto"/>
        <w:rPr>
          <w:rFonts w:ascii="Times New Roman" w:hAnsi="Times New Roman"/>
          <w:szCs w:val="24"/>
          <w:lang w:val="bg-BG" w:eastAsia="bg-BG"/>
        </w:rPr>
      </w:pPr>
      <w:r w:rsidRPr="004342CE">
        <w:rPr>
          <w:rFonts w:ascii="Times New Roman" w:hAnsi="Times New Roman"/>
          <w:szCs w:val="24"/>
          <w:lang w:val="bg-BG" w:eastAsia="bg-BG"/>
        </w:rPr>
        <w:t xml:space="preserve">Средносрочната стратегия за </w:t>
      </w:r>
      <w:r w:rsidR="007D4920">
        <w:rPr>
          <w:rFonts w:ascii="Times New Roman" w:hAnsi="Times New Roman"/>
          <w:szCs w:val="24"/>
          <w:lang w:val="bg-BG" w:eastAsia="bg-BG"/>
        </w:rPr>
        <w:t xml:space="preserve">инвестиране на </w:t>
      </w:r>
      <w:r w:rsidRPr="004342CE">
        <w:rPr>
          <w:rFonts w:ascii="Times New Roman" w:hAnsi="Times New Roman"/>
          <w:szCs w:val="24"/>
          <w:lang w:val="bg-BG" w:eastAsia="bg-BG"/>
        </w:rPr>
        <w:t>сред</w:t>
      </w:r>
      <w:r w:rsidR="007D4920">
        <w:rPr>
          <w:rFonts w:ascii="Times New Roman" w:hAnsi="Times New Roman"/>
          <w:szCs w:val="24"/>
          <w:lang w:val="bg-BG" w:eastAsia="bg-BG"/>
        </w:rPr>
        <w:t xml:space="preserve">ствата на </w:t>
      </w:r>
      <w:r w:rsidR="0047363F">
        <w:rPr>
          <w:rFonts w:ascii="Times New Roman" w:hAnsi="Times New Roman"/>
          <w:szCs w:val="24"/>
          <w:lang w:val="bg-BG" w:eastAsia="bg-BG"/>
        </w:rPr>
        <w:t>ф</w:t>
      </w:r>
      <w:r w:rsidRPr="004342CE">
        <w:rPr>
          <w:rFonts w:ascii="Times New Roman" w:hAnsi="Times New Roman"/>
          <w:szCs w:val="24"/>
          <w:lang w:val="bg-BG" w:eastAsia="bg-BG"/>
        </w:rPr>
        <w:t>онда за периода 20</w:t>
      </w:r>
      <w:r w:rsidR="007D4140">
        <w:rPr>
          <w:rFonts w:ascii="Times New Roman" w:hAnsi="Times New Roman"/>
          <w:szCs w:val="24"/>
          <w:lang w:val="bg-BG" w:eastAsia="bg-BG"/>
        </w:rPr>
        <w:t>2</w:t>
      </w:r>
      <w:r w:rsidR="00E87FED">
        <w:rPr>
          <w:rFonts w:ascii="Times New Roman" w:hAnsi="Times New Roman"/>
          <w:szCs w:val="24"/>
          <w:lang w:val="bg-BG" w:eastAsia="bg-BG"/>
        </w:rPr>
        <w:t>6</w:t>
      </w:r>
      <w:r w:rsidRPr="004342CE">
        <w:rPr>
          <w:rFonts w:ascii="Times New Roman" w:hAnsi="Times New Roman"/>
          <w:szCs w:val="24"/>
          <w:lang w:val="bg-BG" w:eastAsia="bg-BG"/>
        </w:rPr>
        <w:t>-20</w:t>
      </w:r>
      <w:r w:rsidR="000B3D97">
        <w:rPr>
          <w:rFonts w:ascii="Times New Roman" w:hAnsi="Times New Roman"/>
          <w:szCs w:val="24"/>
          <w:lang w:val="bg-BG" w:eastAsia="bg-BG"/>
        </w:rPr>
        <w:t>2</w:t>
      </w:r>
      <w:r w:rsidR="00E87FED">
        <w:rPr>
          <w:rFonts w:ascii="Times New Roman" w:hAnsi="Times New Roman"/>
          <w:szCs w:val="24"/>
          <w:lang w:val="bg-BG" w:eastAsia="bg-BG"/>
        </w:rPr>
        <w:t>8</w:t>
      </w:r>
      <w:r w:rsidRPr="004342CE">
        <w:rPr>
          <w:rFonts w:ascii="Times New Roman" w:hAnsi="Times New Roman"/>
          <w:szCs w:val="24"/>
          <w:lang w:val="bg-BG" w:eastAsia="bg-BG"/>
        </w:rPr>
        <w:t xml:space="preserve"> г. предвижда запазване на прилагания до сега консервативен подхо</w:t>
      </w:r>
      <w:r>
        <w:rPr>
          <w:rFonts w:ascii="Times New Roman" w:hAnsi="Times New Roman"/>
          <w:szCs w:val="24"/>
          <w:lang w:val="bg-BG" w:eastAsia="bg-BG"/>
        </w:rPr>
        <w:t xml:space="preserve">д. Активите на </w:t>
      </w:r>
      <w:r w:rsidR="0047363F">
        <w:rPr>
          <w:rFonts w:ascii="Times New Roman" w:hAnsi="Times New Roman"/>
          <w:szCs w:val="24"/>
          <w:lang w:val="bg-BG" w:eastAsia="bg-BG"/>
        </w:rPr>
        <w:t>ф</w:t>
      </w:r>
      <w:r>
        <w:rPr>
          <w:rFonts w:ascii="Times New Roman" w:hAnsi="Times New Roman"/>
          <w:szCs w:val="24"/>
          <w:lang w:val="bg-BG" w:eastAsia="bg-BG"/>
        </w:rPr>
        <w:t>онда се управляват при</w:t>
      </w:r>
      <w:r w:rsidRPr="004342CE">
        <w:rPr>
          <w:rFonts w:ascii="Times New Roman" w:hAnsi="Times New Roman"/>
          <w:szCs w:val="24"/>
          <w:lang w:val="bg-BG" w:eastAsia="bg-BG"/>
        </w:rPr>
        <w:t xml:space="preserve"> спазване прин</w:t>
      </w:r>
      <w:r>
        <w:rPr>
          <w:rFonts w:ascii="Times New Roman" w:hAnsi="Times New Roman"/>
          <w:szCs w:val="24"/>
          <w:lang w:val="bg-BG" w:eastAsia="bg-BG"/>
        </w:rPr>
        <w:t xml:space="preserve">ципите на надеждност, </w:t>
      </w:r>
      <w:r w:rsidRPr="004342CE">
        <w:rPr>
          <w:rFonts w:ascii="Times New Roman" w:hAnsi="Times New Roman"/>
          <w:szCs w:val="24"/>
          <w:lang w:val="bg-BG" w:eastAsia="bg-BG"/>
        </w:rPr>
        <w:t>ликвидност</w:t>
      </w:r>
      <w:r w:rsidR="00CF0138">
        <w:rPr>
          <w:rFonts w:ascii="Times New Roman" w:hAnsi="Times New Roman"/>
          <w:szCs w:val="24"/>
          <w:lang w:val="bg-BG" w:eastAsia="bg-BG"/>
        </w:rPr>
        <w:t xml:space="preserve"> и прозрачност</w:t>
      </w:r>
      <w:r>
        <w:rPr>
          <w:rFonts w:ascii="Times New Roman" w:hAnsi="Times New Roman"/>
          <w:szCs w:val="24"/>
          <w:lang w:val="bg-BG" w:eastAsia="bg-BG"/>
        </w:rPr>
        <w:t xml:space="preserve">. Настоящите пазарни условия не предполагат реализирането на </w:t>
      </w:r>
      <w:r w:rsidR="00A75D3C">
        <w:rPr>
          <w:rFonts w:ascii="Times New Roman" w:hAnsi="Times New Roman"/>
          <w:szCs w:val="24"/>
          <w:lang w:val="bg-BG" w:eastAsia="bg-BG"/>
        </w:rPr>
        <w:t>по-</w:t>
      </w:r>
      <w:r>
        <w:rPr>
          <w:rFonts w:ascii="Times New Roman" w:hAnsi="Times New Roman"/>
          <w:szCs w:val="24"/>
          <w:lang w:val="bg-BG" w:eastAsia="bg-BG"/>
        </w:rPr>
        <w:t>висока доходност при желаните ниски нива на инвестицион</w:t>
      </w:r>
      <w:r w:rsidR="007D4920">
        <w:rPr>
          <w:rFonts w:ascii="Times New Roman" w:hAnsi="Times New Roman"/>
          <w:szCs w:val="24"/>
          <w:lang w:val="bg-BG" w:eastAsia="bg-BG"/>
        </w:rPr>
        <w:t>е</w:t>
      </w:r>
      <w:r>
        <w:rPr>
          <w:rFonts w:ascii="Times New Roman" w:hAnsi="Times New Roman"/>
          <w:szCs w:val="24"/>
          <w:lang w:val="bg-BG" w:eastAsia="bg-BG"/>
        </w:rPr>
        <w:t xml:space="preserve">н риск, </w:t>
      </w:r>
      <w:r w:rsidR="007D4920">
        <w:rPr>
          <w:rFonts w:ascii="Times New Roman" w:hAnsi="Times New Roman"/>
          <w:szCs w:val="24"/>
          <w:lang w:val="bg-BG" w:eastAsia="bg-BG"/>
        </w:rPr>
        <w:t>поради което</w:t>
      </w:r>
      <w:r>
        <w:rPr>
          <w:rFonts w:ascii="Times New Roman" w:hAnsi="Times New Roman"/>
          <w:szCs w:val="24"/>
          <w:lang w:val="bg-BG" w:eastAsia="bg-BG"/>
        </w:rPr>
        <w:t xml:space="preserve"> най-добрата алтернатива за инвестиране на средствата на </w:t>
      </w:r>
      <w:r w:rsidR="0047363F">
        <w:rPr>
          <w:rFonts w:ascii="Times New Roman" w:hAnsi="Times New Roman"/>
          <w:szCs w:val="24"/>
          <w:lang w:val="bg-BG" w:eastAsia="bg-BG"/>
        </w:rPr>
        <w:t>ф</w:t>
      </w:r>
      <w:r>
        <w:rPr>
          <w:rFonts w:ascii="Times New Roman" w:hAnsi="Times New Roman"/>
          <w:szCs w:val="24"/>
          <w:lang w:val="bg-BG" w:eastAsia="bg-BG"/>
        </w:rPr>
        <w:t xml:space="preserve">онда ще продължи да бъде </w:t>
      </w:r>
      <w:r w:rsidR="007D4920">
        <w:rPr>
          <w:rFonts w:ascii="Times New Roman" w:hAnsi="Times New Roman"/>
          <w:szCs w:val="24"/>
          <w:lang w:val="bg-BG" w:eastAsia="bg-BG"/>
        </w:rPr>
        <w:t xml:space="preserve">под формата на </w:t>
      </w:r>
      <w:r>
        <w:rPr>
          <w:rFonts w:ascii="Times New Roman" w:hAnsi="Times New Roman"/>
          <w:szCs w:val="24"/>
          <w:lang w:val="bg-BG" w:eastAsia="bg-BG"/>
        </w:rPr>
        <w:t>депози</w:t>
      </w:r>
      <w:r w:rsidR="007D4920">
        <w:rPr>
          <w:rFonts w:ascii="Times New Roman" w:hAnsi="Times New Roman"/>
          <w:szCs w:val="24"/>
          <w:lang w:val="bg-BG" w:eastAsia="bg-BG"/>
        </w:rPr>
        <w:t>т</w:t>
      </w:r>
      <w:r>
        <w:rPr>
          <w:rFonts w:ascii="Times New Roman" w:hAnsi="Times New Roman"/>
          <w:szCs w:val="24"/>
          <w:lang w:val="bg-BG" w:eastAsia="bg-BG"/>
        </w:rPr>
        <w:t xml:space="preserve"> в централната банка</w:t>
      </w:r>
      <w:r w:rsidR="00433E73">
        <w:rPr>
          <w:rFonts w:ascii="Times New Roman" w:hAnsi="Times New Roman"/>
          <w:szCs w:val="24"/>
          <w:lang w:val="bg-BG" w:eastAsia="bg-BG"/>
        </w:rPr>
        <w:t xml:space="preserve"> или </w:t>
      </w:r>
      <w:r w:rsidR="00C56C15">
        <w:rPr>
          <w:rFonts w:ascii="Times New Roman" w:hAnsi="Times New Roman"/>
          <w:szCs w:val="24"/>
          <w:lang w:val="bg-BG" w:eastAsia="bg-BG"/>
        </w:rPr>
        <w:t xml:space="preserve">други инструменти </w:t>
      </w:r>
      <w:r w:rsidR="00030380">
        <w:rPr>
          <w:rFonts w:ascii="Times New Roman" w:hAnsi="Times New Roman"/>
          <w:szCs w:val="24"/>
          <w:lang w:val="bg-BG" w:eastAsia="bg-BG"/>
        </w:rPr>
        <w:t>по сметки в БНБ</w:t>
      </w:r>
      <w:r w:rsidR="00030380" w:rsidRPr="0014058C">
        <w:rPr>
          <w:rFonts w:ascii="Times New Roman" w:hAnsi="Times New Roman"/>
          <w:szCs w:val="24"/>
          <w:lang w:val="bg-BG" w:eastAsia="bg-BG"/>
        </w:rPr>
        <w:t>.</w:t>
      </w:r>
    </w:p>
    <w:p w14:paraId="53D841DA" w14:textId="77777777" w:rsidR="00030380" w:rsidRDefault="009A513B" w:rsidP="00A305F8">
      <w:pPr>
        <w:spacing w:after="0" w:line="240" w:lineRule="auto"/>
        <w:rPr>
          <w:rFonts w:ascii="Times New Roman" w:hAnsi="Times New Roman"/>
          <w:szCs w:val="24"/>
          <w:lang w:val="bg-BG" w:eastAsia="bg-BG"/>
        </w:rPr>
      </w:pPr>
      <w:r w:rsidRPr="00522699">
        <w:rPr>
          <w:rFonts w:ascii="Times New Roman" w:hAnsi="Times New Roman"/>
          <w:szCs w:val="24"/>
          <w:lang w:val="bg-BG" w:eastAsia="bg-BG"/>
        </w:rPr>
        <w:t xml:space="preserve">В условията на </w:t>
      </w:r>
      <w:r w:rsidR="00241CAC" w:rsidRPr="00522699">
        <w:rPr>
          <w:rFonts w:ascii="Times New Roman" w:hAnsi="Times New Roman"/>
          <w:szCs w:val="24"/>
          <w:lang w:val="bg-BG" w:eastAsia="bg-BG"/>
        </w:rPr>
        <w:t xml:space="preserve">спадаща инфлация и внимателен подход на централните банки </w:t>
      </w:r>
      <w:r w:rsidR="00AE2BC0" w:rsidRPr="00522699">
        <w:rPr>
          <w:rFonts w:ascii="Times New Roman" w:hAnsi="Times New Roman"/>
          <w:szCs w:val="24"/>
          <w:lang w:val="bg-BG" w:eastAsia="bg-BG"/>
        </w:rPr>
        <w:t>с</w:t>
      </w:r>
      <w:r w:rsidR="00241CAC" w:rsidRPr="00522699">
        <w:rPr>
          <w:rFonts w:ascii="Times New Roman" w:hAnsi="Times New Roman"/>
          <w:szCs w:val="24"/>
          <w:lang w:val="bg-BG" w:eastAsia="bg-BG"/>
        </w:rPr>
        <w:t xml:space="preserve"> постепенно намаляване на регулаторните лихви с цел </w:t>
      </w:r>
      <w:r w:rsidR="00AE2BC0" w:rsidRPr="00522699">
        <w:rPr>
          <w:rFonts w:ascii="Times New Roman" w:hAnsi="Times New Roman"/>
          <w:szCs w:val="24"/>
          <w:lang w:val="bg-BG" w:eastAsia="bg-BG"/>
        </w:rPr>
        <w:t>ефективен</w:t>
      </w:r>
      <w:r w:rsidR="00241CAC" w:rsidRPr="00522699">
        <w:rPr>
          <w:rFonts w:ascii="Times New Roman" w:hAnsi="Times New Roman"/>
          <w:szCs w:val="24"/>
          <w:lang w:val="bg-BG" w:eastAsia="bg-BG"/>
        </w:rPr>
        <w:t xml:space="preserve"> контрол на ръста на цените, средствата по сметки в БНБ предоставят възможност за </w:t>
      </w:r>
      <w:r w:rsidR="00F36C14" w:rsidRPr="00522699">
        <w:rPr>
          <w:rFonts w:ascii="Times New Roman" w:hAnsi="Times New Roman"/>
          <w:szCs w:val="24"/>
          <w:lang w:val="bg-BG" w:eastAsia="bg-BG"/>
        </w:rPr>
        <w:t>реализиран</w:t>
      </w:r>
      <w:r w:rsidR="00241CAC" w:rsidRPr="00522699">
        <w:rPr>
          <w:rFonts w:ascii="Times New Roman" w:hAnsi="Times New Roman"/>
          <w:szCs w:val="24"/>
          <w:lang w:val="bg-BG" w:eastAsia="bg-BG"/>
        </w:rPr>
        <w:t>е</w:t>
      </w:r>
      <w:r w:rsidR="00F36C14" w:rsidRPr="00B134E3">
        <w:rPr>
          <w:rFonts w:ascii="Times New Roman" w:hAnsi="Times New Roman"/>
          <w:szCs w:val="24"/>
          <w:lang w:val="bg-BG" w:eastAsia="bg-BG"/>
        </w:rPr>
        <w:t xml:space="preserve"> </w:t>
      </w:r>
      <w:r w:rsidR="00241CAC">
        <w:rPr>
          <w:rFonts w:ascii="Times New Roman" w:hAnsi="Times New Roman"/>
          <w:szCs w:val="24"/>
          <w:lang w:val="bg-BG" w:eastAsia="bg-BG"/>
        </w:rPr>
        <w:t xml:space="preserve">на нетна положителна </w:t>
      </w:r>
      <w:r w:rsidR="008934C1" w:rsidRPr="00B134E3">
        <w:rPr>
          <w:rFonts w:ascii="Times New Roman" w:hAnsi="Times New Roman"/>
          <w:szCs w:val="24"/>
          <w:lang w:val="bg-BG" w:eastAsia="bg-BG"/>
        </w:rPr>
        <w:t>доходност</w:t>
      </w:r>
      <w:r w:rsidR="005442F6" w:rsidRPr="00B134E3">
        <w:rPr>
          <w:rFonts w:ascii="Times New Roman" w:hAnsi="Times New Roman"/>
          <w:szCs w:val="24"/>
          <w:lang w:val="bg-BG" w:eastAsia="bg-BG"/>
        </w:rPr>
        <w:t xml:space="preserve"> в средносрочен период</w:t>
      </w:r>
      <w:r w:rsidR="00AD0014" w:rsidRPr="00B134E3">
        <w:rPr>
          <w:rFonts w:ascii="Times New Roman" w:hAnsi="Times New Roman"/>
          <w:szCs w:val="24"/>
          <w:lang w:val="bg-BG" w:eastAsia="bg-BG"/>
        </w:rPr>
        <w:t>.</w:t>
      </w:r>
      <w:r w:rsidR="00AD0014">
        <w:rPr>
          <w:rFonts w:ascii="Times New Roman" w:hAnsi="Times New Roman"/>
          <w:szCs w:val="24"/>
          <w:lang w:val="bg-BG" w:eastAsia="bg-BG"/>
        </w:rPr>
        <w:t xml:space="preserve"> </w:t>
      </w:r>
    </w:p>
    <w:p w14:paraId="2A6319F2" w14:textId="77777777" w:rsidR="00030380" w:rsidRPr="00B80A21" w:rsidRDefault="00030380" w:rsidP="00233C02">
      <w:pPr>
        <w:tabs>
          <w:tab w:val="left" w:pos="342"/>
          <w:tab w:val="left" w:pos="1311"/>
          <w:tab w:val="left" w:pos="1368"/>
          <w:tab w:val="left" w:pos="2052"/>
        </w:tabs>
        <w:spacing w:after="0" w:line="240" w:lineRule="auto"/>
        <w:ind w:left="399" w:hanging="21"/>
        <w:rPr>
          <w:rFonts w:ascii="Times New Roman" w:hAnsi="Times New Roman"/>
          <w:b/>
          <w:smallCaps/>
          <w:sz w:val="20"/>
          <w:lang w:val="bg-BG"/>
        </w:rPr>
      </w:pPr>
    </w:p>
    <w:p w14:paraId="36E712E9" w14:textId="77777777" w:rsidR="00233C02" w:rsidRDefault="00233C02" w:rsidP="000D34AE">
      <w:pPr>
        <w:tabs>
          <w:tab w:val="left" w:pos="342"/>
          <w:tab w:val="left" w:pos="1311"/>
          <w:tab w:val="left" w:pos="1368"/>
          <w:tab w:val="left" w:pos="2052"/>
        </w:tabs>
        <w:spacing w:after="0" w:line="240" w:lineRule="auto"/>
        <w:rPr>
          <w:rFonts w:ascii="Times New Roman" w:hAnsi="Times New Roman"/>
          <w:b/>
          <w:smallCaps/>
          <w:sz w:val="22"/>
          <w:szCs w:val="22"/>
          <w:lang w:val="bg-BG"/>
        </w:rPr>
      </w:pPr>
      <w:r>
        <w:rPr>
          <w:rFonts w:ascii="Times New Roman" w:hAnsi="Times New Roman"/>
          <w:b/>
          <w:smallCaps/>
          <w:sz w:val="22"/>
          <w:szCs w:val="22"/>
          <w:lang w:val="bg-BG"/>
        </w:rPr>
        <w:t>ЗАКЛЮЧЕНИЕ</w:t>
      </w:r>
    </w:p>
    <w:p w14:paraId="59CD3EBF" w14:textId="77777777" w:rsidR="00DD5D44" w:rsidRPr="00A305F8" w:rsidRDefault="00DD5D44" w:rsidP="00233C02">
      <w:pPr>
        <w:tabs>
          <w:tab w:val="left" w:pos="342"/>
          <w:tab w:val="left" w:pos="1311"/>
          <w:tab w:val="left" w:pos="1368"/>
          <w:tab w:val="left" w:pos="2052"/>
        </w:tabs>
        <w:spacing w:after="0" w:line="240" w:lineRule="auto"/>
        <w:ind w:left="399" w:hanging="21"/>
        <w:rPr>
          <w:rFonts w:ascii="Times New Roman" w:hAnsi="Times New Roman"/>
          <w:b/>
          <w:smallCaps/>
          <w:sz w:val="10"/>
          <w:szCs w:val="10"/>
          <w:lang w:val="bg-BG"/>
        </w:rPr>
      </w:pPr>
    </w:p>
    <w:p w14:paraId="31ED17E1" w14:textId="77777777" w:rsidR="002B2F2B" w:rsidRPr="00741FDB" w:rsidRDefault="00C83EEA" w:rsidP="00A75D3C">
      <w:pPr>
        <w:spacing w:line="240" w:lineRule="auto"/>
        <w:rPr>
          <w:rFonts w:ascii="TimesNewRomanPSMT" w:hAnsi="TimesNewRomanPSMT" w:cs="TimesNewRomanPSMT"/>
          <w:szCs w:val="24"/>
          <w:lang w:val="bg-BG" w:eastAsia="bg-BG"/>
        </w:rPr>
      </w:pPr>
      <w:r w:rsidRPr="00522699">
        <w:rPr>
          <w:rFonts w:ascii="Times New Roman" w:hAnsi="Times New Roman"/>
          <w:szCs w:val="24"/>
          <w:lang w:val="bg-BG" w:eastAsia="bg-BG"/>
        </w:rPr>
        <w:t>При</w:t>
      </w:r>
      <w:r w:rsidR="008B4B53" w:rsidRPr="00522699">
        <w:rPr>
          <w:rFonts w:ascii="Times New Roman" w:hAnsi="Times New Roman"/>
          <w:szCs w:val="24"/>
          <w:lang w:val="bg-BG" w:eastAsia="bg-BG"/>
        </w:rPr>
        <w:t xml:space="preserve"> текущата </w:t>
      </w:r>
      <w:r w:rsidR="008C769E" w:rsidRPr="00522699">
        <w:rPr>
          <w:rFonts w:ascii="Times New Roman" w:hAnsi="Times New Roman"/>
          <w:szCs w:val="24"/>
          <w:lang w:val="bg-BG" w:eastAsia="bg-BG"/>
        </w:rPr>
        <w:t>външно</w:t>
      </w:r>
      <w:r w:rsidR="008B4B53" w:rsidRPr="00522699">
        <w:rPr>
          <w:rFonts w:ascii="Times New Roman" w:hAnsi="Times New Roman"/>
          <w:szCs w:val="24"/>
          <w:lang w:val="bg-BG" w:eastAsia="bg-BG"/>
        </w:rPr>
        <w:t>икономическа ситуация, прилаганият към момента консервативен подход</w:t>
      </w:r>
      <w:r w:rsidR="008C769E" w:rsidRPr="00522699">
        <w:rPr>
          <w:rFonts w:ascii="Times New Roman" w:hAnsi="Times New Roman"/>
          <w:szCs w:val="24"/>
          <w:lang w:val="bg-BG" w:eastAsia="bg-BG"/>
        </w:rPr>
        <w:t xml:space="preserve"> е оптимален, тъй като </w:t>
      </w:r>
      <w:r w:rsidR="0047492A" w:rsidRPr="00522699">
        <w:rPr>
          <w:rFonts w:ascii="Times New Roman" w:hAnsi="Times New Roman"/>
          <w:szCs w:val="24"/>
          <w:lang w:val="bg-BG" w:eastAsia="bg-BG"/>
        </w:rPr>
        <w:t xml:space="preserve">елиминира риска от </w:t>
      </w:r>
      <w:r w:rsidR="009D7EC1" w:rsidRPr="00522699">
        <w:rPr>
          <w:rFonts w:ascii="Times New Roman" w:hAnsi="Times New Roman"/>
          <w:szCs w:val="24"/>
          <w:lang w:val="bg-BG" w:eastAsia="bg-BG"/>
        </w:rPr>
        <w:t xml:space="preserve">реализиране на инвестиционни загуби и </w:t>
      </w:r>
      <w:r w:rsidR="008C769E" w:rsidRPr="00522699">
        <w:rPr>
          <w:rFonts w:ascii="Times New Roman" w:hAnsi="Times New Roman"/>
          <w:szCs w:val="24"/>
          <w:lang w:val="bg-BG" w:eastAsia="bg-BG"/>
        </w:rPr>
        <w:t xml:space="preserve">гарантира запазването на номиналния размер на акумулираните във фонда публични ресурси. </w:t>
      </w:r>
      <w:r w:rsidR="006207AC" w:rsidRPr="00522699">
        <w:rPr>
          <w:rFonts w:ascii="Times New Roman" w:hAnsi="Times New Roman"/>
          <w:szCs w:val="24"/>
          <w:lang w:val="bg-BG" w:eastAsia="bg-BG"/>
        </w:rPr>
        <w:t xml:space="preserve">Важен аргумент за запазване на средствата на фонда </w:t>
      </w:r>
      <w:r w:rsidR="004A5D29" w:rsidRPr="00522699">
        <w:rPr>
          <w:rFonts w:ascii="Times New Roman" w:hAnsi="Times New Roman"/>
          <w:szCs w:val="24"/>
          <w:lang w:val="bg-BG" w:eastAsia="bg-BG"/>
        </w:rPr>
        <w:t xml:space="preserve">в БНБ е </w:t>
      </w:r>
      <w:r w:rsidR="00D92143" w:rsidRPr="00522699">
        <w:rPr>
          <w:rFonts w:ascii="Times New Roman" w:hAnsi="Times New Roman"/>
          <w:szCs w:val="24"/>
          <w:lang w:val="bg-BG" w:eastAsia="bg-BG"/>
        </w:rPr>
        <w:t xml:space="preserve">и запазването на </w:t>
      </w:r>
      <w:r w:rsidR="004A5D29" w:rsidRPr="00522699">
        <w:rPr>
          <w:rFonts w:ascii="Times New Roman" w:hAnsi="Times New Roman"/>
          <w:szCs w:val="24"/>
          <w:lang w:val="bg-BG" w:eastAsia="bg-BG"/>
        </w:rPr>
        <w:t>висока прозрачност</w:t>
      </w:r>
      <w:r w:rsidR="00D92143" w:rsidRPr="00522699">
        <w:rPr>
          <w:rFonts w:ascii="Times New Roman" w:hAnsi="Times New Roman"/>
          <w:szCs w:val="24"/>
          <w:lang w:val="bg-BG" w:eastAsia="bg-BG"/>
        </w:rPr>
        <w:t xml:space="preserve">. </w:t>
      </w:r>
      <w:r w:rsidR="00240C5E" w:rsidRPr="00522699">
        <w:rPr>
          <w:rFonts w:ascii="Times New Roman" w:hAnsi="Times New Roman"/>
          <w:szCs w:val="24"/>
          <w:lang w:val="bg-BG" w:eastAsia="bg-BG"/>
        </w:rPr>
        <w:t>При благоприятно развитие на пазарните условия и при дефинирането на ясен инвестиционен хоризонт, възможността</w:t>
      </w:r>
      <w:r w:rsidR="00240C5E" w:rsidRPr="003613CD">
        <w:rPr>
          <w:rFonts w:ascii="Times New Roman" w:hAnsi="Times New Roman"/>
          <w:szCs w:val="24"/>
          <w:lang w:val="bg-BG" w:eastAsia="bg-BG"/>
        </w:rPr>
        <w:t xml:space="preserve"> за по-активно управление на средствата на фонда и диверсификация на инвестициите ще бъде анализирана на база оценка на степента на риска, както и оценка на възможния нетен доход, след приспадане на разходите за управление на инвестициите и други разходи, съгласно закона.</w:t>
      </w:r>
    </w:p>
    <w:sectPr w:rsidR="002B2F2B" w:rsidRPr="00741FDB" w:rsidSect="0023004F">
      <w:footerReference w:type="default" r:id="rId9"/>
      <w:headerReference w:type="first" r:id="rId10"/>
      <w:footerReference w:type="first" r:id="rId11"/>
      <w:pgSz w:w="11906" w:h="16838" w:code="9"/>
      <w:pgMar w:top="709" w:right="991" w:bottom="1702"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CBA3" w14:textId="77777777" w:rsidR="00C349B2" w:rsidRDefault="00C349B2">
      <w:r>
        <w:separator/>
      </w:r>
    </w:p>
  </w:endnote>
  <w:endnote w:type="continuationSeparator" w:id="0">
    <w:p w14:paraId="6D2EF5A3" w14:textId="77777777" w:rsidR="00C349B2" w:rsidRDefault="00C3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55112"/>
      <w:docPartObj>
        <w:docPartGallery w:val="Page Numbers (Bottom of Page)"/>
        <w:docPartUnique/>
      </w:docPartObj>
    </w:sdtPr>
    <w:sdtEndPr>
      <w:rPr>
        <w:rFonts w:ascii="Times New Roman" w:hAnsi="Times New Roman"/>
        <w:noProof/>
      </w:rPr>
    </w:sdtEndPr>
    <w:sdtContent>
      <w:p w14:paraId="2D95C524" w14:textId="77777777" w:rsidR="00433948" w:rsidRPr="00433948" w:rsidRDefault="00433948">
        <w:pPr>
          <w:pStyle w:val="Footer"/>
          <w:jc w:val="center"/>
          <w:rPr>
            <w:rFonts w:ascii="Times New Roman" w:hAnsi="Times New Roman"/>
          </w:rPr>
        </w:pPr>
        <w:r w:rsidRPr="00433948">
          <w:rPr>
            <w:rFonts w:ascii="Times New Roman" w:hAnsi="Times New Roman"/>
          </w:rPr>
          <w:fldChar w:fldCharType="begin"/>
        </w:r>
        <w:r w:rsidRPr="00433948">
          <w:rPr>
            <w:rFonts w:ascii="Times New Roman" w:hAnsi="Times New Roman"/>
          </w:rPr>
          <w:instrText xml:space="preserve"> PAGE   \* MERGEFORMAT </w:instrText>
        </w:r>
        <w:r w:rsidRPr="00433948">
          <w:rPr>
            <w:rFonts w:ascii="Times New Roman" w:hAnsi="Times New Roman"/>
          </w:rPr>
          <w:fldChar w:fldCharType="separate"/>
        </w:r>
        <w:r w:rsidR="00724C56">
          <w:rPr>
            <w:rFonts w:ascii="Times New Roman" w:hAnsi="Times New Roman"/>
            <w:noProof/>
          </w:rPr>
          <w:t>3</w:t>
        </w:r>
        <w:r w:rsidRPr="00433948">
          <w:rPr>
            <w:rFonts w:ascii="Times New Roman" w:hAnsi="Times New Roman"/>
            <w:noProof/>
          </w:rPr>
          <w:fldChar w:fldCharType="end"/>
        </w:r>
      </w:p>
    </w:sdtContent>
  </w:sdt>
  <w:p w14:paraId="65B8BC82" w14:textId="77777777" w:rsidR="00433948" w:rsidRDefault="0043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75B9" w14:textId="77777777" w:rsidR="006F029B" w:rsidRDefault="006F029B">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6994" w14:textId="77777777" w:rsidR="00C349B2" w:rsidRDefault="00C349B2">
      <w:r>
        <w:separator/>
      </w:r>
    </w:p>
  </w:footnote>
  <w:footnote w:type="continuationSeparator" w:id="0">
    <w:p w14:paraId="7B16DF75" w14:textId="77777777" w:rsidR="00C349B2" w:rsidRDefault="00C349B2">
      <w:r>
        <w:continuationSeparator/>
      </w:r>
    </w:p>
  </w:footnote>
  <w:footnote w:id="1">
    <w:p w14:paraId="6F287C56" w14:textId="77777777" w:rsidR="00D846D0" w:rsidRDefault="00D846D0" w:rsidP="00D846D0">
      <w:pPr>
        <w:pStyle w:val="FootnoteText"/>
      </w:pPr>
      <w:r>
        <w:rPr>
          <w:rStyle w:val="FootnoteReference"/>
        </w:rPr>
        <w:footnoteRef/>
      </w:r>
      <w:r w:rsidRPr="000B31FF">
        <w:t>Обн., ДВ, бр. 98 от 14.11.2008 г.</w:t>
      </w:r>
    </w:p>
  </w:footnote>
  <w:footnote w:id="2">
    <w:p w14:paraId="7F36D764" w14:textId="77777777" w:rsidR="00D846D0" w:rsidRDefault="00D846D0" w:rsidP="00D846D0">
      <w:pPr>
        <w:pStyle w:val="FootnoteText"/>
      </w:pPr>
      <w:r>
        <w:rPr>
          <w:rStyle w:val="FootnoteReference"/>
        </w:rPr>
        <w:footnoteRef/>
      </w:r>
      <w:r w:rsidRPr="000B31FF">
        <w:t>РМС № 180 от 01.04.2010 г. за одобряване на мерки за подкрепа на заетостта, домакинствата, бизнеса и фискалната позиция.</w:t>
      </w:r>
    </w:p>
  </w:footnote>
  <w:footnote w:id="3">
    <w:p w14:paraId="75F203BF" w14:textId="77777777" w:rsidR="00D846D0" w:rsidRDefault="00D846D0" w:rsidP="00D846D0">
      <w:pPr>
        <w:pStyle w:val="FootnoteText"/>
      </w:pPr>
      <w:r w:rsidRPr="0014058C">
        <w:rPr>
          <w:rStyle w:val="FootnoteReference"/>
        </w:rPr>
        <w:footnoteRef/>
      </w:r>
      <w:r w:rsidRPr="00932B5A">
        <w:t>Точка 4 от приложението</w:t>
      </w:r>
      <w:r w:rsidRPr="000B31FF">
        <w:t xml:space="preserve"> към РМС № 180 от 01.04.2010 г. за одобряване на мерки за подкрепа на заетостта, домакинствата, бизнеса и фискалната позиция.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29B4" w14:textId="77777777" w:rsidR="006F029B" w:rsidRPr="00CD2BD9" w:rsidRDefault="006F029B">
    <w:pPr>
      <w:autoSpaceDE w:val="0"/>
      <w:autoSpaceDN w:val="0"/>
      <w:adjustRightInd w:val="0"/>
      <w:spacing w:after="0" w:line="180" w:lineRule="atLeast"/>
      <w:ind w:left="-741" w:firstLine="228"/>
      <w:jc w:val="left"/>
      <w:rPr>
        <w:rFonts w:ascii="Times New Roman CYR" w:hAnsi="Times New Roman CYR"/>
        <w:sz w:val="22"/>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EB3"/>
    <w:multiLevelType w:val="hybridMultilevel"/>
    <w:tmpl w:val="65DAF5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8491904"/>
    <w:multiLevelType w:val="multilevel"/>
    <w:tmpl w:val="BDCCBE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B1C7525"/>
    <w:multiLevelType w:val="hybridMultilevel"/>
    <w:tmpl w:val="B198A0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011A59"/>
    <w:multiLevelType w:val="hybridMultilevel"/>
    <w:tmpl w:val="0A3A9708"/>
    <w:lvl w:ilvl="0" w:tplc="9D961684">
      <w:start w:val="1"/>
      <w:numFmt w:val="bullet"/>
      <w:lvlText w:val="-"/>
      <w:lvlJc w:val="left"/>
      <w:pPr>
        <w:ind w:left="1080" w:hanging="360"/>
      </w:pPr>
      <w:rPr>
        <w:rFonts w:ascii="Times New Roman" w:eastAsia="Times New Roman" w:hAnsi="Times New Roman"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113298B"/>
    <w:multiLevelType w:val="hybridMultilevel"/>
    <w:tmpl w:val="1A5EF558"/>
    <w:lvl w:ilvl="0" w:tplc="1116BE38">
      <w:start w:val="2"/>
      <w:numFmt w:val="bullet"/>
      <w:lvlText w:val="-"/>
      <w:lvlJc w:val="left"/>
      <w:pPr>
        <w:tabs>
          <w:tab w:val="num" w:pos="1065"/>
        </w:tabs>
        <w:ind w:left="1065" w:hanging="360"/>
      </w:pPr>
      <w:rPr>
        <w:rFonts w:ascii="Times New Roman" w:eastAsia="Times New Roman" w:hAnsi="Times New Roman" w:cs="Times New Roman" w:hint="default"/>
        <w:b w:val="0"/>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1E5630"/>
    <w:multiLevelType w:val="hybridMultilevel"/>
    <w:tmpl w:val="5578626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17F1B"/>
    <w:multiLevelType w:val="multilevel"/>
    <w:tmpl w:val="11B25C8C"/>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E3462"/>
    <w:multiLevelType w:val="hybridMultilevel"/>
    <w:tmpl w:val="B5642C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4F45399"/>
    <w:multiLevelType w:val="hybridMultilevel"/>
    <w:tmpl w:val="325C413E"/>
    <w:lvl w:ilvl="0" w:tplc="6F2EB42C">
      <w:start w:val="1"/>
      <w:numFmt w:val="bullet"/>
      <w:lvlText w:val=""/>
      <w:lvlJc w:val="left"/>
      <w:pPr>
        <w:tabs>
          <w:tab w:val="num" w:pos="2160"/>
        </w:tabs>
        <w:ind w:left="2160" w:hanging="360"/>
      </w:pPr>
      <w:rPr>
        <w:rFonts w:ascii="Symbol" w:hAnsi="Symbol"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27C4F7DE">
      <w:start w:val="1"/>
      <w:numFmt w:val="bullet"/>
      <w:lvlText w:val=""/>
      <w:lvlJc w:val="left"/>
      <w:pPr>
        <w:tabs>
          <w:tab w:val="num" w:pos="2860"/>
        </w:tabs>
        <w:ind w:left="2860" w:hanging="340"/>
      </w:pPr>
      <w:rPr>
        <w:rFonts w:ascii="Symbol" w:hAnsi="Symbol" w:hint="default"/>
        <w:color w:val="auto"/>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5F5B9E"/>
    <w:multiLevelType w:val="hybridMultilevel"/>
    <w:tmpl w:val="12640998"/>
    <w:lvl w:ilvl="0" w:tplc="14E4E4FC">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2CD46D06"/>
    <w:multiLevelType w:val="hybridMultilevel"/>
    <w:tmpl w:val="CE12FF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B467C"/>
    <w:multiLevelType w:val="hybridMultilevel"/>
    <w:tmpl w:val="6986A438"/>
    <w:lvl w:ilvl="0" w:tplc="F60E2136">
      <w:start w:val="1"/>
      <w:numFmt w:val="decimal"/>
      <w:lvlText w:val="%1.1"/>
      <w:lvlJc w:val="left"/>
      <w:pPr>
        <w:tabs>
          <w:tab w:val="num" w:pos="720"/>
        </w:tabs>
        <w:ind w:left="720" w:hanging="360"/>
      </w:pPr>
      <w:rPr>
        <w:rFonts w:cs="Times New Roman" w:hint="default"/>
      </w:rPr>
    </w:lvl>
    <w:lvl w:ilvl="1" w:tplc="0402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C94373"/>
    <w:multiLevelType w:val="hybridMultilevel"/>
    <w:tmpl w:val="71844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1543D9"/>
    <w:multiLevelType w:val="singleLevel"/>
    <w:tmpl w:val="36C47592"/>
    <w:lvl w:ilvl="0">
      <w:start w:val="1"/>
      <w:numFmt w:val="decimal"/>
      <w:lvlText w:val="%1."/>
      <w:lvlJc w:val="left"/>
      <w:pPr>
        <w:tabs>
          <w:tab w:val="num" w:pos="1080"/>
        </w:tabs>
        <w:ind w:left="1080" w:hanging="360"/>
      </w:pPr>
      <w:rPr>
        <w:rFonts w:hint="default"/>
      </w:rPr>
    </w:lvl>
  </w:abstractNum>
  <w:abstractNum w:abstractNumId="14" w15:restartNumberingAfterBreak="0">
    <w:nsid w:val="3E870507"/>
    <w:multiLevelType w:val="hybridMultilevel"/>
    <w:tmpl w:val="2E30722C"/>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5565BE"/>
    <w:multiLevelType w:val="hybridMultilevel"/>
    <w:tmpl w:val="6F1E573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19535A9"/>
    <w:multiLevelType w:val="hybridMultilevel"/>
    <w:tmpl w:val="AA0AB490"/>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1B5DBA"/>
    <w:multiLevelType w:val="hybridMultilevel"/>
    <w:tmpl w:val="F7365586"/>
    <w:lvl w:ilvl="0" w:tplc="C4A0D012">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8" w15:restartNumberingAfterBreak="0">
    <w:nsid w:val="47082FA0"/>
    <w:multiLevelType w:val="hybridMultilevel"/>
    <w:tmpl w:val="5260B8BA"/>
    <w:lvl w:ilvl="0" w:tplc="4266D3D8">
      <w:start w:val="1"/>
      <w:numFmt w:val="decimal"/>
      <w:lvlText w:val="%1."/>
      <w:lvlJc w:val="left"/>
      <w:pPr>
        <w:ind w:left="720"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77D37CF"/>
    <w:multiLevelType w:val="hybridMultilevel"/>
    <w:tmpl w:val="BB24D148"/>
    <w:lvl w:ilvl="0" w:tplc="78AE500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49B27CE8"/>
    <w:multiLevelType w:val="multilevel"/>
    <w:tmpl w:val="549A0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EA3B6F"/>
    <w:multiLevelType w:val="hybridMultilevel"/>
    <w:tmpl w:val="778830F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5CCB3395"/>
    <w:multiLevelType w:val="hybridMultilevel"/>
    <w:tmpl w:val="FE8A8072"/>
    <w:lvl w:ilvl="0" w:tplc="F740D6A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61524081"/>
    <w:multiLevelType w:val="hybridMultilevel"/>
    <w:tmpl w:val="8A38FD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22E4199"/>
    <w:multiLevelType w:val="hybridMultilevel"/>
    <w:tmpl w:val="81FAD040"/>
    <w:lvl w:ilvl="0" w:tplc="0402000B">
      <w:start w:val="1"/>
      <w:numFmt w:val="bullet"/>
      <w:lvlText w:val=""/>
      <w:lvlJc w:val="left"/>
      <w:pPr>
        <w:tabs>
          <w:tab w:val="num" w:pos="360"/>
        </w:tabs>
        <w:ind w:left="360" w:hanging="360"/>
      </w:pPr>
      <w:rPr>
        <w:rFonts w:ascii="Wingdings" w:hAnsi="Wingdings"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8865D2"/>
    <w:multiLevelType w:val="hybridMultilevel"/>
    <w:tmpl w:val="ED822704"/>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cs="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6854F11"/>
    <w:multiLevelType w:val="hybridMultilevel"/>
    <w:tmpl w:val="A754BB76"/>
    <w:lvl w:ilvl="0" w:tplc="3D5C5E1E">
      <w:start w:val="1"/>
      <w:numFmt w:val="decimal"/>
      <w:lvlText w:val="%1."/>
      <w:lvlJc w:val="left"/>
      <w:pPr>
        <w:tabs>
          <w:tab w:val="num" w:pos="1710"/>
        </w:tabs>
        <w:ind w:left="1710" w:hanging="990"/>
      </w:pPr>
      <w:rPr>
        <w:rFonts w:ascii="Times New Roman" w:eastAsia="Times New Roman" w:hAnsi="Times New Roman" w:cs="Times New Roman"/>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7" w15:restartNumberingAfterBreak="0">
    <w:nsid w:val="6A9D642D"/>
    <w:multiLevelType w:val="hybridMultilevel"/>
    <w:tmpl w:val="6292E800"/>
    <w:lvl w:ilvl="0" w:tplc="DC80C4D2">
      <w:start w:val="1"/>
      <w:numFmt w:val="decimal"/>
      <w:lvlText w:val="%1."/>
      <w:lvlJc w:val="left"/>
      <w:pPr>
        <w:tabs>
          <w:tab w:val="num" w:pos="1068"/>
        </w:tabs>
        <w:ind w:left="1068" w:hanging="360"/>
      </w:pPr>
      <w:rPr>
        <w:rFonts w:hint="default"/>
        <w:sz w:val="20"/>
        <w:szCs w:val="2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8" w15:restartNumberingAfterBreak="0">
    <w:nsid w:val="6D522083"/>
    <w:multiLevelType w:val="hybridMultilevel"/>
    <w:tmpl w:val="94EA80C4"/>
    <w:lvl w:ilvl="0" w:tplc="BB9493EE">
      <w:start w:val="1"/>
      <w:numFmt w:val="decimal"/>
      <w:lvlText w:val="%1."/>
      <w:lvlJc w:val="left"/>
      <w:pPr>
        <w:ind w:left="738" w:hanging="360"/>
      </w:pPr>
      <w:rPr>
        <w:rFonts w:hint="default"/>
      </w:rPr>
    </w:lvl>
    <w:lvl w:ilvl="1" w:tplc="04020019" w:tentative="1">
      <w:start w:val="1"/>
      <w:numFmt w:val="lowerLetter"/>
      <w:lvlText w:val="%2."/>
      <w:lvlJc w:val="left"/>
      <w:pPr>
        <w:ind w:left="1458" w:hanging="360"/>
      </w:pPr>
    </w:lvl>
    <w:lvl w:ilvl="2" w:tplc="0402001B" w:tentative="1">
      <w:start w:val="1"/>
      <w:numFmt w:val="lowerRoman"/>
      <w:lvlText w:val="%3."/>
      <w:lvlJc w:val="right"/>
      <w:pPr>
        <w:ind w:left="2178" w:hanging="180"/>
      </w:pPr>
    </w:lvl>
    <w:lvl w:ilvl="3" w:tplc="0402000F" w:tentative="1">
      <w:start w:val="1"/>
      <w:numFmt w:val="decimal"/>
      <w:lvlText w:val="%4."/>
      <w:lvlJc w:val="left"/>
      <w:pPr>
        <w:ind w:left="2898" w:hanging="360"/>
      </w:pPr>
    </w:lvl>
    <w:lvl w:ilvl="4" w:tplc="04020019" w:tentative="1">
      <w:start w:val="1"/>
      <w:numFmt w:val="lowerLetter"/>
      <w:lvlText w:val="%5."/>
      <w:lvlJc w:val="left"/>
      <w:pPr>
        <w:ind w:left="3618" w:hanging="360"/>
      </w:pPr>
    </w:lvl>
    <w:lvl w:ilvl="5" w:tplc="0402001B" w:tentative="1">
      <w:start w:val="1"/>
      <w:numFmt w:val="lowerRoman"/>
      <w:lvlText w:val="%6."/>
      <w:lvlJc w:val="right"/>
      <w:pPr>
        <w:ind w:left="4338" w:hanging="180"/>
      </w:pPr>
    </w:lvl>
    <w:lvl w:ilvl="6" w:tplc="0402000F" w:tentative="1">
      <w:start w:val="1"/>
      <w:numFmt w:val="decimal"/>
      <w:lvlText w:val="%7."/>
      <w:lvlJc w:val="left"/>
      <w:pPr>
        <w:ind w:left="5058" w:hanging="360"/>
      </w:pPr>
    </w:lvl>
    <w:lvl w:ilvl="7" w:tplc="04020019" w:tentative="1">
      <w:start w:val="1"/>
      <w:numFmt w:val="lowerLetter"/>
      <w:lvlText w:val="%8."/>
      <w:lvlJc w:val="left"/>
      <w:pPr>
        <w:ind w:left="5778" w:hanging="360"/>
      </w:pPr>
    </w:lvl>
    <w:lvl w:ilvl="8" w:tplc="0402001B" w:tentative="1">
      <w:start w:val="1"/>
      <w:numFmt w:val="lowerRoman"/>
      <w:lvlText w:val="%9."/>
      <w:lvlJc w:val="right"/>
      <w:pPr>
        <w:ind w:left="6498" w:hanging="180"/>
      </w:pPr>
    </w:lvl>
  </w:abstractNum>
  <w:abstractNum w:abstractNumId="29" w15:restartNumberingAfterBreak="0">
    <w:nsid w:val="6FF43F54"/>
    <w:multiLevelType w:val="hybridMultilevel"/>
    <w:tmpl w:val="7F9634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26F4B46"/>
    <w:multiLevelType w:val="hybridMultilevel"/>
    <w:tmpl w:val="9AD8E5CA"/>
    <w:lvl w:ilvl="0" w:tplc="5202695E">
      <w:start w:val="1"/>
      <w:numFmt w:val="decimal"/>
      <w:lvlText w:val="%1."/>
      <w:lvlJc w:val="left"/>
      <w:pPr>
        <w:tabs>
          <w:tab w:val="num" w:pos="1669"/>
        </w:tabs>
        <w:ind w:left="1669" w:hanging="960"/>
      </w:pPr>
      <w:rPr>
        <w:rFonts w:hint="default"/>
      </w:rPr>
    </w:lvl>
    <w:lvl w:ilvl="1" w:tplc="04020019" w:tentative="1">
      <w:start w:val="1"/>
      <w:numFmt w:val="lowerLetter"/>
      <w:lvlText w:val="%2."/>
      <w:lvlJc w:val="left"/>
      <w:pPr>
        <w:tabs>
          <w:tab w:val="num" w:pos="1789"/>
        </w:tabs>
        <w:ind w:left="1789" w:hanging="360"/>
      </w:pPr>
    </w:lvl>
    <w:lvl w:ilvl="2" w:tplc="0402001B" w:tentative="1">
      <w:start w:val="1"/>
      <w:numFmt w:val="lowerRoman"/>
      <w:lvlText w:val="%3."/>
      <w:lvlJc w:val="right"/>
      <w:pPr>
        <w:tabs>
          <w:tab w:val="num" w:pos="2509"/>
        </w:tabs>
        <w:ind w:left="2509" w:hanging="180"/>
      </w:pPr>
    </w:lvl>
    <w:lvl w:ilvl="3" w:tplc="0402000F" w:tentative="1">
      <w:start w:val="1"/>
      <w:numFmt w:val="decimal"/>
      <w:lvlText w:val="%4."/>
      <w:lvlJc w:val="left"/>
      <w:pPr>
        <w:tabs>
          <w:tab w:val="num" w:pos="3229"/>
        </w:tabs>
        <w:ind w:left="3229" w:hanging="360"/>
      </w:pPr>
    </w:lvl>
    <w:lvl w:ilvl="4" w:tplc="04020019" w:tentative="1">
      <w:start w:val="1"/>
      <w:numFmt w:val="lowerLetter"/>
      <w:lvlText w:val="%5."/>
      <w:lvlJc w:val="left"/>
      <w:pPr>
        <w:tabs>
          <w:tab w:val="num" w:pos="3949"/>
        </w:tabs>
        <w:ind w:left="3949" w:hanging="360"/>
      </w:pPr>
    </w:lvl>
    <w:lvl w:ilvl="5" w:tplc="0402001B" w:tentative="1">
      <w:start w:val="1"/>
      <w:numFmt w:val="lowerRoman"/>
      <w:lvlText w:val="%6."/>
      <w:lvlJc w:val="right"/>
      <w:pPr>
        <w:tabs>
          <w:tab w:val="num" w:pos="4669"/>
        </w:tabs>
        <w:ind w:left="4669" w:hanging="180"/>
      </w:pPr>
    </w:lvl>
    <w:lvl w:ilvl="6" w:tplc="0402000F" w:tentative="1">
      <w:start w:val="1"/>
      <w:numFmt w:val="decimal"/>
      <w:lvlText w:val="%7."/>
      <w:lvlJc w:val="left"/>
      <w:pPr>
        <w:tabs>
          <w:tab w:val="num" w:pos="5389"/>
        </w:tabs>
        <w:ind w:left="5389" w:hanging="360"/>
      </w:pPr>
    </w:lvl>
    <w:lvl w:ilvl="7" w:tplc="04020019" w:tentative="1">
      <w:start w:val="1"/>
      <w:numFmt w:val="lowerLetter"/>
      <w:lvlText w:val="%8."/>
      <w:lvlJc w:val="left"/>
      <w:pPr>
        <w:tabs>
          <w:tab w:val="num" w:pos="6109"/>
        </w:tabs>
        <w:ind w:left="6109" w:hanging="360"/>
      </w:pPr>
    </w:lvl>
    <w:lvl w:ilvl="8" w:tplc="0402001B" w:tentative="1">
      <w:start w:val="1"/>
      <w:numFmt w:val="lowerRoman"/>
      <w:lvlText w:val="%9."/>
      <w:lvlJc w:val="right"/>
      <w:pPr>
        <w:tabs>
          <w:tab w:val="num" w:pos="6829"/>
        </w:tabs>
        <w:ind w:left="6829" w:hanging="180"/>
      </w:pPr>
    </w:lvl>
  </w:abstractNum>
  <w:abstractNum w:abstractNumId="31" w15:restartNumberingAfterBreak="0">
    <w:nsid w:val="77AF359B"/>
    <w:multiLevelType w:val="hybridMultilevel"/>
    <w:tmpl w:val="642C4974"/>
    <w:lvl w:ilvl="0" w:tplc="4F1C5248">
      <w:start w:val="1"/>
      <w:numFmt w:val="bullet"/>
      <w:lvlText w:val=""/>
      <w:lvlJc w:val="left"/>
      <w:pPr>
        <w:tabs>
          <w:tab w:val="num" w:pos="720"/>
        </w:tabs>
        <w:ind w:left="720" w:hanging="360"/>
      </w:pPr>
      <w:rPr>
        <w:rFonts w:ascii="Symbol" w:hAnsi="Symbol" w:hint="default"/>
        <w:sz w:val="24"/>
        <w:szCs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D7CE6"/>
    <w:multiLevelType w:val="multilevel"/>
    <w:tmpl w:val="00E6BD6E"/>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16cid:durableId="1661076230">
    <w:abstractNumId w:val="13"/>
  </w:num>
  <w:num w:numId="2" w16cid:durableId="122622412">
    <w:abstractNumId w:val="32"/>
  </w:num>
  <w:num w:numId="3" w16cid:durableId="421754752">
    <w:abstractNumId w:val="1"/>
  </w:num>
  <w:num w:numId="4" w16cid:durableId="1872722686">
    <w:abstractNumId w:val="7"/>
  </w:num>
  <w:num w:numId="5" w16cid:durableId="329603122">
    <w:abstractNumId w:val="6"/>
  </w:num>
  <w:num w:numId="6" w16cid:durableId="641740508">
    <w:abstractNumId w:val="12"/>
  </w:num>
  <w:num w:numId="7" w16cid:durableId="1809471411">
    <w:abstractNumId w:val="31"/>
  </w:num>
  <w:num w:numId="8" w16cid:durableId="501706656">
    <w:abstractNumId w:val="24"/>
  </w:num>
  <w:num w:numId="9" w16cid:durableId="451631224">
    <w:abstractNumId w:val="27"/>
  </w:num>
  <w:num w:numId="10" w16cid:durableId="61414004">
    <w:abstractNumId w:val="26"/>
  </w:num>
  <w:num w:numId="11" w16cid:durableId="939067385">
    <w:abstractNumId w:val="4"/>
  </w:num>
  <w:num w:numId="12" w16cid:durableId="744883680">
    <w:abstractNumId w:val="10"/>
  </w:num>
  <w:num w:numId="13" w16cid:durableId="220602200">
    <w:abstractNumId w:val="5"/>
  </w:num>
  <w:num w:numId="14" w16cid:durableId="1993292976">
    <w:abstractNumId w:val="25"/>
  </w:num>
  <w:num w:numId="15" w16cid:durableId="1199389804">
    <w:abstractNumId w:val="17"/>
  </w:num>
  <w:num w:numId="16" w16cid:durableId="918977484">
    <w:abstractNumId w:val="30"/>
  </w:num>
  <w:num w:numId="17" w16cid:durableId="201328718">
    <w:abstractNumId w:val="20"/>
  </w:num>
  <w:num w:numId="18" w16cid:durableId="508254911">
    <w:abstractNumId w:val="3"/>
  </w:num>
  <w:num w:numId="19" w16cid:durableId="1606957124">
    <w:abstractNumId w:val="14"/>
  </w:num>
  <w:num w:numId="20" w16cid:durableId="178466580">
    <w:abstractNumId w:val="11"/>
  </w:num>
  <w:num w:numId="21" w16cid:durableId="1692409894">
    <w:abstractNumId w:val="16"/>
  </w:num>
  <w:num w:numId="22" w16cid:durableId="692147643">
    <w:abstractNumId w:val="29"/>
  </w:num>
  <w:num w:numId="23" w16cid:durableId="1363094938">
    <w:abstractNumId w:val="22"/>
  </w:num>
  <w:num w:numId="24" w16cid:durableId="42605252">
    <w:abstractNumId w:val="28"/>
  </w:num>
  <w:num w:numId="25" w16cid:durableId="1179736835">
    <w:abstractNumId w:val="19"/>
  </w:num>
  <w:num w:numId="26" w16cid:durableId="769088960">
    <w:abstractNumId w:val="8"/>
  </w:num>
  <w:num w:numId="27" w16cid:durableId="1223062260">
    <w:abstractNumId w:val="18"/>
  </w:num>
  <w:num w:numId="28" w16cid:durableId="1335376459">
    <w:abstractNumId w:val="21"/>
  </w:num>
  <w:num w:numId="29" w16cid:durableId="465010386">
    <w:abstractNumId w:val="0"/>
  </w:num>
  <w:num w:numId="30" w16cid:durableId="1731927186">
    <w:abstractNumId w:val="2"/>
  </w:num>
  <w:num w:numId="31" w16cid:durableId="1815174924">
    <w:abstractNumId w:val="9"/>
  </w:num>
  <w:num w:numId="32" w16cid:durableId="921453756">
    <w:abstractNumId w:val="15"/>
  </w:num>
  <w:num w:numId="33" w16cid:durableId="19757936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73"/>
    <w:rsid w:val="0000058F"/>
    <w:rsid w:val="0000176D"/>
    <w:rsid w:val="00001B20"/>
    <w:rsid w:val="00002657"/>
    <w:rsid w:val="00002F80"/>
    <w:rsid w:val="00005A6A"/>
    <w:rsid w:val="000068A9"/>
    <w:rsid w:val="000079C9"/>
    <w:rsid w:val="00007BCA"/>
    <w:rsid w:val="00007FD5"/>
    <w:rsid w:val="0001076F"/>
    <w:rsid w:val="00011B15"/>
    <w:rsid w:val="000133F9"/>
    <w:rsid w:val="00013A71"/>
    <w:rsid w:val="00013BA1"/>
    <w:rsid w:val="00013BCE"/>
    <w:rsid w:val="00014F04"/>
    <w:rsid w:val="00016706"/>
    <w:rsid w:val="00020020"/>
    <w:rsid w:val="00021183"/>
    <w:rsid w:val="00021384"/>
    <w:rsid w:val="0002358F"/>
    <w:rsid w:val="00024506"/>
    <w:rsid w:val="000256BD"/>
    <w:rsid w:val="00025C5D"/>
    <w:rsid w:val="000267D7"/>
    <w:rsid w:val="00026D35"/>
    <w:rsid w:val="000301FE"/>
    <w:rsid w:val="00030380"/>
    <w:rsid w:val="00031399"/>
    <w:rsid w:val="0003530C"/>
    <w:rsid w:val="000364F8"/>
    <w:rsid w:val="00036807"/>
    <w:rsid w:val="00036DFA"/>
    <w:rsid w:val="00036F0A"/>
    <w:rsid w:val="00037085"/>
    <w:rsid w:val="00040A50"/>
    <w:rsid w:val="000410FA"/>
    <w:rsid w:val="0004298A"/>
    <w:rsid w:val="00042DFF"/>
    <w:rsid w:val="00042E59"/>
    <w:rsid w:val="00044770"/>
    <w:rsid w:val="00044956"/>
    <w:rsid w:val="000449A0"/>
    <w:rsid w:val="00050218"/>
    <w:rsid w:val="00050FD5"/>
    <w:rsid w:val="00052548"/>
    <w:rsid w:val="0005258D"/>
    <w:rsid w:val="00052C0D"/>
    <w:rsid w:val="00054F27"/>
    <w:rsid w:val="00057DD2"/>
    <w:rsid w:val="00060048"/>
    <w:rsid w:val="0006023E"/>
    <w:rsid w:val="00061299"/>
    <w:rsid w:val="000635BC"/>
    <w:rsid w:val="0006400C"/>
    <w:rsid w:val="00065206"/>
    <w:rsid w:val="000659B9"/>
    <w:rsid w:val="00066083"/>
    <w:rsid w:val="0007074B"/>
    <w:rsid w:val="00070F29"/>
    <w:rsid w:val="00077C9E"/>
    <w:rsid w:val="00080BAF"/>
    <w:rsid w:val="00081520"/>
    <w:rsid w:val="00081FF9"/>
    <w:rsid w:val="0008281E"/>
    <w:rsid w:val="00082E3A"/>
    <w:rsid w:val="00083AFC"/>
    <w:rsid w:val="00083F3F"/>
    <w:rsid w:val="00084194"/>
    <w:rsid w:val="00084E16"/>
    <w:rsid w:val="00085647"/>
    <w:rsid w:val="00086735"/>
    <w:rsid w:val="0009174E"/>
    <w:rsid w:val="00092C83"/>
    <w:rsid w:val="00094030"/>
    <w:rsid w:val="00095679"/>
    <w:rsid w:val="0009644F"/>
    <w:rsid w:val="00096D2F"/>
    <w:rsid w:val="000A0CA9"/>
    <w:rsid w:val="000A3941"/>
    <w:rsid w:val="000A414A"/>
    <w:rsid w:val="000A4462"/>
    <w:rsid w:val="000A50C5"/>
    <w:rsid w:val="000B0312"/>
    <w:rsid w:val="000B05F3"/>
    <w:rsid w:val="000B3D97"/>
    <w:rsid w:val="000B41A9"/>
    <w:rsid w:val="000B4A87"/>
    <w:rsid w:val="000B6B4B"/>
    <w:rsid w:val="000C0635"/>
    <w:rsid w:val="000C0BA3"/>
    <w:rsid w:val="000C141B"/>
    <w:rsid w:val="000C152A"/>
    <w:rsid w:val="000C4A3A"/>
    <w:rsid w:val="000C4C7C"/>
    <w:rsid w:val="000C5CC4"/>
    <w:rsid w:val="000C7570"/>
    <w:rsid w:val="000D0E89"/>
    <w:rsid w:val="000D2271"/>
    <w:rsid w:val="000D2BDF"/>
    <w:rsid w:val="000D30A0"/>
    <w:rsid w:val="000D3213"/>
    <w:rsid w:val="000D34AE"/>
    <w:rsid w:val="000D5CB3"/>
    <w:rsid w:val="000D6509"/>
    <w:rsid w:val="000D6B06"/>
    <w:rsid w:val="000E243A"/>
    <w:rsid w:val="000E3382"/>
    <w:rsid w:val="000E353E"/>
    <w:rsid w:val="000E3E48"/>
    <w:rsid w:val="000E5B58"/>
    <w:rsid w:val="000E7A03"/>
    <w:rsid w:val="000F52AD"/>
    <w:rsid w:val="000F5D8F"/>
    <w:rsid w:val="000F6BA0"/>
    <w:rsid w:val="000F6EF2"/>
    <w:rsid w:val="000F70A8"/>
    <w:rsid w:val="000F7443"/>
    <w:rsid w:val="00101B44"/>
    <w:rsid w:val="001032C9"/>
    <w:rsid w:val="00104E7E"/>
    <w:rsid w:val="00105244"/>
    <w:rsid w:val="001054A3"/>
    <w:rsid w:val="0010665A"/>
    <w:rsid w:val="001110E2"/>
    <w:rsid w:val="00111ADD"/>
    <w:rsid w:val="001134DC"/>
    <w:rsid w:val="00113F23"/>
    <w:rsid w:val="00114A9C"/>
    <w:rsid w:val="001165E1"/>
    <w:rsid w:val="00116B2B"/>
    <w:rsid w:val="00121746"/>
    <w:rsid w:val="001223A1"/>
    <w:rsid w:val="00125C54"/>
    <w:rsid w:val="0012630D"/>
    <w:rsid w:val="0012677E"/>
    <w:rsid w:val="0013009B"/>
    <w:rsid w:val="001305F3"/>
    <w:rsid w:val="00131CC1"/>
    <w:rsid w:val="00132800"/>
    <w:rsid w:val="00132F41"/>
    <w:rsid w:val="00133F65"/>
    <w:rsid w:val="00136D42"/>
    <w:rsid w:val="00136E6C"/>
    <w:rsid w:val="0013737C"/>
    <w:rsid w:val="00137569"/>
    <w:rsid w:val="0014058C"/>
    <w:rsid w:val="00141C69"/>
    <w:rsid w:val="001464CC"/>
    <w:rsid w:val="00151011"/>
    <w:rsid w:val="00151177"/>
    <w:rsid w:val="001514FF"/>
    <w:rsid w:val="00152123"/>
    <w:rsid w:val="00153572"/>
    <w:rsid w:val="00154523"/>
    <w:rsid w:val="00155222"/>
    <w:rsid w:val="0015540F"/>
    <w:rsid w:val="00155B13"/>
    <w:rsid w:val="00156078"/>
    <w:rsid w:val="00156F84"/>
    <w:rsid w:val="001573AB"/>
    <w:rsid w:val="00157933"/>
    <w:rsid w:val="00160D36"/>
    <w:rsid w:val="00162157"/>
    <w:rsid w:val="00162349"/>
    <w:rsid w:val="00162ACB"/>
    <w:rsid w:val="00163EB9"/>
    <w:rsid w:val="00165FDE"/>
    <w:rsid w:val="00166CE1"/>
    <w:rsid w:val="001721CB"/>
    <w:rsid w:val="00172799"/>
    <w:rsid w:val="001728D1"/>
    <w:rsid w:val="00173C7B"/>
    <w:rsid w:val="0017410F"/>
    <w:rsid w:val="001756AD"/>
    <w:rsid w:val="001811DE"/>
    <w:rsid w:val="00181736"/>
    <w:rsid w:val="00183174"/>
    <w:rsid w:val="00183201"/>
    <w:rsid w:val="00183AD1"/>
    <w:rsid w:val="00183CD6"/>
    <w:rsid w:val="00184625"/>
    <w:rsid w:val="00184BF4"/>
    <w:rsid w:val="001865D7"/>
    <w:rsid w:val="0018675F"/>
    <w:rsid w:val="00186C82"/>
    <w:rsid w:val="00191312"/>
    <w:rsid w:val="00191CD7"/>
    <w:rsid w:val="00191E8F"/>
    <w:rsid w:val="001950B6"/>
    <w:rsid w:val="00195168"/>
    <w:rsid w:val="00195177"/>
    <w:rsid w:val="001A0C85"/>
    <w:rsid w:val="001A1E94"/>
    <w:rsid w:val="001A2BB1"/>
    <w:rsid w:val="001A400C"/>
    <w:rsid w:val="001A55F3"/>
    <w:rsid w:val="001A5AFE"/>
    <w:rsid w:val="001A77C6"/>
    <w:rsid w:val="001B075A"/>
    <w:rsid w:val="001B0D27"/>
    <w:rsid w:val="001B1152"/>
    <w:rsid w:val="001B1476"/>
    <w:rsid w:val="001B22D7"/>
    <w:rsid w:val="001B2690"/>
    <w:rsid w:val="001B2957"/>
    <w:rsid w:val="001B4DAA"/>
    <w:rsid w:val="001B5864"/>
    <w:rsid w:val="001B59F0"/>
    <w:rsid w:val="001B60A9"/>
    <w:rsid w:val="001B7054"/>
    <w:rsid w:val="001B728E"/>
    <w:rsid w:val="001C0B4E"/>
    <w:rsid w:val="001C1030"/>
    <w:rsid w:val="001C1A61"/>
    <w:rsid w:val="001C22C9"/>
    <w:rsid w:val="001C27DB"/>
    <w:rsid w:val="001C6541"/>
    <w:rsid w:val="001D1205"/>
    <w:rsid w:val="001D2271"/>
    <w:rsid w:val="001D2DA0"/>
    <w:rsid w:val="001D2E5A"/>
    <w:rsid w:val="001D443B"/>
    <w:rsid w:val="001D5641"/>
    <w:rsid w:val="001D5810"/>
    <w:rsid w:val="001D6582"/>
    <w:rsid w:val="001D6FE8"/>
    <w:rsid w:val="001E0181"/>
    <w:rsid w:val="001E1114"/>
    <w:rsid w:val="001E550D"/>
    <w:rsid w:val="001E5DD2"/>
    <w:rsid w:val="001E640F"/>
    <w:rsid w:val="001F0E79"/>
    <w:rsid w:val="001F4F01"/>
    <w:rsid w:val="001F4FDC"/>
    <w:rsid w:val="001F5AC3"/>
    <w:rsid w:val="001F79A6"/>
    <w:rsid w:val="00200924"/>
    <w:rsid w:val="00201E52"/>
    <w:rsid w:val="00202300"/>
    <w:rsid w:val="0020448F"/>
    <w:rsid w:val="002052C3"/>
    <w:rsid w:val="00206C1F"/>
    <w:rsid w:val="002077A0"/>
    <w:rsid w:val="00213456"/>
    <w:rsid w:val="00213805"/>
    <w:rsid w:val="00216B6C"/>
    <w:rsid w:val="002177B3"/>
    <w:rsid w:val="00221D1D"/>
    <w:rsid w:val="002232F2"/>
    <w:rsid w:val="00226E20"/>
    <w:rsid w:val="0023004F"/>
    <w:rsid w:val="0023025F"/>
    <w:rsid w:val="00230384"/>
    <w:rsid w:val="00230A24"/>
    <w:rsid w:val="00230D2A"/>
    <w:rsid w:val="0023310D"/>
    <w:rsid w:val="00233C02"/>
    <w:rsid w:val="00234F9B"/>
    <w:rsid w:val="00235DC0"/>
    <w:rsid w:val="00235E64"/>
    <w:rsid w:val="00237208"/>
    <w:rsid w:val="002372E7"/>
    <w:rsid w:val="002409A6"/>
    <w:rsid w:val="00240C5E"/>
    <w:rsid w:val="00241CAC"/>
    <w:rsid w:val="00243B06"/>
    <w:rsid w:val="00243DEE"/>
    <w:rsid w:val="002444FC"/>
    <w:rsid w:val="00245608"/>
    <w:rsid w:val="00245F5E"/>
    <w:rsid w:val="002502B8"/>
    <w:rsid w:val="00250C0E"/>
    <w:rsid w:val="00250D20"/>
    <w:rsid w:val="002516D3"/>
    <w:rsid w:val="00251B87"/>
    <w:rsid w:val="002525EC"/>
    <w:rsid w:val="00252B7F"/>
    <w:rsid w:val="002579DC"/>
    <w:rsid w:val="00260325"/>
    <w:rsid w:val="00261ECF"/>
    <w:rsid w:val="00263B3A"/>
    <w:rsid w:val="00263E51"/>
    <w:rsid w:val="00266A27"/>
    <w:rsid w:val="0027192A"/>
    <w:rsid w:val="00271DE9"/>
    <w:rsid w:val="00272773"/>
    <w:rsid w:val="0027474B"/>
    <w:rsid w:val="00277CED"/>
    <w:rsid w:val="00280240"/>
    <w:rsid w:val="00282088"/>
    <w:rsid w:val="00283A30"/>
    <w:rsid w:val="002842AC"/>
    <w:rsid w:val="002848D2"/>
    <w:rsid w:val="00285579"/>
    <w:rsid w:val="002867AC"/>
    <w:rsid w:val="00287787"/>
    <w:rsid w:val="002879ED"/>
    <w:rsid w:val="00290064"/>
    <w:rsid w:val="00290DFC"/>
    <w:rsid w:val="00291685"/>
    <w:rsid w:val="0029257B"/>
    <w:rsid w:val="002934AD"/>
    <w:rsid w:val="00293C8D"/>
    <w:rsid w:val="00293E6F"/>
    <w:rsid w:val="0029765F"/>
    <w:rsid w:val="002A1260"/>
    <w:rsid w:val="002A1C48"/>
    <w:rsid w:val="002A247A"/>
    <w:rsid w:val="002A6005"/>
    <w:rsid w:val="002B248A"/>
    <w:rsid w:val="002B2545"/>
    <w:rsid w:val="002B2D4E"/>
    <w:rsid w:val="002B2F2B"/>
    <w:rsid w:val="002B3958"/>
    <w:rsid w:val="002B3AB6"/>
    <w:rsid w:val="002B689C"/>
    <w:rsid w:val="002B7436"/>
    <w:rsid w:val="002B7EE9"/>
    <w:rsid w:val="002C015C"/>
    <w:rsid w:val="002C0574"/>
    <w:rsid w:val="002C1A83"/>
    <w:rsid w:val="002C3D57"/>
    <w:rsid w:val="002C3DA5"/>
    <w:rsid w:val="002C40BC"/>
    <w:rsid w:val="002C76B0"/>
    <w:rsid w:val="002D1D9A"/>
    <w:rsid w:val="002D2137"/>
    <w:rsid w:val="002D31FE"/>
    <w:rsid w:val="002D35A5"/>
    <w:rsid w:val="002D3AF3"/>
    <w:rsid w:val="002D3E2A"/>
    <w:rsid w:val="002D5B2A"/>
    <w:rsid w:val="002D60B8"/>
    <w:rsid w:val="002D67E0"/>
    <w:rsid w:val="002E0013"/>
    <w:rsid w:val="002E0B40"/>
    <w:rsid w:val="002E1614"/>
    <w:rsid w:val="002E20D6"/>
    <w:rsid w:val="002E24AC"/>
    <w:rsid w:val="002E2A92"/>
    <w:rsid w:val="002E44AE"/>
    <w:rsid w:val="002E4FD5"/>
    <w:rsid w:val="002E6E7C"/>
    <w:rsid w:val="002E76D3"/>
    <w:rsid w:val="002F0428"/>
    <w:rsid w:val="002F27A2"/>
    <w:rsid w:val="002F27F6"/>
    <w:rsid w:val="002F4B05"/>
    <w:rsid w:val="002F6FC2"/>
    <w:rsid w:val="002F70EE"/>
    <w:rsid w:val="002F78DA"/>
    <w:rsid w:val="00300714"/>
    <w:rsid w:val="0030102E"/>
    <w:rsid w:val="00301592"/>
    <w:rsid w:val="00302C5E"/>
    <w:rsid w:val="0030450D"/>
    <w:rsid w:val="00305384"/>
    <w:rsid w:val="00306C19"/>
    <w:rsid w:val="00307353"/>
    <w:rsid w:val="003074E5"/>
    <w:rsid w:val="0030775C"/>
    <w:rsid w:val="00311CF8"/>
    <w:rsid w:val="003121BD"/>
    <w:rsid w:val="0031310B"/>
    <w:rsid w:val="00315825"/>
    <w:rsid w:val="0032123E"/>
    <w:rsid w:val="00322079"/>
    <w:rsid w:val="003226E8"/>
    <w:rsid w:val="00323589"/>
    <w:rsid w:val="00326D8A"/>
    <w:rsid w:val="003301DC"/>
    <w:rsid w:val="00330BF6"/>
    <w:rsid w:val="00330F69"/>
    <w:rsid w:val="00331377"/>
    <w:rsid w:val="0033186D"/>
    <w:rsid w:val="00332773"/>
    <w:rsid w:val="003327DE"/>
    <w:rsid w:val="00333080"/>
    <w:rsid w:val="00333808"/>
    <w:rsid w:val="00335F1E"/>
    <w:rsid w:val="0033626E"/>
    <w:rsid w:val="00341AFC"/>
    <w:rsid w:val="00345617"/>
    <w:rsid w:val="0034664D"/>
    <w:rsid w:val="003516CE"/>
    <w:rsid w:val="003542DA"/>
    <w:rsid w:val="003549B9"/>
    <w:rsid w:val="00354C52"/>
    <w:rsid w:val="003553C9"/>
    <w:rsid w:val="003613CD"/>
    <w:rsid w:val="0036172A"/>
    <w:rsid w:val="003618F0"/>
    <w:rsid w:val="00362A83"/>
    <w:rsid w:val="003646F0"/>
    <w:rsid w:val="003702BB"/>
    <w:rsid w:val="00371611"/>
    <w:rsid w:val="00373141"/>
    <w:rsid w:val="0037438B"/>
    <w:rsid w:val="00374658"/>
    <w:rsid w:val="00376E67"/>
    <w:rsid w:val="00377546"/>
    <w:rsid w:val="00377DE0"/>
    <w:rsid w:val="00381080"/>
    <w:rsid w:val="0038128B"/>
    <w:rsid w:val="00381B9D"/>
    <w:rsid w:val="0038207B"/>
    <w:rsid w:val="00382894"/>
    <w:rsid w:val="0038492A"/>
    <w:rsid w:val="00385707"/>
    <w:rsid w:val="003865E1"/>
    <w:rsid w:val="00387D7A"/>
    <w:rsid w:val="00392808"/>
    <w:rsid w:val="003972E8"/>
    <w:rsid w:val="00397C7A"/>
    <w:rsid w:val="003A1A65"/>
    <w:rsid w:val="003A3314"/>
    <w:rsid w:val="003A4DE6"/>
    <w:rsid w:val="003A5374"/>
    <w:rsid w:val="003B566B"/>
    <w:rsid w:val="003B5E77"/>
    <w:rsid w:val="003B5F56"/>
    <w:rsid w:val="003B71EC"/>
    <w:rsid w:val="003C1396"/>
    <w:rsid w:val="003C26FD"/>
    <w:rsid w:val="003C44D9"/>
    <w:rsid w:val="003C4588"/>
    <w:rsid w:val="003C549A"/>
    <w:rsid w:val="003C6629"/>
    <w:rsid w:val="003D10F2"/>
    <w:rsid w:val="003D1337"/>
    <w:rsid w:val="003D1649"/>
    <w:rsid w:val="003D19C2"/>
    <w:rsid w:val="003D1B6E"/>
    <w:rsid w:val="003D24B8"/>
    <w:rsid w:val="003D27EB"/>
    <w:rsid w:val="003D2804"/>
    <w:rsid w:val="003D4730"/>
    <w:rsid w:val="003D4778"/>
    <w:rsid w:val="003D6421"/>
    <w:rsid w:val="003D7193"/>
    <w:rsid w:val="003E2139"/>
    <w:rsid w:val="003E2E82"/>
    <w:rsid w:val="003E47A9"/>
    <w:rsid w:val="003E4DB4"/>
    <w:rsid w:val="003E598E"/>
    <w:rsid w:val="003E5DDD"/>
    <w:rsid w:val="003E7F35"/>
    <w:rsid w:val="003F1197"/>
    <w:rsid w:val="003F33FA"/>
    <w:rsid w:val="003F4214"/>
    <w:rsid w:val="00401A4B"/>
    <w:rsid w:val="004030E5"/>
    <w:rsid w:val="00404696"/>
    <w:rsid w:val="00410B49"/>
    <w:rsid w:val="0041246E"/>
    <w:rsid w:val="004137F4"/>
    <w:rsid w:val="00422CEE"/>
    <w:rsid w:val="00423A02"/>
    <w:rsid w:val="00424665"/>
    <w:rsid w:val="00425131"/>
    <w:rsid w:val="004308EA"/>
    <w:rsid w:val="00432083"/>
    <w:rsid w:val="00432EAF"/>
    <w:rsid w:val="004337E3"/>
    <w:rsid w:val="00433948"/>
    <w:rsid w:val="00433BE6"/>
    <w:rsid w:val="00433E73"/>
    <w:rsid w:val="00434109"/>
    <w:rsid w:val="00442993"/>
    <w:rsid w:val="00442BF7"/>
    <w:rsid w:val="004430BD"/>
    <w:rsid w:val="0044348D"/>
    <w:rsid w:val="00444D4A"/>
    <w:rsid w:val="00447AF0"/>
    <w:rsid w:val="004503CE"/>
    <w:rsid w:val="00450BC4"/>
    <w:rsid w:val="004513A8"/>
    <w:rsid w:val="004519C2"/>
    <w:rsid w:val="00452D5D"/>
    <w:rsid w:val="0045539F"/>
    <w:rsid w:val="0046088F"/>
    <w:rsid w:val="00462BE0"/>
    <w:rsid w:val="0046300C"/>
    <w:rsid w:val="00464B92"/>
    <w:rsid w:val="0046575B"/>
    <w:rsid w:val="00466692"/>
    <w:rsid w:val="004676B3"/>
    <w:rsid w:val="004708D8"/>
    <w:rsid w:val="0047363F"/>
    <w:rsid w:val="00474390"/>
    <w:rsid w:val="0047492A"/>
    <w:rsid w:val="0047564F"/>
    <w:rsid w:val="00475C67"/>
    <w:rsid w:val="00476703"/>
    <w:rsid w:val="00476CD5"/>
    <w:rsid w:val="0048180A"/>
    <w:rsid w:val="00481C11"/>
    <w:rsid w:val="00481F7D"/>
    <w:rsid w:val="0048359C"/>
    <w:rsid w:val="004861DA"/>
    <w:rsid w:val="004878AA"/>
    <w:rsid w:val="00490299"/>
    <w:rsid w:val="00491671"/>
    <w:rsid w:val="00493F5C"/>
    <w:rsid w:val="0049409A"/>
    <w:rsid w:val="00496CD2"/>
    <w:rsid w:val="00496F58"/>
    <w:rsid w:val="00497C49"/>
    <w:rsid w:val="004A00D9"/>
    <w:rsid w:val="004A1644"/>
    <w:rsid w:val="004A16B2"/>
    <w:rsid w:val="004A2C2A"/>
    <w:rsid w:val="004A346C"/>
    <w:rsid w:val="004A3C48"/>
    <w:rsid w:val="004A57A7"/>
    <w:rsid w:val="004A5D29"/>
    <w:rsid w:val="004A5E7A"/>
    <w:rsid w:val="004B2CAC"/>
    <w:rsid w:val="004B3DD4"/>
    <w:rsid w:val="004B4077"/>
    <w:rsid w:val="004C0438"/>
    <w:rsid w:val="004C1207"/>
    <w:rsid w:val="004C239A"/>
    <w:rsid w:val="004C3F6A"/>
    <w:rsid w:val="004C40AB"/>
    <w:rsid w:val="004D0137"/>
    <w:rsid w:val="004D30E5"/>
    <w:rsid w:val="004D352D"/>
    <w:rsid w:val="004D6C75"/>
    <w:rsid w:val="004E1C87"/>
    <w:rsid w:val="004E2EEF"/>
    <w:rsid w:val="004E499E"/>
    <w:rsid w:val="004E4F68"/>
    <w:rsid w:val="004F0786"/>
    <w:rsid w:val="004F0791"/>
    <w:rsid w:val="004F1F33"/>
    <w:rsid w:val="004F2ADE"/>
    <w:rsid w:val="004F2E20"/>
    <w:rsid w:val="004F41B0"/>
    <w:rsid w:val="004F4820"/>
    <w:rsid w:val="004F50FA"/>
    <w:rsid w:val="004F79E8"/>
    <w:rsid w:val="004F7E6C"/>
    <w:rsid w:val="00500FA1"/>
    <w:rsid w:val="00501ADF"/>
    <w:rsid w:val="00501E86"/>
    <w:rsid w:val="00503208"/>
    <w:rsid w:val="005062F2"/>
    <w:rsid w:val="00506A47"/>
    <w:rsid w:val="00506CEE"/>
    <w:rsid w:val="00507B0E"/>
    <w:rsid w:val="005112CC"/>
    <w:rsid w:val="00511CBC"/>
    <w:rsid w:val="0051240E"/>
    <w:rsid w:val="005140AC"/>
    <w:rsid w:val="00514DB2"/>
    <w:rsid w:val="00515204"/>
    <w:rsid w:val="00515B32"/>
    <w:rsid w:val="00516E22"/>
    <w:rsid w:val="0051730F"/>
    <w:rsid w:val="0052130E"/>
    <w:rsid w:val="0052197A"/>
    <w:rsid w:val="00521BFD"/>
    <w:rsid w:val="005220BE"/>
    <w:rsid w:val="00522699"/>
    <w:rsid w:val="00527083"/>
    <w:rsid w:val="00527FCF"/>
    <w:rsid w:val="00530DB6"/>
    <w:rsid w:val="00530F99"/>
    <w:rsid w:val="00531A08"/>
    <w:rsid w:val="005368CE"/>
    <w:rsid w:val="0054279E"/>
    <w:rsid w:val="00543500"/>
    <w:rsid w:val="005442F6"/>
    <w:rsid w:val="00545184"/>
    <w:rsid w:val="0054612C"/>
    <w:rsid w:val="005465AA"/>
    <w:rsid w:val="00546C9E"/>
    <w:rsid w:val="00547E9D"/>
    <w:rsid w:val="005512C9"/>
    <w:rsid w:val="00551C66"/>
    <w:rsid w:val="005523A0"/>
    <w:rsid w:val="00554DEF"/>
    <w:rsid w:val="005552FF"/>
    <w:rsid w:val="005608B1"/>
    <w:rsid w:val="00561006"/>
    <w:rsid w:val="005610AC"/>
    <w:rsid w:val="0056153B"/>
    <w:rsid w:val="00565DC3"/>
    <w:rsid w:val="0056651E"/>
    <w:rsid w:val="005670EB"/>
    <w:rsid w:val="0057013D"/>
    <w:rsid w:val="005717CC"/>
    <w:rsid w:val="00571C6A"/>
    <w:rsid w:val="005741B1"/>
    <w:rsid w:val="00576C1E"/>
    <w:rsid w:val="005778D4"/>
    <w:rsid w:val="00577969"/>
    <w:rsid w:val="005802B7"/>
    <w:rsid w:val="005806CB"/>
    <w:rsid w:val="00580A28"/>
    <w:rsid w:val="00582C41"/>
    <w:rsid w:val="00584216"/>
    <w:rsid w:val="00587269"/>
    <w:rsid w:val="00587F50"/>
    <w:rsid w:val="005936B1"/>
    <w:rsid w:val="0059568C"/>
    <w:rsid w:val="00595A5C"/>
    <w:rsid w:val="005A2A6F"/>
    <w:rsid w:val="005A38D6"/>
    <w:rsid w:val="005A3C2C"/>
    <w:rsid w:val="005A406F"/>
    <w:rsid w:val="005A5564"/>
    <w:rsid w:val="005A5C9B"/>
    <w:rsid w:val="005A629C"/>
    <w:rsid w:val="005B1103"/>
    <w:rsid w:val="005B443B"/>
    <w:rsid w:val="005B5268"/>
    <w:rsid w:val="005B60D3"/>
    <w:rsid w:val="005B7C91"/>
    <w:rsid w:val="005C103F"/>
    <w:rsid w:val="005C216B"/>
    <w:rsid w:val="005C2185"/>
    <w:rsid w:val="005C56CE"/>
    <w:rsid w:val="005C60CD"/>
    <w:rsid w:val="005C7356"/>
    <w:rsid w:val="005D0225"/>
    <w:rsid w:val="005D081C"/>
    <w:rsid w:val="005D1C31"/>
    <w:rsid w:val="005D2D2B"/>
    <w:rsid w:val="005D3BA1"/>
    <w:rsid w:val="005D3DA6"/>
    <w:rsid w:val="005D443E"/>
    <w:rsid w:val="005D53DD"/>
    <w:rsid w:val="005D5EAC"/>
    <w:rsid w:val="005E1778"/>
    <w:rsid w:val="005E2C5A"/>
    <w:rsid w:val="005E364C"/>
    <w:rsid w:val="005E4B6F"/>
    <w:rsid w:val="005E5458"/>
    <w:rsid w:val="005E54BF"/>
    <w:rsid w:val="005E6CA9"/>
    <w:rsid w:val="005E759C"/>
    <w:rsid w:val="005F065C"/>
    <w:rsid w:val="005F10C3"/>
    <w:rsid w:val="005F1229"/>
    <w:rsid w:val="005F1D14"/>
    <w:rsid w:val="005F2F1E"/>
    <w:rsid w:val="005F5C47"/>
    <w:rsid w:val="00603C78"/>
    <w:rsid w:val="00604F71"/>
    <w:rsid w:val="00605254"/>
    <w:rsid w:val="00610C9A"/>
    <w:rsid w:val="00611733"/>
    <w:rsid w:val="00613F1A"/>
    <w:rsid w:val="006141B7"/>
    <w:rsid w:val="00614CE8"/>
    <w:rsid w:val="006201E5"/>
    <w:rsid w:val="00620639"/>
    <w:rsid w:val="006207AC"/>
    <w:rsid w:val="0062158C"/>
    <w:rsid w:val="00621D8D"/>
    <w:rsid w:val="0062398C"/>
    <w:rsid w:val="00624975"/>
    <w:rsid w:val="006263C7"/>
    <w:rsid w:val="00627EBE"/>
    <w:rsid w:val="00630C3C"/>
    <w:rsid w:val="00633598"/>
    <w:rsid w:val="006349AB"/>
    <w:rsid w:val="00634D7A"/>
    <w:rsid w:val="00635E3E"/>
    <w:rsid w:val="00640995"/>
    <w:rsid w:val="00640C4C"/>
    <w:rsid w:val="00641E4A"/>
    <w:rsid w:val="00643170"/>
    <w:rsid w:val="00644BBE"/>
    <w:rsid w:val="0064591E"/>
    <w:rsid w:val="0064661E"/>
    <w:rsid w:val="00646D2B"/>
    <w:rsid w:val="00651B78"/>
    <w:rsid w:val="006560E4"/>
    <w:rsid w:val="006564A7"/>
    <w:rsid w:val="00656FE4"/>
    <w:rsid w:val="00660215"/>
    <w:rsid w:val="0066094B"/>
    <w:rsid w:val="0066182B"/>
    <w:rsid w:val="00662330"/>
    <w:rsid w:val="00662343"/>
    <w:rsid w:val="00662F6B"/>
    <w:rsid w:val="00664A60"/>
    <w:rsid w:val="0066552D"/>
    <w:rsid w:val="00665626"/>
    <w:rsid w:val="006665E2"/>
    <w:rsid w:val="00667093"/>
    <w:rsid w:val="006700DF"/>
    <w:rsid w:val="00670464"/>
    <w:rsid w:val="00670FEA"/>
    <w:rsid w:val="006732DF"/>
    <w:rsid w:val="006736C3"/>
    <w:rsid w:val="00674410"/>
    <w:rsid w:val="006749B6"/>
    <w:rsid w:val="00675967"/>
    <w:rsid w:val="00676391"/>
    <w:rsid w:val="00677195"/>
    <w:rsid w:val="0068123B"/>
    <w:rsid w:val="00682847"/>
    <w:rsid w:val="00682A35"/>
    <w:rsid w:val="00686C47"/>
    <w:rsid w:val="00690E57"/>
    <w:rsid w:val="00693EFF"/>
    <w:rsid w:val="00697526"/>
    <w:rsid w:val="00697992"/>
    <w:rsid w:val="006A38AF"/>
    <w:rsid w:val="006A426C"/>
    <w:rsid w:val="006A52E4"/>
    <w:rsid w:val="006A5BBB"/>
    <w:rsid w:val="006A6198"/>
    <w:rsid w:val="006A6ED2"/>
    <w:rsid w:val="006A73AA"/>
    <w:rsid w:val="006A7E4D"/>
    <w:rsid w:val="006B2A21"/>
    <w:rsid w:val="006B2AD6"/>
    <w:rsid w:val="006B3058"/>
    <w:rsid w:val="006B3482"/>
    <w:rsid w:val="006B5F9E"/>
    <w:rsid w:val="006B703B"/>
    <w:rsid w:val="006B786D"/>
    <w:rsid w:val="006B7FC1"/>
    <w:rsid w:val="006C016A"/>
    <w:rsid w:val="006C0D3B"/>
    <w:rsid w:val="006C2596"/>
    <w:rsid w:val="006C42BE"/>
    <w:rsid w:val="006C68A2"/>
    <w:rsid w:val="006C73A1"/>
    <w:rsid w:val="006C7B2F"/>
    <w:rsid w:val="006D087F"/>
    <w:rsid w:val="006D0C23"/>
    <w:rsid w:val="006D5C93"/>
    <w:rsid w:val="006D5C94"/>
    <w:rsid w:val="006D6E50"/>
    <w:rsid w:val="006D724D"/>
    <w:rsid w:val="006D7F5C"/>
    <w:rsid w:val="006E1237"/>
    <w:rsid w:val="006E3656"/>
    <w:rsid w:val="006E4991"/>
    <w:rsid w:val="006E4B98"/>
    <w:rsid w:val="006E4E27"/>
    <w:rsid w:val="006E58E2"/>
    <w:rsid w:val="006E5FD7"/>
    <w:rsid w:val="006E64C5"/>
    <w:rsid w:val="006E7307"/>
    <w:rsid w:val="006F029B"/>
    <w:rsid w:val="006F0842"/>
    <w:rsid w:val="006F1569"/>
    <w:rsid w:val="006F3D7B"/>
    <w:rsid w:val="006F5D86"/>
    <w:rsid w:val="006F5EE5"/>
    <w:rsid w:val="006F72AE"/>
    <w:rsid w:val="006F75A8"/>
    <w:rsid w:val="006F795C"/>
    <w:rsid w:val="00700BCF"/>
    <w:rsid w:val="0070472E"/>
    <w:rsid w:val="00704D36"/>
    <w:rsid w:val="00706139"/>
    <w:rsid w:val="00706242"/>
    <w:rsid w:val="007069C0"/>
    <w:rsid w:val="00707A8A"/>
    <w:rsid w:val="00707ECE"/>
    <w:rsid w:val="00707F45"/>
    <w:rsid w:val="00710037"/>
    <w:rsid w:val="00711803"/>
    <w:rsid w:val="007121D3"/>
    <w:rsid w:val="00713804"/>
    <w:rsid w:val="0071582D"/>
    <w:rsid w:val="00717BF7"/>
    <w:rsid w:val="00722928"/>
    <w:rsid w:val="0072347D"/>
    <w:rsid w:val="00724689"/>
    <w:rsid w:val="00724C56"/>
    <w:rsid w:val="00725038"/>
    <w:rsid w:val="00725834"/>
    <w:rsid w:val="00726A7B"/>
    <w:rsid w:val="007278E3"/>
    <w:rsid w:val="007307DD"/>
    <w:rsid w:val="00731AE6"/>
    <w:rsid w:val="00732808"/>
    <w:rsid w:val="007360AB"/>
    <w:rsid w:val="007363E4"/>
    <w:rsid w:val="00736A8E"/>
    <w:rsid w:val="00736E86"/>
    <w:rsid w:val="007401B7"/>
    <w:rsid w:val="00740D47"/>
    <w:rsid w:val="00741FC3"/>
    <w:rsid w:val="00741FDB"/>
    <w:rsid w:val="00742B4E"/>
    <w:rsid w:val="00742D59"/>
    <w:rsid w:val="00743596"/>
    <w:rsid w:val="00743795"/>
    <w:rsid w:val="0074662D"/>
    <w:rsid w:val="00750A67"/>
    <w:rsid w:val="00751B17"/>
    <w:rsid w:val="00755D02"/>
    <w:rsid w:val="00757046"/>
    <w:rsid w:val="00757579"/>
    <w:rsid w:val="00761B92"/>
    <w:rsid w:val="00762757"/>
    <w:rsid w:val="00762AD0"/>
    <w:rsid w:val="00762C1F"/>
    <w:rsid w:val="007631CA"/>
    <w:rsid w:val="00763C7B"/>
    <w:rsid w:val="00770A0F"/>
    <w:rsid w:val="00772903"/>
    <w:rsid w:val="007749F1"/>
    <w:rsid w:val="00775525"/>
    <w:rsid w:val="00775FDD"/>
    <w:rsid w:val="00776D85"/>
    <w:rsid w:val="00777C80"/>
    <w:rsid w:val="00781AEB"/>
    <w:rsid w:val="00781B33"/>
    <w:rsid w:val="00782320"/>
    <w:rsid w:val="00782F44"/>
    <w:rsid w:val="00785A5B"/>
    <w:rsid w:val="00785C87"/>
    <w:rsid w:val="00786FB9"/>
    <w:rsid w:val="00787132"/>
    <w:rsid w:val="00787DFF"/>
    <w:rsid w:val="007916EE"/>
    <w:rsid w:val="00791E7E"/>
    <w:rsid w:val="00792573"/>
    <w:rsid w:val="007931CA"/>
    <w:rsid w:val="00793B63"/>
    <w:rsid w:val="007950F7"/>
    <w:rsid w:val="00795645"/>
    <w:rsid w:val="00795A10"/>
    <w:rsid w:val="00796595"/>
    <w:rsid w:val="007967C4"/>
    <w:rsid w:val="00797718"/>
    <w:rsid w:val="007A1C08"/>
    <w:rsid w:val="007A4963"/>
    <w:rsid w:val="007A5129"/>
    <w:rsid w:val="007A5193"/>
    <w:rsid w:val="007A59C0"/>
    <w:rsid w:val="007A5FB8"/>
    <w:rsid w:val="007A6D94"/>
    <w:rsid w:val="007B0099"/>
    <w:rsid w:val="007B2884"/>
    <w:rsid w:val="007B3640"/>
    <w:rsid w:val="007B381F"/>
    <w:rsid w:val="007B3CAB"/>
    <w:rsid w:val="007B4006"/>
    <w:rsid w:val="007B42BC"/>
    <w:rsid w:val="007B5007"/>
    <w:rsid w:val="007B5F1A"/>
    <w:rsid w:val="007B5F74"/>
    <w:rsid w:val="007B6B50"/>
    <w:rsid w:val="007C1269"/>
    <w:rsid w:val="007C1B70"/>
    <w:rsid w:val="007C20F1"/>
    <w:rsid w:val="007C2A4E"/>
    <w:rsid w:val="007C2B6D"/>
    <w:rsid w:val="007C2FC1"/>
    <w:rsid w:val="007C4478"/>
    <w:rsid w:val="007C5AE7"/>
    <w:rsid w:val="007D0DE6"/>
    <w:rsid w:val="007D4140"/>
    <w:rsid w:val="007D43F0"/>
    <w:rsid w:val="007D4408"/>
    <w:rsid w:val="007D4920"/>
    <w:rsid w:val="007D5C39"/>
    <w:rsid w:val="007E0F13"/>
    <w:rsid w:val="007E2B29"/>
    <w:rsid w:val="007E2C49"/>
    <w:rsid w:val="007E574B"/>
    <w:rsid w:val="007E5A44"/>
    <w:rsid w:val="007E5F92"/>
    <w:rsid w:val="007E6408"/>
    <w:rsid w:val="007E73E9"/>
    <w:rsid w:val="007F1716"/>
    <w:rsid w:val="007F179A"/>
    <w:rsid w:val="007F488B"/>
    <w:rsid w:val="007F4D0F"/>
    <w:rsid w:val="008001A8"/>
    <w:rsid w:val="008003F8"/>
    <w:rsid w:val="00801291"/>
    <w:rsid w:val="00801AC3"/>
    <w:rsid w:val="008023F4"/>
    <w:rsid w:val="00804E38"/>
    <w:rsid w:val="00812A7D"/>
    <w:rsid w:val="00814B38"/>
    <w:rsid w:val="00815702"/>
    <w:rsid w:val="008173BA"/>
    <w:rsid w:val="00817DC3"/>
    <w:rsid w:val="00820AD7"/>
    <w:rsid w:val="00820BE2"/>
    <w:rsid w:val="00821812"/>
    <w:rsid w:val="008253D7"/>
    <w:rsid w:val="00827288"/>
    <w:rsid w:val="008273C1"/>
    <w:rsid w:val="008325A4"/>
    <w:rsid w:val="0083471C"/>
    <w:rsid w:val="00834B52"/>
    <w:rsid w:val="00835E71"/>
    <w:rsid w:val="00837709"/>
    <w:rsid w:val="008402EE"/>
    <w:rsid w:val="0084123A"/>
    <w:rsid w:val="008430F9"/>
    <w:rsid w:val="00844996"/>
    <w:rsid w:val="008451E1"/>
    <w:rsid w:val="0084682B"/>
    <w:rsid w:val="00846C8C"/>
    <w:rsid w:val="008517C3"/>
    <w:rsid w:val="00852E90"/>
    <w:rsid w:val="00853EEC"/>
    <w:rsid w:val="008547DA"/>
    <w:rsid w:val="00856D80"/>
    <w:rsid w:val="00861E1B"/>
    <w:rsid w:val="008637E1"/>
    <w:rsid w:val="008654D3"/>
    <w:rsid w:val="00865B65"/>
    <w:rsid w:val="0086726A"/>
    <w:rsid w:val="0087304D"/>
    <w:rsid w:val="00873EA6"/>
    <w:rsid w:val="00874543"/>
    <w:rsid w:val="0088115C"/>
    <w:rsid w:val="00881574"/>
    <w:rsid w:val="008815C4"/>
    <w:rsid w:val="00881E44"/>
    <w:rsid w:val="00881EAE"/>
    <w:rsid w:val="0088308A"/>
    <w:rsid w:val="0088357F"/>
    <w:rsid w:val="00883B07"/>
    <w:rsid w:val="00884AE3"/>
    <w:rsid w:val="008853F5"/>
    <w:rsid w:val="00885943"/>
    <w:rsid w:val="00885E27"/>
    <w:rsid w:val="008862D4"/>
    <w:rsid w:val="008868F6"/>
    <w:rsid w:val="00887FEE"/>
    <w:rsid w:val="00891117"/>
    <w:rsid w:val="008912BC"/>
    <w:rsid w:val="0089218D"/>
    <w:rsid w:val="00892C8C"/>
    <w:rsid w:val="008934C1"/>
    <w:rsid w:val="00893F23"/>
    <w:rsid w:val="008947C4"/>
    <w:rsid w:val="008953A4"/>
    <w:rsid w:val="008960C9"/>
    <w:rsid w:val="00896BC2"/>
    <w:rsid w:val="00896EE6"/>
    <w:rsid w:val="008A096F"/>
    <w:rsid w:val="008A12BE"/>
    <w:rsid w:val="008B0CCC"/>
    <w:rsid w:val="008B0D82"/>
    <w:rsid w:val="008B10D8"/>
    <w:rsid w:val="008B3142"/>
    <w:rsid w:val="008B3460"/>
    <w:rsid w:val="008B36CD"/>
    <w:rsid w:val="008B4B53"/>
    <w:rsid w:val="008B5E4F"/>
    <w:rsid w:val="008B77E0"/>
    <w:rsid w:val="008C1592"/>
    <w:rsid w:val="008C3AF9"/>
    <w:rsid w:val="008C44F7"/>
    <w:rsid w:val="008C573A"/>
    <w:rsid w:val="008C5837"/>
    <w:rsid w:val="008C652D"/>
    <w:rsid w:val="008C769E"/>
    <w:rsid w:val="008D08D2"/>
    <w:rsid w:val="008D1DD5"/>
    <w:rsid w:val="008D23E8"/>
    <w:rsid w:val="008D4159"/>
    <w:rsid w:val="008D4B43"/>
    <w:rsid w:val="008D5005"/>
    <w:rsid w:val="008D5315"/>
    <w:rsid w:val="008D660E"/>
    <w:rsid w:val="008E232D"/>
    <w:rsid w:val="008E2A4D"/>
    <w:rsid w:val="008E3E4E"/>
    <w:rsid w:val="008E48A1"/>
    <w:rsid w:val="008E5170"/>
    <w:rsid w:val="008E664C"/>
    <w:rsid w:val="008E66F1"/>
    <w:rsid w:val="008F3127"/>
    <w:rsid w:val="008F37C7"/>
    <w:rsid w:val="008F616D"/>
    <w:rsid w:val="008F65AC"/>
    <w:rsid w:val="008F6CB1"/>
    <w:rsid w:val="00901A2B"/>
    <w:rsid w:val="00902C7C"/>
    <w:rsid w:val="00903757"/>
    <w:rsid w:val="00904789"/>
    <w:rsid w:val="00904EB0"/>
    <w:rsid w:val="00905232"/>
    <w:rsid w:val="00905C4E"/>
    <w:rsid w:val="009067F4"/>
    <w:rsid w:val="00906DA3"/>
    <w:rsid w:val="00912FCB"/>
    <w:rsid w:val="0091341C"/>
    <w:rsid w:val="009138C3"/>
    <w:rsid w:val="0091406B"/>
    <w:rsid w:val="00914765"/>
    <w:rsid w:val="009147C9"/>
    <w:rsid w:val="00914B8B"/>
    <w:rsid w:val="009159F7"/>
    <w:rsid w:val="009168DF"/>
    <w:rsid w:val="00917BE9"/>
    <w:rsid w:val="00917F11"/>
    <w:rsid w:val="0092066F"/>
    <w:rsid w:val="009209F7"/>
    <w:rsid w:val="009212BD"/>
    <w:rsid w:val="00925EAB"/>
    <w:rsid w:val="0092624C"/>
    <w:rsid w:val="009270B6"/>
    <w:rsid w:val="00927EC1"/>
    <w:rsid w:val="00932B5A"/>
    <w:rsid w:val="009335A2"/>
    <w:rsid w:val="00933BAA"/>
    <w:rsid w:val="00934323"/>
    <w:rsid w:val="00934FF4"/>
    <w:rsid w:val="0093518F"/>
    <w:rsid w:val="0093612B"/>
    <w:rsid w:val="00940494"/>
    <w:rsid w:val="00941B29"/>
    <w:rsid w:val="00942166"/>
    <w:rsid w:val="009454B4"/>
    <w:rsid w:val="009461FD"/>
    <w:rsid w:val="00946659"/>
    <w:rsid w:val="00947C18"/>
    <w:rsid w:val="00947E9B"/>
    <w:rsid w:val="009535BF"/>
    <w:rsid w:val="009536FC"/>
    <w:rsid w:val="0095417F"/>
    <w:rsid w:val="00954442"/>
    <w:rsid w:val="009552FF"/>
    <w:rsid w:val="00960A2D"/>
    <w:rsid w:val="00961A01"/>
    <w:rsid w:val="00964641"/>
    <w:rsid w:val="00965CB7"/>
    <w:rsid w:val="00966699"/>
    <w:rsid w:val="00966C92"/>
    <w:rsid w:val="00967338"/>
    <w:rsid w:val="00967C93"/>
    <w:rsid w:val="00970253"/>
    <w:rsid w:val="00970D34"/>
    <w:rsid w:val="00973808"/>
    <w:rsid w:val="00980218"/>
    <w:rsid w:val="00980539"/>
    <w:rsid w:val="00982138"/>
    <w:rsid w:val="00983AC5"/>
    <w:rsid w:val="00983B97"/>
    <w:rsid w:val="00984586"/>
    <w:rsid w:val="0098489B"/>
    <w:rsid w:val="00986C21"/>
    <w:rsid w:val="00987286"/>
    <w:rsid w:val="00987B6C"/>
    <w:rsid w:val="0099084C"/>
    <w:rsid w:val="009935B2"/>
    <w:rsid w:val="0099534B"/>
    <w:rsid w:val="009A09E4"/>
    <w:rsid w:val="009A27A2"/>
    <w:rsid w:val="009A513B"/>
    <w:rsid w:val="009A5BAD"/>
    <w:rsid w:val="009A6AAB"/>
    <w:rsid w:val="009B08F8"/>
    <w:rsid w:val="009B16F9"/>
    <w:rsid w:val="009B4CC9"/>
    <w:rsid w:val="009B4CD6"/>
    <w:rsid w:val="009B4D99"/>
    <w:rsid w:val="009B5A61"/>
    <w:rsid w:val="009B6B9E"/>
    <w:rsid w:val="009B798C"/>
    <w:rsid w:val="009C1DA0"/>
    <w:rsid w:val="009C4D7F"/>
    <w:rsid w:val="009C5662"/>
    <w:rsid w:val="009C5E8D"/>
    <w:rsid w:val="009C62F3"/>
    <w:rsid w:val="009C6537"/>
    <w:rsid w:val="009C7C4E"/>
    <w:rsid w:val="009D20C0"/>
    <w:rsid w:val="009D263A"/>
    <w:rsid w:val="009D2706"/>
    <w:rsid w:val="009D376F"/>
    <w:rsid w:val="009D390E"/>
    <w:rsid w:val="009D4D68"/>
    <w:rsid w:val="009D55DF"/>
    <w:rsid w:val="009D596E"/>
    <w:rsid w:val="009D5BD7"/>
    <w:rsid w:val="009D7254"/>
    <w:rsid w:val="009D79F4"/>
    <w:rsid w:val="009D7C58"/>
    <w:rsid w:val="009D7EC1"/>
    <w:rsid w:val="009E2EC1"/>
    <w:rsid w:val="009E34A8"/>
    <w:rsid w:val="009E4076"/>
    <w:rsid w:val="009E408F"/>
    <w:rsid w:val="009E41E4"/>
    <w:rsid w:val="009E574F"/>
    <w:rsid w:val="009E6045"/>
    <w:rsid w:val="009E6F01"/>
    <w:rsid w:val="009E7AA4"/>
    <w:rsid w:val="009F01F3"/>
    <w:rsid w:val="009F1648"/>
    <w:rsid w:val="009F1C1D"/>
    <w:rsid w:val="009F3631"/>
    <w:rsid w:val="00A01E4A"/>
    <w:rsid w:val="00A0285A"/>
    <w:rsid w:val="00A030C2"/>
    <w:rsid w:val="00A03540"/>
    <w:rsid w:val="00A03D77"/>
    <w:rsid w:val="00A051BA"/>
    <w:rsid w:val="00A0560B"/>
    <w:rsid w:val="00A06B96"/>
    <w:rsid w:val="00A1054D"/>
    <w:rsid w:val="00A10DB1"/>
    <w:rsid w:val="00A15836"/>
    <w:rsid w:val="00A16606"/>
    <w:rsid w:val="00A16C03"/>
    <w:rsid w:val="00A213F6"/>
    <w:rsid w:val="00A24BAA"/>
    <w:rsid w:val="00A2587E"/>
    <w:rsid w:val="00A25B7F"/>
    <w:rsid w:val="00A2689C"/>
    <w:rsid w:val="00A277F8"/>
    <w:rsid w:val="00A279E3"/>
    <w:rsid w:val="00A305F8"/>
    <w:rsid w:val="00A3192D"/>
    <w:rsid w:val="00A34876"/>
    <w:rsid w:val="00A357FE"/>
    <w:rsid w:val="00A36685"/>
    <w:rsid w:val="00A37778"/>
    <w:rsid w:val="00A406C6"/>
    <w:rsid w:val="00A432B5"/>
    <w:rsid w:val="00A442DF"/>
    <w:rsid w:val="00A447B3"/>
    <w:rsid w:val="00A44A4B"/>
    <w:rsid w:val="00A45CF7"/>
    <w:rsid w:val="00A46EA8"/>
    <w:rsid w:val="00A50B0A"/>
    <w:rsid w:val="00A52458"/>
    <w:rsid w:val="00A52923"/>
    <w:rsid w:val="00A52DE8"/>
    <w:rsid w:val="00A54189"/>
    <w:rsid w:val="00A54816"/>
    <w:rsid w:val="00A60428"/>
    <w:rsid w:val="00A61022"/>
    <w:rsid w:val="00A61AC5"/>
    <w:rsid w:val="00A62710"/>
    <w:rsid w:val="00A650DB"/>
    <w:rsid w:val="00A66D7B"/>
    <w:rsid w:val="00A674BA"/>
    <w:rsid w:val="00A67813"/>
    <w:rsid w:val="00A714B3"/>
    <w:rsid w:val="00A715C9"/>
    <w:rsid w:val="00A72566"/>
    <w:rsid w:val="00A72C88"/>
    <w:rsid w:val="00A7334B"/>
    <w:rsid w:val="00A7388A"/>
    <w:rsid w:val="00A73AA7"/>
    <w:rsid w:val="00A75439"/>
    <w:rsid w:val="00A75D3C"/>
    <w:rsid w:val="00A76CD8"/>
    <w:rsid w:val="00A8074D"/>
    <w:rsid w:val="00A82440"/>
    <w:rsid w:val="00A85C69"/>
    <w:rsid w:val="00A85E89"/>
    <w:rsid w:val="00A870EA"/>
    <w:rsid w:val="00A878E6"/>
    <w:rsid w:val="00A87BBD"/>
    <w:rsid w:val="00A90109"/>
    <w:rsid w:val="00A92719"/>
    <w:rsid w:val="00A930FA"/>
    <w:rsid w:val="00A944E4"/>
    <w:rsid w:val="00A962CE"/>
    <w:rsid w:val="00AA1C9A"/>
    <w:rsid w:val="00AA3497"/>
    <w:rsid w:val="00AA35E0"/>
    <w:rsid w:val="00AA38DD"/>
    <w:rsid w:val="00AA4208"/>
    <w:rsid w:val="00AA79FB"/>
    <w:rsid w:val="00AB0738"/>
    <w:rsid w:val="00AB0D04"/>
    <w:rsid w:val="00AB0D60"/>
    <w:rsid w:val="00AB0FEE"/>
    <w:rsid w:val="00AB206A"/>
    <w:rsid w:val="00AB30F9"/>
    <w:rsid w:val="00AB4C73"/>
    <w:rsid w:val="00AB4D00"/>
    <w:rsid w:val="00AB5E30"/>
    <w:rsid w:val="00AB63CA"/>
    <w:rsid w:val="00AB644A"/>
    <w:rsid w:val="00AB79B6"/>
    <w:rsid w:val="00AC008B"/>
    <w:rsid w:val="00AC1792"/>
    <w:rsid w:val="00AC449B"/>
    <w:rsid w:val="00AC573A"/>
    <w:rsid w:val="00AC699A"/>
    <w:rsid w:val="00AC705E"/>
    <w:rsid w:val="00AD0014"/>
    <w:rsid w:val="00AD46D8"/>
    <w:rsid w:val="00AD4858"/>
    <w:rsid w:val="00AD5954"/>
    <w:rsid w:val="00AD7A9B"/>
    <w:rsid w:val="00AE135D"/>
    <w:rsid w:val="00AE145B"/>
    <w:rsid w:val="00AE2BC0"/>
    <w:rsid w:val="00AE442E"/>
    <w:rsid w:val="00AE4F39"/>
    <w:rsid w:val="00AE4F3A"/>
    <w:rsid w:val="00AE6B3A"/>
    <w:rsid w:val="00AF1306"/>
    <w:rsid w:val="00AF220F"/>
    <w:rsid w:val="00AF228B"/>
    <w:rsid w:val="00AF305B"/>
    <w:rsid w:val="00AF3B66"/>
    <w:rsid w:val="00B0070A"/>
    <w:rsid w:val="00B00819"/>
    <w:rsid w:val="00B0138F"/>
    <w:rsid w:val="00B01D4F"/>
    <w:rsid w:val="00B04C6C"/>
    <w:rsid w:val="00B05030"/>
    <w:rsid w:val="00B06CBF"/>
    <w:rsid w:val="00B11A14"/>
    <w:rsid w:val="00B134E3"/>
    <w:rsid w:val="00B14495"/>
    <w:rsid w:val="00B152A8"/>
    <w:rsid w:val="00B159BD"/>
    <w:rsid w:val="00B16C5C"/>
    <w:rsid w:val="00B173A6"/>
    <w:rsid w:val="00B17622"/>
    <w:rsid w:val="00B17A37"/>
    <w:rsid w:val="00B17BE0"/>
    <w:rsid w:val="00B22CE7"/>
    <w:rsid w:val="00B23677"/>
    <w:rsid w:val="00B24150"/>
    <w:rsid w:val="00B24FBD"/>
    <w:rsid w:val="00B31212"/>
    <w:rsid w:val="00B314DA"/>
    <w:rsid w:val="00B33247"/>
    <w:rsid w:val="00B33A20"/>
    <w:rsid w:val="00B33BAA"/>
    <w:rsid w:val="00B34CF0"/>
    <w:rsid w:val="00B37727"/>
    <w:rsid w:val="00B37E17"/>
    <w:rsid w:val="00B41629"/>
    <w:rsid w:val="00B44528"/>
    <w:rsid w:val="00B446FF"/>
    <w:rsid w:val="00B4482E"/>
    <w:rsid w:val="00B46FA8"/>
    <w:rsid w:val="00B51E2E"/>
    <w:rsid w:val="00B532F4"/>
    <w:rsid w:val="00B53783"/>
    <w:rsid w:val="00B537FA"/>
    <w:rsid w:val="00B54AF3"/>
    <w:rsid w:val="00B551D5"/>
    <w:rsid w:val="00B55708"/>
    <w:rsid w:val="00B55867"/>
    <w:rsid w:val="00B565C6"/>
    <w:rsid w:val="00B56FCD"/>
    <w:rsid w:val="00B57E50"/>
    <w:rsid w:val="00B57E73"/>
    <w:rsid w:val="00B611A3"/>
    <w:rsid w:val="00B62945"/>
    <w:rsid w:val="00B64742"/>
    <w:rsid w:val="00B6587F"/>
    <w:rsid w:val="00B65B23"/>
    <w:rsid w:val="00B65E83"/>
    <w:rsid w:val="00B67C7A"/>
    <w:rsid w:val="00B70B8D"/>
    <w:rsid w:val="00B71066"/>
    <w:rsid w:val="00B74273"/>
    <w:rsid w:val="00B77294"/>
    <w:rsid w:val="00B80A21"/>
    <w:rsid w:val="00B8220F"/>
    <w:rsid w:val="00B850D0"/>
    <w:rsid w:val="00B85274"/>
    <w:rsid w:val="00B86342"/>
    <w:rsid w:val="00B867B0"/>
    <w:rsid w:val="00B90743"/>
    <w:rsid w:val="00B91504"/>
    <w:rsid w:val="00B92FFE"/>
    <w:rsid w:val="00B94FC7"/>
    <w:rsid w:val="00B95BDF"/>
    <w:rsid w:val="00B97079"/>
    <w:rsid w:val="00B97B57"/>
    <w:rsid w:val="00BA0828"/>
    <w:rsid w:val="00BA0E74"/>
    <w:rsid w:val="00BA20A8"/>
    <w:rsid w:val="00BA29D2"/>
    <w:rsid w:val="00BA3D89"/>
    <w:rsid w:val="00BA5E82"/>
    <w:rsid w:val="00BA7EC7"/>
    <w:rsid w:val="00BB0018"/>
    <w:rsid w:val="00BB107D"/>
    <w:rsid w:val="00BB4461"/>
    <w:rsid w:val="00BB4E6B"/>
    <w:rsid w:val="00BC4C6B"/>
    <w:rsid w:val="00BC6183"/>
    <w:rsid w:val="00BC743B"/>
    <w:rsid w:val="00BD1730"/>
    <w:rsid w:val="00BD692D"/>
    <w:rsid w:val="00BD69E8"/>
    <w:rsid w:val="00BD70E4"/>
    <w:rsid w:val="00BD7168"/>
    <w:rsid w:val="00BD780A"/>
    <w:rsid w:val="00BD7C05"/>
    <w:rsid w:val="00BE19CF"/>
    <w:rsid w:val="00BE28D5"/>
    <w:rsid w:val="00BE5785"/>
    <w:rsid w:val="00BE70E7"/>
    <w:rsid w:val="00BF10A8"/>
    <w:rsid w:val="00BF1E4D"/>
    <w:rsid w:val="00BF22AE"/>
    <w:rsid w:val="00BF3714"/>
    <w:rsid w:val="00BF3EFF"/>
    <w:rsid w:val="00BF4A0D"/>
    <w:rsid w:val="00BF54C5"/>
    <w:rsid w:val="00C0006D"/>
    <w:rsid w:val="00C00867"/>
    <w:rsid w:val="00C030FF"/>
    <w:rsid w:val="00C03564"/>
    <w:rsid w:val="00C04E09"/>
    <w:rsid w:val="00C072D9"/>
    <w:rsid w:val="00C10F95"/>
    <w:rsid w:val="00C11733"/>
    <w:rsid w:val="00C122A3"/>
    <w:rsid w:val="00C12E21"/>
    <w:rsid w:val="00C147FC"/>
    <w:rsid w:val="00C14BA0"/>
    <w:rsid w:val="00C14D45"/>
    <w:rsid w:val="00C16A05"/>
    <w:rsid w:val="00C16DFB"/>
    <w:rsid w:val="00C17C3C"/>
    <w:rsid w:val="00C203F6"/>
    <w:rsid w:val="00C20FF2"/>
    <w:rsid w:val="00C22454"/>
    <w:rsid w:val="00C24D8A"/>
    <w:rsid w:val="00C25E69"/>
    <w:rsid w:val="00C26B31"/>
    <w:rsid w:val="00C27EDF"/>
    <w:rsid w:val="00C30FF7"/>
    <w:rsid w:val="00C327D2"/>
    <w:rsid w:val="00C3283B"/>
    <w:rsid w:val="00C34552"/>
    <w:rsid w:val="00C349B2"/>
    <w:rsid w:val="00C34C63"/>
    <w:rsid w:val="00C35204"/>
    <w:rsid w:val="00C37B5D"/>
    <w:rsid w:val="00C414EC"/>
    <w:rsid w:val="00C434BB"/>
    <w:rsid w:val="00C43863"/>
    <w:rsid w:val="00C4517D"/>
    <w:rsid w:val="00C464C7"/>
    <w:rsid w:val="00C46B05"/>
    <w:rsid w:val="00C50ACD"/>
    <w:rsid w:val="00C50C49"/>
    <w:rsid w:val="00C517CF"/>
    <w:rsid w:val="00C526B9"/>
    <w:rsid w:val="00C55F43"/>
    <w:rsid w:val="00C56C15"/>
    <w:rsid w:val="00C57349"/>
    <w:rsid w:val="00C633E2"/>
    <w:rsid w:val="00C639C5"/>
    <w:rsid w:val="00C669C0"/>
    <w:rsid w:val="00C67AF9"/>
    <w:rsid w:val="00C70476"/>
    <w:rsid w:val="00C70893"/>
    <w:rsid w:val="00C722AA"/>
    <w:rsid w:val="00C73194"/>
    <w:rsid w:val="00C73FA5"/>
    <w:rsid w:val="00C74F57"/>
    <w:rsid w:val="00C756A3"/>
    <w:rsid w:val="00C7661E"/>
    <w:rsid w:val="00C811AB"/>
    <w:rsid w:val="00C81A7F"/>
    <w:rsid w:val="00C833B2"/>
    <w:rsid w:val="00C83EEA"/>
    <w:rsid w:val="00C8597E"/>
    <w:rsid w:val="00C85D3F"/>
    <w:rsid w:val="00C8620E"/>
    <w:rsid w:val="00C90B67"/>
    <w:rsid w:val="00C915E2"/>
    <w:rsid w:val="00C9243B"/>
    <w:rsid w:val="00C93A4C"/>
    <w:rsid w:val="00C93AC3"/>
    <w:rsid w:val="00C95224"/>
    <w:rsid w:val="00C964C8"/>
    <w:rsid w:val="00C96CFF"/>
    <w:rsid w:val="00C97369"/>
    <w:rsid w:val="00C973DE"/>
    <w:rsid w:val="00C97F37"/>
    <w:rsid w:val="00CA0552"/>
    <w:rsid w:val="00CA1230"/>
    <w:rsid w:val="00CA346D"/>
    <w:rsid w:val="00CA4FAF"/>
    <w:rsid w:val="00CA5616"/>
    <w:rsid w:val="00CA5ECE"/>
    <w:rsid w:val="00CB0051"/>
    <w:rsid w:val="00CB06E5"/>
    <w:rsid w:val="00CB24FC"/>
    <w:rsid w:val="00CB3665"/>
    <w:rsid w:val="00CB3B67"/>
    <w:rsid w:val="00CB4053"/>
    <w:rsid w:val="00CB4A17"/>
    <w:rsid w:val="00CB74F7"/>
    <w:rsid w:val="00CB773C"/>
    <w:rsid w:val="00CC21FB"/>
    <w:rsid w:val="00CC62E3"/>
    <w:rsid w:val="00CC69AE"/>
    <w:rsid w:val="00CD218C"/>
    <w:rsid w:val="00CD25F5"/>
    <w:rsid w:val="00CD2BD9"/>
    <w:rsid w:val="00CD379E"/>
    <w:rsid w:val="00CD5CCF"/>
    <w:rsid w:val="00CE0341"/>
    <w:rsid w:val="00CE20D9"/>
    <w:rsid w:val="00CE53A7"/>
    <w:rsid w:val="00CE5AEC"/>
    <w:rsid w:val="00CF0138"/>
    <w:rsid w:val="00CF0262"/>
    <w:rsid w:val="00CF199A"/>
    <w:rsid w:val="00CF1E18"/>
    <w:rsid w:val="00CF303C"/>
    <w:rsid w:val="00CF43E9"/>
    <w:rsid w:val="00CF5F16"/>
    <w:rsid w:val="00D00526"/>
    <w:rsid w:val="00D01362"/>
    <w:rsid w:val="00D0205C"/>
    <w:rsid w:val="00D056EF"/>
    <w:rsid w:val="00D06B42"/>
    <w:rsid w:val="00D07AE7"/>
    <w:rsid w:val="00D101C6"/>
    <w:rsid w:val="00D10635"/>
    <w:rsid w:val="00D143CD"/>
    <w:rsid w:val="00D14DD6"/>
    <w:rsid w:val="00D20D0D"/>
    <w:rsid w:val="00D21F9E"/>
    <w:rsid w:val="00D221C0"/>
    <w:rsid w:val="00D23C7C"/>
    <w:rsid w:val="00D243B5"/>
    <w:rsid w:val="00D26869"/>
    <w:rsid w:val="00D26B4F"/>
    <w:rsid w:val="00D26EBA"/>
    <w:rsid w:val="00D3384C"/>
    <w:rsid w:val="00D33E9F"/>
    <w:rsid w:val="00D34960"/>
    <w:rsid w:val="00D418E8"/>
    <w:rsid w:val="00D4199C"/>
    <w:rsid w:val="00D41A43"/>
    <w:rsid w:val="00D4339D"/>
    <w:rsid w:val="00D434BF"/>
    <w:rsid w:val="00D46B43"/>
    <w:rsid w:val="00D47D28"/>
    <w:rsid w:val="00D5024C"/>
    <w:rsid w:val="00D51232"/>
    <w:rsid w:val="00D52090"/>
    <w:rsid w:val="00D52468"/>
    <w:rsid w:val="00D54644"/>
    <w:rsid w:val="00D54EE8"/>
    <w:rsid w:val="00D55691"/>
    <w:rsid w:val="00D56A7F"/>
    <w:rsid w:val="00D57277"/>
    <w:rsid w:val="00D6072C"/>
    <w:rsid w:val="00D61971"/>
    <w:rsid w:val="00D62FB1"/>
    <w:rsid w:val="00D62FF4"/>
    <w:rsid w:val="00D6314D"/>
    <w:rsid w:val="00D66523"/>
    <w:rsid w:val="00D6668A"/>
    <w:rsid w:val="00D70321"/>
    <w:rsid w:val="00D7313F"/>
    <w:rsid w:val="00D73503"/>
    <w:rsid w:val="00D763EE"/>
    <w:rsid w:val="00D76DE4"/>
    <w:rsid w:val="00D77B27"/>
    <w:rsid w:val="00D77C97"/>
    <w:rsid w:val="00D81653"/>
    <w:rsid w:val="00D8388F"/>
    <w:rsid w:val="00D8410F"/>
    <w:rsid w:val="00D846D0"/>
    <w:rsid w:val="00D85582"/>
    <w:rsid w:val="00D86ABD"/>
    <w:rsid w:val="00D87800"/>
    <w:rsid w:val="00D90086"/>
    <w:rsid w:val="00D90B7C"/>
    <w:rsid w:val="00D91E67"/>
    <w:rsid w:val="00D92143"/>
    <w:rsid w:val="00D95867"/>
    <w:rsid w:val="00D96049"/>
    <w:rsid w:val="00D97F31"/>
    <w:rsid w:val="00DA0904"/>
    <w:rsid w:val="00DA1A94"/>
    <w:rsid w:val="00DA2B0F"/>
    <w:rsid w:val="00DA377B"/>
    <w:rsid w:val="00DA4588"/>
    <w:rsid w:val="00DA4689"/>
    <w:rsid w:val="00DA5191"/>
    <w:rsid w:val="00DA5F84"/>
    <w:rsid w:val="00DB09ED"/>
    <w:rsid w:val="00DB104F"/>
    <w:rsid w:val="00DB30B4"/>
    <w:rsid w:val="00DB3DAB"/>
    <w:rsid w:val="00DB5969"/>
    <w:rsid w:val="00DB5D14"/>
    <w:rsid w:val="00DB7571"/>
    <w:rsid w:val="00DB7A1B"/>
    <w:rsid w:val="00DB7FF6"/>
    <w:rsid w:val="00DC145A"/>
    <w:rsid w:val="00DC1949"/>
    <w:rsid w:val="00DC2BC4"/>
    <w:rsid w:val="00DC2CA3"/>
    <w:rsid w:val="00DC533A"/>
    <w:rsid w:val="00DD109C"/>
    <w:rsid w:val="00DD3585"/>
    <w:rsid w:val="00DD43AA"/>
    <w:rsid w:val="00DD4912"/>
    <w:rsid w:val="00DD56D7"/>
    <w:rsid w:val="00DD5D44"/>
    <w:rsid w:val="00DD6F92"/>
    <w:rsid w:val="00DD70F7"/>
    <w:rsid w:val="00DD7EA4"/>
    <w:rsid w:val="00DD7FFE"/>
    <w:rsid w:val="00DE036D"/>
    <w:rsid w:val="00DE03A5"/>
    <w:rsid w:val="00DE0A8F"/>
    <w:rsid w:val="00DE105D"/>
    <w:rsid w:val="00DE1DF0"/>
    <w:rsid w:val="00DE2239"/>
    <w:rsid w:val="00DE249D"/>
    <w:rsid w:val="00DE3875"/>
    <w:rsid w:val="00DE5820"/>
    <w:rsid w:val="00DE66FF"/>
    <w:rsid w:val="00DE7C73"/>
    <w:rsid w:val="00DF1152"/>
    <w:rsid w:val="00DF133A"/>
    <w:rsid w:val="00DF2202"/>
    <w:rsid w:val="00DF24C3"/>
    <w:rsid w:val="00DF299C"/>
    <w:rsid w:val="00DF2A31"/>
    <w:rsid w:val="00DF3680"/>
    <w:rsid w:val="00DF43A4"/>
    <w:rsid w:val="00DF47E8"/>
    <w:rsid w:val="00DF52DC"/>
    <w:rsid w:val="00DF550B"/>
    <w:rsid w:val="00DF61E9"/>
    <w:rsid w:val="00E00B9D"/>
    <w:rsid w:val="00E0107C"/>
    <w:rsid w:val="00E012D8"/>
    <w:rsid w:val="00E032B3"/>
    <w:rsid w:val="00E03355"/>
    <w:rsid w:val="00E03720"/>
    <w:rsid w:val="00E0533F"/>
    <w:rsid w:val="00E05EE8"/>
    <w:rsid w:val="00E06C29"/>
    <w:rsid w:val="00E07892"/>
    <w:rsid w:val="00E11157"/>
    <w:rsid w:val="00E113C7"/>
    <w:rsid w:val="00E11B2A"/>
    <w:rsid w:val="00E13A1E"/>
    <w:rsid w:val="00E14479"/>
    <w:rsid w:val="00E17A25"/>
    <w:rsid w:val="00E17FE1"/>
    <w:rsid w:val="00E23043"/>
    <w:rsid w:val="00E242A9"/>
    <w:rsid w:val="00E30BF7"/>
    <w:rsid w:val="00E33E50"/>
    <w:rsid w:val="00E34F83"/>
    <w:rsid w:val="00E37F82"/>
    <w:rsid w:val="00E40960"/>
    <w:rsid w:val="00E416A0"/>
    <w:rsid w:val="00E45A60"/>
    <w:rsid w:val="00E46EB8"/>
    <w:rsid w:val="00E50D35"/>
    <w:rsid w:val="00E516B8"/>
    <w:rsid w:val="00E53D09"/>
    <w:rsid w:val="00E5596B"/>
    <w:rsid w:val="00E559EF"/>
    <w:rsid w:val="00E57AB4"/>
    <w:rsid w:val="00E57C76"/>
    <w:rsid w:val="00E612E9"/>
    <w:rsid w:val="00E66900"/>
    <w:rsid w:val="00E74143"/>
    <w:rsid w:val="00E751EB"/>
    <w:rsid w:val="00E76C02"/>
    <w:rsid w:val="00E81575"/>
    <w:rsid w:val="00E81E24"/>
    <w:rsid w:val="00E83585"/>
    <w:rsid w:val="00E848C0"/>
    <w:rsid w:val="00E85283"/>
    <w:rsid w:val="00E85A4A"/>
    <w:rsid w:val="00E85A8A"/>
    <w:rsid w:val="00E866CB"/>
    <w:rsid w:val="00E87FED"/>
    <w:rsid w:val="00E909FB"/>
    <w:rsid w:val="00E90CD6"/>
    <w:rsid w:val="00E90F35"/>
    <w:rsid w:val="00E93162"/>
    <w:rsid w:val="00E93CAE"/>
    <w:rsid w:val="00E94448"/>
    <w:rsid w:val="00E96815"/>
    <w:rsid w:val="00E96CB5"/>
    <w:rsid w:val="00E978AA"/>
    <w:rsid w:val="00EA224B"/>
    <w:rsid w:val="00EA2A32"/>
    <w:rsid w:val="00EA37B4"/>
    <w:rsid w:val="00EA62CE"/>
    <w:rsid w:val="00EA6B49"/>
    <w:rsid w:val="00EB16C3"/>
    <w:rsid w:val="00EB5B75"/>
    <w:rsid w:val="00EB6953"/>
    <w:rsid w:val="00EB7E7D"/>
    <w:rsid w:val="00EC1C5C"/>
    <w:rsid w:val="00EC4617"/>
    <w:rsid w:val="00EC7904"/>
    <w:rsid w:val="00EC7B16"/>
    <w:rsid w:val="00ED0196"/>
    <w:rsid w:val="00ED034C"/>
    <w:rsid w:val="00ED0F14"/>
    <w:rsid w:val="00ED0F6C"/>
    <w:rsid w:val="00ED2236"/>
    <w:rsid w:val="00ED2732"/>
    <w:rsid w:val="00ED5830"/>
    <w:rsid w:val="00ED5F27"/>
    <w:rsid w:val="00ED752C"/>
    <w:rsid w:val="00EE100B"/>
    <w:rsid w:val="00EE22C2"/>
    <w:rsid w:val="00EE27C8"/>
    <w:rsid w:val="00EE2E94"/>
    <w:rsid w:val="00EE3165"/>
    <w:rsid w:val="00EE34C7"/>
    <w:rsid w:val="00EE35D3"/>
    <w:rsid w:val="00EE3760"/>
    <w:rsid w:val="00EE3A82"/>
    <w:rsid w:val="00EE49CB"/>
    <w:rsid w:val="00EE52B5"/>
    <w:rsid w:val="00EE5B9A"/>
    <w:rsid w:val="00EE7D1C"/>
    <w:rsid w:val="00EF131F"/>
    <w:rsid w:val="00EF20A5"/>
    <w:rsid w:val="00EF3BE7"/>
    <w:rsid w:val="00EF5017"/>
    <w:rsid w:val="00EF728C"/>
    <w:rsid w:val="00EF771A"/>
    <w:rsid w:val="00F00E0B"/>
    <w:rsid w:val="00F03D28"/>
    <w:rsid w:val="00F03E46"/>
    <w:rsid w:val="00F050C9"/>
    <w:rsid w:val="00F10C9F"/>
    <w:rsid w:val="00F12FA3"/>
    <w:rsid w:val="00F14388"/>
    <w:rsid w:val="00F14502"/>
    <w:rsid w:val="00F14B81"/>
    <w:rsid w:val="00F16E39"/>
    <w:rsid w:val="00F17B7A"/>
    <w:rsid w:val="00F17D89"/>
    <w:rsid w:val="00F20650"/>
    <w:rsid w:val="00F20A3F"/>
    <w:rsid w:val="00F20AB4"/>
    <w:rsid w:val="00F21815"/>
    <w:rsid w:val="00F22358"/>
    <w:rsid w:val="00F2441C"/>
    <w:rsid w:val="00F267CB"/>
    <w:rsid w:val="00F27FEE"/>
    <w:rsid w:val="00F30014"/>
    <w:rsid w:val="00F3009C"/>
    <w:rsid w:val="00F31575"/>
    <w:rsid w:val="00F34AEB"/>
    <w:rsid w:val="00F36B06"/>
    <w:rsid w:val="00F36C14"/>
    <w:rsid w:val="00F37F09"/>
    <w:rsid w:val="00F41294"/>
    <w:rsid w:val="00F44CB5"/>
    <w:rsid w:val="00F44E77"/>
    <w:rsid w:val="00F44F1A"/>
    <w:rsid w:val="00F47C9E"/>
    <w:rsid w:val="00F47FFB"/>
    <w:rsid w:val="00F51A89"/>
    <w:rsid w:val="00F550B0"/>
    <w:rsid w:val="00F556AB"/>
    <w:rsid w:val="00F55FB7"/>
    <w:rsid w:val="00F5754D"/>
    <w:rsid w:val="00F57D2F"/>
    <w:rsid w:val="00F6167A"/>
    <w:rsid w:val="00F63B56"/>
    <w:rsid w:val="00F64373"/>
    <w:rsid w:val="00F6559C"/>
    <w:rsid w:val="00F66537"/>
    <w:rsid w:val="00F66BE2"/>
    <w:rsid w:val="00F70935"/>
    <w:rsid w:val="00F7167A"/>
    <w:rsid w:val="00F7582C"/>
    <w:rsid w:val="00F8220A"/>
    <w:rsid w:val="00F8287C"/>
    <w:rsid w:val="00F833E1"/>
    <w:rsid w:val="00F92A22"/>
    <w:rsid w:val="00F9301A"/>
    <w:rsid w:val="00F93BF4"/>
    <w:rsid w:val="00F93BF5"/>
    <w:rsid w:val="00F9517D"/>
    <w:rsid w:val="00F95405"/>
    <w:rsid w:val="00F96373"/>
    <w:rsid w:val="00F964D0"/>
    <w:rsid w:val="00F97961"/>
    <w:rsid w:val="00FA2287"/>
    <w:rsid w:val="00FA3E61"/>
    <w:rsid w:val="00FA4B27"/>
    <w:rsid w:val="00FA522D"/>
    <w:rsid w:val="00FA663D"/>
    <w:rsid w:val="00FA71C9"/>
    <w:rsid w:val="00FB1039"/>
    <w:rsid w:val="00FB29AA"/>
    <w:rsid w:val="00FB4E68"/>
    <w:rsid w:val="00FB5504"/>
    <w:rsid w:val="00FC1576"/>
    <w:rsid w:val="00FC1F28"/>
    <w:rsid w:val="00FC30B8"/>
    <w:rsid w:val="00FC3C5E"/>
    <w:rsid w:val="00FC49CF"/>
    <w:rsid w:val="00FC4EFE"/>
    <w:rsid w:val="00FC545A"/>
    <w:rsid w:val="00FC5D4E"/>
    <w:rsid w:val="00FC6E18"/>
    <w:rsid w:val="00FD1CA1"/>
    <w:rsid w:val="00FD4D97"/>
    <w:rsid w:val="00FD50C5"/>
    <w:rsid w:val="00FD571A"/>
    <w:rsid w:val="00FD5F6B"/>
    <w:rsid w:val="00FE1928"/>
    <w:rsid w:val="00FE52F0"/>
    <w:rsid w:val="00FE697E"/>
    <w:rsid w:val="00FF137E"/>
    <w:rsid w:val="00FF1A23"/>
    <w:rsid w:val="00FF2801"/>
    <w:rsid w:val="00FF29A4"/>
    <w:rsid w:val="00FF2CEF"/>
    <w:rsid w:val="00FF34C9"/>
    <w:rsid w:val="00FF426D"/>
    <w:rsid w:val="00FF5473"/>
    <w:rsid w:val="00FF6095"/>
    <w:rsid w:val="00FF6149"/>
    <w:rsid w:val="00FF6295"/>
    <w:rsid w:val="00FF6685"/>
    <w:rsid w:val="00FF6F2B"/>
    <w:rsid w:val="00FF73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8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27"/>
    <w:pPr>
      <w:spacing w:after="120" w:line="360" w:lineRule="auto"/>
      <w:ind w:firstLine="720"/>
      <w:jc w:val="both"/>
    </w:pPr>
    <w:rPr>
      <w:rFonts w:ascii="Arial" w:hAnsi="Arial"/>
      <w:sz w:val="24"/>
      <w:lang w:val="en-AU"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lang w:val="bg-BG"/>
    </w:rPr>
  </w:style>
  <w:style w:type="paragraph" w:styleId="Heading3">
    <w:name w:val="heading 3"/>
    <w:basedOn w:val="Normal"/>
    <w:next w:val="Normal"/>
    <w:qFormat/>
    <w:rsid w:val="0008419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spacing w:after="0" w:line="240" w:lineRule="auto"/>
      <w:ind w:firstLine="1530"/>
    </w:pPr>
    <w:rPr>
      <w:rFonts w:ascii="Times New Roman" w:hAnsi="Times New Roman"/>
      <w:sz w:val="28"/>
      <w:lang w:val="bg-BG"/>
    </w:rPr>
  </w:style>
  <w:style w:type="paragraph" w:customStyle="1" w:styleId="firstline">
    <w:name w:val="firstline"/>
    <w:basedOn w:val="Normal"/>
    <w:rsid w:val="001A0C85"/>
    <w:pPr>
      <w:spacing w:before="100" w:beforeAutospacing="1" w:after="100" w:afterAutospacing="1" w:line="240" w:lineRule="auto"/>
      <w:ind w:firstLine="0"/>
      <w:jc w:val="left"/>
    </w:pPr>
    <w:rPr>
      <w:rFonts w:ascii="Times New Roman" w:eastAsia="Batang" w:hAnsi="Times New Roman"/>
      <w:szCs w:val="24"/>
      <w:lang w:val="bg-BG" w:eastAsia="ko-KR"/>
    </w:rPr>
  </w:style>
  <w:style w:type="paragraph" w:styleId="BodyText2">
    <w:name w:val="Body Text 2"/>
    <w:basedOn w:val="Normal"/>
    <w:rsid w:val="008547DA"/>
    <w:pPr>
      <w:spacing w:line="480" w:lineRule="auto"/>
    </w:pPr>
  </w:style>
  <w:style w:type="paragraph" w:customStyle="1" w:styleId="CharCharCharChar">
    <w:name w:val="Char Char Char Char"/>
    <w:basedOn w:val="Normal"/>
    <w:semiHidden/>
    <w:rsid w:val="008547DA"/>
    <w:pPr>
      <w:tabs>
        <w:tab w:val="left" w:pos="709"/>
      </w:tabs>
      <w:spacing w:after="0" w:line="240" w:lineRule="auto"/>
      <w:ind w:firstLine="0"/>
      <w:jc w:val="left"/>
    </w:pPr>
    <w:rPr>
      <w:rFonts w:ascii="Futura Bk" w:hAnsi="Futura Bk"/>
      <w:szCs w:val="24"/>
      <w:lang w:val="pl-PL" w:eastAsia="pl-PL"/>
    </w:rPr>
  </w:style>
  <w:style w:type="paragraph" w:styleId="BalloonText">
    <w:name w:val="Balloon Text"/>
    <w:basedOn w:val="Normal"/>
    <w:semiHidden/>
    <w:rsid w:val="00F57D2F"/>
    <w:rPr>
      <w:rFonts w:ascii="Tahoma" w:hAnsi="Tahoma" w:cs="Tahoma"/>
      <w:sz w:val="16"/>
      <w:szCs w:val="16"/>
    </w:rPr>
  </w:style>
  <w:style w:type="paragraph" w:customStyle="1" w:styleId="Char">
    <w:name w:val="Char"/>
    <w:basedOn w:val="Normal"/>
    <w:autoRedefine/>
    <w:rsid w:val="00C756A3"/>
    <w:pPr>
      <w:spacing w:line="240" w:lineRule="auto"/>
      <w:ind w:firstLine="0"/>
    </w:pPr>
    <w:rPr>
      <w:rFonts w:ascii="Times New Roman" w:hAnsi="Times New Roman"/>
      <w:szCs w:val="24"/>
      <w:lang w:val="pl-PL" w:eastAsia="pl-PL"/>
    </w:rPr>
  </w:style>
  <w:style w:type="paragraph" w:styleId="FootnoteText">
    <w:name w:val="footnote text"/>
    <w:basedOn w:val="Normal"/>
    <w:link w:val="FootnoteTextChar"/>
    <w:uiPriority w:val="99"/>
    <w:semiHidden/>
    <w:rsid w:val="001B728E"/>
    <w:pPr>
      <w:spacing w:after="0" w:line="240" w:lineRule="auto"/>
      <w:ind w:firstLine="0"/>
      <w:jc w:val="left"/>
    </w:pPr>
    <w:rPr>
      <w:rFonts w:ascii="Times New Roman" w:eastAsia="MS Mincho" w:hAnsi="Times New Roman"/>
      <w:sz w:val="20"/>
      <w:lang w:val="bg-BG" w:eastAsia="ja-JP"/>
    </w:rPr>
  </w:style>
  <w:style w:type="character" w:styleId="FootnoteReference">
    <w:name w:val="footnote reference"/>
    <w:uiPriority w:val="99"/>
    <w:semiHidden/>
    <w:rsid w:val="001B728E"/>
    <w:rPr>
      <w:vertAlign w:val="superscript"/>
    </w:rPr>
  </w:style>
  <w:style w:type="paragraph" w:styleId="NormalWeb">
    <w:name w:val="Normal (Web)"/>
    <w:basedOn w:val="Normal"/>
    <w:rsid w:val="00F97961"/>
    <w:pPr>
      <w:spacing w:before="120" w:after="100" w:afterAutospacing="1" w:line="240" w:lineRule="auto"/>
      <w:ind w:firstLine="0"/>
    </w:pPr>
    <w:rPr>
      <w:rFonts w:ascii="Times New Roman" w:hAnsi="Times New Roman"/>
      <w:szCs w:val="24"/>
      <w:lang w:val="bg-BG" w:eastAsia="bg-BG"/>
    </w:rPr>
  </w:style>
  <w:style w:type="character" w:customStyle="1" w:styleId="arrow">
    <w:name w:val="arrow"/>
    <w:basedOn w:val="DefaultParagraphFont"/>
    <w:rsid w:val="00084194"/>
  </w:style>
  <w:style w:type="character" w:customStyle="1" w:styleId="FootnoteTextChar">
    <w:name w:val="Footnote Text Char"/>
    <w:link w:val="FootnoteText"/>
    <w:uiPriority w:val="99"/>
    <w:semiHidden/>
    <w:rsid w:val="00D846D0"/>
    <w:rPr>
      <w:rFonts w:eastAsia="MS Mincho"/>
      <w:lang w:eastAsia="ja-JP"/>
    </w:rPr>
  </w:style>
  <w:style w:type="paragraph" w:styleId="ListParagraph">
    <w:name w:val="List Paragraph"/>
    <w:basedOn w:val="Normal"/>
    <w:uiPriority w:val="99"/>
    <w:qFormat/>
    <w:rsid w:val="00D846D0"/>
    <w:pPr>
      <w:ind w:left="720"/>
      <w:contextualSpacing/>
    </w:pPr>
  </w:style>
  <w:style w:type="paragraph" w:customStyle="1" w:styleId="a">
    <w:name w:val="Обикн. параграф"/>
    <w:basedOn w:val="Normal"/>
    <w:rsid w:val="0007074B"/>
    <w:pPr>
      <w:spacing w:before="120" w:after="0"/>
    </w:pPr>
    <w:rPr>
      <w:rFonts w:ascii="Times New Roman" w:hAnsi="Times New Roman"/>
      <w:lang w:val="bg-BG" w:eastAsia="bg-BG"/>
    </w:rPr>
  </w:style>
  <w:style w:type="paragraph" w:customStyle="1" w:styleId="3">
    <w:name w:val="Заглавие 3 ляво"/>
    <w:basedOn w:val="Normal"/>
    <w:next w:val="a"/>
    <w:rsid w:val="0007074B"/>
    <w:pPr>
      <w:spacing w:before="240" w:after="60"/>
      <w:ind w:firstLine="0"/>
      <w:jc w:val="left"/>
    </w:pPr>
    <w:rPr>
      <w:rFonts w:ascii="Times New Roman" w:hAnsi="Times New Roman"/>
      <w:b/>
      <w:lang w:val="bg-BG" w:eastAsia="bg-BG"/>
    </w:rPr>
  </w:style>
  <w:style w:type="character" w:styleId="CommentReference">
    <w:name w:val="annotation reference"/>
    <w:uiPriority w:val="99"/>
    <w:rsid w:val="00722928"/>
    <w:rPr>
      <w:sz w:val="16"/>
      <w:szCs w:val="16"/>
    </w:rPr>
  </w:style>
  <w:style w:type="paragraph" w:styleId="CommentText">
    <w:name w:val="annotation text"/>
    <w:basedOn w:val="Normal"/>
    <w:link w:val="CommentTextChar"/>
    <w:rsid w:val="00722928"/>
    <w:rPr>
      <w:sz w:val="20"/>
    </w:rPr>
  </w:style>
  <w:style w:type="character" w:customStyle="1" w:styleId="CommentTextChar">
    <w:name w:val="Comment Text Char"/>
    <w:link w:val="CommentText"/>
    <w:rsid w:val="00722928"/>
    <w:rPr>
      <w:rFonts w:ascii="Arial" w:hAnsi="Arial"/>
      <w:lang w:val="en-AU" w:eastAsia="en-US"/>
    </w:rPr>
  </w:style>
  <w:style w:type="paragraph" w:styleId="CommentSubject">
    <w:name w:val="annotation subject"/>
    <w:basedOn w:val="CommentText"/>
    <w:next w:val="CommentText"/>
    <w:link w:val="CommentSubjectChar"/>
    <w:rsid w:val="00722928"/>
    <w:rPr>
      <w:b/>
      <w:bCs/>
    </w:rPr>
  </w:style>
  <w:style w:type="character" w:customStyle="1" w:styleId="CommentSubjectChar">
    <w:name w:val="Comment Subject Char"/>
    <w:link w:val="CommentSubject"/>
    <w:rsid w:val="00722928"/>
    <w:rPr>
      <w:rFonts w:ascii="Arial" w:hAnsi="Arial"/>
      <w:b/>
      <w:bCs/>
      <w:lang w:val="en-AU" w:eastAsia="en-US"/>
    </w:rPr>
  </w:style>
  <w:style w:type="character" w:styleId="Hyperlink">
    <w:name w:val="Hyperlink"/>
    <w:uiPriority w:val="99"/>
    <w:unhideWhenUsed/>
    <w:rsid w:val="001305F3"/>
    <w:rPr>
      <w:strike w:val="0"/>
      <w:dstrike w:val="0"/>
      <w:color w:val="337AB7"/>
      <w:u w:val="single"/>
      <w:effect w:val="none"/>
      <w:shd w:val="clear" w:color="auto" w:fill="auto"/>
    </w:rPr>
  </w:style>
  <w:style w:type="paragraph" w:styleId="Revision">
    <w:name w:val="Revision"/>
    <w:hidden/>
    <w:uiPriority w:val="99"/>
    <w:semiHidden/>
    <w:rsid w:val="00B55708"/>
    <w:rPr>
      <w:rFonts w:ascii="Arial" w:hAnsi="Arial"/>
      <w:sz w:val="24"/>
      <w:lang w:val="en-AU" w:eastAsia="en-US"/>
    </w:rPr>
  </w:style>
  <w:style w:type="character" w:customStyle="1" w:styleId="HeaderChar">
    <w:name w:val="Header Char"/>
    <w:link w:val="Header"/>
    <w:uiPriority w:val="99"/>
    <w:rsid w:val="00EE27C8"/>
    <w:rPr>
      <w:rFonts w:ascii="Arial" w:hAnsi="Arial"/>
      <w:sz w:val="24"/>
      <w:lang w:val="en-AU" w:eastAsia="en-US"/>
    </w:rPr>
  </w:style>
  <w:style w:type="character" w:customStyle="1" w:styleId="FooterChar">
    <w:name w:val="Footer Char"/>
    <w:basedOn w:val="DefaultParagraphFont"/>
    <w:link w:val="Footer"/>
    <w:uiPriority w:val="99"/>
    <w:rsid w:val="00433948"/>
    <w:rPr>
      <w:rFonts w:ascii="Arial" w:hAnsi="Arial"/>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51244">
      <w:bodyDiv w:val="1"/>
      <w:marLeft w:val="0"/>
      <w:marRight w:val="0"/>
      <w:marTop w:val="0"/>
      <w:marBottom w:val="0"/>
      <w:divBdr>
        <w:top w:val="none" w:sz="0" w:space="0" w:color="auto"/>
        <w:left w:val="none" w:sz="0" w:space="0" w:color="auto"/>
        <w:bottom w:val="none" w:sz="0" w:space="0" w:color="auto"/>
        <w:right w:val="none" w:sz="0" w:space="0" w:color="auto"/>
      </w:divBdr>
    </w:div>
    <w:div w:id="365103405">
      <w:bodyDiv w:val="1"/>
      <w:marLeft w:val="0"/>
      <w:marRight w:val="0"/>
      <w:marTop w:val="0"/>
      <w:marBottom w:val="0"/>
      <w:divBdr>
        <w:top w:val="none" w:sz="0" w:space="0" w:color="auto"/>
        <w:left w:val="none" w:sz="0" w:space="0" w:color="auto"/>
        <w:bottom w:val="none" w:sz="0" w:space="0" w:color="auto"/>
        <w:right w:val="none" w:sz="0" w:space="0" w:color="auto"/>
      </w:divBdr>
    </w:div>
    <w:div w:id="454761486">
      <w:bodyDiv w:val="1"/>
      <w:marLeft w:val="0"/>
      <w:marRight w:val="0"/>
      <w:marTop w:val="0"/>
      <w:marBottom w:val="0"/>
      <w:divBdr>
        <w:top w:val="none" w:sz="0" w:space="0" w:color="auto"/>
        <w:left w:val="none" w:sz="0" w:space="0" w:color="auto"/>
        <w:bottom w:val="none" w:sz="0" w:space="0" w:color="auto"/>
        <w:right w:val="none" w:sz="0" w:space="0" w:color="auto"/>
      </w:divBdr>
    </w:div>
    <w:div w:id="873425881">
      <w:bodyDiv w:val="1"/>
      <w:marLeft w:val="0"/>
      <w:marRight w:val="0"/>
      <w:marTop w:val="0"/>
      <w:marBottom w:val="0"/>
      <w:divBdr>
        <w:top w:val="none" w:sz="0" w:space="0" w:color="auto"/>
        <w:left w:val="none" w:sz="0" w:space="0" w:color="auto"/>
        <w:bottom w:val="none" w:sz="0" w:space="0" w:color="auto"/>
        <w:right w:val="none" w:sz="0" w:space="0" w:color="auto"/>
      </w:divBdr>
    </w:div>
    <w:div w:id="1095858023">
      <w:bodyDiv w:val="1"/>
      <w:marLeft w:val="0"/>
      <w:marRight w:val="0"/>
      <w:marTop w:val="0"/>
      <w:marBottom w:val="0"/>
      <w:divBdr>
        <w:top w:val="none" w:sz="0" w:space="0" w:color="auto"/>
        <w:left w:val="none" w:sz="0" w:space="0" w:color="auto"/>
        <w:bottom w:val="none" w:sz="0" w:space="0" w:color="auto"/>
        <w:right w:val="none" w:sz="0" w:space="0" w:color="auto"/>
      </w:divBdr>
      <w:divsChild>
        <w:div w:id="2000426107">
          <w:marLeft w:val="0"/>
          <w:marRight w:val="0"/>
          <w:marTop w:val="0"/>
          <w:marBottom w:val="0"/>
          <w:divBdr>
            <w:top w:val="none" w:sz="0" w:space="0" w:color="auto"/>
            <w:left w:val="none" w:sz="0" w:space="0" w:color="auto"/>
            <w:bottom w:val="none" w:sz="0" w:space="0" w:color="auto"/>
            <w:right w:val="none" w:sz="0" w:space="0" w:color="auto"/>
          </w:divBdr>
          <w:divsChild>
            <w:div w:id="1800877193">
              <w:marLeft w:val="2700"/>
              <w:marRight w:val="2250"/>
              <w:marTop w:val="600"/>
              <w:marBottom w:val="0"/>
              <w:divBdr>
                <w:top w:val="none" w:sz="0" w:space="0" w:color="auto"/>
                <w:left w:val="none" w:sz="0" w:space="0" w:color="auto"/>
                <w:bottom w:val="none" w:sz="0" w:space="0" w:color="auto"/>
                <w:right w:val="none" w:sz="0" w:space="0" w:color="auto"/>
              </w:divBdr>
              <w:divsChild>
                <w:div w:id="1730378023">
                  <w:marLeft w:val="0"/>
                  <w:marRight w:val="0"/>
                  <w:marTop w:val="0"/>
                  <w:marBottom w:val="225"/>
                  <w:divBdr>
                    <w:top w:val="none" w:sz="0" w:space="0" w:color="auto"/>
                    <w:left w:val="none" w:sz="0" w:space="0" w:color="auto"/>
                    <w:bottom w:val="none" w:sz="0" w:space="0" w:color="auto"/>
                    <w:right w:val="none" w:sz="0" w:space="0" w:color="auto"/>
                  </w:divBdr>
                  <w:divsChild>
                    <w:div w:id="6458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4042">
      <w:bodyDiv w:val="1"/>
      <w:marLeft w:val="0"/>
      <w:marRight w:val="0"/>
      <w:marTop w:val="0"/>
      <w:marBottom w:val="0"/>
      <w:divBdr>
        <w:top w:val="none" w:sz="0" w:space="0" w:color="auto"/>
        <w:left w:val="none" w:sz="0" w:space="0" w:color="auto"/>
        <w:bottom w:val="none" w:sz="0" w:space="0" w:color="auto"/>
        <w:right w:val="none" w:sz="0" w:space="0" w:color="auto"/>
      </w:divBdr>
      <w:divsChild>
        <w:div w:id="1200512116">
          <w:marLeft w:val="0"/>
          <w:marRight w:val="0"/>
          <w:marTop w:val="0"/>
          <w:marBottom w:val="0"/>
          <w:divBdr>
            <w:top w:val="none" w:sz="0" w:space="0" w:color="auto"/>
            <w:left w:val="none" w:sz="0" w:space="0" w:color="auto"/>
            <w:bottom w:val="none" w:sz="0" w:space="0" w:color="auto"/>
            <w:right w:val="none" w:sz="0" w:space="0" w:color="auto"/>
          </w:divBdr>
          <w:divsChild>
            <w:div w:id="885332732">
              <w:marLeft w:val="2700"/>
              <w:marRight w:val="2250"/>
              <w:marTop w:val="600"/>
              <w:marBottom w:val="0"/>
              <w:divBdr>
                <w:top w:val="none" w:sz="0" w:space="0" w:color="auto"/>
                <w:left w:val="none" w:sz="0" w:space="0" w:color="auto"/>
                <w:bottom w:val="none" w:sz="0" w:space="0" w:color="auto"/>
                <w:right w:val="none" w:sz="0" w:space="0" w:color="auto"/>
              </w:divBdr>
              <w:divsChild>
                <w:div w:id="1662730543">
                  <w:marLeft w:val="0"/>
                  <w:marRight w:val="0"/>
                  <w:marTop w:val="0"/>
                  <w:marBottom w:val="225"/>
                  <w:divBdr>
                    <w:top w:val="none" w:sz="0" w:space="0" w:color="auto"/>
                    <w:left w:val="none" w:sz="0" w:space="0" w:color="auto"/>
                    <w:bottom w:val="none" w:sz="0" w:space="0" w:color="auto"/>
                    <w:right w:val="none" w:sz="0" w:space="0" w:color="auto"/>
                  </w:divBdr>
                  <w:divsChild>
                    <w:div w:id="517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75B7532-31C6-48B9-BCBE-C5AFFE47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7460</Words>
  <Characters>42934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2026-01-12T11:27:00Z</dcterms:created>
  <dcterms:modified xsi:type="dcterms:W3CDTF">2026-01-12T11:27:00Z</dcterms:modified>
</cp:coreProperties>
</file>