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6DC9" w14:textId="77777777" w:rsidR="00804255" w:rsidRPr="00683CAC" w:rsidRDefault="00804255">
      <w:pPr>
        <w:jc w:val="center"/>
        <w:rPr>
          <w:rFonts w:ascii="Times New Roman" w:hAnsi="Times New Roman"/>
          <w:b/>
          <w:sz w:val="28"/>
          <w:szCs w:val="28"/>
          <w:lang w:val="bg-BG"/>
        </w:rPr>
      </w:pPr>
    </w:p>
    <w:p w14:paraId="4EE791A2" w14:textId="77777777" w:rsidR="00D80E80" w:rsidRPr="00683CAC" w:rsidRDefault="00D80E80">
      <w:pPr>
        <w:jc w:val="center"/>
        <w:rPr>
          <w:rFonts w:ascii="Times New Roman" w:hAnsi="Times New Roman"/>
          <w:b/>
          <w:sz w:val="28"/>
          <w:szCs w:val="28"/>
          <w:lang w:val="bg-BG"/>
        </w:rPr>
      </w:pPr>
    </w:p>
    <w:p w14:paraId="24CAD6FC" w14:textId="77777777" w:rsidR="005033E0" w:rsidRPr="00683CAC" w:rsidRDefault="00D80E80">
      <w:pPr>
        <w:jc w:val="center"/>
        <w:rPr>
          <w:rFonts w:ascii="Arial" w:hAnsi="Arial"/>
          <w:b/>
          <w:sz w:val="28"/>
          <w:szCs w:val="28"/>
          <w:lang w:val="bg-BG"/>
        </w:rPr>
      </w:pPr>
      <w:r w:rsidRPr="00683CAC">
        <w:rPr>
          <w:rFonts w:ascii="Arial" w:hAnsi="Arial"/>
          <w:b/>
          <w:sz w:val="28"/>
          <w:szCs w:val="28"/>
          <w:lang w:val="bg-BG"/>
        </w:rPr>
        <w:t>М</w:t>
      </w:r>
      <w:r w:rsidR="005033E0" w:rsidRPr="00683CAC">
        <w:rPr>
          <w:rFonts w:ascii="Arial" w:hAnsi="Arial"/>
          <w:b/>
          <w:sz w:val="28"/>
          <w:szCs w:val="28"/>
          <w:lang w:val="bg-BG"/>
        </w:rPr>
        <w:t xml:space="preserve">  </w:t>
      </w:r>
      <w:r w:rsidRPr="00683CAC">
        <w:rPr>
          <w:rFonts w:ascii="Arial" w:hAnsi="Arial"/>
          <w:b/>
          <w:sz w:val="28"/>
          <w:szCs w:val="28"/>
          <w:lang w:val="bg-BG"/>
        </w:rPr>
        <w:t>О</w:t>
      </w:r>
      <w:r w:rsidR="005033E0" w:rsidRPr="00683CAC">
        <w:rPr>
          <w:rFonts w:ascii="Arial" w:hAnsi="Arial"/>
          <w:b/>
          <w:sz w:val="28"/>
          <w:szCs w:val="28"/>
          <w:lang w:val="bg-BG"/>
        </w:rPr>
        <w:t xml:space="preserve">  </w:t>
      </w:r>
      <w:r w:rsidRPr="00683CAC">
        <w:rPr>
          <w:rFonts w:ascii="Arial" w:hAnsi="Arial"/>
          <w:b/>
          <w:sz w:val="28"/>
          <w:szCs w:val="28"/>
          <w:lang w:val="bg-BG"/>
        </w:rPr>
        <w:t>Т</w:t>
      </w:r>
      <w:r w:rsidR="005033E0" w:rsidRPr="00683CAC">
        <w:rPr>
          <w:rFonts w:ascii="Arial" w:hAnsi="Arial"/>
          <w:b/>
          <w:sz w:val="28"/>
          <w:szCs w:val="28"/>
          <w:lang w:val="bg-BG"/>
        </w:rPr>
        <w:t xml:space="preserve">  </w:t>
      </w:r>
      <w:r w:rsidRPr="00683CAC">
        <w:rPr>
          <w:rFonts w:ascii="Arial" w:hAnsi="Arial"/>
          <w:b/>
          <w:sz w:val="28"/>
          <w:szCs w:val="28"/>
          <w:lang w:val="bg-BG"/>
        </w:rPr>
        <w:t>И</w:t>
      </w:r>
      <w:r w:rsidR="005033E0" w:rsidRPr="00683CAC">
        <w:rPr>
          <w:rFonts w:ascii="Arial" w:hAnsi="Arial"/>
          <w:b/>
          <w:sz w:val="28"/>
          <w:szCs w:val="28"/>
          <w:lang w:val="bg-BG"/>
        </w:rPr>
        <w:t xml:space="preserve">  </w:t>
      </w:r>
      <w:r w:rsidRPr="00683CAC">
        <w:rPr>
          <w:rFonts w:ascii="Arial" w:hAnsi="Arial"/>
          <w:b/>
          <w:sz w:val="28"/>
          <w:szCs w:val="28"/>
          <w:lang w:val="bg-BG"/>
        </w:rPr>
        <w:t>В</w:t>
      </w:r>
      <w:r w:rsidR="005033E0" w:rsidRPr="00683CAC">
        <w:rPr>
          <w:rFonts w:ascii="Arial" w:hAnsi="Arial"/>
          <w:b/>
          <w:sz w:val="28"/>
          <w:szCs w:val="28"/>
          <w:lang w:val="bg-BG"/>
        </w:rPr>
        <w:t xml:space="preserve">  </w:t>
      </w:r>
      <w:r w:rsidRPr="00683CAC">
        <w:rPr>
          <w:rFonts w:ascii="Arial" w:hAnsi="Arial"/>
          <w:b/>
          <w:sz w:val="28"/>
          <w:szCs w:val="28"/>
          <w:lang w:val="bg-BG"/>
        </w:rPr>
        <w:t>И</w:t>
      </w:r>
    </w:p>
    <w:p w14:paraId="14A640F0" w14:textId="77777777" w:rsidR="005033E0" w:rsidRPr="00683CAC" w:rsidRDefault="005033E0">
      <w:pPr>
        <w:jc w:val="center"/>
        <w:rPr>
          <w:rFonts w:ascii="Times New Roman" w:hAnsi="Times New Roman"/>
          <w:b/>
          <w:sz w:val="28"/>
          <w:szCs w:val="28"/>
          <w:lang w:val="bg-BG"/>
        </w:rPr>
      </w:pPr>
    </w:p>
    <w:p w14:paraId="4916044A" w14:textId="693E279E" w:rsidR="00E522E9" w:rsidRPr="00683CAC" w:rsidRDefault="00E522E9" w:rsidP="00E522E9">
      <w:pPr>
        <w:spacing w:line="288" w:lineRule="auto"/>
        <w:jc w:val="center"/>
        <w:rPr>
          <w:rFonts w:ascii="Arial" w:hAnsi="Arial" w:cs="Arial"/>
          <w:b/>
          <w:sz w:val="26"/>
          <w:szCs w:val="26"/>
          <w:lang w:val="bg-BG"/>
        </w:rPr>
      </w:pPr>
      <w:r w:rsidRPr="00683CAC">
        <w:rPr>
          <w:rFonts w:ascii="Arial" w:hAnsi="Arial" w:cs="Arial"/>
          <w:b/>
          <w:sz w:val="26"/>
          <w:szCs w:val="26"/>
          <w:lang w:val="bg-BG"/>
        </w:rPr>
        <w:t xml:space="preserve">към проекта на Закон за </w:t>
      </w:r>
      <w:r w:rsidR="007F4693">
        <w:rPr>
          <w:rFonts w:ascii="Arial" w:hAnsi="Arial" w:cs="Arial"/>
          <w:b/>
          <w:sz w:val="26"/>
          <w:szCs w:val="26"/>
          <w:lang w:val="bg-BG"/>
        </w:rPr>
        <w:t>изменение и допълнение на Закона за корпоративното подоходно облагане</w:t>
      </w:r>
    </w:p>
    <w:p w14:paraId="6CAF6133" w14:textId="77777777" w:rsidR="005033E0" w:rsidRPr="00683CAC" w:rsidRDefault="005033E0" w:rsidP="00D013AB">
      <w:pPr>
        <w:spacing w:line="288" w:lineRule="auto"/>
        <w:jc w:val="center"/>
        <w:rPr>
          <w:rFonts w:ascii="Arial" w:hAnsi="Arial" w:cs="Arial"/>
          <w:b/>
          <w:sz w:val="26"/>
          <w:szCs w:val="26"/>
          <w:lang w:val="bg-BG"/>
        </w:rPr>
      </w:pPr>
    </w:p>
    <w:p w14:paraId="1F30C4F6" w14:textId="77777777" w:rsidR="005033E0" w:rsidRPr="00683CAC" w:rsidRDefault="005033E0" w:rsidP="00D013AB">
      <w:pPr>
        <w:spacing w:line="288" w:lineRule="auto"/>
        <w:jc w:val="center"/>
        <w:rPr>
          <w:rFonts w:ascii="Arial" w:hAnsi="Arial" w:cs="Arial"/>
          <w:b/>
          <w:sz w:val="26"/>
          <w:szCs w:val="26"/>
          <w:lang w:val="bg-BG"/>
        </w:rPr>
      </w:pPr>
    </w:p>
    <w:p w14:paraId="3BCBDF96" w14:textId="77777777" w:rsidR="0081157B" w:rsidRPr="0081157B" w:rsidRDefault="0081157B" w:rsidP="0081157B">
      <w:pPr>
        <w:spacing w:before="120" w:line="288" w:lineRule="auto"/>
        <w:ind w:firstLine="1134"/>
        <w:jc w:val="both"/>
        <w:rPr>
          <w:rFonts w:ascii="Arial" w:hAnsi="Arial" w:cs="Arial"/>
          <w:b/>
          <w:sz w:val="26"/>
          <w:szCs w:val="26"/>
          <w:lang w:val="bg-BG"/>
        </w:rPr>
      </w:pPr>
      <w:r w:rsidRPr="0081157B">
        <w:rPr>
          <w:rFonts w:ascii="Arial" w:hAnsi="Arial" w:cs="Arial"/>
          <w:b/>
          <w:sz w:val="26"/>
          <w:szCs w:val="26"/>
          <w:lang w:val="bg-BG"/>
        </w:rPr>
        <w:t>1. Въвеждане на по-благоприятен режим за амортизиране за данъчни цели на електрически автомобили</w:t>
      </w:r>
    </w:p>
    <w:p w14:paraId="174D4DD1" w14:textId="77777777" w:rsidR="0081157B" w:rsidRPr="0081157B" w:rsidRDefault="0081157B" w:rsidP="0081157B">
      <w:pPr>
        <w:spacing w:before="120" w:line="288" w:lineRule="auto"/>
        <w:ind w:firstLine="1134"/>
        <w:jc w:val="both"/>
        <w:rPr>
          <w:rFonts w:ascii="Arial" w:hAnsi="Arial" w:cs="Arial"/>
          <w:b/>
          <w:sz w:val="26"/>
          <w:szCs w:val="26"/>
          <w:lang w:val="bg-BG"/>
        </w:rPr>
      </w:pPr>
    </w:p>
    <w:p w14:paraId="0BAF19FB" w14:textId="77777777" w:rsidR="0081157B" w:rsidRPr="0081157B" w:rsidRDefault="0081157B" w:rsidP="0081157B">
      <w:pPr>
        <w:numPr>
          <w:ilvl w:val="0"/>
          <w:numId w:val="2"/>
        </w:numPr>
        <w:spacing w:before="120" w:line="288" w:lineRule="auto"/>
        <w:ind w:left="0" w:firstLine="1134"/>
        <w:jc w:val="both"/>
        <w:rPr>
          <w:rFonts w:ascii="Arial" w:hAnsi="Arial" w:cs="Arial"/>
          <w:b/>
          <w:bCs/>
          <w:sz w:val="26"/>
          <w:szCs w:val="26"/>
          <w:lang w:val="bg-BG"/>
        </w:rPr>
      </w:pPr>
      <w:r w:rsidRPr="0081157B">
        <w:rPr>
          <w:rFonts w:ascii="Arial" w:hAnsi="Arial" w:cs="Arial"/>
          <w:b/>
          <w:sz w:val="26"/>
          <w:szCs w:val="26"/>
          <w:lang w:val="bg-BG"/>
        </w:rPr>
        <w:t>Причините, които налагат приемането на предложената мярка</w:t>
      </w:r>
    </w:p>
    <w:p w14:paraId="5784577F" w14:textId="26D0DAF9" w:rsidR="0081157B" w:rsidRPr="0081157B" w:rsidRDefault="0081157B" w:rsidP="0081157B">
      <w:pPr>
        <w:spacing w:before="120" w:line="288" w:lineRule="auto"/>
        <w:ind w:firstLine="1134"/>
        <w:jc w:val="both"/>
        <w:rPr>
          <w:rFonts w:ascii="Arial" w:hAnsi="Arial" w:cs="Arial"/>
          <w:bCs/>
          <w:iCs/>
          <w:sz w:val="26"/>
          <w:szCs w:val="26"/>
          <w:lang w:val="bg-BG"/>
        </w:rPr>
      </w:pPr>
      <w:r w:rsidRPr="0081157B">
        <w:rPr>
          <w:rFonts w:ascii="Arial" w:hAnsi="Arial" w:cs="Arial"/>
          <w:bCs/>
          <w:iCs/>
          <w:sz w:val="26"/>
          <w:szCs w:val="26"/>
          <w:lang w:val="bg-BG"/>
        </w:rPr>
        <w:t>Във връзка с изпълнението на Националния план за възстановяване и устойчивост (НПВУ), Реформа 5 „Електрическа мобилност“, Компонент 8 „Транспорт“</w:t>
      </w:r>
      <w:r>
        <w:rPr>
          <w:rFonts w:ascii="Arial" w:hAnsi="Arial" w:cs="Arial"/>
          <w:bCs/>
          <w:iCs/>
          <w:sz w:val="26"/>
          <w:szCs w:val="26"/>
          <w:lang w:val="bg-BG"/>
        </w:rPr>
        <w:t>,</w:t>
      </w:r>
      <w:r w:rsidRPr="0081157B">
        <w:rPr>
          <w:rFonts w:ascii="Arial" w:hAnsi="Arial" w:cs="Arial"/>
          <w:bCs/>
          <w:iCs/>
          <w:sz w:val="26"/>
          <w:szCs w:val="26"/>
          <w:lang w:val="bg-BG"/>
        </w:rPr>
        <w:t xml:space="preserve"> и по-конкретно Цел 178 от Решението за изпълнение на Съвета на Европейския съюз (CID </w:t>
      </w:r>
      <w:proofErr w:type="spellStart"/>
      <w:r w:rsidRPr="0081157B">
        <w:rPr>
          <w:rFonts w:ascii="Arial" w:hAnsi="Arial" w:cs="Arial"/>
          <w:bCs/>
          <w:iCs/>
          <w:sz w:val="26"/>
          <w:szCs w:val="26"/>
          <w:lang w:val="bg-BG"/>
        </w:rPr>
        <w:t>Annex</w:t>
      </w:r>
      <w:proofErr w:type="spellEnd"/>
      <w:r w:rsidRPr="0081157B">
        <w:rPr>
          <w:rFonts w:ascii="Arial" w:hAnsi="Arial" w:cs="Arial"/>
          <w:bCs/>
          <w:iCs/>
          <w:sz w:val="26"/>
          <w:szCs w:val="26"/>
          <w:lang w:val="bg-BG"/>
        </w:rPr>
        <w:t>), се предлагат промени в Закона за корпоративното подоходно облагане (ЗКПО), предоставящи възможност за по-благоприятен режим за амортизиране за данъчни цели на електрически автомобили, а именно годишна данъчна амортизационна норма, не по-висока от 50 на сто.</w:t>
      </w:r>
    </w:p>
    <w:p w14:paraId="0B1D8E83" w14:textId="3E6F4D4F" w:rsidR="0081157B" w:rsidRPr="0081157B" w:rsidRDefault="0081157B" w:rsidP="0081157B">
      <w:pPr>
        <w:spacing w:before="120" w:line="288" w:lineRule="auto"/>
        <w:ind w:firstLine="1134"/>
        <w:jc w:val="both"/>
        <w:rPr>
          <w:rFonts w:ascii="Arial" w:hAnsi="Arial" w:cs="Arial"/>
          <w:bCs/>
          <w:iCs/>
          <w:sz w:val="26"/>
          <w:szCs w:val="26"/>
          <w:lang w:val="bg-BG"/>
        </w:rPr>
      </w:pPr>
      <w:r w:rsidRPr="0081157B">
        <w:rPr>
          <w:rFonts w:ascii="Arial" w:hAnsi="Arial" w:cs="Arial"/>
          <w:bCs/>
          <w:iCs/>
          <w:sz w:val="26"/>
          <w:szCs w:val="26"/>
          <w:lang w:val="bg-BG"/>
        </w:rPr>
        <w:t>С оглед на последното изменение на НПВУ и постигнатата договореност с Европейската комисия годишната данъчна амортизационна норма следва да влезе в сила от 1 януари 2026 г. В противен случай съществува риск Европейската комисия да не признае изпълнението на елемента от етап №</w:t>
      </w:r>
      <w:r>
        <w:rPr>
          <w:rFonts w:ascii="Arial" w:hAnsi="Arial" w:cs="Arial"/>
          <w:bCs/>
          <w:iCs/>
          <w:sz w:val="26"/>
          <w:szCs w:val="26"/>
          <w:lang w:val="bg-BG"/>
        </w:rPr>
        <w:t xml:space="preserve"> </w:t>
      </w:r>
      <w:r w:rsidRPr="0081157B">
        <w:rPr>
          <w:rFonts w:ascii="Arial" w:hAnsi="Arial" w:cs="Arial"/>
          <w:bCs/>
          <w:iCs/>
          <w:sz w:val="26"/>
          <w:szCs w:val="26"/>
          <w:lang w:val="bg-BG"/>
        </w:rPr>
        <w:t>178, което би изложило Република България на реална опасност от налагане на финансови санкции за незадоволително изпълнение на Ключов етап №</w:t>
      </w:r>
      <w:r>
        <w:rPr>
          <w:rFonts w:ascii="Arial" w:hAnsi="Arial" w:cs="Arial"/>
          <w:bCs/>
          <w:iCs/>
          <w:sz w:val="26"/>
          <w:szCs w:val="26"/>
          <w:lang w:val="bg-BG"/>
        </w:rPr>
        <w:t xml:space="preserve"> </w:t>
      </w:r>
      <w:r w:rsidRPr="0081157B">
        <w:rPr>
          <w:rFonts w:ascii="Arial" w:hAnsi="Arial" w:cs="Arial"/>
          <w:bCs/>
          <w:iCs/>
          <w:sz w:val="26"/>
          <w:szCs w:val="26"/>
          <w:lang w:val="bg-BG"/>
        </w:rPr>
        <w:t>178 – „Електрическа мобилност“ от НПВУ.</w:t>
      </w:r>
    </w:p>
    <w:p w14:paraId="07F0F63C" w14:textId="5D6CBFC6" w:rsidR="0081157B" w:rsidRPr="0081157B" w:rsidRDefault="0081157B" w:rsidP="0081157B">
      <w:pPr>
        <w:spacing w:before="120" w:line="288" w:lineRule="auto"/>
        <w:ind w:firstLine="1134"/>
        <w:jc w:val="both"/>
        <w:rPr>
          <w:rFonts w:ascii="Arial" w:hAnsi="Arial" w:cs="Arial"/>
          <w:bCs/>
          <w:iCs/>
          <w:sz w:val="26"/>
          <w:szCs w:val="26"/>
          <w:lang w:val="bg-BG"/>
        </w:rPr>
      </w:pPr>
      <w:r w:rsidRPr="0081157B">
        <w:rPr>
          <w:rFonts w:ascii="Arial" w:hAnsi="Arial" w:cs="Arial"/>
          <w:bCs/>
          <w:iCs/>
          <w:sz w:val="26"/>
          <w:szCs w:val="26"/>
          <w:lang w:val="bg-BG"/>
        </w:rPr>
        <w:t xml:space="preserve">Изложеното обосновава и прилагането към законопроекта на </w:t>
      </w:r>
      <w:r>
        <w:rPr>
          <w:rFonts w:ascii="Arial" w:hAnsi="Arial" w:cs="Arial"/>
          <w:bCs/>
          <w:iCs/>
          <w:sz w:val="26"/>
          <w:szCs w:val="26"/>
          <w:lang w:val="bg-BG"/>
        </w:rPr>
        <w:br/>
      </w:r>
      <w:r w:rsidRPr="0081157B">
        <w:rPr>
          <w:rFonts w:ascii="Arial" w:hAnsi="Arial" w:cs="Arial"/>
          <w:bCs/>
          <w:iCs/>
          <w:sz w:val="26"/>
          <w:szCs w:val="26"/>
          <w:lang w:val="bg-BG"/>
        </w:rPr>
        <w:t>§ 1а, т. 4 от Допълнителните разпоредби на Закона за нормативните актове.</w:t>
      </w:r>
    </w:p>
    <w:p w14:paraId="42230994" w14:textId="77777777" w:rsidR="0081157B" w:rsidRPr="0081157B" w:rsidRDefault="0081157B" w:rsidP="0081157B">
      <w:pPr>
        <w:spacing w:before="120" w:line="288" w:lineRule="auto"/>
        <w:ind w:firstLine="1134"/>
        <w:jc w:val="both"/>
        <w:rPr>
          <w:rFonts w:ascii="Arial" w:hAnsi="Arial" w:cs="Arial"/>
          <w:sz w:val="26"/>
          <w:szCs w:val="26"/>
          <w:lang w:val="bg-BG"/>
        </w:rPr>
      </w:pPr>
    </w:p>
    <w:p w14:paraId="55334BEE" w14:textId="77777777" w:rsidR="0081157B" w:rsidRPr="0081157B" w:rsidRDefault="0081157B" w:rsidP="0081157B">
      <w:pPr>
        <w:numPr>
          <w:ilvl w:val="0"/>
          <w:numId w:val="1"/>
        </w:numPr>
        <w:spacing w:before="120" w:line="288" w:lineRule="auto"/>
        <w:ind w:left="0" w:firstLine="1134"/>
        <w:jc w:val="both"/>
        <w:rPr>
          <w:rFonts w:ascii="Arial" w:hAnsi="Arial" w:cs="Arial"/>
          <w:sz w:val="26"/>
          <w:szCs w:val="26"/>
          <w:lang w:val="bg-BG"/>
        </w:rPr>
      </w:pPr>
      <w:r w:rsidRPr="0081157B">
        <w:rPr>
          <w:rFonts w:ascii="Arial" w:hAnsi="Arial" w:cs="Arial"/>
          <w:b/>
          <w:bCs/>
          <w:sz w:val="26"/>
          <w:szCs w:val="26"/>
          <w:lang w:val="bg-BG"/>
        </w:rPr>
        <w:t>Целите, които се поставят</w:t>
      </w:r>
    </w:p>
    <w:p w14:paraId="2BF4C925" w14:textId="6EDF5C9C" w:rsidR="0081157B" w:rsidRPr="0081157B" w:rsidRDefault="0081157B" w:rsidP="0081157B">
      <w:pPr>
        <w:spacing w:before="120" w:line="288" w:lineRule="auto"/>
        <w:ind w:firstLine="1134"/>
        <w:jc w:val="both"/>
        <w:rPr>
          <w:rFonts w:ascii="Arial" w:hAnsi="Arial" w:cs="Arial"/>
          <w:sz w:val="26"/>
          <w:szCs w:val="26"/>
          <w:lang w:val="bg-BG"/>
        </w:rPr>
      </w:pPr>
      <w:r w:rsidRPr="0081157B">
        <w:rPr>
          <w:rFonts w:ascii="Arial" w:hAnsi="Arial" w:cs="Arial"/>
          <w:sz w:val="26"/>
          <w:szCs w:val="26"/>
          <w:lang w:val="bg-BG"/>
        </w:rPr>
        <w:t>С предложените изменения се цели постигане на по-благоприятен режим за амортизиране за данъчни цели на електрически автомобили, а именно годишна данъчна амортизационна норма, не по-</w:t>
      </w:r>
      <w:r w:rsidRPr="0081157B">
        <w:rPr>
          <w:rFonts w:ascii="Arial" w:hAnsi="Arial" w:cs="Arial"/>
          <w:sz w:val="26"/>
          <w:szCs w:val="26"/>
          <w:lang w:val="bg-BG"/>
        </w:rPr>
        <w:lastRenderedPageBreak/>
        <w:t xml:space="preserve">висока от 50 на сто. С това ще се предотврати налагането на финансови санкции от страна на Европейската комисия за незадоволително изпълнение на Цел 178. Предлага се мярката да се прилага за електрически автомобили, които са придобити на или след 1 януари </w:t>
      </w:r>
      <w:r w:rsidR="00F46E99">
        <w:rPr>
          <w:rFonts w:ascii="Arial" w:hAnsi="Arial" w:cs="Arial"/>
          <w:sz w:val="26"/>
          <w:szCs w:val="26"/>
          <w:lang w:val="bg-BG"/>
        </w:rPr>
        <w:br/>
      </w:r>
      <w:r w:rsidRPr="0081157B">
        <w:rPr>
          <w:rFonts w:ascii="Arial" w:hAnsi="Arial" w:cs="Arial"/>
          <w:sz w:val="26"/>
          <w:szCs w:val="26"/>
          <w:lang w:val="bg-BG"/>
        </w:rPr>
        <w:t>2026 г.</w:t>
      </w:r>
    </w:p>
    <w:p w14:paraId="68D5688E" w14:textId="77777777" w:rsidR="0081157B" w:rsidRPr="0081157B" w:rsidRDefault="0081157B" w:rsidP="0081157B">
      <w:pPr>
        <w:spacing w:before="120" w:line="288" w:lineRule="auto"/>
        <w:ind w:firstLine="1134"/>
        <w:jc w:val="both"/>
        <w:rPr>
          <w:rFonts w:ascii="Arial" w:hAnsi="Arial" w:cs="Arial"/>
          <w:sz w:val="26"/>
          <w:szCs w:val="26"/>
          <w:lang w:val="bg-BG"/>
        </w:rPr>
      </w:pPr>
    </w:p>
    <w:p w14:paraId="5E1900CD" w14:textId="77777777" w:rsidR="0081157B" w:rsidRPr="0081157B" w:rsidRDefault="0081157B" w:rsidP="00F46E99">
      <w:pPr>
        <w:numPr>
          <w:ilvl w:val="0"/>
          <w:numId w:val="1"/>
        </w:numPr>
        <w:spacing w:before="120" w:line="288" w:lineRule="auto"/>
        <w:ind w:left="0" w:firstLine="1134"/>
        <w:jc w:val="both"/>
        <w:rPr>
          <w:rFonts w:ascii="Arial" w:hAnsi="Arial" w:cs="Arial"/>
          <w:sz w:val="26"/>
          <w:szCs w:val="26"/>
          <w:lang w:val="bg-BG"/>
        </w:rPr>
      </w:pPr>
      <w:r w:rsidRPr="0081157B">
        <w:rPr>
          <w:rFonts w:ascii="Arial" w:hAnsi="Arial" w:cs="Arial"/>
          <w:b/>
          <w:bCs/>
          <w:sz w:val="26"/>
          <w:szCs w:val="26"/>
          <w:lang w:val="bg-BG"/>
        </w:rPr>
        <w:t>Финансовите и други средства, необходими за прилагането на новата уредба</w:t>
      </w:r>
    </w:p>
    <w:p w14:paraId="0040A3ED" w14:textId="43465292" w:rsidR="0081157B" w:rsidRPr="0081157B" w:rsidRDefault="0081157B" w:rsidP="0081157B">
      <w:pPr>
        <w:spacing w:before="120" w:line="288" w:lineRule="auto"/>
        <w:ind w:firstLine="1134"/>
        <w:jc w:val="both"/>
        <w:rPr>
          <w:rFonts w:ascii="Arial" w:hAnsi="Arial" w:cs="Arial"/>
          <w:sz w:val="26"/>
          <w:szCs w:val="26"/>
          <w:lang w:val="bg-BG"/>
        </w:rPr>
      </w:pPr>
      <w:r w:rsidRPr="0081157B">
        <w:rPr>
          <w:rFonts w:ascii="Arial" w:hAnsi="Arial" w:cs="Arial"/>
          <w:sz w:val="26"/>
          <w:szCs w:val="26"/>
          <w:lang w:val="bg-BG"/>
        </w:rPr>
        <w:t>Предложените промени не са свързани с разходи за данъчно задължените лица и не изискват допълнителни бюджетни средства за изграждане на административен капацитет и техническа обезпеченост.</w:t>
      </w:r>
    </w:p>
    <w:p w14:paraId="4ADD5A58" w14:textId="77777777" w:rsidR="0081157B" w:rsidRPr="0081157B" w:rsidRDefault="0081157B" w:rsidP="0081157B">
      <w:pPr>
        <w:spacing w:before="120" w:line="288" w:lineRule="auto"/>
        <w:ind w:firstLine="1134"/>
        <w:jc w:val="both"/>
        <w:rPr>
          <w:rFonts w:ascii="Arial" w:hAnsi="Arial" w:cs="Arial"/>
          <w:sz w:val="26"/>
          <w:szCs w:val="26"/>
          <w:lang w:val="bg-BG"/>
        </w:rPr>
      </w:pPr>
    </w:p>
    <w:p w14:paraId="28DFB1FF" w14:textId="77777777" w:rsidR="0081157B" w:rsidRPr="0081157B" w:rsidRDefault="0081157B" w:rsidP="00F46E99">
      <w:pPr>
        <w:numPr>
          <w:ilvl w:val="0"/>
          <w:numId w:val="1"/>
        </w:numPr>
        <w:spacing w:before="120" w:line="288" w:lineRule="auto"/>
        <w:ind w:left="0" w:firstLine="1134"/>
        <w:jc w:val="both"/>
        <w:rPr>
          <w:rFonts w:ascii="Arial" w:hAnsi="Arial" w:cs="Arial"/>
          <w:sz w:val="26"/>
          <w:szCs w:val="26"/>
          <w:lang w:val="bg-BG"/>
        </w:rPr>
      </w:pPr>
      <w:r w:rsidRPr="0081157B">
        <w:rPr>
          <w:rFonts w:ascii="Arial" w:hAnsi="Arial" w:cs="Arial"/>
          <w:b/>
          <w:bCs/>
          <w:sz w:val="26"/>
          <w:szCs w:val="26"/>
          <w:lang w:val="bg-BG"/>
        </w:rPr>
        <w:t>Очаквани резултати от прилагането</w:t>
      </w:r>
    </w:p>
    <w:p w14:paraId="28BC4533" w14:textId="6D4A65D8" w:rsidR="0081157B" w:rsidRPr="0081157B" w:rsidRDefault="0081157B" w:rsidP="0081157B">
      <w:pPr>
        <w:spacing w:before="120" w:line="288" w:lineRule="auto"/>
        <w:ind w:firstLine="1134"/>
        <w:jc w:val="both"/>
        <w:rPr>
          <w:rFonts w:ascii="Arial" w:hAnsi="Arial" w:cs="Arial"/>
          <w:sz w:val="26"/>
          <w:szCs w:val="26"/>
          <w:lang w:val="bg-BG"/>
        </w:rPr>
      </w:pPr>
      <w:r w:rsidRPr="0081157B">
        <w:rPr>
          <w:rFonts w:ascii="Arial" w:hAnsi="Arial" w:cs="Arial"/>
          <w:sz w:val="26"/>
          <w:szCs w:val="26"/>
          <w:lang w:val="bg-BG"/>
        </w:rPr>
        <w:t>С приемането на направените предложения се очаква да се изпълни НПВУ, Реформа 5 „Електрическа мобилност“, Компонент 8 „Транспорт“</w:t>
      </w:r>
      <w:r>
        <w:rPr>
          <w:rFonts w:ascii="Arial" w:hAnsi="Arial" w:cs="Arial"/>
          <w:sz w:val="26"/>
          <w:szCs w:val="26"/>
          <w:lang w:val="bg-BG"/>
        </w:rPr>
        <w:t>,</w:t>
      </w:r>
      <w:r w:rsidRPr="0081157B">
        <w:rPr>
          <w:rFonts w:ascii="Arial" w:hAnsi="Arial" w:cs="Arial"/>
          <w:sz w:val="26"/>
          <w:szCs w:val="26"/>
          <w:lang w:val="bg-BG"/>
        </w:rPr>
        <w:t xml:space="preserve"> и по-конкретно Цел 178 от Решението за изпълнение на Съвета на Европейския съюз (CID </w:t>
      </w:r>
      <w:proofErr w:type="spellStart"/>
      <w:r w:rsidRPr="0081157B">
        <w:rPr>
          <w:rFonts w:ascii="Arial" w:hAnsi="Arial" w:cs="Arial"/>
          <w:sz w:val="26"/>
          <w:szCs w:val="26"/>
          <w:lang w:val="bg-BG"/>
        </w:rPr>
        <w:t>Annex</w:t>
      </w:r>
      <w:proofErr w:type="spellEnd"/>
      <w:r w:rsidRPr="0081157B">
        <w:rPr>
          <w:rFonts w:ascii="Arial" w:hAnsi="Arial" w:cs="Arial"/>
          <w:sz w:val="26"/>
          <w:szCs w:val="26"/>
          <w:lang w:val="bg-BG"/>
        </w:rPr>
        <w:t>), с което ще се предотврати налагането на финансови санкции от страна на Европейската комисия за незадоволително изпълнение на Цел 178.</w:t>
      </w:r>
    </w:p>
    <w:p w14:paraId="59B78CE4" w14:textId="77777777" w:rsidR="0081157B" w:rsidRPr="0081157B" w:rsidRDefault="0081157B" w:rsidP="0081157B">
      <w:pPr>
        <w:spacing w:before="120" w:line="288" w:lineRule="auto"/>
        <w:ind w:firstLine="1134"/>
        <w:jc w:val="both"/>
        <w:rPr>
          <w:rFonts w:ascii="Arial" w:hAnsi="Arial" w:cs="Arial"/>
          <w:sz w:val="26"/>
          <w:szCs w:val="26"/>
          <w:lang w:val="bg-BG"/>
        </w:rPr>
      </w:pPr>
    </w:p>
    <w:p w14:paraId="71A4FF16" w14:textId="77777777" w:rsidR="0081157B" w:rsidRPr="0081157B" w:rsidRDefault="0081157B" w:rsidP="00F46E99">
      <w:pPr>
        <w:numPr>
          <w:ilvl w:val="0"/>
          <w:numId w:val="1"/>
        </w:numPr>
        <w:spacing w:before="120" w:line="288" w:lineRule="auto"/>
        <w:ind w:left="0" w:firstLine="1134"/>
        <w:jc w:val="both"/>
        <w:rPr>
          <w:rFonts w:ascii="Arial" w:hAnsi="Arial" w:cs="Arial"/>
          <w:b/>
          <w:bCs/>
          <w:sz w:val="26"/>
          <w:szCs w:val="26"/>
          <w:lang w:val="bg-BG"/>
        </w:rPr>
      </w:pPr>
      <w:r w:rsidRPr="0081157B">
        <w:rPr>
          <w:rFonts w:ascii="Arial" w:hAnsi="Arial" w:cs="Arial"/>
          <w:b/>
          <w:sz w:val="26"/>
          <w:szCs w:val="26"/>
          <w:lang w:val="bg-BG"/>
        </w:rPr>
        <w:t>Анализ за съответствие с правото на Европейския съюз</w:t>
      </w:r>
    </w:p>
    <w:p w14:paraId="61DADD49" w14:textId="5A320B66" w:rsidR="0081157B" w:rsidRPr="0081157B" w:rsidRDefault="0081157B" w:rsidP="0081157B">
      <w:pPr>
        <w:spacing w:before="120" w:line="288" w:lineRule="auto"/>
        <w:ind w:firstLine="1134"/>
        <w:jc w:val="both"/>
        <w:rPr>
          <w:rFonts w:ascii="Arial" w:hAnsi="Arial" w:cs="Arial"/>
          <w:sz w:val="26"/>
          <w:szCs w:val="26"/>
          <w:lang w:val="bg-BG"/>
        </w:rPr>
      </w:pPr>
      <w:r w:rsidRPr="0081157B">
        <w:rPr>
          <w:rFonts w:ascii="Arial" w:hAnsi="Arial" w:cs="Arial"/>
          <w:sz w:val="26"/>
          <w:szCs w:val="26"/>
          <w:lang w:val="bg-BG"/>
        </w:rPr>
        <w:t xml:space="preserve">Направените предложения не съдържат разпоредби, произтичащи от актове на Европейския съюз. Предложението не противоречи на основните принципи и разпоредби на правото на Европейския съюз. Мярката не подлежи на нотификация по реда на Директива (ЕС) 2015/1535 на Европейския парламент и на Съвета от </w:t>
      </w:r>
      <w:r w:rsidR="009D2BCB">
        <w:rPr>
          <w:rFonts w:ascii="Arial" w:hAnsi="Arial" w:cs="Arial"/>
          <w:sz w:val="26"/>
          <w:szCs w:val="26"/>
          <w:lang w:val="bg-BG"/>
        </w:rPr>
        <w:br/>
      </w:r>
      <w:r w:rsidRPr="0081157B">
        <w:rPr>
          <w:rFonts w:ascii="Arial" w:hAnsi="Arial" w:cs="Arial"/>
          <w:sz w:val="26"/>
          <w:szCs w:val="26"/>
          <w:lang w:val="bg-BG"/>
        </w:rPr>
        <w:t>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246821BF" w14:textId="77777777" w:rsidR="0081157B" w:rsidRPr="0081157B" w:rsidRDefault="0081157B" w:rsidP="0081157B">
      <w:pPr>
        <w:spacing w:before="120" w:line="288" w:lineRule="auto"/>
        <w:ind w:firstLine="1134"/>
        <w:jc w:val="both"/>
        <w:rPr>
          <w:rFonts w:ascii="Arial" w:hAnsi="Arial" w:cs="Arial"/>
          <w:sz w:val="26"/>
          <w:szCs w:val="26"/>
          <w:lang w:val="bg-BG"/>
        </w:rPr>
      </w:pPr>
    </w:p>
    <w:p w14:paraId="49E36943" w14:textId="77777777" w:rsidR="0081157B" w:rsidRPr="0081157B" w:rsidRDefault="0081157B" w:rsidP="0081157B">
      <w:pPr>
        <w:spacing w:before="120" w:line="288" w:lineRule="auto"/>
        <w:ind w:firstLine="1134"/>
        <w:jc w:val="both"/>
        <w:rPr>
          <w:rFonts w:ascii="Arial" w:hAnsi="Arial" w:cs="Arial"/>
          <w:b/>
          <w:sz w:val="26"/>
          <w:szCs w:val="26"/>
          <w:lang w:val="bg-BG"/>
        </w:rPr>
      </w:pPr>
      <w:r w:rsidRPr="0081157B">
        <w:rPr>
          <w:rFonts w:ascii="Arial" w:hAnsi="Arial" w:cs="Arial"/>
          <w:b/>
          <w:sz w:val="26"/>
          <w:szCs w:val="26"/>
          <w:lang w:val="bg-BG"/>
        </w:rPr>
        <w:t xml:space="preserve">2. </w:t>
      </w:r>
      <w:r w:rsidRPr="0081157B">
        <w:rPr>
          <w:rFonts w:ascii="Arial" w:hAnsi="Arial" w:cs="Arial"/>
          <w:b/>
          <w:bCs/>
          <w:iCs/>
          <w:sz w:val="26"/>
          <w:szCs w:val="26"/>
          <w:lang w:val="bg-BG"/>
        </w:rPr>
        <w:t>Въвеждане на данъчно облекчение при извършване на научноизследователска и развойна дейност (НИРД)</w:t>
      </w:r>
    </w:p>
    <w:p w14:paraId="344A171E" w14:textId="77777777" w:rsidR="0081157B" w:rsidRPr="0081157B" w:rsidRDefault="0081157B" w:rsidP="0081157B">
      <w:pPr>
        <w:spacing w:before="120" w:line="288" w:lineRule="auto"/>
        <w:ind w:firstLine="1134"/>
        <w:jc w:val="both"/>
        <w:rPr>
          <w:rFonts w:ascii="Arial" w:hAnsi="Arial" w:cs="Arial"/>
          <w:b/>
          <w:sz w:val="26"/>
          <w:szCs w:val="26"/>
          <w:lang w:val="bg-BG"/>
        </w:rPr>
      </w:pPr>
    </w:p>
    <w:p w14:paraId="1965A355" w14:textId="77777777" w:rsidR="0081157B" w:rsidRPr="0081157B" w:rsidRDefault="0081157B" w:rsidP="00F46E99">
      <w:pPr>
        <w:numPr>
          <w:ilvl w:val="0"/>
          <w:numId w:val="2"/>
        </w:numPr>
        <w:spacing w:before="120" w:line="288" w:lineRule="auto"/>
        <w:ind w:left="0" w:firstLine="1134"/>
        <w:jc w:val="both"/>
        <w:rPr>
          <w:rFonts w:ascii="Arial" w:hAnsi="Arial" w:cs="Arial"/>
          <w:b/>
          <w:bCs/>
          <w:sz w:val="26"/>
          <w:szCs w:val="26"/>
          <w:lang w:val="bg-BG"/>
        </w:rPr>
      </w:pPr>
      <w:r w:rsidRPr="0081157B">
        <w:rPr>
          <w:rFonts w:ascii="Arial" w:hAnsi="Arial" w:cs="Arial"/>
          <w:b/>
          <w:sz w:val="26"/>
          <w:szCs w:val="26"/>
          <w:lang w:val="bg-BG"/>
        </w:rPr>
        <w:lastRenderedPageBreak/>
        <w:t>Причините, които налагат приемането на предложената мярка</w:t>
      </w:r>
    </w:p>
    <w:p w14:paraId="6B37A7A7" w14:textId="2F7BC233" w:rsidR="0081157B" w:rsidRPr="0081157B" w:rsidRDefault="0081157B" w:rsidP="0081157B">
      <w:pPr>
        <w:spacing w:before="120" w:line="288" w:lineRule="auto"/>
        <w:ind w:firstLine="1134"/>
        <w:jc w:val="both"/>
        <w:rPr>
          <w:rFonts w:ascii="Arial" w:hAnsi="Arial" w:cs="Arial"/>
          <w:bCs/>
          <w:sz w:val="26"/>
          <w:szCs w:val="26"/>
          <w:lang w:val="bg-BG"/>
        </w:rPr>
      </w:pPr>
      <w:r w:rsidRPr="0081157B">
        <w:rPr>
          <w:rFonts w:ascii="Arial" w:hAnsi="Arial" w:cs="Arial"/>
          <w:bCs/>
          <w:iCs/>
          <w:sz w:val="26"/>
          <w:szCs w:val="26"/>
          <w:lang w:val="bg-BG"/>
        </w:rPr>
        <w:t>Предложено е въвеждане на данъчно облекчение при извършване на научноизследователска и развойна дейност, при което на данъчно задължените лица, извършващи НИРД, ще бъдат признати за данъчни цели допълнително 25 на сто от разходите им за НИРД, в годината на отчитането им, когато са изпълнени определени условия. В случай че в резултат на развойна дейност бъде формиран дълготраен нематериален актив, се предлага данъчно задълженото лице да има право да увеличи с 25 на сто разходите за развойна дейност</w:t>
      </w:r>
      <w:r w:rsidR="009E1628">
        <w:rPr>
          <w:rFonts w:ascii="Arial" w:hAnsi="Arial" w:cs="Arial"/>
          <w:bCs/>
          <w:iCs/>
          <w:sz w:val="26"/>
          <w:szCs w:val="26"/>
          <w:lang w:val="bg-BG"/>
        </w:rPr>
        <w:t>,</w:t>
      </w:r>
      <w:r w:rsidRPr="0081157B">
        <w:rPr>
          <w:rFonts w:ascii="Arial" w:hAnsi="Arial" w:cs="Arial"/>
          <w:bCs/>
          <w:iCs/>
          <w:sz w:val="26"/>
          <w:szCs w:val="26"/>
          <w:lang w:val="bg-BG"/>
        </w:rPr>
        <w:t xml:space="preserve"> включени в историческата цена на този актив.</w:t>
      </w:r>
    </w:p>
    <w:p w14:paraId="51279F36" w14:textId="77777777" w:rsidR="0081157B" w:rsidRPr="0081157B" w:rsidRDefault="0081157B" w:rsidP="0081157B">
      <w:pPr>
        <w:spacing w:before="120" w:line="288" w:lineRule="auto"/>
        <w:ind w:firstLine="1134"/>
        <w:jc w:val="both"/>
        <w:rPr>
          <w:rFonts w:ascii="Arial" w:hAnsi="Arial" w:cs="Arial"/>
          <w:sz w:val="26"/>
          <w:szCs w:val="26"/>
          <w:lang w:val="bg-BG"/>
        </w:rPr>
      </w:pPr>
    </w:p>
    <w:p w14:paraId="7813CA08" w14:textId="77777777" w:rsidR="0081157B" w:rsidRPr="0081157B" w:rsidRDefault="0081157B" w:rsidP="00D16D4C">
      <w:pPr>
        <w:numPr>
          <w:ilvl w:val="0"/>
          <w:numId w:val="1"/>
        </w:numPr>
        <w:spacing w:before="120" w:line="288" w:lineRule="auto"/>
        <w:ind w:left="0" w:firstLine="1134"/>
        <w:jc w:val="both"/>
        <w:rPr>
          <w:rFonts w:ascii="Arial" w:hAnsi="Arial" w:cs="Arial"/>
          <w:sz w:val="26"/>
          <w:szCs w:val="26"/>
          <w:lang w:val="bg-BG"/>
        </w:rPr>
      </w:pPr>
      <w:r w:rsidRPr="0081157B">
        <w:rPr>
          <w:rFonts w:ascii="Arial" w:hAnsi="Arial" w:cs="Arial"/>
          <w:b/>
          <w:bCs/>
          <w:sz w:val="26"/>
          <w:szCs w:val="26"/>
          <w:lang w:val="bg-BG"/>
        </w:rPr>
        <w:t>Целите, които се поставят</w:t>
      </w:r>
    </w:p>
    <w:p w14:paraId="2A3A98EE" w14:textId="77777777" w:rsidR="0081157B" w:rsidRPr="0081157B" w:rsidRDefault="0081157B" w:rsidP="0081157B">
      <w:pPr>
        <w:spacing w:before="120" w:line="288" w:lineRule="auto"/>
        <w:ind w:firstLine="1134"/>
        <w:jc w:val="both"/>
        <w:rPr>
          <w:rFonts w:ascii="Arial" w:hAnsi="Arial" w:cs="Arial"/>
          <w:sz w:val="26"/>
          <w:szCs w:val="26"/>
          <w:lang w:val="bg-BG"/>
        </w:rPr>
      </w:pPr>
      <w:r w:rsidRPr="0081157B">
        <w:rPr>
          <w:rFonts w:ascii="Arial" w:hAnsi="Arial" w:cs="Arial"/>
          <w:sz w:val="26"/>
          <w:szCs w:val="26"/>
          <w:lang w:val="bg-BG"/>
        </w:rPr>
        <w:t>Целта на предложението е да стимулира компаниите да инвестират повече в иновации и нови технологии, което се очаква да доведе до повишаване на конкурентоспособността на бизнеса и до ускоряване на трансфера на знания към реалната икономика. Подобни мерки подпомагат създаването на висококвалифицирани работни места и насърчават предприемаческата активност, което в дългосрочен план води до по-висока производителност, устойчив икономически растеж и подобряване на международната позиция и престиж на страната.</w:t>
      </w:r>
    </w:p>
    <w:p w14:paraId="2509BE66" w14:textId="77777777" w:rsidR="0081157B" w:rsidRPr="0081157B" w:rsidRDefault="0081157B" w:rsidP="0081157B">
      <w:pPr>
        <w:spacing w:before="120" w:line="288" w:lineRule="auto"/>
        <w:ind w:firstLine="1134"/>
        <w:jc w:val="both"/>
        <w:rPr>
          <w:rFonts w:ascii="Arial" w:hAnsi="Arial" w:cs="Arial"/>
          <w:sz w:val="26"/>
          <w:szCs w:val="26"/>
          <w:lang w:val="bg-BG"/>
        </w:rPr>
      </w:pPr>
    </w:p>
    <w:p w14:paraId="01DA2407" w14:textId="77777777" w:rsidR="0081157B" w:rsidRPr="0081157B" w:rsidRDefault="0081157B" w:rsidP="00D16D4C">
      <w:pPr>
        <w:numPr>
          <w:ilvl w:val="0"/>
          <w:numId w:val="1"/>
        </w:numPr>
        <w:spacing w:before="120" w:line="288" w:lineRule="auto"/>
        <w:ind w:left="0" w:firstLine="1134"/>
        <w:jc w:val="both"/>
        <w:rPr>
          <w:rFonts w:ascii="Arial" w:hAnsi="Arial" w:cs="Arial"/>
          <w:sz w:val="26"/>
          <w:szCs w:val="26"/>
          <w:lang w:val="bg-BG"/>
        </w:rPr>
      </w:pPr>
      <w:r w:rsidRPr="0081157B">
        <w:rPr>
          <w:rFonts w:ascii="Arial" w:hAnsi="Arial" w:cs="Arial"/>
          <w:b/>
          <w:bCs/>
          <w:sz w:val="26"/>
          <w:szCs w:val="26"/>
          <w:lang w:val="bg-BG"/>
        </w:rPr>
        <w:t>Финансовите и други средства, необходими за прилагането на новата уредба</w:t>
      </w:r>
    </w:p>
    <w:p w14:paraId="28A4D345" w14:textId="77777777" w:rsidR="0081157B" w:rsidRPr="0081157B" w:rsidRDefault="0081157B" w:rsidP="0081157B">
      <w:pPr>
        <w:spacing w:before="120" w:line="288" w:lineRule="auto"/>
        <w:ind w:firstLine="1134"/>
        <w:jc w:val="both"/>
        <w:rPr>
          <w:rFonts w:ascii="Arial" w:hAnsi="Arial" w:cs="Arial"/>
          <w:sz w:val="26"/>
          <w:szCs w:val="26"/>
          <w:lang w:val="bg-BG"/>
        </w:rPr>
      </w:pPr>
      <w:r w:rsidRPr="0081157B">
        <w:rPr>
          <w:rFonts w:ascii="Arial" w:hAnsi="Arial" w:cs="Arial"/>
          <w:sz w:val="26"/>
          <w:szCs w:val="26"/>
          <w:lang w:val="bg-BG"/>
        </w:rPr>
        <w:t>Промените, които се предвиждат, не са свързани с допълнителни разходи за данъчно задължените лица и за прилагането им не са необходими допълнителни бюджетни средства.</w:t>
      </w:r>
    </w:p>
    <w:p w14:paraId="5649D6C8" w14:textId="77777777" w:rsidR="0081157B" w:rsidRPr="0081157B" w:rsidRDefault="0081157B" w:rsidP="0081157B">
      <w:pPr>
        <w:spacing w:before="120" w:line="288" w:lineRule="auto"/>
        <w:ind w:firstLine="1134"/>
        <w:jc w:val="both"/>
        <w:rPr>
          <w:rFonts w:ascii="Arial" w:hAnsi="Arial" w:cs="Arial"/>
          <w:sz w:val="26"/>
          <w:szCs w:val="26"/>
          <w:lang w:val="bg-BG"/>
        </w:rPr>
      </w:pPr>
    </w:p>
    <w:p w14:paraId="69C1A9E5" w14:textId="77777777" w:rsidR="0081157B" w:rsidRPr="0081157B" w:rsidRDefault="0081157B" w:rsidP="00D16D4C">
      <w:pPr>
        <w:numPr>
          <w:ilvl w:val="0"/>
          <w:numId w:val="1"/>
        </w:numPr>
        <w:spacing w:before="120" w:line="288" w:lineRule="auto"/>
        <w:ind w:left="0" w:firstLine="1134"/>
        <w:jc w:val="both"/>
        <w:rPr>
          <w:rFonts w:ascii="Arial" w:hAnsi="Arial" w:cs="Arial"/>
          <w:sz w:val="26"/>
          <w:szCs w:val="26"/>
          <w:lang w:val="bg-BG"/>
        </w:rPr>
      </w:pPr>
      <w:r w:rsidRPr="0081157B">
        <w:rPr>
          <w:rFonts w:ascii="Arial" w:hAnsi="Arial" w:cs="Arial"/>
          <w:b/>
          <w:bCs/>
          <w:sz w:val="26"/>
          <w:szCs w:val="26"/>
          <w:lang w:val="bg-BG"/>
        </w:rPr>
        <w:t>Очаквани резултати от прилагането</w:t>
      </w:r>
    </w:p>
    <w:p w14:paraId="459F9DF8" w14:textId="77777777" w:rsidR="0081157B" w:rsidRPr="0081157B" w:rsidRDefault="0081157B" w:rsidP="0081157B">
      <w:pPr>
        <w:spacing w:before="120" w:line="288" w:lineRule="auto"/>
        <w:ind w:firstLine="1134"/>
        <w:jc w:val="both"/>
        <w:rPr>
          <w:rFonts w:ascii="Arial" w:hAnsi="Arial" w:cs="Arial"/>
          <w:sz w:val="26"/>
          <w:szCs w:val="26"/>
          <w:lang w:val="bg-BG"/>
        </w:rPr>
      </w:pPr>
      <w:r w:rsidRPr="0081157B">
        <w:rPr>
          <w:rFonts w:ascii="Arial" w:hAnsi="Arial" w:cs="Arial"/>
          <w:sz w:val="26"/>
          <w:szCs w:val="26"/>
          <w:lang w:val="bg-BG"/>
        </w:rPr>
        <w:t>Повишаване на инвестициите в НИРД, ускоряване на внедряването на нови технологии и продукти в производството и услугите, повишаване на конкурентоспособността на българската икономика и интегрирането ѝ в европейските вериги с висока добавена стойност, по-добра предвидимост и сигурност за бизнеса при планиране на иновационни проекти.</w:t>
      </w:r>
    </w:p>
    <w:p w14:paraId="177BFC87" w14:textId="77777777" w:rsidR="0081157B" w:rsidRPr="0081157B" w:rsidRDefault="0081157B" w:rsidP="0081157B">
      <w:pPr>
        <w:spacing w:before="120" w:line="288" w:lineRule="auto"/>
        <w:ind w:firstLine="1134"/>
        <w:jc w:val="both"/>
        <w:rPr>
          <w:rFonts w:ascii="Arial" w:hAnsi="Arial" w:cs="Arial"/>
          <w:sz w:val="26"/>
          <w:szCs w:val="26"/>
          <w:lang w:val="bg-BG"/>
        </w:rPr>
      </w:pPr>
    </w:p>
    <w:p w14:paraId="0A937AD2" w14:textId="77777777" w:rsidR="0081157B" w:rsidRPr="0081157B" w:rsidRDefault="0081157B" w:rsidP="00D16D4C">
      <w:pPr>
        <w:numPr>
          <w:ilvl w:val="0"/>
          <w:numId w:val="1"/>
        </w:numPr>
        <w:spacing w:before="120" w:line="288" w:lineRule="auto"/>
        <w:ind w:left="0" w:firstLine="1134"/>
        <w:jc w:val="both"/>
        <w:rPr>
          <w:rFonts w:ascii="Arial" w:hAnsi="Arial" w:cs="Arial"/>
          <w:b/>
          <w:bCs/>
          <w:sz w:val="26"/>
          <w:szCs w:val="26"/>
          <w:lang w:val="bg-BG"/>
        </w:rPr>
      </w:pPr>
      <w:r w:rsidRPr="0081157B">
        <w:rPr>
          <w:rFonts w:ascii="Arial" w:hAnsi="Arial" w:cs="Arial"/>
          <w:b/>
          <w:sz w:val="26"/>
          <w:szCs w:val="26"/>
          <w:lang w:val="bg-BG"/>
        </w:rPr>
        <w:t>Анализ за съответствие с правото на Европейския съюз</w:t>
      </w:r>
    </w:p>
    <w:p w14:paraId="56DB9178" w14:textId="740680A6" w:rsidR="0081157B" w:rsidRPr="0081157B" w:rsidRDefault="0081157B" w:rsidP="0081157B">
      <w:pPr>
        <w:spacing w:before="120" w:line="288" w:lineRule="auto"/>
        <w:ind w:firstLine="1134"/>
        <w:jc w:val="both"/>
        <w:rPr>
          <w:rFonts w:ascii="Arial" w:hAnsi="Arial" w:cs="Arial"/>
          <w:sz w:val="26"/>
          <w:szCs w:val="26"/>
          <w:lang w:val="bg-BG"/>
        </w:rPr>
      </w:pPr>
      <w:r w:rsidRPr="0081157B">
        <w:rPr>
          <w:rFonts w:ascii="Arial" w:hAnsi="Arial" w:cs="Arial"/>
          <w:sz w:val="26"/>
          <w:szCs w:val="26"/>
          <w:lang w:val="bg-BG"/>
        </w:rPr>
        <w:t xml:space="preserve">Направеното предложение не съдържа разпоредби, произтичащи от актове на Европейския съюз. Предложението не противоречи на основните принципи и разпоредби на правото на Европейския съюз. Мярката не подлежи на нотификация по реда на Директива (ЕС) 2015/1535 на Европейския парламент и на Съвета от </w:t>
      </w:r>
      <w:r w:rsidR="00FD4459">
        <w:rPr>
          <w:rFonts w:ascii="Arial" w:hAnsi="Arial" w:cs="Arial"/>
          <w:sz w:val="26"/>
          <w:szCs w:val="26"/>
          <w:lang w:val="bg-BG"/>
        </w:rPr>
        <w:br/>
      </w:r>
      <w:r w:rsidRPr="0081157B">
        <w:rPr>
          <w:rFonts w:ascii="Arial" w:hAnsi="Arial" w:cs="Arial"/>
          <w:sz w:val="26"/>
          <w:szCs w:val="26"/>
          <w:lang w:val="bg-BG"/>
        </w:rPr>
        <w:t>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406897DD" w14:textId="77777777" w:rsidR="0081157B" w:rsidRPr="0081157B" w:rsidRDefault="0081157B" w:rsidP="0081157B">
      <w:pPr>
        <w:spacing w:before="120" w:line="288" w:lineRule="auto"/>
        <w:ind w:firstLine="1134"/>
        <w:jc w:val="both"/>
        <w:rPr>
          <w:rFonts w:ascii="Arial" w:hAnsi="Arial" w:cs="Arial"/>
          <w:sz w:val="26"/>
          <w:szCs w:val="26"/>
          <w:lang w:val="bg-BG"/>
        </w:rPr>
      </w:pPr>
    </w:p>
    <w:p w14:paraId="0796C903" w14:textId="206F35AA" w:rsidR="0081157B" w:rsidRPr="0081157B" w:rsidRDefault="0081157B" w:rsidP="0081157B">
      <w:pPr>
        <w:spacing w:before="120" w:line="288" w:lineRule="auto"/>
        <w:ind w:firstLine="1134"/>
        <w:jc w:val="both"/>
        <w:rPr>
          <w:rFonts w:ascii="Arial" w:hAnsi="Arial" w:cs="Arial"/>
          <w:b/>
          <w:sz w:val="26"/>
          <w:szCs w:val="26"/>
          <w:lang w:val="bg-BG"/>
        </w:rPr>
      </w:pPr>
      <w:r w:rsidRPr="0081157B">
        <w:rPr>
          <w:rFonts w:ascii="Arial" w:hAnsi="Arial" w:cs="Arial"/>
          <w:b/>
          <w:sz w:val="26"/>
          <w:szCs w:val="26"/>
          <w:lang w:val="bg-BG"/>
        </w:rPr>
        <w:t>3. Въвеждане на освобождаване от облагане на доходите от наем или друго предоставяне за ползване на недвижимо имущество, намиращо се в страната, на организациите на вероизповеданията</w:t>
      </w:r>
    </w:p>
    <w:p w14:paraId="3EAA35C2" w14:textId="77777777" w:rsidR="0081157B" w:rsidRPr="0081157B" w:rsidRDefault="0081157B" w:rsidP="0081157B">
      <w:pPr>
        <w:spacing w:before="120" w:line="288" w:lineRule="auto"/>
        <w:ind w:firstLine="1134"/>
        <w:jc w:val="both"/>
        <w:rPr>
          <w:rFonts w:ascii="Arial" w:hAnsi="Arial" w:cs="Arial"/>
          <w:sz w:val="26"/>
          <w:szCs w:val="26"/>
          <w:lang w:val="bg-BG"/>
        </w:rPr>
      </w:pPr>
    </w:p>
    <w:p w14:paraId="22DD19C3" w14:textId="77777777" w:rsidR="0081157B" w:rsidRPr="0081157B" w:rsidRDefault="0081157B" w:rsidP="008852EE">
      <w:pPr>
        <w:numPr>
          <w:ilvl w:val="0"/>
          <w:numId w:val="2"/>
        </w:numPr>
        <w:spacing w:before="120" w:line="288" w:lineRule="auto"/>
        <w:ind w:left="0" w:firstLine="1134"/>
        <w:jc w:val="both"/>
        <w:rPr>
          <w:rFonts w:ascii="Arial" w:hAnsi="Arial" w:cs="Arial"/>
          <w:b/>
          <w:bCs/>
          <w:sz w:val="26"/>
          <w:szCs w:val="26"/>
          <w:lang w:val="bg-BG"/>
        </w:rPr>
      </w:pPr>
      <w:r w:rsidRPr="0081157B">
        <w:rPr>
          <w:rFonts w:ascii="Arial" w:hAnsi="Arial" w:cs="Arial"/>
          <w:b/>
          <w:sz w:val="26"/>
          <w:szCs w:val="26"/>
          <w:lang w:val="bg-BG"/>
        </w:rPr>
        <w:t>Причините, които налагат приемането на предложената мярка</w:t>
      </w:r>
    </w:p>
    <w:p w14:paraId="17320FDB" w14:textId="77777777" w:rsidR="0081157B" w:rsidRPr="0081157B" w:rsidRDefault="0081157B" w:rsidP="0081157B">
      <w:pPr>
        <w:spacing w:before="120" w:line="288" w:lineRule="auto"/>
        <w:ind w:firstLine="1134"/>
        <w:jc w:val="both"/>
        <w:rPr>
          <w:rFonts w:ascii="Arial" w:hAnsi="Arial" w:cs="Arial"/>
          <w:bCs/>
          <w:iCs/>
          <w:sz w:val="26"/>
          <w:szCs w:val="26"/>
          <w:lang w:val="bg-BG"/>
        </w:rPr>
      </w:pPr>
      <w:r w:rsidRPr="0081157B">
        <w:rPr>
          <w:rFonts w:ascii="Arial" w:hAnsi="Arial" w:cs="Arial"/>
          <w:bCs/>
          <w:iCs/>
          <w:sz w:val="26"/>
          <w:szCs w:val="26"/>
          <w:lang w:val="bg-BG"/>
        </w:rPr>
        <w:t>Основната дейност на организациите на вероизповеданията, регистрирани съгласно Закона за вероизповеданията, е насочена към изпълнение на религиозни и свързани с тях социални функции, а не към реализиране на печалба. Част от тези организации притежават недвижимо имущество, което в редица случаи не се използва пряко за богослужебна дейност, но доходите от отдаване под наем или друго предоставяне за ползване на такова имущество представляват допълнителен източник на средства за финансиране на основната им нестопанска дейност. Облагането на тези доходи създава финансова тежест за вероизповеданията и ограничава възможностите им да осъществяват общественополезната си мисия. Предвид това се предлага освобождаване от облагане на доходите от наем или друго предоставяне за ползване на недвижимо имущество, включително идеална част от недвижимо имущество, намиращо се в страната, на организациите на вероизповеданията.</w:t>
      </w:r>
    </w:p>
    <w:p w14:paraId="7696F901" w14:textId="77777777" w:rsidR="0081157B" w:rsidRDefault="0081157B" w:rsidP="0081157B">
      <w:pPr>
        <w:spacing w:before="120" w:line="288" w:lineRule="auto"/>
        <w:ind w:firstLine="1134"/>
        <w:jc w:val="both"/>
        <w:rPr>
          <w:rFonts w:ascii="Arial" w:hAnsi="Arial" w:cs="Arial"/>
          <w:sz w:val="26"/>
          <w:szCs w:val="26"/>
          <w:lang w:val="bg-BG"/>
        </w:rPr>
      </w:pPr>
    </w:p>
    <w:p w14:paraId="582D1C0C" w14:textId="77777777" w:rsidR="001A4540" w:rsidRDefault="001A4540" w:rsidP="0081157B">
      <w:pPr>
        <w:spacing w:before="120" w:line="288" w:lineRule="auto"/>
        <w:ind w:firstLine="1134"/>
        <w:jc w:val="both"/>
        <w:rPr>
          <w:rFonts w:ascii="Arial" w:hAnsi="Arial" w:cs="Arial"/>
          <w:sz w:val="26"/>
          <w:szCs w:val="26"/>
          <w:lang w:val="bg-BG"/>
        </w:rPr>
      </w:pPr>
    </w:p>
    <w:p w14:paraId="0CE794C0" w14:textId="77777777" w:rsidR="001A4540" w:rsidRPr="0081157B" w:rsidRDefault="001A4540" w:rsidP="0081157B">
      <w:pPr>
        <w:spacing w:before="120" w:line="288" w:lineRule="auto"/>
        <w:ind w:firstLine="1134"/>
        <w:jc w:val="both"/>
        <w:rPr>
          <w:rFonts w:ascii="Arial" w:hAnsi="Arial" w:cs="Arial"/>
          <w:sz w:val="26"/>
          <w:szCs w:val="26"/>
          <w:lang w:val="bg-BG"/>
        </w:rPr>
      </w:pPr>
    </w:p>
    <w:p w14:paraId="18DBA143" w14:textId="77777777" w:rsidR="0081157B" w:rsidRPr="0081157B" w:rsidRDefault="0081157B" w:rsidP="008852EE">
      <w:pPr>
        <w:numPr>
          <w:ilvl w:val="0"/>
          <w:numId w:val="1"/>
        </w:numPr>
        <w:spacing w:before="120" w:line="288" w:lineRule="auto"/>
        <w:ind w:left="0" w:firstLine="1134"/>
        <w:jc w:val="both"/>
        <w:rPr>
          <w:rFonts w:ascii="Arial" w:hAnsi="Arial" w:cs="Arial"/>
          <w:sz w:val="26"/>
          <w:szCs w:val="26"/>
          <w:lang w:val="bg-BG"/>
        </w:rPr>
      </w:pPr>
      <w:r w:rsidRPr="0081157B">
        <w:rPr>
          <w:rFonts w:ascii="Arial" w:hAnsi="Arial" w:cs="Arial"/>
          <w:b/>
          <w:bCs/>
          <w:sz w:val="26"/>
          <w:szCs w:val="26"/>
          <w:lang w:val="bg-BG"/>
        </w:rPr>
        <w:lastRenderedPageBreak/>
        <w:t>Целите, които се поставят</w:t>
      </w:r>
    </w:p>
    <w:p w14:paraId="3CC65198" w14:textId="14CAF391" w:rsidR="0081157B" w:rsidRPr="0081157B" w:rsidRDefault="0081157B" w:rsidP="0081157B">
      <w:pPr>
        <w:spacing w:before="120" w:line="288" w:lineRule="auto"/>
        <w:ind w:firstLine="1134"/>
        <w:jc w:val="both"/>
        <w:rPr>
          <w:rFonts w:ascii="Arial" w:hAnsi="Arial" w:cs="Arial"/>
          <w:sz w:val="26"/>
          <w:szCs w:val="26"/>
          <w:lang w:val="bg-BG"/>
        </w:rPr>
      </w:pPr>
      <w:r w:rsidRPr="0081157B">
        <w:rPr>
          <w:rFonts w:ascii="Arial" w:hAnsi="Arial" w:cs="Arial"/>
          <w:sz w:val="26"/>
          <w:szCs w:val="26"/>
          <w:lang w:val="bg-BG"/>
        </w:rPr>
        <w:t>Целта на предложението е да се създаде по-благоприятен данъчен режим за организациите на вероизповеданията чрез освобождаване от облагане на доходите от наем или друго предоставяне за ползване на недвижимо имущество, включително идеални части от недвижимо имущество, намиращо се на територията на страната. По този начин ще се подкрепи дейността на вероизповеданията като институции с общественополезни функции.</w:t>
      </w:r>
    </w:p>
    <w:p w14:paraId="1F350E49" w14:textId="77777777" w:rsidR="0081157B" w:rsidRPr="0081157B" w:rsidRDefault="0081157B" w:rsidP="0081157B">
      <w:pPr>
        <w:spacing w:before="120" w:line="288" w:lineRule="auto"/>
        <w:ind w:firstLine="1134"/>
        <w:jc w:val="both"/>
        <w:rPr>
          <w:rFonts w:ascii="Arial" w:hAnsi="Arial" w:cs="Arial"/>
          <w:sz w:val="26"/>
          <w:szCs w:val="26"/>
          <w:lang w:val="bg-BG"/>
        </w:rPr>
      </w:pPr>
    </w:p>
    <w:p w14:paraId="5171C6BB" w14:textId="77777777" w:rsidR="0081157B" w:rsidRPr="0081157B" w:rsidRDefault="0081157B" w:rsidP="008852EE">
      <w:pPr>
        <w:numPr>
          <w:ilvl w:val="0"/>
          <w:numId w:val="1"/>
        </w:numPr>
        <w:spacing w:before="120" w:line="288" w:lineRule="auto"/>
        <w:ind w:left="0" w:firstLine="1134"/>
        <w:jc w:val="both"/>
        <w:rPr>
          <w:rFonts w:ascii="Arial" w:hAnsi="Arial" w:cs="Arial"/>
          <w:sz w:val="26"/>
          <w:szCs w:val="26"/>
          <w:lang w:val="bg-BG"/>
        </w:rPr>
      </w:pPr>
      <w:r w:rsidRPr="0081157B">
        <w:rPr>
          <w:rFonts w:ascii="Arial" w:hAnsi="Arial" w:cs="Arial"/>
          <w:b/>
          <w:bCs/>
          <w:sz w:val="26"/>
          <w:szCs w:val="26"/>
          <w:lang w:val="bg-BG"/>
        </w:rPr>
        <w:t>Финансовите и други средства, необходими за прилагането на новата уредба</w:t>
      </w:r>
    </w:p>
    <w:p w14:paraId="14E1E753" w14:textId="77777777" w:rsidR="0081157B" w:rsidRPr="0081157B" w:rsidRDefault="0081157B" w:rsidP="0081157B">
      <w:pPr>
        <w:spacing w:before="120" w:line="288" w:lineRule="auto"/>
        <w:ind w:firstLine="1134"/>
        <w:jc w:val="both"/>
        <w:rPr>
          <w:rFonts w:ascii="Arial" w:hAnsi="Arial" w:cs="Arial"/>
          <w:sz w:val="26"/>
          <w:szCs w:val="26"/>
          <w:lang w:val="bg-BG"/>
        </w:rPr>
      </w:pPr>
      <w:r w:rsidRPr="0081157B">
        <w:rPr>
          <w:rFonts w:ascii="Arial" w:hAnsi="Arial" w:cs="Arial"/>
          <w:sz w:val="26"/>
          <w:szCs w:val="26"/>
          <w:lang w:val="bg-BG"/>
        </w:rPr>
        <w:t>Промените, които се предвиждат, не са свързани с допълнителни разходи за данъчно задължените лица и за прилагането им не са необходими допълнителни бюджетни средства.</w:t>
      </w:r>
    </w:p>
    <w:p w14:paraId="39742A81" w14:textId="77777777" w:rsidR="0081157B" w:rsidRPr="0081157B" w:rsidRDefault="0081157B" w:rsidP="0081157B">
      <w:pPr>
        <w:spacing w:before="120" w:line="288" w:lineRule="auto"/>
        <w:ind w:firstLine="1134"/>
        <w:jc w:val="both"/>
        <w:rPr>
          <w:rFonts w:ascii="Arial" w:hAnsi="Arial" w:cs="Arial"/>
          <w:sz w:val="26"/>
          <w:szCs w:val="26"/>
          <w:lang w:val="bg-BG"/>
        </w:rPr>
      </w:pPr>
    </w:p>
    <w:p w14:paraId="388F580D" w14:textId="77777777" w:rsidR="0081157B" w:rsidRPr="0081157B" w:rsidRDefault="0081157B" w:rsidP="008852EE">
      <w:pPr>
        <w:numPr>
          <w:ilvl w:val="0"/>
          <w:numId w:val="1"/>
        </w:numPr>
        <w:spacing w:before="120" w:line="288" w:lineRule="auto"/>
        <w:ind w:left="0" w:firstLine="1134"/>
        <w:jc w:val="both"/>
        <w:rPr>
          <w:rFonts w:ascii="Arial" w:hAnsi="Arial" w:cs="Arial"/>
          <w:sz w:val="26"/>
          <w:szCs w:val="26"/>
          <w:lang w:val="bg-BG"/>
        </w:rPr>
      </w:pPr>
      <w:r w:rsidRPr="0081157B">
        <w:rPr>
          <w:rFonts w:ascii="Arial" w:hAnsi="Arial" w:cs="Arial"/>
          <w:b/>
          <w:bCs/>
          <w:sz w:val="26"/>
          <w:szCs w:val="26"/>
          <w:lang w:val="bg-BG"/>
        </w:rPr>
        <w:t>Очаквани резултати от прилагането</w:t>
      </w:r>
    </w:p>
    <w:p w14:paraId="6E31C59C" w14:textId="77777777" w:rsidR="0081157B" w:rsidRPr="0081157B" w:rsidRDefault="0081157B" w:rsidP="0081157B">
      <w:pPr>
        <w:spacing w:before="120" w:line="288" w:lineRule="auto"/>
        <w:ind w:firstLine="1134"/>
        <w:jc w:val="both"/>
        <w:rPr>
          <w:rFonts w:ascii="Arial" w:hAnsi="Arial" w:cs="Arial"/>
          <w:sz w:val="26"/>
          <w:szCs w:val="26"/>
          <w:lang w:val="bg-BG"/>
        </w:rPr>
      </w:pPr>
      <w:r w:rsidRPr="0081157B">
        <w:rPr>
          <w:rFonts w:ascii="Arial" w:hAnsi="Arial" w:cs="Arial"/>
          <w:sz w:val="26"/>
          <w:szCs w:val="26"/>
          <w:lang w:val="bg-BG"/>
        </w:rPr>
        <w:t>Очаква се приемането на предложението да доведе до подобряване на финансовата стабилност на организациите на вероизповеданията, увеличаване на средствата, насочвани към социални, културни и благотворителни инициативи, както и до намаляване на административната и данъчната тежест за тези организации.</w:t>
      </w:r>
    </w:p>
    <w:p w14:paraId="0676D82D" w14:textId="77777777" w:rsidR="0081157B" w:rsidRPr="0081157B" w:rsidRDefault="0081157B" w:rsidP="0081157B">
      <w:pPr>
        <w:spacing w:before="120" w:line="288" w:lineRule="auto"/>
        <w:ind w:firstLine="1134"/>
        <w:jc w:val="both"/>
        <w:rPr>
          <w:rFonts w:ascii="Arial" w:hAnsi="Arial" w:cs="Arial"/>
          <w:sz w:val="26"/>
          <w:szCs w:val="26"/>
          <w:lang w:val="bg-BG"/>
        </w:rPr>
      </w:pPr>
    </w:p>
    <w:p w14:paraId="184FFC69" w14:textId="77777777" w:rsidR="0081157B" w:rsidRPr="0081157B" w:rsidRDefault="0081157B" w:rsidP="008852EE">
      <w:pPr>
        <w:numPr>
          <w:ilvl w:val="0"/>
          <w:numId w:val="1"/>
        </w:numPr>
        <w:spacing w:before="120" w:line="288" w:lineRule="auto"/>
        <w:ind w:left="0" w:firstLine="1134"/>
        <w:jc w:val="both"/>
        <w:rPr>
          <w:rFonts w:ascii="Arial" w:hAnsi="Arial" w:cs="Arial"/>
          <w:b/>
          <w:bCs/>
          <w:sz w:val="26"/>
          <w:szCs w:val="26"/>
          <w:lang w:val="bg-BG"/>
        </w:rPr>
      </w:pPr>
      <w:r w:rsidRPr="0081157B">
        <w:rPr>
          <w:rFonts w:ascii="Arial" w:hAnsi="Arial" w:cs="Arial"/>
          <w:b/>
          <w:sz w:val="26"/>
          <w:szCs w:val="26"/>
          <w:lang w:val="bg-BG"/>
        </w:rPr>
        <w:t>Анализ за съответствие с правото на Европейския съюз</w:t>
      </w:r>
    </w:p>
    <w:p w14:paraId="4F92F540" w14:textId="6C50D54F" w:rsidR="0081157B" w:rsidRPr="0081157B" w:rsidRDefault="0081157B" w:rsidP="0081157B">
      <w:pPr>
        <w:spacing w:before="120" w:line="288" w:lineRule="auto"/>
        <w:ind w:firstLine="1134"/>
        <w:jc w:val="both"/>
        <w:rPr>
          <w:rFonts w:ascii="Arial" w:hAnsi="Arial" w:cs="Arial"/>
          <w:sz w:val="26"/>
          <w:szCs w:val="26"/>
          <w:lang w:val="bg-BG"/>
        </w:rPr>
      </w:pPr>
      <w:r w:rsidRPr="0081157B">
        <w:rPr>
          <w:rFonts w:ascii="Arial" w:hAnsi="Arial" w:cs="Arial"/>
          <w:sz w:val="26"/>
          <w:szCs w:val="26"/>
          <w:lang w:val="bg-BG"/>
        </w:rPr>
        <w:t xml:space="preserve">Направеното предложение не съдържа разпоредби, произтичащи от актове на Европейския съюз. Предложението не противоречи на основните принципи и разпоредби на правото на Европейския съюз. Мярката не подлежи на нотификация по реда на Директива (ЕС) 2015/1535 на Европейския парламент и на Съвета от </w:t>
      </w:r>
      <w:r w:rsidR="00982FC1">
        <w:rPr>
          <w:rFonts w:ascii="Arial" w:hAnsi="Arial" w:cs="Arial"/>
          <w:sz w:val="26"/>
          <w:szCs w:val="26"/>
          <w:lang w:val="bg-BG"/>
        </w:rPr>
        <w:br/>
      </w:r>
      <w:r w:rsidRPr="0081157B">
        <w:rPr>
          <w:rFonts w:ascii="Arial" w:hAnsi="Arial" w:cs="Arial"/>
          <w:sz w:val="26"/>
          <w:szCs w:val="26"/>
          <w:lang w:val="bg-BG"/>
        </w:rPr>
        <w:t>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53D77F6D" w14:textId="77777777" w:rsidR="0081157B" w:rsidRPr="0081157B" w:rsidRDefault="0081157B" w:rsidP="0081157B">
      <w:pPr>
        <w:spacing w:before="120" w:line="288" w:lineRule="auto"/>
        <w:ind w:firstLine="1134"/>
        <w:jc w:val="both"/>
        <w:rPr>
          <w:rFonts w:ascii="Arial" w:hAnsi="Arial" w:cs="Arial"/>
          <w:b/>
          <w:sz w:val="26"/>
          <w:szCs w:val="26"/>
          <w:lang w:val="bg-BG"/>
        </w:rPr>
      </w:pPr>
    </w:p>
    <w:p w14:paraId="0D405703" w14:textId="77777777" w:rsidR="0081157B" w:rsidRPr="0081157B" w:rsidRDefault="0081157B" w:rsidP="0081157B">
      <w:pPr>
        <w:spacing w:before="120" w:line="288" w:lineRule="auto"/>
        <w:ind w:firstLine="1134"/>
        <w:jc w:val="both"/>
        <w:rPr>
          <w:rFonts w:ascii="Arial" w:hAnsi="Arial" w:cs="Arial"/>
          <w:b/>
          <w:bCs/>
          <w:iCs/>
          <w:sz w:val="26"/>
          <w:szCs w:val="26"/>
          <w:lang w:val="bg-BG"/>
        </w:rPr>
      </w:pPr>
      <w:r w:rsidRPr="0081157B">
        <w:rPr>
          <w:rFonts w:ascii="Arial" w:hAnsi="Arial" w:cs="Arial"/>
          <w:b/>
          <w:sz w:val="26"/>
          <w:szCs w:val="26"/>
          <w:lang w:val="bg-BG"/>
        </w:rPr>
        <w:lastRenderedPageBreak/>
        <w:t xml:space="preserve">Прилагане на </w:t>
      </w:r>
      <w:r w:rsidRPr="0081157B">
        <w:rPr>
          <w:rFonts w:ascii="Arial" w:hAnsi="Arial" w:cs="Arial"/>
          <w:b/>
          <w:bCs/>
          <w:iCs/>
          <w:sz w:val="26"/>
          <w:szCs w:val="26"/>
          <w:lang w:val="bg-BG"/>
        </w:rPr>
        <w:t>§ 1а, т. 4 от Допълнителните разпоредби на Закона за нормативните актове</w:t>
      </w:r>
    </w:p>
    <w:p w14:paraId="7856BC78" w14:textId="4ADF5220" w:rsidR="0081157B" w:rsidRPr="0081157B" w:rsidRDefault="0081157B" w:rsidP="0081157B">
      <w:pPr>
        <w:spacing w:before="120" w:line="288" w:lineRule="auto"/>
        <w:ind w:firstLine="1134"/>
        <w:jc w:val="both"/>
        <w:rPr>
          <w:rFonts w:ascii="Arial" w:hAnsi="Arial" w:cs="Arial"/>
          <w:bCs/>
          <w:iCs/>
          <w:sz w:val="26"/>
          <w:szCs w:val="26"/>
          <w:lang w:val="bg-BG"/>
        </w:rPr>
      </w:pPr>
      <w:r w:rsidRPr="0081157B">
        <w:rPr>
          <w:rFonts w:ascii="Arial" w:hAnsi="Arial" w:cs="Arial"/>
          <w:bCs/>
          <w:iCs/>
          <w:sz w:val="26"/>
          <w:szCs w:val="26"/>
          <w:lang w:val="bg-BG"/>
        </w:rPr>
        <w:t xml:space="preserve">Направените предложения за въвеждане на данъчни облекчения в ЗКПО бяха предвидени за приемане и влизане в сила от </w:t>
      </w:r>
      <w:r w:rsidR="009E1628">
        <w:rPr>
          <w:rFonts w:ascii="Arial" w:hAnsi="Arial" w:cs="Arial"/>
          <w:bCs/>
          <w:iCs/>
          <w:sz w:val="26"/>
          <w:szCs w:val="26"/>
          <w:lang w:val="bg-BG"/>
        </w:rPr>
        <w:br/>
      </w:r>
      <w:r w:rsidRPr="0081157B">
        <w:rPr>
          <w:rFonts w:ascii="Arial" w:hAnsi="Arial" w:cs="Arial"/>
          <w:bCs/>
          <w:iCs/>
          <w:sz w:val="26"/>
          <w:szCs w:val="26"/>
          <w:lang w:val="bg-BG"/>
        </w:rPr>
        <w:t xml:space="preserve">1 януари 2026 г. като част от </w:t>
      </w:r>
      <w:r w:rsidR="00201235" w:rsidRPr="0081157B">
        <w:rPr>
          <w:rFonts w:ascii="Arial" w:hAnsi="Arial" w:cs="Arial"/>
          <w:bCs/>
          <w:iCs/>
          <w:sz w:val="26"/>
          <w:szCs w:val="26"/>
          <w:lang w:val="bg-BG"/>
        </w:rPr>
        <w:t>П</w:t>
      </w:r>
      <w:r w:rsidRPr="0081157B">
        <w:rPr>
          <w:rFonts w:ascii="Arial" w:hAnsi="Arial" w:cs="Arial"/>
          <w:bCs/>
          <w:iCs/>
          <w:sz w:val="26"/>
          <w:szCs w:val="26"/>
          <w:lang w:val="bg-BG"/>
        </w:rPr>
        <w:t>реходните и заключителни</w:t>
      </w:r>
      <w:r w:rsidR="00201235">
        <w:rPr>
          <w:rFonts w:ascii="Arial" w:hAnsi="Arial" w:cs="Arial"/>
          <w:bCs/>
          <w:iCs/>
          <w:sz w:val="26"/>
          <w:szCs w:val="26"/>
          <w:lang w:val="bg-BG"/>
        </w:rPr>
        <w:t>те</w:t>
      </w:r>
      <w:r w:rsidRPr="0081157B">
        <w:rPr>
          <w:rFonts w:ascii="Arial" w:hAnsi="Arial" w:cs="Arial"/>
          <w:bCs/>
          <w:iCs/>
          <w:sz w:val="26"/>
          <w:szCs w:val="26"/>
          <w:lang w:val="bg-BG"/>
        </w:rPr>
        <w:t xml:space="preserve"> разпоредби на проекта на Закон за държавния бюджет на Република България за </w:t>
      </w:r>
      <w:r w:rsidR="00201235">
        <w:rPr>
          <w:rFonts w:ascii="Arial" w:hAnsi="Arial" w:cs="Arial"/>
          <w:bCs/>
          <w:iCs/>
          <w:sz w:val="26"/>
          <w:szCs w:val="26"/>
          <w:lang w:val="bg-BG"/>
        </w:rPr>
        <w:br/>
      </w:r>
      <w:r w:rsidRPr="0081157B">
        <w:rPr>
          <w:rFonts w:ascii="Arial" w:hAnsi="Arial" w:cs="Arial"/>
          <w:bCs/>
          <w:iCs/>
          <w:sz w:val="26"/>
          <w:szCs w:val="26"/>
          <w:lang w:val="bg-BG"/>
        </w:rPr>
        <w:t>2026 г. Доколкото на този етап не е налице възможност за тяхното приемане, следва да се отбележи съществената значимост на разпоредбите за по-благоприятен режим за амортизиране за данъчни цели на електрически автомобили във връзка с последното изменение на НПВУ и постигнатата договореност с Европейската комисия за влизането им в сила от 1 януари 2026 г. Неспазването на поетите ангажименти към Европейската комисия би изложило Република България на реална опасност от налагане на финансови санкции за незадоволително изпълнение на Ключов етап №</w:t>
      </w:r>
      <w:r w:rsidR="009E1628">
        <w:rPr>
          <w:rFonts w:ascii="Arial" w:hAnsi="Arial" w:cs="Arial"/>
          <w:bCs/>
          <w:iCs/>
          <w:sz w:val="26"/>
          <w:szCs w:val="26"/>
          <w:lang w:val="bg-BG"/>
        </w:rPr>
        <w:t xml:space="preserve"> </w:t>
      </w:r>
      <w:r w:rsidRPr="0081157B">
        <w:rPr>
          <w:rFonts w:ascii="Arial" w:hAnsi="Arial" w:cs="Arial"/>
          <w:bCs/>
          <w:iCs/>
          <w:sz w:val="26"/>
          <w:szCs w:val="26"/>
          <w:lang w:val="bg-BG"/>
        </w:rPr>
        <w:t>178 – „Електрическа мобилност“ от НПВУ.</w:t>
      </w:r>
    </w:p>
    <w:p w14:paraId="32893225" w14:textId="169CDBC6" w:rsidR="0081157B" w:rsidRPr="0081157B" w:rsidRDefault="0081157B" w:rsidP="0081157B">
      <w:pPr>
        <w:spacing w:before="120" w:line="288" w:lineRule="auto"/>
        <w:ind w:firstLine="1134"/>
        <w:jc w:val="both"/>
        <w:rPr>
          <w:rFonts w:ascii="Arial" w:hAnsi="Arial" w:cs="Arial"/>
          <w:bCs/>
          <w:iCs/>
          <w:sz w:val="26"/>
          <w:szCs w:val="26"/>
          <w:lang w:val="bg-BG"/>
        </w:rPr>
      </w:pPr>
      <w:r w:rsidRPr="0081157B">
        <w:rPr>
          <w:rFonts w:ascii="Arial" w:hAnsi="Arial" w:cs="Arial"/>
          <w:bCs/>
          <w:iCs/>
          <w:sz w:val="26"/>
          <w:szCs w:val="26"/>
          <w:lang w:val="bg-BG"/>
        </w:rPr>
        <w:t xml:space="preserve">Също така, по отношение на предложението за въвеждане на данъчно облекчение при извършване на научноизследователска и развойна дейност следва да се има предвид ключовото значение на тази мярка за стимулиране на иновациите и технологичното развитие в българската икономика. С въвеждането на предложението ще се осигури предвидима и стимулираща рамка за предприятията, която насърчава поемането на иновационен риск и насочването на инвестиции към разработване на нови продукти, технологии и процеси. Следва да се подчертае, че въвеждането на данъчния стимул е от съществено значение с оглед </w:t>
      </w:r>
      <w:r w:rsidR="009E1628">
        <w:rPr>
          <w:rFonts w:ascii="Arial" w:hAnsi="Arial" w:cs="Arial"/>
          <w:bCs/>
          <w:iCs/>
          <w:sz w:val="26"/>
          <w:szCs w:val="26"/>
          <w:lang w:val="bg-BG"/>
        </w:rPr>
        <w:t xml:space="preserve">на </w:t>
      </w:r>
      <w:r w:rsidRPr="0081157B">
        <w:rPr>
          <w:rFonts w:ascii="Arial" w:hAnsi="Arial" w:cs="Arial"/>
          <w:bCs/>
          <w:iCs/>
          <w:sz w:val="26"/>
          <w:szCs w:val="26"/>
          <w:lang w:val="bg-BG"/>
        </w:rPr>
        <w:t xml:space="preserve">необходимостта от създаване на конкурентна среда, съпоставима с утвърдените добри практики в държавите </w:t>
      </w:r>
      <w:r w:rsidR="009E1628">
        <w:rPr>
          <w:rFonts w:ascii="Arial" w:hAnsi="Arial" w:cs="Arial"/>
          <w:bCs/>
          <w:iCs/>
          <w:sz w:val="26"/>
          <w:szCs w:val="26"/>
          <w:lang w:val="bg-BG"/>
        </w:rPr>
        <w:t xml:space="preserve">- </w:t>
      </w:r>
      <w:r w:rsidRPr="0081157B">
        <w:rPr>
          <w:rFonts w:ascii="Arial" w:hAnsi="Arial" w:cs="Arial"/>
          <w:bCs/>
          <w:iCs/>
          <w:sz w:val="26"/>
          <w:szCs w:val="26"/>
          <w:lang w:val="bg-BG"/>
        </w:rPr>
        <w:t xml:space="preserve">членки на Европейския съюз, където подобни механизми се прилагат под формата на данъчни кредити или надбавки за НИРД. Очакваните резултати от въвеждането на този режим включват увеличаване на инвестициите в НИРД, ускоряване на внедряването на иновации в производствените процеси, повишаване на производителността и конкурентоспособността, както и дългосрочно разширяване на данъчната база чрез повишена икономическа активност. Предвид това следва да се подчертае важността на това предложените изменения да бъдат финализирани във възможно най-кратки срокове. Това ще позволи на бизнеса да планира своевременно своите проекти, а на държавата – да изпълни </w:t>
      </w:r>
      <w:r w:rsidRPr="0081157B">
        <w:rPr>
          <w:rFonts w:ascii="Arial" w:hAnsi="Arial" w:cs="Arial"/>
          <w:bCs/>
          <w:iCs/>
          <w:sz w:val="26"/>
          <w:szCs w:val="26"/>
          <w:lang w:val="bg-BG"/>
        </w:rPr>
        <w:lastRenderedPageBreak/>
        <w:t>последователна политика в подкрепа на иновациите и високата добавена стойност в икономиката.</w:t>
      </w:r>
    </w:p>
    <w:p w14:paraId="5455744E" w14:textId="30CE8567" w:rsidR="0081157B" w:rsidRPr="0081157B" w:rsidRDefault="0081157B" w:rsidP="0081157B">
      <w:pPr>
        <w:spacing w:before="120" w:line="288" w:lineRule="auto"/>
        <w:ind w:firstLine="1134"/>
        <w:jc w:val="both"/>
        <w:rPr>
          <w:rFonts w:ascii="Arial" w:hAnsi="Arial" w:cs="Arial"/>
          <w:bCs/>
          <w:iCs/>
          <w:sz w:val="26"/>
          <w:szCs w:val="26"/>
          <w:lang w:val="bg-BG"/>
        </w:rPr>
      </w:pPr>
      <w:r w:rsidRPr="0081157B">
        <w:rPr>
          <w:rFonts w:ascii="Arial" w:hAnsi="Arial" w:cs="Arial"/>
          <w:bCs/>
          <w:iCs/>
          <w:sz w:val="26"/>
          <w:szCs w:val="26"/>
          <w:lang w:val="bg-BG"/>
        </w:rPr>
        <w:t>Доколкото направените предложения в законопроекта касаят облагането с корпоративен данък, следва да се има предвид, че корпоративният данък е годишен данък, ко</w:t>
      </w:r>
      <w:r w:rsidR="00CF54B3">
        <w:rPr>
          <w:rFonts w:ascii="Arial" w:hAnsi="Arial" w:cs="Arial"/>
          <w:bCs/>
          <w:iCs/>
          <w:sz w:val="26"/>
          <w:szCs w:val="26"/>
          <w:lang w:val="bg-BG"/>
        </w:rPr>
        <w:t>й</w:t>
      </w:r>
      <w:r w:rsidRPr="0081157B">
        <w:rPr>
          <w:rFonts w:ascii="Arial" w:hAnsi="Arial" w:cs="Arial"/>
          <w:bCs/>
          <w:iCs/>
          <w:sz w:val="26"/>
          <w:szCs w:val="26"/>
          <w:lang w:val="bg-BG"/>
        </w:rPr>
        <w:t>то се определя за календарна година. Предвид това, както и поетите ангажименти пред Европейската комисия и необходимостта от своевременно въвеждане на облекчението при извършване на научноизследователска и развойна дейност направените предложения с проекта на закон е от съществено значение да бъдат приети в най-кратки срокове, за да могат да се приложат в сила от 1 януари 2026 г.</w:t>
      </w:r>
    </w:p>
    <w:p w14:paraId="11C5E18F" w14:textId="77777777" w:rsidR="000245C5" w:rsidRDefault="000245C5" w:rsidP="00D013AB">
      <w:pPr>
        <w:spacing w:before="120" w:line="288" w:lineRule="auto"/>
        <w:ind w:firstLine="1134"/>
        <w:jc w:val="both"/>
        <w:rPr>
          <w:rFonts w:ascii="Arial" w:hAnsi="Arial" w:cs="Arial"/>
          <w:sz w:val="26"/>
          <w:szCs w:val="26"/>
          <w:lang w:val="bg-BG"/>
        </w:rPr>
      </w:pPr>
    </w:p>
    <w:p w14:paraId="6F6AD847" w14:textId="77777777" w:rsidR="000245C5" w:rsidRPr="00683CAC" w:rsidRDefault="000245C5" w:rsidP="00D013AB">
      <w:pPr>
        <w:spacing w:before="120" w:line="288" w:lineRule="auto"/>
        <w:ind w:firstLine="1134"/>
        <w:jc w:val="both"/>
        <w:rPr>
          <w:rFonts w:ascii="Arial" w:hAnsi="Arial" w:cs="Arial"/>
          <w:sz w:val="26"/>
          <w:szCs w:val="26"/>
          <w:lang w:val="bg-BG"/>
        </w:rPr>
      </w:pPr>
    </w:p>
    <w:p w14:paraId="70F817DF" w14:textId="77777777" w:rsidR="00422E35" w:rsidRPr="00683CAC" w:rsidRDefault="00422E35" w:rsidP="00422E35">
      <w:pPr>
        <w:pStyle w:val="1"/>
        <w:tabs>
          <w:tab w:val="left" w:pos="709"/>
          <w:tab w:val="left" w:pos="851"/>
        </w:tabs>
        <w:spacing w:before="120" w:after="0" w:line="288" w:lineRule="auto"/>
        <w:ind w:left="0" w:firstLine="1134"/>
        <w:jc w:val="both"/>
        <w:rPr>
          <w:rFonts w:ascii="Times New Roman" w:hAnsi="Times New Roman"/>
          <w:b/>
          <w:sz w:val="26"/>
          <w:szCs w:val="26"/>
        </w:rPr>
      </w:pPr>
    </w:p>
    <w:p w14:paraId="78B8BE6B" w14:textId="77777777" w:rsidR="00422E35" w:rsidRPr="00683CAC" w:rsidRDefault="00422E35" w:rsidP="00422E35">
      <w:pPr>
        <w:tabs>
          <w:tab w:val="left" w:pos="1790"/>
        </w:tabs>
        <w:ind w:left="1134"/>
        <w:rPr>
          <w:rFonts w:ascii="Times New Roman" w:hAnsi="Times New Roman"/>
          <w:b/>
          <w:sz w:val="26"/>
          <w:szCs w:val="26"/>
          <w:lang w:val="bg-BG"/>
        </w:rPr>
      </w:pPr>
      <w:bookmarkStart w:id="0" w:name="_Hlk92799938"/>
      <w:r w:rsidRPr="00683CAC">
        <w:rPr>
          <w:rFonts w:ascii="Times New Roman" w:hAnsi="Times New Roman"/>
          <w:b/>
          <w:sz w:val="26"/>
          <w:szCs w:val="26"/>
          <w:lang w:val="bg-BG"/>
        </w:rPr>
        <w:t>МИНИСТЪР-ПРЕДСЕДАТЕЛ:</w:t>
      </w:r>
    </w:p>
    <w:bookmarkEnd w:id="0"/>
    <w:p w14:paraId="626E0B2D" w14:textId="0E11ACD9" w:rsidR="00422E35" w:rsidRPr="00683CAC" w:rsidRDefault="00B50B37" w:rsidP="00422E35">
      <w:pPr>
        <w:tabs>
          <w:tab w:val="left" w:pos="1790"/>
        </w:tabs>
        <w:jc w:val="right"/>
        <w:rPr>
          <w:sz w:val="26"/>
          <w:szCs w:val="26"/>
          <w:lang w:val="bg-BG"/>
        </w:rPr>
      </w:pPr>
      <w:r>
        <w:rPr>
          <w:noProof/>
          <w:sz w:val="26"/>
          <w:szCs w:val="26"/>
          <w:lang w:val="bg-BG"/>
        </w:rPr>
        <w:pict w14:anchorId="5720B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8" o:title=""/>
            <o:lock v:ext="edit" ungrouping="t" rotation="t" cropping="t" verticies="t" text="t" grouping="t"/>
            <o:signatureline v:ext="edit" id="{361A480F-EAB0-4DB7-A43C-2245CFA6ECA6}" provid="{00000000-0000-0000-0000-000000000000}" issignatureline="t"/>
          </v:shape>
        </w:pict>
      </w:r>
    </w:p>
    <w:p w14:paraId="32AFA460" w14:textId="77777777" w:rsidR="001C765C" w:rsidRDefault="001C765C" w:rsidP="00422E35">
      <w:pPr>
        <w:spacing w:before="120" w:line="288" w:lineRule="auto"/>
        <w:ind w:firstLine="1134"/>
        <w:jc w:val="both"/>
        <w:rPr>
          <w:lang w:val="bg-BG"/>
        </w:rPr>
      </w:pPr>
    </w:p>
    <w:p w14:paraId="1741C75A" w14:textId="77777777" w:rsidR="00E65BA3" w:rsidRPr="00683CAC" w:rsidRDefault="00E65BA3" w:rsidP="00422E35">
      <w:pPr>
        <w:spacing w:before="120" w:line="288" w:lineRule="auto"/>
        <w:ind w:firstLine="1134"/>
        <w:jc w:val="both"/>
        <w:rPr>
          <w:lang w:val="bg-BG"/>
        </w:rPr>
      </w:pPr>
    </w:p>
    <w:sectPr w:rsidR="00E65BA3" w:rsidRPr="00683CAC" w:rsidSect="0052153C">
      <w:headerReference w:type="even" r:id="rId9"/>
      <w:headerReference w:type="default" r:id="rId10"/>
      <w:footerReference w:type="default" r:id="rId11"/>
      <w:footerReference w:type="first" r:id="rId12"/>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158" w14:textId="77777777" w:rsidR="00C07EA7" w:rsidRDefault="00C07EA7">
      <w:r>
        <w:separator/>
      </w:r>
    </w:p>
  </w:endnote>
  <w:endnote w:type="continuationSeparator" w:id="0">
    <w:p w14:paraId="6F8ADF95" w14:textId="77777777" w:rsidR="00C07EA7" w:rsidRDefault="00C0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Segoe UI"/>
    <w:charset w:val="00"/>
    <w:family w:val="swiss"/>
    <w:pitch w:val="variable"/>
    <w:sig w:usb0="00000203" w:usb1="00000000" w:usb2="00000000" w:usb3="00000000" w:csb0="00000005" w:csb1="00000000"/>
  </w:font>
  <w:font w:name="NewSaturionCyr">
    <w:altName w:val="Cambria"/>
    <w:charset w:val="00"/>
    <w:family w:val="roman"/>
    <w:pitch w:val="variable"/>
    <w:sig w:usb0="00000287" w:usb1="00000000" w:usb2="00000000" w:usb3="00000000" w:csb0="0000001F" w:csb1="00000000"/>
  </w:font>
  <w:font w:name="HebarU">
    <w:altName w:val="Courier New"/>
    <w:charset w:val="00"/>
    <w:family w:val="auto"/>
    <w:pitch w:val="variable"/>
    <w:sig w:usb0="00000001" w:usb1="00000000" w:usb2="00000000" w:usb3="00000000" w:csb0="0000009F" w:csb1="00000000"/>
  </w:font>
  <w:font w:name="NewSaturionModernCyr">
    <w:altName w:val="Cambria"/>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0AC3" w14:textId="294A3917" w:rsidR="0052153C" w:rsidRPr="0052153C" w:rsidRDefault="0052153C" w:rsidP="0052153C">
    <w:pPr>
      <w:jc w:val="right"/>
      <w:rPr>
        <w:rFonts w:ascii="Times New Roman" w:hAnsi="Times New Roman"/>
        <w:i/>
        <w:caps/>
        <w:sz w:val="16"/>
        <w:szCs w:val="16"/>
        <w:lang w:val="ru-RU"/>
      </w:rPr>
    </w:pPr>
    <w:r w:rsidRPr="0052153C">
      <w:rPr>
        <w:rFonts w:ascii="Times New Roman" w:hAnsi="Times New Roman"/>
        <w:i/>
        <w:caps/>
        <w:sz w:val="16"/>
        <w:szCs w:val="16"/>
        <w:lang w:val="bg-BG"/>
      </w:rPr>
      <w:fldChar w:fldCharType="begin"/>
    </w:r>
    <w:r w:rsidRPr="0052153C">
      <w:rPr>
        <w:rFonts w:ascii="Times New Roman" w:hAnsi="Times New Roman"/>
        <w:i/>
        <w:caps/>
        <w:sz w:val="16"/>
        <w:szCs w:val="16"/>
        <w:lang w:val="bg-BG"/>
      </w:rPr>
      <w:instrText xml:space="preserve"> FILENAME  \* MERGEFORMAT </w:instrText>
    </w:r>
    <w:r w:rsidRPr="0052153C">
      <w:rPr>
        <w:rFonts w:ascii="Times New Roman" w:hAnsi="Times New Roman"/>
        <w:i/>
        <w:caps/>
        <w:sz w:val="16"/>
        <w:szCs w:val="16"/>
        <w:lang w:val="bg-BG"/>
      </w:rPr>
      <w:fldChar w:fldCharType="separate"/>
    </w:r>
    <w:r w:rsidR="00CF54B3" w:rsidRPr="00CF54B3">
      <w:rPr>
        <w:rFonts w:ascii="Times New Roman" w:hAnsi="Times New Roman"/>
        <w:i/>
        <w:caps/>
        <w:noProof/>
        <w:sz w:val="16"/>
        <w:szCs w:val="16"/>
        <w:lang w:val="ru-RU"/>
      </w:rPr>
      <w:t>rms-z-MOTIVI.docx</w:t>
    </w:r>
    <w:r w:rsidRPr="0052153C">
      <w:rPr>
        <w:rFonts w:ascii="Times New Roman" w:hAnsi="Times New Roman"/>
        <w:i/>
        <w:caps/>
        <w:sz w:val="16"/>
        <w:szCs w:val="16"/>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171D" w14:textId="189578FF" w:rsidR="00446581" w:rsidRPr="0052153C" w:rsidRDefault="00446581" w:rsidP="0052153C">
    <w:pPr>
      <w:jc w:val="right"/>
      <w:rPr>
        <w:rFonts w:ascii="Times New Roman" w:hAnsi="Times New Roman"/>
        <w:i/>
        <w:caps/>
        <w:sz w:val="16"/>
        <w:szCs w:val="16"/>
        <w:lang w:val="ru-RU"/>
      </w:rPr>
    </w:pPr>
    <w:r w:rsidRPr="0052153C">
      <w:rPr>
        <w:rFonts w:ascii="Times New Roman" w:hAnsi="Times New Roman"/>
        <w:i/>
        <w:caps/>
        <w:sz w:val="16"/>
        <w:szCs w:val="16"/>
        <w:lang w:val="bg-BG"/>
      </w:rPr>
      <w:fldChar w:fldCharType="begin"/>
    </w:r>
    <w:r w:rsidRPr="0052153C">
      <w:rPr>
        <w:rFonts w:ascii="Times New Roman" w:hAnsi="Times New Roman"/>
        <w:i/>
        <w:caps/>
        <w:sz w:val="16"/>
        <w:szCs w:val="16"/>
        <w:lang w:val="bg-BG"/>
      </w:rPr>
      <w:instrText xml:space="preserve"> FILENAME  \* MERGEFORMAT </w:instrText>
    </w:r>
    <w:r w:rsidRPr="0052153C">
      <w:rPr>
        <w:rFonts w:ascii="Times New Roman" w:hAnsi="Times New Roman"/>
        <w:i/>
        <w:caps/>
        <w:sz w:val="16"/>
        <w:szCs w:val="16"/>
        <w:lang w:val="bg-BG"/>
      </w:rPr>
      <w:fldChar w:fldCharType="separate"/>
    </w:r>
    <w:r w:rsidR="00CF54B3" w:rsidRPr="00CF54B3">
      <w:rPr>
        <w:rFonts w:ascii="Times New Roman" w:hAnsi="Times New Roman"/>
        <w:i/>
        <w:caps/>
        <w:noProof/>
        <w:sz w:val="16"/>
        <w:szCs w:val="16"/>
        <w:lang w:val="ru-RU"/>
      </w:rPr>
      <w:t>rms-z-MOTIVI.docx</w:t>
    </w:r>
    <w:r w:rsidRPr="0052153C">
      <w:rPr>
        <w:rFonts w:ascii="Times New Roman" w:hAnsi="Times New Roman"/>
        <w:i/>
        <w:caps/>
        <w:sz w:val="16"/>
        <w:szCs w:val="16"/>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286D" w14:textId="77777777" w:rsidR="00C07EA7" w:rsidRDefault="00C07EA7">
      <w:r>
        <w:separator/>
      </w:r>
    </w:p>
  </w:footnote>
  <w:footnote w:type="continuationSeparator" w:id="0">
    <w:p w14:paraId="5D91739F" w14:textId="77777777" w:rsidR="00C07EA7" w:rsidRDefault="00C07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710D" w14:textId="77777777" w:rsidR="00446581" w:rsidRDefault="004465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1BC31" w14:textId="77777777" w:rsidR="00446581" w:rsidRDefault="00446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89CC" w14:textId="77777777" w:rsidR="00446581" w:rsidRDefault="004465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5BA3">
      <w:rPr>
        <w:rStyle w:val="PageNumber"/>
        <w:noProof/>
      </w:rPr>
      <w:t>2</w:t>
    </w:r>
    <w:r>
      <w:rPr>
        <w:rStyle w:val="PageNumber"/>
      </w:rPr>
      <w:fldChar w:fldCharType="end"/>
    </w:r>
  </w:p>
  <w:p w14:paraId="39142BEE" w14:textId="77777777" w:rsidR="00446581" w:rsidRDefault="00446581">
    <w:pPr>
      <w:pStyle w:val="Header"/>
      <w:rPr>
        <w:lang w:val="bg-BG"/>
      </w:rPr>
    </w:pPr>
  </w:p>
  <w:p w14:paraId="55E6149D" w14:textId="77777777" w:rsidR="00050D9F" w:rsidRPr="00050D9F" w:rsidRDefault="00050D9F">
    <w:pPr>
      <w:pStyle w:val="Header"/>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366A"/>
    <w:multiLevelType w:val="hybridMultilevel"/>
    <w:tmpl w:val="31FE2D92"/>
    <w:lvl w:ilvl="0" w:tplc="D7DA5486">
      <w:start w:val="1"/>
      <w:numFmt w:val="bullet"/>
      <w:suff w:val="space"/>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5A99588C"/>
    <w:multiLevelType w:val="hybridMultilevel"/>
    <w:tmpl w:val="8848D9C8"/>
    <w:lvl w:ilvl="0" w:tplc="EFD42C7A">
      <w:start w:val="1"/>
      <w:numFmt w:val="bullet"/>
      <w:suff w:val="space"/>
      <w:lvlText w:val=""/>
      <w:lvlJc w:val="left"/>
      <w:pPr>
        <w:ind w:left="786"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207374302">
    <w:abstractNumId w:val="1"/>
  </w:num>
  <w:num w:numId="2" w16cid:durableId="214473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245C5"/>
    <w:rsid w:val="00040404"/>
    <w:rsid w:val="00050D9F"/>
    <w:rsid w:val="0006233E"/>
    <w:rsid w:val="00065B09"/>
    <w:rsid w:val="0006731A"/>
    <w:rsid w:val="00076940"/>
    <w:rsid w:val="00080705"/>
    <w:rsid w:val="000A7804"/>
    <w:rsid w:val="000B3D48"/>
    <w:rsid w:val="000B3F5C"/>
    <w:rsid w:val="000F4878"/>
    <w:rsid w:val="000F6735"/>
    <w:rsid w:val="00101719"/>
    <w:rsid w:val="001019D1"/>
    <w:rsid w:val="0011488D"/>
    <w:rsid w:val="00114EA5"/>
    <w:rsid w:val="00147990"/>
    <w:rsid w:val="001902BA"/>
    <w:rsid w:val="001A4540"/>
    <w:rsid w:val="001B21EF"/>
    <w:rsid w:val="001B311D"/>
    <w:rsid w:val="001C1AA5"/>
    <w:rsid w:val="001C27B2"/>
    <w:rsid w:val="001C765C"/>
    <w:rsid w:val="001C7C50"/>
    <w:rsid w:val="001F0C5E"/>
    <w:rsid w:val="001F109F"/>
    <w:rsid w:val="00200362"/>
    <w:rsid w:val="00201235"/>
    <w:rsid w:val="002158C4"/>
    <w:rsid w:val="00216BB5"/>
    <w:rsid w:val="00224F7F"/>
    <w:rsid w:val="00234F17"/>
    <w:rsid w:val="002469B9"/>
    <w:rsid w:val="00251D6E"/>
    <w:rsid w:val="002553AB"/>
    <w:rsid w:val="00255B7D"/>
    <w:rsid w:val="00263307"/>
    <w:rsid w:val="002743E4"/>
    <w:rsid w:val="002C0227"/>
    <w:rsid w:val="002C08C4"/>
    <w:rsid w:val="002C6AFA"/>
    <w:rsid w:val="002D76CB"/>
    <w:rsid w:val="003160E8"/>
    <w:rsid w:val="00322981"/>
    <w:rsid w:val="00324AC1"/>
    <w:rsid w:val="00327C7B"/>
    <w:rsid w:val="00355E5E"/>
    <w:rsid w:val="00357B65"/>
    <w:rsid w:val="00361393"/>
    <w:rsid w:val="00390F12"/>
    <w:rsid w:val="003A24FF"/>
    <w:rsid w:val="003A2A0D"/>
    <w:rsid w:val="003B62B1"/>
    <w:rsid w:val="003C02E9"/>
    <w:rsid w:val="003C496A"/>
    <w:rsid w:val="003D6EE4"/>
    <w:rsid w:val="003E7829"/>
    <w:rsid w:val="00406D09"/>
    <w:rsid w:val="00410B81"/>
    <w:rsid w:val="00416062"/>
    <w:rsid w:val="00422E35"/>
    <w:rsid w:val="0043009C"/>
    <w:rsid w:val="004405FE"/>
    <w:rsid w:val="00446581"/>
    <w:rsid w:val="00485B7E"/>
    <w:rsid w:val="00487D19"/>
    <w:rsid w:val="00490227"/>
    <w:rsid w:val="004945E7"/>
    <w:rsid w:val="004B5B01"/>
    <w:rsid w:val="004C4EC3"/>
    <w:rsid w:val="004C5C6C"/>
    <w:rsid w:val="004C6C33"/>
    <w:rsid w:val="005033E0"/>
    <w:rsid w:val="005075C6"/>
    <w:rsid w:val="0052153C"/>
    <w:rsid w:val="00524A62"/>
    <w:rsid w:val="005374EB"/>
    <w:rsid w:val="00543CA4"/>
    <w:rsid w:val="00552093"/>
    <w:rsid w:val="00557EA5"/>
    <w:rsid w:val="00590DC5"/>
    <w:rsid w:val="005E2FAA"/>
    <w:rsid w:val="00601E7F"/>
    <w:rsid w:val="006112DA"/>
    <w:rsid w:val="006126B0"/>
    <w:rsid w:val="006374F1"/>
    <w:rsid w:val="00680C33"/>
    <w:rsid w:val="00683CAC"/>
    <w:rsid w:val="006D149C"/>
    <w:rsid w:val="006E20E3"/>
    <w:rsid w:val="006F4CBD"/>
    <w:rsid w:val="007006FE"/>
    <w:rsid w:val="0071097D"/>
    <w:rsid w:val="007216A1"/>
    <w:rsid w:val="00775FF6"/>
    <w:rsid w:val="00791C0B"/>
    <w:rsid w:val="007D0119"/>
    <w:rsid w:val="007E5BD8"/>
    <w:rsid w:val="007F2214"/>
    <w:rsid w:val="007F4693"/>
    <w:rsid w:val="00801C3F"/>
    <w:rsid w:val="00804255"/>
    <w:rsid w:val="0081157B"/>
    <w:rsid w:val="0083405F"/>
    <w:rsid w:val="008464CC"/>
    <w:rsid w:val="0087096A"/>
    <w:rsid w:val="00881B55"/>
    <w:rsid w:val="008852EE"/>
    <w:rsid w:val="008A019C"/>
    <w:rsid w:val="008A0F64"/>
    <w:rsid w:val="008B02D8"/>
    <w:rsid w:val="008C11C0"/>
    <w:rsid w:val="008E1559"/>
    <w:rsid w:val="008F293A"/>
    <w:rsid w:val="008F7AE5"/>
    <w:rsid w:val="00904DD3"/>
    <w:rsid w:val="00905B61"/>
    <w:rsid w:val="00916222"/>
    <w:rsid w:val="00932CF8"/>
    <w:rsid w:val="00982FC1"/>
    <w:rsid w:val="0099021C"/>
    <w:rsid w:val="00990366"/>
    <w:rsid w:val="009B76A3"/>
    <w:rsid w:val="009D2BCB"/>
    <w:rsid w:val="009D7025"/>
    <w:rsid w:val="009E1628"/>
    <w:rsid w:val="00A018E4"/>
    <w:rsid w:val="00A02A74"/>
    <w:rsid w:val="00A25CC8"/>
    <w:rsid w:val="00A27685"/>
    <w:rsid w:val="00A31E3E"/>
    <w:rsid w:val="00A34F2C"/>
    <w:rsid w:val="00A52257"/>
    <w:rsid w:val="00A57A93"/>
    <w:rsid w:val="00A6158C"/>
    <w:rsid w:val="00A83BB6"/>
    <w:rsid w:val="00A93DD8"/>
    <w:rsid w:val="00A94298"/>
    <w:rsid w:val="00A97573"/>
    <w:rsid w:val="00AA1688"/>
    <w:rsid w:val="00AB2D4B"/>
    <w:rsid w:val="00AD3749"/>
    <w:rsid w:val="00AE2CD3"/>
    <w:rsid w:val="00AF2C6E"/>
    <w:rsid w:val="00B03B72"/>
    <w:rsid w:val="00B50B37"/>
    <w:rsid w:val="00B5491F"/>
    <w:rsid w:val="00B77163"/>
    <w:rsid w:val="00BA4309"/>
    <w:rsid w:val="00BB0346"/>
    <w:rsid w:val="00BB0613"/>
    <w:rsid w:val="00BB0DFF"/>
    <w:rsid w:val="00BB1768"/>
    <w:rsid w:val="00BB253E"/>
    <w:rsid w:val="00BB4014"/>
    <w:rsid w:val="00BC287C"/>
    <w:rsid w:val="00BE4C60"/>
    <w:rsid w:val="00C05E74"/>
    <w:rsid w:val="00C07EA7"/>
    <w:rsid w:val="00C11F14"/>
    <w:rsid w:val="00C213CB"/>
    <w:rsid w:val="00C321AC"/>
    <w:rsid w:val="00C459B8"/>
    <w:rsid w:val="00C5560E"/>
    <w:rsid w:val="00C65583"/>
    <w:rsid w:val="00CA3F1E"/>
    <w:rsid w:val="00CB73D9"/>
    <w:rsid w:val="00CC4E18"/>
    <w:rsid w:val="00CE3631"/>
    <w:rsid w:val="00CF4BBF"/>
    <w:rsid w:val="00CF54B3"/>
    <w:rsid w:val="00CF73BF"/>
    <w:rsid w:val="00D013AB"/>
    <w:rsid w:val="00D1528B"/>
    <w:rsid w:val="00D16D4C"/>
    <w:rsid w:val="00D26731"/>
    <w:rsid w:val="00D5381C"/>
    <w:rsid w:val="00D573B1"/>
    <w:rsid w:val="00D71501"/>
    <w:rsid w:val="00D80E80"/>
    <w:rsid w:val="00D86E39"/>
    <w:rsid w:val="00D92A8F"/>
    <w:rsid w:val="00D9679C"/>
    <w:rsid w:val="00DC6199"/>
    <w:rsid w:val="00DE1005"/>
    <w:rsid w:val="00DE2D91"/>
    <w:rsid w:val="00DF29A2"/>
    <w:rsid w:val="00E01A69"/>
    <w:rsid w:val="00E07AEE"/>
    <w:rsid w:val="00E17DBD"/>
    <w:rsid w:val="00E27B98"/>
    <w:rsid w:val="00E522CC"/>
    <w:rsid w:val="00E522E9"/>
    <w:rsid w:val="00E5592E"/>
    <w:rsid w:val="00E65BA3"/>
    <w:rsid w:val="00E717E1"/>
    <w:rsid w:val="00EB0E3F"/>
    <w:rsid w:val="00EC40B3"/>
    <w:rsid w:val="00ED238C"/>
    <w:rsid w:val="00ED4BAB"/>
    <w:rsid w:val="00EE492F"/>
    <w:rsid w:val="00EE7D4F"/>
    <w:rsid w:val="00F0087E"/>
    <w:rsid w:val="00F141DB"/>
    <w:rsid w:val="00F24630"/>
    <w:rsid w:val="00F41459"/>
    <w:rsid w:val="00F44114"/>
    <w:rsid w:val="00F46E99"/>
    <w:rsid w:val="00F90BFF"/>
    <w:rsid w:val="00F9263A"/>
    <w:rsid w:val="00FA009F"/>
    <w:rsid w:val="00FD4459"/>
    <w:rsid w:val="00FD5C41"/>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A1021F"/>
  <w15:chartTrackingRefBased/>
  <w15:docId w15:val="{5290C22A-6C58-4292-B0B8-5371C644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2">
    <w:name w:val="heading 2"/>
    <w:basedOn w:val="Normal"/>
    <w:next w:val="Normal"/>
    <w:qFormat/>
    <w:pPr>
      <w:keepNext/>
      <w:ind w:left="1701" w:hanging="567"/>
      <w:outlineLvl w:val="1"/>
    </w:pPr>
    <w:rPr>
      <w:rFonts w:ascii="NewSaturionCyr" w:hAnsi="NewSaturionCyr"/>
      <w:b/>
      <w:sz w:val="26"/>
      <w:lang w:val="bg-BG"/>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Indent">
    <w:name w:val="Body Text Indent"/>
    <w:basedOn w:val="Normal"/>
    <w:pPr>
      <w:ind w:firstLine="1134"/>
      <w:jc w:val="both"/>
    </w:pPr>
    <w:rPr>
      <w:rFonts w:ascii="NewSaturionCyr" w:hAnsi="NewSaturionCyr"/>
      <w:sz w:val="26"/>
      <w:lang w:val="bg-BG"/>
    </w:rPr>
  </w:style>
  <w:style w:type="paragraph" w:styleId="BodyText">
    <w:name w:val="Body Text"/>
    <w:basedOn w:val="Normal"/>
    <w:rsid w:val="0071097D"/>
    <w:pPr>
      <w:spacing w:after="120"/>
    </w:pPr>
  </w:style>
  <w:style w:type="paragraph" w:customStyle="1" w:styleId="CharCharChar">
    <w:name w:val="Char Char Char Знак"/>
    <w:basedOn w:val="Normal"/>
    <w:rsid w:val="008E1559"/>
    <w:pPr>
      <w:tabs>
        <w:tab w:val="left" w:pos="709"/>
      </w:tabs>
    </w:pPr>
    <w:rPr>
      <w:rFonts w:ascii="Tahoma" w:hAnsi="Tahoma" w:cs="Tahoma"/>
      <w:szCs w:val="24"/>
      <w:lang w:val="pl-PL" w:eastAsia="pl-PL"/>
    </w:rPr>
  </w:style>
  <w:style w:type="paragraph" w:customStyle="1" w:styleId="1">
    <w:name w:val="Списък на абзаци1"/>
    <w:basedOn w:val="Normal"/>
    <w:rsid w:val="00422E35"/>
    <w:pPr>
      <w:spacing w:after="160" w:line="259" w:lineRule="auto"/>
      <w:ind w:left="720"/>
      <w:contextualSpacing/>
    </w:pPr>
    <w:rPr>
      <w:rFonts w:ascii="Calibri" w:hAnsi="Calibri"/>
      <w:sz w:val="22"/>
      <w:szCs w:val="22"/>
      <w:lang w:val="bg-BG"/>
    </w:rPr>
  </w:style>
  <w:style w:type="paragraph" w:customStyle="1" w:styleId="10">
    <w:name w:val="Без разредка1"/>
    <w:rsid w:val="00683CAC"/>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51052">
      <w:bodyDiv w:val="1"/>
      <w:marLeft w:val="0"/>
      <w:marRight w:val="0"/>
      <w:marTop w:val="0"/>
      <w:marBottom w:val="0"/>
      <w:divBdr>
        <w:top w:val="none" w:sz="0" w:space="0" w:color="auto"/>
        <w:left w:val="none" w:sz="0" w:space="0" w:color="auto"/>
        <w:bottom w:val="none" w:sz="0" w:space="0" w:color="auto"/>
        <w:right w:val="none" w:sz="0" w:space="0" w:color="auto"/>
      </w:divBdr>
    </w:div>
    <w:div w:id="905988467">
      <w:bodyDiv w:val="1"/>
      <w:marLeft w:val="0"/>
      <w:marRight w:val="0"/>
      <w:marTop w:val="0"/>
      <w:marBottom w:val="0"/>
      <w:divBdr>
        <w:top w:val="none" w:sz="0" w:space="0" w:color="auto"/>
        <w:left w:val="none" w:sz="0" w:space="0" w:color="auto"/>
        <w:bottom w:val="none" w:sz="0" w:space="0" w:color="auto"/>
        <w:right w:val="none" w:sz="0" w:space="0" w:color="auto"/>
      </w:divBdr>
    </w:div>
    <w:div w:id="15276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6761-D54B-437B-8525-5FA50E02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1562</Words>
  <Characters>9476</Characters>
  <Application>Microsoft Office Word</Application>
  <DocSecurity>0</DocSecurity>
  <Lines>78</Lines>
  <Paragraphs>22</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2026-01-09T10:23:00Z</cp:lastPrinted>
  <dcterms:created xsi:type="dcterms:W3CDTF">2026-01-12T11:33:00Z</dcterms:created>
  <dcterms:modified xsi:type="dcterms:W3CDTF">2026-01-12T11:33:00Z</dcterms:modified>
</cp:coreProperties>
</file>