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882A75F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4F3186D" w14:textId="77777777" w:rsidR="006965CE" w:rsidRDefault="006965CE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D79FA2E" w14:textId="77777777" w:rsidR="006965CE" w:rsidRPr="006965CE" w:rsidRDefault="006965CE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76A1AE38" w:rsidR="006A23A3" w:rsidRPr="00DF7B5E" w:rsidRDefault="00955772" w:rsidP="006A23A3">
      <w:pPr>
        <w:jc w:val="right"/>
        <w:rPr>
          <w:rFonts w:ascii="Arial" w:hAnsi="Arial"/>
          <w:b/>
          <w:szCs w:val="24"/>
          <w:lang w:val="bg-BG"/>
        </w:rPr>
      </w:pPr>
      <w:r w:rsidRPr="00955772">
        <w:rPr>
          <w:rFonts w:ascii="Arial" w:hAnsi="Arial"/>
          <w:b/>
          <w:szCs w:val="24"/>
          <w:lang w:val="bg-BG"/>
        </w:rPr>
        <w:t>Препис</w:t>
      </w: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72776691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5577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5</w:t>
      </w:r>
    </w:p>
    <w:p w14:paraId="40552BDF" w14:textId="77777777" w:rsidR="006A23A3" w:rsidRPr="00735783" w:rsidRDefault="006A23A3" w:rsidP="006A23A3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1E80E92C" w14:textId="13606057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955772">
        <w:rPr>
          <w:rFonts w:ascii="Times New Roman" w:hAnsi="Times New Roman"/>
          <w:b/>
          <w:sz w:val="30"/>
          <w:szCs w:val="30"/>
          <w:lang w:val="bg-BG"/>
        </w:rPr>
        <w:t>12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735783" w:rsidRDefault="006A23A3" w:rsidP="006A23A3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486CC346" w14:textId="77777777" w:rsidR="006A23A3" w:rsidRPr="00735783" w:rsidRDefault="006A23A3" w:rsidP="006A23A3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0F8C3D42" w14:textId="4D66D162" w:rsidR="006A23A3" w:rsidRPr="00001903" w:rsidRDefault="006A23A3" w:rsidP="002031B6">
      <w:pPr>
        <w:tabs>
          <w:tab w:val="left" w:pos="7371"/>
        </w:tabs>
        <w:spacing w:line="276" w:lineRule="auto"/>
        <w:ind w:left="1134" w:right="850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2031B6" w:rsidRPr="002031B6">
        <w:t xml:space="preserve"> </w:t>
      </w:r>
      <w:r w:rsidR="002031B6" w:rsidRPr="002031B6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на </w:t>
      </w:r>
      <w:r w:rsidR="007233B9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2031B6" w:rsidRPr="002031B6">
        <w:rPr>
          <w:rFonts w:ascii="Arial" w:hAnsi="Arial" w:cs="Arial"/>
          <w:b/>
          <w:smallCaps/>
          <w:sz w:val="28"/>
          <w:szCs w:val="28"/>
          <w:lang w:val="bg-BG"/>
        </w:rPr>
        <w:t xml:space="preserve">ешение № 416 на </w:t>
      </w:r>
      <w:r w:rsidR="007233B9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2031B6" w:rsidRPr="002031B6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инистерския съвет от 2010 г. за назначаване на членове на </w:t>
      </w:r>
      <w:r w:rsidR="007233B9">
        <w:rPr>
          <w:rFonts w:ascii="Arial" w:hAnsi="Arial" w:cs="Arial"/>
          <w:b/>
          <w:smallCaps/>
          <w:sz w:val="28"/>
          <w:szCs w:val="28"/>
          <w:lang w:val="bg-BG"/>
        </w:rPr>
        <w:t>У</w:t>
      </w:r>
      <w:r w:rsidR="002031B6" w:rsidRPr="002031B6">
        <w:rPr>
          <w:rFonts w:ascii="Arial" w:hAnsi="Arial" w:cs="Arial"/>
          <w:b/>
          <w:smallCaps/>
          <w:sz w:val="28"/>
          <w:szCs w:val="28"/>
          <w:lang w:val="bg-BG"/>
        </w:rPr>
        <w:t xml:space="preserve">правителния съвет на </w:t>
      </w:r>
      <w:r w:rsidR="007233B9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2031B6" w:rsidRPr="002031B6">
        <w:rPr>
          <w:rFonts w:ascii="Arial" w:hAnsi="Arial" w:cs="Arial"/>
          <w:b/>
          <w:smallCaps/>
          <w:sz w:val="28"/>
          <w:szCs w:val="28"/>
          <w:lang w:val="bg-BG"/>
        </w:rPr>
        <w:t xml:space="preserve">ържавния фонд за гарантиране устойчивост на държавната пенсионна система, изменено с решения на </w:t>
      </w:r>
      <w:r w:rsidR="007233B9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2031B6" w:rsidRPr="002031B6">
        <w:rPr>
          <w:rFonts w:ascii="Arial" w:hAnsi="Arial" w:cs="Arial"/>
          <w:b/>
          <w:smallCaps/>
          <w:sz w:val="28"/>
          <w:szCs w:val="28"/>
          <w:lang w:val="bg-BG"/>
        </w:rPr>
        <w:t>инистерския съвет № 729 и 843 от 2010 г., № 891 от 2011 г., № 1012 от 2012 г., № 797 от 2013 г., № 821 от 2014 г., № 987 от 2015 г., № 171, 608 и 1043 от 2016 г., № 647 и 772 от 2017 г., № 846 от 2018 г., № 714 от 2019 г., № 8 и 836 от 2020 г., № 487, 711 и 796 от 2021 г.</w:t>
      </w:r>
      <w:r w:rsidR="007233B9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2031B6" w:rsidRPr="002031B6">
        <w:rPr>
          <w:rFonts w:ascii="Arial" w:hAnsi="Arial" w:cs="Arial"/>
          <w:b/>
          <w:smallCaps/>
          <w:sz w:val="28"/>
          <w:szCs w:val="28"/>
          <w:lang w:val="bg-BG"/>
        </w:rPr>
        <w:t xml:space="preserve"> № 273, 610 и 912 от 2022 г., № 809 от 2023 г. и № 876 от 2024 г.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4D618E6B" w:rsidR="006A23A3" w:rsidRPr="00082B5C" w:rsidRDefault="002031B6" w:rsidP="00735783">
      <w:pPr>
        <w:pStyle w:val="BodyText"/>
        <w:spacing w:line="288" w:lineRule="auto"/>
        <w:ind w:right="45" w:firstLine="1134"/>
        <w:jc w:val="both"/>
        <w:rPr>
          <w:b w:val="0"/>
          <w:sz w:val="28"/>
          <w:szCs w:val="28"/>
        </w:rPr>
      </w:pPr>
      <w:r w:rsidRPr="002031B6">
        <w:rPr>
          <w:b w:val="0"/>
          <w:sz w:val="28"/>
          <w:szCs w:val="28"/>
        </w:rPr>
        <w:t xml:space="preserve">На основание чл. 2, ал. 7 във връзка с чл. 2, ал. 3, т. 4 и </w:t>
      </w:r>
      <w:r>
        <w:rPr>
          <w:b w:val="0"/>
          <w:sz w:val="28"/>
          <w:szCs w:val="28"/>
        </w:rPr>
        <w:br/>
      </w:r>
      <w:r w:rsidRPr="002031B6">
        <w:rPr>
          <w:b w:val="0"/>
          <w:sz w:val="28"/>
          <w:szCs w:val="28"/>
        </w:rPr>
        <w:t>ал. 4 от Закона за Държавния фонд за гарантиране устойчивост на държавната пенсионна система</w:t>
      </w:r>
    </w:p>
    <w:p w14:paraId="1A8DB381" w14:textId="77777777" w:rsidR="006A23A3" w:rsidRPr="00735783" w:rsidRDefault="006A23A3" w:rsidP="006A23A3">
      <w:pPr>
        <w:jc w:val="center"/>
        <w:rPr>
          <w:rFonts w:ascii="Arial" w:hAnsi="Arial"/>
          <w:b/>
          <w:sz w:val="16"/>
          <w:szCs w:val="16"/>
          <w:lang w:val="bg-BG"/>
        </w:rPr>
      </w:pPr>
    </w:p>
    <w:p w14:paraId="492C19D4" w14:textId="77777777" w:rsidR="006A23A3" w:rsidRPr="00735783" w:rsidRDefault="006A23A3" w:rsidP="006A23A3">
      <w:pPr>
        <w:jc w:val="center"/>
        <w:rPr>
          <w:rFonts w:ascii="Arial" w:hAnsi="Arial"/>
          <w:b/>
          <w:sz w:val="16"/>
          <w:szCs w:val="16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735783" w:rsidRDefault="006A23A3" w:rsidP="006A23A3">
      <w:pPr>
        <w:jc w:val="center"/>
        <w:rPr>
          <w:rFonts w:ascii="Arial" w:hAnsi="Arial"/>
          <w:b/>
          <w:sz w:val="16"/>
          <w:szCs w:val="16"/>
          <w:lang w:val="bg-BG"/>
        </w:rPr>
      </w:pPr>
    </w:p>
    <w:p w14:paraId="75CE9D62" w14:textId="77777777" w:rsidR="006A23A3" w:rsidRPr="00735783" w:rsidRDefault="006A23A3" w:rsidP="006A23A3">
      <w:pPr>
        <w:jc w:val="center"/>
        <w:rPr>
          <w:rFonts w:ascii="Arial" w:hAnsi="Arial"/>
          <w:b/>
          <w:sz w:val="16"/>
          <w:szCs w:val="16"/>
          <w:lang w:val="bg-BG"/>
        </w:rPr>
      </w:pPr>
    </w:p>
    <w:p w14:paraId="199D9FA9" w14:textId="2E6C478F" w:rsidR="002031B6" w:rsidRPr="002031B6" w:rsidRDefault="002031B6" w:rsidP="00735783">
      <w:pPr>
        <w:spacing w:before="8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031B6">
        <w:rPr>
          <w:rFonts w:ascii="Arial" w:hAnsi="Arial"/>
          <w:b/>
          <w:sz w:val="28"/>
          <w:szCs w:val="28"/>
          <w:lang w:val="bg-BG"/>
        </w:rPr>
        <w:t>1.</w:t>
      </w:r>
      <w:r w:rsidRPr="002031B6">
        <w:rPr>
          <w:rFonts w:ascii="Arial" w:hAnsi="Arial"/>
          <w:bCs/>
          <w:sz w:val="28"/>
          <w:szCs w:val="28"/>
          <w:lang w:val="bg-BG"/>
        </w:rPr>
        <w:t xml:space="preserve"> В т. 1 думите „ЛЮБОМИР ПЕЙНОВСКИ” се заменят с „ТОДОР ТАБАКОВ”.</w:t>
      </w:r>
    </w:p>
    <w:p w14:paraId="0EA77AB3" w14:textId="3B126A26" w:rsidR="00F82DF7" w:rsidRPr="003E5B92" w:rsidRDefault="002031B6" w:rsidP="00735783">
      <w:pPr>
        <w:spacing w:before="8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031B6">
        <w:rPr>
          <w:rFonts w:ascii="Arial" w:hAnsi="Arial"/>
          <w:b/>
          <w:sz w:val="28"/>
          <w:szCs w:val="28"/>
          <w:lang w:val="bg-BG"/>
        </w:rPr>
        <w:t>2.</w:t>
      </w:r>
      <w:r w:rsidRPr="002031B6">
        <w:rPr>
          <w:rFonts w:ascii="Arial" w:hAnsi="Arial"/>
          <w:bCs/>
          <w:sz w:val="28"/>
          <w:szCs w:val="28"/>
          <w:lang w:val="bg-BG"/>
        </w:rPr>
        <w:t xml:space="preserve"> Решението влиза в сила от 1 януари 2026 г.</w:t>
      </w:r>
    </w:p>
    <w:p w14:paraId="2E5E0CF9" w14:textId="77777777" w:rsidR="00F82DF7" w:rsidRPr="00955772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 w:val="16"/>
          <w:szCs w:val="16"/>
          <w:lang w:val="bg-BG"/>
        </w:rPr>
      </w:pPr>
    </w:p>
    <w:p w14:paraId="56200B6F" w14:textId="77777777" w:rsidR="00955772" w:rsidRPr="00955772" w:rsidRDefault="00955772" w:rsidP="006A23A3">
      <w:pPr>
        <w:spacing w:before="80" w:after="80"/>
        <w:ind w:right="9" w:firstLine="1134"/>
        <w:jc w:val="both"/>
        <w:rPr>
          <w:rFonts w:ascii="Arial" w:hAnsi="Arial"/>
          <w:b/>
          <w:sz w:val="16"/>
          <w:szCs w:val="16"/>
          <w:lang w:val="bg-BG"/>
        </w:rPr>
      </w:pPr>
    </w:p>
    <w:p w14:paraId="6ED53EFD" w14:textId="77777777" w:rsidR="008E6A3D" w:rsidRPr="00955772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 w:val="16"/>
          <w:szCs w:val="16"/>
          <w:lang w:val="bg-BG"/>
        </w:rPr>
      </w:pPr>
    </w:p>
    <w:p w14:paraId="0665296D" w14:textId="77777777" w:rsidR="00955772" w:rsidRPr="00657F87" w:rsidRDefault="0095577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71F2DDA9" w14:textId="77777777" w:rsidR="00955772" w:rsidRPr="001745AF" w:rsidRDefault="00955772">
      <w:pPr>
        <w:ind w:firstLine="1134"/>
        <w:rPr>
          <w:rFonts w:ascii="Arial" w:hAnsi="Arial" w:cs="Arial"/>
          <w:b/>
          <w:lang w:val="en-US"/>
        </w:rPr>
      </w:pPr>
    </w:p>
    <w:p w14:paraId="0D2E9CE6" w14:textId="77777777" w:rsidR="00955772" w:rsidRPr="00657F87" w:rsidRDefault="0095577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5045EAD0" w14:textId="77777777" w:rsidR="00955772" w:rsidRPr="00657F87" w:rsidRDefault="0095577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254DFD70" w14:textId="77777777" w:rsidR="00955772" w:rsidRPr="00657F87" w:rsidRDefault="00955772">
      <w:pPr>
        <w:ind w:left="1134"/>
        <w:rPr>
          <w:rFonts w:ascii="Arial" w:hAnsi="Arial" w:cs="Arial"/>
          <w:b/>
        </w:rPr>
      </w:pPr>
    </w:p>
    <w:sectPr w:rsidR="00955772" w:rsidRPr="00657F87" w:rsidSect="001D0D21">
      <w:headerReference w:type="default" r:id="rId7"/>
      <w:footerReference w:type="default" r:id="rId8"/>
      <w:footerReference w:type="first" r:id="rId9"/>
      <w:pgSz w:w="11906" w:h="16838"/>
      <w:pgMar w:top="426" w:right="1417" w:bottom="851" w:left="1417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16AC" w14:textId="77777777" w:rsidR="00285122" w:rsidRDefault="00285122" w:rsidP="00EA7858">
      <w:r>
        <w:separator/>
      </w:r>
    </w:p>
  </w:endnote>
  <w:endnote w:type="continuationSeparator" w:id="0">
    <w:p w14:paraId="7124EC46" w14:textId="77777777" w:rsidR="00285122" w:rsidRDefault="00285122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04CC5183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1D0D21" w:rsidRPr="001D0D21">
            <w:rPr>
              <w:rFonts w:ascii="NewSaturionCyr" w:hAnsi="NewSaturionCyr"/>
              <w:noProof/>
              <w:sz w:val="16"/>
              <w:szCs w:val="16"/>
            </w:rPr>
            <w:t>AG-ДФ</w:t>
          </w:r>
          <w:r w:rsidR="001D0D21">
            <w:rPr>
              <w:rFonts w:ascii="NewSaturionCyr" w:hAnsi="NewSaturionCyr"/>
              <w:noProof/>
              <w:sz w:val="16"/>
              <w:szCs w:val="16"/>
              <w:lang w:val="bg-BG"/>
            </w:rPr>
            <w:t>_ПЕНСИОННА СИСТЕМА.DOCX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47006591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460849B4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A3C6" w14:textId="77777777" w:rsidR="00285122" w:rsidRDefault="00285122" w:rsidP="00EA7858">
      <w:r>
        <w:separator/>
      </w:r>
    </w:p>
  </w:footnote>
  <w:footnote w:type="continuationSeparator" w:id="0">
    <w:p w14:paraId="1EFF8B63" w14:textId="77777777" w:rsidR="00285122" w:rsidRDefault="00285122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5693C"/>
    <w:rsid w:val="00186431"/>
    <w:rsid w:val="0019177E"/>
    <w:rsid w:val="001A321D"/>
    <w:rsid w:val="001C2FAC"/>
    <w:rsid w:val="001D0D21"/>
    <w:rsid w:val="002031B6"/>
    <w:rsid w:val="00216EAC"/>
    <w:rsid w:val="00272DA7"/>
    <w:rsid w:val="0028109D"/>
    <w:rsid w:val="00285122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6380F"/>
    <w:rsid w:val="004A3E94"/>
    <w:rsid w:val="004B24BC"/>
    <w:rsid w:val="004E546E"/>
    <w:rsid w:val="00502794"/>
    <w:rsid w:val="00550843"/>
    <w:rsid w:val="00553A4B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646E4"/>
    <w:rsid w:val="006772E5"/>
    <w:rsid w:val="006965CE"/>
    <w:rsid w:val="006A23A3"/>
    <w:rsid w:val="00716DE7"/>
    <w:rsid w:val="007233B9"/>
    <w:rsid w:val="00735783"/>
    <w:rsid w:val="008035D5"/>
    <w:rsid w:val="008115F4"/>
    <w:rsid w:val="0081442E"/>
    <w:rsid w:val="00826E1C"/>
    <w:rsid w:val="0084590B"/>
    <w:rsid w:val="00861C48"/>
    <w:rsid w:val="008A5450"/>
    <w:rsid w:val="008E6A3D"/>
    <w:rsid w:val="008F5E31"/>
    <w:rsid w:val="00955772"/>
    <w:rsid w:val="009771B1"/>
    <w:rsid w:val="0098207A"/>
    <w:rsid w:val="009B3C35"/>
    <w:rsid w:val="009D35C7"/>
    <w:rsid w:val="00A00D69"/>
    <w:rsid w:val="00A63B3A"/>
    <w:rsid w:val="00A97B93"/>
    <w:rsid w:val="00B45436"/>
    <w:rsid w:val="00B70065"/>
    <w:rsid w:val="00BA5C3F"/>
    <w:rsid w:val="00BA636B"/>
    <w:rsid w:val="00BA7CDC"/>
    <w:rsid w:val="00BD518E"/>
    <w:rsid w:val="00C8622C"/>
    <w:rsid w:val="00D15FDE"/>
    <w:rsid w:val="00D27829"/>
    <w:rsid w:val="00D54980"/>
    <w:rsid w:val="00D67610"/>
    <w:rsid w:val="00D95F5D"/>
    <w:rsid w:val="00DB439D"/>
    <w:rsid w:val="00DC5A0E"/>
    <w:rsid w:val="00DE1DDC"/>
    <w:rsid w:val="00DE4A2E"/>
    <w:rsid w:val="00DF44FF"/>
    <w:rsid w:val="00E02481"/>
    <w:rsid w:val="00E12A20"/>
    <w:rsid w:val="00E43750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2026-01-09T09:23:00Z</cp:lastPrinted>
  <dcterms:created xsi:type="dcterms:W3CDTF">2026-01-12T11:37:00Z</dcterms:created>
  <dcterms:modified xsi:type="dcterms:W3CDTF">2026-01-12T11:37:00Z</dcterms:modified>
</cp:coreProperties>
</file>