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13574929"/>
        <w:docPartObj>
          <w:docPartGallery w:val="Cover Pages"/>
          <w:docPartUnique/>
        </w:docPartObj>
      </w:sdtPr>
      <w:sdtEndPr/>
      <w:sdtContent>
        <w:p w14:paraId="22B25311" w14:textId="77777777" w:rsidR="00B105A1" w:rsidRPr="005F49B3" w:rsidRDefault="00B105A1" w:rsidP="00B105A1">
          <w:pPr>
            <w:jc w:val="center"/>
            <w:rPr>
              <w:rFonts w:ascii="Times New Roman" w:hAnsi="Times New Roman" w:cs="Times New Roman"/>
            </w:rPr>
          </w:pPr>
          <w:r w:rsidRPr="005F49B3">
            <w:rPr>
              <w:rFonts w:ascii="Times New Roman" w:hAnsi="Times New Roman" w:cs="Times New Roman"/>
              <w:noProof/>
              <w:sz w:val="20"/>
              <w:szCs w:val="20"/>
              <w:lang w:eastAsia="bg-BG"/>
            </w:rPr>
            <w:drawing>
              <wp:inline distT="0" distB="0" distL="0" distR="0" wp14:anchorId="522A04D3" wp14:editId="3107F915">
                <wp:extent cx="856846" cy="75235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86265" cy="778186"/>
                        </a:xfrm>
                        <a:prstGeom prst="rect">
                          <a:avLst/>
                        </a:prstGeom>
                      </pic:spPr>
                    </pic:pic>
                  </a:graphicData>
                </a:graphic>
              </wp:inline>
            </w:drawing>
          </w:r>
        </w:p>
        <w:p w14:paraId="2E2989CB" w14:textId="77777777" w:rsidR="00B105A1" w:rsidRPr="005F49B3" w:rsidRDefault="00B105A1" w:rsidP="00B105A1">
          <w:pPr>
            <w:spacing w:line="276" w:lineRule="auto"/>
            <w:jc w:val="center"/>
            <w:rPr>
              <w:rFonts w:ascii="Times New Roman" w:hAnsi="Times New Roman" w:cs="Times New Roman"/>
              <w:b/>
              <w:sz w:val="32"/>
              <w:szCs w:val="36"/>
            </w:rPr>
          </w:pPr>
          <w:r w:rsidRPr="005F49B3">
            <w:rPr>
              <w:rFonts w:ascii="Times New Roman" w:hAnsi="Times New Roman" w:cs="Times New Roman"/>
              <w:b/>
              <w:sz w:val="32"/>
              <w:szCs w:val="36"/>
            </w:rPr>
            <w:t>РЕПУБЛИКА БЪЛГАРИЯ</w:t>
          </w:r>
        </w:p>
        <w:p w14:paraId="0A9809B1" w14:textId="77777777" w:rsidR="00B105A1" w:rsidRPr="005F49B3" w:rsidRDefault="00B105A1" w:rsidP="00B105A1">
          <w:pPr>
            <w:pStyle w:val="Header"/>
            <w:spacing w:line="276" w:lineRule="auto"/>
            <w:jc w:val="center"/>
            <w:rPr>
              <w:rFonts w:ascii="Times New Roman" w:hAnsi="Times New Roman" w:cs="Times New Roman"/>
              <w:b/>
              <w:spacing w:val="80"/>
              <w:sz w:val="36"/>
              <w:szCs w:val="40"/>
            </w:rPr>
          </w:pPr>
          <w:r w:rsidRPr="005F49B3">
            <w:rPr>
              <w:rFonts w:ascii="Times New Roman" w:hAnsi="Times New Roman" w:cs="Times New Roman"/>
              <w:b/>
              <w:spacing w:val="80"/>
              <w:sz w:val="36"/>
              <w:szCs w:val="40"/>
            </w:rPr>
            <w:t>МИНИСТЕРСКИ СЪВЕТ</w:t>
          </w:r>
        </w:p>
        <w:p w14:paraId="05B86FB8" w14:textId="77777777" w:rsidR="00B105A1" w:rsidRPr="005F49B3" w:rsidRDefault="00B105A1" w:rsidP="00B105A1">
          <w:pPr>
            <w:pStyle w:val="Header"/>
            <w:rPr>
              <w:rFonts w:ascii="Times New Roman" w:hAnsi="Times New Roman" w:cs="Times New Roman"/>
              <w:b/>
              <w:spacing w:val="80"/>
              <w:sz w:val="40"/>
              <w:szCs w:val="40"/>
            </w:rPr>
          </w:pPr>
          <w:r w:rsidRPr="005F49B3">
            <w:rPr>
              <w:rFonts w:ascii="Times New Roman" w:hAnsi="Times New Roman" w:cs="Times New Roman"/>
              <w:noProof/>
              <w:lang w:eastAsia="bg-BG"/>
            </w:rPr>
            <mc:AlternateContent>
              <mc:Choice Requires="wps">
                <w:drawing>
                  <wp:anchor distT="0" distB="0" distL="114300" distR="114300" simplePos="0" relativeHeight="251659264" behindDoc="0" locked="0" layoutInCell="1" allowOverlap="1" wp14:anchorId="19EB59B9" wp14:editId="74DDBF6F">
                    <wp:simplePos x="0" y="0"/>
                    <wp:positionH relativeFrom="column">
                      <wp:posOffset>0</wp:posOffset>
                    </wp:positionH>
                    <wp:positionV relativeFrom="paragraph">
                      <wp:posOffset>19050</wp:posOffset>
                    </wp:positionV>
                    <wp:extent cx="5943600" cy="0"/>
                    <wp:effectExtent l="0" t="19050" r="38100" b="3810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w="539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E5F2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9XWxAEAAO8DAAAOAAAAZHJzL2Uyb0RvYy54bWysU8FuGyEQvVfqPyDu9a6TJm1WXueQKL1U&#10;bdSmH0Bg8KICg4B613/fAdvrKK0UpeqFXYZ5b+a9gdX15CzbQkwGfc+Xi5Yz8BKV8Zue/3i4e/eR&#10;s5SFV8Kih57vIPHr9ds3qzF0cIYDWgWREYlP3Rh6PuQcuqZJcgAn0gIDeDrUGJ3ItI2bRkUxEruz&#10;zVnbXjYjRhUiSkiJorf7Q76u/FqDzF+1TpCZ7Tn1lusa6/pY1ma9Et0mijAYeWhD/EMXThhPRWeq&#10;W5EF+xXNH1TOyIgJdV5IdA1qbSRUDaRm2T5T830QAaoWMieF2ab0/2jll+2Nv49kwxhSl8J9LCom&#10;HV35Un9sqmbtZrNgykxS8OLq/fllS57K41lzAoaY8idAx8pPz63xRYfoxPZzylSMUo8pJWw9G4nx&#10;/OrDBfG5oHqeaSA/H4aDrQmtUXfG2pJdLwfc2Mi2gsaap2UZI1E+yaKd9RQ8qap/eWdhX/AbaGYU&#10;6VjWxp5xCinB5yOv9ZRdYJo6mIHty8BDfoFCvYyvAc+IWhl9nsHOeIx/q36yQu/zjw7sdRcLHlHt&#10;6ryrNXSrqnOHF1Cu7dN9hZ/e6fo3AAAA//8DAFBLAwQUAAYACAAAACEATJ01+NsAAAAEAQAADwAA&#10;AGRycy9kb3ducmV2LnhtbEyPQUvDQBCF74L/YRnBi9iNjbQaMykiFQ8V1Frwus2OSTA7u2S3bfrv&#10;Hb3oaebxhjffKxej69Wehth5RriaZKCIa287bhA274+XN6BiMmxN75kQjhRhUZ2elKaw/sBvtF+n&#10;RkkIx8IgtCmFQutYt+RMnPhALN6nH5xJIodG28EcJNz1epplM+1Mx/KhNYEeWqq/1juHsLqeL5+X&#10;q6dwcdzMP17Caz5OHSOen433d6ASjenvGH7wBR0qYdr6HduoegQpkhByGWLe5jNZtr9aV6X+D199&#10;AwAA//8DAFBLAQItABQABgAIAAAAIQC2gziS/gAAAOEBAAATAAAAAAAAAAAAAAAAAAAAAABbQ29u&#10;dGVudF9UeXBlc10ueG1sUEsBAi0AFAAGAAgAAAAhADj9If/WAAAAlAEAAAsAAAAAAAAAAAAAAAAA&#10;LwEAAF9yZWxzLy5yZWxzUEsBAi0AFAAGAAgAAAAhAFQT1dbEAQAA7wMAAA4AAAAAAAAAAAAAAAAA&#10;LgIAAGRycy9lMm9Eb2MueG1sUEsBAi0AFAAGAAgAAAAhAEydNfjbAAAABAEAAA8AAAAAAAAAAAAA&#10;AAAAHgQAAGRycy9kb3ducmV2LnhtbFBLBQYAAAAABAAEAPMAAAAmBQAAAAA=&#10;" strokecolor="black [3213]" strokeweight="4.25pt">
                    <v:stroke linestyle="thickThin" joinstyle="miter"/>
                  </v:line>
                </w:pict>
              </mc:Fallback>
            </mc:AlternateContent>
          </w:r>
        </w:p>
        <w:p w14:paraId="0FA2A3F6" w14:textId="77777777" w:rsidR="00B105A1" w:rsidRPr="005F49B3" w:rsidRDefault="00B105A1" w:rsidP="00B105A1">
          <w:pPr>
            <w:pStyle w:val="Header"/>
          </w:pPr>
        </w:p>
        <w:p w14:paraId="6D78DE18" w14:textId="77777777" w:rsidR="00B105A1" w:rsidRPr="005F49B3" w:rsidRDefault="00B105A1" w:rsidP="00B105A1">
          <w:pPr>
            <w:rPr>
              <w:rFonts w:ascii="Times New Roman" w:hAnsi="Times New Roman" w:cs="Times New Roman"/>
            </w:rPr>
          </w:pPr>
        </w:p>
        <w:p w14:paraId="50ED34BB" w14:textId="77777777" w:rsidR="00B105A1" w:rsidRPr="005F49B3" w:rsidRDefault="00B105A1" w:rsidP="00B105A1">
          <w:pPr>
            <w:rPr>
              <w:rFonts w:ascii="Times New Roman" w:hAnsi="Times New Roman" w:cs="Times New Roman"/>
            </w:rPr>
          </w:pPr>
        </w:p>
        <w:p w14:paraId="370CC712" w14:textId="77777777" w:rsidR="00B105A1" w:rsidRPr="005F49B3" w:rsidRDefault="00B105A1" w:rsidP="00B105A1">
          <w:pPr>
            <w:rPr>
              <w:rFonts w:ascii="Times New Roman" w:hAnsi="Times New Roman" w:cs="Times New Roman"/>
            </w:rPr>
          </w:pPr>
        </w:p>
        <w:p w14:paraId="003DCEEA" w14:textId="77777777" w:rsidR="00B105A1" w:rsidRPr="005F49B3" w:rsidRDefault="00B105A1" w:rsidP="00B105A1">
          <w:pPr>
            <w:tabs>
              <w:tab w:val="left" w:pos="2998"/>
            </w:tabs>
            <w:rPr>
              <w:rFonts w:ascii="Times New Roman" w:hAnsi="Times New Roman" w:cs="Times New Roman"/>
            </w:rPr>
          </w:pPr>
          <w:r w:rsidRPr="005F49B3">
            <w:rPr>
              <w:rFonts w:ascii="Times New Roman" w:hAnsi="Times New Roman" w:cs="Times New Roman"/>
            </w:rPr>
            <w:tab/>
          </w:r>
        </w:p>
        <w:p w14:paraId="5E37A486" w14:textId="77777777" w:rsidR="00B105A1" w:rsidRPr="005F49B3" w:rsidRDefault="00B105A1" w:rsidP="00B105A1">
          <w:pPr>
            <w:rPr>
              <w:rFonts w:ascii="Times New Roman" w:hAnsi="Times New Roman" w:cs="Times New Roman"/>
            </w:rPr>
          </w:pPr>
        </w:p>
        <w:p w14:paraId="17AF8765" w14:textId="77777777" w:rsidR="00B105A1" w:rsidRPr="005F49B3" w:rsidRDefault="00B105A1" w:rsidP="00B105A1">
          <w:pPr>
            <w:rPr>
              <w:rFonts w:ascii="Times New Roman" w:hAnsi="Times New Roman" w:cs="Times New Roman"/>
            </w:rPr>
          </w:pPr>
        </w:p>
        <w:p w14:paraId="43E9DFF8" w14:textId="77777777" w:rsidR="00B105A1" w:rsidRPr="005F49B3" w:rsidRDefault="00B105A1" w:rsidP="00B105A1">
          <w:pPr>
            <w:spacing w:after="0" w:line="360" w:lineRule="atLeast"/>
            <w:jc w:val="center"/>
            <w:rPr>
              <w:rFonts w:ascii="Times New Roman" w:eastAsiaTheme="majorEastAsia" w:hAnsi="Times New Roman" w:cs="Times New Roman"/>
              <w:b/>
              <w:sz w:val="64"/>
              <w:szCs w:val="64"/>
            </w:rPr>
          </w:pPr>
          <w:r w:rsidRPr="005F49B3">
            <w:rPr>
              <w:rFonts w:ascii="Times New Roman" w:eastAsiaTheme="majorEastAsia" w:hAnsi="Times New Roman" w:cs="Times New Roman"/>
              <w:b/>
              <w:sz w:val="64"/>
              <w:szCs w:val="64"/>
            </w:rPr>
            <w:t>Доклад</w:t>
          </w:r>
        </w:p>
        <w:p w14:paraId="7E42025C" w14:textId="77777777" w:rsidR="00B105A1" w:rsidRPr="005F49B3" w:rsidRDefault="00B105A1" w:rsidP="00B105A1">
          <w:pPr>
            <w:spacing w:after="0" w:line="360" w:lineRule="atLeast"/>
            <w:jc w:val="center"/>
            <w:rPr>
              <w:rFonts w:ascii="Times New Roman" w:eastAsiaTheme="majorEastAsia" w:hAnsi="Times New Roman" w:cs="Times New Roman"/>
              <w:sz w:val="44"/>
              <w:szCs w:val="44"/>
            </w:rPr>
          </w:pPr>
          <w:r w:rsidRPr="005F49B3">
            <w:rPr>
              <w:rFonts w:ascii="Times New Roman" w:eastAsiaTheme="majorEastAsia" w:hAnsi="Times New Roman" w:cs="Times New Roman"/>
              <w:sz w:val="44"/>
              <w:szCs w:val="44"/>
            </w:rPr>
            <w:t>за</w:t>
          </w:r>
        </w:p>
        <w:p w14:paraId="45617863" w14:textId="77777777" w:rsidR="00B105A1" w:rsidRPr="005F49B3" w:rsidRDefault="00B105A1" w:rsidP="00B105A1">
          <w:pPr>
            <w:spacing w:after="0" w:line="360" w:lineRule="atLeast"/>
            <w:jc w:val="center"/>
            <w:rPr>
              <w:rFonts w:ascii="Times New Roman" w:eastAsiaTheme="majorEastAsia" w:hAnsi="Times New Roman" w:cs="Times New Roman"/>
              <w:sz w:val="44"/>
              <w:szCs w:val="44"/>
            </w:rPr>
          </w:pPr>
          <w:r w:rsidRPr="005F49B3">
            <w:rPr>
              <w:rFonts w:ascii="Times New Roman" w:eastAsiaTheme="majorEastAsia" w:hAnsi="Times New Roman" w:cs="Times New Roman"/>
              <w:sz w:val="44"/>
              <w:szCs w:val="44"/>
            </w:rPr>
            <w:t>състоянието на</w:t>
          </w:r>
        </w:p>
        <w:p w14:paraId="47543645" w14:textId="77777777" w:rsidR="00C1574F" w:rsidRPr="005F49B3" w:rsidRDefault="00B105A1" w:rsidP="00B105A1">
          <w:pPr>
            <w:spacing w:after="0" w:line="360" w:lineRule="atLeast"/>
            <w:jc w:val="center"/>
            <w:rPr>
              <w:rFonts w:ascii="Times New Roman" w:eastAsiaTheme="majorEastAsia" w:hAnsi="Times New Roman" w:cs="Times New Roman"/>
              <w:sz w:val="44"/>
              <w:szCs w:val="44"/>
            </w:rPr>
          </w:pPr>
          <w:r w:rsidRPr="005F49B3">
            <w:rPr>
              <w:rFonts w:ascii="Times New Roman" w:eastAsiaTheme="majorEastAsia" w:hAnsi="Times New Roman" w:cs="Times New Roman"/>
              <w:sz w:val="44"/>
              <w:szCs w:val="44"/>
            </w:rPr>
            <w:t xml:space="preserve">националната сигурност на </w:t>
          </w:r>
        </w:p>
        <w:p w14:paraId="04B2D9C6" w14:textId="77777777" w:rsidR="00E00D49" w:rsidRPr="005F49B3" w:rsidRDefault="00B105A1" w:rsidP="00B105A1">
          <w:pPr>
            <w:spacing w:after="0" w:line="360" w:lineRule="atLeast"/>
            <w:jc w:val="center"/>
            <w:rPr>
              <w:rFonts w:ascii="Times New Roman" w:eastAsiaTheme="majorEastAsia" w:hAnsi="Times New Roman" w:cs="Times New Roman"/>
              <w:sz w:val="44"/>
              <w:szCs w:val="44"/>
            </w:rPr>
          </w:pPr>
          <w:r w:rsidRPr="005F49B3">
            <w:rPr>
              <w:rFonts w:ascii="Times New Roman" w:eastAsiaTheme="majorEastAsia" w:hAnsi="Times New Roman" w:cs="Times New Roman"/>
              <w:sz w:val="44"/>
              <w:szCs w:val="44"/>
            </w:rPr>
            <w:t xml:space="preserve">Република България </w:t>
          </w:r>
        </w:p>
        <w:p w14:paraId="5C593933" w14:textId="77777777" w:rsidR="00B105A1" w:rsidRPr="005F49B3" w:rsidRDefault="00846C8A" w:rsidP="00B105A1">
          <w:pPr>
            <w:spacing w:after="0" w:line="360" w:lineRule="atLeast"/>
            <w:jc w:val="center"/>
            <w:rPr>
              <w:rFonts w:ascii="Times New Roman" w:eastAsiaTheme="majorEastAsia" w:hAnsi="Times New Roman" w:cs="Times New Roman"/>
              <w:sz w:val="44"/>
              <w:szCs w:val="44"/>
            </w:rPr>
          </w:pPr>
          <w:r w:rsidRPr="005F49B3">
            <w:rPr>
              <w:rFonts w:ascii="Times New Roman" w:eastAsiaTheme="majorEastAsia" w:hAnsi="Times New Roman" w:cs="Times New Roman"/>
              <w:sz w:val="44"/>
              <w:szCs w:val="44"/>
            </w:rPr>
            <w:t>през 2024</w:t>
          </w:r>
          <w:r w:rsidR="00B105A1" w:rsidRPr="005F49B3">
            <w:rPr>
              <w:rFonts w:ascii="Times New Roman" w:eastAsiaTheme="majorEastAsia" w:hAnsi="Times New Roman" w:cs="Times New Roman"/>
              <w:sz w:val="44"/>
              <w:szCs w:val="44"/>
            </w:rPr>
            <w:t xml:space="preserve"> г.</w:t>
          </w:r>
        </w:p>
        <w:p w14:paraId="65F4432D" w14:textId="77777777" w:rsidR="00B105A1" w:rsidRPr="005F49B3" w:rsidRDefault="00B105A1" w:rsidP="00B105A1">
          <w:pPr>
            <w:spacing w:after="0" w:line="360" w:lineRule="atLeast"/>
            <w:jc w:val="center"/>
            <w:rPr>
              <w:rFonts w:ascii="Times New Roman" w:eastAsiaTheme="majorEastAsia" w:hAnsi="Times New Roman" w:cs="Times New Roman"/>
              <w:sz w:val="44"/>
              <w:szCs w:val="44"/>
            </w:rPr>
          </w:pPr>
        </w:p>
        <w:p w14:paraId="66C1F388" w14:textId="77777777" w:rsidR="00B105A1" w:rsidRPr="005F49B3" w:rsidRDefault="00B105A1" w:rsidP="00B105A1">
          <w:pPr>
            <w:spacing w:after="0" w:line="360" w:lineRule="atLeast"/>
            <w:rPr>
              <w:rFonts w:ascii="Times New Roman" w:eastAsiaTheme="majorEastAsia" w:hAnsi="Times New Roman" w:cs="Times New Roman"/>
              <w:sz w:val="44"/>
              <w:szCs w:val="44"/>
            </w:rPr>
          </w:pPr>
        </w:p>
        <w:p w14:paraId="39A88E9C" w14:textId="77777777" w:rsidR="00B105A1" w:rsidRPr="005F49B3" w:rsidRDefault="00B105A1" w:rsidP="00B105A1">
          <w:pPr>
            <w:spacing w:after="0" w:line="360" w:lineRule="atLeast"/>
            <w:jc w:val="center"/>
            <w:rPr>
              <w:rFonts w:ascii="Times New Roman" w:eastAsiaTheme="majorEastAsia" w:hAnsi="Times New Roman" w:cs="Times New Roman"/>
              <w:sz w:val="44"/>
              <w:szCs w:val="44"/>
            </w:rPr>
          </w:pPr>
        </w:p>
        <w:p w14:paraId="1273C739" w14:textId="77777777" w:rsidR="00B105A1" w:rsidRPr="005F49B3" w:rsidRDefault="00B105A1" w:rsidP="00B105A1">
          <w:pPr>
            <w:spacing w:after="0" w:line="360" w:lineRule="atLeast"/>
            <w:jc w:val="center"/>
            <w:rPr>
              <w:rFonts w:ascii="Times New Roman" w:eastAsiaTheme="majorEastAsia" w:hAnsi="Times New Roman" w:cs="Times New Roman"/>
              <w:sz w:val="44"/>
              <w:szCs w:val="44"/>
            </w:rPr>
          </w:pPr>
        </w:p>
        <w:p w14:paraId="7EAE934B" w14:textId="77777777" w:rsidR="00E00D49" w:rsidRPr="005F49B3" w:rsidRDefault="00E00D49" w:rsidP="00B105A1">
          <w:pPr>
            <w:spacing w:after="0" w:line="360" w:lineRule="atLeast"/>
            <w:jc w:val="center"/>
            <w:rPr>
              <w:rFonts w:ascii="Times New Roman" w:eastAsiaTheme="majorEastAsia" w:hAnsi="Times New Roman" w:cs="Times New Roman"/>
              <w:sz w:val="44"/>
              <w:szCs w:val="44"/>
            </w:rPr>
          </w:pPr>
        </w:p>
        <w:p w14:paraId="0A55B04A" w14:textId="77777777" w:rsidR="00B105A1" w:rsidRPr="005F49B3" w:rsidRDefault="00B105A1" w:rsidP="00B105A1">
          <w:pPr>
            <w:spacing w:after="0" w:line="360" w:lineRule="atLeast"/>
            <w:jc w:val="center"/>
            <w:rPr>
              <w:rFonts w:ascii="Times New Roman" w:hAnsi="Times New Roman" w:cs="Times New Roman"/>
              <w:sz w:val="32"/>
              <w:szCs w:val="28"/>
            </w:rPr>
          </w:pPr>
        </w:p>
        <w:p w14:paraId="1458CD18" w14:textId="77777777" w:rsidR="00B105A1" w:rsidRPr="005F49B3" w:rsidRDefault="00B105A1" w:rsidP="00B105A1">
          <w:pPr>
            <w:spacing w:after="0" w:line="360" w:lineRule="atLeast"/>
            <w:jc w:val="center"/>
            <w:rPr>
              <w:rFonts w:ascii="Times New Roman" w:hAnsi="Times New Roman" w:cs="Times New Roman"/>
              <w:sz w:val="32"/>
              <w:szCs w:val="28"/>
            </w:rPr>
          </w:pPr>
          <w:r w:rsidRPr="005F49B3">
            <w:rPr>
              <w:rFonts w:ascii="Times New Roman" w:hAnsi="Times New Roman" w:cs="Times New Roman"/>
              <w:sz w:val="32"/>
              <w:szCs w:val="28"/>
            </w:rPr>
            <w:t>София, 202</w:t>
          </w:r>
          <w:r w:rsidR="00846C8A" w:rsidRPr="005F49B3">
            <w:rPr>
              <w:rFonts w:ascii="Times New Roman" w:hAnsi="Times New Roman" w:cs="Times New Roman"/>
              <w:sz w:val="32"/>
              <w:szCs w:val="28"/>
              <w:lang w:val="en-US"/>
            </w:rPr>
            <w:t>5</w:t>
          </w:r>
          <w:r w:rsidRPr="005F49B3">
            <w:rPr>
              <w:rFonts w:ascii="Times New Roman" w:hAnsi="Times New Roman" w:cs="Times New Roman"/>
              <w:sz w:val="32"/>
              <w:szCs w:val="28"/>
            </w:rPr>
            <w:t xml:space="preserve"> г.</w:t>
          </w:r>
        </w:p>
        <w:p w14:paraId="2DC0CCC4" w14:textId="77777777" w:rsidR="00B105A1" w:rsidRPr="005F49B3" w:rsidRDefault="00C052D8" w:rsidP="00B105A1">
          <w:pPr>
            <w:spacing w:after="0" w:line="360" w:lineRule="atLeast"/>
            <w:jc w:val="center"/>
            <w:rPr>
              <w:rFonts w:ascii="Times New Roman" w:hAnsi="Times New Roman" w:cs="Times New Roman"/>
            </w:rPr>
          </w:pPr>
        </w:p>
      </w:sdtContent>
    </w:sdt>
    <w:p w14:paraId="587C33C6" w14:textId="77777777" w:rsidR="00B105A1" w:rsidRPr="005F49B3" w:rsidRDefault="00B105A1" w:rsidP="00576CCB">
      <w:pPr>
        <w:spacing w:after="0" w:line="276" w:lineRule="auto"/>
        <w:jc w:val="center"/>
        <w:rPr>
          <w:rFonts w:ascii="Times New Roman" w:hAnsi="Times New Roman" w:cs="Times New Roman"/>
          <w:sz w:val="24"/>
          <w:szCs w:val="24"/>
        </w:rPr>
      </w:pPr>
    </w:p>
    <w:p w14:paraId="16C162CA" w14:textId="0AB01D40" w:rsidR="00B105A1" w:rsidRPr="005F49B3" w:rsidRDefault="00757AC6" w:rsidP="003E3F4B">
      <w:pPr>
        <w:tabs>
          <w:tab w:val="left" w:pos="8085"/>
        </w:tabs>
        <w:spacing w:after="0" w:line="276" w:lineRule="auto"/>
        <w:rPr>
          <w:rFonts w:ascii="Times New Roman" w:hAnsi="Times New Roman" w:cs="Times New Roman"/>
          <w:sz w:val="24"/>
          <w:szCs w:val="24"/>
        </w:rPr>
      </w:pPr>
      <w:r>
        <w:rPr>
          <w:rFonts w:ascii="Times New Roman" w:hAnsi="Times New Roman" w:cs="Times New Roman"/>
          <w:sz w:val="24"/>
          <w:szCs w:val="24"/>
        </w:rPr>
        <w:tab/>
      </w:r>
    </w:p>
    <w:sdt>
      <w:sdtPr>
        <w:rPr>
          <w:rFonts w:ascii="Times New Roman" w:eastAsiaTheme="minorHAnsi" w:hAnsi="Times New Roman" w:cs="Times New Roman"/>
          <w:color w:val="auto"/>
          <w:sz w:val="24"/>
          <w:szCs w:val="24"/>
          <w:lang w:val="bg-BG"/>
        </w:rPr>
        <w:id w:val="-1626772816"/>
        <w:docPartObj>
          <w:docPartGallery w:val="Table of Contents"/>
          <w:docPartUnique/>
        </w:docPartObj>
      </w:sdtPr>
      <w:sdtEndPr>
        <w:rPr>
          <w:bCs/>
          <w:noProof/>
        </w:rPr>
      </w:sdtEndPr>
      <w:sdtContent>
        <w:p w14:paraId="13F7A1D9" w14:textId="77777777" w:rsidR="00957D3B" w:rsidRPr="00693604" w:rsidRDefault="00957D3B" w:rsidP="00F9637C">
          <w:pPr>
            <w:pStyle w:val="TOCHeading"/>
            <w:spacing w:line="276" w:lineRule="auto"/>
            <w:jc w:val="center"/>
            <w:rPr>
              <w:rFonts w:ascii="Times New Roman" w:hAnsi="Times New Roman" w:cs="Times New Roman"/>
              <w:b/>
              <w:sz w:val="28"/>
              <w:szCs w:val="36"/>
              <w:u w:val="single"/>
              <w:lang w:val="bg-BG"/>
            </w:rPr>
          </w:pPr>
          <w:r w:rsidRPr="00693604">
            <w:rPr>
              <w:rFonts w:ascii="Times New Roman" w:hAnsi="Times New Roman" w:cs="Times New Roman"/>
              <w:b/>
              <w:sz w:val="28"/>
              <w:szCs w:val="36"/>
              <w:u w:val="single"/>
              <w:lang w:val="bg-BG"/>
            </w:rPr>
            <w:t>Съдържание</w:t>
          </w:r>
        </w:p>
        <w:p w14:paraId="2E6BE9E2" w14:textId="62C955F4" w:rsidR="00693604" w:rsidRPr="00693604" w:rsidRDefault="00957D3B" w:rsidP="00E96574">
          <w:pPr>
            <w:pStyle w:val="TOC1"/>
            <w:rPr>
              <w:rFonts w:eastAsiaTheme="minorEastAsia"/>
              <w:kern w:val="2"/>
              <w:sz w:val="24"/>
              <w:szCs w:val="24"/>
              <w:lang w:eastAsia="bg-BG"/>
              <w14:ligatures w14:val="standardContextual"/>
            </w:rPr>
          </w:pPr>
          <w:r w:rsidRPr="00693604">
            <w:rPr>
              <w:noProof w:val="0"/>
              <w:highlight w:val="yellow"/>
            </w:rPr>
            <w:fldChar w:fldCharType="begin"/>
          </w:r>
          <w:r w:rsidRPr="00693604">
            <w:rPr>
              <w:highlight w:val="yellow"/>
            </w:rPr>
            <w:instrText xml:space="preserve"> TOC \o "1-3" \h \z \u </w:instrText>
          </w:r>
          <w:r w:rsidRPr="00693604">
            <w:rPr>
              <w:noProof w:val="0"/>
              <w:highlight w:val="yellow"/>
            </w:rPr>
            <w:fldChar w:fldCharType="separate"/>
          </w:r>
          <w:hyperlink w:anchor="_Toc208580363" w:history="1">
            <w:r w:rsidR="00693604" w:rsidRPr="00693604">
              <w:rPr>
                <w:rStyle w:val="Hyperlink"/>
                <w:b w:val="0"/>
                <w:bCs w:val="0"/>
              </w:rPr>
              <w:t>Списък на използваните съкращения</w:t>
            </w:r>
            <w:r w:rsidR="00693604" w:rsidRPr="00E96574">
              <w:rPr>
                <w:b w:val="0"/>
                <w:bCs w:val="0"/>
                <w:webHidden/>
              </w:rPr>
              <w:tab/>
            </w:r>
            <w:r w:rsidR="00693604" w:rsidRPr="00E96574">
              <w:rPr>
                <w:b w:val="0"/>
                <w:bCs w:val="0"/>
                <w:webHidden/>
              </w:rPr>
              <w:fldChar w:fldCharType="begin"/>
            </w:r>
            <w:r w:rsidR="00693604" w:rsidRPr="00E96574">
              <w:rPr>
                <w:b w:val="0"/>
                <w:bCs w:val="0"/>
                <w:webHidden/>
              </w:rPr>
              <w:instrText xml:space="preserve"> PAGEREF _Toc208580363 \h </w:instrText>
            </w:r>
            <w:r w:rsidR="00693604" w:rsidRPr="00E96574">
              <w:rPr>
                <w:b w:val="0"/>
                <w:bCs w:val="0"/>
                <w:webHidden/>
              </w:rPr>
            </w:r>
            <w:r w:rsidR="00693604" w:rsidRPr="00E96574">
              <w:rPr>
                <w:b w:val="0"/>
                <w:bCs w:val="0"/>
                <w:webHidden/>
              </w:rPr>
              <w:fldChar w:fldCharType="separate"/>
            </w:r>
            <w:r w:rsidR="00FE7555">
              <w:rPr>
                <w:b w:val="0"/>
                <w:bCs w:val="0"/>
                <w:webHidden/>
              </w:rPr>
              <w:t>3</w:t>
            </w:r>
            <w:r w:rsidR="00693604" w:rsidRPr="00E96574">
              <w:rPr>
                <w:b w:val="0"/>
                <w:bCs w:val="0"/>
                <w:webHidden/>
              </w:rPr>
              <w:fldChar w:fldCharType="end"/>
            </w:r>
          </w:hyperlink>
        </w:p>
        <w:p w14:paraId="7CF85FEF" w14:textId="74BAEFB4" w:rsidR="00693604" w:rsidRPr="00693604" w:rsidRDefault="00C052D8" w:rsidP="00E96574">
          <w:pPr>
            <w:pStyle w:val="TOC1"/>
            <w:rPr>
              <w:rFonts w:eastAsiaTheme="minorEastAsia"/>
              <w:kern w:val="2"/>
              <w:sz w:val="24"/>
              <w:szCs w:val="24"/>
              <w:lang w:eastAsia="bg-BG"/>
              <w14:ligatures w14:val="standardContextual"/>
            </w:rPr>
          </w:pPr>
          <w:hyperlink w:anchor="_Toc208580364" w:history="1">
            <w:r w:rsidR="00693604" w:rsidRPr="00693604">
              <w:rPr>
                <w:rStyle w:val="Hyperlink"/>
                <w:b w:val="0"/>
                <w:bCs w:val="0"/>
              </w:rPr>
              <w:t>АКЦЕНТИ</w:t>
            </w:r>
            <w:r w:rsidR="00693604" w:rsidRPr="00E96574">
              <w:rPr>
                <w:b w:val="0"/>
                <w:bCs w:val="0"/>
                <w:webHidden/>
              </w:rPr>
              <w:tab/>
            </w:r>
            <w:r w:rsidR="00693604" w:rsidRPr="00E96574">
              <w:rPr>
                <w:b w:val="0"/>
                <w:bCs w:val="0"/>
                <w:webHidden/>
              </w:rPr>
              <w:fldChar w:fldCharType="begin"/>
            </w:r>
            <w:r w:rsidR="00693604" w:rsidRPr="00E96574">
              <w:rPr>
                <w:b w:val="0"/>
                <w:bCs w:val="0"/>
                <w:webHidden/>
              </w:rPr>
              <w:instrText xml:space="preserve"> PAGEREF _Toc208580364 \h </w:instrText>
            </w:r>
            <w:r w:rsidR="00693604" w:rsidRPr="00E96574">
              <w:rPr>
                <w:b w:val="0"/>
                <w:bCs w:val="0"/>
                <w:webHidden/>
              </w:rPr>
            </w:r>
            <w:r w:rsidR="00693604" w:rsidRPr="00E96574">
              <w:rPr>
                <w:b w:val="0"/>
                <w:bCs w:val="0"/>
                <w:webHidden/>
              </w:rPr>
              <w:fldChar w:fldCharType="separate"/>
            </w:r>
            <w:r w:rsidR="00FE7555">
              <w:rPr>
                <w:b w:val="0"/>
                <w:bCs w:val="0"/>
                <w:webHidden/>
              </w:rPr>
              <w:t>5</w:t>
            </w:r>
            <w:r w:rsidR="00693604" w:rsidRPr="00E96574">
              <w:rPr>
                <w:b w:val="0"/>
                <w:bCs w:val="0"/>
                <w:webHidden/>
              </w:rPr>
              <w:fldChar w:fldCharType="end"/>
            </w:r>
          </w:hyperlink>
        </w:p>
        <w:p w14:paraId="5F85560C" w14:textId="5FE38B77" w:rsidR="00693604" w:rsidRPr="00E96574" w:rsidRDefault="00C052D8" w:rsidP="00E96574">
          <w:pPr>
            <w:pStyle w:val="TOC1"/>
            <w:rPr>
              <w:rFonts w:eastAsiaTheme="minorEastAsia"/>
              <w:kern w:val="2"/>
              <w:sz w:val="24"/>
              <w:szCs w:val="24"/>
              <w:lang w:eastAsia="bg-BG"/>
              <w14:ligatures w14:val="standardContextual"/>
            </w:rPr>
          </w:pPr>
          <w:hyperlink w:anchor="_Toc208580365" w:history="1">
            <w:r w:rsidR="00693604" w:rsidRPr="00E96574">
              <w:rPr>
                <w:rStyle w:val="Hyperlink"/>
              </w:rPr>
              <w:t>I.</w:t>
            </w:r>
            <w:r w:rsidR="00693604" w:rsidRPr="00E96574">
              <w:rPr>
                <w:rFonts w:eastAsiaTheme="minorEastAsia"/>
                <w:kern w:val="2"/>
                <w:sz w:val="24"/>
                <w:szCs w:val="24"/>
                <w:lang w:eastAsia="bg-BG"/>
                <w14:ligatures w14:val="standardContextual"/>
              </w:rPr>
              <w:tab/>
            </w:r>
            <w:r w:rsidR="00693604" w:rsidRPr="00E96574">
              <w:rPr>
                <w:rStyle w:val="Hyperlink"/>
              </w:rPr>
              <w:t>УВОД</w:t>
            </w:r>
            <w:r w:rsidR="00693604" w:rsidRPr="00E96574">
              <w:rPr>
                <w:b w:val="0"/>
                <w:bCs w:val="0"/>
                <w:webHidden/>
              </w:rPr>
              <w:tab/>
            </w:r>
            <w:r w:rsidR="00693604" w:rsidRPr="00E96574">
              <w:rPr>
                <w:b w:val="0"/>
                <w:bCs w:val="0"/>
                <w:webHidden/>
              </w:rPr>
              <w:fldChar w:fldCharType="begin"/>
            </w:r>
            <w:r w:rsidR="00693604" w:rsidRPr="00E96574">
              <w:rPr>
                <w:b w:val="0"/>
                <w:bCs w:val="0"/>
                <w:webHidden/>
              </w:rPr>
              <w:instrText xml:space="preserve"> PAGEREF _Toc208580365 \h </w:instrText>
            </w:r>
            <w:r w:rsidR="00693604" w:rsidRPr="00E96574">
              <w:rPr>
                <w:b w:val="0"/>
                <w:bCs w:val="0"/>
                <w:webHidden/>
              </w:rPr>
            </w:r>
            <w:r w:rsidR="00693604" w:rsidRPr="00E96574">
              <w:rPr>
                <w:b w:val="0"/>
                <w:bCs w:val="0"/>
                <w:webHidden/>
              </w:rPr>
              <w:fldChar w:fldCharType="separate"/>
            </w:r>
            <w:r w:rsidR="00FE7555">
              <w:rPr>
                <w:b w:val="0"/>
                <w:bCs w:val="0"/>
                <w:webHidden/>
              </w:rPr>
              <w:t>9</w:t>
            </w:r>
            <w:r w:rsidR="00693604" w:rsidRPr="00E96574">
              <w:rPr>
                <w:b w:val="0"/>
                <w:bCs w:val="0"/>
                <w:webHidden/>
              </w:rPr>
              <w:fldChar w:fldCharType="end"/>
            </w:r>
          </w:hyperlink>
        </w:p>
        <w:p w14:paraId="1942FEE0" w14:textId="0469E12F" w:rsidR="00693604" w:rsidRPr="00E96574" w:rsidRDefault="00C052D8" w:rsidP="00E96574">
          <w:pPr>
            <w:pStyle w:val="TOC1"/>
            <w:rPr>
              <w:rFonts w:eastAsiaTheme="minorEastAsia"/>
              <w:kern w:val="2"/>
              <w:sz w:val="24"/>
              <w:szCs w:val="24"/>
              <w:lang w:eastAsia="bg-BG"/>
              <w14:ligatures w14:val="standardContextual"/>
            </w:rPr>
          </w:pPr>
          <w:hyperlink w:anchor="_Toc208580366" w:history="1">
            <w:r w:rsidR="00693604" w:rsidRPr="00E96574">
              <w:rPr>
                <w:rStyle w:val="Hyperlink"/>
              </w:rPr>
              <w:t>II.</w:t>
            </w:r>
            <w:r w:rsidR="00693604" w:rsidRPr="00E96574">
              <w:rPr>
                <w:rFonts w:eastAsiaTheme="minorEastAsia"/>
                <w:kern w:val="2"/>
                <w:sz w:val="24"/>
                <w:szCs w:val="24"/>
                <w:lang w:eastAsia="bg-BG"/>
                <w14:ligatures w14:val="standardContextual"/>
              </w:rPr>
              <w:tab/>
            </w:r>
            <w:r w:rsidR="00693604" w:rsidRPr="00E96574">
              <w:rPr>
                <w:rStyle w:val="Hyperlink"/>
              </w:rPr>
              <w:t>ВЪНШНА СРЕДА НА СИГУРНОСТ</w:t>
            </w:r>
            <w:r w:rsidR="00693604" w:rsidRPr="00E96574">
              <w:rPr>
                <w:b w:val="0"/>
                <w:bCs w:val="0"/>
                <w:webHidden/>
              </w:rPr>
              <w:tab/>
            </w:r>
            <w:r w:rsidR="00693604" w:rsidRPr="00E96574">
              <w:rPr>
                <w:b w:val="0"/>
                <w:bCs w:val="0"/>
                <w:webHidden/>
              </w:rPr>
              <w:fldChar w:fldCharType="begin"/>
            </w:r>
            <w:r w:rsidR="00693604" w:rsidRPr="00E96574">
              <w:rPr>
                <w:b w:val="0"/>
                <w:bCs w:val="0"/>
                <w:webHidden/>
              </w:rPr>
              <w:instrText xml:space="preserve"> PAGEREF _Toc208580366 \h </w:instrText>
            </w:r>
            <w:r w:rsidR="00693604" w:rsidRPr="00E96574">
              <w:rPr>
                <w:b w:val="0"/>
                <w:bCs w:val="0"/>
                <w:webHidden/>
              </w:rPr>
            </w:r>
            <w:r w:rsidR="00693604" w:rsidRPr="00E96574">
              <w:rPr>
                <w:b w:val="0"/>
                <w:bCs w:val="0"/>
                <w:webHidden/>
              </w:rPr>
              <w:fldChar w:fldCharType="separate"/>
            </w:r>
            <w:r w:rsidR="00FE7555">
              <w:rPr>
                <w:b w:val="0"/>
                <w:bCs w:val="0"/>
                <w:webHidden/>
              </w:rPr>
              <w:t>11</w:t>
            </w:r>
            <w:r w:rsidR="00693604" w:rsidRPr="00E96574">
              <w:rPr>
                <w:b w:val="0"/>
                <w:bCs w:val="0"/>
                <w:webHidden/>
              </w:rPr>
              <w:fldChar w:fldCharType="end"/>
            </w:r>
          </w:hyperlink>
        </w:p>
        <w:p w14:paraId="3A389C29" w14:textId="5E8A5B5F" w:rsidR="00693604" w:rsidRPr="00693604" w:rsidRDefault="00C052D8" w:rsidP="00AF7C1D">
          <w:pPr>
            <w:pStyle w:val="TOC2"/>
            <w:tabs>
              <w:tab w:val="left" w:pos="720"/>
              <w:tab w:val="right" w:leader="dot" w:pos="9062"/>
            </w:tabs>
            <w:spacing w:line="240" w:lineRule="auto"/>
            <w:ind w:left="567" w:hanging="347"/>
            <w:rPr>
              <w:rFonts w:ascii="Times New Roman" w:eastAsiaTheme="minorEastAsia" w:hAnsi="Times New Roman" w:cs="Times New Roman"/>
              <w:noProof/>
              <w:kern w:val="2"/>
              <w:sz w:val="24"/>
              <w:szCs w:val="24"/>
              <w:lang w:eastAsia="bg-BG"/>
              <w14:ligatures w14:val="standardContextual"/>
            </w:rPr>
          </w:pPr>
          <w:hyperlink w:anchor="_Toc208580367" w:history="1">
            <w:r w:rsidR="00693604" w:rsidRPr="00693604">
              <w:rPr>
                <w:rStyle w:val="Hyperlink"/>
                <w:rFonts w:ascii="Times New Roman" w:hAnsi="Times New Roman" w:cs="Times New Roman"/>
                <w:noProof/>
              </w:rPr>
              <w:t>1.</w:t>
            </w:r>
            <w:r w:rsidR="00693604" w:rsidRPr="00693604">
              <w:rPr>
                <w:rFonts w:ascii="Times New Roman" w:eastAsiaTheme="minorEastAsia" w:hAnsi="Times New Roman" w:cs="Times New Roman"/>
                <w:noProof/>
                <w:kern w:val="2"/>
                <w:sz w:val="24"/>
                <w:szCs w:val="24"/>
                <w:lang w:eastAsia="bg-BG"/>
                <w14:ligatures w14:val="standardContextual"/>
              </w:rPr>
              <w:tab/>
            </w:r>
            <w:r w:rsidR="00693604" w:rsidRPr="00693604">
              <w:rPr>
                <w:rStyle w:val="Hyperlink"/>
                <w:rFonts w:ascii="Times New Roman" w:hAnsi="Times New Roman" w:cs="Times New Roman"/>
                <w:noProof/>
              </w:rPr>
              <w:t>Увод</w:t>
            </w:r>
            <w:r w:rsidR="00693604" w:rsidRPr="00693604">
              <w:rPr>
                <w:rFonts w:ascii="Times New Roman" w:hAnsi="Times New Roman" w:cs="Times New Roman"/>
                <w:noProof/>
                <w:webHidden/>
              </w:rPr>
              <w:tab/>
            </w:r>
            <w:r w:rsidR="00693604" w:rsidRPr="00693604">
              <w:rPr>
                <w:rFonts w:ascii="Times New Roman" w:hAnsi="Times New Roman" w:cs="Times New Roman"/>
                <w:noProof/>
                <w:webHidden/>
              </w:rPr>
              <w:fldChar w:fldCharType="begin"/>
            </w:r>
            <w:r w:rsidR="00693604" w:rsidRPr="00693604">
              <w:rPr>
                <w:rFonts w:ascii="Times New Roman" w:hAnsi="Times New Roman" w:cs="Times New Roman"/>
                <w:noProof/>
                <w:webHidden/>
              </w:rPr>
              <w:instrText xml:space="preserve"> PAGEREF _Toc208580367 \h </w:instrText>
            </w:r>
            <w:r w:rsidR="00693604" w:rsidRPr="00693604">
              <w:rPr>
                <w:rFonts w:ascii="Times New Roman" w:hAnsi="Times New Roman" w:cs="Times New Roman"/>
                <w:noProof/>
                <w:webHidden/>
              </w:rPr>
            </w:r>
            <w:r w:rsidR="00693604" w:rsidRPr="00693604">
              <w:rPr>
                <w:rFonts w:ascii="Times New Roman" w:hAnsi="Times New Roman" w:cs="Times New Roman"/>
                <w:noProof/>
                <w:webHidden/>
              </w:rPr>
              <w:fldChar w:fldCharType="separate"/>
            </w:r>
            <w:r w:rsidR="00FE7555">
              <w:rPr>
                <w:rFonts w:ascii="Times New Roman" w:hAnsi="Times New Roman" w:cs="Times New Roman"/>
                <w:noProof/>
                <w:webHidden/>
              </w:rPr>
              <w:t>11</w:t>
            </w:r>
            <w:r w:rsidR="00693604" w:rsidRPr="00693604">
              <w:rPr>
                <w:rFonts w:ascii="Times New Roman" w:hAnsi="Times New Roman" w:cs="Times New Roman"/>
                <w:noProof/>
                <w:webHidden/>
              </w:rPr>
              <w:fldChar w:fldCharType="end"/>
            </w:r>
          </w:hyperlink>
        </w:p>
        <w:p w14:paraId="28CBA0FF" w14:textId="3EE5F548" w:rsidR="00693604" w:rsidRPr="00693604" w:rsidRDefault="00C052D8" w:rsidP="00AF7C1D">
          <w:pPr>
            <w:pStyle w:val="TOC2"/>
            <w:tabs>
              <w:tab w:val="left" w:pos="720"/>
              <w:tab w:val="right" w:leader="dot" w:pos="9062"/>
            </w:tabs>
            <w:spacing w:line="240" w:lineRule="auto"/>
            <w:ind w:left="567" w:hanging="347"/>
            <w:rPr>
              <w:rFonts w:ascii="Times New Roman" w:eastAsiaTheme="minorEastAsia" w:hAnsi="Times New Roman" w:cs="Times New Roman"/>
              <w:noProof/>
              <w:kern w:val="2"/>
              <w:sz w:val="24"/>
              <w:szCs w:val="24"/>
              <w:lang w:eastAsia="bg-BG"/>
              <w14:ligatures w14:val="standardContextual"/>
            </w:rPr>
          </w:pPr>
          <w:hyperlink w:anchor="_Toc208580368" w:history="1">
            <w:r w:rsidR="00693604" w:rsidRPr="00693604">
              <w:rPr>
                <w:rStyle w:val="Hyperlink"/>
                <w:rFonts w:ascii="Times New Roman" w:hAnsi="Times New Roman" w:cs="Times New Roman"/>
                <w:noProof/>
              </w:rPr>
              <w:t>2.</w:t>
            </w:r>
            <w:r w:rsidR="00693604" w:rsidRPr="00693604">
              <w:rPr>
                <w:rFonts w:ascii="Times New Roman" w:eastAsiaTheme="minorEastAsia" w:hAnsi="Times New Roman" w:cs="Times New Roman"/>
                <w:noProof/>
                <w:kern w:val="2"/>
                <w:sz w:val="24"/>
                <w:szCs w:val="24"/>
                <w:lang w:eastAsia="bg-BG"/>
                <w14:ligatures w14:val="standardContextual"/>
              </w:rPr>
              <w:tab/>
            </w:r>
            <w:r w:rsidR="00693604" w:rsidRPr="00693604">
              <w:rPr>
                <w:rStyle w:val="Hyperlink"/>
                <w:rFonts w:ascii="Times New Roman" w:hAnsi="Times New Roman" w:cs="Times New Roman"/>
                <w:noProof/>
              </w:rPr>
              <w:t>Рискове, мерки и препоръки</w:t>
            </w:r>
            <w:r w:rsidR="00693604" w:rsidRPr="00693604">
              <w:rPr>
                <w:rFonts w:ascii="Times New Roman" w:hAnsi="Times New Roman" w:cs="Times New Roman"/>
                <w:noProof/>
                <w:webHidden/>
              </w:rPr>
              <w:tab/>
            </w:r>
            <w:r w:rsidR="00693604" w:rsidRPr="00693604">
              <w:rPr>
                <w:rFonts w:ascii="Times New Roman" w:hAnsi="Times New Roman" w:cs="Times New Roman"/>
                <w:noProof/>
                <w:webHidden/>
              </w:rPr>
              <w:fldChar w:fldCharType="begin"/>
            </w:r>
            <w:r w:rsidR="00693604" w:rsidRPr="00693604">
              <w:rPr>
                <w:rFonts w:ascii="Times New Roman" w:hAnsi="Times New Roman" w:cs="Times New Roman"/>
                <w:noProof/>
                <w:webHidden/>
              </w:rPr>
              <w:instrText xml:space="preserve"> PAGEREF _Toc208580368 \h </w:instrText>
            </w:r>
            <w:r w:rsidR="00693604" w:rsidRPr="00693604">
              <w:rPr>
                <w:rFonts w:ascii="Times New Roman" w:hAnsi="Times New Roman" w:cs="Times New Roman"/>
                <w:noProof/>
                <w:webHidden/>
              </w:rPr>
            </w:r>
            <w:r w:rsidR="00693604" w:rsidRPr="00693604">
              <w:rPr>
                <w:rFonts w:ascii="Times New Roman" w:hAnsi="Times New Roman" w:cs="Times New Roman"/>
                <w:noProof/>
                <w:webHidden/>
              </w:rPr>
              <w:fldChar w:fldCharType="separate"/>
            </w:r>
            <w:r w:rsidR="00FE7555">
              <w:rPr>
                <w:rFonts w:ascii="Times New Roman" w:hAnsi="Times New Roman" w:cs="Times New Roman"/>
                <w:noProof/>
                <w:webHidden/>
              </w:rPr>
              <w:t>12</w:t>
            </w:r>
            <w:r w:rsidR="00693604" w:rsidRPr="00693604">
              <w:rPr>
                <w:rFonts w:ascii="Times New Roman" w:hAnsi="Times New Roman" w:cs="Times New Roman"/>
                <w:noProof/>
                <w:webHidden/>
              </w:rPr>
              <w:fldChar w:fldCharType="end"/>
            </w:r>
          </w:hyperlink>
        </w:p>
        <w:p w14:paraId="26EC10C8" w14:textId="662AB62C"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69" w:history="1">
            <w:r w:rsidR="00693604" w:rsidRPr="00693604">
              <w:rPr>
                <w:rStyle w:val="Hyperlink"/>
                <w:lang w:val="en-US"/>
              </w:rPr>
              <w:t>а)</w:t>
            </w:r>
            <w:r w:rsidR="00693604" w:rsidRPr="00693604">
              <w:rPr>
                <w:rFonts w:eastAsiaTheme="minorEastAsia"/>
                <w:i w:val="0"/>
                <w:iCs w:val="0"/>
                <w:kern w:val="2"/>
                <w14:ligatures w14:val="standardContextual"/>
              </w:rPr>
              <w:tab/>
            </w:r>
            <w:r w:rsidR="00693604" w:rsidRPr="00693604">
              <w:rPr>
                <w:rStyle w:val="Hyperlink"/>
              </w:rPr>
              <w:t>Глобални и регионални заплахи: геополитическа конкуренция и нестабилност</w:t>
            </w:r>
            <w:r w:rsidR="00693604" w:rsidRPr="00693604">
              <w:rPr>
                <w:webHidden/>
              </w:rPr>
              <w:tab/>
            </w:r>
            <w:r w:rsidR="00693604" w:rsidRPr="00693604">
              <w:rPr>
                <w:webHidden/>
              </w:rPr>
              <w:fldChar w:fldCharType="begin"/>
            </w:r>
            <w:r w:rsidR="00693604" w:rsidRPr="00693604">
              <w:rPr>
                <w:webHidden/>
              </w:rPr>
              <w:instrText xml:space="preserve"> PAGEREF _Toc208580369 \h </w:instrText>
            </w:r>
            <w:r w:rsidR="00693604" w:rsidRPr="00693604">
              <w:rPr>
                <w:webHidden/>
              </w:rPr>
            </w:r>
            <w:r w:rsidR="00693604" w:rsidRPr="00693604">
              <w:rPr>
                <w:webHidden/>
              </w:rPr>
              <w:fldChar w:fldCharType="separate"/>
            </w:r>
            <w:r w:rsidR="00FE7555">
              <w:rPr>
                <w:webHidden/>
              </w:rPr>
              <w:t>12</w:t>
            </w:r>
            <w:r w:rsidR="00693604" w:rsidRPr="00693604">
              <w:rPr>
                <w:webHidden/>
              </w:rPr>
              <w:fldChar w:fldCharType="end"/>
            </w:r>
          </w:hyperlink>
        </w:p>
        <w:p w14:paraId="494CA0B2" w14:textId="60A10407"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70" w:history="1">
            <w:r w:rsidR="00693604" w:rsidRPr="00693604">
              <w:rPr>
                <w:rStyle w:val="Hyperlink"/>
              </w:rPr>
              <w:t>б)</w:t>
            </w:r>
            <w:r w:rsidR="00693604" w:rsidRPr="00693604">
              <w:rPr>
                <w:rFonts w:eastAsiaTheme="minorEastAsia"/>
                <w:i w:val="0"/>
                <w:iCs w:val="0"/>
                <w:kern w:val="2"/>
                <w14:ligatures w14:val="standardContextual"/>
              </w:rPr>
              <w:tab/>
            </w:r>
            <w:r w:rsidR="00693604" w:rsidRPr="00693604">
              <w:rPr>
                <w:rStyle w:val="Hyperlink"/>
              </w:rPr>
              <w:t>Активност на чужди разузнавателни служби</w:t>
            </w:r>
            <w:r w:rsidR="00693604" w:rsidRPr="00693604">
              <w:rPr>
                <w:webHidden/>
              </w:rPr>
              <w:tab/>
            </w:r>
            <w:r w:rsidR="00693604" w:rsidRPr="00693604">
              <w:rPr>
                <w:webHidden/>
              </w:rPr>
              <w:fldChar w:fldCharType="begin"/>
            </w:r>
            <w:r w:rsidR="00693604" w:rsidRPr="00693604">
              <w:rPr>
                <w:webHidden/>
              </w:rPr>
              <w:instrText xml:space="preserve"> PAGEREF _Toc208580370 \h </w:instrText>
            </w:r>
            <w:r w:rsidR="00693604" w:rsidRPr="00693604">
              <w:rPr>
                <w:webHidden/>
              </w:rPr>
            </w:r>
            <w:r w:rsidR="00693604" w:rsidRPr="00693604">
              <w:rPr>
                <w:webHidden/>
              </w:rPr>
              <w:fldChar w:fldCharType="separate"/>
            </w:r>
            <w:r w:rsidR="00FE7555">
              <w:rPr>
                <w:webHidden/>
              </w:rPr>
              <w:t>18</w:t>
            </w:r>
            <w:r w:rsidR="00693604" w:rsidRPr="00693604">
              <w:rPr>
                <w:webHidden/>
              </w:rPr>
              <w:fldChar w:fldCharType="end"/>
            </w:r>
          </w:hyperlink>
        </w:p>
        <w:p w14:paraId="1BBDB6EA" w14:textId="39A0B3CB"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71" w:history="1">
            <w:r w:rsidR="00693604" w:rsidRPr="00693604">
              <w:rPr>
                <w:rStyle w:val="Hyperlink"/>
              </w:rPr>
              <w:t>в)</w:t>
            </w:r>
            <w:r w:rsidR="00693604" w:rsidRPr="00693604">
              <w:rPr>
                <w:rFonts w:eastAsiaTheme="minorEastAsia"/>
                <w:i w:val="0"/>
                <w:iCs w:val="0"/>
                <w:kern w:val="2"/>
                <w14:ligatures w14:val="standardContextual"/>
              </w:rPr>
              <w:tab/>
            </w:r>
            <w:r w:rsidR="00693604" w:rsidRPr="00693604">
              <w:rPr>
                <w:rStyle w:val="Hyperlink"/>
              </w:rPr>
              <w:t>Сигурност и устойчивост в ЕС и НАТО и пътят към ОИСР</w:t>
            </w:r>
            <w:r w:rsidR="00693604" w:rsidRPr="00693604">
              <w:rPr>
                <w:webHidden/>
              </w:rPr>
              <w:tab/>
            </w:r>
            <w:r w:rsidR="00693604" w:rsidRPr="00693604">
              <w:rPr>
                <w:webHidden/>
              </w:rPr>
              <w:fldChar w:fldCharType="begin"/>
            </w:r>
            <w:r w:rsidR="00693604" w:rsidRPr="00693604">
              <w:rPr>
                <w:webHidden/>
              </w:rPr>
              <w:instrText xml:space="preserve"> PAGEREF _Toc208580371 \h </w:instrText>
            </w:r>
            <w:r w:rsidR="00693604" w:rsidRPr="00693604">
              <w:rPr>
                <w:webHidden/>
              </w:rPr>
            </w:r>
            <w:r w:rsidR="00693604" w:rsidRPr="00693604">
              <w:rPr>
                <w:webHidden/>
              </w:rPr>
              <w:fldChar w:fldCharType="separate"/>
            </w:r>
            <w:r w:rsidR="00FE7555">
              <w:rPr>
                <w:webHidden/>
              </w:rPr>
              <w:t>19</w:t>
            </w:r>
            <w:r w:rsidR="00693604" w:rsidRPr="00693604">
              <w:rPr>
                <w:webHidden/>
              </w:rPr>
              <w:fldChar w:fldCharType="end"/>
            </w:r>
          </w:hyperlink>
        </w:p>
        <w:p w14:paraId="581EF836" w14:textId="53144EB4"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72" w:history="1">
            <w:r w:rsidR="00693604" w:rsidRPr="00693604">
              <w:rPr>
                <w:rStyle w:val="Hyperlink"/>
                <w:lang w:val="en-US"/>
              </w:rPr>
              <w:t>г)</w:t>
            </w:r>
            <w:r w:rsidR="00693604" w:rsidRPr="00693604">
              <w:rPr>
                <w:rFonts w:eastAsiaTheme="minorEastAsia"/>
                <w:i w:val="0"/>
                <w:iCs w:val="0"/>
                <w:kern w:val="2"/>
                <w14:ligatures w14:val="standardContextual"/>
              </w:rPr>
              <w:tab/>
            </w:r>
            <w:r w:rsidR="00693604" w:rsidRPr="00693604">
              <w:rPr>
                <w:rStyle w:val="Hyperlink"/>
              </w:rPr>
              <w:t>Киберсигурност</w:t>
            </w:r>
            <w:r w:rsidR="00693604" w:rsidRPr="00693604">
              <w:rPr>
                <w:webHidden/>
              </w:rPr>
              <w:tab/>
            </w:r>
            <w:r w:rsidR="00693604" w:rsidRPr="00693604">
              <w:rPr>
                <w:webHidden/>
              </w:rPr>
              <w:fldChar w:fldCharType="begin"/>
            </w:r>
            <w:r w:rsidR="00693604" w:rsidRPr="00693604">
              <w:rPr>
                <w:webHidden/>
              </w:rPr>
              <w:instrText xml:space="preserve"> PAGEREF _Toc208580372 \h </w:instrText>
            </w:r>
            <w:r w:rsidR="00693604" w:rsidRPr="00693604">
              <w:rPr>
                <w:webHidden/>
              </w:rPr>
            </w:r>
            <w:r w:rsidR="00693604" w:rsidRPr="00693604">
              <w:rPr>
                <w:webHidden/>
              </w:rPr>
              <w:fldChar w:fldCharType="separate"/>
            </w:r>
            <w:r w:rsidR="00FE7555">
              <w:rPr>
                <w:webHidden/>
              </w:rPr>
              <w:t>23</w:t>
            </w:r>
            <w:r w:rsidR="00693604" w:rsidRPr="00693604">
              <w:rPr>
                <w:webHidden/>
              </w:rPr>
              <w:fldChar w:fldCharType="end"/>
            </w:r>
          </w:hyperlink>
        </w:p>
        <w:p w14:paraId="37251B37" w14:textId="4C668E1B"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73" w:history="1">
            <w:r w:rsidR="00693604" w:rsidRPr="00693604">
              <w:rPr>
                <w:rStyle w:val="Hyperlink"/>
              </w:rPr>
              <w:t>д)</w:t>
            </w:r>
            <w:r w:rsidR="00693604" w:rsidRPr="00693604">
              <w:rPr>
                <w:rFonts w:eastAsiaTheme="minorEastAsia"/>
                <w:i w:val="0"/>
                <w:iCs w:val="0"/>
                <w:kern w:val="2"/>
                <w14:ligatures w14:val="standardContextual"/>
              </w:rPr>
              <w:tab/>
            </w:r>
            <w:r w:rsidR="00693604" w:rsidRPr="00693604">
              <w:rPr>
                <w:rStyle w:val="Hyperlink"/>
              </w:rPr>
              <w:t>Тероризъм и радикализация</w:t>
            </w:r>
            <w:r w:rsidR="00693604" w:rsidRPr="00693604">
              <w:rPr>
                <w:webHidden/>
              </w:rPr>
              <w:tab/>
            </w:r>
            <w:r w:rsidR="00693604" w:rsidRPr="00693604">
              <w:rPr>
                <w:webHidden/>
              </w:rPr>
              <w:fldChar w:fldCharType="begin"/>
            </w:r>
            <w:r w:rsidR="00693604" w:rsidRPr="00693604">
              <w:rPr>
                <w:webHidden/>
              </w:rPr>
              <w:instrText xml:space="preserve"> PAGEREF _Toc208580373 \h </w:instrText>
            </w:r>
            <w:r w:rsidR="00693604" w:rsidRPr="00693604">
              <w:rPr>
                <w:webHidden/>
              </w:rPr>
            </w:r>
            <w:r w:rsidR="00693604" w:rsidRPr="00693604">
              <w:rPr>
                <w:webHidden/>
              </w:rPr>
              <w:fldChar w:fldCharType="separate"/>
            </w:r>
            <w:r w:rsidR="00FE7555">
              <w:rPr>
                <w:webHidden/>
              </w:rPr>
              <w:t>24</w:t>
            </w:r>
            <w:r w:rsidR="00693604" w:rsidRPr="00693604">
              <w:rPr>
                <w:webHidden/>
              </w:rPr>
              <w:fldChar w:fldCharType="end"/>
            </w:r>
          </w:hyperlink>
        </w:p>
        <w:p w14:paraId="2591E087" w14:textId="179121C1"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74" w:history="1">
            <w:r w:rsidR="00693604" w:rsidRPr="00693604">
              <w:rPr>
                <w:rStyle w:val="Hyperlink"/>
                <w:rFonts w:eastAsia="Times New Roman"/>
              </w:rPr>
              <w:t>е)</w:t>
            </w:r>
            <w:r w:rsidR="00693604" w:rsidRPr="00693604">
              <w:rPr>
                <w:rFonts w:eastAsiaTheme="minorEastAsia"/>
                <w:i w:val="0"/>
                <w:iCs w:val="0"/>
                <w:kern w:val="2"/>
                <w14:ligatures w14:val="standardContextual"/>
              </w:rPr>
              <w:tab/>
            </w:r>
            <w:r w:rsidR="00693604" w:rsidRPr="00693604">
              <w:rPr>
                <w:rStyle w:val="Hyperlink"/>
                <w:rFonts w:eastAsia="Times New Roman"/>
              </w:rPr>
              <w:t>Миграционен натиск и граничен контрол</w:t>
            </w:r>
            <w:r w:rsidR="00693604" w:rsidRPr="00693604">
              <w:rPr>
                <w:webHidden/>
              </w:rPr>
              <w:tab/>
            </w:r>
            <w:r w:rsidR="00693604" w:rsidRPr="00693604">
              <w:rPr>
                <w:webHidden/>
              </w:rPr>
              <w:fldChar w:fldCharType="begin"/>
            </w:r>
            <w:r w:rsidR="00693604" w:rsidRPr="00693604">
              <w:rPr>
                <w:webHidden/>
              </w:rPr>
              <w:instrText xml:space="preserve"> PAGEREF _Toc208580374 \h </w:instrText>
            </w:r>
            <w:r w:rsidR="00693604" w:rsidRPr="00693604">
              <w:rPr>
                <w:webHidden/>
              </w:rPr>
            </w:r>
            <w:r w:rsidR="00693604" w:rsidRPr="00693604">
              <w:rPr>
                <w:webHidden/>
              </w:rPr>
              <w:fldChar w:fldCharType="separate"/>
            </w:r>
            <w:r w:rsidR="00FE7555">
              <w:rPr>
                <w:webHidden/>
              </w:rPr>
              <w:t>26</w:t>
            </w:r>
            <w:r w:rsidR="00693604" w:rsidRPr="00693604">
              <w:rPr>
                <w:webHidden/>
              </w:rPr>
              <w:fldChar w:fldCharType="end"/>
            </w:r>
          </w:hyperlink>
        </w:p>
        <w:p w14:paraId="685F62D2" w14:textId="6FCF74A0"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75" w:history="1">
            <w:r w:rsidR="00693604" w:rsidRPr="00693604">
              <w:rPr>
                <w:rStyle w:val="Hyperlink"/>
              </w:rPr>
              <w:t>ж)</w:t>
            </w:r>
            <w:r w:rsidR="00693604" w:rsidRPr="00693604">
              <w:rPr>
                <w:rFonts w:eastAsiaTheme="minorEastAsia"/>
                <w:i w:val="0"/>
                <w:iCs w:val="0"/>
                <w:kern w:val="2"/>
                <w14:ligatures w14:val="standardContextual"/>
              </w:rPr>
              <w:tab/>
            </w:r>
            <w:r w:rsidR="00693604" w:rsidRPr="00693604">
              <w:rPr>
                <w:rStyle w:val="Hyperlink"/>
              </w:rPr>
              <w:t>Разпространение на оръжия за масово унищожаване</w:t>
            </w:r>
            <w:r w:rsidR="00693604" w:rsidRPr="00693604">
              <w:rPr>
                <w:webHidden/>
              </w:rPr>
              <w:tab/>
            </w:r>
            <w:r w:rsidR="00693604" w:rsidRPr="00693604">
              <w:rPr>
                <w:webHidden/>
              </w:rPr>
              <w:fldChar w:fldCharType="begin"/>
            </w:r>
            <w:r w:rsidR="00693604" w:rsidRPr="00693604">
              <w:rPr>
                <w:webHidden/>
              </w:rPr>
              <w:instrText xml:space="preserve"> PAGEREF _Toc208580375 \h </w:instrText>
            </w:r>
            <w:r w:rsidR="00693604" w:rsidRPr="00693604">
              <w:rPr>
                <w:webHidden/>
              </w:rPr>
            </w:r>
            <w:r w:rsidR="00693604" w:rsidRPr="00693604">
              <w:rPr>
                <w:webHidden/>
              </w:rPr>
              <w:fldChar w:fldCharType="separate"/>
            </w:r>
            <w:r w:rsidR="00FE7555">
              <w:rPr>
                <w:webHidden/>
              </w:rPr>
              <w:t>27</w:t>
            </w:r>
            <w:r w:rsidR="00693604" w:rsidRPr="00693604">
              <w:rPr>
                <w:webHidden/>
              </w:rPr>
              <w:fldChar w:fldCharType="end"/>
            </w:r>
          </w:hyperlink>
        </w:p>
        <w:p w14:paraId="2E5F12F1" w14:textId="6E78C451"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76" w:history="1">
            <w:r w:rsidR="00693604" w:rsidRPr="00693604">
              <w:rPr>
                <w:rStyle w:val="Hyperlink"/>
              </w:rPr>
              <w:t>з)</w:t>
            </w:r>
            <w:r w:rsidR="00693604" w:rsidRPr="00693604">
              <w:rPr>
                <w:rFonts w:eastAsiaTheme="minorEastAsia"/>
                <w:i w:val="0"/>
                <w:iCs w:val="0"/>
                <w:kern w:val="2"/>
                <w14:ligatures w14:val="standardContextual"/>
              </w:rPr>
              <w:tab/>
            </w:r>
            <w:r w:rsidR="00693604" w:rsidRPr="00693604">
              <w:rPr>
                <w:rStyle w:val="Hyperlink"/>
              </w:rPr>
              <w:t>Енергийна сигурност и диверсификация</w:t>
            </w:r>
            <w:r w:rsidR="00693604" w:rsidRPr="00693604">
              <w:rPr>
                <w:webHidden/>
              </w:rPr>
              <w:tab/>
            </w:r>
            <w:r w:rsidR="00693604" w:rsidRPr="00693604">
              <w:rPr>
                <w:webHidden/>
              </w:rPr>
              <w:fldChar w:fldCharType="begin"/>
            </w:r>
            <w:r w:rsidR="00693604" w:rsidRPr="00693604">
              <w:rPr>
                <w:webHidden/>
              </w:rPr>
              <w:instrText xml:space="preserve"> PAGEREF _Toc208580376 \h </w:instrText>
            </w:r>
            <w:r w:rsidR="00693604" w:rsidRPr="00693604">
              <w:rPr>
                <w:webHidden/>
              </w:rPr>
            </w:r>
            <w:r w:rsidR="00693604" w:rsidRPr="00693604">
              <w:rPr>
                <w:webHidden/>
              </w:rPr>
              <w:fldChar w:fldCharType="separate"/>
            </w:r>
            <w:r w:rsidR="00FE7555">
              <w:rPr>
                <w:webHidden/>
              </w:rPr>
              <w:t>29</w:t>
            </w:r>
            <w:r w:rsidR="00693604" w:rsidRPr="00693604">
              <w:rPr>
                <w:webHidden/>
              </w:rPr>
              <w:fldChar w:fldCharType="end"/>
            </w:r>
          </w:hyperlink>
        </w:p>
        <w:p w14:paraId="10667CAC" w14:textId="5068E860"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77" w:history="1">
            <w:r w:rsidR="00693604" w:rsidRPr="00693604">
              <w:rPr>
                <w:rStyle w:val="Hyperlink"/>
              </w:rPr>
              <w:t>и)</w:t>
            </w:r>
            <w:r w:rsidR="00693604" w:rsidRPr="00693604">
              <w:rPr>
                <w:rFonts w:eastAsiaTheme="minorEastAsia"/>
                <w:i w:val="0"/>
                <w:iCs w:val="0"/>
                <w:kern w:val="2"/>
                <w14:ligatures w14:val="standardContextual"/>
              </w:rPr>
              <w:tab/>
            </w:r>
            <w:r w:rsidR="00693604" w:rsidRPr="00693604">
              <w:rPr>
                <w:rStyle w:val="Hyperlink"/>
              </w:rPr>
              <w:t>Нови технологии и оръжейни системи</w:t>
            </w:r>
            <w:r w:rsidR="00693604" w:rsidRPr="00693604">
              <w:rPr>
                <w:webHidden/>
              </w:rPr>
              <w:tab/>
            </w:r>
            <w:r w:rsidR="00693604" w:rsidRPr="00693604">
              <w:rPr>
                <w:webHidden/>
              </w:rPr>
              <w:fldChar w:fldCharType="begin"/>
            </w:r>
            <w:r w:rsidR="00693604" w:rsidRPr="00693604">
              <w:rPr>
                <w:webHidden/>
              </w:rPr>
              <w:instrText xml:space="preserve"> PAGEREF _Toc208580377 \h </w:instrText>
            </w:r>
            <w:r w:rsidR="00693604" w:rsidRPr="00693604">
              <w:rPr>
                <w:webHidden/>
              </w:rPr>
            </w:r>
            <w:r w:rsidR="00693604" w:rsidRPr="00693604">
              <w:rPr>
                <w:webHidden/>
              </w:rPr>
              <w:fldChar w:fldCharType="separate"/>
            </w:r>
            <w:r w:rsidR="00FE7555">
              <w:rPr>
                <w:webHidden/>
              </w:rPr>
              <w:t>31</w:t>
            </w:r>
            <w:r w:rsidR="00693604" w:rsidRPr="00693604">
              <w:rPr>
                <w:webHidden/>
              </w:rPr>
              <w:fldChar w:fldCharType="end"/>
            </w:r>
          </w:hyperlink>
        </w:p>
        <w:p w14:paraId="46C99326" w14:textId="2CAF5140" w:rsidR="00693604" w:rsidRPr="00E96574" w:rsidRDefault="00C052D8" w:rsidP="00E96574">
          <w:pPr>
            <w:pStyle w:val="TOC1"/>
            <w:rPr>
              <w:rFonts w:eastAsiaTheme="minorEastAsia"/>
              <w:kern w:val="2"/>
              <w:sz w:val="24"/>
              <w:szCs w:val="24"/>
              <w:lang w:eastAsia="bg-BG"/>
              <w14:ligatures w14:val="standardContextual"/>
            </w:rPr>
          </w:pPr>
          <w:hyperlink w:anchor="_Toc208580378" w:history="1">
            <w:r w:rsidR="00693604" w:rsidRPr="00E96574">
              <w:rPr>
                <w:rStyle w:val="Hyperlink"/>
              </w:rPr>
              <w:t>III.</w:t>
            </w:r>
            <w:r w:rsidR="00693604" w:rsidRPr="00E96574">
              <w:rPr>
                <w:rFonts w:eastAsiaTheme="minorEastAsia"/>
                <w:kern w:val="2"/>
                <w:sz w:val="24"/>
                <w:szCs w:val="24"/>
                <w:lang w:eastAsia="bg-BG"/>
                <w14:ligatures w14:val="standardContextual"/>
              </w:rPr>
              <w:tab/>
            </w:r>
            <w:r w:rsidR="00693604" w:rsidRPr="00E96574">
              <w:rPr>
                <w:rStyle w:val="Hyperlink"/>
              </w:rPr>
              <w:t>ВЪТРЕШНА СРЕДА НА СИГУРНОСТ</w:t>
            </w:r>
            <w:r w:rsidR="00693604" w:rsidRPr="00E96574">
              <w:rPr>
                <w:b w:val="0"/>
                <w:bCs w:val="0"/>
                <w:webHidden/>
              </w:rPr>
              <w:tab/>
            </w:r>
            <w:r w:rsidR="00693604" w:rsidRPr="00E96574">
              <w:rPr>
                <w:b w:val="0"/>
                <w:bCs w:val="0"/>
                <w:webHidden/>
              </w:rPr>
              <w:fldChar w:fldCharType="begin"/>
            </w:r>
            <w:r w:rsidR="00693604" w:rsidRPr="00E96574">
              <w:rPr>
                <w:b w:val="0"/>
                <w:bCs w:val="0"/>
                <w:webHidden/>
              </w:rPr>
              <w:instrText xml:space="preserve"> PAGEREF _Toc208580378 \h </w:instrText>
            </w:r>
            <w:r w:rsidR="00693604" w:rsidRPr="00E96574">
              <w:rPr>
                <w:b w:val="0"/>
                <w:bCs w:val="0"/>
                <w:webHidden/>
              </w:rPr>
            </w:r>
            <w:r w:rsidR="00693604" w:rsidRPr="00E96574">
              <w:rPr>
                <w:b w:val="0"/>
                <w:bCs w:val="0"/>
                <w:webHidden/>
              </w:rPr>
              <w:fldChar w:fldCharType="separate"/>
            </w:r>
            <w:r w:rsidR="00FE7555">
              <w:rPr>
                <w:b w:val="0"/>
                <w:bCs w:val="0"/>
                <w:webHidden/>
              </w:rPr>
              <w:t>33</w:t>
            </w:r>
            <w:r w:rsidR="00693604" w:rsidRPr="00E96574">
              <w:rPr>
                <w:b w:val="0"/>
                <w:bCs w:val="0"/>
                <w:webHidden/>
              </w:rPr>
              <w:fldChar w:fldCharType="end"/>
            </w:r>
          </w:hyperlink>
        </w:p>
        <w:p w14:paraId="3E1EE947" w14:textId="360CFC98" w:rsidR="00693604" w:rsidRPr="00693604" w:rsidRDefault="00C052D8" w:rsidP="00AF7C1D">
          <w:pPr>
            <w:pStyle w:val="TOC2"/>
            <w:tabs>
              <w:tab w:val="left" w:pos="720"/>
              <w:tab w:val="right" w:leader="dot" w:pos="9062"/>
            </w:tabs>
            <w:spacing w:line="240" w:lineRule="auto"/>
            <w:ind w:left="567" w:hanging="347"/>
            <w:rPr>
              <w:rFonts w:ascii="Times New Roman" w:eastAsiaTheme="minorEastAsia" w:hAnsi="Times New Roman" w:cs="Times New Roman"/>
              <w:noProof/>
              <w:kern w:val="2"/>
              <w:sz w:val="24"/>
              <w:szCs w:val="24"/>
              <w:lang w:eastAsia="bg-BG"/>
              <w14:ligatures w14:val="standardContextual"/>
            </w:rPr>
          </w:pPr>
          <w:hyperlink w:anchor="_Toc208580379" w:history="1">
            <w:r w:rsidR="00693604" w:rsidRPr="00693604">
              <w:rPr>
                <w:rStyle w:val="Hyperlink"/>
                <w:rFonts w:ascii="Times New Roman" w:hAnsi="Times New Roman" w:cs="Times New Roman"/>
                <w:noProof/>
              </w:rPr>
              <w:t>1.</w:t>
            </w:r>
            <w:r w:rsidR="00693604" w:rsidRPr="00693604">
              <w:rPr>
                <w:rFonts w:ascii="Times New Roman" w:eastAsiaTheme="minorEastAsia" w:hAnsi="Times New Roman" w:cs="Times New Roman"/>
                <w:noProof/>
                <w:kern w:val="2"/>
                <w:sz w:val="24"/>
                <w:szCs w:val="24"/>
                <w:lang w:eastAsia="bg-BG"/>
                <w14:ligatures w14:val="standardContextual"/>
              </w:rPr>
              <w:tab/>
            </w:r>
            <w:r w:rsidR="00693604" w:rsidRPr="00693604">
              <w:rPr>
                <w:rStyle w:val="Hyperlink"/>
                <w:rFonts w:ascii="Times New Roman" w:hAnsi="Times New Roman" w:cs="Times New Roman"/>
                <w:noProof/>
              </w:rPr>
              <w:t>Увод</w:t>
            </w:r>
            <w:r w:rsidR="00693604" w:rsidRPr="00693604">
              <w:rPr>
                <w:rFonts w:ascii="Times New Roman" w:hAnsi="Times New Roman" w:cs="Times New Roman"/>
                <w:noProof/>
                <w:webHidden/>
              </w:rPr>
              <w:tab/>
            </w:r>
            <w:r w:rsidR="00693604" w:rsidRPr="00693604">
              <w:rPr>
                <w:rFonts w:ascii="Times New Roman" w:hAnsi="Times New Roman" w:cs="Times New Roman"/>
                <w:noProof/>
                <w:webHidden/>
              </w:rPr>
              <w:fldChar w:fldCharType="begin"/>
            </w:r>
            <w:r w:rsidR="00693604" w:rsidRPr="00693604">
              <w:rPr>
                <w:rFonts w:ascii="Times New Roman" w:hAnsi="Times New Roman" w:cs="Times New Roman"/>
                <w:noProof/>
                <w:webHidden/>
              </w:rPr>
              <w:instrText xml:space="preserve"> PAGEREF _Toc208580379 \h </w:instrText>
            </w:r>
            <w:r w:rsidR="00693604" w:rsidRPr="00693604">
              <w:rPr>
                <w:rFonts w:ascii="Times New Roman" w:hAnsi="Times New Roman" w:cs="Times New Roman"/>
                <w:noProof/>
                <w:webHidden/>
              </w:rPr>
            </w:r>
            <w:r w:rsidR="00693604" w:rsidRPr="00693604">
              <w:rPr>
                <w:rFonts w:ascii="Times New Roman" w:hAnsi="Times New Roman" w:cs="Times New Roman"/>
                <w:noProof/>
                <w:webHidden/>
              </w:rPr>
              <w:fldChar w:fldCharType="separate"/>
            </w:r>
            <w:r w:rsidR="00FE7555">
              <w:rPr>
                <w:rFonts w:ascii="Times New Roman" w:hAnsi="Times New Roman" w:cs="Times New Roman"/>
                <w:noProof/>
                <w:webHidden/>
              </w:rPr>
              <w:t>33</w:t>
            </w:r>
            <w:r w:rsidR="00693604" w:rsidRPr="00693604">
              <w:rPr>
                <w:rFonts w:ascii="Times New Roman" w:hAnsi="Times New Roman" w:cs="Times New Roman"/>
                <w:noProof/>
                <w:webHidden/>
              </w:rPr>
              <w:fldChar w:fldCharType="end"/>
            </w:r>
          </w:hyperlink>
        </w:p>
        <w:p w14:paraId="42E825C7" w14:textId="4B160AC4" w:rsidR="00693604" w:rsidRPr="00693604" w:rsidRDefault="00C052D8" w:rsidP="00AF7C1D">
          <w:pPr>
            <w:pStyle w:val="TOC2"/>
            <w:tabs>
              <w:tab w:val="left" w:pos="720"/>
              <w:tab w:val="right" w:leader="dot" w:pos="9062"/>
            </w:tabs>
            <w:spacing w:line="240" w:lineRule="auto"/>
            <w:ind w:left="567" w:hanging="347"/>
            <w:rPr>
              <w:rFonts w:ascii="Times New Roman" w:eastAsiaTheme="minorEastAsia" w:hAnsi="Times New Roman" w:cs="Times New Roman"/>
              <w:noProof/>
              <w:kern w:val="2"/>
              <w:sz w:val="24"/>
              <w:szCs w:val="24"/>
              <w:lang w:eastAsia="bg-BG"/>
              <w14:ligatures w14:val="standardContextual"/>
            </w:rPr>
          </w:pPr>
          <w:hyperlink w:anchor="_Toc208580380" w:history="1">
            <w:r w:rsidR="00693604" w:rsidRPr="00693604">
              <w:rPr>
                <w:rStyle w:val="Hyperlink"/>
                <w:rFonts w:ascii="Times New Roman" w:hAnsi="Times New Roman" w:cs="Times New Roman"/>
                <w:noProof/>
              </w:rPr>
              <w:t>2.</w:t>
            </w:r>
            <w:r w:rsidR="00693604" w:rsidRPr="00693604">
              <w:rPr>
                <w:rFonts w:ascii="Times New Roman" w:eastAsiaTheme="minorEastAsia" w:hAnsi="Times New Roman" w:cs="Times New Roman"/>
                <w:noProof/>
                <w:kern w:val="2"/>
                <w:sz w:val="24"/>
                <w:szCs w:val="24"/>
                <w:lang w:eastAsia="bg-BG"/>
                <w14:ligatures w14:val="standardContextual"/>
              </w:rPr>
              <w:tab/>
            </w:r>
            <w:r w:rsidR="00693604" w:rsidRPr="00693604">
              <w:rPr>
                <w:rStyle w:val="Hyperlink"/>
                <w:rFonts w:ascii="Times New Roman" w:hAnsi="Times New Roman" w:cs="Times New Roman"/>
                <w:noProof/>
              </w:rPr>
              <w:t>Рискове, мерки и препоръки</w:t>
            </w:r>
            <w:r w:rsidR="00693604" w:rsidRPr="00693604">
              <w:rPr>
                <w:rFonts w:ascii="Times New Roman" w:hAnsi="Times New Roman" w:cs="Times New Roman"/>
                <w:noProof/>
                <w:webHidden/>
              </w:rPr>
              <w:tab/>
            </w:r>
            <w:r w:rsidR="00693604" w:rsidRPr="00693604">
              <w:rPr>
                <w:rFonts w:ascii="Times New Roman" w:hAnsi="Times New Roman" w:cs="Times New Roman"/>
                <w:noProof/>
                <w:webHidden/>
              </w:rPr>
              <w:fldChar w:fldCharType="begin"/>
            </w:r>
            <w:r w:rsidR="00693604" w:rsidRPr="00693604">
              <w:rPr>
                <w:rFonts w:ascii="Times New Roman" w:hAnsi="Times New Roman" w:cs="Times New Roman"/>
                <w:noProof/>
                <w:webHidden/>
              </w:rPr>
              <w:instrText xml:space="preserve"> PAGEREF _Toc208580380 \h </w:instrText>
            </w:r>
            <w:r w:rsidR="00693604" w:rsidRPr="00693604">
              <w:rPr>
                <w:rFonts w:ascii="Times New Roman" w:hAnsi="Times New Roman" w:cs="Times New Roman"/>
                <w:noProof/>
                <w:webHidden/>
              </w:rPr>
            </w:r>
            <w:r w:rsidR="00693604" w:rsidRPr="00693604">
              <w:rPr>
                <w:rFonts w:ascii="Times New Roman" w:hAnsi="Times New Roman" w:cs="Times New Roman"/>
                <w:noProof/>
                <w:webHidden/>
              </w:rPr>
              <w:fldChar w:fldCharType="separate"/>
            </w:r>
            <w:r w:rsidR="00FE7555">
              <w:rPr>
                <w:rFonts w:ascii="Times New Roman" w:hAnsi="Times New Roman" w:cs="Times New Roman"/>
                <w:noProof/>
                <w:webHidden/>
              </w:rPr>
              <w:t>34</w:t>
            </w:r>
            <w:r w:rsidR="00693604" w:rsidRPr="00693604">
              <w:rPr>
                <w:rFonts w:ascii="Times New Roman" w:hAnsi="Times New Roman" w:cs="Times New Roman"/>
                <w:noProof/>
                <w:webHidden/>
              </w:rPr>
              <w:fldChar w:fldCharType="end"/>
            </w:r>
          </w:hyperlink>
        </w:p>
        <w:p w14:paraId="5EFE2D17" w14:textId="709043E0"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81" w:history="1">
            <w:r w:rsidR="00693604" w:rsidRPr="00693604">
              <w:rPr>
                <w:rStyle w:val="Hyperlink"/>
              </w:rPr>
              <w:t>а)</w:t>
            </w:r>
            <w:r w:rsidR="00693604" w:rsidRPr="00693604">
              <w:rPr>
                <w:rFonts w:eastAsiaTheme="minorEastAsia"/>
                <w:i w:val="0"/>
                <w:iCs w:val="0"/>
                <w:kern w:val="2"/>
                <w14:ligatures w14:val="standardContextual"/>
              </w:rPr>
              <w:tab/>
            </w:r>
            <w:r w:rsidR="00693604" w:rsidRPr="00693604">
              <w:rPr>
                <w:rStyle w:val="Hyperlink"/>
              </w:rPr>
              <w:t>Отбрана</w:t>
            </w:r>
            <w:r w:rsidR="00693604" w:rsidRPr="00693604">
              <w:rPr>
                <w:webHidden/>
              </w:rPr>
              <w:tab/>
            </w:r>
            <w:r w:rsidR="00693604" w:rsidRPr="00693604">
              <w:rPr>
                <w:webHidden/>
              </w:rPr>
              <w:fldChar w:fldCharType="begin"/>
            </w:r>
            <w:r w:rsidR="00693604" w:rsidRPr="00693604">
              <w:rPr>
                <w:webHidden/>
              </w:rPr>
              <w:instrText xml:space="preserve"> PAGEREF _Toc208580381 \h </w:instrText>
            </w:r>
            <w:r w:rsidR="00693604" w:rsidRPr="00693604">
              <w:rPr>
                <w:webHidden/>
              </w:rPr>
            </w:r>
            <w:r w:rsidR="00693604" w:rsidRPr="00693604">
              <w:rPr>
                <w:webHidden/>
              </w:rPr>
              <w:fldChar w:fldCharType="separate"/>
            </w:r>
            <w:r w:rsidR="00FE7555">
              <w:rPr>
                <w:webHidden/>
              </w:rPr>
              <w:t>34</w:t>
            </w:r>
            <w:r w:rsidR="00693604" w:rsidRPr="00693604">
              <w:rPr>
                <w:webHidden/>
              </w:rPr>
              <w:fldChar w:fldCharType="end"/>
            </w:r>
          </w:hyperlink>
        </w:p>
        <w:p w14:paraId="5814B77A" w14:textId="44D66182"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82" w:history="1">
            <w:r w:rsidR="00693604" w:rsidRPr="00693604">
              <w:rPr>
                <w:rStyle w:val="Hyperlink"/>
              </w:rPr>
              <w:t>б)</w:t>
            </w:r>
            <w:r w:rsidR="00693604" w:rsidRPr="00693604">
              <w:rPr>
                <w:rFonts w:eastAsiaTheme="minorEastAsia"/>
                <w:i w:val="0"/>
                <w:iCs w:val="0"/>
                <w:kern w:val="2"/>
                <w14:ligatures w14:val="standardContextual"/>
              </w:rPr>
              <w:tab/>
            </w:r>
            <w:r w:rsidR="00693604" w:rsidRPr="00693604">
              <w:rPr>
                <w:rStyle w:val="Hyperlink"/>
              </w:rPr>
              <w:t>Сигурност и способности</w:t>
            </w:r>
            <w:r w:rsidR="00693604" w:rsidRPr="00693604">
              <w:rPr>
                <w:webHidden/>
              </w:rPr>
              <w:tab/>
            </w:r>
            <w:r w:rsidR="00693604" w:rsidRPr="00693604">
              <w:rPr>
                <w:webHidden/>
              </w:rPr>
              <w:fldChar w:fldCharType="begin"/>
            </w:r>
            <w:r w:rsidR="00693604" w:rsidRPr="00693604">
              <w:rPr>
                <w:webHidden/>
              </w:rPr>
              <w:instrText xml:space="preserve"> PAGEREF _Toc208580382 \h </w:instrText>
            </w:r>
            <w:r w:rsidR="00693604" w:rsidRPr="00693604">
              <w:rPr>
                <w:webHidden/>
              </w:rPr>
            </w:r>
            <w:r w:rsidR="00693604" w:rsidRPr="00693604">
              <w:rPr>
                <w:webHidden/>
              </w:rPr>
              <w:fldChar w:fldCharType="separate"/>
            </w:r>
            <w:r w:rsidR="00FE7555">
              <w:rPr>
                <w:webHidden/>
              </w:rPr>
              <w:t>36</w:t>
            </w:r>
            <w:r w:rsidR="00693604" w:rsidRPr="00693604">
              <w:rPr>
                <w:webHidden/>
              </w:rPr>
              <w:fldChar w:fldCharType="end"/>
            </w:r>
          </w:hyperlink>
        </w:p>
        <w:p w14:paraId="2DCFA148" w14:textId="7518F3CD"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83" w:history="1">
            <w:r w:rsidR="00693604" w:rsidRPr="00693604">
              <w:rPr>
                <w:rStyle w:val="Hyperlink"/>
              </w:rPr>
              <w:t>в)</w:t>
            </w:r>
            <w:r w:rsidR="00693604" w:rsidRPr="00693604">
              <w:rPr>
                <w:rFonts w:eastAsiaTheme="minorEastAsia"/>
                <w:i w:val="0"/>
                <w:iCs w:val="0"/>
                <w:kern w:val="2"/>
                <w14:ligatures w14:val="standardContextual"/>
              </w:rPr>
              <w:tab/>
            </w:r>
            <w:r w:rsidR="00693604" w:rsidRPr="00693604">
              <w:rPr>
                <w:rStyle w:val="Hyperlink"/>
              </w:rPr>
              <w:t>Финансова сигурност</w:t>
            </w:r>
            <w:r w:rsidR="00693604" w:rsidRPr="00693604">
              <w:rPr>
                <w:webHidden/>
              </w:rPr>
              <w:tab/>
            </w:r>
            <w:r w:rsidR="00693604" w:rsidRPr="00693604">
              <w:rPr>
                <w:webHidden/>
              </w:rPr>
              <w:fldChar w:fldCharType="begin"/>
            </w:r>
            <w:r w:rsidR="00693604" w:rsidRPr="00693604">
              <w:rPr>
                <w:webHidden/>
              </w:rPr>
              <w:instrText xml:space="preserve"> PAGEREF _Toc208580383 \h </w:instrText>
            </w:r>
            <w:r w:rsidR="00693604" w:rsidRPr="00693604">
              <w:rPr>
                <w:webHidden/>
              </w:rPr>
            </w:r>
            <w:r w:rsidR="00693604" w:rsidRPr="00693604">
              <w:rPr>
                <w:webHidden/>
              </w:rPr>
              <w:fldChar w:fldCharType="separate"/>
            </w:r>
            <w:r w:rsidR="00FE7555">
              <w:rPr>
                <w:webHidden/>
              </w:rPr>
              <w:t>37</w:t>
            </w:r>
            <w:r w:rsidR="00693604" w:rsidRPr="00693604">
              <w:rPr>
                <w:webHidden/>
              </w:rPr>
              <w:fldChar w:fldCharType="end"/>
            </w:r>
          </w:hyperlink>
        </w:p>
        <w:p w14:paraId="116B1875" w14:textId="1C8ACD4F"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84" w:history="1">
            <w:r w:rsidR="00693604" w:rsidRPr="00693604">
              <w:rPr>
                <w:rStyle w:val="Hyperlink"/>
                <w:lang w:val="en-US"/>
              </w:rPr>
              <w:t>г)</w:t>
            </w:r>
            <w:r w:rsidR="00693604" w:rsidRPr="00693604">
              <w:rPr>
                <w:rFonts w:eastAsiaTheme="minorEastAsia"/>
                <w:i w:val="0"/>
                <w:iCs w:val="0"/>
                <w:kern w:val="2"/>
                <w14:ligatures w14:val="standardContextual"/>
              </w:rPr>
              <w:tab/>
            </w:r>
            <w:r w:rsidR="00693604" w:rsidRPr="00693604">
              <w:rPr>
                <w:rStyle w:val="Hyperlink"/>
              </w:rPr>
              <w:t>Икономическа сигурност</w:t>
            </w:r>
            <w:r w:rsidR="00693604" w:rsidRPr="00693604">
              <w:rPr>
                <w:webHidden/>
              </w:rPr>
              <w:tab/>
            </w:r>
            <w:r w:rsidR="00693604" w:rsidRPr="00693604">
              <w:rPr>
                <w:webHidden/>
              </w:rPr>
              <w:fldChar w:fldCharType="begin"/>
            </w:r>
            <w:r w:rsidR="00693604" w:rsidRPr="00693604">
              <w:rPr>
                <w:webHidden/>
              </w:rPr>
              <w:instrText xml:space="preserve"> PAGEREF _Toc208580384 \h </w:instrText>
            </w:r>
            <w:r w:rsidR="00693604" w:rsidRPr="00693604">
              <w:rPr>
                <w:webHidden/>
              </w:rPr>
            </w:r>
            <w:r w:rsidR="00693604" w:rsidRPr="00693604">
              <w:rPr>
                <w:webHidden/>
              </w:rPr>
              <w:fldChar w:fldCharType="separate"/>
            </w:r>
            <w:r w:rsidR="00FE7555">
              <w:rPr>
                <w:webHidden/>
              </w:rPr>
              <w:t>39</w:t>
            </w:r>
            <w:r w:rsidR="00693604" w:rsidRPr="00693604">
              <w:rPr>
                <w:webHidden/>
              </w:rPr>
              <w:fldChar w:fldCharType="end"/>
            </w:r>
          </w:hyperlink>
        </w:p>
        <w:p w14:paraId="5495F70D" w14:textId="6F8DE755"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85" w:history="1">
            <w:r w:rsidR="00693604" w:rsidRPr="00693604">
              <w:rPr>
                <w:rStyle w:val="Hyperlink"/>
              </w:rPr>
              <w:t>д)</w:t>
            </w:r>
            <w:r w:rsidR="00693604" w:rsidRPr="00693604">
              <w:rPr>
                <w:rFonts w:eastAsiaTheme="minorEastAsia"/>
                <w:i w:val="0"/>
                <w:iCs w:val="0"/>
                <w:kern w:val="2"/>
                <w14:ligatures w14:val="standardContextual"/>
              </w:rPr>
              <w:tab/>
            </w:r>
            <w:r w:rsidR="00693604" w:rsidRPr="00693604">
              <w:rPr>
                <w:rStyle w:val="Hyperlink"/>
              </w:rPr>
              <w:t>Енергетика</w:t>
            </w:r>
            <w:r w:rsidR="00693604" w:rsidRPr="00693604">
              <w:rPr>
                <w:webHidden/>
              </w:rPr>
              <w:tab/>
            </w:r>
            <w:r w:rsidR="00693604" w:rsidRPr="00693604">
              <w:rPr>
                <w:webHidden/>
              </w:rPr>
              <w:fldChar w:fldCharType="begin"/>
            </w:r>
            <w:r w:rsidR="00693604" w:rsidRPr="00693604">
              <w:rPr>
                <w:webHidden/>
              </w:rPr>
              <w:instrText xml:space="preserve"> PAGEREF _Toc208580385 \h </w:instrText>
            </w:r>
            <w:r w:rsidR="00693604" w:rsidRPr="00693604">
              <w:rPr>
                <w:webHidden/>
              </w:rPr>
            </w:r>
            <w:r w:rsidR="00693604" w:rsidRPr="00693604">
              <w:rPr>
                <w:webHidden/>
              </w:rPr>
              <w:fldChar w:fldCharType="separate"/>
            </w:r>
            <w:r w:rsidR="00FE7555">
              <w:rPr>
                <w:webHidden/>
              </w:rPr>
              <w:t>40</w:t>
            </w:r>
            <w:r w:rsidR="00693604" w:rsidRPr="00693604">
              <w:rPr>
                <w:webHidden/>
              </w:rPr>
              <w:fldChar w:fldCharType="end"/>
            </w:r>
          </w:hyperlink>
        </w:p>
        <w:p w14:paraId="1833908E" w14:textId="7687354E"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86" w:history="1">
            <w:r w:rsidR="00693604" w:rsidRPr="00693604">
              <w:rPr>
                <w:rStyle w:val="Hyperlink"/>
              </w:rPr>
              <w:t>е)</w:t>
            </w:r>
            <w:r w:rsidR="00693604" w:rsidRPr="00693604">
              <w:rPr>
                <w:rFonts w:eastAsiaTheme="minorEastAsia"/>
                <w:i w:val="0"/>
                <w:iCs w:val="0"/>
                <w:kern w:val="2"/>
                <w14:ligatures w14:val="standardContextual"/>
              </w:rPr>
              <w:tab/>
            </w:r>
            <w:r w:rsidR="00693604" w:rsidRPr="00693604">
              <w:rPr>
                <w:rStyle w:val="Hyperlink"/>
              </w:rPr>
              <w:t>Защита на класифицираната информация</w:t>
            </w:r>
            <w:r w:rsidR="00693604" w:rsidRPr="00693604">
              <w:rPr>
                <w:webHidden/>
              </w:rPr>
              <w:tab/>
            </w:r>
            <w:r w:rsidR="00693604" w:rsidRPr="00693604">
              <w:rPr>
                <w:webHidden/>
              </w:rPr>
              <w:fldChar w:fldCharType="begin"/>
            </w:r>
            <w:r w:rsidR="00693604" w:rsidRPr="00693604">
              <w:rPr>
                <w:webHidden/>
              </w:rPr>
              <w:instrText xml:space="preserve"> PAGEREF _Toc208580386 \h </w:instrText>
            </w:r>
            <w:r w:rsidR="00693604" w:rsidRPr="00693604">
              <w:rPr>
                <w:webHidden/>
              </w:rPr>
            </w:r>
            <w:r w:rsidR="00693604" w:rsidRPr="00693604">
              <w:rPr>
                <w:webHidden/>
              </w:rPr>
              <w:fldChar w:fldCharType="separate"/>
            </w:r>
            <w:r w:rsidR="00FE7555">
              <w:rPr>
                <w:webHidden/>
              </w:rPr>
              <w:t>42</w:t>
            </w:r>
            <w:r w:rsidR="00693604" w:rsidRPr="00693604">
              <w:rPr>
                <w:webHidden/>
              </w:rPr>
              <w:fldChar w:fldCharType="end"/>
            </w:r>
          </w:hyperlink>
        </w:p>
        <w:p w14:paraId="0D3D6178" w14:textId="07ABCDAD"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87" w:history="1">
            <w:r w:rsidR="00693604" w:rsidRPr="00693604">
              <w:rPr>
                <w:rStyle w:val="Hyperlink"/>
              </w:rPr>
              <w:t>ж)</w:t>
            </w:r>
            <w:r w:rsidR="00693604" w:rsidRPr="00693604">
              <w:rPr>
                <w:rFonts w:eastAsiaTheme="minorEastAsia"/>
                <w:i w:val="0"/>
                <w:iCs w:val="0"/>
                <w:kern w:val="2"/>
                <w14:ligatures w14:val="standardContextual"/>
              </w:rPr>
              <w:tab/>
            </w:r>
            <w:r w:rsidR="00693604" w:rsidRPr="00693604">
              <w:rPr>
                <w:rStyle w:val="Hyperlink"/>
              </w:rPr>
              <w:t>Секторни уязвимости и защита на населението при бедствия, климатични и екологични заплахи</w:t>
            </w:r>
            <w:r w:rsidR="00693604" w:rsidRPr="00693604">
              <w:rPr>
                <w:webHidden/>
              </w:rPr>
              <w:tab/>
            </w:r>
            <w:r w:rsidR="00693604" w:rsidRPr="00693604">
              <w:rPr>
                <w:webHidden/>
              </w:rPr>
              <w:fldChar w:fldCharType="begin"/>
            </w:r>
            <w:r w:rsidR="00693604" w:rsidRPr="00693604">
              <w:rPr>
                <w:webHidden/>
              </w:rPr>
              <w:instrText xml:space="preserve"> PAGEREF _Toc208580387 \h </w:instrText>
            </w:r>
            <w:r w:rsidR="00693604" w:rsidRPr="00693604">
              <w:rPr>
                <w:webHidden/>
              </w:rPr>
            </w:r>
            <w:r w:rsidR="00693604" w:rsidRPr="00693604">
              <w:rPr>
                <w:webHidden/>
              </w:rPr>
              <w:fldChar w:fldCharType="separate"/>
            </w:r>
            <w:r w:rsidR="00FE7555">
              <w:rPr>
                <w:webHidden/>
              </w:rPr>
              <w:t>42</w:t>
            </w:r>
            <w:r w:rsidR="00693604" w:rsidRPr="00693604">
              <w:rPr>
                <w:webHidden/>
              </w:rPr>
              <w:fldChar w:fldCharType="end"/>
            </w:r>
          </w:hyperlink>
        </w:p>
        <w:p w14:paraId="06D0EFD2" w14:textId="062953C8"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88" w:history="1">
            <w:r w:rsidR="00693604" w:rsidRPr="00693604">
              <w:rPr>
                <w:rStyle w:val="Hyperlink"/>
              </w:rPr>
              <w:t>з)</w:t>
            </w:r>
            <w:r w:rsidR="00693604" w:rsidRPr="00693604">
              <w:rPr>
                <w:rFonts w:eastAsiaTheme="minorEastAsia"/>
                <w:i w:val="0"/>
                <w:iCs w:val="0"/>
                <w:kern w:val="2"/>
                <w14:ligatures w14:val="standardContextual"/>
              </w:rPr>
              <w:tab/>
            </w:r>
            <w:r w:rsidR="00693604" w:rsidRPr="00693604">
              <w:rPr>
                <w:rStyle w:val="Hyperlink"/>
              </w:rPr>
              <w:t>Общество и човешки капитал: демографски, здравни, образователни и социални аспекти на сигурността</w:t>
            </w:r>
            <w:r w:rsidR="00693604" w:rsidRPr="00693604">
              <w:rPr>
                <w:webHidden/>
              </w:rPr>
              <w:tab/>
            </w:r>
            <w:r w:rsidR="00693604" w:rsidRPr="00693604">
              <w:rPr>
                <w:webHidden/>
              </w:rPr>
              <w:fldChar w:fldCharType="begin"/>
            </w:r>
            <w:r w:rsidR="00693604" w:rsidRPr="00693604">
              <w:rPr>
                <w:webHidden/>
              </w:rPr>
              <w:instrText xml:space="preserve"> PAGEREF _Toc208580388 \h </w:instrText>
            </w:r>
            <w:r w:rsidR="00693604" w:rsidRPr="00693604">
              <w:rPr>
                <w:webHidden/>
              </w:rPr>
            </w:r>
            <w:r w:rsidR="00693604" w:rsidRPr="00693604">
              <w:rPr>
                <w:webHidden/>
              </w:rPr>
              <w:fldChar w:fldCharType="separate"/>
            </w:r>
            <w:r w:rsidR="00FE7555">
              <w:rPr>
                <w:webHidden/>
              </w:rPr>
              <w:t>51</w:t>
            </w:r>
            <w:r w:rsidR="00693604" w:rsidRPr="00693604">
              <w:rPr>
                <w:webHidden/>
              </w:rPr>
              <w:fldChar w:fldCharType="end"/>
            </w:r>
          </w:hyperlink>
        </w:p>
        <w:p w14:paraId="188CF9BF" w14:textId="141E792D"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89" w:history="1">
            <w:r w:rsidR="00693604" w:rsidRPr="00693604">
              <w:rPr>
                <w:rStyle w:val="Hyperlink"/>
              </w:rPr>
              <w:t>и)</w:t>
            </w:r>
            <w:r w:rsidR="00693604" w:rsidRPr="00693604">
              <w:rPr>
                <w:rFonts w:eastAsiaTheme="minorEastAsia"/>
                <w:i w:val="0"/>
                <w:iCs w:val="0"/>
                <w:kern w:val="2"/>
                <w14:ligatures w14:val="standardContextual"/>
              </w:rPr>
              <w:tab/>
            </w:r>
            <w:r w:rsidR="00693604" w:rsidRPr="00693604">
              <w:rPr>
                <w:rStyle w:val="Hyperlink"/>
              </w:rPr>
              <w:t>Правосъдие и върховенство на правото</w:t>
            </w:r>
            <w:r w:rsidR="00693604" w:rsidRPr="00693604">
              <w:rPr>
                <w:webHidden/>
              </w:rPr>
              <w:tab/>
            </w:r>
            <w:r w:rsidR="00693604" w:rsidRPr="00693604">
              <w:rPr>
                <w:webHidden/>
              </w:rPr>
              <w:fldChar w:fldCharType="begin"/>
            </w:r>
            <w:r w:rsidR="00693604" w:rsidRPr="00693604">
              <w:rPr>
                <w:webHidden/>
              </w:rPr>
              <w:instrText xml:space="preserve"> PAGEREF _Toc208580389 \h </w:instrText>
            </w:r>
            <w:r w:rsidR="00693604" w:rsidRPr="00693604">
              <w:rPr>
                <w:webHidden/>
              </w:rPr>
            </w:r>
            <w:r w:rsidR="00693604" w:rsidRPr="00693604">
              <w:rPr>
                <w:webHidden/>
              </w:rPr>
              <w:fldChar w:fldCharType="separate"/>
            </w:r>
            <w:r w:rsidR="00FE7555">
              <w:rPr>
                <w:webHidden/>
              </w:rPr>
              <w:t>58</w:t>
            </w:r>
            <w:r w:rsidR="00693604" w:rsidRPr="00693604">
              <w:rPr>
                <w:webHidden/>
              </w:rPr>
              <w:fldChar w:fldCharType="end"/>
            </w:r>
          </w:hyperlink>
        </w:p>
        <w:p w14:paraId="7355DF89" w14:textId="64E00E5C"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90" w:history="1">
            <w:r w:rsidR="00693604" w:rsidRPr="00693604">
              <w:rPr>
                <w:rStyle w:val="Hyperlink"/>
              </w:rPr>
              <w:t>й)</w:t>
            </w:r>
            <w:r w:rsidR="00693604" w:rsidRPr="00693604">
              <w:rPr>
                <w:rFonts w:eastAsiaTheme="minorEastAsia"/>
                <w:i w:val="0"/>
                <w:iCs w:val="0"/>
                <w:kern w:val="2"/>
                <w14:ligatures w14:val="standardContextual"/>
              </w:rPr>
              <w:tab/>
            </w:r>
            <w:r w:rsidR="00693604" w:rsidRPr="00693604">
              <w:rPr>
                <w:rStyle w:val="Hyperlink"/>
              </w:rPr>
              <w:t>Корупционен риск</w:t>
            </w:r>
            <w:r w:rsidR="00693604" w:rsidRPr="00693604">
              <w:rPr>
                <w:webHidden/>
              </w:rPr>
              <w:tab/>
            </w:r>
            <w:r w:rsidR="00693604" w:rsidRPr="00693604">
              <w:rPr>
                <w:webHidden/>
              </w:rPr>
              <w:fldChar w:fldCharType="begin"/>
            </w:r>
            <w:r w:rsidR="00693604" w:rsidRPr="00693604">
              <w:rPr>
                <w:webHidden/>
              </w:rPr>
              <w:instrText xml:space="preserve"> PAGEREF _Toc208580390 \h </w:instrText>
            </w:r>
            <w:r w:rsidR="00693604" w:rsidRPr="00693604">
              <w:rPr>
                <w:webHidden/>
              </w:rPr>
            </w:r>
            <w:r w:rsidR="00693604" w:rsidRPr="00693604">
              <w:rPr>
                <w:webHidden/>
              </w:rPr>
              <w:fldChar w:fldCharType="separate"/>
            </w:r>
            <w:r w:rsidR="00FE7555">
              <w:rPr>
                <w:webHidden/>
              </w:rPr>
              <w:t>63</w:t>
            </w:r>
            <w:r w:rsidR="00693604" w:rsidRPr="00693604">
              <w:rPr>
                <w:webHidden/>
              </w:rPr>
              <w:fldChar w:fldCharType="end"/>
            </w:r>
          </w:hyperlink>
        </w:p>
        <w:p w14:paraId="406D9217" w14:textId="7A02FC51"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91" w:history="1">
            <w:r w:rsidR="00693604" w:rsidRPr="00693604">
              <w:rPr>
                <w:rStyle w:val="Hyperlink"/>
                <w:lang w:val="en-US"/>
              </w:rPr>
              <w:t>к)</w:t>
            </w:r>
            <w:r w:rsidR="00693604" w:rsidRPr="00693604">
              <w:rPr>
                <w:rFonts w:eastAsiaTheme="minorEastAsia"/>
                <w:i w:val="0"/>
                <w:iCs w:val="0"/>
                <w:kern w:val="2"/>
                <w14:ligatures w14:val="standardContextual"/>
              </w:rPr>
              <w:tab/>
            </w:r>
            <w:r w:rsidR="00693604" w:rsidRPr="00693604">
              <w:rPr>
                <w:rStyle w:val="Hyperlink"/>
              </w:rPr>
              <w:t>Организирана престъпност, трафик на наркотици и контрабанда</w:t>
            </w:r>
            <w:r w:rsidR="00693604" w:rsidRPr="00693604">
              <w:rPr>
                <w:webHidden/>
              </w:rPr>
              <w:tab/>
            </w:r>
            <w:r w:rsidR="00693604" w:rsidRPr="00693604">
              <w:rPr>
                <w:webHidden/>
              </w:rPr>
              <w:fldChar w:fldCharType="begin"/>
            </w:r>
            <w:r w:rsidR="00693604" w:rsidRPr="00693604">
              <w:rPr>
                <w:webHidden/>
              </w:rPr>
              <w:instrText xml:space="preserve"> PAGEREF _Toc208580391 \h </w:instrText>
            </w:r>
            <w:r w:rsidR="00693604" w:rsidRPr="00693604">
              <w:rPr>
                <w:webHidden/>
              </w:rPr>
            </w:r>
            <w:r w:rsidR="00693604" w:rsidRPr="00693604">
              <w:rPr>
                <w:webHidden/>
              </w:rPr>
              <w:fldChar w:fldCharType="separate"/>
            </w:r>
            <w:r w:rsidR="00FE7555">
              <w:rPr>
                <w:webHidden/>
              </w:rPr>
              <w:t>64</w:t>
            </w:r>
            <w:r w:rsidR="00693604" w:rsidRPr="00693604">
              <w:rPr>
                <w:webHidden/>
              </w:rPr>
              <w:fldChar w:fldCharType="end"/>
            </w:r>
          </w:hyperlink>
        </w:p>
        <w:p w14:paraId="468A57FE" w14:textId="31B7695B"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92" w:history="1">
            <w:r w:rsidR="00693604" w:rsidRPr="00693604">
              <w:rPr>
                <w:rStyle w:val="Hyperlink"/>
              </w:rPr>
              <w:t>л)</w:t>
            </w:r>
            <w:r w:rsidR="00693604" w:rsidRPr="00693604">
              <w:rPr>
                <w:rFonts w:eastAsiaTheme="minorEastAsia"/>
                <w:i w:val="0"/>
                <w:iCs w:val="0"/>
                <w:kern w:val="2"/>
                <w14:ligatures w14:val="standardContextual"/>
              </w:rPr>
              <w:tab/>
            </w:r>
            <w:r w:rsidR="00693604" w:rsidRPr="00693604">
              <w:rPr>
                <w:rStyle w:val="Hyperlink"/>
              </w:rPr>
              <w:t>Конвенционална престъпност</w:t>
            </w:r>
            <w:r w:rsidR="00693604" w:rsidRPr="00693604">
              <w:rPr>
                <w:webHidden/>
              </w:rPr>
              <w:tab/>
            </w:r>
            <w:r w:rsidR="00693604" w:rsidRPr="00693604">
              <w:rPr>
                <w:webHidden/>
              </w:rPr>
              <w:fldChar w:fldCharType="begin"/>
            </w:r>
            <w:r w:rsidR="00693604" w:rsidRPr="00693604">
              <w:rPr>
                <w:webHidden/>
              </w:rPr>
              <w:instrText xml:space="preserve"> PAGEREF _Toc208580392 \h </w:instrText>
            </w:r>
            <w:r w:rsidR="00693604" w:rsidRPr="00693604">
              <w:rPr>
                <w:webHidden/>
              </w:rPr>
            </w:r>
            <w:r w:rsidR="00693604" w:rsidRPr="00693604">
              <w:rPr>
                <w:webHidden/>
              </w:rPr>
              <w:fldChar w:fldCharType="separate"/>
            </w:r>
            <w:r w:rsidR="00FE7555">
              <w:rPr>
                <w:webHidden/>
              </w:rPr>
              <w:t>66</w:t>
            </w:r>
            <w:r w:rsidR="00693604" w:rsidRPr="00693604">
              <w:rPr>
                <w:webHidden/>
              </w:rPr>
              <w:fldChar w:fldCharType="end"/>
            </w:r>
          </w:hyperlink>
        </w:p>
        <w:p w14:paraId="445E8ABB" w14:textId="2910797F"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93" w:history="1">
            <w:r w:rsidR="00693604" w:rsidRPr="00693604">
              <w:rPr>
                <w:rStyle w:val="Hyperlink"/>
              </w:rPr>
              <w:t>м)</w:t>
            </w:r>
            <w:r w:rsidR="00693604" w:rsidRPr="00693604">
              <w:rPr>
                <w:rFonts w:eastAsiaTheme="minorEastAsia"/>
                <w:i w:val="0"/>
                <w:iCs w:val="0"/>
                <w:kern w:val="2"/>
                <w14:ligatures w14:val="standardContextual"/>
              </w:rPr>
              <w:tab/>
            </w:r>
            <w:r w:rsidR="00693604" w:rsidRPr="00693604">
              <w:rPr>
                <w:rStyle w:val="Hyperlink"/>
              </w:rPr>
              <w:t>Сигурност в сектор „Транспорт и транспортна инфраструктура“</w:t>
            </w:r>
            <w:r w:rsidR="00693604" w:rsidRPr="00693604">
              <w:rPr>
                <w:webHidden/>
              </w:rPr>
              <w:tab/>
            </w:r>
            <w:r w:rsidR="00693604" w:rsidRPr="00693604">
              <w:rPr>
                <w:webHidden/>
              </w:rPr>
              <w:fldChar w:fldCharType="begin"/>
            </w:r>
            <w:r w:rsidR="00693604" w:rsidRPr="00693604">
              <w:rPr>
                <w:webHidden/>
              </w:rPr>
              <w:instrText xml:space="preserve"> PAGEREF _Toc208580393 \h </w:instrText>
            </w:r>
            <w:r w:rsidR="00693604" w:rsidRPr="00693604">
              <w:rPr>
                <w:webHidden/>
              </w:rPr>
            </w:r>
            <w:r w:rsidR="00693604" w:rsidRPr="00693604">
              <w:rPr>
                <w:webHidden/>
              </w:rPr>
              <w:fldChar w:fldCharType="separate"/>
            </w:r>
            <w:r w:rsidR="00FE7555">
              <w:rPr>
                <w:webHidden/>
              </w:rPr>
              <w:t>67</w:t>
            </w:r>
            <w:r w:rsidR="00693604" w:rsidRPr="00693604">
              <w:rPr>
                <w:webHidden/>
              </w:rPr>
              <w:fldChar w:fldCharType="end"/>
            </w:r>
          </w:hyperlink>
        </w:p>
        <w:p w14:paraId="79FD1181" w14:textId="5F6866E1"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94" w:history="1">
            <w:r w:rsidR="00693604" w:rsidRPr="00693604">
              <w:rPr>
                <w:rStyle w:val="Hyperlink"/>
              </w:rPr>
              <w:t>н)</w:t>
            </w:r>
            <w:r w:rsidR="00693604" w:rsidRPr="00693604">
              <w:rPr>
                <w:rFonts w:eastAsiaTheme="minorEastAsia"/>
                <w:i w:val="0"/>
                <w:iCs w:val="0"/>
                <w:kern w:val="2"/>
                <w14:ligatures w14:val="standardContextual"/>
              </w:rPr>
              <w:tab/>
            </w:r>
            <w:r w:rsidR="00693604" w:rsidRPr="00693604">
              <w:rPr>
                <w:rStyle w:val="Hyperlink"/>
              </w:rPr>
              <w:t>Екология, околна среда и климат</w:t>
            </w:r>
            <w:r w:rsidR="00693604" w:rsidRPr="00693604">
              <w:rPr>
                <w:webHidden/>
              </w:rPr>
              <w:tab/>
            </w:r>
            <w:r w:rsidR="00693604" w:rsidRPr="00693604">
              <w:rPr>
                <w:webHidden/>
              </w:rPr>
              <w:fldChar w:fldCharType="begin"/>
            </w:r>
            <w:r w:rsidR="00693604" w:rsidRPr="00693604">
              <w:rPr>
                <w:webHidden/>
              </w:rPr>
              <w:instrText xml:space="preserve"> PAGEREF _Toc208580394 \h </w:instrText>
            </w:r>
            <w:r w:rsidR="00693604" w:rsidRPr="00693604">
              <w:rPr>
                <w:webHidden/>
              </w:rPr>
            </w:r>
            <w:r w:rsidR="00693604" w:rsidRPr="00693604">
              <w:rPr>
                <w:webHidden/>
              </w:rPr>
              <w:fldChar w:fldCharType="separate"/>
            </w:r>
            <w:r w:rsidR="00FE7555">
              <w:rPr>
                <w:webHidden/>
              </w:rPr>
              <w:t>70</w:t>
            </w:r>
            <w:r w:rsidR="00693604" w:rsidRPr="00693604">
              <w:rPr>
                <w:webHidden/>
              </w:rPr>
              <w:fldChar w:fldCharType="end"/>
            </w:r>
          </w:hyperlink>
        </w:p>
        <w:p w14:paraId="7C957F71" w14:textId="7CA5ADBE"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95" w:history="1">
            <w:r w:rsidR="00693604" w:rsidRPr="00693604">
              <w:rPr>
                <w:rStyle w:val="Hyperlink"/>
              </w:rPr>
              <w:t>о)</w:t>
            </w:r>
            <w:r w:rsidR="00693604" w:rsidRPr="00693604">
              <w:rPr>
                <w:rFonts w:eastAsiaTheme="minorEastAsia"/>
                <w:i w:val="0"/>
                <w:iCs w:val="0"/>
                <w:kern w:val="2"/>
                <w14:ligatures w14:val="standardContextual"/>
              </w:rPr>
              <w:tab/>
            </w:r>
            <w:r w:rsidR="00693604" w:rsidRPr="00693604">
              <w:rPr>
                <w:rStyle w:val="Hyperlink"/>
              </w:rPr>
              <w:t>Продоволствена и аграрна сигурност</w:t>
            </w:r>
            <w:r w:rsidR="00693604" w:rsidRPr="00693604">
              <w:rPr>
                <w:webHidden/>
              </w:rPr>
              <w:tab/>
            </w:r>
            <w:r w:rsidR="00693604" w:rsidRPr="00693604">
              <w:rPr>
                <w:webHidden/>
              </w:rPr>
              <w:fldChar w:fldCharType="begin"/>
            </w:r>
            <w:r w:rsidR="00693604" w:rsidRPr="00693604">
              <w:rPr>
                <w:webHidden/>
              </w:rPr>
              <w:instrText xml:space="preserve"> PAGEREF _Toc208580395 \h </w:instrText>
            </w:r>
            <w:r w:rsidR="00693604" w:rsidRPr="00693604">
              <w:rPr>
                <w:webHidden/>
              </w:rPr>
            </w:r>
            <w:r w:rsidR="00693604" w:rsidRPr="00693604">
              <w:rPr>
                <w:webHidden/>
              </w:rPr>
              <w:fldChar w:fldCharType="separate"/>
            </w:r>
            <w:r w:rsidR="00FE7555">
              <w:rPr>
                <w:webHidden/>
              </w:rPr>
              <w:t>72</w:t>
            </w:r>
            <w:r w:rsidR="00693604" w:rsidRPr="00693604">
              <w:rPr>
                <w:webHidden/>
              </w:rPr>
              <w:fldChar w:fldCharType="end"/>
            </w:r>
          </w:hyperlink>
        </w:p>
        <w:p w14:paraId="0E46FC61" w14:textId="61C51A02"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96" w:history="1">
            <w:r w:rsidR="00693604" w:rsidRPr="00693604">
              <w:rPr>
                <w:rStyle w:val="Hyperlink"/>
              </w:rPr>
              <w:t>п)</w:t>
            </w:r>
            <w:r w:rsidR="00693604" w:rsidRPr="00693604">
              <w:rPr>
                <w:rFonts w:eastAsiaTheme="minorEastAsia"/>
                <w:i w:val="0"/>
                <w:iCs w:val="0"/>
                <w:kern w:val="2"/>
                <w14:ligatures w14:val="standardContextual"/>
              </w:rPr>
              <w:tab/>
            </w:r>
            <w:r w:rsidR="00693604" w:rsidRPr="00693604">
              <w:rPr>
                <w:rStyle w:val="Hyperlink"/>
              </w:rPr>
              <w:t>Движимо и недвижимо културно наследство</w:t>
            </w:r>
            <w:r w:rsidR="00693604" w:rsidRPr="00693604">
              <w:rPr>
                <w:webHidden/>
              </w:rPr>
              <w:tab/>
            </w:r>
            <w:r w:rsidR="00693604" w:rsidRPr="00693604">
              <w:rPr>
                <w:webHidden/>
              </w:rPr>
              <w:fldChar w:fldCharType="begin"/>
            </w:r>
            <w:r w:rsidR="00693604" w:rsidRPr="00693604">
              <w:rPr>
                <w:webHidden/>
              </w:rPr>
              <w:instrText xml:space="preserve"> PAGEREF _Toc208580396 \h </w:instrText>
            </w:r>
            <w:r w:rsidR="00693604" w:rsidRPr="00693604">
              <w:rPr>
                <w:webHidden/>
              </w:rPr>
            </w:r>
            <w:r w:rsidR="00693604" w:rsidRPr="00693604">
              <w:rPr>
                <w:webHidden/>
              </w:rPr>
              <w:fldChar w:fldCharType="separate"/>
            </w:r>
            <w:r w:rsidR="00FE7555">
              <w:rPr>
                <w:webHidden/>
              </w:rPr>
              <w:t>74</w:t>
            </w:r>
            <w:r w:rsidR="00693604" w:rsidRPr="00693604">
              <w:rPr>
                <w:webHidden/>
              </w:rPr>
              <w:fldChar w:fldCharType="end"/>
            </w:r>
          </w:hyperlink>
        </w:p>
        <w:p w14:paraId="544CBF1F" w14:textId="113E7BD1" w:rsidR="00693604" w:rsidRPr="00693604" w:rsidRDefault="00C052D8" w:rsidP="00AF7C1D">
          <w:pPr>
            <w:pStyle w:val="TOC3"/>
            <w:spacing w:line="240" w:lineRule="auto"/>
            <w:ind w:left="567" w:hanging="347"/>
            <w:rPr>
              <w:rFonts w:eastAsiaTheme="minorEastAsia"/>
              <w:i w:val="0"/>
              <w:iCs w:val="0"/>
              <w:kern w:val="2"/>
              <w14:ligatures w14:val="standardContextual"/>
            </w:rPr>
          </w:pPr>
          <w:hyperlink w:anchor="_Toc208580397" w:history="1">
            <w:r w:rsidR="00693604" w:rsidRPr="00693604">
              <w:rPr>
                <w:rStyle w:val="Hyperlink"/>
              </w:rPr>
              <w:t>р)</w:t>
            </w:r>
            <w:r w:rsidR="00693604" w:rsidRPr="00693604">
              <w:rPr>
                <w:rFonts w:eastAsiaTheme="minorEastAsia"/>
                <w:i w:val="0"/>
                <w:iCs w:val="0"/>
                <w:kern w:val="2"/>
                <w14:ligatures w14:val="standardContextual"/>
              </w:rPr>
              <w:tab/>
            </w:r>
            <w:r w:rsidR="00693604" w:rsidRPr="00693604">
              <w:rPr>
                <w:rStyle w:val="Hyperlink"/>
              </w:rPr>
              <w:t>Туризъм</w:t>
            </w:r>
            <w:r w:rsidR="00693604" w:rsidRPr="00693604">
              <w:rPr>
                <w:webHidden/>
              </w:rPr>
              <w:tab/>
            </w:r>
            <w:r w:rsidR="00693604" w:rsidRPr="00693604">
              <w:rPr>
                <w:webHidden/>
              </w:rPr>
              <w:fldChar w:fldCharType="begin"/>
            </w:r>
            <w:r w:rsidR="00693604" w:rsidRPr="00693604">
              <w:rPr>
                <w:webHidden/>
              </w:rPr>
              <w:instrText xml:space="preserve"> PAGEREF _Toc208580397 \h </w:instrText>
            </w:r>
            <w:r w:rsidR="00693604" w:rsidRPr="00693604">
              <w:rPr>
                <w:webHidden/>
              </w:rPr>
            </w:r>
            <w:r w:rsidR="00693604" w:rsidRPr="00693604">
              <w:rPr>
                <w:webHidden/>
              </w:rPr>
              <w:fldChar w:fldCharType="separate"/>
            </w:r>
            <w:r w:rsidR="00FE7555">
              <w:rPr>
                <w:webHidden/>
              </w:rPr>
              <w:t>75</w:t>
            </w:r>
            <w:r w:rsidR="00693604" w:rsidRPr="00693604">
              <w:rPr>
                <w:webHidden/>
              </w:rPr>
              <w:fldChar w:fldCharType="end"/>
            </w:r>
          </w:hyperlink>
        </w:p>
        <w:p w14:paraId="1F4CF6B5" w14:textId="72202BD0" w:rsidR="00693604" w:rsidRPr="00693604" w:rsidRDefault="00C052D8" w:rsidP="00E96574">
          <w:pPr>
            <w:pStyle w:val="TOC1"/>
            <w:rPr>
              <w:rFonts w:eastAsiaTheme="minorEastAsia"/>
              <w:kern w:val="2"/>
              <w:sz w:val="24"/>
              <w:szCs w:val="24"/>
              <w:lang w:eastAsia="bg-BG"/>
              <w14:ligatures w14:val="standardContextual"/>
            </w:rPr>
          </w:pPr>
          <w:hyperlink w:anchor="_Toc208580398" w:history="1">
            <w:r w:rsidR="00693604" w:rsidRPr="00693604">
              <w:rPr>
                <w:rStyle w:val="Hyperlink"/>
              </w:rPr>
              <w:t>IV.</w:t>
            </w:r>
            <w:r w:rsidR="00693604" w:rsidRPr="00693604">
              <w:rPr>
                <w:rFonts w:eastAsiaTheme="minorEastAsia"/>
                <w:kern w:val="2"/>
                <w:sz w:val="24"/>
                <w:szCs w:val="24"/>
                <w:lang w:eastAsia="bg-BG"/>
                <w14:ligatures w14:val="standardContextual"/>
              </w:rPr>
              <w:tab/>
            </w:r>
            <w:r w:rsidR="00693604" w:rsidRPr="00693604">
              <w:rPr>
                <w:rStyle w:val="Hyperlink"/>
              </w:rPr>
              <w:t>ЗАКЛЮЧЕНИЕ</w:t>
            </w:r>
            <w:r w:rsidR="00693604" w:rsidRPr="00693604">
              <w:rPr>
                <w:webHidden/>
              </w:rPr>
              <w:tab/>
            </w:r>
            <w:r w:rsidR="00693604" w:rsidRPr="00693604">
              <w:rPr>
                <w:webHidden/>
              </w:rPr>
              <w:fldChar w:fldCharType="begin"/>
            </w:r>
            <w:r w:rsidR="00693604" w:rsidRPr="00693604">
              <w:rPr>
                <w:webHidden/>
              </w:rPr>
              <w:instrText xml:space="preserve"> PAGEREF _Toc208580398 \h </w:instrText>
            </w:r>
            <w:r w:rsidR="00693604" w:rsidRPr="00693604">
              <w:rPr>
                <w:webHidden/>
              </w:rPr>
            </w:r>
            <w:r w:rsidR="00693604" w:rsidRPr="00693604">
              <w:rPr>
                <w:webHidden/>
              </w:rPr>
              <w:fldChar w:fldCharType="separate"/>
            </w:r>
            <w:r w:rsidR="00FE7555">
              <w:rPr>
                <w:webHidden/>
              </w:rPr>
              <w:t>77</w:t>
            </w:r>
            <w:r w:rsidR="00693604" w:rsidRPr="00693604">
              <w:rPr>
                <w:webHidden/>
              </w:rPr>
              <w:fldChar w:fldCharType="end"/>
            </w:r>
          </w:hyperlink>
        </w:p>
        <w:p w14:paraId="316458AD" w14:textId="66A14D8D" w:rsidR="005F49B3" w:rsidRPr="002D4E70" w:rsidRDefault="00957D3B" w:rsidP="00693604">
          <w:pPr>
            <w:spacing w:line="240" w:lineRule="auto"/>
            <w:rPr>
              <w:rFonts w:ascii="Times New Roman" w:hAnsi="Times New Roman" w:cs="Times New Roman"/>
              <w:bCs/>
              <w:noProof/>
              <w:sz w:val="24"/>
              <w:szCs w:val="24"/>
            </w:rPr>
          </w:pPr>
          <w:r w:rsidRPr="00693604">
            <w:rPr>
              <w:rFonts w:ascii="Times New Roman" w:hAnsi="Times New Roman" w:cs="Times New Roman"/>
              <w:bCs/>
              <w:noProof/>
              <w:highlight w:val="yellow"/>
            </w:rPr>
            <w:fldChar w:fldCharType="end"/>
          </w:r>
        </w:p>
      </w:sdtContent>
    </w:sdt>
    <w:p w14:paraId="265260BF" w14:textId="2F570B22" w:rsidR="008A3368" w:rsidRDefault="008A3368" w:rsidP="00952DDE">
      <w:pPr>
        <w:pStyle w:val="Heading1"/>
        <w:spacing w:before="0" w:after="120"/>
        <w:jc w:val="center"/>
        <w:rPr>
          <w:rFonts w:ascii="Times New Roman" w:hAnsi="Times New Roman" w:cs="Times New Roman"/>
          <w:b/>
          <w:sz w:val="24"/>
          <w:u w:val="single"/>
        </w:rPr>
      </w:pPr>
      <w:bookmarkStart w:id="0" w:name="_Toc208580363"/>
      <w:r>
        <w:rPr>
          <w:rFonts w:ascii="Times New Roman" w:hAnsi="Times New Roman" w:cs="Times New Roman"/>
          <w:b/>
          <w:sz w:val="24"/>
          <w:u w:val="single"/>
        </w:rPr>
        <w:lastRenderedPageBreak/>
        <w:t>Списък на използваните съкращения</w:t>
      </w:r>
      <w:bookmarkEnd w:id="0"/>
    </w:p>
    <w:p w14:paraId="35F0C476" w14:textId="77777777" w:rsidR="003E3F4B" w:rsidRDefault="003E3F4B" w:rsidP="008A3368">
      <w:pPr>
        <w:spacing w:line="276" w:lineRule="auto"/>
        <w:rPr>
          <w:rFonts w:ascii="Times New Roman" w:hAnsi="Times New Roman" w:cs="Times New Roman"/>
          <w:b/>
          <w:bCs/>
        </w:rPr>
        <w:sectPr w:rsidR="003E3F4B" w:rsidSect="0048544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400" w:gutter="0"/>
          <w:cols w:space="708"/>
          <w:docGrid w:linePitch="360"/>
        </w:sectPr>
      </w:pPr>
    </w:p>
    <w:p w14:paraId="3D5D3042" w14:textId="77777777" w:rsidR="00BF531B" w:rsidRDefault="008A3368" w:rsidP="00A01DCF">
      <w:pPr>
        <w:spacing w:line="360" w:lineRule="auto"/>
        <w:contextualSpacing/>
        <w:rPr>
          <w:rFonts w:ascii="Times New Roman" w:hAnsi="Times New Roman" w:cs="Times New Roman"/>
        </w:rPr>
      </w:pPr>
      <w:r w:rsidRPr="008F2480">
        <w:rPr>
          <w:rFonts w:ascii="Times New Roman" w:hAnsi="Times New Roman" w:cs="Times New Roman"/>
          <w:b/>
          <w:bCs/>
        </w:rPr>
        <w:t>АГКК</w:t>
      </w:r>
      <w:r w:rsidRPr="008F2480">
        <w:rPr>
          <w:rFonts w:ascii="Times New Roman" w:hAnsi="Times New Roman" w:cs="Times New Roman"/>
        </w:rPr>
        <w:t xml:space="preserve"> – Агенция по геодезия, картография и кадастър</w:t>
      </w:r>
      <w:r w:rsidRPr="008F2480">
        <w:rPr>
          <w:rFonts w:ascii="Times New Roman" w:hAnsi="Times New Roman" w:cs="Times New Roman"/>
        </w:rPr>
        <w:br/>
      </w:r>
      <w:r w:rsidRPr="008F2480">
        <w:rPr>
          <w:rFonts w:ascii="Times New Roman" w:hAnsi="Times New Roman" w:cs="Times New Roman"/>
          <w:b/>
          <w:bCs/>
        </w:rPr>
        <w:t>АЕЦ</w:t>
      </w:r>
      <w:r w:rsidRPr="008F2480">
        <w:rPr>
          <w:rFonts w:ascii="Times New Roman" w:hAnsi="Times New Roman" w:cs="Times New Roman"/>
        </w:rPr>
        <w:t xml:space="preserve"> – Атомна електроцентрала</w:t>
      </w:r>
      <w:r w:rsidRPr="008F2480">
        <w:rPr>
          <w:rFonts w:ascii="Times New Roman" w:hAnsi="Times New Roman" w:cs="Times New Roman"/>
        </w:rPr>
        <w:br/>
      </w:r>
      <w:r w:rsidRPr="008F2480">
        <w:rPr>
          <w:rFonts w:ascii="Times New Roman" w:hAnsi="Times New Roman" w:cs="Times New Roman"/>
          <w:b/>
          <w:bCs/>
        </w:rPr>
        <w:t>АМ</w:t>
      </w:r>
      <w:r w:rsidRPr="008F2480">
        <w:rPr>
          <w:rFonts w:ascii="Times New Roman" w:hAnsi="Times New Roman" w:cs="Times New Roman"/>
        </w:rPr>
        <w:t xml:space="preserve"> – Автомагистрала</w:t>
      </w:r>
      <w:r w:rsidRPr="008F2480">
        <w:rPr>
          <w:rFonts w:ascii="Times New Roman" w:hAnsi="Times New Roman" w:cs="Times New Roman"/>
        </w:rPr>
        <w:br/>
      </w:r>
      <w:r w:rsidRPr="008F2480">
        <w:rPr>
          <w:rFonts w:ascii="Times New Roman" w:hAnsi="Times New Roman" w:cs="Times New Roman"/>
          <w:b/>
          <w:bCs/>
        </w:rPr>
        <w:t>БДЖ</w:t>
      </w:r>
      <w:r w:rsidRPr="008F2480">
        <w:rPr>
          <w:rFonts w:ascii="Times New Roman" w:hAnsi="Times New Roman" w:cs="Times New Roman"/>
        </w:rPr>
        <w:t xml:space="preserve"> – Български държавни железници</w:t>
      </w:r>
    </w:p>
    <w:p w14:paraId="225835D0" w14:textId="77777777" w:rsidR="00BF531B" w:rsidRDefault="00BF531B" w:rsidP="00A01DCF">
      <w:pPr>
        <w:spacing w:line="360" w:lineRule="auto"/>
        <w:contextualSpacing/>
        <w:rPr>
          <w:rFonts w:ascii="Times New Roman" w:hAnsi="Times New Roman" w:cs="Times New Roman"/>
        </w:rPr>
      </w:pPr>
      <w:r w:rsidRPr="00501AE3">
        <w:rPr>
          <w:rFonts w:ascii="Times New Roman" w:hAnsi="Times New Roman" w:cs="Times New Roman"/>
          <w:b/>
          <w:bCs/>
          <w:sz w:val="24"/>
          <w:szCs w:val="24"/>
          <w:lang w:eastAsia="bg-BG"/>
        </w:rPr>
        <w:t>БЗЗЛ</w:t>
      </w:r>
      <w:r w:rsidRPr="00501AE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 </w:t>
      </w:r>
      <w:r w:rsidRPr="00501AE3">
        <w:rPr>
          <w:rFonts w:ascii="Times New Roman" w:hAnsi="Times New Roman" w:cs="Times New Roman"/>
          <w:sz w:val="24"/>
          <w:szCs w:val="24"/>
          <w:lang w:eastAsia="bg-BG"/>
        </w:rPr>
        <w:t>Бюрото по защита на застрашени лица</w:t>
      </w:r>
      <w:r w:rsidR="008A3368" w:rsidRPr="008F2480">
        <w:rPr>
          <w:rFonts w:ascii="Times New Roman" w:hAnsi="Times New Roman" w:cs="Times New Roman"/>
        </w:rPr>
        <w:br/>
      </w:r>
      <w:r w:rsidR="008A3368" w:rsidRPr="008F2480">
        <w:rPr>
          <w:rFonts w:ascii="Times New Roman" w:hAnsi="Times New Roman" w:cs="Times New Roman"/>
          <w:b/>
          <w:bCs/>
        </w:rPr>
        <w:t>БИСА</w:t>
      </w:r>
      <w:r w:rsidR="008A3368" w:rsidRPr="008F2480">
        <w:rPr>
          <w:rFonts w:ascii="Times New Roman" w:hAnsi="Times New Roman" w:cs="Times New Roman"/>
        </w:rPr>
        <w:t xml:space="preserve"> – Близък и Среден изток и Африка (регионален термин в доклада)</w:t>
      </w:r>
      <w:r w:rsidR="008A3368" w:rsidRPr="008F2480">
        <w:rPr>
          <w:rFonts w:ascii="Times New Roman" w:hAnsi="Times New Roman" w:cs="Times New Roman"/>
        </w:rPr>
        <w:br/>
      </w:r>
      <w:r w:rsidR="008A3368" w:rsidRPr="008F2480">
        <w:rPr>
          <w:rFonts w:ascii="Times New Roman" w:hAnsi="Times New Roman" w:cs="Times New Roman"/>
          <w:b/>
          <w:bCs/>
        </w:rPr>
        <w:t>БЛА</w:t>
      </w:r>
      <w:r w:rsidR="008A3368" w:rsidRPr="008F2480">
        <w:rPr>
          <w:rFonts w:ascii="Times New Roman" w:hAnsi="Times New Roman" w:cs="Times New Roman"/>
        </w:rPr>
        <w:t xml:space="preserve"> – Безпилотен летателен апарат</w:t>
      </w:r>
      <w:r w:rsidR="008A3368" w:rsidRPr="008F2480">
        <w:rPr>
          <w:rFonts w:ascii="Times New Roman" w:hAnsi="Times New Roman" w:cs="Times New Roman"/>
        </w:rPr>
        <w:br/>
      </w:r>
      <w:r w:rsidR="008A3368" w:rsidRPr="008F2480">
        <w:rPr>
          <w:rFonts w:ascii="Times New Roman" w:hAnsi="Times New Roman" w:cs="Times New Roman"/>
          <w:b/>
          <w:bCs/>
        </w:rPr>
        <w:t>БОТИБ</w:t>
      </w:r>
      <w:r w:rsidR="008A3368" w:rsidRPr="008F2480">
        <w:rPr>
          <w:rFonts w:ascii="Times New Roman" w:hAnsi="Times New Roman" w:cs="Times New Roman"/>
        </w:rPr>
        <w:t xml:space="preserve"> – Българска отбранителна технологична и индустриална база</w:t>
      </w:r>
      <w:r w:rsidR="008A3368" w:rsidRPr="008F2480">
        <w:rPr>
          <w:rFonts w:ascii="Times New Roman" w:hAnsi="Times New Roman" w:cs="Times New Roman"/>
        </w:rPr>
        <w:br/>
      </w:r>
      <w:r w:rsidR="008A3368" w:rsidRPr="008F2480">
        <w:rPr>
          <w:rFonts w:ascii="Times New Roman" w:hAnsi="Times New Roman" w:cs="Times New Roman"/>
          <w:b/>
          <w:bCs/>
        </w:rPr>
        <w:t>ВВЕР-1000</w:t>
      </w:r>
      <w:r w:rsidR="008A3368" w:rsidRPr="008F2480">
        <w:rPr>
          <w:rFonts w:ascii="Times New Roman" w:hAnsi="Times New Roman" w:cs="Times New Roman"/>
        </w:rPr>
        <w:t xml:space="preserve"> – </w:t>
      </w:r>
      <w:proofErr w:type="spellStart"/>
      <w:r w:rsidR="008A3368" w:rsidRPr="008F2480">
        <w:rPr>
          <w:rFonts w:ascii="Times New Roman" w:hAnsi="Times New Roman" w:cs="Times New Roman"/>
        </w:rPr>
        <w:t>Водо</w:t>
      </w:r>
      <w:proofErr w:type="spellEnd"/>
      <w:r w:rsidR="008A3368" w:rsidRPr="008F2480">
        <w:rPr>
          <w:rFonts w:ascii="Times New Roman" w:hAnsi="Times New Roman" w:cs="Times New Roman"/>
        </w:rPr>
        <w:t>-воден енергиен реактор, 1000 MW</w:t>
      </w:r>
      <w:r w:rsidR="008A3368" w:rsidRPr="008F2480">
        <w:rPr>
          <w:rFonts w:ascii="Times New Roman" w:hAnsi="Times New Roman" w:cs="Times New Roman"/>
        </w:rPr>
        <w:br/>
      </w:r>
      <w:r w:rsidR="008A3368" w:rsidRPr="008F2480">
        <w:rPr>
          <w:rFonts w:ascii="Times New Roman" w:hAnsi="Times New Roman" w:cs="Times New Roman"/>
          <w:b/>
          <w:bCs/>
        </w:rPr>
        <w:t>ВВЕР-440</w:t>
      </w:r>
      <w:r w:rsidR="008A3368" w:rsidRPr="008F2480">
        <w:rPr>
          <w:rFonts w:ascii="Times New Roman" w:hAnsi="Times New Roman" w:cs="Times New Roman"/>
        </w:rPr>
        <w:t xml:space="preserve"> – </w:t>
      </w:r>
      <w:proofErr w:type="spellStart"/>
      <w:r w:rsidR="008A3368" w:rsidRPr="008F2480">
        <w:rPr>
          <w:rFonts w:ascii="Times New Roman" w:hAnsi="Times New Roman" w:cs="Times New Roman"/>
        </w:rPr>
        <w:t>Водо</w:t>
      </w:r>
      <w:proofErr w:type="spellEnd"/>
      <w:r w:rsidR="008A3368" w:rsidRPr="008F2480">
        <w:rPr>
          <w:rFonts w:ascii="Times New Roman" w:hAnsi="Times New Roman" w:cs="Times New Roman"/>
        </w:rPr>
        <w:t>-воден енергиен реактор, 440 MW</w:t>
      </w:r>
      <w:r w:rsidR="008A3368" w:rsidRPr="008F2480">
        <w:rPr>
          <w:rFonts w:ascii="Times New Roman" w:hAnsi="Times New Roman" w:cs="Times New Roman"/>
        </w:rPr>
        <w:br/>
      </w:r>
      <w:r w:rsidR="008A3368" w:rsidRPr="008F2480">
        <w:rPr>
          <w:rFonts w:ascii="Times New Roman" w:hAnsi="Times New Roman" w:cs="Times New Roman"/>
          <w:b/>
          <w:bCs/>
        </w:rPr>
        <w:t>ВЕИ</w:t>
      </w:r>
      <w:r w:rsidR="008A3368" w:rsidRPr="008F2480">
        <w:rPr>
          <w:rFonts w:ascii="Times New Roman" w:hAnsi="Times New Roman" w:cs="Times New Roman"/>
        </w:rPr>
        <w:t xml:space="preserve"> – Възобновяеми енергийни източници</w:t>
      </w:r>
    </w:p>
    <w:p w14:paraId="542B397B" w14:textId="68407E52" w:rsidR="00BF531B" w:rsidRDefault="00BF531B" w:rsidP="00A01DCF">
      <w:pPr>
        <w:spacing w:line="360" w:lineRule="auto"/>
        <w:contextualSpacing/>
        <w:rPr>
          <w:rFonts w:ascii="Times New Roman" w:hAnsi="Times New Roman" w:cs="Times New Roman"/>
        </w:rPr>
      </w:pPr>
      <w:r w:rsidRPr="00BF531B">
        <w:rPr>
          <w:rFonts w:ascii="Times New Roman" w:hAnsi="Times New Roman" w:cs="Times New Roman"/>
          <w:b/>
          <w:bCs/>
        </w:rPr>
        <w:t>ГДБОП</w:t>
      </w:r>
      <w:r>
        <w:rPr>
          <w:rFonts w:ascii="Times New Roman" w:hAnsi="Times New Roman" w:cs="Times New Roman"/>
        </w:rPr>
        <w:t xml:space="preserve"> – Генерална дирекция „Борба с организираната престъпност“</w:t>
      </w:r>
    </w:p>
    <w:p w14:paraId="20FD23CA" w14:textId="6D27C3F1" w:rsidR="00BF531B" w:rsidRDefault="00BF531B" w:rsidP="00A01DCF">
      <w:pPr>
        <w:spacing w:line="360" w:lineRule="auto"/>
        <w:contextualSpacing/>
        <w:rPr>
          <w:rFonts w:ascii="Times New Roman" w:hAnsi="Times New Roman" w:cs="Times New Roman"/>
        </w:rPr>
      </w:pPr>
      <w:r w:rsidRPr="00501AE3">
        <w:rPr>
          <w:rFonts w:ascii="Times New Roman" w:hAnsi="Times New Roman" w:cs="Times New Roman"/>
          <w:b/>
          <w:bCs/>
          <w:sz w:val="24"/>
          <w:szCs w:val="24"/>
          <w:lang w:eastAsia="bg-BG"/>
        </w:rPr>
        <w:t>ГДИН</w:t>
      </w:r>
      <w:r w:rsidRPr="00501AE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 </w:t>
      </w:r>
      <w:r w:rsidRPr="00501AE3">
        <w:rPr>
          <w:rFonts w:ascii="Times New Roman" w:hAnsi="Times New Roman" w:cs="Times New Roman"/>
          <w:sz w:val="24"/>
          <w:szCs w:val="24"/>
          <w:lang w:eastAsia="bg-BG"/>
        </w:rPr>
        <w:t xml:space="preserve">Главна дирекция „Изпълнение на наказанията“ </w:t>
      </w:r>
      <w:r w:rsidR="008A3368" w:rsidRPr="008F2480">
        <w:rPr>
          <w:rFonts w:ascii="Times New Roman" w:hAnsi="Times New Roman" w:cs="Times New Roman"/>
        </w:rPr>
        <w:br/>
      </w:r>
      <w:r w:rsidR="008A3368" w:rsidRPr="008F2480">
        <w:rPr>
          <w:rFonts w:ascii="Times New Roman" w:hAnsi="Times New Roman" w:cs="Times New Roman"/>
          <w:b/>
          <w:bCs/>
        </w:rPr>
        <w:t>ГДПБЗН</w:t>
      </w:r>
      <w:r w:rsidR="008A3368" w:rsidRPr="008F2480">
        <w:rPr>
          <w:rFonts w:ascii="Times New Roman" w:hAnsi="Times New Roman" w:cs="Times New Roman"/>
        </w:rPr>
        <w:t xml:space="preserve"> – Главна дирекция „Пожарна безопасност и защита на населението“</w:t>
      </w:r>
      <w:r w:rsidR="008A3368" w:rsidRPr="008F2480">
        <w:rPr>
          <w:rFonts w:ascii="Times New Roman" w:hAnsi="Times New Roman" w:cs="Times New Roman"/>
        </w:rPr>
        <w:br/>
      </w:r>
      <w:r w:rsidR="008A3368" w:rsidRPr="008F2480">
        <w:rPr>
          <w:rFonts w:ascii="Times New Roman" w:hAnsi="Times New Roman" w:cs="Times New Roman"/>
          <w:b/>
          <w:bCs/>
        </w:rPr>
        <w:t>ГКПП</w:t>
      </w:r>
      <w:r w:rsidR="008A3368" w:rsidRPr="008F2480">
        <w:rPr>
          <w:rFonts w:ascii="Times New Roman" w:hAnsi="Times New Roman" w:cs="Times New Roman"/>
        </w:rPr>
        <w:t xml:space="preserve"> – Гранич</w:t>
      </w:r>
      <w:r w:rsidR="0080172E">
        <w:rPr>
          <w:rFonts w:ascii="Times New Roman" w:hAnsi="Times New Roman" w:cs="Times New Roman"/>
        </w:rPr>
        <w:t>ен</w:t>
      </w:r>
      <w:r w:rsidR="008A3368" w:rsidRPr="008F2480">
        <w:rPr>
          <w:rFonts w:ascii="Times New Roman" w:hAnsi="Times New Roman" w:cs="Times New Roman"/>
        </w:rPr>
        <w:t xml:space="preserve"> контролно-пропускателен пункт</w:t>
      </w:r>
      <w:r w:rsidR="008A3368" w:rsidRPr="008F2480">
        <w:rPr>
          <w:rFonts w:ascii="Times New Roman" w:hAnsi="Times New Roman" w:cs="Times New Roman"/>
        </w:rPr>
        <w:br/>
      </w:r>
      <w:r w:rsidR="008A3368" w:rsidRPr="008F2480">
        <w:rPr>
          <w:rFonts w:ascii="Times New Roman" w:hAnsi="Times New Roman" w:cs="Times New Roman"/>
          <w:b/>
          <w:bCs/>
        </w:rPr>
        <w:t>ДАНС</w:t>
      </w:r>
      <w:r w:rsidR="008A3368" w:rsidRPr="008F2480">
        <w:rPr>
          <w:rFonts w:ascii="Times New Roman" w:hAnsi="Times New Roman" w:cs="Times New Roman"/>
        </w:rPr>
        <w:t xml:space="preserve"> – Държавна агенция „Национална сигурност“</w:t>
      </w:r>
      <w:r w:rsidR="008A3368" w:rsidRPr="008F2480">
        <w:rPr>
          <w:rFonts w:ascii="Times New Roman" w:hAnsi="Times New Roman" w:cs="Times New Roman"/>
        </w:rPr>
        <w:br/>
      </w:r>
      <w:r w:rsidR="008A3368" w:rsidRPr="008F2480">
        <w:rPr>
          <w:rFonts w:ascii="Times New Roman" w:hAnsi="Times New Roman" w:cs="Times New Roman"/>
          <w:b/>
          <w:bCs/>
        </w:rPr>
        <w:t>ДАР</w:t>
      </w:r>
      <w:r w:rsidR="008A3368" w:rsidRPr="008F2480">
        <w:rPr>
          <w:rFonts w:ascii="Times New Roman" w:hAnsi="Times New Roman" w:cs="Times New Roman"/>
        </w:rPr>
        <w:t xml:space="preserve"> – Държавна агенция „Разузнаване“</w:t>
      </w:r>
      <w:r w:rsidR="008A3368" w:rsidRPr="008F2480">
        <w:rPr>
          <w:rFonts w:ascii="Times New Roman" w:hAnsi="Times New Roman" w:cs="Times New Roman"/>
        </w:rPr>
        <w:br/>
      </w:r>
      <w:r w:rsidR="008A3368" w:rsidRPr="008F2480">
        <w:rPr>
          <w:rFonts w:ascii="Times New Roman" w:hAnsi="Times New Roman" w:cs="Times New Roman"/>
          <w:b/>
          <w:bCs/>
        </w:rPr>
        <w:t>ДВЗЯО</w:t>
      </w:r>
      <w:r w:rsidR="008A3368" w:rsidRPr="008F2480">
        <w:rPr>
          <w:rFonts w:ascii="Times New Roman" w:hAnsi="Times New Roman" w:cs="Times New Roman"/>
        </w:rPr>
        <w:t xml:space="preserve"> – Договор за всеобхватна забрана на ядрените опити</w:t>
      </w:r>
      <w:r w:rsidR="008A3368" w:rsidRPr="008F2480">
        <w:rPr>
          <w:rFonts w:ascii="Times New Roman" w:hAnsi="Times New Roman" w:cs="Times New Roman"/>
        </w:rPr>
        <w:br/>
      </w:r>
      <w:r w:rsidR="008A3368" w:rsidRPr="008F2480">
        <w:rPr>
          <w:rFonts w:ascii="Times New Roman" w:hAnsi="Times New Roman" w:cs="Times New Roman"/>
          <w:b/>
          <w:bCs/>
        </w:rPr>
        <w:t>ДКСИ</w:t>
      </w:r>
      <w:r w:rsidR="008A3368" w:rsidRPr="008F2480">
        <w:rPr>
          <w:rFonts w:ascii="Times New Roman" w:hAnsi="Times New Roman" w:cs="Times New Roman"/>
        </w:rPr>
        <w:t xml:space="preserve"> – Държавна комисия по сигурността на информацията</w:t>
      </w:r>
      <w:r w:rsidR="008A3368" w:rsidRPr="008F2480">
        <w:rPr>
          <w:rFonts w:ascii="Times New Roman" w:hAnsi="Times New Roman" w:cs="Times New Roman"/>
        </w:rPr>
        <w:br/>
      </w:r>
      <w:r w:rsidR="008A3368" w:rsidRPr="008F2480">
        <w:rPr>
          <w:rFonts w:ascii="Times New Roman" w:hAnsi="Times New Roman" w:cs="Times New Roman"/>
          <w:b/>
          <w:bCs/>
        </w:rPr>
        <w:t>ЕЕС</w:t>
      </w:r>
      <w:r w:rsidR="008A3368" w:rsidRPr="008F2480">
        <w:rPr>
          <w:rFonts w:ascii="Times New Roman" w:hAnsi="Times New Roman" w:cs="Times New Roman"/>
        </w:rPr>
        <w:t xml:space="preserve"> – Електроенергийна система</w:t>
      </w:r>
      <w:r w:rsidR="008A3368" w:rsidRPr="008F2480">
        <w:rPr>
          <w:rFonts w:ascii="Times New Roman" w:hAnsi="Times New Roman" w:cs="Times New Roman"/>
        </w:rPr>
        <w:br/>
      </w:r>
      <w:r w:rsidR="008A3368" w:rsidRPr="008F2480">
        <w:rPr>
          <w:rFonts w:ascii="Times New Roman" w:hAnsi="Times New Roman" w:cs="Times New Roman"/>
          <w:b/>
          <w:bCs/>
        </w:rPr>
        <w:t>ЕК</w:t>
      </w:r>
      <w:r w:rsidR="008A3368" w:rsidRPr="008F2480">
        <w:rPr>
          <w:rFonts w:ascii="Times New Roman" w:hAnsi="Times New Roman" w:cs="Times New Roman"/>
        </w:rPr>
        <w:t xml:space="preserve"> – Европейска комисия</w:t>
      </w:r>
      <w:r w:rsidR="008A3368" w:rsidRPr="008F2480">
        <w:rPr>
          <w:rFonts w:ascii="Times New Roman" w:hAnsi="Times New Roman" w:cs="Times New Roman"/>
        </w:rPr>
        <w:br/>
      </w:r>
      <w:r w:rsidR="008A3368" w:rsidRPr="008F2480">
        <w:rPr>
          <w:rFonts w:ascii="Times New Roman" w:hAnsi="Times New Roman" w:cs="Times New Roman"/>
          <w:b/>
          <w:bCs/>
        </w:rPr>
        <w:t>ЕРИКС</w:t>
      </w:r>
      <w:r w:rsidR="008A3368" w:rsidRPr="008F2480">
        <w:rPr>
          <w:rFonts w:ascii="Times New Roman" w:hAnsi="Times New Roman" w:cs="Times New Roman"/>
        </w:rPr>
        <w:t xml:space="preserve"> – Екип за реагиране на инциденти </w:t>
      </w:r>
      <w:r w:rsidR="008A3368" w:rsidRPr="008F2480">
        <w:rPr>
          <w:rFonts w:ascii="Times New Roman" w:hAnsi="Times New Roman" w:cs="Times New Roman"/>
        </w:rPr>
        <w:t>с компютърна сигурност (секторно ниво)</w:t>
      </w:r>
      <w:r w:rsidR="008A3368" w:rsidRPr="008F2480">
        <w:rPr>
          <w:rFonts w:ascii="Times New Roman" w:hAnsi="Times New Roman" w:cs="Times New Roman"/>
        </w:rPr>
        <w:br/>
      </w:r>
      <w:r w:rsidR="008A3368" w:rsidRPr="008F2480">
        <w:rPr>
          <w:rFonts w:ascii="Times New Roman" w:hAnsi="Times New Roman" w:cs="Times New Roman"/>
          <w:b/>
          <w:bCs/>
        </w:rPr>
        <w:t>ЕС</w:t>
      </w:r>
      <w:r w:rsidR="008A3368" w:rsidRPr="008F2480">
        <w:rPr>
          <w:rFonts w:ascii="Times New Roman" w:hAnsi="Times New Roman" w:cs="Times New Roman"/>
        </w:rPr>
        <w:t xml:space="preserve"> – Европейски съюз</w:t>
      </w:r>
      <w:r w:rsidR="008A3368" w:rsidRPr="008F2480">
        <w:rPr>
          <w:rFonts w:ascii="Times New Roman" w:hAnsi="Times New Roman" w:cs="Times New Roman"/>
        </w:rPr>
        <w:br/>
      </w:r>
      <w:r w:rsidR="008A3368" w:rsidRPr="008F2480">
        <w:rPr>
          <w:rFonts w:ascii="Times New Roman" w:hAnsi="Times New Roman" w:cs="Times New Roman"/>
          <w:b/>
          <w:bCs/>
        </w:rPr>
        <w:t>ЗУФСЗНС</w:t>
      </w:r>
      <w:r w:rsidR="008A3368" w:rsidRPr="008F2480">
        <w:rPr>
          <w:rFonts w:ascii="Times New Roman" w:hAnsi="Times New Roman" w:cs="Times New Roman"/>
        </w:rPr>
        <w:t xml:space="preserve"> – Закон за управление и функциониране на системата за защита на националната сигурност</w:t>
      </w:r>
      <w:r w:rsidR="008A3368" w:rsidRPr="008F2480">
        <w:rPr>
          <w:rFonts w:ascii="Times New Roman" w:hAnsi="Times New Roman" w:cs="Times New Roman"/>
        </w:rPr>
        <w:br/>
      </w:r>
      <w:r w:rsidR="008A3368" w:rsidRPr="008F2480">
        <w:rPr>
          <w:rFonts w:ascii="Times New Roman" w:hAnsi="Times New Roman" w:cs="Times New Roman"/>
          <w:b/>
          <w:bCs/>
        </w:rPr>
        <w:t>ИДИЛ</w:t>
      </w:r>
      <w:r w:rsidR="008A3368" w:rsidRPr="008F2480">
        <w:rPr>
          <w:rFonts w:ascii="Times New Roman" w:hAnsi="Times New Roman" w:cs="Times New Roman"/>
        </w:rPr>
        <w:t xml:space="preserve"> – „Ислямска държава в Ирак и Леванта“</w:t>
      </w:r>
      <w:r w:rsidR="008A3368" w:rsidRPr="008F2480">
        <w:rPr>
          <w:rFonts w:ascii="Times New Roman" w:hAnsi="Times New Roman" w:cs="Times New Roman"/>
        </w:rPr>
        <w:br/>
      </w:r>
      <w:r w:rsidR="008A3368" w:rsidRPr="008F2480">
        <w:rPr>
          <w:rFonts w:ascii="Times New Roman" w:hAnsi="Times New Roman" w:cs="Times New Roman"/>
          <w:b/>
          <w:bCs/>
        </w:rPr>
        <w:t>ИИ</w:t>
      </w:r>
      <w:r w:rsidR="008A3368" w:rsidRPr="008F2480">
        <w:rPr>
          <w:rFonts w:ascii="Times New Roman" w:hAnsi="Times New Roman" w:cs="Times New Roman"/>
        </w:rPr>
        <w:t xml:space="preserve"> – Изкуствен интелект</w:t>
      </w:r>
      <w:r w:rsidR="008A3368" w:rsidRPr="008F2480">
        <w:rPr>
          <w:rFonts w:ascii="Times New Roman" w:hAnsi="Times New Roman" w:cs="Times New Roman"/>
        </w:rPr>
        <w:br/>
      </w:r>
      <w:r w:rsidR="008A3368" w:rsidRPr="008F2480">
        <w:rPr>
          <w:rFonts w:ascii="Times New Roman" w:hAnsi="Times New Roman" w:cs="Times New Roman"/>
          <w:b/>
          <w:bCs/>
        </w:rPr>
        <w:t>ИКТ</w:t>
      </w:r>
      <w:r w:rsidR="008A3368" w:rsidRPr="008F2480">
        <w:rPr>
          <w:rFonts w:ascii="Times New Roman" w:hAnsi="Times New Roman" w:cs="Times New Roman"/>
        </w:rPr>
        <w:t xml:space="preserve"> – Информационни и комуникационни технологии</w:t>
      </w:r>
      <w:r w:rsidR="008A3368" w:rsidRPr="008F2480">
        <w:rPr>
          <w:rFonts w:ascii="Times New Roman" w:hAnsi="Times New Roman" w:cs="Times New Roman"/>
        </w:rPr>
        <w:br/>
      </w:r>
      <w:r w:rsidR="008A3368" w:rsidRPr="008F2480">
        <w:rPr>
          <w:rFonts w:ascii="Times New Roman" w:hAnsi="Times New Roman" w:cs="Times New Roman"/>
          <w:b/>
          <w:bCs/>
        </w:rPr>
        <w:t>МААЕ</w:t>
      </w:r>
      <w:r w:rsidR="008A3368" w:rsidRPr="008F2480">
        <w:rPr>
          <w:rFonts w:ascii="Times New Roman" w:hAnsi="Times New Roman" w:cs="Times New Roman"/>
        </w:rPr>
        <w:t xml:space="preserve"> – Международна агенция за атомна енергия</w:t>
      </w:r>
      <w:r w:rsidR="008A3368" w:rsidRPr="008F2480">
        <w:rPr>
          <w:rFonts w:ascii="Times New Roman" w:hAnsi="Times New Roman" w:cs="Times New Roman"/>
        </w:rPr>
        <w:br/>
      </w:r>
      <w:r w:rsidR="008A3368" w:rsidRPr="008F2480">
        <w:rPr>
          <w:rFonts w:ascii="Times New Roman" w:hAnsi="Times New Roman" w:cs="Times New Roman"/>
          <w:b/>
          <w:bCs/>
        </w:rPr>
        <w:t>МВнР</w:t>
      </w:r>
      <w:r w:rsidR="008A3368" w:rsidRPr="008F2480">
        <w:rPr>
          <w:rFonts w:ascii="Times New Roman" w:hAnsi="Times New Roman" w:cs="Times New Roman"/>
        </w:rPr>
        <w:t xml:space="preserve"> – Министерство на външните работи</w:t>
      </w:r>
      <w:r w:rsidR="008A3368" w:rsidRPr="008F2480">
        <w:rPr>
          <w:rFonts w:ascii="Times New Roman" w:hAnsi="Times New Roman" w:cs="Times New Roman"/>
        </w:rPr>
        <w:br/>
      </w:r>
      <w:r w:rsidR="008A3368" w:rsidRPr="008F2480">
        <w:rPr>
          <w:rFonts w:ascii="Times New Roman" w:hAnsi="Times New Roman" w:cs="Times New Roman"/>
          <w:b/>
          <w:bCs/>
        </w:rPr>
        <w:t>МВР</w:t>
      </w:r>
      <w:r w:rsidR="008A3368" w:rsidRPr="008F2480">
        <w:rPr>
          <w:rFonts w:ascii="Times New Roman" w:hAnsi="Times New Roman" w:cs="Times New Roman"/>
        </w:rPr>
        <w:t xml:space="preserve"> – Министерство на вътрешните работи</w:t>
      </w:r>
      <w:r w:rsidR="00E96574">
        <w:rPr>
          <w:rFonts w:ascii="Times New Roman" w:hAnsi="Times New Roman" w:cs="Times New Roman"/>
        </w:rPr>
        <w:t xml:space="preserve"> </w:t>
      </w:r>
      <w:r w:rsidR="008A3368" w:rsidRPr="008F2480">
        <w:rPr>
          <w:rFonts w:ascii="Times New Roman" w:hAnsi="Times New Roman" w:cs="Times New Roman"/>
        </w:rPr>
        <w:br/>
      </w:r>
      <w:r w:rsidR="008A3368" w:rsidRPr="008F2480">
        <w:rPr>
          <w:rFonts w:ascii="Times New Roman" w:hAnsi="Times New Roman" w:cs="Times New Roman"/>
          <w:b/>
          <w:bCs/>
        </w:rPr>
        <w:t>МЕ</w:t>
      </w:r>
      <w:r w:rsidR="008A3368" w:rsidRPr="008F2480">
        <w:rPr>
          <w:rFonts w:ascii="Times New Roman" w:hAnsi="Times New Roman" w:cs="Times New Roman"/>
        </w:rPr>
        <w:t xml:space="preserve"> – Министерство на енергетиката</w:t>
      </w:r>
      <w:r w:rsidR="008A3368" w:rsidRPr="008F2480">
        <w:rPr>
          <w:rFonts w:ascii="Times New Roman" w:hAnsi="Times New Roman" w:cs="Times New Roman"/>
        </w:rPr>
        <w:br/>
      </w:r>
      <w:r w:rsidR="008A3368" w:rsidRPr="008F2480">
        <w:rPr>
          <w:rFonts w:ascii="Times New Roman" w:hAnsi="Times New Roman" w:cs="Times New Roman"/>
          <w:b/>
          <w:bCs/>
        </w:rPr>
        <w:t>МЕУ</w:t>
      </w:r>
      <w:r w:rsidR="008A3368" w:rsidRPr="008F2480">
        <w:rPr>
          <w:rFonts w:ascii="Times New Roman" w:hAnsi="Times New Roman" w:cs="Times New Roman"/>
        </w:rPr>
        <w:t xml:space="preserve"> – Министерство на електронното управление</w:t>
      </w:r>
      <w:r w:rsidR="008A3368" w:rsidRPr="008F2480">
        <w:rPr>
          <w:rFonts w:ascii="Times New Roman" w:hAnsi="Times New Roman" w:cs="Times New Roman"/>
        </w:rPr>
        <w:br/>
      </w:r>
      <w:r w:rsidR="008A3368" w:rsidRPr="008F2480">
        <w:rPr>
          <w:rFonts w:ascii="Times New Roman" w:hAnsi="Times New Roman" w:cs="Times New Roman"/>
          <w:b/>
          <w:bCs/>
        </w:rPr>
        <w:t>МЗ</w:t>
      </w:r>
      <w:r w:rsidR="008A3368" w:rsidRPr="008F2480">
        <w:rPr>
          <w:rFonts w:ascii="Times New Roman" w:hAnsi="Times New Roman" w:cs="Times New Roman"/>
        </w:rPr>
        <w:t xml:space="preserve"> – Министерство на здравеопазването</w:t>
      </w:r>
      <w:r w:rsidR="008A3368" w:rsidRPr="008F2480">
        <w:rPr>
          <w:rFonts w:ascii="Times New Roman" w:hAnsi="Times New Roman" w:cs="Times New Roman"/>
        </w:rPr>
        <w:br/>
      </w:r>
      <w:r w:rsidR="008A3368" w:rsidRPr="008F2480">
        <w:rPr>
          <w:rFonts w:ascii="Times New Roman" w:hAnsi="Times New Roman" w:cs="Times New Roman"/>
          <w:b/>
          <w:bCs/>
        </w:rPr>
        <w:t>МЗХ</w:t>
      </w:r>
      <w:r w:rsidR="008A3368" w:rsidRPr="008F2480">
        <w:rPr>
          <w:rFonts w:ascii="Times New Roman" w:hAnsi="Times New Roman" w:cs="Times New Roman"/>
        </w:rPr>
        <w:t xml:space="preserve"> – Министерство на земеделието и храните</w:t>
      </w:r>
      <w:r w:rsidR="008A3368" w:rsidRPr="008F2480">
        <w:rPr>
          <w:rFonts w:ascii="Times New Roman" w:hAnsi="Times New Roman" w:cs="Times New Roman"/>
        </w:rPr>
        <w:br/>
      </w:r>
      <w:r w:rsidR="008A3368" w:rsidRPr="008F2480">
        <w:rPr>
          <w:rFonts w:ascii="Times New Roman" w:hAnsi="Times New Roman" w:cs="Times New Roman"/>
          <w:b/>
          <w:bCs/>
        </w:rPr>
        <w:t>МИИ</w:t>
      </w:r>
      <w:r w:rsidR="008A3368" w:rsidRPr="008F2480">
        <w:rPr>
          <w:rFonts w:ascii="Times New Roman" w:hAnsi="Times New Roman" w:cs="Times New Roman"/>
        </w:rPr>
        <w:t xml:space="preserve"> – Министерство на икономиката и индустрията</w:t>
      </w:r>
      <w:r w:rsidR="008A3368" w:rsidRPr="008F2480">
        <w:rPr>
          <w:rFonts w:ascii="Times New Roman" w:hAnsi="Times New Roman" w:cs="Times New Roman"/>
        </w:rPr>
        <w:br/>
      </w:r>
      <w:r w:rsidR="008A3368" w:rsidRPr="008F2480">
        <w:rPr>
          <w:rFonts w:ascii="Times New Roman" w:hAnsi="Times New Roman" w:cs="Times New Roman"/>
          <w:b/>
          <w:bCs/>
        </w:rPr>
        <w:t>МК</w:t>
      </w:r>
      <w:r w:rsidR="008A3368" w:rsidRPr="008F2480">
        <w:rPr>
          <w:rFonts w:ascii="Times New Roman" w:hAnsi="Times New Roman" w:cs="Times New Roman"/>
        </w:rPr>
        <w:t xml:space="preserve"> – Министерство на културата</w:t>
      </w:r>
      <w:r w:rsidR="008A3368" w:rsidRPr="008F2480">
        <w:rPr>
          <w:rFonts w:ascii="Times New Roman" w:hAnsi="Times New Roman" w:cs="Times New Roman"/>
        </w:rPr>
        <w:br/>
      </w:r>
      <w:r w:rsidR="008A3368" w:rsidRPr="008F2480">
        <w:rPr>
          <w:rFonts w:ascii="Times New Roman" w:hAnsi="Times New Roman" w:cs="Times New Roman"/>
          <w:b/>
          <w:bCs/>
        </w:rPr>
        <w:t>ММС</w:t>
      </w:r>
      <w:r w:rsidR="008A3368" w:rsidRPr="008F2480">
        <w:rPr>
          <w:rFonts w:ascii="Times New Roman" w:hAnsi="Times New Roman" w:cs="Times New Roman"/>
        </w:rPr>
        <w:t xml:space="preserve"> – Министерство на младежта и спорта</w:t>
      </w:r>
      <w:r w:rsidR="008A3368" w:rsidRPr="008F2480">
        <w:rPr>
          <w:rFonts w:ascii="Times New Roman" w:hAnsi="Times New Roman" w:cs="Times New Roman"/>
        </w:rPr>
        <w:br/>
      </w:r>
      <w:r w:rsidR="008A3368" w:rsidRPr="008F2480">
        <w:rPr>
          <w:rFonts w:ascii="Times New Roman" w:hAnsi="Times New Roman" w:cs="Times New Roman"/>
          <w:b/>
          <w:bCs/>
        </w:rPr>
        <w:t>МО</w:t>
      </w:r>
      <w:r w:rsidR="008A3368" w:rsidRPr="008F2480">
        <w:rPr>
          <w:rFonts w:ascii="Times New Roman" w:hAnsi="Times New Roman" w:cs="Times New Roman"/>
        </w:rPr>
        <w:t xml:space="preserve"> – Министерство на отбраната</w:t>
      </w:r>
      <w:r w:rsidR="008A3368" w:rsidRPr="008F2480">
        <w:rPr>
          <w:rFonts w:ascii="Times New Roman" w:hAnsi="Times New Roman" w:cs="Times New Roman"/>
        </w:rPr>
        <w:br/>
      </w:r>
      <w:r w:rsidR="008A3368" w:rsidRPr="008F2480">
        <w:rPr>
          <w:rFonts w:ascii="Times New Roman" w:hAnsi="Times New Roman" w:cs="Times New Roman"/>
          <w:b/>
          <w:bCs/>
        </w:rPr>
        <w:t>МОСВ</w:t>
      </w:r>
      <w:r w:rsidR="008A3368" w:rsidRPr="008F2480">
        <w:rPr>
          <w:rFonts w:ascii="Times New Roman" w:hAnsi="Times New Roman" w:cs="Times New Roman"/>
        </w:rPr>
        <w:t xml:space="preserve"> – Министерство на околната среда и водите</w:t>
      </w:r>
      <w:r w:rsidR="008A3368" w:rsidRPr="008F2480">
        <w:rPr>
          <w:rFonts w:ascii="Times New Roman" w:hAnsi="Times New Roman" w:cs="Times New Roman"/>
        </w:rPr>
        <w:br/>
      </w:r>
      <w:r w:rsidR="008A3368" w:rsidRPr="008F2480">
        <w:rPr>
          <w:rFonts w:ascii="Times New Roman" w:hAnsi="Times New Roman" w:cs="Times New Roman"/>
          <w:b/>
          <w:bCs/>
        </w:rPr>
        <w:t>МП</w:t>
      </w:r>
      <w:r w:rsidR="008A3368" w:rsidRPr="008F2480">
        <w:rPr>
          <w:rFonts w:ascii="Times New Roman" w:hAnsi="Times New Roman" w:cs="Times New Roman"/>
        </w:rPr>
        <w:t xml:space="preserve"> – Министерство на правосъдието</w:t>
      </w:r>
    </w:p>
    <w:p w14:paraId="04C52223" w14:textId="0D3D2DD6" w:rsidR="00A01DCF" w:rsidRDefault="00BF531B" w:rsidP="00A01DCF">
      <w:pPr>
        <w:spacing w:line="360" w:lineRule="auto"/>
        <w:contextualSpacing/>
        <w:rPr>
          <w:rFonts w:ascii="Times New Roman" w:hAnsi="Times New Roman" w:cs="Times New Roman"/>
        </w:rPr>
      </w:pPr>
      <w:r w:rsidRPr="00501AE3">
        <w:rPr>
          <w:rFonts w:ascii="Times New Roman" w:hAnsi="Times New Roman" w:cs="Times New Roman"/>
          <w:b/>
          <w:bCs/>
          <w:sz w:val="24"/>
          <w:szCs w:val="24"/>
          <w:lang w:eastAsia="bg-BG"/>
        </w:rPr>
        <w:t>НБПП</w:t>
      </w:r>
      <w:r w:rsidRPr="00501AE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 </w:t>
      </w:r>
      <w:r w:rsidRPr="00501AE3">
        <w:rPr>
          <w:rFonts w:ascii="Times New Roman" w:hAnsi="Times New Roman" w:cs="Times New Roman"/>
          <w:sz w:val="24"/>
          <w:szCs w:val="24"/>
          <w:lang w:eastAsia="bg-BG"/>
        </w:rPr>
        <w:t xml:space="preserve">Националното бюро за правна помощ </w:t>
      </w:r>
      <w:r w:rsidR="008A3368" w:rsidRPr="008F2480">
        <w:rPr>
          <w:rFonts w:ascii="Times New Roman" w:hAnsi="Times New Roman" w:cs="Times New Roman"/>
        </w:rPr>
        <w:br/>
      </w:r>
      <w:r w:rsidR="008A3368" w:rsidRPr="008F2480">
        <w:rPr>
          <w:rFonts w:ascii="Times New Roman" w:hAnsi="Times New Roman" w:cs="Times New Roman"/>
          <w:b/>
          <w:bCs/>
        </w:rPr>
        <w:t>МРРБ</w:t>
      </w:r>
      <w:r w:rsidR="008A3368" w:rsidRPr="008F2480">
        <w:rPr>
          <w:rFonts w:ascii="Times New Roman" w:hAnsi="Times New Roman" w:cs="Times New Roman"/>
        </w:rPr>
        <w:t xml:space="preserve"> – Министерство на регионалното развитие и благоустройството</w:t>
      </w:r>
      <w:r w:rsidR="008A3368" w:rsidRPr="008F2480">
        <w:rPr>
          <w:rFonts w:ascii="Times New Roman" w:hAnsi="Times New Roman" w:cs="Times New Roman"/>
        </w:rPr>
        <w:br/>
      </w:r>
      <w:r w:rsidR="008A3368" w:rsidRPr="008F2480">
        <w:rPr>
          <w:rFonts w:ascii="Times New Roman" w:hAnsi="Times New Roman" w:cs="Times New Roman"/>
          <w:b/>
          <w:bCs/>
        </w:rPr>
        <w:t>МТ</w:t>
      </w:r>
      <w:r w:rsidR="008A3368" w:rsidRPr="008F2480">
        <w:rPr>
          <w:rFonts w:ascii="Times New Roman" w:hAnsi="Times New Roman" w:cs="Times New Roman"/>
        </w:rPr>
        <w:t xml:space="preserve"> – Министерство на туризма</w:t>
      </w:r>
      <w:r w:rsidR="008A3368" w:rsidRPr="008F2480">
        <w:rPr>
          <w:rFonts w:ascii="Times New Roman" w:hAnsi="Times New Roman" w:cs="Times New Roman"/>
        </w:rPr>
        <w:br/>
      </w:r>
      <w:r w:rsidR="008A3368" w:rsidRPr="008F2480">
        <w:rPr>
          <w:rFonts w:ascii="Times New Roman" w:hAnsi="Times New Roman" w:cs="Times New Roman"/>
          <w:b/>
          <w:bCs/>
        </w:rPr>
        <w:lastRenderedPageBreak/>
        <w:t>МТС</w:t>
      </w:r>
      <w:r w:rsidR="008A3368" w:rsidRPr="008F2480">
        <w:rPr>
          <w:rFonts w:ascii="Times New Roman" w:hAnsi="Times New Roman" w:cs="Times New Roman"/>
        </w:rPr>
        <w:t xml:space="preserve"> – Министерство на транспорта и съобщенията</w:t>
      </w:r>
      <w:r w:rsidR="008A3368" w:rsidRPr="008F2480">
        <w:rPr>
          <w:rFonts w:ascii="Times New Roman" w:hAnsi="Times New Roman" w:cs="Times New Roman"/>
        </w:rPr>
        <w:br/>
      </w:r>
      <w:r w:rsidR="008A3368" w:rsidRPr="008F2480">
        <w:rPr>
          <w:rFonts w:ascii="Times New Roman" w:hAnsi="Times New Roman" w:cs="Times New Roman"/>
          <w:b/>
          <w:bCs/>
        </w:rPr>
        <w:t>МТСП</w:t>
      </w:r>
      <w:r w:rsidR="008A3368" w:rsidRPr="008F2480">
        <w:rPr>
          <w:rFonts w:ascii="Times New Roman" w:hAnsi="Times New Roman" w:cs="Times New Roman"/>
        </w:rPr>
        <w:t xml:space="preserve"> – Министерство на труда и социалната политика</w:t>
      </w:r>
      <w:r w:rsidR="008A3368" w:rsidRPr="008F2480">
        <w:rPr>
          <w:rFonts w:ascii="Times New Roman" w:hAnsi="Times New Roman" w:cs="Times New Roman"/>
        </w:rPr>
        <w:br/>
      </w:r>
      <w:r w:rsidR="008A3368" w:rsidRPr="008F2480">
        <w:rPr>
          <w:rFonts w:ascii="Times New Roman" w:hAnsi="Times New Roman" w:cs="Times New Roman"/>
          <w:b/>
          <w:bCs/>
        </w:rPr>
        <w:t>МФ</w:t>
      </w:r>
      <w:r w:rsidR="008A3368" w:rsidRPr="008F2480">
        <w:rPr>
          <w:rFonts w:ascii="Times New Roman" w:hAnsi="Times New Roman" w:cs="Times New Roman"/>
        </w:rPr>
        <w:t xml:space="preserve"> – Министерство на финансите</w:t>
      </w:r>
      <w:r w:rsidR="008A3368" w:rsidRPr="008F2480">
        <w:rPr>
          <w:rFonts w:ascii="Times New Roman" w:hAnsi="Times New Roman" w:cs="Times New Roman"/>
        </w:rPr>
        <w:br/>
      </w:r>
      <w:r w:rsidR="008A3368" w:rsidRPr="008F2480">
        <w:rPr>
          <w:rFonts w:ascii="Times New Roman" w:hAnsi="Times New Roman" w:cs="Times New Roman"/>
          <w:b/>
          <w:bCs/>
        </w:rPr>
        <w:t>МФР</w:t>
      </w:r>
      <w:r w:rsidR="008A3368" w:rsidRPr="008F2480">
        <w:rPr>
          <w:rFonts w:ascii="Times New Roman" w:hAnsi="Times New Roman" w:cs="Times New Roman"/>
        </w:rPr>
        <w:t xml:space="preserve"> – Многогодишна финансова рамка</w:t>
      </w:r>
      <w:r w:rsidR="008A3368" w:rsidRPr="008F2480">
        <w:rPr>
          <w:rFonts w:ascii="Times New Roman" w:hAnsi="Times New Roman" w:cs="Times New Roman"/>
        </w:rPr>
        <w:br/>
      </w:r>
      <w:r w:rsidR="008A3368" w:rsidRPr="008F2480">
        <w:rPr>
          <w:rFonts w:ascii="Times New Roman" w:hAnsi="Times New Roman" w:cs="Times New Roman"/>
          <w:b/>
          <w:bCs/>
        </w:rPr>
        <w:t>НАТО</w:t>
      </w:r>
      <w:r w:rsidR="008A3368" w:rsidRPr="008F2480">
        <w:rPr>
          <w:rFonts w:ascii="Times New Roman" w:hAnsi="Times New Roman" w:cs="Times New Roman"/>
        </w:rPr>
        <w:t xml:space="preserve"> – Организация на Северноатлантическия договор</w:t>
      </w:r>
      <w:r w:rsidR="008A3368" w:rsidRPr="008F2480">
        <w:rPr>
          <w:rFonts w:ascii="Times New Roman" w:hAnsi="Times New Roman" w:cs="Times New Roman"/>
        </w:rPr>
        <w:br/>
      </w:r>
      <w:r w:rsidR="008A3368" w:rsidRPr="008F2480">
        <w:rPr>
          <w:rFonts w:ascii="Times New Roman" w:hAnsi="Times New Roman" w:cs="Times New Roman"/>
          <w:b/>
          <w:bCs/>
        </w:rPr>
        <w:t>НЕК</w:t>
      </w:r>
      <w:r w:rsidR="008A3368" w:rsidRPr="008F2480">
        <w:rPr>
          <w:rFonts w:ascii="Times New Roman" w:hAnsi="Times New Roman" w:cs="Times New Roman"/>
        </w:rPr>
        <w:t xml:space="preserve"> – Национална електрическа компания</w:t>
      </w:r>
      <w:r w:rsidR="008A3368" w:rsidRPr="008F2480">
        <w:rPr>
          <w:rFonts w:ascii="Times New Roman" w:hAnsi="Times New Roman" w:cs="Times New Roman"/>
        </w:rPr>
        <w:br/>
      </w:r>
      <w:r w:rsidR="008A3368" w:rsidRPr="008F2480">
        <w:rPr>
          <w:rFonts w:ascii="Times New Roman" w:hAnsi="Times New Roman" w:cs="Times New Roman"/>
          <w:b/>
          <w:bCs/>
        </w:rPr>
        <w:t>НСИ</w:t>
      </w:r>
      <w:r w:rsidR="008A3368" w:rsidRPr="008F2480">
        <w:rPr>
          <w:rFonts w:ascii="Times New Roman" w:hAnsi="Times New Roman" w:cs="Times New Roman"/>
        </w:rPr>
        <w:t xml:space="preserve"> – Национален статистически институт</w:t>
      </w:r>
      <w:r w:rsidR="008A3368" w:rsidRPr="008F2480">
        <w:rPr>
          <w:rFonts w:ascii="Times New Roman" w:hAnsi="Times New Roman" w:cs="Times New Roman"/>
        </w:rPr>
        <w:br/>
      </w:r>
      <w:r w:rsidR="008A3368" w:rsidRPr="008F2480">
        <w:rPr>
          <w:rFonts w:ascii="Times New Roman" w:hAnsi="Times New Roman" w:cs="Times New Roman"/>
          <w:b/>
          <w:bCs/>
        </w:rPr>
        <w:t>НСО</w:t>
      </w:r>
      <w:r w:rsidR="008A3368" w:rsidRPr="008F2480">
        <w:rPr>
          <w:rFonts w:ascii="Times New Roman" w:hAnsi="Times New Roman" w:cs="Times New Roman"/>
        </w:rPr>
        <w:t xml:space="preserve"> – Национална служба за охрана</w:t>
      </w:r>
      <w:r w:rsidR="008A3368" w:rsidRPr="008F2480">
        <w:rPr>
          <w:rFonts w:ascii="Times New Roman" w:hAnsi="Times New Roman" w:cs="Times New Roman"/>
        </w:rPr>
        <w:br/>
      </w:r>
      <w:r w:rsidR="008A3368" w:rsidRPr="008F2480">
        <w:rPr>
          <w:rFonts w:ascii="Times New Roman" w:hAnsi="Times New Roman" w:cs="Times New Roman"/>
          <w:b/>
          <w:bCs/>
        </w:rPr>
        <w:t>ОВППС</w:t>
      </w:r>
      <w:r w:rsidR="008A3368" w:rsidRPr="008F2480">
        <w:rPr>
          <w:rFonts w:ascii="Times New Roman" w:hAnsi="Times New Roman" w:cs="Times New Roman"/>
        </w:rPr>
        <w:t xml:space="preserve"> – Обща външна политика и политика за сигурност</w:t>
      </w:r>
    </w:p>
    <w:p w14:paraId="62287F74" w14:textId="50FBF2E9" w:rsidR="008A3368" w:rsidRPr="008F2480" w:rsidRDefault="00A01DCF" w:rsidP="00A01DCF">
      <w:pPr>
        <w:spacing w:line="360" w:lineRule="auto"/>
        <w:contextualSpacing/>
        <w:rPr>
          <w:rFonts w:ascii="Times New Roman" w:hAnsi="Times New Roman" w:cs="Times New Roman"/>
        </w:rPr>
      </w:pPr>
      <w:r w:rsidRPr="00A01DCF">
        <w:rPr>
          <w:rFonts w:ascii="Times New Roman" w:hAnsi="Times New Roman" w:cs="Times New Roman"/>
          <w:b/>
          <w:bCs/>
        </w:rPr>
        <w:t>ОЕ</w:t>
      </w:r>
      <w:r>
        <w:rPr>
          <w:rFonts w:ascii="Times New Roman" w:hAnsi="Times New Roman" w:cs="Times New Roman"/>
        </w:rPr>
        <w:t xml:space="preserve"> – Организационна единица</w:t>
      </w:r>
      <w:r w:rsidR="008A3368" w:rsidRPr="008F2480">
        <w:rPr>
          <w:rFonts w:ascii="Times New Roman" w:hAnsi="Times New Roman" w:cs="Times New Roman"/>
        </w:rPr>
        <w:br/>
      </w:r>
      <w:r w:rsidR="008A3368" w:rsidRPr="008F2480">
        <w:rPr>
          <w:rFonts w:ascii="Times New Roman" w:hAnsi="Times New Roman" w:cs="Times New Roman"/>
          <w:b/>
          <w:bCs/>
        </w:rPr>
        <w:t>ОИСР</w:t>
      </w:r>
      <w:r w:rsidR="008A3368" w:rsidRPr="008F2480">
        <w:rPr>
          <w:rFonts w:ascii="Times New Roman" w:hAnsi="Times New Roman" w:cs="Times New Roman"/>
        </w:rPr>
        <w:t xml:space="preserve"> – Организация за икономическо сътрудничество и развитие</w:t>
      </w:r>
      <w:r w:rsidR="008A3368" w:rsidRPr="008F2480">
        <w:rPr>
          <w:rFonts w:ascii="Times New Roman" w:hAnsi="Times New Roman" w:cs="Times New Roman"/>
        </w:rPr>
        <w:br/>
      </w:r>
      <w:r w:rsidR="008A3368" w:rsidRPr="008F2480">
        <w:rPr>
          <w:rFonts w:ascii="Times New Roman" w:hAnsi="Times New Roman" w:cs="Times New Roman"/>
          <w:b/>
          <w:bCs/>
        </w:rPr>
        <w:t>ОМУ</w:t>
      </w:r>
      <w:r w:rsidR="008A3368" w:rsidRPr="008F2480">
        <w:rPr>
          <w:rFonts w:ascii="Times New Roman" w:hAnsi="Times New Roman" w:cs="Times New Roman"/>
        </w:rPr>
        <w:t xml:space="preserve"> – Оръжия за масово унищожение</w:t>
      </w:r>
      <w:r w:rsidR="008A3368" w:rsidRPr="008F2480">
        <w:rPr>
          <w:rFonts w:ascii="Times New Roman" w:hAnsi="Times New Roman" w:cs="Times New Roman"/>
        </w:rPr>
        <w:br/>
      </w:r>
      <w:r w:rsidR="008A3368" w:rsidRPr="008F2480">
        <w:rPr>
          <w:rFonts w:ascii="Times New Roman" w:hAnsi="Times New Roman" w:cs="Times New Roman"/>
          <w:b/>
          <w:bCs/>
        </w:rPr>
        <w:t>ООН</w:t>
      </w:r>
      <w:r w:rsidR="008A3368" w:rsidRPr="008F2480">
        <w:rPr>
          <w:rFonts w:ascii="Times New Roman" w:hAnsi="Times New Roman" w:cs="Times New Roman"/>
        </w:rPr>
        <w:t xml:space="preserve"> – Организация на обединените нации</w:t>
      </w:r>
      <w:r w:rsidR="008A3368" w:rsidRPr="008F2480">
        <w:rPr>
          <w:rFonts w:ascii="Times New Roman" w:hAnsi="Times New Roman" w:cs="Times New Roman"/>
        </w:rPr>
        <w:br/>
      </w:r>
      <w:r w:rsidR="008A3368" w:rsidRPr="008F2480">
        <w:rPr>
          <w:rFonts w:ascii="Times New Roman" w:hAnsi="Times New Roman" w:cs="Times New Roman"/>
          <w:b/>
          <w:bCs/>
        </w:rPr>
        <w:t>ПАВЕЦ</w:t>
      </w:r>
      <w:r w:rsidR="008A3368" w:rsidRPr="008F2480">
        <w:rPr>
          <w:rFonts w:ascii="Times New Roman" w:hAnsi="Times New Roman" w:cs="Times New Roman"/>
        </w:rPr>
        <w:t xml:space="preserve"> – Помпено-акумулираща водноелектрическа централа</w:t>
      </w:r>
      <w:r w:rsidR="008A3368" w:rsidRPr="008F2480">
        <w:rPr>
          <w:rFonts w:ascii="Times New Roman" w:hAnsi="Times New Roman" w:cs="Times New Roman"/>
        </w:rPr>
        <w:br/>
      </w:r>
      <w:r w:rsidR="008A3368" w:rsidRPr="008F2480">
        <w:rPr>
          <w:rFonts w:ascii="Times New Roman" w:hAnsi="Times New Roman" w:cs="Times New Roman"/>
          <w:b/>
          <w:bCs/>
        </w:rPr>
        <w:t>ПОО</w:t>
      </w:r>
      <w:r w:rsidR="008A3368" w:rsidRPr="008F2480">
        <w:rPr>
          <w:rFonts w:ascii="Times New Roman" w:hAnsi="Times New Roman" w:cs="Times New Roman"/>
        </w:rPr>
        <w:t xml:space="preserve"> – Професионално образование и обучение</w:t>
      </w:r>
      <w:r w:rsidR="008A3368" w:rsidRPr="008F2480">
        <w:rPr>
          <w:rFonts w:ascii="Times New Roman" w:hAnsi="Times New Roman" w:cs="Times New Roman"/>
        </w:rPr>
        <w:br/>
      </w:r>
      <w:r w:rsidR="008A3368" w:rsidRPr="008F2480">
        <w:rPr>
          <w:rFonts w:ascii="Times New Roman" w:hAnsi="Times New Roman" w:cs="Times New Roman"/>
          <w:b/>
          <w:bCs/>
        </w:rPr>
        <w:t>РСМ</w:t>
      </w:r>
      <w:r w:rsidR="008A3368" w:rsidRPr="008F2480">
        <w:rPr>
          <w:rFonts w:ascii="Times New Roman" w:hAnsi="Times New Roman" w:cs="Times New Roman"/>
        </w:rPr>
        <w:t xml:space="preserve"> – Република Северна Македония</w:t>
      </w:r>
      <w:r w:rsidR="008A3368" w:rsidRPr="008F2480">
        <w:rPr>
          <w:rFonts w:ascii="Times New Roman" w:hAnsi="Times New Roman" w:cs="Times New Roman"/>
        </w:rPr>
        <w:br/>
      </w:r>
      <w:r w:rsidR="008A3368" w:rsidRPr="008F2480">
        <w:rPr>
          <w:rFonts w:ascii="Times New Roman" w:hAnsi="Times New Roman" w:cs="Times New Roman"/>
          <w:b/>
          <w:bCs/>
        </w:rPr>
        <w:t>РФ</w:t>
      </w:r>
      <w:r w:rsidR="008A3368" w:rsidRPr="008F2480">
        <w:rPr>
          <w:rFonts w:ascii="Times New Roman" w:hAnsi="Times New Roman" w:cs="Times New Roman"/>
        </w:rPr>
        <w:t xml:space="preserve"> – Руска федерация</w:t>
      </w:r>
      <w:r w:rsidR="008A3368" w:rsidRPr="008F2480">
        <w:rPr>
          <w:rFonts w:ascii="Times New Roman" w:hAnsi="Times New Roman" w:cs="Times New Roman"/>
        </w:rPr>
        <w:br/>
      </w:r>
      <w:r w:rsidR="008A3368" w:rsidRPr="008F2480">
        <w:rPr>
          <w:rFonts w:ascii="Times New Roman" w:hAnsi="Times New Roman" w:cs="Times New Roman"/>
          <w:b/>
          <w:bCs/>
        </w:rPr>
        <w:t>САЩ</w:t>
      </w:r>
      <w:r w:rsidR="008A3368" w:rsidRPr="008F2480">
        <w:rPr>
          <w:rFonts w:ascii="Times New Roman" w:hAnsi="Times New Roman" w:cs="Times New Roman"/>
        </w:rPr>
        <w:t xml:space="preserve"> – Съединени американски щати</w:t>
      </w:r>
      <w:r w:rsidR="008A3368" w:rsidRPr="008F2480">
        <w:rPr>
          <w:rFonts w:ascii="Times New Roman" w:hAnsi="Times New Roman" w:cs="Times New Roman"/>
        </w:rPr>
        <w:br/>
      </w:r>
      <w:r w:rsidR="008A3368" w:rsidRPr="008F2480">
        <w:rPr>
          <w:rFonts w:ascii="Times New Roman" w:hAnsi="Times New Roman" w:cs="Times New Roman"/>
          <w:b/>
          <w:bCs/>
        </w:rPr>
        <w:t>СВР</w:t>
      </w:r>
      <w:r w:rsidR="008A3368" w:rsidRPr="008F2480">
        <w:rPr>
          <w:rFonts w:ascii="Times New Roman" w:hAnsi="Times New Roman" w:cs="Times New Roman"/>
        </w:rPr>
        <w:t xml:space="preserve"> – Служба „Военно разузнаване“</w:t>
      </w:r>
      <w:r w:rsidR="008A3368" w:rsidRPr="008F2480">
        <w:rPr>
          <w:rFonts w:ascii="Times New Roman" w:hAnsi="Times New Roman" w:cs="Times New Roman"/>
        </w:rPr>
        <w:br/>
      </w:r>
      <w:r w:rsidR="008A3368" w:rsidRPr="008F2480">
        <w:rPr>
          <w:rFonts w:ascii="Times New Roman" w:hAnsi="Times New Roman" w:cs="Times New Roman"/>
          <w:b/>
          <w:bCs/>
        </w:rPr>
        <w:t>ХССОЯГ</w:t>
      </w:r>
      <w:r w:rsidR="008A3368" w:rsidRPr="008F2480">
        <w:rPr>
          <w:rFonts w:ascii="Times New Roman" w:hAnsi="Times New Roman" w:cs="Times New Roman"/>
        </w:rPr>
        <w:t xml:space="preserve"> – Хранилище за сухо съхранение на отработено ядрено гориво</w:t>
      </w:r>
    </w:p>
    <w:p w14:paraId="70ADC073" w14:textId="503CBCEC" w:rsidR="008A3368" w:rsidRPr="003E3F4B" w:rsidRDefault="008A3368" w:rsidP="003E3F4B">
      <w:pPr>
        <w:spacing w:line="360" w:lineRule="auto"/>
        <w:contextualSpacing/>
        <w:rPr>
          <w:rFonts w:ascii="Times New Roman" w:hAnsi="Times New Roman" w:cs="Times New Roman"/>
        </w:rPr>
        <w:sectPr w:rsidR="008A3368" w:rsidRPr="003E3F4B" w:rsidSect="008A3368">
          <w:type w:val="continuous"/>
          <w:pgSz w:w="11906" w:h="16838"/>
          <w:pgMar w:top="1417" w:right="1417" w:bottom="1417" w:left="1417" w:header="708" w:footer="400" w:gutter="0"/>
          <w:cols w:num="2" w:space="708"/>
          <w:docGrid w:linePitch="360"/>
        </w:sectPr>
      </w:pPr>
      <w:r w:rsidRPr="008F2480">
        <w:rPr>
          <w:rFonts w:ascii="Times New Roman" w:hAnsi="Times New Roman" w:cs="Times New Roman"/>
          <w:b/>
          <w:bCs/>
        </w:rPr>
        <w:t>CERT-BG</w:t>
      </w:r>
      <w:r w:rsidRPr="008F2480">
        <w:rPr>
          <w:rFonts w:ascii="Times New Roman" w:hAnsi="Times New Roman" w:cs="Times New Roman"/>
        </w:rPr>
        <w:t xml:space="preserve"> – Национален екип за реагиране при инциденти с компютърната сигурност (България)</w:t>
      </w:r>
      <w:r w:rsidRPr="008F2480">
        <w:rPr>
          <w:rFonts w:ascii="Times New Roman" w:hAnsi="Times New Roman" w:cs="Times New Roman"/>
        </w:rPr>
        <w:br/>
      </w:r>
      <w:r w:rsidRPr="008F2480">
        <w:rPr>
          <w:rFonts w:ascii="Times New Roman" w:hAnsi="Times New Roman" w:cs="Times New Roman"/>
          <w:b/>
          <w:bCs/>
        </w:rPr>
        <w:t>EDF</w:t>
      </w:r>
      <w:r w:rsidRPr="008F2480">
        <w:rPr>
          <w:rFonts w:ascii="Times New Roman" w:hAnsi="Times New Roman" w:cs="Times New Roman"/>
        </w:rPr>
        <w:t xml:space="preserve"> – </w:t>
      </w:r>
      <w:proofErr w:type="spellStart"/>
      <w:r w:rsidRPr="008F2480">
        <w:rPr>
          <w:rFonts w:ascii="Times New Roman" w:hAnsi="Times New Roman" w:cs="Times New Roman"/>
        </w:rPr>
        <w:t>European</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Defence</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Fund</w:t>
      </w:r>
      <w:proofErr w:type="spellEnd"/>
      <w:r w:rsidRPr="008F2480">
        <w:rPr>
          <w:rFonts w:ascii="Times New Roman" w:hAnsi="Times New Roman" w:cs="Times New Roman"/>
        </w:rPr>
        <w:t xml:space="preserve"> – Европейски фонд за отбрана</w:t>
      </w:r>
      <w:r w:rsidRPr="008F2480">
        <w:rPr>
          <w:rFonts w:ascii="Times New Roman" w:hAnsi="Times New Roman" w:cs="Times New Roman"/>
        </w:rPr>
        <w:br/>
      </w:r>
      <w:r w:rsidRPr="008F2480">
        <w:rPr>
          <w:rFonts w:ascii="Times New Roman" w:hAnsi="Times New Roman" w:cs="Times New Roman"/>
          <w:b/>
          <w:bCs/>
        </w:rPr>
        <w:t>EFFIS</w:t>
      </w:r>
      <w:r w:rsidRPr="008F2480">
        <w:rPr>
          <w:rFonts w:ascii="Times New Roman" w:hAnsi="Times New Roman" w:cs="Times New Roman"/>
        </w:rPr>
        <w:t xml:space="preserve"> – </w:t>
      </w:r>
      <w:proofErr w:type="spellStart"/>
      <w:r w:rsidRPr="008F2480">
        <w:rPr>
          <w:rFonts w:ascii="Times New Roman" w:hAnsi="Times New Roman" w:cs="Times New Roman"/>
        </w:rPr>
        <w:t>European</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Forest</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Fire</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Information</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System</w:t>
      </w:r>
      <w:proofErr w:type="spellEnd"/>
      <w:r w:rsidRPr="008F2480">
        <w:rPr>
          <w:rFonts w:ascii="Times New Roman" w:hAnsi="Times New Roman" w:cs="Times New Roman"/>
        </w:rPr>
        <w:t xml:space="preserve"> – Европейска система за информация за горските пожари</w:t>
      </w:r>
      <w:r w:rsidRPr="008F2480">
        <w:rPr>
          <w:rFonts w:ascii="Times New Roman" w:hAnsi="Times New Roman" w:cs="Times New Roman"/>
        </w:rPr>
        <w:br/>
      </w:r>
      <w:r w:rsidRPr="008F2480">
        <w:rPr>
          <w:rFonts w:ascii="Times New Roman" w:hAnsi="Times New Roman" w:cs="Times New Roman"/>
          <w:b/>
          <w:bCs/>
        </w:rPr>
        <w:t>HEMS</w:t>
      </w:r>
      <w:r w:rsidRPr="008F2480">
        <w:rPr>
          <w:rFonts w:ascii="Times New Roman" w:hAnsi="Times New Roman" w:cs="Times New Roman"/>
        </w:rPr>
        <w:t xml:space="preserve"> – </w:t>
      </w:r>
      <w:proofErr w:type="spellStart"/>
      <w:r w:rsidRPr="008F2480">
        <w:rPr>
          <w:rFonts w:ascii="Times New Roman" w:hAnsi="Times New Roman" w:cs="Times New Roman"/>
        </w:rPr>
        <w:t>Helicopter</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Emergency</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Medical</w:t>
      </w:r>
      <w:proofErr w:type="spellEnd"/>
      <w:r w:rsidRPr="008F2480">
        <w:rPr>
          <w:rFonts w:ascii="Times New Roman" w:hAnsi="Times New Roman" w:cs="Times New Roman"/>
        </w:rPr>
        <w:t xml:space="preserve"> Service – Въздушна спешна медицинска помощ</w:t>
      </w:r>
      <w:r w:rsidRPr="008F2480">
        <w:rPr>
          <w:rFonts w:ascii="Times New Roman" w:hAnsi="Times New Roman" w:cs="Times New Roman"/>
        </w:rPr>
        <w:br/>
      </w:r>
      <w:r w:rsidRPr="008F2480">
        <w:rPr>
          <w:rFonts w:ascii="Times New Roman" w:hAnsi="Times New Roman" w:cs="Times New Roman"/>
          <w:b/>
          <w:bCs/>
        </w:rPr>
        <w:t>ENISA</w:t>
      </w:r>
      <w:r w:rsidRPr="008F2480">
        <w:rPr>
          <w:rFonts w:ascii="Times New Roman" w:hAnsi="Times New Roman" w:cs="Times New Roman"/>
        </w:rPr>
        <w:t xml:space="preserve"> – Агенция на ЕС за киберсигурност</w:t>
      </w:r>
      <w:r w:rsidRPr="008F2480">
        <w:rPr>
          <w:rFonts w:ascii="Times New Roman" w:hAnsi="Times New Roman" w:cs="Times New Roman"/>
        </w:rPr>
        <w:br/>
      </w:r>
      <w:r w:rsidRPr="008F2480">
        <w:rPr>
          <w:rFonts w:ascii="Times New Roman" w:hAnsi="Times New Roman" w:cs="Times New Roman"/>
          <w:b/>
          <w:bCs/>
        </w:rPr>
        <w:t>ICS</w:t>
      </w:r>
      <w:r w:rsidRPr="008F2480">
        <w:rPr>
          <w:rFonts w:ascii="Times New Roman" w:hAnsi="Times New Roman" w:cs="Times New Roman"/>
        </w:rPr>
        <w:t xml:space="preserve"> – </w:t>
      </w:r>
      <w:proofErr w:type="spellStart"/>
      <w:r w:rsidRPr="008F2480">
        <w:rPr>
          <w:rFonts w:ascii="Times New Roman" w:hAnsi="Times New Roman" w:cs="Times New Roman"/>
        </w:rPr>
        <w:t>Industrial</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Control</w:t>
      </w:r>
      <w:proofErr w:type="spellEnd"/>
      <w:r w:rsidRPr="008F2480">
        <w:rPr>
          <w:rFonts w:ascii="Times New Roman" w:hAnsi="Times New Roman" w:cs="Times New Roman"/>
        </w:rPr>
        <w:t xml:space="preserve"> Systems – Индустриални контролни системи</w:t>
      </w:r>
      <w:r w:rsidRPr="008F2480">
        <w:rPr>
          <w:rFonts w:ascii="Times New Roman" w:hAnsi="Times New Roman" w:cs="Times New Roman"/>
        </w:rPr>
        <w:br/>
      </w:r>
      <w:r w:rsidRPr="008F2480">
        <w:rPr>
          <w:rFonts w:ascii="Times New Roman" w:hAnsi="Times New Roman" w:cs="Times New Roman"/>
          <w:b/>
          <w:bCs/>
        </w:rPr>
        <w:t>IGB</w:t>
      </w:r>
      <w:r w:rsidRPr="008F2480">
        <w:rPr>
          <w:rFonts w:ascii="Times New Roman" w:hAnsi="Times New Roman" w:cs="Times New Roman"/>
        </w:rPr>
        <w:t xml:space="preserve"> – Интерконектор Гърция – България</w:t>
      </w:r>
      <w:r w:rsidRPr="008F2480">
        <w:rPr>
          <w:rFonts w:ascii="Times New Roman" w:hAnsi="Times New Roman" w:cs="Times New Roman"/>
        </w:rPr>
        <w:br/>
      </w:r>
      <w:r w:rsidRPr="008F2480">
        <w:rPr>
          <w:rFonts w:ascii="Times New Roman" w:hAnsi="Times New Roman" w:cs="Times New Roman"/>
          <w:b/>
          <w:bCs/>
        </w:rPr>
        <w:t>IRIS-T</w:t>
      </w:r>
      <w:r w:rsidRPr="008F2480">
        <w:rPr>
          <w:rFonts w:ascii="Times New Roman" w:hAnsi="Times New Roman" w:cs="Times New Roman"/>
        </w:rPr>
        <w:t xml:space="preserve"> – </w:t>
      </w:r>
      <w:proofErr w:type="spellStart"/>
      <w:r w:rsidRPr="008F2480">
        <w:rPr>
          <w:rFonts w:ascii="Times New Roman" w:hAnsi="Times New Roman" w:cs="Times New Roman"/>
        </w:rPr>
        <w:t>Infra</w:t>
      </w:r>
      <w:proofErr w:type="spellEnd"/>
      <w:r w:rsidRPr="008F2480">
        <w:rPr>
          <w:rFonts w:ascii="Times New Roman" w:hAnsi="Times New Roman" w:cs="Times New Roman"/>
        </w:rPr>
        <w:t xml:space="preserve"> Red </w:t>
      </w:r>
      <w:proofErr w:type="spellStart"/>
      <w:r w:rsidRPr="008F2480">
        <w:rPr>
          <w:rFonts w:ascii="Times New Roman" w:hAnsi="Times New Roman" w:cs="Times New Roman"/>
        </w:rPr>
        <w:t>Imaging</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System</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Tail</w:t>
      </w:r>
      <w:proofErr w:type="spellEnd"/>
      <w:r w:rsidRPr="008F2480">
        <w:rPr>
          <w:rFonts w:ascii="Times New Roman" w:hAnsi="Times New Roman" w:cs="Times New Roman"/>
        </w:rPr>
        <w:t>/</w:t>
      </w:r>
      <w:proofErr w:type="spellStart"/>
      <w:r w:rsidRPr="008F2480">
        <w:rPr>
          <w:rFonts w:ascii="Times New Roman" w:hAnsi="Times New Roman" w:cs="Times New Roman"/>
        </w:rPr>
        <w:t>Thrust</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Vector-Controlled</w:t>
      </w:r>
      <w:proofErr w:type="spellEnd"/>
      <w:r w:rsidRPr="008F2480">
        <w:rPr>
          <w:rFonts w:ascii="Times New Roman" w:hAnsi="Times New Roman" w:cs="Times New Roman"/>
        </w:rPr>
        <w:t xml:space="preserve"> – ракета „въздух–въздух“ с къс обсег, с инфрачервено насочване и управление чрез вектор на тягата</w:t>
      </w:r>
      <w:r w:rsidRPr="008F2480">
        <w:rPr>
          <w:rFonts w:ascii="Times New Roman" w:hAnsi="Times New Roman" w:cs="Times New Roman"/>
        </w:rPr>
        <w:br/>
      </w:r>
      <w:r w:rsidRPr="008F2480">
        <w:rPr>
          <w:rFonts w:ascii="Times New Roman" w:hAnsi="Times New Roman" w:cs="Times New Roman"/>
          <w:b/>
          <w:bCs/>
        </w:rPr>
        <w:t>LNG</w:t>
      </w:r>
      <w:r w:rsidRPr="008F2480">
        <w:rPr>
          <w:rFonts w:ascii="Times New Roman" w:hAnsi="Times New Roman" w:cs="Times New Roman"/>
        </w:rPr>
        <w:t xml:space="preserve"> – </w:t>
      </w:r>
      <w:proofErr w:type="spellStart"/>
      <w:r w:rsidRPr="008F2480">
        <w:rPr>
          <w:rFonts w:ascii="Times New Roman" w:hAnsi="Times New Roman" w:cs="Times New Roman"/>
        </w:rPr>
        <w:t>Liquefied</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Natural</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Gas</w:t>
      </w:r>
      <w:proofErr w:type="spellEnd"/>
      <w:r w:rsidRPr="008F2480">
        <w:rPr>
          <w:rFonts w:ascii="Times New Roman" w:hAnsi="Times New Roman" w:cs="Times New Roman"/>
        </w:rPr>
        <w:t xml:space="preserve"> – Втечнен природен газ</w:t>
      </w:r>
      <w:r w:rsidRPr="008F2480">
        <w:rPr>
          <w:rFonts w:ascii="Times New Roman" w:hAnsi="Times New Roman" w:cs="Times New Roman"/>
        </w:rPr>
        <w:br/>
      </w:r>
      <w:r w:rsidRPr="008F2480">
        <w:rPr>
          <w:rFonts w:ascii="Times New Roman" w:hAnsi="Times New Roman" w:cs="Times New Roman"/>
          <w:b/>
          <w:bCs/>
        </w:rPr>
        <w:t xml:space="preserve">MCM Black </w:t>
      </w:r>
      <w:proofErr w:type="spellStart"/>
      <w:r w:rsidRPr="008F2480">
        <w:rPr>
          <w:rFonts w:ascii="Times New Roman" w:hAnsi="Times New Roman" w:cs="Times New Roman"/>
          <w:b/>
          <w:bCs/>
        </w:rPr>
        <w:t>Sea</w:t>
      </w:r>
      <w:proofErr w:type="spellEnd"/>
      <w:r w:rsidRPr="008F2480">
        <w:rPr>
          <w:rFonts w:ascii="Times New Roman" w:hAnsi="Times New Roman" w:cs="Times New Roman"/>
        </w:rPr>
        <w:t xml:space="preserve"> – </w:t>
      </w:r>
      <w:proofErr w:type="spellStart"/>
      <w:r w:rsidRPr="008F2480">
        <w:rPr>
          <w:rFonts w:ascii="Times New Roman" w:hAnsi="Times New Roman" w:cs="Times New Roman"/>
        </w:rPr>
        <w:t>Mine</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Countermeasures</w:t>
      </w:r>
      <w:proofErr w:type="spellEnd"/>
      <w:r w:rsidRPr="008F2480">
        <w:rPr>
          <w:rFonts w:ascii="Times New Roman" w:hAnsi="Times New Roman" w:cs="Times New Roman"/>
        </w:rPr>
        <w:t xml:space="preserve"> Group </w:t>
      </w:r>
      <w:proofErr w:type="spellStart"/>
      <w:r w:rsidRPr="008F2480">
        <w:rPr>
          <w:rFonts w:ascii="Times New Roman" w:hAnsi="Times New Roman" w:cs="Times New Roman"/>
        </w:rPr>
        <w:t>in</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the</w:t>
      </w:r>
      <w:proofErr w:type="spellEnd"/>
      <w:r w:rsidRPr="008F2480">
        <w:rPr>
          <w:rFonts w:ascii="Times New Roman" w:hAnsi="Times New Roman" w:cs="Times New Roman"/>
        </w:rPr>
        <w:t xml:space="preserve"> Black </w:t>
      </w:r>
      <w:proofErr w:type="spellStart"/>
      <w:r w:rsidRPr="008F2480">
        <w:rPr>
          <w:rFonts w:ascii="Times New Roman" w:hAnsi="Times New Roman" w:cs="Times New Roman"/>
        </w:rPr>
        <w:t>Sea</w:t>
      </w:r>
      <w:proofErr w:type="spellEnd"/>
      <w:r w:rsidRPr="008F2480">
        <w:rPr>
          <w:rFonts w:ascii="Times New Roman" w:hAnsi="Times New Roman" w:cs="Times New Roman"/>
        </w:rPr>
        <w:t xml:space="preserve"> – Противоминна военноморска група в Черно море (многонационално формирование на НАТО)</w:t>
      </w:r>
      <w:r w:rsidRPr="008F2480">
        <w:rPr>
          <w:rFonts w:ascii="Times New Roman" w:hAnsi="Times New Roman" w:cs="Times New Roman"/>
        </w:rPr>
        <w:br/>
      </w:r>
      <w:r w:rsidRPr="008F2480">
        <w:rPr>
          <w:rFonts w:ascii="Times New Roman" w:hAnsi="Times New Roman" w:cs="Times New Roman"/>
          <w:b/>
          <w:bCs/>
        </w:rPr>
        <w:t>NEET</w:t>
      </w:r>
      <w:r w:rsidRPr="008F2480">
        <w:rPr>
          <w:rFonts w:ascii="Times New Roman" w:hAnsi="Times New Roman" w:cs="Times New Roman"/>
        </w:rPr>
        <w:t xml:space="preserve"> – </w:t>
      </w:r>
      <w:proofErr w:type="spellStart"/>
      <w:r w:rsidRPr="008F2480">
        <w:rPr>
          <w:rFonts w:ascii="Times New Roman" w:hAnsi="Times New Roman" w:cs="Times New Roman"/>
        </w:rPr>
        <w:t>Not</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in</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Employment</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Education</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or</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Training</w:t>
      </w:r>
      <w:proofErr w:type="spellEnd"/>
      <w:r w:rsidRPr="008F2480">
        <w:rPr>
          <w:rFonts w:ascii="Times New Roman" w:hAnsi="Times New Roman" w:cs="Times New Roman"/>
        </w:rPr>
        <w:t xml:space="preserve"> – младежи извън образование, заетост и обучение</w:t>
      </w:r>
      <w:r w:rsidRPr="008F2480">
        <w:rPr>
          <w:rFonts w:ascii="Times New Roman" w:hAnsi="Times New Roman" w:cs="Times New Roman"/>
        </w:rPr>
        <w:br/>
      </w:r>
      <w:r w:rsidRPr="008F2480">
        <w:rPr>
          <w:rFonts w:ascii="Times New Roman" w:hAnsi="Times New Roman" w:cs="Times New Roman"/>
          <w:b/>
          <w:bCs/>
        </w:rPr>
        <w:t>NSATU</w:t>
      </w:r>
      <w:r w:rsidRPr="008F2480">
        <w:rPr>
          <w:rFonts w:ascii="Times New Roman" w:hAnsi="Times New Roman" w:cs="Times New Roman"/>
        </w:rPr>
        <w:t xml:space="preserve"> – NATO </w:t>
      </w:r>
      <w:proofErr w:type="spellStart"/>
      <w:r w:rsidRPr="008F2480">
        <w:rPr>
          <w:rFonts w:ascii="Times New Roman" w:hAnsi="Times New Roman" w:cs="Times New Roman"/>
        </w:rPr>
        <w:t>Security</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Assistance</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and</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Training</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for</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Ukraine</w:t>
      </w:r>
      <w:proofErr w:type="spellEnd"/>
      <w:r w:rsidRPr="008F2480">
        <w:rPr>
          <w:rFonts w:ascii="Times New Roman" w:hAnsi="Times New Roman" w:cs="Times New Roman"/>
        </w:rPr>
        <w:t xml:space="preserve"> – Програма на НАТО за сигурност и обучение за Украйна</w:t>
      </w:r>
      <w:r w:rsidRPr="008F2480">
        <w:rPr>
          <w:rFonts w:ascii="Times New Roman" w:hAnsi="Times New Roman" w:cs="Times New Roman"/>
        </w:rPr>
        <w:br/>
      </w:r>
      <w:r w:rsidRPr="008F2480">
        <w:rPr>
          <w:rFonts w:ascii="Times New Roman" w:hAnsi="Times New Roman" w:cs="Times New Roman"/>
          <w:b/>
          <w:bCs/>
        </w:rPr>
        <w:t>SCADA</w:t>
      </w:r>
      <w:r w:rsidRPr="008F2480">
        <w:rPr>
          <w:rFonts w:ascii="Times New Roman" w:hAnsi="Times New Roman" w:cs="Times New Roman"/>
        </w:rPr>
        <w:t xml:space="preserve"> – </w:t>
      </w:r>
      <w:proofErr w:type="spellStart"/>
      <w:r w:rsidRPr="008F2480">
        <w:rPr>
          <w:rFonts w:ascii="Times New Roman" w:hAnsi="Times New Roman" w:cs="Times New Roman"/>
        </w:rPr>
        <w:t>Supervisory</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Control</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and</w:t>
      </w:r>
      <w:proofErr w:type="spellEnd"/>
      <w:r w:rsidRPr="008F2480">
        <w:rPr>
          <w:rFonts w:ascii="Times New Roman" w:hAnsi="Times New Roman" w:cs="Times New Roman"/>
        </w:rPr>
        <w:t xml:space="preserve"> Data </w:t>
      </w:r>
      <w:proofErr w:type="spellStart"/>
      <w:r w:rsidRPr="008F2480">
        <w:rPr>
          <w:rFonts w:ascii="Times New Roman" w:hAnsi="Times New Roman" w:cs="Times New Roman"/>
        </w:rPr>
        <w:t>Acquisition</w:t>
      </w:r>
      <w:proofErr w:type="spellEnd"/>
      <w:r w:rsidRPr="008F2480">
        <w:rPr>
          <w:rFonts w:ascii="Times New Roman" w:hAnsi="Times New Roman" w:cs="Times New Roman"/>
        </w:rPr>
        <w:t xml:space="preserve"> – Система за управление и контрол</w:t>
      </w:r>
      <w:r w:rsidRPr="008F2480">
        <w:rPr>
          <w:rFonts w:ascii="Times New Roman" w:hAnsi="Times New Roman" w:cs="Times New Roman"/>
        </w:rPr>
        <w:br/>
      </w:r>
      <w:r w:rsidRPr="008F2480">
        <w:rPr>
          <w:rFonts w:ascii="Times New Roman" w:hAnsi="Times New Roman" w:cs="Times New Roman"/>
          <w:b/>
          <w:bCs/>
        </w:rPr>
        <w:t>SELEC</w:t>
      </w:r>
      <w:r w:rsidRPr="008F2480">
        <w:rPr>
          <w:rFonts w:ascii="Times New Roman" w:hAnsi="Times New Roman" w:cs="Times New Roman"/>
        </w:rPr>
        <w:t xml:space="preserve"> – </w:t>
      </w:r>
      <w:proofErr w:type="spellStart"/>
      <w:r w:rsidRPr="008F2480">
        <w:rPr>
          <w:rFonts w:ascii="Times New Roman" w:hAnsi="Times New Roman" w:cs="Times New Roman"/>
        </w:rPr>
        <w:t>Southeast</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European</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Law</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Enforcement</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Center</w:t>
      </w:r>
      <w:proofErr w:type="spellEnd"/>
      <w:r w:rsidRPr="008F2480">
        <w:rPr>
          <w:rFonts w:ascii="Times New Roman" w:hAnsi="Times New Roman" w:cs="Times New Roman"/>
        </w:rPr>
        <w:t xml:space="preserve"> – Център за правоприлагане в Югоизточна Европа</w:t>
      </w:r>
      <w:r w:rsidRPr="008F2480">
        <w:rPr>
          <w:rFonts w:ascii="Times New Roman" w:hAnsi="Times New Roman" w:cs="Times New Roman"/>
        </w:rPr>
        <w:br/>
      </w:r>
      <w:r w:rsidRPr="008F2480">
        <w:rPr>
          <w:rFonts w:ascii="Times New Roman" w:hAnsi="Times New Roman" w:cs="Times New Roman"/>
          <w:b/>
          <w:bCs/>
        </w:rPr>
        <w:t>SIEM</w:t>
      </w:r>
      <w:r w:rsidRPr="008F2480">
        <w:rPr>
          <w:rFonts w:ascii="Times New Roman" w:hAnsi="Times New Roman" w:cs="Times New Roman"/>
        </w:rPr>
        <w:t xml:space="preserve"> – </w:t>
      </w:r>
      <w:proofErr w:type="spellStart"/>
      <w:r w:rsidRPr="008F2480">
        <w:rPr>
          <w:rFonts w:ascii="Times New Roman" w:hAnsi="Times New Roman" w:cs="Times New Roman"/>
        </w:rPr>
        <w:t>Security</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Information</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and</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Event</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Management</w:t>
      </w:r>
      <w:proofErr w:type="spellEnd"/>
      <w:r w:rsidRPr="008F2480">
        <w:rPr>
          <w:rFonts w:ascii="Times New Roman" w:hAnsi="Times New Roman" w:cs="Times New Roman"/>
        </w:rPr>
        <w:t xml:space="preserve"> – Система за управление на събития по сигурността</w:t>
      </w:r>
      <w:r w:rsidRPr="008F2480">
        <w:rPr>
          <w:rFonts w:ascii="Times New Roman" w:hAnsi="Times New Roman" w:cs="Times New Roman"/>
        </w:rPr>
        <w:br/>
      </w:r>
      <w:r w:rsidRPr="008F2480">
        <w:rPr>
          <w:rFonts w:ascii="Times New Roman" w:hAnsi="Times New Roman" w:cs="Times New Roman"/>
          <w:b/>
          <w:bCs/>
        </w:rPr>
        <w:t>TEN-T</w:t>
      </w:r>
      <w:r w:rsidRPr="008F2480">
        <w:rPr>
          <w:rFonts w:ascii="Times New Roman" w:hAnsi="Times New Roman" w:cs="Times New Roman"/>
        </w:rPr>
        <w:t xml:space="preserve"> – </w:t>
      </w:r>
      <w:proofErr w:type="spellStart"/>
      <w:r w:rsidRPr="008F2480">
        <w:rPr>
          <w:rFonts w:ascii="Times New Roman" w:hAnsi="Times New Roman" w:cs="Times New Roman"/>
        </w:rPr>
        <w:t>Trans-European</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Transport</w:t>
      </w:r>
      <w:proofErr w:type="spellEnd"/>
      <w:r w:rsidRPr="008F2480">
        <w:rPr>
          <w:rFonts w:ascii="Times New Roman" w:hAnsi="Times New Roman" w:cs="Times New Roman"/>
        </w:rPr>
        <w:t xml:space="preserve"> </w:t>
      </w:r>
      <w:proofErr w:type="spellStart"/>
      <w:r w:rsidRPr="008F2480">
        <w:rPr>
          <w:rFonts w:ascii="Times New Roman" w:hAnsi="Times New Roman" w:cs="Times New Roman"/>
        </w:rPr>
        <w:t>Network</w:t>
      </w:r>
      <w:proofErr w:type="spellEnd"/>
      <w:r w:rsidRPr="008F2480">
        <w:rPr>
          <w:rFonts w:ascii="Times New Roman" w:hAnsi="Times New Roman" w:cs="Times New Roman"/>
        </w:rPr>
        <w:t xml:space="preserve"> – Трансевропейска транспортна мреж</w:t>
      </w:r>
      <w:r w:rsidR="00952DDE">
        <w:rPr>
          <w:rFonts w:ascii="Times New Roman" w:hAnsi="Times New Roman" w:cs="Times New Roman"/>
        </w:rPr>
        <w:t>а</w:t>
      </w:r>
    </w:p>
    <w:p w14:paraId="71AAAA3B" w14:textId="0554803E" w:rsidR="006F001C" w:rsidRPr="00757AC6" w:rsidRDefault="005F49B3" w:rsidP="00952DDE">
      <w:pPr>
        <w:pStyle w:val="Heading1"/>
        <w:spacing w:before="0" w:after="120"/>
        <w:jc w:val="center"/>
        <w:rPr>
          <w:rFonts w:ascii="Times New Roman" w:hAnsi="Times New Roman" w:cs="Times New Roman"/>
          <w:b/>
          <w:sz w:val="24"/>
          <w:u w:val="single"/>
        </w:rPr>
      </w:pPr>
      <w:bookmarkStart w:id="1" w:name="_Toc208580364"/>
      <w:r w:rsidRPr="00757AC6">
        <w:rPr>
          <w:rFonts w:ascii="Times New Roman" w:hAnsi="Times New Roman" w:cs="Times New Roman"/>
          <w:b/>
          <w:sz w:val="24"/>
          <w:u w:val="single"/>
        </w:rPr>
        <w:lastRenderedPageBreak/>
        <w:t>АКЦЕНТИ</w:t>
      </w:r>
      <w:bookmarkEnd w:id="1"/>
    </w:p>
    <w:p w14:paraId="3B517AEA" w14:textId="5BD1C5A4" w:rsidR="005F49B3" w:rsidRPr="008E1D6D" w:rsidRDefault="005F49B3" w:rsidP="00D6403A">
      <w:pPr>
        <w:numPr>
          <w:ilvl w:val="0"/>
          <w:numId w:val="46"/>
        </w:numPr>
        <w:spacing w:before="60" w:after="60" w:line="240" w:lineRule="auto"/>
        <w:ind w:left="714" w:hanging="357"/>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 xml:space="preserve">Основна цел на </w:t>
      </w:r>
      <w:r w:rsidR="00353A86">
        <w:rPr>
          <w:rFonts w:ascii="Times New Roman" w:eastAsia="Times New Roman" w:hAnsi="Times New Roman" w:cs="Times New Roman"/>
          <w:b/>
          <w:sz w:val="24"/>
          <w:szCs w:val="24"/>
          <w:lang w:eastAsia="bg-BG"/>
        </w:rPr>
        <w:t>Годишния д</w:t>
      </w:r>
      <w:r w:rsidRPr="008E1D6D">
        <w:rPr>
          <w:rFonts w:ascii="Times New Roman" w:eastAsia="Times New Roman" w:hAnsi="Times New Roman" w:cs="Times New Roman"/>
          <w:b/>
          <w:sz w:val="24"/>
          <w:szCs w:val="24"/>
          <w:lang w:eastAsia="bg-BG"/>
        </w:rPr>
        <w:t>оклад за състоянието на националната сигурност на Република България през 2024 г. е да представи анализа, оценката и препоръките на изпълнителната власт относно предизвикателствата, рисковете, опасностите и заплахите за страната, както и за ефективността на политиката за защита на националната сигурност.</w:t>
      </w:r>
    </w:p>
    <w:p w14:paraId="3FE548FC" w14:textId="77777777" w:rsidR="005F49B3" w:rsidRPr="008E1D6D" w:rsidRDefault="005F49B3" w:rsidP="00D6403A">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Международната среда се характеризира с висока нестабилност, ескалиращи военни конфликти и разширяващи се хибридни заплахи, което поставя България в стратегически рискова позиция по външна и вътрешна линия.</w:t>
      </w:r>
    </w:p>
    <w:p w14:paraId="5A2DCD8D" w14:textId="7740F758" w:rsidR="005F49B3" w:rsidRDefault="005F49B3" w:rsidP="00D6403A">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 xml:space="preserve">Продължаващата руска </w:t>
      </w:r>
      <w:r w:rsidR="00113DB3">
        <w:rPr>
          <w:rFonts w:ascii="Times New Roman" w:eastAsia="Times New Roman" w:hAnsi="Times New Roman" w:cs="Times New Roman"/>
          <w:b/>
          <w:sz w:val="24"/>
          <w:szCs w:val="24"/>
          <w:lang w:eastAsia="bg-BG"/>
        </w:rPr>
        <w:t xml:space="preserve">военна </w:t>
      </w:r>
      <w:r w:rsidRPr="008E1D6D">
        <w:rPr>
          <w:rFonts w:ascii="Times New Roman" w:eastAsia="Times New Roman" w:hAnsi="Times New Roman" w:cs="Times New Roman"/>
          <w:b/>
          <w:sz w:val="24"/>
          <w:szCs w:val="24"/>
          <w:lang w:eastAsia="bg-BG"/>
        </w:rPr>
        <w:t xml:space="preserve">агресия срещу Украйна и разширяването на хибридните операции срещу държави от НАТО, вкл. България, създават стратегическа среда </w:t>
      </w:r>
      <w:r w:rsidR="00113DB3">
        <w:rPr>
          <w:rFonts w:ascii="Times New Roman" w:eastAsia="Times New Roman" w:hAnsi="Times New Roman" w:cs="Times New Roman"/>
          <w:b/>
          <w:sz w:val="24"/>
          <w:szCs w:val="24"/>
          <w:lang w:eastAsia="bg-BG"/>
        </w:rPr>
        <w:t xml:space="preserve">на сигурност с висока степен на риск </w:t>
      </w:r>
      <w:r w:rsidRPr="008E1D6D">
        <w:rPr>
          <w:rFonts w:ascii="Times New Roman" w:eastAsia="Times New Roman" w:hAnsi="Times New Roman" w:cs="Times New Roman"/>
          <w:b/>
          <w:sz w:val="24"/>
          <w:szCs w:val="24"/>
          <w:lang w:eastAsia="bg-BG"/>
        </w:rPr>
        <w:t>в Европа.</w:t>
      </w:r>
    </w:p>
    <w:p w14:paraId="39A636A0" w14:textId="3BA5792C" w:rsidR="00113DB3" w:rsidRPr="00113DB3" w:rsidRDefault="00113DB3" w:rsidP="00113DB3">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E03C37">
        <w:rPr>
          <w:rFonts w:ascii="Times New Roman" w:hAnsi="Times New Roman" w:cs="Times New Roman"/>
          <w:b/>
          <w:sz w:val="24"/>
          <w:szCs w:val="24"/>
        </w:rPr>
        <w:t>Предизвикателствата пред България за гарантиране на собствената  енергийна сигурност и продължаващите проблеми по отношение на гарантирането на непрекъснатост на веригите за доставки на енергоресурси от други региони извън Европа, вкл. и от държавите от Южен Кавказ, наложиха през 2024 г. България да продължи да предприема прагматични, но стратегически по своята същност действия с цел обезпечаване на надеждна и устойчива диверсификация на източниците и маршрутите за доставка на енергийни суровини.</w:t>
      </w:r>
    </w:p>
    <w:p w14:paraId="2A338A8B" w14:textId="574490C3" w:rsidR="005F49B3" w:rsidRPr="008E1D6D" w:rsidRDefault="00113DB3" w:rsidP="00D6403A">
      <w:pPr>
        <w:numPr>
          <w:ilvl w:val="0"/>
          <w:numId w:val="47"/>
        </w:numPr>
        <w:spacing w:before="60" w:after="6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РСМ отказва да изпълни ангажиментите си по силата на Европейския консенсус от м. юли 2022 г., продължава да прилага системна дискриминация спрямо граждани с българско самосъзнание и да предприема действия, които нарушават Договора за добросъседство и подкопават международното доверие. </w:t>
      </w:r>
      <w:r w:rsidR="00F54117">
        <w:rPr>
          <w:rFonts w:ascii="Times New Roman" w:eastAsia="Times New Roman" w:hAnsi="Times New Roman" w:cs="Times New Roman"/>
          <w:b/>
          <w:sz w:val="24"/>
          <w:szCs w:val="24"/>
          <w:lang w:eastAsia="bg-BG"/>
        </w:rPr>
        <w:t xml:space="preserve"> </w:t>
      </w:r>
    </w:p>
    <w:p w14:paraId="1656B4B0" w14:textId="77777777" w:rsidR="005F49B3" w:rsidRPr="008E1D6D" w:rsidRDefault="005F49B3" w:rsidP="00D6403A">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Сърбия продължава политика на асимилация спрямо българското малцинство и поддържа възприятие за България като „исторически противник“, съчетавайки я с идеологическо сближаване с външни авторитарни модели.</w:t>
      </w:r>
    </w:p>
    <w:p w14:paraId="175E94A3" w14:textId="2466CF05" w:rsidR="005F49B3" w:rsidRPr="008E1D6D" w:rsidRDefault="005F49B3" w:rsidP="00D6403A">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 xml:space="preserve">В условия на влошаваща се обстановка по сигурността в </w:t>
      </w:r>
      <w:r w:rsidR="00113DB3">
        <w:rPr>
          <w:rFonts w:ascii="Times New Roman" w:eastAsia="Times New Roman" w:hAnsi="Times New Roman" w:cs="Times New Roman"/>
          <w:b/>
          <w:sz w:val="24"/>
          <w:szCs w:val="24"/>
          <w:lang w:eastAsia="bg-BG"/>
        </w:rPr>
        <w:t>БИСА</w:t>
      </w:r>
      <w:r w:rsidR="00F54117">
        <w:rPr>
          <w:rFonts w:ascii="Times New Roman" w:eastAsia="Times New Roman" w:hAnsi="Times New Roman" w:cs="Times New Roman"/>
          <w:b/>
          <w:sz w:val="24"/>
          <w:szCs w:val="24"/>
          <w:lang w:eastAsia="bg-BG"/>
        </w:rPr>
        <w:t xml:space="preserve"> </w:t>
      </w:r>
      <w:r w:rsidRPr="008E1D6D">
        <w:rPr>
          <w:rFonts w:ascii="Times New Roman" w:eastAsia="Times New Roman" w:hAnsi="Times New Roman" w:cs="Times New Roman"/>
          <w:b/>
          <w:sz w:val="24"/>
          <w:szCs w:val="24"/>
          <w:lang w:eastAsia="bg-BG"/>
        </w:rPr>
        <w:t>терористичните структури се стремят към възвръщане на позициите и разширяване на регионите си на действие, в т.ч. чрез интензивна пропаганда, която води до нарастване на риска от осъществяване на терористични действия в региона и отвъд.</w:t>
      </w:r>
    </w:p>
    <w:p w14:paraId="2278FCBF" w14:textId="5BDD2E4E" w:rsidR="005F49B3" w:rsidRPr="008E1D6D" w:rsidRDefault="005F49B3" w:rsidP="00D6403A">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Запазват се основните субекти, носители на терористична заплаха за Европа: самостоятелно действащи терористи, индивиди с рисков профил, придвижващи се от конфликтни региони, в т.ч. инфилтрирани в мигрантски потоци, лица с произход от рискови райони, които се радикализират на по-късен етап от пребиваването си в европейска държава, завръщащи се/завърнали с</w:t>
      </w:r>
      <w:r w:rsidR="00DE33FA">
        <w:rPr>
          <w:rFonts w:ascii="Times New Roman" w:eastAsia="Times New Roman" w:hAnsi="Times New Roman" w:cs="Times New Roman"/>
          <w:b/>
          <w:sz w:val="24"/>
          <w:szCs w:val="24"/>
          <w:lang w:eastAsia="bg-BG"/>
        </w:rPr>
        <w:t>е</w:t>
      </w:r>
      <w:r w:rsidRPr="008E1D6D">
        <w:rPr>
          <w:rFonts w:ascii="Times New Roman" w:eastAsia="Times New Roman" w:hAnsi="Times New Roman" w:cs="Times New Roman"/>
          <w:b/>
          <w:sz w:val="24"/>
          <w:szCs w:val="24"/>
          <w:lang w:eastAsia="bg-BG"/>
        </w:rPr>
        <w:t xml:space="preserve"> бойци и семейства на джихадисти.</w:t>
      </w:r>
    </w:p>
    <w:p w14:paraId="0B452BB3" w14:textId="052BE9BD" w:rsidR="00FE7555" w:rsidRPr="00FE7555" w:rsidRDefault="00FE7555" w:rsidP="00FE7555">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FE7555">
        <w:rPr>
          <w:rFonts w:ascii="Times New Roman" w:eastAsia="Times New Roman" w:hAnsi="Times New Roman" w:cs="Times New Roman"/>
          <w:b/>
          <w:sz w:val="24"/>
          <w:szCs w:val="24"/>
          <w:lang w:eastAsia="bg-BG"/>
        </w:rPr>
        <w:t>През 2024 г. миграционният натиск към Европейския съюз остана значителен</w:t>
      </w:r>
      <w:r>
        <w:rPr>
          <w:rFonts w:ascii="Times New Roman" w:eastAsia="Times New Roman" w:hAnsi="Times New Roman" w:cs="Times New Roman"/>
          <w:b/>
          <w:sz w:val="24"/>
          <w:szCs w:val="24"/>
          <w:lang w:eastAsia="bg-BG"/>
        </w:rPr>
        <w:t xml:space="preserve"> </w:t>
      </w:r>
      <w:r w:rsidRPr="00FE7555">
        <w:rPr>
          <w:rFonts w:ascii="Times New Roman" w:eastAsia="Times New Roman" w:hAnsi="Times New Roman" w:cs="Times New Roman"/>
          <w:b/>
          <w:sz w:val="24"/>
          <w:szCs w:val="24"/>
          <w:lang w:eastAsia="bg-BG"/>
        </w:rPr>
        <w:t>поради</w:t>
      </w:r>
      <w:r>
        <w:rPr>
          <w:rFonts w:ascii="Times New Roman" w:eastAsia="Times New Roman" w:hAnsi="Times New Roman" w:cs="Times New Roman"/>
          <w:b/>
          <w:sz w:val="24"/>
          <w:szCs w:val="24"/>
          <w:lang w:eastAsia="bg-BG"/>
        </w:rPr>
        <w:t xml:space="preserve"> </w:t>
      </w:r>
      <w:r w:rsidRPr="00FE7555">
        <w:rPr>
          <w:rFonts w:ascii="Times New Roman" w:eastAsia="Times New Roman" w:hAnsi="Times New Roman" w:cs="Times New Roman"/>
          <w:b/>
          <w:sz w:val="24"/>
          <w:szCs w:val="24"/>
          <w:lang w:eastAsia="bg-BG"/>
        </w:rPr>
        <w:t>продължаващи</w:t>
      </w:r>
      <w:r>
        <w:rPr>
          <w:rFonts w:ascii="Times New Roman" w:eastAsia="Times New Roman" w:hAnsi="Times New Roman" w:cs="Times New Roman"/>
          <w:b/>
          <w:sz w:val="24"/>
          <w:szCs w:val="24"/>
          <w:lang w:eastAsia="bg-BG"/>
        </w:rPr>
        <w:t xml:space="preserve"> </w:t>
      </w:r>
      <w:r w:rsidRPr="00FE7555">
        <w:rPr>
          <w:rFonts w:ascii="Times New Roman" w:eastAsia="Times New Roman" w:hAnsi="Times New Roman" w:cs="Times New Roman"/>
          <w:b/>
          <w:sz w:val="24"/>
          <w:szCs w:val="24"/>
          <w:lang w:eastAsia="bg-BG"/>
        </w:rPr>
        <w:t>военни</w:t>
      </w:r>
      <w:r>
        <w:rPr>
          <w:rFonts w:ascii="Times New Roman" w:eastAsia="Times New Roman" w:hAnsi="Times New Roman" w:cs="Times New Roman"/>
          <w:b/>
          <w:sz w:val="24"/>
          <w:szCs w:val="24"/>
          <w:lang w:eastAsia="bg-BG"/>
        </w:rPr>
        <w:t xml:space="preserve"> </w:t>
      </w:r>
      <w:r w:rsidRPr="00FE7555">
        <w:rPr>
          <w:rFonts w:ascii="Times New Roman" w:eastAsia="Times New Roman" w:hAnsi="Times New Roman" w:cs="Times New Roman"/>
          <w:b/>
          <w:sz w:val="24"/>
          <w:szCs w:val="24"/>
          <w:lang w:eastAsia="bg-BG"/>
        </w:rPr>
        <w:t>конфликти,</w:t>
      </w:r>
      <w:r>
        <w:rPr>
          <w:rFonts w:ascii="Times New Roman" w:eastAsia="Times New Roman" w:hAnsi="Times New Roman" w:cs="Times New Roman"/>
          <w:b/>
          <w:sz w:val="24"/>
          <w:szCs w:val="24"/>
          <w:lang w:eastAsia="bg-BG"/>
        </w:rPr>
        <w:t xml:space="preserve"> </w:t>
      </w:r>
      <w:r w:rsidRPr="00FE7555">
        <w:rPr>
          <w:rFonts w:ascii="Times New Roman" w:eastAsia="Times New Roman" w:hAnsi="Times New Roman" w:cs="Times New Roman"/>
          <w:b/>
          <w:sz w:val="24"/>
          <w:szCs w:val="24"/>
          <w:lang w:eastAsia="bg-BG"/>
        </w:rPr>
        <w:t>социално-икономическа нестабилност и задълбочаващи  се  регионални  кризи  и  конфликти  в  БИСА,  Субсахарска  Африка и Централна Азия, които създават условия за генериране на миграционни потоци от лица, търсещи закрила в Република България.</w:t>
      </w:r>
    </w:p>
    <w:p w14:paraId="02F08FC1" w14:textId="77777777" w:rsidR="005F49B3" w:rsidRPr="003E3F4B" w:rsidRDefault="005F49B3" w:rsidP="00D6403A">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lastRenderedPageBreak/>
        <w:t>През 2024 г. България постигна пълна интеграция в Шенгенското пространство и продължи да развива оперативните и стратегическите си капацитети за справяне с трансграничния натиск.</w:t>
      </w:r>
    </w:p>
    <w:p w14:paraId="3F36A666" w14:textId="77777777" w:rsidR="00AB44B6" w:rsidRPr="003E3F4B" w:rsidRDefault="00AB44B6" w:rsidP="00AB44B6">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3E3F4B">
        <w:rPr>
          <w:rFonts w:ascii="Times New Roman" w:eastAsia="Times New Roman" w:hAnsi="Times New Roman" w:cs="Times New Roman"/>
          <w:b/>
          <w:sz w:val="24"/>
          <w:szCs w:val="24"/>
          <w:lang w:eastAsia="bg-BG"/>
        </w:rPr>
        <w:t>През 2024 г. България продължи да провежда енергийна политика, съобразена с европейските цели за сигурна, конкурентоспособна и ресурсно ефективна икономика.</w:t>
      </w:r>
      <w:r>
        <w:rPr>
          <w:rFonts w:ascii="Times New Roman" w:eastAsia="Times New Roman" w:hAnsi="Times New Roman" w:cs="Times New Roman"/>
          <w:b/>
          <w:sz w:val="24"/>
          <w:szCs w:val="24"/>
          <w:lang w:val="en-US" w:eastAsia="bg-BG"/>
        </w:rPr>
        <w:t xml:space="preserve"> </w:t>
      </w:r>
      <w:r>
        <w:rPr>
          <w:rFonts w:ascii="Times New Roman" w:eastAsia="Times New Roman" w:hAnsi="Times New Roman" w:cs="Times New Roman"/>
          <w:b/>
          <w:sz w:val="24"/>
          <w:szCs w:val="24"/>
          <w:lang w:eastAsia="bg-BG"/>
        </w:rPr>
        <w:t>Страната ни</w:t>
      </w:r>
      <w:r w:rsidRPr="003E3F4B">
        <w:rPr>
          <w:rFonts w:ascii="Times New Roman" w:eastAsia="Times New Roman" w:hAnsi="Times New Roman" w:cs="Times New Roman"/>
          <w:b/>
          <w:sz w:val="24"/>
          <w:szCs w:val="24"/>
          <w:lang w:eastAsia="bg-BG"/>
        </w:rPr>
        <w:t xml:space="preserve"> изпълни изискванията на ЕС за запълване на газовите хранилища, като към 1 ноември 2024 г. ПГХ „Чирен“ достигна над 97%</w:t>
      </w:r>
      <w:r>
        <w:rPr>
          <w:rFonts w:ascii="Times New Roman" w:eastAsia="Times New Roman" w:hAnsi="Times New Roman" w:cs="Times New Roman"/>
          <w:b/>
          <w:sz w:val="24"/>
          <w:szCs w:val="24"/>
          <w:lang w:eastAsia="bg-BG"/>
        </w:rPr>
        <w:t xml:space="preserve"> от общия му обем</w:t>
      </w:r>
      <w:r w:rsidRPr="003E3F4B">
        <w:rPr>
          <w:rFonts w:ascii="Times New Roman" w:eastAsia="Times New Roman" w:hAnsi="Times New Roman" w:cs="Times New Roman"/>
          <w:b/>
          <w:sz w:val="24"/>
          <w:szCs w:val="24"/>
          <w:lang w:eastAsia="bg-BG"/>
        </w:rPr>
        <w:t>, а доставките се осигуряваха чрез диверсифицирани източници по IGB</w:t>
      </w:r>
      <w:r>
        <w:rPr>
          <w:rFonts w:ascii="Times New Roman" w:eastAsia="Times New Roman" w:hAnsi="Times New Roman" w:cs="Times New Roman"/>
          <w:b/>
          <w:sz w:val="24"/>
          <w:szCs w:val="24"/>
          <w:lang w:eastAsia="bg-BG"/>
        </w:rPr>
        <w:t xml:space="preserve"> и</w:t>
      </w:r>
      <w:r w:rsidRPr="003E3F4B">
        <w:rPr>
          <w:rFonts w:ascii="Times New Roman" w:eastAsia="Times New Roman" w:hAnsi="Times New Roman" w:cs="Times New Roman"/>
          <w:b/>
          <w:sz w:val="24"/>
          <w:szCs w:val="24"/>
          <w:lang w:eastAsia="bg-BG"/>
        </w:rPr>
        <w:t xml:space="preserve"> LNG терминали в Гърция.</w:t>
      </w:r>
    </w:p>
    <w:p w14:paraId="1E90AB64" w14:textId="2F437C95" w:rsidR="003E3F4B" w:rsidRDefault="003E3F4B" w:rsidP="003E3F4B">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3E3F4B">
        <w:rPr>
          <w:rFonts w:ascii="Times New Roman" w:eastAsia="Times New Roman" w:hAnsi="Times New Roman" w:cs="Times New Roman"/>
          <w:b/>
          <w:sz w:val="24"/>
          <w:szCs w:val="24"/>
          <w:lang w:eastAsia="bg-BG"/>
        </w:rPr>
        <w:t>Остава рискът, свързан с невъзможността за извозване на отработено ядрено гориво и зависимостта от руски резервни части и услуги за АЕЦ, което наложи дерогация от санкциите на ЕС за доставка на конкретни материали.</w:t>
      </w:r>
    </w:p>
    <w:p w14:paraId="082C8857" w14:textId="494B0D5F" w:rsidR="003E3F4B" w:rsidRPr="003E3F4B" w:rsidRDefault="003E3F4B" w:rsidP="003E3F4B">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3E3F4B">
        <w:rPr>
          <w:rFonts w:ascii="Times New Roman" w:eastAsia="Times New Roman" w:hAnsi="Times New Roman" w:cs="Times New Roman"/>
          <w:b/>
          <w:sz w:val="24"/>
          <w:szCs w:val="24"/>
          <w:lang w:eastAsia="bg-BG"/>
        </w:rPr>
        <w:t>Намалението на производството на електроенергия от въглища с близо 60% спрямо 2022 г. ограничи балансиращите възможности и засили риска за устойчивостта на електроенергийната система.</w:t>
      </w:r>
    </w:p>
    <w:p w14:paraId="61C78C25" w14:textId="71978881" w:rsidR="005F49B3" w:rsidRPr="008E1D6D" w:rsidRDefault="005F49B3" w:rsidP="00D6403A">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 xml:space="preserve">През 2024 г. международната среда на сигурност се влоши допълнително, като отбеляза рязък ръст на заплахите, свързани с разпространението и модернизацията на </w:t>
      </w:r>
      <w:r w:rsidR="00F54117">
        <w:rPr>
          <w:rFonts w:ascii="Times New Roman" w:eastAsia="Times New Roman" w:hAnsi="Times New Roman" w:cs="Times New Roman"/>
          <w:b/>
          <w:sz w:val="24"/>
          <w:szCs w:val="24"/>
          <w:lang w:eastAsia="bg-BG"/>
        </w:rPr>
        <w:t>оръжия за масово унищожаване</w:t>
      </w:r>
      <w:r w:rsidRPr="008E1D6D">
        <w:rPr>
          <w:rFonts w:ascii="Times New Roman" w:eastAsia="Times New Roman" w:hAnsi="Times New Roman" w:cs="Times New Roman"/>
          <w:b/>
          <w:sz w:val="24"/>
          <w:szCs w:val="24"/>
          <w:lang w:eastAsia="bg-BG"/>
        </w:rPr>
        <w:t>.</w:t>
      </w:r>
    </w:p>
    <w:p w14:paraId="3F5847A7" w14:textId="77777777" w:rsidR="005F49B3" w:rsidRPr="008E1D6D" w:rsidRDefault="005F49B3" w:rsidP="00D6403A">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Нараснаха рисковете от трансфер на технологии с двойна употреба към държави и недържавни субекти, включително терористични организации. Активизира се надпреварата във въоръжаването между ядрените сили, като бе отчетено разширяване на арсеналите и нарушаване на ключови международни договори.</w:t>
      </w:r>
    </w:p>
    <w:p w14:paraId="38C1A4D7" w14:textId="77777777" w:rsidR="005F49B3" w:rsidRPr="008E1D6D" w:rsidRDefault="005F49B3" w:rsidP="003E3F4B">
      <w:pPr>
        <w:numPr>
          <w:ilvl w:val="0"/>
          <w:numId w:val="47"/>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Чуждите разузнавателни служби поддържат високо равнище на активност в България, с акцент върху стратегическо проникване и влияние в политически, културни и социални процеси. Идентифицирана е необходимост от промени в Наказателния кодекс, с цел инкриминиране на действия за чуждо влияние и модернизация на правната рамка.</w:t>
      </w:r>
    </w:p>
    <w:p w14:paraId="0B065FAE"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Организираната престъпност и икономическите престъпления запазват висока активност и трансгранични измерения, като усилията за противодействие се нуждаят от по-добра координация и ресурсна обезпеченост.</w:t>
      </w:r>
    </w:p>
    <w:p w14:paraId="0E914319"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Страната ни продължава да бъде активно използвана от престъпни групировки за транзит, складиране, производство и разпространение на незаконни стоки, особено тютюневи изделия, наркотици и фалшифицирани продукти.</w:t>
      </w:r>
    </w:p>
    <w:p w14:paraId="75C7C1FD"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Въпреки реализираните усилия, нивото на пътнотранспортния травматизъм в страната остава високо, а транспортният сектор продължава да бъде изложен на системни предизвикателства, както в сферата на пътната безопасност, така и по отношение на сигурността на ключови инфраструктурни обекти.</w:t>
      </w:r>
    </w:p>
    <w:p w14:paraId="0B69F1B0" w14:textId="6F3E5405"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 xml:space="preserve">Киберсигурността се очерта като критичен компонент на националната сигурност, с ескалация на кибератаки върху критична инфраструктура, злоупотреба с </w:t>
      </w:r>
      <w:r w:rsidR="00DB748C">
        <w:rPr>
          <w:rFonts w:ascii="Times New Roman" w:eastAsia="Times New Roman" w:hAnsi="Times New Roman" w:cs="Times New Roman"/>
          <w:b/>
          <w:sz w:val="24"/>
          <w:szCs w:val="24"/>
          <w:lang w:eastAsia="bg-BG"/>
        </w:rPr>
        <w:t>изкуствен интелект</w:t>
      </w:r>
      <w:r w:rsidRPr="008E1D6D">
        <w:rPr>
          <w:rFonts w:ascii="Times New Roman" w:eastAsia="Times New Roman" w:hAnsi="Times New Roman" w:cs="Times New Roman"/>
          <w:b/>
          <w:sz w:val="24"/>
          <w:szCs w:val="24"/>
          <w:lang w:eastAsia="bg-BG"/>
        </w:rPr>
        <w:t xml:space="preserve"> и необходимост от нормативно и кадрово укрепване.</w:t>
      </w:r>
    </w:p>
    <w:p w14:paraId="7A699A44"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Киберзаплахите все по-често се използват в контекста на хибридни стратегии, като комбинират средства от военен, информационен, икономически и технологичен характер.</w:t>
      </w:r>
    </w:p>
    <w:p w14:paraId="40501EC9"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lastRenderedPageBreak/>
        <w:t>Демографските и социално-икономическите процеси ясно очертават системна ерозия на човешкия капитал в България – както по отношение на количествени, така и на качествени параметри.</w:t>
      </w:r>
    </w:p>
    <w:p w14:paraId="5CB9D711"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Демографската криза продължава да ерозира стратегическите ресурси на държавата – с ускорено застаряване, намаляваща раждаемост и системен недостиг на кадри в секторите на сигурността, здравеопазването и образованието.</w:t>
      </w:r>
    </w:p>
    <w:p w14:paraId="607C7D0B" w14:textId="28A3F5E3"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Острият недостиг на кадри в стратегически сектори, технологични дефицити и регионални неравенства ограничават капацитета на страната за реакция при бедствия и кризи.</w:t>
      </w:r>
    </w:p>
    <w:p w14:paraId="22D5EEFB"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Образователната и здравната системи функционират под нарастващо натоварване, а пазарът на труда не успява да мобилизира потенциала на младите поколения.</w:t>
      </w:r>
    </w:p>
    <w:p w14:paraId="043DE0D0"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През 2024 г. актуалните проблеми за българската здравна система бяха значителният кадрови недостиг, финансовите затруднения, неравномерното териториално разпределение на общопрактикуващите лекари, липсата на оборудване, амортизираният сграден фонд и автомобилен парк, забавянето при усвояване на европейските средства за модернизация на спешната медицинска помощ и др.</w:t>
      </w:r>
    </w:p>
    <w:p w14:paraId="54E645EE"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Нарастващата зависимост от външна работна сила много вероятно ще поставя въпроси не само пред трудовата политика, но и пред културната интеграция, социалната кохезия и стратегическата автономност на страната в дългосрочен план.</w:t>
      </w:r>
    </w:p>
    <w:p w14:paraId="2115A869" w14:textId="512E3C05" w:rsidR="005F49B3"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 xml:space="preserve">Стратегическата инфраструктурна свързаност в Югоизточна Европа е пряко обвързана с устойчивостта и мобилността </w:t>
      </w:r>
      <w:r w:rsidR="00690B7E">
        <w:rPr>
          <w:rFonts w:ascii="Times New Roman" w:eastAsia="Times New Roman" w:hAnsi="Times New Roman" w:cs="Times New Roman"/>
          <w:b/>
          <w:sz w:val="24"/>
          <w:szCs w:val="24"/>
          <w:lang w:eastAsia="bg-BG"/>
        </w:rPr>
        <w:t>в</w:t>
      </w:r>
      <w:r w:rsidRPr="008E1D6D">
        <w:rPr>
          <w:rFonts w:ascii="Times New Roman" w:eastAsia="Times New Roman" w:hAnsi="Times New Roman" w:cs="Times New Roman"/>
          <w:b/>
          <w:sz w:val="24"/>
          <w:szCs w:val="24"/>
          <w:lang w:eastAsia="bg-BG"/>
        </w:rPr>
        <w:t xml:space="preserve"> страната при кризи. Забавеното изпълнение на транспортни проекти влияе негативно върху способността за логистична реакция, военна мобилност и икономическа устойчивост.</w:t>
      </w:r>
    </w:p>
    <w:p w14:paraId="4C856746" w14:textId="6EBB2DA7" w:rsidR="00113DB3" w:rsidRPr="00113DB3" w:rsidRDefault="00113DB3" w:rsidP="00113DB3">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E03C37">
        <w:rPr>
          <w:rFonts w:ascii="Times New Roman" w:hAnsi="Times New Roman" w:cs="Times New Roman"/>
          <w:b/>
          <w:sz w:val="24"/>
          <w:szCs w:val="24"/>
        </w:rPr>
        <w:t>Последователната политика на България да се утвърди като регионален хъб,  подпомагащ диверсификацията на енергийните доставки - както към пазарите на ЕС, така и към Украйна и държавите от широкия Черноморски регион, съчетано с ожесточаващи се по своите измерения хибридни заплахи от страна на РФ срещу критична инфраструктура, вкл. на ЕС, налага България да предприеме последователни и целенасочени стъпки за повишаване капацитета и надграждане на съществуващите институционални механизми, вкл. чрез подобряване на междуведомствената координация, които да укрепят инструментариума от мерки за адекватен отговор на подобен род заплахи.</w:t>
      </w:r>
    </w:p>
    <w:p w14:paraId="56EA7BAA" w14:textId="1A486E78"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Критичната инфраструктура остава уязвима към природни бедствия, хибридни заплахи и технологични сривове, като водният, енергийният и транспортният сектор</w:t>
      </w:r>
      <w:r w:rsidR="00690B7E">
        <w:rPr>
          <w:rFonts w:ascii="Times New Roman" w:eastAsia="Times New Roman" w:hAnsi="Times New Roman" w:cs="Times New Roman"/>
          <w:b/>
          <w:sz w:val="24"/>
          <w:szCs w:val="24"/>
          <w:lang w:eastAsia="bg-BG"/>
        </w:rPr>
        <w:t>и</w:t>
      </w:r>
      <w:r w:rsidRPr="008E1D6D">
        <w:rPr>
          <w:rFonts w:ascii="Times New Roman" w:eastAsia="Times New Roman" w:hAnsi="Times New Roman" w:cs="Times New Roman"/>
          <w:b/>
          <w:sz w:val="24"/>
          <w:szCs w:val="24"/>
          <w:lang w:eastAsia="bg-BG"/>
        </w:rPr>
        <w:t xml:space="preserve"> изискват </w:t>
      </w:r>
      <w:r w:rsidR="00B6303C">
        <w:rPr>
          <w:rFonts w:ascii="Times New Roman" w:eastAsia="Times New Roman" w:hAnsi="Times New Roman" w:cs="Times New Roman"/>
          <w:b/>
          <w:sz w:val="24"/>
          <w:szCs w:val="24"/>
          <w:lang w:eastAsia="bg-BG"/>
        </w:rPr>
        <w:t>предприемане на допълнителни мерки за</w:t>
      </w:r>
      <w:r w:rsidRPr="008E1D6D">
        <w:rPr>
          <w:rFonts w:ascii="Times New Roman" w:eastAsia="Times New Roman" w:hAnsi="Times New Roman" w:cs="Times New Roman"/>
          <w:b/>
          <w:sz w:val="24"/>
          <w:szCs w:val="24"/>
          <w:lang w:eastAsia="bg-BG"/>
        </w:rPr>
        <w:t xml:space="preserve"> адаптация към климатичните рискове.</w:t>
      </w:r>
    </w:p>
    <w:p w14:paraId="7C971972" w14:textId="71DD8493"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През 2024 г. бе отчетено рязко влошаване на климатичната обстановка, с рекорден брой пожари, суши и бедствени положения, което постави на изпитание капацитета за реагиране и устойчивостта на инфраструктурата.</w:t>
      </w:r>
      <w:r w:rsidR="001824B9">
        <w:rPr>
          <w:rFonts w:ascii="Times New Roman" w:eastAsia="Times New Roman" w:hAnsi="Times New Roman" w:cs="Times New Roman"/>
          <w:b/>
          <w:sz w:val="24"/>
          <w:szCs w:val="24"/>
          <w:lang w:eastAsia="bg-BG"/>
        </w:rPr>
        <w:t xml:space="preserve"> </w:t>
      </w:r>
      <w:r w:rsidR="001824B9" w:rsidRPr="001824B9">
        <w:rPr>
          <w:rFonts w:ascii="Times New Roman" w:eastAsia="Times New Roman" w:hAnsi="Times New Roman" w:cs="Times New Roman"/>
          <w:b/>
          <w:sz w:val="24"/>
          <w:szCs w:val="24"/>
          <w:lang w:eastAsia="bg-BG"/>
        </w:rPr>
        <w:t xml:space="preserve">Наблюдаваните явления съответстват на сценариите от Националната стратегия за адаптация към изменението на климата, което подчертава </w:t>
      </w:r>
      <w:r w:rsidR="001824B9" w:rsidRPr="001824B9">
        <w:rPr>
          <w:rFonts w:ascii="Times New Roman" w:eastAsia="Times New Roman" w:hAnsi="Times New Roman" w:cs="Times New Roman"/>
          <w:b/>
          <w:sz w:val="24"/>
          <w:szCs w:val="24"/>
          <w:lang w:eastAsia="bg-BG"/>
        </w:rPr>
        <w:lastRenderedPageBreak/>
        <w:t>необходимостта от ускорено изпълнение на адаптационни мерки и устойчиво финансиране на адаптационните политики</w:t>
      </w:r>
      <w:r w:rsidR="00690B7E">
        <w:rPr>
          <w:rFonts w:ascii="Times New Roman" w:eastAsia="Times New Roman" w:hAnsi="Times New Roman" w:cs="Times New Roman"/>
          <w:b/>
          <w:sz w:val="24"/>
          <w:szCs w:val="24"/>
          <w:lang w:eastAsia="bg-BG"/>
        </w:rPr>
        <w:t>.</w:t>
      </w:r>
    </w:p>
    <w:p w14:paraId="4BB831CF"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Водният сектор остава особено уязвим – водни режими, амортизирана мрежа, недостиг на инвестиции и повишени киберрискове към SCADA/ICS системите.</w:t>
      </w:r>
    </w:p>
    <w:p w14:paraId="7D313E4D" w14:textId="0C9517CB"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Нарастващата честота и интензитет на екстремни климатични явления, включително горски пожари, наводнения и суши, създават заплахи за здравето на населението, функционирането на критичната инфраструктура и териториалното развитие.</w:t>
      </w:r>
      <w:r w:rsidR="001824B9">
        <w:rPr>
          <w:rFonts w:ascii="Times New Roman" w:eastAsia="Times New Roman" w:hAnsi="Times New Roman" w:cs="Times New Roman"/>
          <w:b/>
          <w:sz w:val="24"/>
          <w:szCs w:val="24"/>
          <w:lang w:eastAsia="bg-BG"/>
        </w:rPr>
        <w:t xml:space="preserve"> </w:t>
      </w:r>
      <w:r w:rsidR="001824B9" w:rsidRPr="00E47C41">
        <w:rPr>
          <w:rFonts w:ascii="Times New Roman" w:eastAsia="Times New Roman" w:hAnsi="Times New Roman" w:cs="Times New Roman"/>
          <w:b/>
          <w:sz w:val="24"/>
          <w:szCs w:val="24"/>
          <w:lang w:eastAsia="bg-BG"/>
        </w:rPr>
        <w:t>Тези процеси изискват интегриране на климатичните политики за адаптация във всички секторни стратегии, с особено внимание към здравния сектор, заради нарастващите рискове от топлинен стрес и влошаване на хронични заболявания.</w:t>
      </w:r>
    </w:p>
    <w:p w14:paraId="652FFE31"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Българското селско стопанство остава ключов гарант за продоволствената сигурност на страната, осигурявайки над 90% от вътрешното потребление на редица основни хранителни продукти.</w:t>
      </w:r>
    </w:p>
    <w:p w14:paraId="7D377F21"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През 2024 г. аграрният сектор бе изправен пред редица външни и вътрешни предизвикателства, свързани с климатични аномалии, болести по животните, нестабилни пазари и пожари.</w:t>
      </w:r>
    </w:p>
    <w:p w14:paraId="55151351"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 xml:space="preserve">Културното наследство на България остава </w:t>
      </w:r>
      <w:proofErr w:type="spellStart"/>
      <w:r w:rsidRPr="008E1D6D">
        <w:rPr>
          <w:rFonts w:ascii="Times New Roman" w:eastAsia="Times New Roman" w:hAnsi="Times New Roman" w:cs="Times New Roman"/>
          <w:b/>
          <w:sz w:val="24"/>
          <w:szCs w:val="24"/>
          <w:lang w:eastAsia="bg-BG"/>
        </w:rPr>
        <w:t>неразгърнат</w:t>
      </w:r>
      <w:proofErr w:type="spellEnd"/>
      <w:r w:rsidRPr="008E1D6D">
        <w:rPr>
          <w:rFonts w:ascii="Times New Roman" w:eastAsia="Times New Roman" w:hAnsi="Times New Roman" w:cs="Times New Roman"/>
          <w:b/>
          <w:sz w:val="24"/>
          <w:szCs w:val="24"/>
          <w:lang w:eastAsia="bg-BG"/>
        </w:rPr>
        <w:t xml:space="preserve"> ресурс в контекста на националната сигурност. То следва да се третира не само като обект на защита, но и като стратегически инструмент за изграждане на устойчиво, приобщено и информирано общество.</w:t>
      </w:r>
    </w:p>
    <w:p w14:paraId="2492EDDC"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Значителен риск за културното наследство произтича от иманярство, вандализъм, бедствия и недостиг на ресурси. Успоредно с това, липсата на нормативна уредба за защита на културните ценности при бедствия и въоръжен конфликт създава правен вакуум и стратегическа уязвимост.</w:t>
      </w:r>
    </w:p>
    <w:p w14:paraId="33BBC5D3"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България запази политическа приемственост и институционален фокус върху укрепването на отбранителните способности в условия на нарастваща международна нестабилност и съюзнически ангажименти.</w:t>
      </w:r>
    </w:p>
    <w:p w14:paraId="45A0EC45"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Продължи изпълнението на основните стратегически документи, с фокус върху превъоръжаване, модернизация и окомплектоване на въоръжените сили. Завършен бе Стратегическият преглед на отбранителната политика и разработена нова Национална отбранителна стратегия. Нивото на разходите за отбрана достигна 2% от БВП, но способностите на въоръжените сили остават ограничени, особено по линия на личния състав.</w:t>
      </w:r>
    </w:p>
    <w:p w14:paraId="4994EAE2" w14:textId="77777777" w:rsidR="005F49B3" w:rsidRPr="008E1D6D"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Критичният недостиг на личен състав и структурни дефицити продължават да ограничават оперативната ефективност, въпреки засилените инвестиции в модернизация и кадрова политика.</w:t>
      </w:r>
    </w:p>
    <w:p w14:paraId="7103B571" w14:textId="77777777" w:rsidR="005F49B3" w:rsidRDefault="005F49B3"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sidRPr="008E1D6D">
        <w:rPr>
          <w:rFonts w:ascii="Times New Roman" w:eastAsia="Times New Roman" w:hAnsi="Times New Roman" w:cs="Times New Roman"/>
          <w:b/>
          <w:sz w:val="24"/>
          <w:szCs w:val="24"/>
          <w:lang w:eastAsia="bg-BG"/>
        </w:rPr>
        <w:t>Превенцията на девиантно поведение, радикализация и употреба на допинг чрез младежки политики и спорт се утвърждава като форма на ранна реакция срещу вътрешни и асиметрични заплахи.</w:t>
      </w:r>
    </w:p>
    <w:p w14:paraId="3654ABFC" w14:textId="2118927F" w:rsidR="00024FE7" w:rsidRDefault="00024FE7" w:rsidP="00D6403A">
      <w:pPr>
        <w:numPr>
          <w:ilvl w:val="0"/>
          <w:numId w:val="48"/>
        </w:numPr>
        <w:spacing w:before="60" w:after="6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В резултат на направения анализ е оценено като целесъобразно</w:t>
      </w:r>
      <w:r w:rsidRPr="00024FE7">
        <w:rPr>
          <w:rFonts w:ascii="Times New Roman" w:eastAsia="Times New Roman" w:hAnsi="Times New Roman" w:cs="Times New Roman"/>
          <w:b/>
          <w:sz w:val="24"/>
          <w:szCs w:val="24"/>
          <w:lang w:eastAsia="bg-BG"/>
        </w:rPr>
        <w:t xml:space="preserve"> стартирането на процедура по из</w:t>
      </w:r>
      <w:r w:rsidR="00690B7E">
        <w:rPr>
          <w:rFonts w:ascii="Times New Roman" w:eastAsia="Times New Roman" w:hAnsi="Times New Roman" w:cs="Times New Roman"/>
          <w:b/>
          <w:sz w:val="24"/>
          <w:szCs w:val="24"/>
          <w:lang w:eastAsia="bg-BG"/>
        </w:rPr>
        <w:t>готвяне</w:t>
      </w:r>
      <w:r w:rsidRPr="00024FE7">
        <w:rPr>
          <w:rFonts w:ascii="Times New Roman" w:eastAsia="Times New Roman" w:hAnsi="Times New Roman" w:cs="Times New Roman"/>
          <w:b/>
          <w:sz w:val="24"/>
          <w:szCs w:val="24"/>
          <w:lang w:eastAsia="bg-BG"/>
        </w:rPr>
        <w:t xml:space="preserve"> на нова Стратегия за национална сигурност, като се използва вече наличната експертна и институционална база, отразена в </w:t>
      </w:r>
      <w:r w:rsidR="00690B7E">
        <w:rPr>
          <w:rFonts w:ascii="Times New Roman" w:eastAsia="Times New Roman" w:hAnsi="Times New Roman" w:cs="Times New Roman"/>
          <w:b/>
          <w:sz w:val="24"/>
          <w:szCs w:val="24"/>
          <w:lang w:eastAsia="bg-BG"/>
        </w:rPr>
        <w:t>Годишния доклад.</w:t>
      </w:r>
      <w:r w:rsidRPr="00024FE7">
        <w:rPr>
          <w:rFonts w:ascii="Times New Roman" w:eastAsia="Times New Roman" w:hAnsi="Times New Roman" w:cs="Times New Roman"/>
          <w:b/>
          <w:sz w:val="24"/>
          <w:szCs w:val="24"/>
          <w:lang w:eastAsia="bg-BG"/>
        </w:rPr>
        <w:t xml:space="preserve"> Това би позволило съкращаване на времевия хоризонт за стратегическо планиране, избягване на дублиране на усилия и по-бързо адаптиране на политиката към реалната и прогнозната среда </w:t>
      </w:r>
      <w:r w:rsidR="00690B7E">
        <w:rPr>
          <w:rFonts w:ascii="Times New Roman" w:eastAsia="Times New Roman" w:hAnsi="Times New Roman" w:cs="Times New Roman"/>
          <w:b/>
          <w:sz w:val="24"/>
          <w:szCs w:val="24"/>
          <w:lang w:eastAsia="bg-BG"/>
        </w:rPr>
        <w:t>н</w:t>
      </w:r>
      <w:r w:rsidRPr="00024FE7">
        <w:rPr>
          <w:rFonts w:ascii="Times New Roman" w:eastAsia="Times New Roman" w:hAnsi="Times New Roman" w:cs="Times New Roman"/>
          <w:b/>
          <w:sz w:val="24"/>
          <w:szCs w:val="24"/>
          <w:lang w:eastAsia="bg-BG"/>
        </w:rPr>
        <w:t>а сигурност.</w:t>
      </w:r>
    </w:p>
    <w:p w14:paraId="36705D08" w14:textId="0FADD66C" w:rsidR="00AF7C1D" w:rsidRPr="005F49B3" w:rsidRDefault="00AF7C1D" w:rsidP="00AF7C1D">
      <w:pP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br w:type="page"/>
      </w:r>
    </w:p>
    <w:p w14:paraId="6956A6CE" w14:textId="77777777" w:rsidR="006F001C" w:rsidRPr="00757AC6" w:rsidRDefault="005F49B3" w:rsidP="00D6403A">
      <w:pPr>
        <w:pStyle w:val="Heading1"/>
        <w:numPr>
          <w:ilvl w:val="0"/>
          <w:numId w:val="10"/>
        </w:numPr>
        <w:spacing w:line="360" w:lineRule="auto"/>
        <w:ind w:left="284" w:firstLine="0"/>
        <w:rPr>
          <w:rFonts w:ascii="Times New Roman" w:hAnsi="Times New Roman" w:cs="Times New Roman"/>
          <w:b/>
          <w:sz w:val="24"/>
          <w:szCs w:val="24"/>
        </w:rPr>
      </w:pPr>
      <w:r w:rsidRPr="00AF7C1D">
        <w:rPr>
          <w:rFonts w:ascii="Times New Roman" w:hAnsi="Times New Roman" w:cs="Times New Roman"/>
          <w:b/>
          <w:sz w:val="24"/>
          <w:szCs w:val="24"/>
        </w:rPr>
        <w:lastRenderedPageBreak/>
        <w:t xml:space="preserve"> </w:t>
      </w:r>
      <w:bookmarkStart w:id="2" w:name="_Toc208580365"/>
      <w:r w:rsidR="00DC3926" w:rsidRPr="00757AC6">
        <w:rPr>
          <w:rFonts w:ascii="Times New Roman" w:hAnsi="Times New Roman" w:cs="Times New Roman"/>
          <w:b/>
          <w:sz w:val="24"/>
          <w:szCs w:val="24"/>
        </w:rPr>
        <w:t>УВОД</w:t>
      </w:r>
      <w:bookmarkEnd w:id="2"/>
    </w:p>
    <w:p w14:paraId="3C4A18E2" w14:textId="6DEAE198" w:rsidR="0011510F" w:rsidRPr="005F49B3" w:rsidRDefault="0011510F"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 xml:space="preserve">В съответствие с чл. 9, т. 7 от Закона за управление и функциониране на системата за защита на националната сигурност, Съветът по сигурността ежегодно предлага на Министерския съвет проект на Годишен доклад за състоянието на националната сигурност. Докладът за 2024 г. е изготвен въз основа на приноси от </w:t>
      </w:r>
      <w:r w:rsidR="00A42D15">
        <w:rPr>
          <w:rFonts w:ascii="Times New Roman" w:hAnsi="Times New Roman" w:cs="Times New Roman"/>
          <w:sz w:val="24"/>
        </w:rPr>
        <w:t xml:space="preserve">над </w:t>
      </w:r>
      <w:r w:rsidRPr="005F49B3">
        <w:rPr>
          <w:rFonts w:ascii="Times New Roman" w:hAnsi="Times New Roman" w:cs="Times New Roman"/>
          <w:sz w:val="24"/>
        </w:rPr>
        <w:t xml:space="preserve">24 институции, преминали вътрешноведомствено съгласуване и обобщени от </w:t>
      </w:r>
      <w:r w:rsidR="00690B7E">
        <w:rPr>
          <w:rFonts w:ascii="Times New Roman" w:hAnsi="Times New Roman" w:cs="Times New Roman"/>
          <w:sz w:val="24"/>
        </w:rPr>
        <w:t>с</w:t>
      </w:r>
      <w:r w:rsidRPr="005F49B3">
        <w:rPr>
          <w:rFonts w:ascii="Times New Roman" w:hAnsi="Times New Roman" w:cs="Times New Roman"/>
          <w:sz w:val="24"/>
        </w:rPr>
        <w:t>екретариата на Съвета по сигурността след финално съгласуване с всички ангажирани институции.</w:t>
      </w:r>
    </w:p>
    <w:p w14:paraId="01A96D19" w14:textId="0E497E15" w:rsidR="0011510F" w:rsidRPr="005F49B3" w:rsidRDefault="0011510F"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 xml:space="preserve">Целият процес по интегриране на информацията и финализиране на документа е координиран от </w:t>
      </w:r>
      <w:r w:rsidR="00690B7E">
        <w:rPr>
          <w:rFonts w:ascii="Times New Roman" w:hAnsi="Times New Roman" w:cs="Times New Roman"/>
          <w:sz w:val="24"/>
        </w:rPr>
        <w:t>с</w:t>
      </w:r>
      <w:r w:rsidRPr="005F49B3">
        <w:rPr>
          <w:rFonts w:ascii="Times New Roman" w:hAnsi="Times New Roman" w:cs="Times New Roman"/>
          <w:sz w:val="24"/>
        </w:rPr>
        <w:t xml:space="preserve">екретариата на Съвета по сигурността. В рамките на тази роля </w:t>
      </w:r>
      <w:r w:rsidR="00690B7E">
        <w:rPr>
          <w:rFonts w:ascii="Times New Roman" w:hAnsi="Times New Roman" w:cs="Times New Roman"/>
          <w:sz w:val="24"/>
        </w:rPr>
        <w:t>с</w:t>
      </w:r>
      <w:r w:rsidRPr="005F49B3">
        <w:rPr>
          <w:rFonts w:ascii="Times New Roman" w:hAnsi="Times New Roman" w:cs="Times New Roman"/>
          <w:sz w:val="24"/>
        </w:rPr>
        <w:t>екретариатът не само окомплектова институционалните материали, но и извърши тяхната аналитична обработка, съпоставяне и редакционно обединяване в обща структура. Това позволява докладът да функционира не като сбор от отделни административни позиции, а като цялостен, последователен и стратегически ориентиран анализ на националната сигурност.</w:t>
      </w:r>
    </w:p>
    <w:p w14:paraId="5BCB0723" w14:textId="77777777" w:rsidR="0011510F" w:rsidRPr="005F49B3" w:rsidRDefault="0011510F"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Докладът има аналитичен характер и цели не просто да представи фактите и събитията от изминалата година, а да идентифицира първопричините за наблюдаваните процеси, техните проявления и възможните последици за националната сигурност. Анализът е насочен към ефективността на прилаганите политики, степента на реализиране на предприетите мерки и предизвикателствата пред институционалната среда. Акцент е поставен както върху съществуващите заплахи, така и върху възможностите за укрепване на устойчивостта и координацията в сектора за сигурност.</w:t>
      </w:r>
    </w:p>
    <w:p w14:paraId="16DDA641" w14:textId="77777777" w:rsidR="0011510F" w:rsidRPr="005F49B3" w:rsidRDefault="0011510F"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Докладът е структуриран в четири части: 1) Увод; 2) Външна среда на сигурност; 3) Вътрешна среда на сигурност; 4) Заключение. Съдържателно той е разделен на две основни тематични ядра: външна и вътрешна среда на сигурност, като всяка от тях разглежда конкретни рискови направления и политики за противодействие.</w:t>
      </w:r>
    </w:p>
    <w:p w14:paraId="503FD711" w14:textId="23B6EDDC" w:rsidR="0011510F" w:rsidRPr="005F49B3" w:rsidRDefault="0011510F"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 xml:space="preserve">„Външна среда на сигурност“ обхваща динамиката на глобалната и регионалната среда, със специален акцент върху </w:t>
      </w:r>
      <w:r w:rsidR="00113DB3">
        <w:rPr>
          <w:rFonts w:ascii="Times New Roman" w:hAnsi="Times New Roman" w:cs="Times New Roman"/>
          <w:sz w:val="24"/>
        </w:rPr>
        <w:t>войната</w:t>
      </w:r>
      <w:r w:rsidRPr="005F49B3">
        <w:rPr>
          <w:rFonts w:ascii="Times New Roman" w:hAnsi="Times New Roman" w:cs="Times New Roman"/>
          <w:sz w:val="24"/>
        </w:rPr>
        <w:t xml:space="preserve"> в Украйна и не</w:t>
      </w:r>
      <w:r w:rsidR="005C0FEC">
        <w:rPr>
          <w:rFonts w:ascii="Times New Roman" w:hAnsi="Times New Roman" w:cs="Times New Roman"/>
          <w:sz w:val="24"/>
        </w:rPr>
        <w:t>йно</w:t>
      </w:r>
      <w:r w:rsidRPr="005F49B3">
        <w:rPr>
          <w:rFonts w:ascii="Times New Roman" w:hAnsi="Times New Roman" w:cs="Times New Roman"/>
          <w:sz w:val="24"/>
        </w:rPr>
        <w:t xml:space="preserve">то въздействие върху европейската сигурност, дейността на НАТО и </w:t>
      </w:r>
      <w:r w:rsidR="00AE3D51" w:rsidRPr="005F49B3">
        <w:rPr>
          <w:rFonts w:ascii="Times New Roman" w:hAnsi="Times New Roman" w:cs="Times New Roman"/>
          <w:sz w:val="24"/>
        </w:rPr>
        <w:t xml:space="preserve">Европейския съюз </w:t>
      </w:r>
      <w:r w:rsidR="00AE3D51" w:rsidRPr="005F49B3">
        <w:rPr>
          <w:rFonts w:ascii="Times New Roman" w:hAnsi="Times New Roman" w:cs="Times New Roman"/>
          <w:sz w:val="24"/>
          <w:lang w:val="en-US"/>
        </w:rPr>
        <w:t>(</w:t>
      </w:r>
      <w:r w:rsidRPr="005F49B3">
        <w:rPr>
          <w:rFonts w:ascii="Times New Roman" w:hAnsi="Times New Roman" w:cs="Times New Roman"/>
          <w:sz w:val="24"/>
        </w:rPr>
        <w:t>ЕС</w:t>
      </w:r>
      <w:r w:rsidR="00AE3D51" w:rsidRPr="005F49B3">
        <w:rPr>
          <w:rFonts w:ascii="Times New Roman" w:hAnsi="Times New Roman" w:cs="Times New Roman"/>
          <w:sz w:val="24"/>
          <w:lang w:val="en-US"/>
        </w:rPr>
        <w:t>)</w:t>
      </w:r>
      <w:r w:rsidRPr="005F49B3">
        <w:rPr>
          <w:rFonts w:ascii="Times New Roman" w:hAnsi="Times New Roman" w:cs="Times New Roman"/>
          <w:sz w:val="24"/>
        </w:rPr>
        <w:t xml:space="preserve">, международното сътрудничество, геоикономическите процеси, тероризма, както и енергийната сигурност. Проследява се и отражението на стратегическите конкуренции върху България, включително през призмата на хибридните заплахи и влиянието на нестабилността в близки географски зони като Западните Балкани, </w:t>
      </w:r>
      <w:r w:rsidR="00AE3D51" w:rsidRPr="005F49B3">
        <w:rPr>
          <w:rFonts w:ascii="Times New Roman" w:hAnsi="Times New Roman" w:cs="Times New Roman"/>
          <w:sz w:val="24"/>
        </w:rPr>
        <w:t xml:space="preserve">Черноморския регион, както и </w:t>
      </w:r>
      <w:r w:rsidRPr="005F49B3">
        <w:rPr>
          <w:rFonts w:ascii="Times New Roman" w:hAnsi="Times New Roman" w:cs="Times New Roman"/>
          <w:sz w:val="24"/>
        </w:rPr>
        <w:t>Близкия изток и</w:t>
      </w:r>
      <w:r w:rsidR="00AE3D51" w:rsidRPr="005F49B3">
        <w:rPr>
          <w:rFonts w:ascii="Times New Roman" w:hAnsi="Times New Roman" w:cs="Times New Roman"/>
          <w:sz w:val="24"/>
        </w:rPr>
        <w:t xml:space="preserve"> Северна Африка </w:t>
      </w:r>
      <w:r w:rsidR="00AE3D51" w:rsidRPr="005F49B3">
        <w:rPr>
          <w:rFonts w:ascii="Times New Roman" w:hAnsi="Times New Roman" w:cs="Times New Roman"/>
          <w:sz w:val="24"/>
          <w:lang w:val="en-US"/>
        </w:rPr>
        <w:t>(</w:t>
      </w:r>
      <w:r w:rsidR="00AE3D51" w:rsidRPr="005F49B3">
        <w:rPr>
          <w:rFonts w:ascii="Times New Roman" w:hAnsi="Times New Roman" w:cs="Times New Roman"/>
          <w:sz w:val="24"/>
        </w:rPr>
        <w:t>БИСА</w:t>
      </w:r>
      <w:r w:rsidR="00AE3D51" w:rsidRPr="005F49B3">
        <w:rPr>
          <w:rFonts w:ascii="Times New Roman" w:hAnsi="Times New Roman" w:cs="Times New Roman"/>
          <w:sz w:val="24"/>
          <w:lang w:val="en-US"/>
        </w:rPr>
        <w:t>)</w:t>
      </w:r>
      <w:r w:rsidRPr="005F49B3">
        <w:rPr>
          <w:rFonts w:ascii="Times New Roman" w:hAnsi="Times New Roman" w:cs="Times New Roman"/>
          <w:sz w:val="24"/>
        </w:rPr>
        <w:t>.</w:t>
      </w:r>
    </w:p>
    <w:p w14:paraId="3C2A7DA5" w14:textId="77777777" w:rsidR="0011510F" w:rsidRPr="005F49B3" w:rsidRDefault="0011510F"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„Вътрешна среда на сигурност“ предоставя систематизиран анализ на факторите, въздействащи върху вътрешната стабилност и устойчивост на Република България. Обхванати са направления като обществен ред и престъпност, демографски предизвикателства, икономическа и финансова сигурност, критична инфраструктура, отбранителни способности, здравна, екологична и продоволствена сигурност, както и транспортна и енергийна устойчивост. Докладът обръща внимание и на дългосрочната кадрова и институционална устойчивост в сектора за сигурност, включително в контекста на стратегическо управление на човешкия ресурс.</w:t>
      </w:r>
    </w:p>
    <w:p w14:paraId="4522EDF2" w14:textId="77777777" w:rsidR="00996355" w:rsidRDefault="0011510F"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lastRenderedPageBreak/>
        <w:t>Основната цел на Доклада е да представи пред широката общественост и пред държавните органи оценките на изпълнителната власт за състоянието на националната сигурност през 2024 г., както и за мерките, които се предвиждат за реализиране през следващия период. Докладът функционира като инструмент за стратегическа ориентация, прозрачност и отчетност, чрез който се цели подпомагане на информираното вземане на решения и повишаване на устойчивостта на Република България в условията на комплексна и многопластова рискова среда.</w:t>
      </w:r>
    </w:p>
    <w:p w14:paraId="1DC036AE" w14:textId="54BA3DF3" w:rsidR="00AF7C1D" w:rsidRPr="005F49B3" w:rsidRDefault="00AF7C1D" w:rsidP="00AF7C1D">
      <w:pPr>
        <w:rPr>
          <w:rFonts w:ascii="Times New Roman" w:hAnsi="Times New Roman" w:cs="Times New Roman"/>
          <w:sz w:val="24"/>
        </w:rPr>
      </w:pPr>
      <w:r>
        <w:rPr>
          <w:rFonts w:ascii="Times New Roman" w:hAnsi="Times New Roman" w:cs="Times New Roman"/>
          <w:sz w:val="24"/>
        </w:rPr>
        <w:br w:type="page"/>
      </w:r>
    </w:p>
    <w:p w14:paraId="680F2FEF" w14:textId="77777777" w:rsidR="00957D3B" w:rsidRPr="00757AC6" w:rsidRDefault="00E440EA" w:rsidP="00D6403A">
      <w:pPr>
        <w:pStyle w:val="Heading1"/>
        <w:numPr>
          <w:ilvl w:val="0"/>
          <w:numId w:val="10"/>
        </w:numPr>
        <w:spacing w:line="360" w:lineRule="auto"/>
        <w:ind w:left="284" w:firstLine="0"/>
        <w:rPr>
          <w:rFonts w:ascii="Times New Roman" w:hAnsi="Times New Roman" w:cs="Times New Roman"/>
          <w:b/>
          <w:sz w:val="24"/>
          <w:szCs w:val="24"/>
        </w:rPr>
      </w:pPr>
      <w:bookmarkStart w:id="3" w:name="_Toc135043857"/>
      <w:bookmarkStart w:id="4" w:name="_Toc136342484"/>
      <w:r w:rsidRPr="00757AC6">
        <w:rPr>
          <w:rFonts w:ascii="Times New Roman" w:hAnsi="Times New Roman" w:cs="Times New Roman"/>
          <w:b/>
          <w:sz w:val="24"/>
          <w:szCs w:val="24"/>
        </w:rPr>
        <w:lastRenderedPageBreak/>
        <w:t xml:space="preserve"> </w:t>
      </w:r>
      <w:bookmarkStart w:id="5" w:name="_Toc208580366"/>
      <w:bookmarkEnd w:id="3"/>
      <w:bookmarkEnd w:id="4"/>
      <w:r w:rsidRPr="00757AC6">
        <w:rPr>
          <w:rFonts w:ascii="Times New Roman" w:hAnsi="Times New Roman" w:cs="Times New Roman"/>
          <w:b/>
          <w:sz w:val="24"/>
          <w:szCs w:val="24"/>
        </w:rPr>
        <w:t>ВЪНШНА СРЕДА НА СИГУРНОСТ</w:t>
      </w:r>
      <w:bookmarkEnd w:id="5"/>
    </w:p>
    <w:p w14:paraId="29AEC78E" w14:textId="77777777" w:rsidR="00957D3B" w:rsidRPr="00757AC6" w:rsidRDefault="00957D3B" w:rsidP="00D6403A">
      <w:pPr>
        <w:pStyle w:val="Heading2"/>
        <w:numPr>
          <w:ilvl w:val="0"/>
          <w:numId w:val="11"/>
        </w:numPr>
        <w:spacing w:line="360" w:lineRule="auto"/>
        <w:ind w:left="1134" w:hanging="283"/>
        <w:rPr>
          <w:rFonts w:ascii="Times New Roman" w:hAnsi="Times New Roman" w:cs="Times New Roman"/>
          <w:b/>
          <w:sz w:val="24"/>
          <w:szCs w:val="24"/>
        </w:rPr>
      </w:pPr>
      <w:bookmarkStart w:id="6" w:name="_Toc135043858"/>
      <w:bookmarkStart w:id="7" w:name="_Toc136342485"/>
      <w:bookmarkStart w:id="8" w:name="_Toc208580367"/>
      <w:r w:rsidRPr="00757AC6">
        <w:rPr>
          <w:rFonts w:ascii="Times New Roman" w:hAnsi="Times New Roman" w:cs="Times New Roman"/>
          <w:b/>
          <w:sz w:val="24"/>
          <w:szCs w:val="24"/>
        </w:rPr>
        <w:t>Увод</w:t>
      </w:r>
      <w:bookmarkEnd w:id="6"/>
      <w:bookmarkEnd w:id="7"/>
      <w:bookmarkEnd w:id="8"/>
    </w:p>
    <w:p w14:paraId="4826C6CD" w14:textId="00A0B78E" w:rsidR="00113DB3" w:rsidRDefault="002B3683"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 xml:space="preserve">През 2024 г. външната среда на сигурност на Република България се характеризираше с висока степен на нестабилност, усложнена от продължаващото милитаризиране на международните отношения, отслабването на </w:t>
      </w:r>
      <w:proofErr w:type="spellStart"/>
      <w:r w:rsidRPr="005F49B3">
        <w:rPr>
          <w:rFonts w:ascii="Times New Roman" w:hAnsi="Times New Roman" w:cs="Times New Roman"/>
          <w:sz w:val="24"/>
        </w:rPr>
        <w:t>правнообвързващите</w:t>
      </w:r>
      <w:proofErr w:type="spellEnd"/>
      <w:r w:rsidRPr="005F49B3">
        <w:rPr>
          <w:rFonts w:ascii="Times New Roman" w:hAnsi="Times New Roman" w:cs="Times New Roman"/>
          <w:sz w:val="24"/>
        </w:rPr>
        <w:t xml:space="preserve"> режими за контрол на въоръженията и задълбочаващата се конфронтация между глобалните центрове на власт. Опитите за преформатиране на международния ред, ръководени от авторитарни сили, все по-често включват използване на въоръжена сила, хибриден натиск и манипулация на обществените нагласи чрез информационни и кибероперации. В този контекст </w:t>
      </w:r>
      <w:r w:rsidR="00AE3D51" w:rsidRPr="005F49B3">
        <w:rPr>
          <w:rFonts w:ascii="Times New Roman" w:hAnsi="Times New Roman" w:cs="Times New Roman"/>
          <w:sz w:val="24"/>
        </w:rPr>
        <w:t xml:space="preserve">Руската федерация </w:t>
      </w:r>
      <w:r w:rsidR="00AE3D51" w:rsidRPr="005F49B3">
        <w:rPr>
          <w:rFonts w:ascii="Times New Roman" w:hAnsi="Times New Roman" w:cs="Times New Roman"/>
          <w:sz w:val="24"/>
          <w:lang w:val="en-US"/>
        </w:rPr>
        <w:t>(</w:t>
      </w:r>
      <w:r w:rsidR="00AE3D51" w:rsidRPr="005F49B3">
        <w:rPr>
          <w:rFonts w:ascii="Times New Roman" w:hAnsi="Times New Roman" w:cs="Times New Roman"/>
          <w:sz w:val="24"/>
        </w:rPr>
        <w:t>РФ</w:t>
      </w:r>
      <w:r w:rsidR="00AE3D51" w:rsidRPr="005F49B3">
        <w:rPr>
          <w:rFonts w:ascii="Times New Roman" w:hAnsi="Times New Roman" w:cs="Times New Roman"/>
          <w:sz w:val="24"/>
          <w:lang w:val="en-US"/>
        </w:rPr>
        <w:t>)</w:t>
      </w:r>
      <w:r w:rsidRPr="005F49B3">
        <w:rPr>
          <w:rFonts w:ascii="Times New Roman" w:hAnsi="Times New Roman" w:cs="Times New Roman"/>
          <w:sz w:val="24"/>
        </w:rPr>
        <w:t xml:space="preserve"> остава основният дестабилизиращ фактор в Европа и Черноморския регион, а Китай </w:t>
      </w:r>
      <w:r w:rsidR="00113DB3">
        <w:rPr>
          <w:rFonts w:ascii="Times New Roman" w:hAnsi="Times New Roman" w:cs="Times New Roman"/>
          <w:sz w:val="24"/>
        </w:rPr>
        <w:t xml:space="preserve">продължава да се позиционира като системно предизвикателство за евроатлантическата сигурност със своите настъпателни действия и политики на принуда, целящи проекция на сила. </w:t>
      </w:r>
    </w:p>
    <w:p w14:paraId="423292EB" w14:textId="39D9C0D2" w:rsidR="002B3683" w:rsidRPr="005F49B3" w:rsidRDefault="00113DB3" w:rsidP="00891E30">
      <w:pPr>
        <w:spacing w:after="120" w:line="276" w:lineRule="auto"/>
        <w:ind w:firstLine="851"/>
        <w:jc w:val="both"/>
        <w:rPr>
          <w:rFonts w:ascii="Times New Roman" w:hAnsi="Times New Roman" w:cs="Times New Roman"/>
          <w:sz w:val="24"/>
        </w:rPr>
      </w:pPr>
      <w:r>
        <w:rPr>
          <w:rFonts w:ascii="Times New Roman" w:hAnsi="Times New Roman" w:cs="Times New Roman"/>
          <w:sz w:val="24"/>
        </w:rPr>
        <w:t xml:space="preserve">Водената от РФ война срещу </w:t>
      </w:r>
      <w:r w:rsidR="002B3683" w:rsidRPr="005F49B3">
        <w:rPr>
          <w:rFonts w:ascii="Times New Roman" w:hAnsi="Times New Roman" w:cs="Times New Roman"/>
          <w:sz w:val="24"/>
        </w:rPr>
        <w:t xml:space="preserve">Украйна продължи да бъде водещият фактор, формиращ средата на сигурност </w:t>
      </w:r>
      <w:r>
        <w:rPr>
          <w:rFonts w:ascii="Times New Roman" w:hAnsi="Times New Roman" w:cs="Times New Roman"/>
          <w:sz w:val="24"/>
        </w:rPr>
        <w:t xml:space="preserve">не само </w:t>
      </w:r>
      <w:r w:rsidR="002B3683" w:rsidRPr="005F49B3">
        <w:rPr>
          <w:rFonts w:ascii="Times New Roman" w:hAnsi="Times New Roman" w:cs="Times New Roman"/>
          <w:sz w:val="24"/>
        </w:rPr>
        <w:t xml:space="preserve">в непосредствена близост до България, </w:t>
      </w:r>
      <w:r>
        <w:rPr>
          <w:rFonts w:ascii="Times New Roman" w:hAnsi="Times New Roman" w:cs="Times New Roman"/>
          <w:sz w:val="24"/>
        </w:rPr>
        <w:t xml:space="preserve">но и в глобален мащаб </w:t>
      </w:r>
      <w:r>
        <w:rPr>
          <w:rFonts w:ascii="Times New Roman" w:hAnsi="Times New Roman" w:cs="Times New Roman"/>
          <w:sz w:val="24"/>
          <w:lang w:val="en-US"/>
        </w:rPr>
        <w:t>(</w:t>
      </w:r>
      <w:r>
        <w:rPr>
          <w:rFonts w:ascii="Times New Roman" w:hAnsi="Times New Roman" w:cs="Times New Roman"/>
          <w:sz w:val="24"/>
        </w:rPr>
        <w:t xml:space="preserve">активното участие на Северна Корея с военнослужещи, материални средства, въоръжение, а също </w:t>
      </w:r>
      <w:r w:rsidR="005C0FEC" w:rsidRPr="005C0FEC">
        <w:rPr>
          <w:rFonts w:ascii="Times New Roman" w:hAnsi="Times New Roman" w:cs="Times New Roman"/>
          <w:sz w:val="24"/>
        </w:rPr>
        <w:t xml:space="preserve">и </w:t>
      </w:r>
      <w:r>
        <w:rPr>
          <w:rFonts w:ascii="Times New Roman" w:hAnsi="Times New Roman" w:cs="Times New Roman"/>
          <w:sz w:val="24"/>
        </w:rPr>
        <w:t xml:space="preserve">работна ръка за руската икономика, военното сътрудничество с Иран, внимателната, но много съществена </w:t>
      </w:r>
      <w:r w:rsidR="005C0FEC">
        <w:rPr>
          <w:rFonts w:ascii="Times New Roman" w:hAnsi="Times New Roman" w:cs="Times New Roman"/>
          <w:sz w:val="24"/>
        </w:rPr>
        <w:t>к</w:t>
      </w:r>
      <w:r>
        <w:rPr>
          <w:rFonts w:ascii="Times New Roman" w:hAnsi="Times New Roman" w:cs="Times New Roman"/>
          <w:sz w:val="24"/>
        </w:rPr>
        <w:t>итайска подкрепа за руските военни усилия, достигащи нива, без които РФ не би могла да продължава агресията без наличието на китайска помощ</w:t>
      </w:r>
      <w:r>
        <w:rPr>
          <w:rFonts w:ascii="Times New Roman" w:hAnsi="Times New Roman" w:cs="Times New Roman"/>
          <w:sz w:val="24"/>
          <w:lang w:val="en-US"/>
        </w:rPr>
        <w:t>)</w:t>
      </w:r>
      <w:r>
        <w:rPr>
          <w:rFonts w:ascii="Times New Roman" w:hAnsi="Times New Roman" w:cs="Times New Roman"/>
          <w:sz w:val="24"/>
        </w:rPr>
        <w:t>,</w:t>
      </w:r>
      <w:r>
        <w:rPr>
          <w:rFonts w:ascii="Times New Roman" w:hAnsi="Times New Roman" w:cs="Times New Roman"/>
          <w:sz w:val="24"/>
          <w:lang w:val="en-US"/>
        </w:rPr>
        <w:t xml:space="preserve"> </w:t>
      </w:r>
      <w:r w:rsidR="002B3683" w:rsidRPr="005F49B3">
        <w:rPr>
          <w:rFonts w:ascii="Times New Roman" w:hAnsi="Times New Roman" w:cs="Times New Roman"/>
          <w:sz w:val="24"/>
        </w:rPr>
        <w:t xml:space="preserve">включително чрез генериране на рискове от ескалация, ядрено възпиране, дестабилизация на енергийни маршрути и подривна дейност срещу критична инфраструктура. Паралелно с това в регионите на </w:t>
      </w:r>
      <w:r w:rsidR="00AE3D51" w:rsidRPr="005F49B3">
        <w:rPr>
          <w:rFonts w:ascii="Times New Roman" w:hAnsi="Times New Roman" w:cs="Times New Roman"/>
          <w:sz w:val="24"/>
        </w:rPr>
        <w:t>БИСА</w:t>
      </w:r>
      <w:r w:rsidR="002B3683" w:rsidRPr="005F49B3">
        <w:rPr>
          <w:rFonts w:ascii="Times New Roman" w:hAnsi="Times New Roman" w:cs="Times New Roman"/>
          <w:sz w:val="24"/>
        </w:rPr>
        <w:t xml:space="preserve"> и Азия се наблюдаваше устойчиво нарастване на рискове, свързани с тероризъм, миграционен натиск, политическа фрагментация и икономическа уязвимост. Глобалните логистични и енергийни мрежи бяха обект на атаки и прекъсвания, което повлия пряко върху сигурността на доставки</w:t>
      </w:r>
      <w:r w:rsidR="005C0FEC">
        <w:rPr>
          <w:rFonts w:ascii="Times New Roman" w:hAnsi="Times New Roman" w:cs="Times New Roman"/>
          <w:sz w:val="24"/>
        </w:rPr>
        <w:t>те</w:t>
      </w:r>
      <w:r w:rsidR="002B3683" w:rsidRPr="005F49B3">
        <w:rPr>
          <w:rFonts w:ascii="Times New Roman" w:hAnsi="Times New Roman" w:cs="Times New Roman"/>
          <w:sz w:val="24"/>
        </w:rPr>
        <w:t xml:space="preserve"> и доверието в международния ред.</w:t>
      </w:r>
    </w:p>
    <w:p w14:paraId="293B1AB0" w14:textId="77777777" w:rsidR="002B3683" w:rsidRPr="005F49B3" w:rsidRDefault="002B3683"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През годината се засилиха тенденциите за използване на кибероперации, дезинформация, саботажи и диверсии като част от инструментариума на държавни и недържавни актьори. Европейските съюзници и институции, включително Република България, бяха изложени на целенасочени хибридни въздействия с потенциал да подкопаят социалната кохезия, общественото доверие в институциите и способността за стратегическо вземане на решения. Значително нараснаха и трансграничните предизвикателства, свързани с технологичната и енергийна зависимост, сигурността на морските маршрути и регионалната конкуренция за ресурси и влияние.</w:t>
      </w:r>
    </w:p>
    <w:p w14:paraId="5B7B9931" w14:textId="77777777" w:rsidR="00337D0D" w:rsidRPr="005F49B3" w:rsidRDefault="002B3683"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rPr>
        <w:t xml:space="preserve">Въз основа на стратегическа оценка, глава „Външна среда на сигурност“ е структурирана така, че да отчита интензитета на заплахите през 2024 г., техния потенциал за дестабилизация в средносрочен план и въздействието им върху съюзническите ангажименти на България в рамките на ЕС и НАТО. Подредбата следва принципа на интегрирана оценка на риска, като разгръща анализ върху ключови географски и функционални направления – от руската агресия и динамиката в Югоизточна Европа, през състоянието на международния тероризъм и киберсигурността, до стратегическите амбиции на Китай, нестабилността в Близкия </w:t>
      </w:r>
      <w:r w:rsidRPr="005F49B3">
        <w:rPr>
          <w:rFonts w:ascii="Times New Roman" w:hAnsi="Times New Roman" w:cs="Times New Roman"/>
          <w:sz w:val="24"/>
        </w:rPr>
        <w:lastRenderedPageBreak/>
        <w:t>изток и Африка и глобалната трансформация на енергийните и икономически зависимости.</w:t>
      </w:r>
    </w:p>
    <w:p w14:paraId="2FB0E30A" w14:textId="77777777" w:rsidR="00E0395C" w:rsidRPr="00757AC6" w:rsidRDefault="002B3683" w:rsidP="00D6403A">
      <w:pPr>
        <w:pStyle w:val="Heading2"/>
        <w:numPr>
          <w:ilvl w:val="0"/>
          <w:numId w:val="11"/>
        </w:numPr>
        <w:spacing w:after="120"/>
        <w:ind w:left="1134" w:hanging="283"/>
        <w:rPr>
          <w:rFonts w:ascii="Times New Roman" w:hAnsi="Times New Roman" w:cs="Times New Roman"/>
          <w:b/>
          <w:sz w:val="24"/>
          <w:szCs w:val="24"/>
        </w:rPr>
      </w:pPr>
      <w:bookmarkStart w:id="9" w:name="_Toc208580368"/>
      <w:r w:rsidRPr="00757AC6">
        <w:rPr>
          <w:rFonts w:ascii="Times New Roman" w:hAnsi="Times New Roman" w:cs="Times New Roman"/>
          <w:b/>
          <w:sz w:val="24"/>
          <w:szCs w:val="24"/>
        </w:rPr>
        <w:t>Рискове, мерки и препоръки</w:t>
      </w:r>
      <w:bookmarkEnd w:id="9"/>
    </w:p>
    <w:p w14:paraId="3002C23D" w14:textId="37EB5CEB" w:rsidR="002B3683" w:rsidRPr="005F49B3" w:rsidRDefault="002B3683"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 xml:space="preserve">През 2024 г. Република България беше изложена на повишени външни рискове, произтичащи от системната ерозия на международната правна рамка, глобалната конфронтация между авторитарни и демократични режими и нарастващото използване на хибридни инструменти. Водещ риск остава високата интензивност на руската </w:t>
      </w:r>
      <w:r w:rsidR="00113DB3">
        <w:rPr>
          <w:rFonts w:ascii="Times New Roman" w:hAnsi="Times New Roman" w:cs="Times New Roman"/>
          <w:sz w:val="24"/>
        </w:rPr>
        <w:t xml:space="preserve">военна </w:t>
      </w:r>
      <w:r w:rsidRPr="005F49B3">
        <w:rPr>
          <w:rFonts w:ascii="Times New Roman" w:hAnsi="Times New Roman" w:cs="Times New Roman"/>
          <w:sz w:val="24"/>
        </w:rPr>
        <w:t>агресия срещу Украйна, която продължава да дестабилизира Черноморския регион, поставя под заплаха сигурността на морските маршрути и генерира възможности за въвличане на трети държави чрез директна или асиметрична ескалация.</w:t>
      </w:r>
    </w:p>
    <w:p w14:paraId="74E25C33" w14:textId="77777777" w:rsidR="002B3683" w:rsidRPr="005F49B3" w:rsidRDefault="002B3683"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 xml:space="preserve">Засилва се заплахата от подривна дейност срещу критична инфраструктура, включително кибероперации, саботажи, информационни кампании и диверсии, насочени към подкопаване на общественото доверие и политическата стабилност. Устойчиви източници на риск са нестабилността в </w:t>
      </w:r>
      <w:r w:rsidR="00AE3D51" w:rsidRPr="005F49B3">
        <w:rPr>
          <w:rFonts w:ascii="Times New Roman" w:hAnsi="Times New Roman" w:cs="Times New Roman"/>
          <w:sz w:val="24"/>
        </w:rPr>
        <w:t>БИСА</w:t>
      </w:r>
      <w:r w:rsidRPr="005F49B3">
        <w:rPr>
          <w:rFonts w:ascii="Times New Roman" w:hAnsi="Times New Roman" w:cs="Times New Roman"/>
          <w:sz w:val="24"/>
        </w:rPr>
        <w:t xml:space="preserve">, терористичните мрежи и инфилтрацията на екстремистки елементи в миграционните потоци. Присъствието на </w:t>
      </w:r>
      <w:r w:rsidR="00AE3D51" w:rsidRPr="005F49B3">
        <w:rPr>
          <w:rFonts w:ascii="Times New Roman" w:hAnsi="Times New Roman" w:cs="Times New Roman"/>
          <w:sz w:val="24"/>
        </w:rPr>
        <w:t>РФ</w:t>
      </w:r>
      <w:r w:rsidRPr="005F49B3">
        <w:rPr>
          <w:rFonts w:ascii="Times New Roman" w:hAnsi="Times New Roman" w:cs="Times New Roman"/>
          <w:sz w:val="24"/>
        </w:rPr>
        <w:t xml:space="preserve"> и Китай в Западните Балкани, Южен Кавказ и Централна Азия, съчетано с активна пропаганда и икономическо влияние, увеличава риска от външен натиск върху съседни държави и стратегическа уязвимост на България.</w:t>
      </w:r>
    </w:p>
    <w:p w14:paraId="2AF7F9A7" w14:textId="3D4847EA" w:rsidR="002B3683" w:rsidRDefault="002B3683" w:rsidP="00891E30">
      <w:pPr>
        <w:spacing w:after="120" w:line="276" w:lineRule="auto"/>
        <w:ind w:firstLine="851"/>
        <w:jc w:val="both"/>
        <w:rPr>
          <w:rFonts w:ascii="Times New Roman" w:hAnsi="Times New Roman" w:cs="Times New Roman"/>
          <w:sz w:val="24"/>
        </w:rPr>
      </w:pPr>
      <w:r w:rsidRPr="005F49B3">
        <w:rPr>
          <w:rFonts w:ascii="Times New Roman" w:hAnsi="Times New Roman" w:cs="Times New Roman"/>
          <w:sz w:val="24"/>
        </w:rPr>
        <w:t xml:space="preserve">В глобален мащаб се задълбочава тенденцията към прекъсване и политизиране на логистичните и енергийните вериги, което води до структурни зависимости, ценова нестабилност и ограничени възможности за предвидимо планиране. Всичко това се случва в контекста на ерозиращи механизми за </w:t>
      </w:r>
      <w:r w:rsidR="00B11B95" w:rsidRPr="005F49B3">
        <w:rPr>
          <w:rFonts w:ascii="Times New Roman" w:hAnsi="Times New Roman" w:cs="Times New Roman"/>
          <w:sz w:val="24"/>
        </w:rPr>
        <w:t>деескалация</w:t>
      </w:r>
      <w:r w:rsidRPr="005F49B3">
        <w:rPr>
          <w:rFonts w:ascii="Times New Roman" w:hAnsi="Times New Roman" w:cs="Times New Roman"/>
          <w:sz w:val="24"/>
        </w:rPr>
        <w:t>, нарастваща милитаризация и отслабена ефективност на международните организации.</w:t>
      </w:r>
    </w:p>
    <w:p w14:paraId="7EE17E4A" w14:textId="30431529" w:rsidR="006B237A" w:rsidRPr="005F49B3" w:rsidRDefault="006B237A" w:rsidP="00891E30">
      <w:pPr>
        <w:spacing w:after="120" w:line="276" w:lineRule="auto"/>
        <w:ind w:firstLine="851"/>
        <w:jc w:val="both"/>
        <w:rPr>
          <w:rFonts w:ascii="Times New Roman" w:hAnsi="Times New Roman" w:cs="Times New Roman"/>
          <w:sz w:val="24"/>
        </w:rPr>
      </w:pPr>
      <w:r w:rsidRPr="006B237A">
        <w:rPr>
          <w:rFonts w:ascii="Times New Roman" w:hAnsi="Times New Roman" w:cs="Times New Roman"/>
          <w:sz w:val="24"/>
        </w:rPr>
        <w:t>Изключително сложната геополитическа среда</w:t>
      </w:r>
      <w:r>
        <w:rPr>
          <w:rFonts w:ascii="Times New Roman" w:hAnsi="Times New Roman" w:cs="Times New Roman"/>
          <w:sz w:val="24"/>
        </w:rPr>
        <w:t xml:space="preserve"> </w:t>
      </w:r>
      <w:r w:rsidRPr="006B237A">
        <w:rPr>
          <w:rFonts w:ascii="Times New Roman" w:hAnsi="Times New Roman" w:cs="Times New Roman"/>
          <w:sz w:val="24"/>
        </w:rPr>
        <w:t xml:space="preserve">налага </w:t>
      </w:r>
      <w:r>
        <w:rPr>
          <w:rFonts w:ascii="Times New Roman" w:hAnsi="Times New Roman" w:cs="Times New Roman"/>
          <w:sz w:val="24"/>
        </w:rPr>
        <w:t>извода относно</w:t>
      </w:r>
      <w:r w:rsidRPr="006B237A">
        <w:rPr>
          <w:rFonts w:ascii="Times New Roman" w:hAnsi="Times New Roman" w:cs="Times New Roman"/>
          <w:sz w:val="24"/>
        </w:rPr>
        <w:t xml:space="preserve"> необходимостта от допълнително укрепване, ресурсно и кадрово обезпечаване на Дипломатическата служба и специализираните структури, като важен елемент от системата за национална сигурност.  </w:t>
      </w:r>
    </w:p>
    <w:p w14:paraId="06314F84" w14:textId="77777777" w:rsidR="00A75466" w:rsidRPr="00757AC6" w:rsidRDefault="008F28E7" w:rsidP="00D6403A">
      <w:pPr>
        <w:pStyle w:val="Heading3"/>
        <w:numPr>
          <w:ilvl w:val="0"/>
          <w:numId w:val="12"/>
        </w:numPr>
        <w:spacing w:line="276" w:lineRule="auto"/>
        <w:rPr>
          <w:rFonts w:ascii="Times New Roman" w:hAnsi="Times New Roman" w:cs="Times New Roman"/>
          <w:b/>
          <w:color w:val="1F4E79" w:themeColor="accent1" w:themeShade="80"/>
          <w:lang w:val="en-US"/>
        </w:rPr>
      </w:pPr>
      <w:bookmarkStart w:id="10" w:name="_Toc208580369"/>
      <w:r w:rsidRPr="00757AC6">
        <w:rPr>
          <w:rFonts w:ascii="Times New Roman" w:hAnsi="Times New Roman" w:cs="Times New Roman"/>
          <w:b/>
          <w:color w:val="1F4E79" w:themeColor="accent1" w:themeShade="80"/>
        </w:rPr>
        <w:t>Глобални и регионални заплахи: геополитическа конкуренция и нестабилност</w:t>
      </w:r>
      <w:bookmarkEnd w:id="10"/>
    </w:p>
    <w:p w14:paraId="69A6565E" w14:textId="77777777" w:rsidR="00113DB3" w:rsidRPr="00B57087" w:rsidRDefault="00113DB3" w:rsidP="00113DB3">
      <w:pPr>
        <w:pStyle w:val="ListParagraph"/>
        <w:numPr>
          <w:ilvl w:val="0"/>
          <w:numId w:val="29"/>
        </w:numPr>
        <w:spacing w:after="120" w:line="276" w:lineRule="auto"/>
        <w:ind w:left="714" w:hanging="357"/>
        <w:jc w:val="both"/>
        <w:rPr>
          <w:rFonts w:ascii="Times New Roman" w:hAnsi="Times New Roman" w:cs="Times New Roman"/>
          <w:b/>
          <w:sz w:val="24"/>
          <w:szCs w:val="24"/>
        </w:rPr>
      </w:pPr>
      <w:bookmarkStart w:id="11" w:name="_Toc136342497"/>
      <w:r w:rsidRPr="005F49B3">
        <w:rPr>
          <w:rFonts w:ascii="Times New Roman" w:hAnsi="Times New Roman" w:cs="Times New Roman"/>
          <w:b/>
          <w:sz w:val="24"/>
          <w:szCs w:val="24"/>
        </w:rPr>
        <w:t xml:space="preserve">Продължаващата </w:t>
      </w:r>
      <w:r>
        <w:rPr>
          <w:rFonts w:ascii="Times New Roman" w:hAnsi="Times New Roman" w:cs="Times New Roman"/>
          <w:b/>
          <w:sz w:val="24"/>
          <w:szCs w:val="24"/>
        </w:rPr>
        <w:t xml:space="preserve">военна </w:t>
      </w:r>
      <w:r w:rsidRPr="005F49B3">
        <w:rPr>
          <w:rFonts w:ascii="Times New Roman" w:hAnsi="Times New Roman" w:cs="Times New Roman"/>
          <w:b/>
          <w:sz w:val="24"/>
          <w:szCs w:val="24"/>
        </w:rPr>
        <w:t xml:space="preserve">агресия </w:t>
      </w:r>
      <w:r>
        <w:rPr>
          <w:rFonts w:ascii="Times New Roman" w:hAnsi="Times New Roman" w:cs="Times New Roman"/>
          <w:b/>
          <w:sz w:val="24"/>
          <w:szCs w:val="24"/>
        </w:rPr>
        <w:t xml:space="preserve">на Русия </w:t>
      </w:r>
      <w:r w:rsidRPr="005F49B3">
        <w:rPr>
          <w:rFonts w:ascii="Times New Roman" w:hAnsi="Times New Roman" w:cs="Times New Roman"/>
          <w:b/>
          <w:sz w:val="24"/>
          <w:szCs w:val="24"/>
        </w:rPr>
        <w:t xml:space="preserve">срещу Украйна и </w:t>
      </w:r>
      <w:r>
        <w:rPr>
          <w:rFonts w:ascii="Times New Roman" w:hAnsi="Times New Roman" w:cs="Times New Roman"/>
          <w:b/>
          <w:sz w:val="24"/>
          <w:szCs w:val="24"/>
        </w:rPr>
        <w:t xml:space="preserve">засилването на руските </w:t>
      </w:r>
      <w:r w:rsidRPr="005F49B3">
        <w:rPr>
          <w:rFonts w:ascii="Times New Roman" w:hAnsi="Times New Roman" w:cs="Times New Roman"/>
          <w:b/>
          <w:sz w:val="24"/>
          <w:szCs w:val="24"/>
        </w:rPr>
        <w:t xml:space="preserve"> хибридни операции срещу държави</w:t>
      </w:r>
      <w:r w:rsidRPr="00B57087">
        <w:rPr>
          <w:rFonts w:ascii="Times New Roman" w:hAnsi="Times New Roman" w:cs="Times New Roman"/>
          <w:b/>
          <w:sz w:val="24"/>
          <w:szCs w:val="24"/>
        </w:rPr>
        <w:t xml:space="preserve"> </w:t>
      </w:r>
      <w:r>
        <w:rPr>
          <w:rFonts w:ascii="Times New Roman" w:hAnsi="Times New Roman" w:cs="Times New Roman"/>
          <w:b/>
          <w:sz w:val="24"/>
          <w:szCs w:val="24"/>
        </w:rPr>
        <w:t>членки на</w:t>
      </w:r>
      <w:r w:rsidRPr="00B57087">
        <w:rPr>
          <w:rFonts w:ascii="Times New Roman" w:hAnsi="Times New Roman" w:cs="Times New Roman"/>
          <w:b/>
          <w:sz w:val="24"/>
          <w:szCs w:val="24"/>
        </w:rPr>
        <w:t xml:space="preserve"> </w:t>
      </w:r>
      <w:r w:rsidRPr="005F49B3">
        <w:rPr>
          <w:rFonts w:ascii="Times New Roman" w:hAnsi="Times New Roman" w:cs="Times New Roman"/>
          <w:b/>
          <w:sz w:val="24"/>
          <w:szCs w:val="24"/>
        </w:rPr>
        <w:t xml:space="preserve">НАТО, </w:t>
      </w:r>
      <w:r>
        <w:rPr>
          <w:rFonts w:ascii="Times New Roman" w:hAnsi="Times New Roman" w:cs="Times New Roman"/>
          <w:b/>
          <w:sz w:val="24"/>
          <w:szCs w:val="24"/>
        </w:rPr>
        <w:t>в т.ч. и</w:t>
      </w:r>
      <w:r w:rsidRPr="005F49B3">
        <w:rPr>
          <w:rFonts w:ascii="Times New Roman" w:hAnsi="Times New Roman" w:cs="Times New Roman"/>
          <w:b/>
          <w:sz w:val="24"/>
          <w:szCs w:val="24"/>
        </w:rPr>
        <w:t xml:space="preserve"> България, създават стратегическа среда</w:t>
      </w:r>
      <w:r>
        <w:rPr>
          <w:rFonts w:ascii="Times New Roman" w:hAnsi="Times New Roman" w:cs="Times New Roman"/>
          <w:b/>
          <w:sz w:val="24"/>
          <w:szCs w:val="24"/>
        </w:rPr>
        <w:t xml:space="preserve"> на сигурност в Европа с повишен риск.</w:t>
      </w:r>
    </w:p>
    <w:p w14:paraId="7EAE92B0" w14:textId="039133CD" w:rsidR="008F28E7" w:rsidRPr="005F49B3" w:rsidRDefault="00AE3D51" w:rsidP="00D6403A">
      <w:pPr>
        <w:pStyle w:val="ListParagraph"/>
        <w:numPr>
          <w:ilvl w:val="0"/>
          <w:numId w:val="29"/>
        </w:numPr>
        <w:spacing w:after="120" w:line="276" w:lineRule="auto"/>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БИСА се утвърждава</w:t>
      </w:r>
      <w:r w:rsidR="008F28E7" w:rsidRPr="005F49B3">
        <w:rPr>
          <w:rFonts w:ascii="Times New Roman" w:hAnsi="Times New Roman" w:cs="Times New Roman"/>
          <w:b/>
          <w:sz w:val="24"/>
          <w:szCs w:val="24"/>
        </w:rPr>
        <w:t xml:space="preserve"> като регион с висок дестабили</w:t>
      </w:r>
      <w:r w:rsidR="00C460E1">
        <w:rPr>
          <w:rFonts w:ascii="Times New Roman" w:hAnsi="Times New Roman" w:cs="Times New Roman"/>
          <w:b/>
          <w:sz w:val="24"/>
          <w:szCs w:val="24"/>
        </w:rPr>
        <w:t>зи</w:t>
      </w:r>
      <w:r w:rsidR="00113DB3">
        <w:rPr>
          <w:rFonts w:ascii="Times New Roman" w:hAnsi="Times New Roman" w:cs="Times New Roman"/>
          <w:b/>
          <w:sz w:val="24"/>
          <w:szCs w:val="24"/>
        </w:rPr>
        <w:t>ращ</w:t>
      </w:r>
      <w:r w:rsidR="008F28E7" w:rsidRPr="005F49B3">
        <w:rPr>
          <w:rFonts w:ascii="Times New Roman" w:hAnsi="Times New Roman" w:cs="Times New Roman"/>
          <w:b/>
          <w:sz w:val="24"/>
          <w:szCs w:val="24"/>
        </w:rPr>
        <w:t xml:space="preserve"> потенциал, включително чрез въздействие върху терористичния риск, миграцията и морската сигурност – с пряко отражение върху България.</w:t>
      </w:r>
    </w:p>
    <w:p w14:paraId="0A3E66EC" w14:textId="7660EA03" w:rsidR="008F28E7" w:rsidRPr="005F49B3" w:rsidRDefault="006B237A" w:rsidP="00D6403A">
      <w:pPr>
        <w:pStyle w:val="ListParagraph"/>
        <w:numPr>
          <w:ilvl w:val="0"/>
          <w:numId w:val="29"/>
        </w:numPr>
        <w:spacing w:after="120" w:line="276"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РСМ</w:t>
      </w:r>
      <w:r w:rsidR="008F28E7" w:rsidRPr="005F49B3">
        <w:rPr>
          <w:rFonts w:ascii="Times New Roman" w:hAnsi="Times New Roman" w:cs="Times New Roman"/>
          <w:b/>
          <w:sz w:val="24"/>
          <w:szCs w:val="24"/>
        </w:rPr>
        <w:t xml:space="preserve"> продължава с действия, които нарушават Договора за добросъседство, включително чрез дискриминация спрямо граждани с българско самосъзнание и подкопаване на междудържавното доверие.</w:t>
      </w:r>
    </w:p>
    <w:p w14:paraId="16FF1E50" w14:textId="77777777" w:rsidR="008F28E7" w:rsidRPr="005F49B3" w:rsidRDefault="008F28E7" w:rsidP="00D6403A">
      <w:pPr>
        <w:pStyle w:val="ListParagraph"/>
        <w:numPr>
          <w:ilvl w:val="0"/>
          <w:numId w:val="29"/>
        </w:numPr>
        <w:spacing w:after="120" w:line="276" w:lineRule="auto"/>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Хибридните заплахи срещу България през 2024 г. се характеризират с висока интензивност и комплексност.</w:t>
      </w:r>
    </w:p>
    <w:p w14:paraId="543AADD7" w14:textId="77777777" w:rsidR="008F28E7" w:rsidRPr="005F49B3" w:rsidRDefault="008F28E7"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lastRenderedPageBreak/>
        <w:t>Регионалната обстановка в Югоизточна Европа се влошава на фона на външна намеса, националистическа мобилизация и отслабени институции – тенденции, които засягат българската външна политика, икономическа свързаност и общности зад граница.</w:t>
      </w:r>
    </w:p>
    <w:p w14:paraId="6A2BF595" w14:textId="77777777" w:rsidR="008F28E7" w:rsidRPr="005F49B3" w:rsidRDefault="008F28E7"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 xml:space="preserve">През 2024 г. международната среда на сигурност бе доминирана от нарастваща геополитическа конкуренция, ескалация на конфликти и ерозия на международните норми. Основните рискове за България произтичат от продължаващата агресивна политика на </w:t>
      </w:r>
      <w:r w:rsidR="00AE3D51" w:rsidRPr="005F49B3">
        <w:rPr>
          <w:rFonts w:ascii="Times New Roman" w:hAnsi="Times New Roman" w:cs="Times New Roman"/>
          <w:sz w:val="24"/>
          <w:szCs w:val="24"/>
        </w:rPr>
        <w:t>РФ</w:t>
      </w:r>
      <w:r w:rsidRPr="005F49B3">
        <w:rPr>
          <w:rFonts w:ascii="Times New Roman" w:hAnsi="Times New Roman" w:cs="Times New Roman"/>
          <w:sz w:val="24"/>
          <w:szCs w:val="24"/>
        </w:rPr>
        <w:t xml:space="preserve">, влошената стратегическа обстановка в </w:t>
      </w:r>
      <w:r w:rsidR="00AE3D51" w:rsidRPr="005F49B3">
        <w:rPr>
          <w:rFonts w:ascii="Times New Roman" w:hAnsi="Times New Roman" w:cs="Times New Roman"/>
          <w:sz w:val="24"/>
          <w:szCs w:val="24"/>
        </w:rPr>
        <w:t>БИСА</w:t>
      </w:r>
      <w:r w:rsidRPr="005F49B3">
        <w:rPr>
          <w:rFonts w:ascii="Times New Roman" w:hAnsi="Times New Roman" w:cs="Times New Roman"/>
          <w:sz w:val="24"/>
          <w:szCs w:val="24"/>
        </w:rPr>
        <w:t>, нарастващия хибриден натиск и нестабилността в Югоизточна Европа. Успоредно с това, трансформацията на военните технологии и асиметричният характер на заплахите изискват цялостна адаптация на националната политика по сигурността, както във външнополитически, така и във вътрешен план.</w:t>
      </w:r>
    </w:p>
    <w:p w14:paraId="33794539" w14:textId="77777777" w:rsidR="00754D18" w:rsidRPr="005F49B3" w:rsidRDefault="0002349A" w:rsidP="00D6403A">
      <w:pPr>
        <w:pStyle w:val="Heading4"/>
        <w:numPr>
          <w:ilvl w:val="0"/>
          <w:numId w:val="33"/>
        </w:numPr>
        <w:spacing w:after="120"/>
        <w:ind w:left="0" w:firstLine="284"/>
        <w:jc w:val="center"/>
        <w:rPr>
          <w:rFonts w:ascii="Times New Roman" w:hAnsi="Times New Roman" w:cs="Times New Roman"/>
          <w:color w:val="auto"/>
          <w:sz w:val="24"/>
          <w:u w:val="single"/>
        </w:rPr>
      </w:pPr>
      <w:r w:rsidRPr="005F49B3">
        <w:rPr>
          <w:rFonts w:ascii="Times New Roman" w:hAnsi="Times New Roman" w:cs="Times New Roman"/>
          <w:color w:val="auto"/>
          <w:sz w:val="24"/>
          <w:u w:val="single"/>
        </w:rPr>
        <w:t>Геополитическа конкуренция и трансформация на глобалната среда на сигурност</w:t>
      </w:r>
    </w:p>
    <w:p w14:paraId="4E616B5B" w14:textId="592C5B57" w:rsidR="00754D18" w:rsidRPr="005F49B3" w:rsidRDefault="00AE3D51" w:rsidP="00D6403A">
      <w:pPr>
        <w:numPr>
          <w:ilvl w:val="0"/>
          <w:numId w:val="31"/>
        </w:numPr>
        <w:spacing w:after="120" w:line="276" w:lineRule="auto"/>
        <w:ind w:left="714" w:hanging="357"/>
        <w:contextualSpacing/>
        <w:jc w:val="both"/>
        <w:rPr>
          <w:rFonts w:ascii="Times New Roman" w:hAnsi="Times New Roman" w:cs="Times New Roman"/>
          <w:b/>
          <w:sz w:val="24"/>
          <w:szCs w:val="24"/>
        </w:rPr>
      </w:pPr>
      <w:r w:rsidRPr="005F49B3">
        <w:rPr>
          <w:rFonts w:ascii="Times New Roman" w:hAnsi="Times New Roman" w:cs="Times New Roman"/>
          <w:b/>
          <w:sz w:val="24"/>
          <w:szCs w:val="24"/>
        </w:rPr>
        <w:t>РФ</w:t>
      </w:r>
      <w:r w:rsidR="0002349A" w:rsidRPr="005F49B3">
        <w:rPr>
          <w:rFonts w:ascii="Times New Roman" w:hAnsi="Times New Roman" w:cs="Times New Roman"/>
          <w:b/>
          <w:sz w:val="24"/>
          <w:szCs w:val="24"/>
        </w:rPr>
        <w:t xml:space="preserve"> остава основна системна заплаха за сигурността в Европа, като продължаващата война в Украйна и подривната дейност на руските специални служби формират стратегическа среда</w:t>
      </w:r>
      <w:r w:rsidR="00113DB3">
        <w:rPr>
          <w:rFonts w:ascii="Times New Roman" w:hAnsi="Times New Roman" w:cs="Times New Roman"/>
          <w:b/>
          <w:sz w:val="24"/>
          <w:szCs w:val="24"/>
        </w:rPr>
        <w:t xml:space="preserve"> на сигурност с висока степен на риск</w:t>
      </w:r>
      <w:r w:rsidR="0002349A" w:rsidRPr="005F49B3">
        <w:rPr>
          <w:rFonts w:ascii="Times New Roman" w:hAnsi="Times New Roman" w:cs="Times New Roman"/>
          <w:b/>
          <w:sz w:val="24"/>
          <w:szCs w:val="24"/>
        </w:rPr>
        <w:t>.</w:t>
      </w:r>
    </w:p>
    <w:p w14:paraId="0A605F20" w14:textId="1AB7E02C" w:rsidR="00754D18" w:rsidRPr="0048497D" w:rsidRDefault="0002349A" w:rsidP="0048497D">
      <w:pPr>
        <w:numPr>
          <w:ilvl w:val="0"/>
          <w:numId w:val="31"/>
        </w:numPr>
        <w:spacing w:after="120" w:line="276" w:lineRule="auto"/>
        <w:ind w:left="714" w:hanging="357"/>
        <w:contextualSpacing/>
        <w:jc w:val="both"/>
        <w:rPr>
          <w:rFonts w:ascii="Times New Roman" w:hAnsi="Times New Roman" w:cs="Times New Roman"/>
          <w:b/>
          <w:sz w:val="24"/>
          <w:szCs w:val="24"/>
        </w:rPr>
      </w:pPr>
      <w:r w:rsidRPr="005F49B3">
        <w:rPr>
          <w:rFonts w:ascii="Times New Roman" w:hAnsi="Times New Roman" w:cs="Times New Roman"/>
          <w:b/>
          <w:sz w:val="24"/>
          <w:szCs w:val="24"/>
        </w:rPr>
        <w:t xml:space="preserve">Китай </w:t>
      </w:r>
      <w:r w:rsidR="0048497D">
        <w:rPr>
          <w:rFonts w:ascii="Times New Roman" w:hAnsi="Times New Roman" w:cs="Times New Roman"/>
          <w:b/>
          <w:sz w:val="24"/>
          <w:szCs w:val="24"/>
        </w:rPr>
        <w:t xml:space="preserve">засилва ролята си в глобален план чрез икономическо и политическо влияние, и динамичното технологично развитие в редица области. Страната се позиционира като водещ </w:t>
      </w:r>
      <w:r w:rsidR="0048497D" w:rsidRPr="005F49B3">
        <w:rPr>
          <w:rFonts w:ascii="Times New Roman" w:hAnsi="Times New Roman" w:cs="Times New Roman"/>
          <w:b/>
          <w:sz w:val="24"/>
          <w:szCs w:val="24"/>
        </w:rPr>
        <w:t>глобален съперник</w:t>
      </w:r>
      <w:r w:rsidR="0048497D">
        <w:rPr>
          <w:rFonts w:ascii="Times New Roman" w:hAnsi="Times New Roman" w:cs="Times New Roman"/>
          <w:b/>
          <w:sz w:val="24"/>
          <w:szCs w:val="24"/>
        </w:rPr>
        <w:t xml:space="preserve"> за европейската и трансатлантическа сигурност, както</w:t>
      </w:r>
      <w:r w:rsidR="0048497D" w:rsidRPr="005F49B3">
        <w:rPr>
          <w:rFonts w:ascii="Times New Roman" w:hAnsi="Times New Roman" w:cs="Times New Roman"/>
          <w:b/>
          <w:sz w:val="24"/>
          <w:szCs w:val="24"/>
        </w:rPr>
        <w:t xml:space="preserve"> и </w:t>
      </w:r>
      <w:r w:rsidR="0048497D">
        <w:rPr>
          <w:rFonts w:ascii="Times New Roman" w:hAnsi="Times New Roman" w:cs="Times New Roman"/>
          <w:b/>
          <w:sz w:val="24"/>
          <w:szCs w:val="24"/>
        </w:rPr>
        <w:t xml:space="preserve">значим </w:t>
      </w:r>
      <w:r w:rsidR="0048497D" w:rsidRPr="005F49B3">
        <w:rPr>
          <w:rFonts w:ascii="Times New Roman" w:hAnsi="Times New Roman" w:cs="Times New Roman"/>
          <w:b/>
          <w:sz w:val="24"/>
          <w:szCs w:val="24"/>
        </w:rPr>
        <w:t xml:space="preserve">партньор на Русия в </w:t>
      </w:r>
      <w:r w:rsidR="0048497D">
        <w:rPr>
          <w:rFonts w:ascii="Times New Roman" w:hAnsi="Times New Roman" w:cs="Times New Roman"/>
          <w:b/>
          <w:sz w:val="24"/>
          <w:szCs w:val="24"/>
        </w:rPr>
        <w:t xml:space="preserve">допълващите им се усилия за </w:t>
      </w:r>
      <w:r w:rsidR="0048497D" w:rsidRPr="005F49B3">
        <w:rPr>
          <w:rFonts w:ascii="Times New Roman" w:hAnsi="Times New Roman" w:cs="Times New Roman"/>
          <w:b/>
          <w:sz w:val="24"/>
          <w:szCs w:val="24"/>
        </w:rPr>
        <w:t>подкопаване</w:t>
      </w:r>
      <w:r w:rsidR="0048497D">
        <w:rPr>
          <w:rFonts w:ascii="Times New Roman" w:hAnsi="Times New Roman" w:cs="Times New Roman"/>
          <w:b/>
          <w:sz w:val="24"/>
          <w:szCs w:val="24"/>
        </w:rPr>
        <w:t xml:space="preserve"> и прекрояване</w:t>
      </w:r>
      <w:r w:rsidR="0048497D" w:rsidRPr="005F49B3">
        <w:rPr>
          <w:rFonts w:ascii="Times New Roman" w:hAnsi="Times New Roman" w:cs="Times New Roman"/>
          <w:b/>
          <w:sz w:val="24"/>
          <w:szCs w:val="24"/>
        </w:rPr>
        <w:t xml:space="preserve"> на международния правов ред.</w:t>
      </w:r>
    </w:p>
    <w:p w14:paraId="2E2DF2AB" w14:textId="2A3934C5" w:rsidR="00754D18" w:rsidRPr="0041749A" w:rsidRDefault="0002349A" w:rsidP="00D6403A">
      <w:pPr>
        <w:numPr>
          <w:ilvl w:val="0"/>
          <w:numId w:val="31"/>
        </w:numPr>
        <w:spacing w:after="120" w:line="276" w:lineRule="auto"/>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Нестабилността в БИСА остава източник на хуманитарни кризи, терористична заплаха, незаконна миграция и риск за глобалната морска сигурност, като пряко въздействие върху България бе отчетено чрез инциденти с български търговски кораби в Червено и Арабско море.</w:t>
      </w:r>
    </w:p>
    <w:p w14:paraId="0C55B09D" w14:textId="1C3457F0" w:rsidR="0041749A" w:rsidRPr="005F49B3" w:rsidRDefault="00C474E9" w:rsidP="00D6403A">
      <w:pPr>
        <w:numPr>
          <w:ilvl w:val="0"/>
          <w:numId w:val="31"/>
        </w:numPr>
        <w:spacing w:after="120" w:line="276" w:lineRule="auto"/>
        <w:ind w:left="714" w:hanging="357"/>
        <w:jc w:val="both"/>
        <w:rPr>
          <w:rFonts w:ascii="Times New Roman" w:hAnsi="Times New Roman" w:cs="Times New Roman"/>
          <w:b/>
          <w:sz w:val="24"/>
          <w:szCs w:val="24"/>
        </w:rPr>
      </w:pPr>
      <w:r w:rsidRPr="00B36B88">
        <w:rPr>
          <w:rFonts w:ascii="Times New Roman" w:hAnsi="Times New Roman" w:cs="Times New Roman"/>
          <w:b/>
          <w:sz w:val="24"/>
          <w:szCs w:val="24"/>
        </w:rPr>
        <w:t>Наблюдава се</w:t>
      </w:r>
      <w:r w:rsidR="0041749A" w:rsidRPr="00B36B88">
        <w:rPr>
          <w:rFonts w:ascii="Times New Roman" w:hAnsi="Times New Roman" w:cs="Times New Roman"/>
          <w:b/>
          <w:sz w:val="24"/>
          <w:szCs w:val="24"/>
        </w:rPr>
        <w:t xml:space="preserve"> политизиране и засилване</w:t>
      </w:r>
      <w:r w:rsidR="0041749A" w:rsidRPr="0041749A">
        <w:rPr>
          <w:rFonts w:ascii="Times New Roman" w:hAnsi="Times New Roman" w:cs="Times New Roman"/>
          <w:b/>
          <w:sz w:val="24"/>
          <w:szCs w:val="24"/>
        </w:rPr>
        <w:t xml:space="preserve"> на противопоставянето в рамките на  специализираните международни организации</w:t>
      </w:r>
      <w:r w:rsidR="0041749A">
        <w:rPr>
          <w:rFonts w:ascii="Times New Roman" w:hAnsi="Times New Roman" w:cs="Times New Roman"/>
          <w:b/>
          <w:sz w:val="24"/>
          <w:szCs w:val="24"/>
        </w:rPr>
        <w:t>.</w:t>
      </w:r>
    </w:p>
    <w:p w14:paraId="33C34BC2" w14:textId="77777777" w:rsidR="008F28E7" w:rsidRPr="005F49B3" w:rsidRDefault="008F28E7" w:rsidP="00AE3D51">
      <w:pPr>
        <w:spacing w:before="120"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Ескалацията на нови военни технологии, включително автономни системи, ИИ и кибероперации, изисква стратегическа адаптация на отбранителната и съюзна политика на България.</w:t>
      </w:r>
    </w:p>
    <w:p w14:paraId="663E2FCF" w14:textId="77777777" w:rsidR="00754D18" w:rsidRPr="005F49B3"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 xml:space="preserve">През 2024 г. международната среда на сигурност остана </w:t>
      </w:r>
      <w:r w:rsidR="008F28E7" w:rsidRPr="005F49B3">
        <w:rPr>
          <w:rFonts w:ascii="Times New Roman" w:hAnsi="Times New Roman" w:cs="Times New Roman"/>
          <w:sz w:val="24"/>
          <w:szCs w:val="24"/>
        </w:rPr>
        <w:t>напрегната и динамична</w:t>
      </w:r>
      <w:r w:rsidRPr="005F49B3">
        <w:rPr>
          <w:rFonts w:ascii="Times New Roman" w:hAnsi="Times New Roman" w:cs="Times New Roman"/>
          <w:sz w:val="24"/>
          <w:szCs w:val="24"/>
        </w:rPr>
        <w:t xml:space="preserve">, характеризираща се с деградация на традиционните механизми за поддържане на </w:t>
      </w:r>
      <w:r w:rsidR="008F28E7" w:rsidRPr="005F49B3">
        <w:rPr>
          <w:rFonts w:ascii="Times New Roman" w:hAnsi="Times New Roman" w:cs="Times New Roman"/>
          <w:sz w:val="24"/>
          <w:szCs w:val="24"/>
        </w:rPr>
        <w:t xml:space="preserve">международния правен </w:t>
      </w:r>
      <w:r w:rsidRPr="005F49B3">
        <w:rPr>
          <w:rFonts w:ascii="Times New Roman" w:hAnsi="Times New Roman" w:cs="Times New Roman"/>
          <w:sz w:val="24"/>
          <w:szCs w:val="24"/>
        </w:rPr>
        <w:t xml:space="preserve">ред, ескалация на стратегическото съперничество между </w:t>
      </w:r>
      <w:r w:rsidR="008F28E7" w:rsidRPr="005F49B3">
        <w:rPr>
          <w:rFonts w:ascii="Times New Roman" w:hAnsi="Times New Roman" w:cs="Times New Roman"/>
          <w:sz w:val="24"/>
          <w:szCs w:val="24"/>
        </w:rPr>
        <w:t>ядрените</w:t>
      </w:r>
      <w:r w:rsidRPr="005F49B3">
        <w:rPr>
          <w:rFonts w:ascii="Times New Roman" w:hAnsi="Times New Roman" w:cs="Times New Roman"/>
          <w:sz w:val="24"/>
          <w:szCs w:val="24"/>
        </w:rPr>
        <w:t xml:space="preserve"> сили и засилване на риска от военни и хибридни конфликти. Променящата се архитектура на международните отношения поставя България пред необходимостта от активна адаптация в съюзнически и регионален план, както и от последователно укрепване на вътрешната устойчивост спрямо външни дестабилизиращи въздействия.</w:t>
      </w:r>
    </w:p>
    <w:p w14:paraId="7ABD0C56" w14:textId="44BB8AA2" w:rsidR="00754D18" w:rsidRPr="005F49B3"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lastRenderedPageBreak/>
        <w:t xml:space="preserve">Поведението на </w:t>
      </w:r>
      <w:r w:rsidR="00AE3D51" w:rsidRPr="005F49B3">
        <w:rPr>
          <w:rFonts w:ascii="Times New Roman" w:hAnsi="Times New Roman" w:cs="Times New Roman"/>
          <w:sz w:val="24"/>
          <w:szCs w:val="24"/>
        </w:rPr>
        <w:t>РФ</w:t>
      </w:r>
      <w:r w:rsidRPr="005F49B3">
        <w:rPr>
          <w:rFonts w:ascii="Times New Roman" w:hAnsi="Times New Roman" w:cs="Times New Roman"/>
          <w:sz w:val="24"/>
          <w:szCs w:val="24"/>
        </w:rPr>
        <w:t xml:space="preserve"> остава основна и системна заплаха за сигурността в Европа. Продължаващата</w:t>
      </w:r>
      <w:r w:rsidR="0048497D">
        <w:rPr>
          <w:rFonts w:ascii="Times New Roman" w:hAnsi="Times New Roman" w:cs="Times New Roman"/>
          <w:sz w:val="24"/>
          <w:szCs w:val="24"/>
        </w:rPr>
        <w:t xml:space="preserve"> военна</w:t>
      </w:r>
      <w:r w:rsidRPr="005F49B3">
        <w:rPr>
          <w:rFonts w:ascii="Times New Roman" w:hAnsi="Times New Roman" w:cs="Times New Roman"/>
          <w:sz w:val="24"/>
          <w:szCs w:val="24"/>
        </w:rPr>
        <w:t xml:space="preserve"> агресия срещу Украйна, комбинирана с постоянна модернизация на въоръжените сили, демонстрации на ядрена готовност и милитаризация на Черноморския регион, формира стратегическа среда</w:t>
      </w:r>
      <w:r w:rsidR="0048497D">
        <w:rPr>
          <w:rFonts w:ascii="Times New Roman" w:hAnsi="Times New Roman" w:cs="Times New Roman"/>
          <w:sz w:val="24"/>
          <w:szCs w:val="24"/>
        </w:rPr>
        <w:t xml:space="preserve"> на сигурност с висока степен на риск</w:t>
      </w:r>
      <w:r w:rsidRPr="005F49B3">
        <w:rPr>
          <w:rFonts w:ascii="Times New Roman" w:hAnsi="Times New Roman" w:cs="Times New Roman"/>
          <w:sz w:val="24"/>
          <w:szCs w:val="24"/>
        </w:rPr>
        <w:t>. През 2024 г. Москва разшири капацитета си за въздействие чрез еволюиращ хибриден инструментариум, целящ разрушаване на евроатлантическия консенсус, блокиране на по-нататъшното разширяване на НАТО и ЕС и подкопаване на устойчивостта на отделни съюзници, в т.ч. България. Отбелязано бе също така засилено участие на руските специални служби в подривна дейност срещу критична инфраструктура и изборни процеси в страни от Централна и Източна Европа.</w:t>
      </w:r>
    </w:p>
    <w:p w14:paraId="6A6E0804" w14:textId="797AE4D7" w:rsidR="0048497D" w:rsidRDefault="008F28E7" w:rsidP="0048497D">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 xml:space="preserve">Китай </w:t>
      </w:r>
      <w:r w:rsidR="0002349A" w:rsidRPr="005F49B3">
        <w:rPr>
          <w:rFonts w:ascii="Times New Roman" w:hAnsi="Times New Roman" w:cs="Times New Roman"/>
          <w:sz w:val="24"/>
          <w:szCs w:val="24"/>
        </w:rPr>
        <w:t xml:space="preserve">продължи да проектира стратегическо влияние отвъд Източна Азия, използвайки комбинация от икономически зависимости, технологичен контрол, инфраструктурни инвестиции и дипломатически натиск. Пекин остава ключов фактор в конкуренцията със САЩ и техните съюзници, особено в области като </w:t>
      </w:r>
      <w:r w:rsidRPr="005F49B3">
        <w:rPr>
          <w:rFonts w:ascii="Times New Roman" w:hAnsi="Times New Roman" w:cs="Times New Roman"/>
          <w:sz w:val="24"/>
          <w:szCs w:val="24"/>
        </w:rPr>
        <w:t xml:space="preserve">високи </w:t>
      </w:r>
      <w:r w:rsidR="0002349A" w:rsidRPr="005F49B3">
        <w:rPr>
          <w:rFonts w:ascii="Times New Roman" w:hAnsi="Times New Roman" w:cs="Times New Roman"/>
          <w:sz w:val="24"/>
          <w:szCs w:val="24"/>
        </w:rPr>
        <w:t xml:space="preserve">технологии, изкуствен интелект, </w:t>
      </w:r>
      <w:proofErr w:type="spellStart"/>
      <w:r w:rsidR="0002349A" w:rsidRPr="005F49B3">
        <w:rPr>
          <w:rFonts w:ascii="Times New Roman" w:hAnsi="Times New Roman" w:cs="Times New Roman"/>
          <w:sz w:val="24"/>
          <w:szCs w:val="24"/>
        </w:rPr>
        <w:t>редкоземни</w:t>
      </w:r>
      <w:proofErr w:type="spellEnd"/>
      <w:r w:rsidR="0002349A" w:rsidRPr="005F49B3">
        <w:rPr>
          <w:rFonts w:ascii="Times New Roman" w:hAnsi="Times New Roman" w:cs="Times New Roman"/>
          <w:sz w:val="24"/>
          <w:szCs w:val="24"/>
        </w:rPr>
        <w:t xml:space="preserve"> ресурси и морска сигурност. Едновременно с това</w:t>
      </w:r>
      <w:r w:rsidR="0048497D">
        <w:rPr>
          <w:rFonts w:ascii="Times New Roman" w:hAnsi="Times New Roman" w:cs="Times New Roman"/>
          <w:sz w:val="24"/>
          <w:szCs w:val="24"/>
        </w:rPr>
        <w:t>, главно в резултат на войната в Украйна,</w:t>
      </w:r>
      <w:r w:rsidR="0048497D" w:rsidRPr="005F49B3">
        <w:rPr>
          <w:rFonts w:ascii="Times New Roman" w:hAnsi="Times New Roman" w:cs="Times New Roman"/>
          <w:sz w:val="24"/>
          <w:szCs w:val="24"/>
        </w:rPr>
        <w:t xml:space="preserve"> </w:t>
      </w:r>
      <w:r w:rsidR="0048497D">
        <w:rPr>
          <w:rFonts w:ascii="Times New Roman" w:hAnsi="Times New Roman" w:cs="Times New Roman"/>
          <w:sz w:val="24"/>
          <w:szCs w:val="24"/>
        </w:rPr>
        <w:t xml:space="preserve">Китай и Русия задълбочиха стратегическото си сътрудничество основно по линия на търговията с руски въглеводороди и китайските доставки на технологии с двойна употреба. Наблюдаваше се и допълване на усилията им за </w:t>
      </w:r>
      <w:r w:rsidR="0048497D" w:rsidRPr="005F49B3">
        <w:rPr>
          <w:rFonts w:ascii="Times New Roman" w:hAnsi="Times New Roman" w:cs="Times New Roman"/>
          <w:sz w:val="24"/>
          <w:szCs w:val="24"/>
        </w:rPr>
        <w:t>подкопаване</w:t>
      </w:r>
      <w:r w:rsidR="0048497D">
        <w:rPr>
          <w:rFonts w:ascii="Times New Roman" w:hAnsi="Times New Roman" w:cs="Times New Roman"/>
          <w:sz w:val="24"/>
          <w:szCs w:val="24"/>
        </w:rPr>
        <w:t xml:space="preserve"> и прекрояване на международния правов ред</w:t>
      </w:r>
      <w:r w:rsidR="0002349A" w:rsidRPr="005F49B3">
        <w:rPr>
          <w:rFonts w:ascii="Times New Roman" w:hAnsi="Times New Roman" w:cs="Times New Roman"/>
          <w:sz w:val="24"/>
          <w:szCs w:val="24"/>
        </w:rPr>
        <w:t>.</w:t>
      </w:r>
    </w:p>
    <w:p w14:paraId="2CE1286D" w14:textId="6A80B7B6" w:rsidR="00754D18" w:rsidRPr="005F49B3" w:rsidRDefault="0048497D" w:rsidP="00891E30">
      <w:pPr>
        <w:spacing w:after="120" w:line="276" w:lineRule="auto"/>
        <w:ind w:firstLine="851"/>
        <w:jc w:val="both"/>
        <w:rPr>
          <w:rFonts w:ascii="Times New Roman" w:hAnsi="Times New Roman" w:cs="Times New Roman"/>
          <w:sz w:val="24"/>
          <w:szCs w:val="24"/>
        </w:rPr>
      </w:pPr>
      <w:r w:rsidRPr="00F35E15">
        <w:rPr>
          <w:rFonts w:ascii="Times New Roman" w:hAnsi="Times New Roman" w:cs="Times New Roman"/>
          <w:sz w:val="24"/>
          <w:szCs w:val="24"/>
        </w:rPr>
        <w:t>Ескалиращите през последните години процеси на дестабилизация в глобален план бяха допълнително усложнени от нарасналата нестабилност в БИСА. Избухналият след 07.10.2023г. въоръжен конфликт между Израел и Хамас в Газа, както и конфликтите в Сирия, Йемен, Судан и Ливан продължиха да бъдат източник на тежки хуманитарни кризи, генериращи реални предпоставки за повишаване на нивата на терористична заплаха и незаконна миграция</w:t>
      </w:r>
      <w:r w:rsidR="007E046D">
        <w:rPr>
          <w:rFonts w:ascii="Times New Roman" w:hAnsi="Times New Roman" w:cs="Times New Roman"/>
          <w:sz w:val="24"/>
          <w:szCs w:val="24"/>
          <w:lang w:val="en-US"/>
        </w:rPr>
        <w:t xml:space="preserve"> </w:t>
      </w:r>
      <w:r w:rsidR="007E046D">
        <w:rPr>
          <w:rFonts w:ascii="Times New Roman" w:hAnsi="Times New Roman" w:cs="Times New Roman"/>
          <w:sz w:val="24"/>
          <w:szCs w:val="24"/>
        </w:rPr>
        <w:t>и създават условия за генериране на големи миграционни потоци от лица, търсещи закрила в Република България</w:t>
      </w:r>
      <w:r w:rsidRPr="00F35E15">
        <w:rPr>
          <w:rFonts w:ascii="Times New Roman" w:hAnsi="Times New Roman" w:cs="Times New Roman"/>
          <w:sz w:val="24"/>
          <w:szCs w:val="24"/>
        </w:rPr>
        <w:t>. Ескалацията на напрежението между Израел и Иран генерира допълнителни заплахи за регионалната и глобална сигурност, с проекции върху корабоплаването, енергийните доставки и стабилността на съседни държави.</w:t>
      </w:r>
      <w:r>
        <w:rPr>
          <w:rFonts w:ascii="Times New Roman" w:hAnsi="Times New Roman" w:cs="Times New Roman"/>
          <w:sz w:val="24"/>
          <w:szCs w:val="24"/>
        </w:rPr>
        <w:t xml:space="preserve"> </w:t>
      </w:r>
      <w:r w:rsidR="0002349A" w:rsidRPr="005F49B3">
        <w:rPr>
          <w:rFonts w:ascii="Times New Roman" w:hAnsi="Times New Roman" w:cs="Times New Roman"/>
          <w:sz w:val="24"/>
          <w:szCs w:val="24"/>
        </w:rPr>
        <w:t>Отчитат се и нарастващи прояви на радикализация в резултат от разпад на институционалния ред, икономическа стагнация и климатичен натиск в уязвимите зони на региона.</w:t>
      </w:r>
    </w:p>
    <w:p w14:paraId="54D89CD6" w14:textId="7623BF2B" w:rsidR="00754D18" w:rsidRPr="005F49B3" w:rsidRDefault="0002349A" w:rsidP="00891E30">
      <w:pPr>
        <w:spacing w:after="120" w:line="276" w:lineRule="auto"/>
        <w:ind w:firstLine="851"/>
        <w:jc w:val="both"/>
        <w:rPr>
          <w:rFonts w:ascii="Times New Roman" w:hAnsi="Times New Roman" w:cs="Times New Roman"/>
          <w:sz w:val="24"/>
          <w:szCs w:val="24"/>
        </w:rPr>
      </w:pPr>
      <w:r w:rsidRPr="00B36B88">
        <w:rPr>
          <w:rFonts w:ascii="Times New Roman" w:hAnsi="Times New Roman" w:cs="Times New Roman"/>
          <w:sz w:val="24"/>
          <w:szCs w:val="24"/>
        </w:rPr>
        <w:t>През 2024 г. б</w:t>
      </w:r>
      <w:r w:rsidR="00B36B88" w:rsidRPr="00B36B88">
        <w:rPr>
          <w:rFonts w:ascii="Times New Roman" w:hAnsi="Times New Roman" w:cs="Times New Roman"/>
          <w:sz w:val="24"/>
          <w:szCs w:val="24"/>
        </w:rPr>
        <w:t xml:space="preserve">еше </w:t>
      </w:r>
      <w:r w:rsidRPr="00B36B88">
        <w:rPr>
          <w:rFonts w:ascii="Times New Roman" w:hAnsi="Times New Roman" w:cs="Times New Roman"/>
          <w:sz w:val="24"/>
          <w:szCs w:val="24"/>
        </w:rPr>
        <w:t>регистриран</w:t>
      </w:r>
      <w:r w:rsidR="00B36B88" w:rsidRPr="00B36B88">
        <w:rPr>
          <w:rFonts w:ascii="Times New Roman" w:hAnsi="Times New Roman" w:cs="Times New Roman"/>
          <w:sz w:val="24"/>
          <w:szCs w:val="24"/>
        </w:rPr>
        <w:t>о</w:t>
      </w:r>
      <w:r w:rsidRPr="00B36B88">
        <w:rPr>
          <w:rFonts w:ascii="Times New Roman" w:hAnsi="Times New Roman" w:cs="Times New Roman"/>
          <w:sz w:val="24"/>
          <w:szCs w:val="24"/>
        </w:rPr>
        <w:t xml:space="preserve"> пряко въздействие и</w:t>
      </w:r>
      <w:r w:rsidRPr="005F49B3">
        <w:rPr>
          <w:rFonts w:ascii="Times New Roman" w:hAnsi="Times New Roman" w:cs="Times New Roman"/>
          <w:sz w:val="24"/>
          <w:szCs w:val="24"/>
        </w:rPr>
        <w:t xml:space="preserve"> върху български интереси в резултат от кризата с морската сигурност в Червено и Арабско море. България беше засегната от незаконното задържане на търговския кораб „Галакси </w:t>
      </w:r>
      <w:proofErr w:type="spellStart"/>
      <w:r w:rsidRPr="005F49B3">
        <w:rPr>
          <w:rFonts w:ascii="Times New Roman" w:hAnsi="Times New Roman" w:cs="Times New Roman"/>
          <w:sz w:val="24"/>
          <w:szCs w:val="24"/>
        </w:rPr>
        <w:t>Лидър</w:t>
      </w:r>
      <w:proofErr w:type="spellEnd"/>
      <w:r w:rsidRPr="005F49B3">
        <w:rPr>
          <w:rFonts w:ascii="Times New Roman" w:hAnsi="Times New Roman" w:cs="Times New Roman"/>
          <w:sz w:val="24"/>
          <w:szCs w:val="24"/>
        </w:rPr>
        <w:t xml:space="preserve">“ от йеменските </w:t>
      </w:r>
      <w:proofErr w:type="spellStart"/>
      <w:r w:rsidRPr="005F49B3">
        <w:rPr>
          <w:rFonts w:ascii="Times New Roman" w:hAnsi="Times New Roman" w:cs="Times New Roman"/>
          <w:sz w:val="24"/>
          <w:szCs w:val="24"/>
        </w:rPr>
        <w:t>хути</w:t>
      </w:r>
      <w:proofErr w:type="spellEnd"/>
      <w:r w:rsidRPr="005F49B3">
        <w:rPr>
          <w:rFonts w:ascii="Times New Roman" w:hAnsi="Times New Roman" w:cs="Times New Roman"/>
          <w:sz w:val="24"/>
          <w:szCs w:val="24"/>
        </w:rPr>
        <w:t>, с двама български граждани в екипажа. Впоследствие, всички моряци бяха освободени. По-късно българският кораб „Руен“, с български и чуждестранен екипаж, бе отвлечен от сомалийски пирати в Арабско море. След координирани действия, плавателният съд бе освободен от индийските военноморски сили. Тези събития потвърждават необходимостта от системно участие на България в международните усилия за гарантиране на свободата на корабоплаването и укрепване на капацитетите за морска сигурност, в рамките на ЕС, НАТО и други партньорски формати.</w:t>
      </w:r>
    </w:p>
    <w:p w14:paraId="100BE338" w14:textId="77777777" w:rsidR="0041749A"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lastRenderedPageBreak/>
        <w:t>На този фон, допълнителна стратегическа несигурност произтича от все по-бързата трансформация на военните технологии и средства за въздействие – включително автономни системи, кибероперации, изкуствен интелект и оръжия със специален ефект. Наблюдава се засилено търсене на оперативна съвместимост и интеграция между традиционните отбранителни средства и новите цифрови капацитети.</w:t>
      </w:r>
    </w:p>
    <w:p w14:paraId="1505A346" w14:textId="5F58AEEC" w:rsidR="00754D18" w:rsidRPr="005F49B3" w:rsidRDefault="0041749A" w:rsidP="00891E30">
      <w:pPr>
        <w:spacing w:after="120" w:line="276" w:lineRule="auto"/>
        <w:ind w:firstLine="851"/>
        <w:jc w:val="both"/>
        <w:rPr>
          <w:rFonts w:ascii="Times New Roman" w:hAnsi="Times New Roman" w:cs="Times New Roman"/>
          <w:sz w:val="24"/>
          <w:szCs w:val="24"/>
        </w:rPr>
      </w:pPr>
      <w:r w:rsidRPr="0041749A">
        <w:rPr>
          <w:rFonts w:ascii="Times New Roman" w:hAnsi="Times New Roman" w:cs="Times New Roman"/>
          <w:sz w:val="24"/>
          <w:szCs w:val="24"/>
        </w:rPr>
        <w:t>В контекста на променящата се архитектура на международните отношения и засилване на противопоставянето от голямо значение е да  продължи последователното, активно участие на България в дейността на международните специализирани организации като Международния съюз по далекосъобщения и Всемирния пощенски съюз, които приемат глобални регулатор</w:t>
      </w:r>
      <w:r w:rsidR="0080172E">
        <w:rPr>
          <w:rFonts w:ascii="Times New Roman" w:hAnsi="Times New Roman" w:cs="Times New Roman"/>
          <w:sz w:val="24"/>
          <w:szCs w:val="24"/>
        </w:rPr>
        <w:t>н</w:t>
      </w:r>
      <w:r w:rsidRPr="0041749A">
        <w:rPr>
          <w:rFonts w:ascii="Times New Roman" w:hAnsi="Times New Roman" w:cs="Times New Roman"/>
          <w:sz w:val="24"/>
          <w:szCs w:val="24"/>
        </w:rPr>
        <w:t xml:space="preserve">и решения за сектор </w:t>
      </w:r>
      <w:r w:rsidR="0080172E">
        <w:rPr>
          <w:rFonts w:ascii="Times New Roman" w:hAnsi="Times New Roman" w:cs="Times New Roman"/>
          <w:sz w:val="24"/>
          <w:szCs w:val="24"/>
        </w:rPr>
        <w:t>„</w:t>
      </w:r>
      <w:r w:rsidRPr="0041749A">
        <w:rPr>
          <w:rFonts w:ascii="Times New Roman" w:hAnsi="Times New Roman" w:cs="Times New Roman"/>
          <w:sz w:val="24"/>
          <w:szCs w:val="24"/>
        </w:rPr>
        <w:t>Съобщения</w:t>
      </w:r>
      <w:r w:rsidR="0080172E">
        <w:rPr>
          <w:rFonts w:ascii="Times New Roman" w:hAnsi="Times New Roman" w:cs="Times New Roman"/>
          <w:sz w:val="24"/>
          <w:szCs w:val="24"/>
        </w:rPr>
        <w:t>“</w:t>
      </w:r>
      <w:r w:rsidRPr="0041749A">
        <w:rPr>
          <w:rFonts w:ascii="Times New Roman" w:hAnsi="Times New Roman" w:cs="Times New Roman"/>
          <w:sz w:val="24"/>
          <w:szCs w:val="24"/>
        </w:rPr>
        <w:t>, пряко приложими на национално ниво</w:t>
      </w:r>
      <w:r>
        <w:rPr>
          <w:rFonts w:ascii="Times New Roman" w:hAnsi="Times New Roman" w:cs="Times New Roman"/>
          <w:sz w:val="24"/>
          <w:szCs w:val="24"/>
        </w:rPr>
        <w:t>.</w:t>
      </w:r>
    </w:p>
    <w:p w14:paraId="14556CA1" w14:textId="75741042" w:rsidR="00754D18" w:rsidRPr="005F49B3"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 xml:space="preserve">В заключение, България е обект на въздействия, които надхвърлят регионалния обхват и изискват стратегическо прогнозиране, адаптивни отбранителни политики и проактивна дипломация. Противодействието на нарастващата геополитическа конкуренция и нестабилност следва да бъде приоритет не само във външнополитически план, но и чрез укрепване на </w:t>
      </w:r>
      <w:r w:rsidR="008D65A9">
        <w:rPr>
          <w:rFonts w:ascii="Times New Roman" w:hAnsi="Times New Roman" w:cs="Times New Roman"/>
          <w:sz w:val="24"/>
          <w:szCs w:val="24"/>
        </w:rPr>
        <w:t>националната</w:t>
      </w:r>
      <w:r w:rsidRPr="005F49B3">
        <w:rPr>
          <w:rFonts w:ascii="Times New Roman" w:hAnsi="Times New Roman" w:cs="Times New Roman"/>
          <w:sz w:val="24"/>
          <w:szCs w:val="24"/>
        </w:rPr>
        <w:t xml:space="preserve"> у</w:t>
      </w:r>
      <w:r w:rsidR="008F28E7" w:rsidRPr="005F49B3">
        <w:rPr>
          <w:rFonts w:ascii="Times New Roman" w:hAnsi="Times New Roman" w:cs="Times New Roman"/>
          <w:sz w:val="24"/>
          <w:szCs w:val="24"/>
        </w:rPr>
        <w:t xml:space="preserve">стойчивост спрямо асиметрични рискове и </w:t>
      </w:r>
      <w:r w:rsidRPr="005F49B3">
        <w:rPr>
          <w:rFonts w:ascii="Times New Roman" w:hAnsi="Times New Roman" w:cs="Times New Roman"/>
          <w:sz w:val="24"/>
          <w:szCs w:val="24"/>
        </w:rPr>
        <w:t>заплахи.</w:t>
      </w:r>
    </w:p>
    <w:p w14:paraId="2C3518CF" w14:textId="77777777" w:rsidR="00754D18" w:rsidRPr="005F49B3" w:rsidRDefault="0002349A" w:rsidP="00D6403A">
      <w:pPr>
        <w:pStyle w:val="Heading4"/>
        <w:numPr>
          <w:ilvl w:val="0"/>
          <w:numId w:val="33"/>
        </w:numPr>
        <w:spacing w:after="120"/>
        <w:ind w:left="0" w:firstLine="284"/>
        <w:jc w:val="center"/>
        <w:rPr>
          <w:rFonts w:ascii="Times New Roman" w:hAnsi="Times New Roman" w:cs="Times New Roman"/>
          <w:color w:val="auto"/>
          <w:sz w:val="24"/>
          <w:u w:val="single"/>
        </w:rPr>
      </w:pPr>
      <w:r w:rsidRPr="005F49B3">
        <w:rPr>
          <w:rFonts w:ascii="Times New Roman" w:hAnsi="Times New Roman" w:cs="Times New Roman"/>
          <w:color w:val="auto"/>
          <w:sz w:val="24"/>
          <w:u w:val="single"/>
        </w:rPr>
        <w:t>Регионална нестабилност в Югоизточна Европа</w:t>
      </w:r>
    </w:p>
    <w:p w14:paraId="0C057925" w14:textId="7D0B1833" w:rsidR="00754D18" w:rsidRPr="005F49B3" w:rsidRDefault="0048497D" w:rsidP="00D6403A">
      <w:pPr>
        <w:numPr>
          <w:ilvl w:val="0"/>
          <w:numId w:val="32"/>
        </w:numPr>
        <w:spacing w:after="120" w:line="276" w:lineRule="auto"/>
        <w:ind w:left="714" w:hanging="357"/>
        <w:contextualSpacing/>
        <w:jc w:val="both"/>
        <w:rPr>
          <w:rFonts w:ascii="Times New Roman" w:hAnsi="Times New Roman" w:cs="Times New Roman"/>
          <w:b/>
          <w:sz w:val="24"/>
          <w:szCs w:val="24"/>
        </w:rPr>
      </w:pPr>
      <w:r>
        <w:rPr>
          <w:rFonts w:ascii="Times New Roman" w:hAnsi="Times New Roman" w:cs="Times New Roman"/>
          <w:b/>
          <w:sz w:val="24"/>
          <w:szCs w:val="24"/>
        </w:rPr>
        <w:t xml:space="preserve">РСМ отказва да изпълни ангажиментите си по силата на Европейския консенсус от юли 2022 г., нарушава Договора за добросъседство, продължава </w:t>
      </w:r>
      <w:r w:rsidR="0002349A" w:rsidRPr="005F49B3">
        <w:rPr>
          <w:rFonts w:ascii="Times New Roman" w:hAnsi="Times New Roman" w:cs="Times New Roman"/>
          <w:b/>
          <w:sz w:val="24"/>
          <w:szCs w:val="24"/>
        </w:rPr>
        <w:t xml:space="preserve"> системно </w:t>
      </w:r>
      <w:r>
        <w:rPr>
          <w:rFonts w:ascii="Times New Roman" w:hAnsi="Times New Roman" w:cs="Times New Roman"/>
          <w:b/>
          <w:sz w:val="24"/>
          <w:szCs w:val="24"/>
        </w:rPr>
        <w:t xml:space="preserve">да </w:t>
      </w:r>
      <w:r w:rsidR="0002349A" w:rsidRPr="005F49B3">
        <w:rPr>
          <w:rFonts w:ascii="Times New Roman" w:hAnsi="Times New Roman" w:cs="Times New Roman"/>
          <w:b/>
          <w:sz w:val="24"/>
          <w:szCs w:val="24"/>
        </w:rPr>
        <w:t>прилага дискриминационни практики спрямо граждани с българско самосъзнание и подкопава историческите и културни връзки с България.</w:t>
      </w:r>
    </w:p>
    <w:p w14:paraId="49053FE8" w14:textId="77777777" w:rsidR="00754D18" w:rsidRPr="005F49B3" w:rsidRDefault="0002349A" w:rsidP="00D6403A">
      <w:pPr>
        <w:numPr>
          <w:ilvl w:val="0"/>
          <w:numId w:val="32"/>
        </w:numPr>
        <w:spacing w:after="120" w:line="276" w:lineRule="auto"/>
        <w:ind w:left="714" w:hanging="357"/>
        <w:contextualSpacing/>
        <w:jc w:val="both"/>
        <w:rPr>
          <w:rFonts w:ascii="Times New Roman" w:hAnsi="Times New Roman" w:cs="Times New Roman"/>
          <w:b/>
          <w:sz w:val="24"/>
          <w:szCs w:val="24"/>
        </w:rPr>
      </w:pPr>
      <w:r w:rsidRPr="005F49B3">
        <w:rPr>
          <w:rFonts w:ascii="Times New Roman" w:hAnsi="Times New Roman" w:cs="Times New Roman"/>
          <w:b/>
          <w:sz w:val="24"/>
          <w:szCs w:val="24"/>
        </w:rPr>
        <w:t>Политическата фрагментация, институционалната слабост и националистическата реторика в държавите от региона създават благоприятна среда за антибългарски послания.</w:t>
      </w:r>
    </w:p>
    <w:p w14:paraId="69717B59" w14:textId="77777777" w:rsidR="00754D18" w:rsidRPr="005F49B3" w:rsidRDefault="0002349A" w:rsidP="00D6403A">
      <w:pPr>
        <w:numPr>
          <w:ilvl w:val="0"/>
          <w:numId w:val="32"/>
        </w:numPr>
        <w:spacing w:after="120" w:line="276" w:lineRule="auto"/>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Сърбия продължава политика на асимилация спрямо българското малцинство и поддържа възприятие за България като „исторически противник“, съчетавайки я с идеологическо сближаване с външни авторитарни модели.</w:t>
      </w:r>
    </w:p>
    <w:p w14:paraId="4195FDE4" w14:textId="3553AD6C" w:rsidR="00754D18" w:rsidRPr="005F49B3"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 xml:space="preserve">През 2024 г. </w:t>
      </w:r>
      <w:r w:rsidR="0048497D">
        <w:rPr>
          <w:rFonts w:ascii="Times New Roman" w:hAnsi="Times New Roman" w:cs="Times New Roman"/>
          <w:sz w:val="24"/>
          <w:szCs w:val="24"/>
        </w:rPr>
        <w:t>Западните Балкани</w:t>
      </w:r>
      <w:r w:rsidRPr="005F49B3">
        <w:rPr>
          <w:rFonts w:ascii="Times New Roman" w:hAnsi="Times New Roman" w:cs="Times New Roman"/>
          <w:sz w:val="24"/>
          <w:szCs w:val="24"/>
        </w:rPr>
        <w:t xml:space="preserve"> остана</w:t>
      </w:r>
      <w:r w:rsidR="0048497D">
        <w:rPr>
          <w:rFonts w:ascii="Times New Roman" w:hAnsi="Times New Roman" w:cs="Times New Roman"/>
          <w:sz w:val="24"/>
          <w:szCs w:val="24"/>
        </w:rPr>
        <w:t>ха</w:t>
      </w:r>
      <w:r w:rsidRPr="005F49B3">
        <w:rPr>
          <w:rFonts w:ascii="Times New Roman" w:hAnsi="Times New Roman" w:cs="Times New Roman"/>
          <w:sz w:val="24"/>
          <w:szCs w:val="24"/>
        </w:rPr>
        <w:t xml:space="preserve"> зона на повишен риск от дестабилизация, подложена едновременно на вътрешни напрежения и външни въздействия. Продължаващата конкуренция между глобални и регионални актьори – включително </w:t>
      </w:r>
      <w:r w:rsidR="00AE3D51" w:rsidRPr="005F49B3">
        <w:rPr>
          <w:rFonts w:ascii="Times New Roman" w:hAnsi="Times New Roman" w:cs="Times New Roman"/>
          <w:sz w:val="24"/>
          <w:szCs w:val="24"/>
        </w:rPr>
        <w:t>РФ</w:t>
      </w:r>
      <w:r w:rsidRPr="005F49B3">
        <w:rPr>
          <w:rFonts w:ascii="Times New Roman" w:hAnsi="Times New Roman" w:cs="Times New Roman"/>
          <w:sz w:val="24"/>
          <w:szCs w:val="24"/>
        </w:rPr>
        <w:t xml:space="preserve">, Китай и субекти от Близкия изток – се реализира чрез икономически, политически и информационни канали. Регионът функционира като </w:t>
      </w:r>
      <w:r w:rsidR="008F28E7" w:rsidRPr="005F49B3">
        <w:rPr>
          <w:rFonts w:ascii="Times New Roman" w:hAnsi="Times New Roman" w:cs="Times New Roman"/>
          <w:sz w:val="24"/>
          <w:szCs w:val="24"/>
        </w:rPr>
        <w:t xml:space="preserve">поле на </w:t>
      </w:r>
      <w:r w:rsidRPr="005F49B3">
        <w:rPr>
          <w:rFonts w:ascii="Times New Roman" w:hAnsi="Times New Roman" w:cs="Times New Roman"/>
          <w:sz w:val="24"/>
          <w:szCs w:val="24"/>
        </w:rPr>
        <w:t>геополитическ</w:t>
      </w:r>
      <w:r w:rsidR="002A7912">
        <w:rPr>
          <w:rFonts w:ascii="Times New Roman" w:hAnsi="Times New Roman" w:cs="Times New Roman"/>
          <w:sz w:val="24"/>
          <w:szCs w:val="24"/>
        </w:rPr>
        <w:t>о</w:t>
      </w:r>
      <w:r w:rsidRPr="005F49B3">
        <w:rPr>
          <w:rFonts w:ascii="Times New Roman" w:hAnsi="Times New Roman" w:cs="Times New Roman"/>
          <w:sz w:val="24"/>
          <w:szCs w:val="24"/>
        </w:rPr>
        <w:t xml:space="preserve"> </w:t>
      </w:r>
      <w:r w:rsidR="008F28E7" w:rsidRPr="005F49B3">
        <w:rPr>
          <w:rFonts w:ascii="Times New Roman" w:hAnsi="Times New Roman" w:cs="Times New Roman"/>
          <w:sz w:val="24"/>
          <w:szCs w:val="24"/>
        </w:rPr>
        <w:t>съперничество</w:t>
      </w:r>
      <w:r w:rsidRPr="005F49B3">
        <w:rPr>
          <w:rFonts w:ascii="Times New Roman" w:hAnsi="Times New Roman" w:cs="Times New Roman"/>
          <w:sz w:val="24"/>
          <w:szCs w:val="24"/>
        </w:rPr>
        <w:t>, в който уязвимостите на държавите създават предпоставки за подривна дейност, блокиране на европейската интеграция и ерозия на евроатлантическите формати за сигурност.</w:t>
      </w:r>
      <w:r w:rsidR="0048497D">
        <w:rPr>
          <w:rFonts w:ascii="Times New Roman" w:hAnsi="Times New Roman" w:cs="Times New Roman"/>
          <w:sz w:val="24"/>
          <w:szCs w:val="24"/>
        </w:rPr>
        <w:t xml:space="preserve"> Липсата на напредък в диалога под егидата на ЕС за нормализ</w:t>
      </w:r>
      <w:r w:rsidR="00C474E9">
        <w:rPr>
          <w:rFonts w:ascii="Times New Roman" w:hAnsi="Times New Roman" w:cs="Times New Roman"/>
          <w:sz w:val="24"/>
          <w:szCs w:val="24"/>
        </w:rPr>
        <w:t>иране</w:t>
      </w:r>
      <w:r w:rsidR="0048497D">
        <w:rPr>
          <w:rFonts w:ascii="Times New Roman" w:hAnsi="Times New Roman" w:cs="Times New Roman"/>
          <w:sz w:val="24"/>
          <w:szCs w:val="24"/>
        </w:rPr>
        <w:t xml:space="preserve"> на отношенията между Сърбия и Косово, както и сепаратистката реторика и действията срещу конституционния ред на Босна и Херцеговина от страна на ръководството на Република Сръбска остават основни предизвикателства пред регионалната сигурност и стабилност.</w:t>
      </w:r>
    </w:p>
    <w:p w14:paraId="3239F7A2" w14:textId="7D8E76DD" w:rsidR="00754D18" w:rsidRPr="005F49B3" w:rsidRDefault="00AE3D51"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lastRenderedPageBreak/>
        <w:t>РФ</w:t>
      </w:r>
      <w:r w:rsidR="0002349A" w:rsidRPr="005F49B3">
        <w:rPr>
          <w:rFonts w:ascii="Times New Roman" w:hAnsi="Times New Roman" w:cs="Times New Roman"/>
          <w:sz w:val="24"/>
          <w:szCs w:val="24"/>
        </w:rPr>
        <w:t xml:space="preserve"> продължи активно да експлоатира междуетнически, религиозни и исторически линии на напрежение, използвайки региона като канал за заобикаляне на санкции и платформа за влияние. Чрез мрежи от влияние, проксита и дезинформационни кампании Кремъл подкопава устоите на демократичното управление, задълбочава общественото разделение и възпрепятства изпълнението на реформите, свързани с членство</w:t>
      </w:r>
      <w:r w:rsidR="00C474E9">
        <w:rPr>
          <w:rFonts w:ascii="Times New Roman" w:hAnsi="Times New Roman" w:cs="Times New Roman"/>
          <w:sz w:val="24"/>
          <w:szCs w:val="24"/>
        </w:rPr>
        <w:t>то</w:t>
      </w:r>
      <w:r w:rsidR="0002349A" w:rsidRPr="005F49B3">
        <w:rPr>
          <w:rFonts w:ascii="Times New Roman" w:hAnsi="Times New Roman" w:cs="Times New Roman"/>
          <w:sz w:val="24"/>
          <w:szCs w:val="24"/>
        </w:rPr>
        <w:t xml:space="preserve"> в ЕС. Особено силно руското присъствие се проявява в Сърбия и Република Сръбска, където се наблюдава системна консолидация на антизападни наративи, антибългарски послания и геополитически ревизионизъм.</w:t>
      </w:r>
    </w:p>
    <w:p w14:paraId="4F1DCCD3" w14:textId="77777777" w:rsidR="0048497D" w:rsidRPr="005F49B3" w:rsidRDefault="0048497D" w:rsidP="0048497D">
      <w:pPr>
        <w:spacing w:after="12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С идването си на власт в </w:t>
      </w:r>
      <w:r w:rsidRPr="005F49B3">
        <w:rPr>
          <w:rFonts w:ascii="Times New Roman" w:hAnsi="Times New Roman" w:cs="Times New Roman"/>
          <w:sz w:val="24"/>
          <w:szCs w:val="24"/>
        </w:rPr>
        <w:t xml:space="preserve">Република Северна Македония </w:t>
      </w:r>
      <w:r w:rsidRPr="006621B9">
        <w:rPr>
          <w:rFonts w:ascii="Times New Roman" w:hAnsi="Times New Roman" w:cs="Times New Roman"/>
          <w:sz w:val="24"/>
          <w:szCs w:val="24"/>
        </w:rPr>
        <w:t>(</w:t>
      </w:r>
      <w:r w:rsidRPr="005F49B3">
        <w:rPr>
          <w:rFonts w:ascii="Times New Roman" w:hAnsi="Times New Roman" w:cs="Times New Roman"/>
          <w:sz w:val="24"/>
          <w:szCs w:val="24"/>
        </w:rPr>
        <w:t>РСМ</w:t>
      </w:r>
      <w:r w:rsidRPr="006621B9">
        <w:rPr>
          <w:rFonts w:ascii="Times New Roman" w:hAnsi="Times New Roman" w:cs="Times New Roman"/>
          <w:sz w:val="24"/>
          <w:szCs w:val="24"/>
        </w:rPr>
        <w:t>)</w:t>
      </w:r>
      <w:r>
        <w:rPr>
          <w:rFonts w:ascii="Times New Roman" w:hAnsi="Times New Roman" w:cs="Times New Roman"/>
          <w:sz w:val="24"/>
          <w:szCs w:val="24"/>
        </w:rPr>
        <w:t xml:space="preserve"> воденото от ДПМНЕ правителство открито се противопостави на изпълнението на поетите от страната ангажименти по силата на Европейския консенсус от 2022 г., полагайки целенасочени усилия за неговото подкопаване. Това се отнася и до вписването на </w:t>
      </w:r>
      <w:r w:rsidRPr="005F49B3">
        <w:rPr>
          <w:rFonts w:ascii="Times New Roman" w:hAnsi="Times New Roman" w:cs="Times New Roman"/>
          <w:sz w:val="24"/>
          <w:szCs w:val="24"/>
        </w:rPr>
        <w:t xml:space="preserve"> </w:t>
      </w:r>
      <w:r>
        <w:rPr>
          <w:rFonts w:ascii="Times New Roman" w:hAnsi="Times New Roman" w:cs="Times New Roman"/>
          <w:sz w:val="24"/>
          <w:szCs w:val="24"/>
        </w:rPr>
        <w:t xml:space="preserve">българите в конституцията като конкретно условие за фактическото начало на преговорите за присъединяване към ЕС. Предприета беше безпрецедентна антибългарска кампания, в грубо нарушение на духа и буквата на </w:t>
      </w:r>
      <w:r w:rsidRPr="005F49B3">
        <w:rPr>
          <w:rFonts w:ascii="Times New Roman" w:hAnsi="Times New Roman" w:cs="Times New Roman"/>
          <w:sz w:val="24"/>
          <w:szCs w:val="24"/>
        </w:rPr>
        <w:t xml:space="preserve">Договора за </w:t>
      </w:r>
      <w:r>
        <w:rPr>
          <w:rFonts w:ascii="Times New Roman" w:hAnsi="Times New Roman" w:cs="Times New Roman"/>
          <w:sz w:val="24"/>
          <w:szCs w:val="24"/>
        </w:rPr>
        <w:t xml:space="preserve">приятелство, </w:t>
      </w:r>
      <w:r w:rsidRPr="005F49B3">
        <w:rPr>
          <w:rFonts w:ascii="Times New Roman" w:hAnsi="Times New Roman" w:cs="Times New Roman"/>
          <w:sz w:val="24"/>
          <w:szCs w:val="24"/>
        </w:rPr>
        <w:t xml:space="preserve">добросъседство и </w:t>
      </w:r>
      <w:r>
        <w:rPr>
          <w:rFonts w:ascii="Times New Roman" w:hAnsi="Times New Roman" w:cs="Times New Roman"/>
          <w:sz w:val="24"/>
          <w:szCs w:val="24"/>
        </w:rPr>
        <w:t xml:space="preserve">сътрудничество от </w:t>
      </w:r>
      <w:r w:rsidRPr="005F49B3">
        <w:rPr>
          <w:rFonts w:ascii="Times New Roman" w:hAnsi="Times New Roman" w:cs="Times New Roman"/>
          <w:sz w:val="24"/>
          <w:szCs w:val="24"/>
        </w:rPr>
        <w:t xml:space="preserve">2017 г. </w:t>
      </w:r>
      <w:r>
        <w:rPr>
          <w:rFonts w:ascii="Times New Roman" w:hAnsi="Times New Roman" w:cs="Times New Roman"/>
          <w:sz w:val="24"/>
          <w:szCs w:val="24"/>
        </w:rPr>
        <w:t xml:space="preserve">Продължи прилагането на </w:t>
      </w:r>
      <w:r w:rsidRPr="005F49B3">
        <w:rPr>
          <w:rFonts w:ascii="Times New Roman" w:hAnsi="Times New Roman" w:cs="Times New Roman"/>
          <w:sz w:val="24"/>
          <w:szCs w:val="24"/>
        </w:rPr>
        <w:t>системна дискриминация спрямо граждани с българско самосъзнание, включително чрез ограничен достъп до правосъдие, възпрепятстване на регистрацията на сдружения, език на омразата в публичното пространство</w:t>
      </w:r>
      <w:r>
        <w:rPr>
          <w:rFonts w:ascii="Times New Roman" w:hAnsi="Times New Roman" w:cs="Times New Roman"/>
          <w:sz w:val="24"/>
          <w:szCs w:val="24"/>
        </w:rPr>
        <w:t xml:space="preserve">, </w:t>
      </w:r>
      <w:r w:rsidRPr="005F49B3">
        <w:rPr>
          <w:rFonts w:ascii="Times New Roman" w:hAnsi="Times New Roman" w:cs="Times New Roman"/>
          <w:sz w:val="24"/>
          <w:szCs w:val="24"/>
        </w:rPr>
        <w:t xml:space="preserve">административен и институционален натиск върху представители на българската общност което подкопава както принципите на върховенството на правото, така и доверието между двете държави. </w:t>
      </w:r>
      <w:r>
        <w:rPr>
          <w:rFonts w:ascii="Times New Roman" w:hAnsi="Times New Roman" w:cs="Times New Roman"/>
          <w:sz w:val="24"/>
          <w:szCs w:val="24"/>
        </w:rPr>
        <w:t xml:space="preserve">Няма промяна в подхода на Скопие на отричане на историческите факти и заличаване на българското културно-историческо наследство. </w:t>
      </w:r>
    </w:p>
    <w:p w14:paraId="7DF16A97" w14:textId="77777777" w:rsidR="00754D18" w:rsidRPr="005F49B3" w:rsidRDefault="008F28E7"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Основните</w:t>
      </w:r>
      <w:r w:rsidR="0002349A" w:rsidRPr="005F49B3">
        <w:rPr>
          <w:rFonts w:ascii="Times New Roman" w:hAnsi="Times New Roman" w:cs="Times New Roman"/>
          <w:sz w:val="24"/>
          <w:szCs w:val="24"/>
        </w:rPr>
        <w:t xml:space="preserve"> рискове за </w:t>
      </w:r>
      <w:r w:rsidRPr="005F49B3">
        <w:rPr>
          <w:rFonts w:ascii="Times New Roman" w:hAnsi="Times New Roman" w:cs="Times New Roman"/>
          <w:sz w:val="24"/>
          <w:szCs w:val="24"/>
        </w:rPr>
        <w:t>страната ни в регионален план</w:t>
      </w:r>
      <w:r w:rsidR="0002349A" w:rsidRPr="005F49B3">
        <w:rPr>
          <w:rFonts w:ascii="Times New Roman" w:hAnsi="Times New Roman" w:cs="Times New Roman"/>
          <w:sz w:val="24"/>
          <w:szCs w:val="24"/>
        </w:rPr>
        <w:t xml:space="preserve"> обективно произтичат от: силната антибългарска пропаганда на РСМ, нарушаването на човешките права на гражданите на с българско самосъзнание, възпрепятстване процесите, свързани с утвърждаването и съхраня</w:t>
      </w:r>
      <w:r w:rsidRPr="005F49B3">
        <w:rPr>
          <w:rFonts w:ascii="Times New Roman" w:hAnsi="Times New Roman" w:cs="Times New Roman"/>
          <w:sz w:val="24"/>
          <w:szCs w:val="24"/>
        </w:rPr>
        <w:t>ването на българските общности</w:t>
      </w:r>
      <w:r w:rsidR="0002349A" w:rsidRPr="005F49B3">
        <w:rPr>
          <w:rFonts w:ascii="Times New Roman" w:hAnsi="Times New Roman" w:cs="Times New Roman"/>
          <w:sz w:val="24"/>
          <w:szCs w:val="24"/>
        </w:rPr>
        <w:t>, негласната подкрепа на Скопие за опитите на македонистки организации в България да наложат тезата за съществуване на „</w:t>
      </w:r>
      <w:r w:rsidR="0002349A" w:rsidRPr="005F49B3">
        <w:rPr>
          <w:rFonts w:ascii="Times New Roman" w:hAnsi="Times New Roman" w:cs="Times New Roman"/>
          <w:i/>
          <w:sz w:val="24"/>
          <w:szCs w:val="24"/>
        </w:rPr>
        <w:t>македонско малцинство</w:t>
      </w:r>
      <w:r w:rsidR="0002349A" w:rsidRPr="005F49B3">
        <w:rPr>
          <w:rFonts w:ascii="Times New Roman" w:hAnsi="Times New Roman" w:cs="Times New Roman"/>
          <w:sz w:val="24"/>
          <w:szCs w:val="24"/>
        </w:rPr>
        <w:t xml:space="preserve">“, </w:t>
      </w:r>
      <w:r w:rsidRPr="005F49B3">
        <w:rPr>
          <w:rFonts w:ascii="Times New Roman" w:hAnsi="Times New Roman" w:cs="Times New Roman"/>
          <w:sz w:val="24"/>
          <w:szCs w:val="24"/>
        </w:rPr>
        <w:t xml:space="preserve">както и </w:t>
      </w:r>
      <w:r w:rsidR="0002349A" w:rsidRPr="005F49B3">
        <w:rPr>
          <w:rFonts w:ascii="Times New Roman" w:hAnsi="Times New Roman" w:cs="Times New Roman"/>
          <w:sz w:val="24"/>
          <w:szCs w:val="24"/>
        </w:rPr>
        <w:t xml:space="preserve">продължаващите усилия на РСМ за асимилиране на нашите сънародници в Албания. </w:t>
      </w:r>
    </w:p>
    <w:p w14:paraId="3193230F" w14:textId="7118305B" w:rsidR="00754D18" w:rsidRPr="005F49B3"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В останалата част от Западните Балкани се отчита засилена фрагментация на политическия процес, отслабване на институциите и разгръщане на крайни националистически дискурси. Вътрешната поляризация, недостатъчният напредък в борбата с корупцията и организираната престъпност, както и отстъпленията от свободата на медиите, създават благоприятна среда за външна интервенция и подривна дейност. На този фон, негативното отношение към България се използва като инструмент за политическа мобилизация и отклоняване на вниманието от вътрешни проблеми в част от държавите.</w:t>
      </w:r>
      <w:r w:rsidR="008F28E7" w:rsidRPr="005F49B3">
        <w:rPr>
          <w:rFonts w:ascii="Times New Roman" w:hAnsi="Times New Roman" w:cs="Times New Roman"/>
          <w:sz w:val="24"/>
          <w:szCs w:val="24"/>
        </w:rPr>
        <w:t xml:space="preserve"> С</w:t>
      </w:r>
      <w:r w:rsidRPr="005F49B3">
        <w:rPr>
          <w:rFonts w:ascii="Times New Roman" w:hAnsi="Times New Roman" w:cs="Times New Roman"/>
          <w:sz w:val="24"/>
          <w:szCs w:val="24"/>
        </w:rPr>
        <w:t>илният националистически елемент в регионалната политика на Сърбия, устойчивото възприятие за България като „</w:t>
      </w:r>
      <w:r w:rsidRPr="005F49B3">
        <w:rPr>
          <w:rFonts w:ascii="Times New Roman" w:hAnsi="Times New Roman" w:cs="Times New Roman"/>
          <w:i/>
          <w:sz w:val="24"/>
          <w:szCs w:val="24"/>
        </w:rPr>
        <w:t>исторически</w:t>
      </w:r>
      <w:r w:rsidRPr="005F49B3">
        <w:rPr>
          <w:rFonts w:ascii="Times New Roman" w:hAnsi="Times New Roman" w:cs="Times New Roman"/>
          <w:sz w:val="24"/>
          <w:szCs w:val="24"/>
        </w:rPr>
        <w:t xml:space="preserve">“ противник и системната политика на Белград за асимилация на българското национално малцинство в </w:t>
      </w:r>
      <w:r w:rsidRPr="002A7912">
        <w:rPr>
          <w:rFonts w:ascii="Times New Roman" w:hAnsi="Times New Roman" w:cs="Times New Roman"/>
          <w:sz w:val="24"/>
          <w:szCs w:val="24"/>
        </w:rPr>
        <w:t>страната</w:t>
      </w:r>
      <w:r w:rsidR="002A7912">
        <w:rPr>
          <w:rFonts w:ascii="Times New Roman" w:hAnsi="Times New Roman" w:cs="Times New Roman"/>
          <w:sz w:val="24"/>
          <w:szCs w:val="24"/>
        </w:rPr>
        <w:t xml:space="preserve"> </w:t>
      </w:r>
      <w:r w:rsidR="002A7912" w:rsidRPr="002A7912">
        <w:rPr>
          <w:rFonts w:ascii="Times New Roman" w:hAnsi="Times New Roman" w:cs="Times New Roman"/>
          <w:sz w:val="24"/>
          <w:szCs w:val="24"/>
        </w:rPr>
        <w:t>водят до трайно напрежение в двустранните отношения и същевременно подкопават усилията за регионална стабилност и европейска интеграция на Западните Балкани.</w:t>
      </w:r>
      <w:r w:rsidRPr="005F49B3">
        <w:rPr>
          <w:rFonts w:ascii="Times New Roman" w:hAnsi="Times New Roman" w:cs="Times New Roman"/>
          <w:sz w:val="24"/>
          <w:szCs w:val="24"/>
        </w:rPr>
        <w:t>.</w:t>
      </w:r>
    </w:p>
    <w:p w14:paraId="74B4C831" w14:textId="5EB0F7DE" w:rsidR="00754D18" w:rsidRPr="005F49B3"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lastRenderedPageBreak/>
        <w:t>Допълнителна несигурност внася неясния</w:t>
      </w:r>
      <w:r w:rsidR="00C474E9">
        <w:rPr>
          <w:rFonts w:ascii="Times New Roman" w:hAnsi="Times New Roman" w:cs="Times New Roman"/>
          <w:sz w:val="24"/>
          <w:szCs w:val="24"/>
        </w:rPr>
        <w:t>т</w:t>
      </w:r>
      <w:r w:rsidRPr="005F49B3">
        <w:rPr>
          <w:rFonts w:ascii="Times New Roman" w:hAnsi="Times New Roman" w:cs="Times New Roman"/>
          <w:sz w:val="24"/>
          <w:szCs w:val="24"/>
        </w:rPr>
        <w:t xml:space="preserve"> подход на САЩ към Западните Балкани след смяната на президентската администрация в началото на 2025 г. Основно притеснение е, че след десетилетия на силен ангажимент към Западните Балкани и тясно взаимодействие с ЕС, Вашингтон дава индикации за отслабен интерес към сигурността, върховенството на правото, правата на човека. </w:t>
      </w:r>
    </w:p>
    <w:p w14:paraId="56710685" w14:textId="1DD34C9E" w:rsidR="00754D18" w:rsidRPr="005F49B3"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Процесите в региона оказват непосредствено влияние върху сигурността на Република България, включително по линия на инфраструктурната свързаност, трансграничната престъпност и информационната сигурност. Особено внимание изисква въздействието върху българските исторически и културни общности, които се намират под риск от маргинализация, асимилация и подриване на връзката с българската държава.</w:t>
      </w:r>
    </w:p>
    <w:p w14:paraId="49140CEF" w14:textId="77777777" w:rsidR="00754D18" w:rsidRPr="005F49B3"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В този контекст, България следва да продължи последователна и принципна политика, основана на защитата на правата на своите сънародници, стриктно прилагане на обвързващите договорености и активно участие в общите европейски усилия за устойчиво развитие и сигурност в региона. Необходимо е също така засилване на стратегическата комуникация, подкрепата за гражданските структури в страните от региона, както и развитие на икономически, образователни и културни формати за трайно присъствие на България в Югоизточна Европа.</w:t>
      </w:r>
    </w:p>
    <w:p w14:paraId="214106E4" w14:textId="77777777" w:rsidR="00754D18" w:rsidRPr="005F49B3" w:rsidRDefault="0002349A" w:rsidP="00D6403A">
      <w:pPr>
        <w:pStyle w:val="Heading4"/>
        <w:numPr>
          <w:ilvl w:val="0"/>
          <w:numId w:val="33"/>
        </w:numPr>
        <w:spacing w:after="120"/>
        <w:ind w:left="0" w:firstLine="284"/>
        <w:jc w:val="center"/>
        <w:rPr>
          <w:rFonts w:ascii="Times New Roman" w:hAnsi="Times New Roman" w:cs="Times New Roman"/>
          <w:color w:val="auto"/>
          <w:sz w:val="24"/>
          <w:u w:val="single"/>
        </w:rPr>
      </w:pPr>
      <w:r w:rsidRPr="005F49B3">
        <w:rPr>
          <w:rFonts w:ascii="Times New Roman" w:hAnsi="Times New Roman" w:cs="Times New Roman"/>
          <w:color w:val="auto"/>
          <w:sz w:val="24"/>
          <w:u w:val="single"/>
        </w:rPr>
        <w:t>Хибридни заплахи срещу България</w:t>
      </w:r>
    </w:p>
    <w:p w14:paraId="56B2190A" w14:textId="77777777" w:rsidR="00754D18" w:rsidRPr="005F49B3" w:rsidRDefault="0002349A" w:rsidP="00D6403A">
      <w:pPr>
        <w:numPr>
          <w:ilvl w:val="0"/>
          <w:numId w:val="30"/>
        </w:numPr>
        <w:spacing w:after="120" w:line="276" w:lineRule="auto"/>
        <w:ind w:left="714" w:hanging="357"/>
        <w:contextualSpacing/>
        <w:jc w:val="both"/>
        <w:rPr>
          <w:rFonts w:ascii="Times New Roman" w:hAnsi="Times New Roman" w:cs="Times New Roman"/>
          <w:b/>
          <w:sz w:val="24"/>
          <w:szCs w:val="24"/>
        </w:rPr>
      </w:pPr>
      <w:r w:rsidRPr="005F49B3">
        <w:rPr>
          <w:rFonts w:ascii="Times New Roman" w:hAnsi="Times New Roman" w:cs="Times New Roman"/>
          <w:b/>
          <w:sz w:val="24"/>
          <w:szCs w:val="24"/>
        </w:rPr>
        <w:t xml:space="preserve">България остава обект на активни въздействия в образователната, културната и медийната сфера. </w:t>
      </w:r>
    </w:p>
    <w:p w14:paraId="09778807" w14:textId="58B93D74" w:rsidR="00754D18" w:rsidRPr="005F49B3" w:rsidRDefault="0002349A" w:rsidP="00D6403A">
      <w:pPr>
        <w:numPr>
          <w:ilvl w:val="0"/>
          <w:numId w:val="30"/>
        </w:numPr>
        <w:spacing w:after="120" w:line="276" w:lineRule="auto"/>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Основен източник на хибридно въздействие остава Руската федерация, която прилага усъвършенстван хибриден инструментариум, съчетаващ политическо влияние, дезинформация, икономически и енергиен натиск</w:t>
      </w:r>
      <w:r w:rsidR="00281910">
        <w:rPr>
          <w:rFonts w:ascii="Times New Roman" w:hAnsi="Times New Roman" w:cs="Times New Roman"/>
          <w:b/>
          <w:sz w:val="24"/>
          <w:szCs w:val="24"/>
        </w:rPr>
        <w:t xml:space="preserve"> и</w:t>
      </w:r>
      <w:r w:rsidRPr="005F49B3">
        <w:rPr>
          <w:rFonts w:ascii="Times New Roman" w:hAnsi="Times New Roman" w:cs="Times New Roman"/>
          <w:b/>
          <w:sz w:val="24"/>
          <w:szCs w:val="24"/>
        </w:rPr>
        <w:t xml:space="preserve"> кибероперации</w:t>
      </w:r>
      <w:r w:rsidR="00F54117">
        <w:rPr>
          <w:rFonts w:ascii="Times New Roman" w:hAnsi="Times New Roman" w:cs="Times New Roman"/>
          <w:b/>
          <w:sz w:val="24"/>
          <w:szCs w:val="24"/>
        </w:rPr>
        <w:t xml:space="preserve">. </w:t>
      </w:r>
    </w:p>
    <w:p w14:paraId="49AA1D87" w14:textId="4E2F0112" w:rsidR="00754D18"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 xml:space="preserve">През 2024 г. хибридната дейност на </w:t>
      </w:r>
      <w:r w:rsidR="00AE3D51" w:rsidRPr="005F49B3">
        <w:rPr>
          <w:rFonts w:ascii="Times New Roman" w:hAnsi="Times New Roman" w:cs="Times New Roman"/>
          <w:sz w:val="24"/>
          <w:szCs w:val="24"/>
        </w:rPr>
        <w:t>РФ</w:t>
      </w:r>
      <w:r w:rsidRPr="005F49B3">
        <w:rPr>
          <w:rFonts w:ascii="Times New Roman" w:hAnsi="Times New Roman" w:cs="Times New Roman"/>
          <w:sz w:val="24"/>
          <w:szCs w:val="24"/>
        </w:rPr>
        <w:t xml:space="preserve"> срещу България продължи да се развива с висока интензивност и нарастваща комплексност, като включваше широк спектър от действия в политическата, икономическата, информационната и културната сфера. Основен риск представляваше ерозията на общественото доверие в институциите чрез координирани дезинформационни кампании, провеждани както в традиционните, така и в социалните медии. </w:t>
      </w:r>
      <w:r w:rsidR="0086182B">
        <w:rPr>
          <w:rFonts w:ascii="Times New Roman" w:hAnsi="Times New Roman" w:cs="Times New Roman"/>
          <w:sz w:val="24"/>
          <w:szCs w:val="24"/>
        </w:rPr>
        <w:t>Продължават опитите за проникване</w:t>
      </w:r>
      <w:r w:rsidRPr="005F49B3">
        <w:rPr>
          <w:rFonts w:ascii="Times New Roman" w:hAnsi="Times New Roman" w:cs="Times New Roman"/>
          <w:sz w:val="24"/>
          <w:szCs w:val="24"/>
        </w:rPr>
        <w:t xml:space="preserve"> в образователната и академичната среда чрез културни и езикови инициативи</w:t>
      </w:r>
      <w:r w:rsidR="0086182B">
        <w:rPr>
          <w:rFonts w:ascii="Times New Roman" w:hAnsi="Times New Roman" w:cs="Times New Roman"/>
          <w:sz w:val="24"/>
          <w:szCs w:val="24"/>
        </w:rPr>
        <w:t>, което</w:t>
      </w:r>
      <w:r w:rsidRPr="005F49B3">
        <w:rPr>
          <w:rFonts w:ascii="Times New Roman" w:hAnsi="Times New Roman" w:cs="Times New Roman"/>
          <w:sz w:val="24"/>
          <w:szCs w:val="24"/>
        </w:rPr>
        <w:t xml:space="preserve"> цели изграждане на благоприятна среда за разпространение на руски стратегически наративи. Продължават опитите за политическо влияние и манипулация на изборни процеси, включително в контекста на изборите за Европейски парламент. Зачестяват случаи на </w:t>
      </w:r>
      <w:proofErr w:type="spellStart"/>
      <w:r w:rsidRPr="005F49B3">
        <w:rPr>
          <w:rFonts w:ascii="Times New Roman" w:hAnsi="Times New Roman" w:cs="Times New Roman"/>
          <w:sz w:val="24"/>
          <w:szCs w:val="24"/>
        </w:rPr>
        <w:t>инструментализиране</w:t>
      </w:r>
      <w:proofErr w:type="spellEnd"/>
      <w:r w:rsidRPr="005F49B3">
        <w:rPr>
          <w:rFonts w:ascii="Times New Roman" w:hAnsi="Times New Roman" w:cs="Times New Roman"/>
          <w:sz w:val="24"/>
          <w:szCs w:val="24"/>
        </w:rPr>
        <w:t xml:space="preserve"> на икономически и енергийни зависимости за геополитическо въздействие. Констатирана е уязвимост на обществените нагласи, особено сред младежите, националистически ориентирани групи и маргинализирани социални слоеве, предвид ниската степен на цифрова и медийна грамотност, както и повишена експозиция на населението към манипулативно съдържание в социалните мрежи. Акцент в руската стратегия остава използването на вътрешни актьори за усилване на социалните разломи, поляризация и подкопаване на демократичните процеси.</w:t>
      </w:r>
    </w:p>
    <w:p w14:paraId="549B259B" w14:textId="2DD525A8" w:rsidR="0048497D" w:rsidRPr="005F49B3" w:rsidRDefault="0048497D" w:rsidP="00891E30">
      <w:pPr>
        <w:spacing w:after="120" w:line="276" w:lineRule="auto"/>
        <w:ind w:firstLine="851"/>
        <w:jc w:val="both"/>
        <w:rPr>
          <w:rFonts w:ascii="Times New Roman" w:hAnsi="Times New Roman" w:cs="Times New Roman"/>
          <w:sz w:val="24"/>
          <w:szCs w:val="24"/>
        </w:rPr>
      </w:pPr>
      <w:r w:rsidRPr="00AD1524">
        <w:rPr>
          <w:rFonts w:ascii="Times New Roman" w:eastAsia="Calibri" w:hAnsi="Times New Roman" w:cs="Times New Roman"/>
          <w:sz w:val="24"/>
          <w:szCs w:val="24"/>
          <w:lang w:eastAsia="bg-BG"/>
        </w:rPr>
        <w:lastRenderedPageBreak/>
        <w:t>Част от опитите за хибридни въздействия от трети страни, включително Руската федерация, целят прокарване на институционално ниво на концепции и тези, които се опитват да блокират държавната политика на Република България по отношение на български исторически общности и възпрепятстват укрепването на българската идентичност и самосъзнание сред техните представители. Това крие рискове за ефективното провеждане на политиките към българските общности извън страната, насочени към изграждането на положителен и притегателен образ на България.</w:t>
      </w:r>
    </w:p>
    <w:p w14:paraId="1E3BAB99" w14:textId="675314D7" w:rsidR="00754D18" w:rsidRPr="005F49B3"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В отговор на тези предизвикателства, през 2024 г. бяха засилени усилията за изграждане на национален капацитет за противодействие. България утвърди участието си в Европейския център за върхови постижения за противодействие на хибридните заплахи,</w:t>
      </w:r>
      <w:r w:rsidR="00DB748C">
        <w:rPr>
          <w:rFonts w:ascii="Times New Roman" w:hAnsi="Times New Roman" w:cs="Times New Roman"/>
          <w:sz w:val="24"/>
          <w:szCs w:val="24"/>
        </w:rPr>
        <w:t xml:space="preserve"> </w:t>
      </w:r>
      <w:r w:rsidRPr="005F49B3">
        <w:rPr>
          <w:rFonts w:ascii="Times New Roman" w:hAnsi="Times New Roman" w:cs="Times New Roman"/>
          <w:sz w:val="24"/>
          <w:szCs w:val="24"/>
        </w:rPr>
        <w:t xml:space="preserve">което даде възможност за обмен на добри практики, съвместни обучения и надграждане на експертиза. На ниво ЕС беше приет нов ограничителен режим, позволяващ насочени действия срещу участници в дестабилизиращи дейности. На национално равнище се предприемат мерки за развитие на аналитичен капацитет, повишаване на медийната грамотност и подобряване на междуинституционалната координация в сферата на </w:t>
      </w:r>
      <w:r w:rsidR="00281910">
        <w:rPr>
          <w:rFonts w:ascii="Times New Roman" w:hAnsi="Times New Roman" w:cs="Times New Roman"/>
          <w:sz w:val="24"/>
          <w:szCs w:val="24"/>
        </w:rPr>
        <w:t xml:space="preserve">устойчивостта срещу хибридни заплахи. </w:t>
      </w:r>
    </w:p>
    <w:p w14:paraId="7232C11B" w14:textId="5DD1885D" w:rsidR="00754D18" w:rsidRPr="005F49B3" w:rsidRDefault="0002349A" w:rsidP="00891E30">
      <w:pPr>
        <w:spacing w:after="120" w:line="276" w:lineRule="auto"/>
        <w:ind w:firstLine="851"/>
        <w:jc w:val="both"/>
        <w:rPr>
          <w:rFonts w:ascii="Times New Roman" w:hAnsi="Times New Roman" w:cs="Times New Roman"/>
          <w:sz w:val="24"/>
          <w:szCs w:val="24"/>
        </w:rPr>
      </w:pPr>
      <w:r w:rsidRPr="005F49B3">
        <w:rPr>
          <w:rFonts w:ascii="Times New Roman" w:hAnsi="Times New Roman" w:cs="Times New Roman"/>
          <w:sz w:val="24"/>
          <w:szCs w:val="24"/>
        </w:rPr>
        <w:t xml:space="preserve">Необходимо е изграждането на цялостен стратегически подход към </w:t>
      </w:r>
      <w:r w:rsidR="00281910">
        <w:rPr>
          <w:rFonts w:ascii="Times New Roman" w:hAnsi="Times New Roman" w:cs="Times New Roman"/>
          <w:sz w:val="24"/>
          <w:szCs w:val="24"/>
        </w:rPr>
        <w:t>устойчивостта срещу хибридни заплахи</w:t>
      </w:r>
      <w:r w:rsidRPr="005F49B3">
        <w:rPr>
          <w:rFonts w:ascii="Times New Roman" w:hAnsi="Times New Roman" w:cs="Times New Roman"/>
          <w:sz w:val="24"/>
          <w:szCs w:val="24"/>
        </w:rPr>
        <w:t xml:space="preserve">, който да интегрира секторни политики в сферите на образованието, информационната сигурност, медиите, културата и външните отношения. Следва хибридните заплахи да се включат в стратегическото планиране на националната сигурност и да се осигурят устойчиви ресурси за аналитична дейност и експертна подготовка. Изисква се фокусирана работа с младите хора и академичната общност за предотвратяване на опити за </w:t>
      </w:r>
      <w:proofErr w:type="spellStart"/>
      <w:r w:rsidRPr="005F49B3">
        <w:rPr>
          <w:rFonts w:ascii="Times New Roman" w:hAnsi="Times New Roman" w:cs="Times New Roman"/>
          <w:sz w:val="24"/>
          <w:szCs w:val="24"/>
        </w:rPr>
        <w:t>инструментализиране</w:t>
      </w:r>
      <w:proofErr w:type="spellEnd"/>
      <w:r w:rsidRPr="005F49B3">
        <w:rPr>
          <w:rFonts w:ascii="Times New Roman" w:hAnsi="Times New Roman" w:cs="Times New Roman"/>
          <w:sz w:val="24"/>
          <w:szCs w:val="24"/>
        </w:rPr>
        <w:t xml:space="preserve"> на образованието и културата. Приоритет представлява повишаването на медийната и цифровата грамотност на населението, както и изграждането на устойчивост срещу манипулативни въздействия. Продължаването и задълбочаването на сътрудничеството в рамките на ЕС, НАТО и други партньорски формати следва да се осъществява чрез обмен на информация, съвместни сценарии и оперативна съвместимост на националните системи за ранно предупреждение и реакция.</w:t>
      </w:r>
    </w:p>
    <w:p w14:paraId="20270F50" w14:textId="77777777" w:rsidR="00A75466" w:rsidRPr="00757AC6" w:rsidRDefault="00A75466" w:rsidP="00D6403A">
      <w:pPr>
        <w:pStyle w:val="Heading3"/>
        <w:numPr>
          <w:ilvl w:val="0"/>
          <w:numId w:val="12"/>
        </w:numPr>
        <w:spacing w:line="360" w:lineRule="auto"/>
        <w:rPr>
          <w:rFonts w:ascii="Times New Roman" w:hAnsi="Times New Roman" w:cs="Times New Roman"/>
          <w:b/>
          <w:color w:val="1F4E79" w:themeColor="accent1" w:themeShade="80"/>
          <w:lang w:eastAsia="bg-BG"/>
        </w:rPr>
      </w:pPr>
      <w:bookmarkStart w:id="12" w:name="_Toc208580370"/>
      <w:r w:rsidRPr="00757AC6">
        <w:rPr>
          <w:rFonts w:ascii="Times New Roman" w:hAnsi="Times New Roman" w:cs="Times New Roman"/>
          <w:b/>
          <w:color w:val="1F4E79" w:themeColor="accent1" w:themeShade="80"/>
          <w:lang w:eastAsia="bg-BG"/>
        </w:rPr>
        <w:t>Активност на чужди разузнавателни служби</w:t>
      </w:r>
      <w:bookmarkEnd w:id="11"/>
      <w:bookmarkEnd w:id="12"/>
    </w:p>
    <w:p w14:paraId="15833620" w14:textId="77777777" w:rsidR="00286FF1" w:rsidRPr="005F49B3" w:rsidRDefault="00286FF1" w:rsidP="00D6403A">
      <w:pPr>
        <w:pStyle w:val="ListParagraph"/>
        <w:numPr>
          <w:ilvl w:val="0"/>
          <w:numId w:val="4"/>
        </w:numPr>
        <w:spacing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Чуждите разузнавателни служби поддържат високо равнище на активност в България, с акцент върху стратегическо проникване и влияние в политически, културни и социални процеси.</w:t>
      </w:r>
    </w:p>
    <w:p w14:paraId="65C016BB" w14:textId="77777777" w:rsidR="00286FF1" w:rsidRPr="005F49B3" w:rsidRDefault="00286FF1" w:rsidP="00D6403A">
      <w:pPr>
        <w:pStyle w:val="ListParagraph"/>
        <w:numPr>
          <w:ilvl w:val="0"/>
          <w:numId w:val="4"/>
        </w:numPr>
        <w:spacing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Засилена е оперативната активност на ДАНС, с конкретни случаи на предотвратени действия на чужди граждани, свързани с разузнаване, проникване в чувствителна инфраструктура и шпионаж.</w:t>
      </w:r>
    </w:p>
    <w:p w14:paraId="1534EB1D" w14:textId="77777777" w:rsidR="00286FF1" w:rsidRPr="005F49B3" w:rsidRDefault="00286FF1" w:rsidP="00D6403A">
      <w:pPr>
        <w:pStyle w:val="ListParagraph"/>
        <w:numPr>
          <w:ilvl w:val="0"/>
          <w:numId w:val="4"/>
        </w:numPr>
        <w:spacing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Идентифицирана е необходимост от промени в Наказателния кодекс, с цел инкриминиране на действия за чуждо влияние и модернизация на правната рамка.</w:t>
      </w:r>
    </w:p>
    <w:p w14:paraId="2A2C6F95" w14:textId="77777777" w:rsidR="00286FF1" w:rsidRPr="005F49B3" w:rsidRDefault="00286FF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През 2024 г. разузнавателната дейност на чужди държави в България остава на устойчиво високи нива. Целите включват подкопаване на политическата независимост на страната, ерозия на обществената кохезия, въздействие върху националната </w:t>
      </w:r>
      <w:r w:rsidRPr="005F49B3">
        <w:rPr>
          <w:rFonts w:ascii="Times New Roman" w:hAnsi="Times New Roman" w:cs="Times New Roman"/>
          <w:sz w:val="24"/>
          <w:szCs w:val="24"/>
          <w:lang w:eastAsia="bg-BG"/>
        </w:rPr>
        <w:lastRenderedPageBreak/>
        <w:t>идентичност и стратегическа ориентация, присвояване на българското културно-историческо наследство, манипулиране на общественото мнение, както и създаване на зависимости в различни сфери – политическа, икономическа, културна и образователна. Засилено внимание се наблюдава спрямо външнополитическите позиции на България, ангажиментите ѝ към НАТО и ЕС, както и дейността на български общности в чужбина.</w:t>
      </w:r>
    </w:p>
    <w:p w14:paraId="05C17BE0" w14:textId="6DBD75BF" w:rsidR="00286FF1" w:rsidRPr="005F49B3" w:rsidRDefault="00286FF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Методите на чуждите служби еволюират, като все по-често се използват нови технологии, хибридни подходи и разузнавачи</w:t>
      </w:r>
      <w:r w:rsidR="0086182B">
        <w:rPr>
          <w:rFonts w:ascii="Times New Roman" w:hAnsi="Times New Roman" w:cs="Times New Roman"/>
          <w:sz w:val="24"/>
          <w:szCs w:val="24"/>
          <w:lang w:eastAsia="bg-BG"/>
        </w:rPr>
        <w:t>-</w:t>
      </w:r>
      <w:proofErr w:type="spellStart"/>
      <w:r w:rsidR="0086182B">
        <w:rPr>
          <w:rFonts w:ascii="Times New Roman" w:hAnsi="Times New Roman" w:cs="Times New Roman"/>
          <w:sz w:val="24"/>
          <w:szCs w:val="24"/>
          <w:lang w:eastAsia="bg-BG"/>
        </w:rPr>
        <w:t>нелегали</w:t>
      </w:r>
      <w:proofErr w:type="spellEnd"/>
      <w:r w:rsidRPr="005F49B3">
        <w:rPr>
          <w:rFonts w:ascii="Times New Roman" w:hAnsi="Times New Roman" w:cs="Times New Roman"/>
          <w:sz w:val="24"/>
          <w:szCs w:val="24"/>
          <w:lang w:eastAsia="bg-BG"/>
        </w:rPr>
        <w:t>, а действията се насочват към ключови сектори на националната сигурност, включително военни обекти, стратегическа инфраструктура и държавни институции.</w:t>
      </w:r>
    </w:p>
    <w:p w14:paraId="6ABA048F" w14:textId="77777777" w:rsidR="00286FF1" w:rsidRPr="005F49B3" w:rsidRDefault="00286FF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отговор на тези рискове, през 2024 г. бяха осъществени редица контраразузнавателни действия. Бяха пресечени опити за разузнавателна дейност от страна на руски, беларуски, украински и други чужди граждани, включително нелегално проникване в стратегически обекти и действия, свързани с трансфер на капитали с произход от Руската федерация. Сред предотвратените инциденти фигурират и случаи на държавни служители, съпричастни към шпионаж, както и опити за изнасяне или разгласяване на държавна тайна.</w:t>
      </w:r>
    </w:p>
    <w:p w14:paraId="7D4DC706" w14:textId="77777777" w:rsidR="00286FF1" w:rsidRPr="005F49B3" w:rsidRDefault="00286FF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Продължи и изпълнението на Стратегията за повишаване на осведомеността в обществото относно рисковете от чужда разузнавателна дейност, насочена към носители на класифицирана информация в държавните структури.</w:t>
      </w:r>
    </w:p>
    <w:p w14:paraId="2BD932A8" w14:textId="77777777" w:rsidR="00286FF1" w:rsidRPr="005F49B3" w:rsidRDefault="00286FF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С оглед на продължаващата активност на чужди специални служби на територията на България, е необходимо предприемането на последователни законодателни и институционални мерки за укрепване на националната устойчивост. Следва да бъде инициирана целенасочена реформа в Наказателния кодекс, която да разшири приложното поле на съществуващите текстове, криминализиращи шпионажа (чл. 104 и чл. 105), като се отчетат съвременните форми на нелегална разузнавателна дейност и се въведат норми срещу действия, целящи оказване на политическо или информационно въздействие от страна на чужди служби.</w:t>
      </w:r>
    </w:p>
    <w:p w14:paraId="46792C13" w14:textId="77777777" w:rsidR="00495F5C" w:rsidRPr="005F49B3" w:rsidRDefault="00286FF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Необходимо е също така да се разработи правен механизъм за санкциониране на посредническа дейност в полза на чужди интереси, включително чрез икономически, културни или образователни канали. Съпътстващо, е важно да се засили капацитетът на специализираните звена за ранно идентифициране и противодействие на активни мероприятия, като се инвестира в технологии за анализ на комуникационни и финансови мрежи, използвани от чужди структури. Предвид нарастващата сложност на оперативната среда, следва да се стимулира и международният обмен на добри практики с партньорски служби в НАТО и ЕС.</w:t>
      </w:r>
    </w:p>
    <w:p w14:paraId="319CB4F6" w14:textId="77777777" w:rsidR="00A53041" w:rsidRPr="00757AC6" w:rsidRDefault="00A53041" w:rsidP="00D6403A">
      <w:pPr>
        <w:pStyle w:val="Heading3"/>
        <w:numPr>
          <w:ilvl w:val="0"/>
          <w:numId w:val="12"/>
        </w:numPr>
        <w:spacing w:line="276" w:lineRule="auto"/>
        <w:jc w:val="both"/>
        <w:rPr>
          <w:rFonts w:ascii="Times New Roman" w:hAnsi="Times New Roman" w:cs="Times New Roman"/>
          <w:b/>
          <w:color w:val="1F4E79" w:themeColor="accent1" w:themeShade="80"/>
        </w:rPr>
      </w:pPr>
      <w:bookmarkStart w:id="13" w:name="_Toc208580371"/>
      <w:r w:rsidRPr="00757AC6">
        <w:rPr>
          <w:rFonts w:ascii="Times New Roman" w:hAnsi="Times New Roman" w:cs="Times New Roman"/>
          <w:b/>
          <w:color w:val="1F4E79" w:themeColor="accent1" w:themeShade="80"/>
        </w:rPr>
        <w:t>Сигу</w:t>
      </w:r>
      <w:r w:rsidR="005F49B3" w:rsidRPr="00757AC6">
        <w:rPr>
          <w:rFonts w:ascii="Times New Roman" w:hAnsi="Times New Roman" w:cs="Times New Roman"/>
          <w:b/>
          <w:color w:val="1F4E79" w:themeColor="accent1" w:themeShade="80"/>
        </w:rPr>
        <w:t>рност и устойчивост в ЕС и НАТО и</w:t>
      </w:r>
      <w:r w:rsidRPr="00757AC6">
        <w:rPr>
          <w:rFonts w:ascii="Times New Roman" w:hAnsi="Times New Roman" w:cs="Times New Roman"/>
          <w:b/>
          <w:color w:val="1F4E79" w:themeColor="accent1" w:themeShade="80"/>
        </w:rPr>
        <w:t xml:space="preserve"> </w:t>
      </w:r>
      <w:r w:rsidR="00757AC6" w:rsidRPr="00757AC6">
        <w:rPr>
          <w:rFonts w:ascii="Times New Roman" w:hAnsi="Times New Roman" w:cs="Times New Roman"/>
          <w:b/>
          <w:color w:val="1F4E79" w:themeColor="accent1" w:themeShade="80"/>
        </w:rPr>
        <w:t xml:space="preserve">пътят </w:t>
      </w:r>
      <w:r w:rsidRPr="00757AC6">
        <w:rPr>
          <w:rFonts w:ascii="Times New Roman" w:hAnsi="Times New Roman" w:cs="Times New Roman"/>
          <w:b/>
          <w:color w:val="1F4E79" w:themeColor="accent1" w:themeShade="80"/>
        </w:rPr>
        <w:t>към ОИСР</w:t>
      </w:r>
      <w:bookmarkEnd w:id="13"/>
    </w:p>
    <w:p w14:paraId="60722176" w14:textId="4F9519D5" w:rsidR="00DB748C" w:rsidRPr="00DB748C" w:rsidRDefault="007E59DB" w:rsidP="00D6403A">
      <w:pPr>
        <w:pStyle w:val="ListParagraph"/>
        <w:numPr>
          <w:ilvl w:val="0"/>
          <w:numId w:val="45"/>
        </w:numPr>
        <w:spacing w:line="276" w:lineRule="auto"/>
        <w:jc w:val="both"/>
        <w:rPr>
          <w:rFonts w:ascii="Times New Roman" w:hAnsi="Times New Roman" w:cs="Times New Roman"/>
          <w:b/>
          <w:bCs/>
          <w:sz w:val="28"/>
          <w:szCs w:val="28"/>
          <w:lang w:eastAsia="bg-BG"/>
        </w:rPr>
      </w:pPr>
      <w:r w:rsidRPr="00DB748C">
        <w:rPr>
          <w:rFonts w:ascii="Times New Roman" w:hAnsi="Times New Roman" w:cs="Times New Roman"/>
          <w:b/>
          <w:bCs/>
          <w:sz w:val="24"/>
          <w:szCs w:val="24"/>
        </w:rPr>
        <w:t>Продължиха усилията на ЕС за изграждане на</w:t>
      </w:r>
      <w:r w:rsidR="0048497D">
        <w:rPr>
          <w:rFonts w:ascii="Times New Roman" w:hAnsi="Times New Roman" w:cs="Times New Roman"/>
          <w:b/>
          <w:bCs/>
          <w:sz w:val="24"/>
          <w:szCs w:val="24"/>
        </w:rPr>
        <w:t xml:space="preserve"> отворена</w:t>
      </w:r>
      <w:r w:rsidRPr="00DB748C">
        <w:rPr>
          <w:rFonts w:ascii="Times New Roman" w:hAnsi="Times New Roman" w:cs="Times New Roman"/>
          <w:b/>
          <w:bCs/>
          <w:sz w:val="24"/>
          <w:szCs w:val="24"/>
        </w:rPr>
        <w:t xml:space="preserve"> стратегическа автоно</w:t>
      </w:r>
      <w:r w:rsidR="0048497D">
        <w:rPr>
          <w:rFonts w:ascii="Times New Roman" w:hAnsi="Times New Roman" w:cs="Times New Roman"/>
          <w:b/>
          <w:bCs/>
          <w:sz w:val="24"/>
          <w:szCs w:val="24"/>
        </w:rPr>
        <w:t>мност</w:t>
      </w:r>
      <w:r w:rsidRPr="00DB748C">
        <w:rPr>
          <w:rFonts w:ascii="Times New Roman" w:hAnsi="Times New Roman" w:cs="Times New Roman"/>
          <w:b/>
          <w:bCs/>
          <w:sz w:val="24"/>
          <w:szCs w:val="24"/>
        </w:rPr>
        <w:t xml:space="preserve"> сигурността чрез развитие на военен и индустриален капацитет, защита на енергийни и инфраструктурни системи и изграждане на </w:t>
      </w:r>
      <w:proofErr w:type="spellStart"/>
      <w:r w:rsidRPr="00DB748C">
        <w:rPr>
          <w:rFonts w:ascii="Times New Roman" w:hAnsi="Times New Roman" w:cs="Times New Roman"/>
          <w:b/>
          <w:bCs/>
          <w:sz w:val="24"/>
          <w:szCs w:val="24"/>
        </w:rPr>
        <w:t>кибер</w:t>
      </w:r>
      <w:proofErr w:type="spellEnd"/>
      <w:r w:rsidRPr="00DB748C">
        <w:rPr>
          <w:rFonts w:ascii="Times New Roman" w:hAnsi="Times New Roman" w:cs="Times New Roman"/>
          <w:b/>
          <w:bCs/>
          <w:sz w:val="24"/>
          <w:szCs w:val="24"/>
        </w:rPr>
        <w:t xml:space="preserve"> и технологична независимост. </w:t>
      </w:r>
    </w:p>
    <w:p w14:paraId="48431A84" w14:textId="22595EE6" w:rsidR="00DB748C" w:rsidRDefault="00876F0C" w:rsidP="00D6403A">
      <w:pPr>
        <w:pStyle w:val="ListParagraph"/>
        <w:numPr>
          <w:ilvl w:val="0"/>
          <w:numId w:val="45"/>
        </w:numPr>
        <w:spacing w:line="276" w:lineRule="auto"/>
        <w:jc w:val="both"/>
        <w:rPr>
          <w:rFonts w:ascii="Times New Roman" w:hAnsi="Times New Roman" w:cs="Times New Roman"/>
          <w:b/>
          <w:sz w:val="24"/>
          <w:szCs w:val="24"/>
          <w:lang w:eastAsia="bg-BG"/>
        </w:rPr>
      </w:pPr>
      <w:r w:rsidRPr="00DB748C">
        <w:rPr>
          <w:rFonts w:ascii="Times New Roman" w:hAnsi="Times New Roman" w:cs="Times New Roman"/>
          <w:b/>
          <w:sz w:val="24"/>
          <w:szCs w:val="24"/>
          <w:lang w:eastAsia="bg-BG"/>
        </w:rPr>
        <w:lastRenderedPageBreak/>
        <w:t xml:space="preserve">ЕС прие трикомпонентен подход за справяне с рисковете към икономическата сигурност: укрепване на веригите на </w:t>
      </w:r>
      <w:r w:rsidR="0048497D">
        <w:rPr>
          <w:rFonts w:ascii="Times New Roman" w:hAnsi="Times New Roman" w:cs="Times New Roman"/>
          <w:b/>
          <w:sz w:val="24"/>
          <w:szCs w:val="24"/>
          <w:lang w:eastAsia="bg-BG"/>
        </w:rPr>
        <w:t>доставки</w:t>
      </w:r>
      <w:r w:rsidRPr="00DB748C">
        <w:rPr>
          <w:rFonts w:ascii="Times New Roman" w:hAnsi="Times New Roman" w:cs="Times New Roman"/>
          <w:b/>
          <w:sz w:val="24"/>
          <w:szCs w:val="24"/>
          <w:lang w:val="en-US" w:eastAsia="bg-BG"/>
        </w:rPr>
        <w:t>;</w:t>
      </w:r>
      <w:r w:rsidRPr="00DB748C">
        <w:rPr>
          <w:rFonts w:ascii="Times New Roman" w:hAnsi="Times New Roman" w:cs="Times New Roman"/>
          <w:b/>
          <w:sz w:val="24"/>
          <w:szCs w:val="24"/>
          <w:lang w:eastAsia="bg-BG"/>
        </w:rPr>
        <w:t xml:space="preserve"> ограничаване на стратегическите зависимости</w:t>
      </w:r>
      <w:r w:rsidRPr="00DB748C">
        <w:rPr>
          <w:rFonts w:ascii="Times New Roman" w:hAnsi="Times New Roman" w:cs="Times New Roman"/>
          <w:b/>
          <w:sz w:val="24"/>
          <w:szCs w:val="24"/>
          <w:lang w:val="en-US" w:eastAsia="bg-BG"/>
        </w:rPr>
        <w:t>;</w:t>
      </w:r>
      <w:r w:rsidRPr="00DB748C">
        <w:rPr>
          <w:rFonts w:ascii="Times New Roman" w:hAnsi="Times New Roman" w:cs="Times New Roman"/>
          <w:b/>
          <w:sz w:val="24"/>
          <w:szCs w:val="24"/>
          <w:lang w:eastAsia="bg-BG"/>
        </w:rPr>
        <w:t xml:space="preserve"> и разширяване на глобалните партньорства.</w:t>
      </w:r>
    </w:p>
    <w:p w14:paraId="4D725AFA" w14:textId="59CDD3CC" w:rsidR="00876F0C" w:rsidRPr="005F49B3" w:rsidRDefault="00876F0C" w:rsidP="00D6403A">
      <w:pPr>
        <w:pStyle w:val="ListParagraph"/>
        <w:numPr>
          <w:ilvl w:val="0"/>
          <w:numId w:val="45"/>
        </w:numPr>
        <w:spacing w:line="276" w:lineRule="auto"/>
        <w:jc w:val="both"/>
        <w:rPr>
          <w:rFonts w:ascii="Times New Roman" w:hAnsi="Times New Roman" w:cs="Times New Roman"/>
          <w:b/>
          <w:sz w:val="24"/>
          <w:szCs w:val="24"/>
          <w:lang w:eastAsia="bg-BG"/>
        </w:rPr>
      </w:pPr>
      <w:r w:rsidRPr="005F49B3">
        <w:rPr>
          <w:rFonts w:ascii="Times New Roman" w:hAnsi="Times New Roman" w:cs="Times New Roman"/>
          <w:b/>
          <w:sz w:val="24"/>
          <w:szCs w:val="24"/>
          <w:lang w:eastAsia="bg-BG"/>
        </w:rPr>
        <w:t>Страната ни настоява за по-видимо и постоянно присъствие на НАТО в Черно море, като разглежда региона като фронтова линия на трансатлантическата сигурност.</w:t>
      </w:r>
      <w:r w:rsidR="00F30BFE">
        <w:rPr>
          <w:rFonts w:ascii="Times New Roman" w:hAnsi="Times New Roman" w:cs="Times New Roman"/>
          <w:b/>
          <w:sz w:val="24"/>
          <w:szCs w:val="24"/>
          <w:lang w:eastAsia="bg-BG"/>
        </w:rPr>
        <w:t xml:space="preserve"> </w:t>
      </w:r>
    </w:p>
    <w:p w14:paraId="37191624" w14:textId="77777777" w:rsidR="00876F0C" w:rsidRPr="005F49B3" w:rsidRDefault="00876F0C" w:rsidP="00D6403A">
      <w:pPr>
        <w:pStyle w:val="ListParagraph"/>
        <w:numPr>
          <w:ilvl w:val="0"/>
          <w:numId w:val="45"/>
        </w:numPr>
        <w:spacing w:line="276" w:lineRule="auto"/>
        <w:jc w:val="both"/>
        <w:rPr>
          <w:rFonts w:ascii="Times New Roman" w:hAnsi="Times New Roman" w:cs="Times New Roman"/>
          <w:b/>
          <w:sz w:val="24"/>
          <w:szCs w:val="24"/>
          <w:lang w:eastAsia="bg-BG"/>
        </w:rPr>
      </w:pPr>
      <w:r w:rsidRPr="005F49B3">
        <w:rPr>
          <w:rFonts w:ascii="Times New Roman" w:hAnsi="Times New Roman" w:cs="Times New Roman"/>
          <w:b/>
          <w:sz w:val="24"/>
          <w:szCs w:val="24"/>
          <w:lang w:eastAsia="bg-BG"/>
        </w:rPr>
        <w:t>Членството</w:t>
      </w:r>
      <w:r w:rsidRPr="005F49B3">
        <w:rPr>
          <w:rFonts w:ascii="Times New Roman" w:hAnsi="Times New Roman" w:cs="Times New Roman"/>
          <w:b/>
          <w:sz w:val="24"/>
          <w:szCs w:val="24"/>
          <w:lang w:val="en-US" w:eastAsia="bg-BG"/>
        </w:rPr>
        <w:t xml:space="preserve"> </w:t>
      </w:r>
      <w:r w:rsidRPr="005F49B3">
        <w:rPr>
          <w:rFonts w:ascii="Times New Roman" w:hAnsi="Times New Roman" w:cs="Times New Roman"/>
          <w:b/>
          <w:sz w:val="24"/>
          <w:szCs w:val="24"/>
          <w:lang w:eastAsia="bg-BG"/>
        </w:rPr>
        <w:t>на България в ОИСР е стратегически приоритет за вътрешна трансформация чрез прилагане на международни стандарти в икономическото и публичното управление.</w:t>
      </w:r>
    </w:p>
    <w:p w14:paraId="58733D71" w14:textId="77777777" w:rsidR="00A53041" w:rsidRPr="005F49B3" w:rsidRDefault="00A53041" w:rsidP="00891E30">
      <w:pPr>
        <w:spacing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През 2024 г. на фона на задълбочаваща се международна нестабилност, нарастваща конкуренция за ресурси и технологични предимства, и използване на икономически зависимости за упражняване на геополитически натиск, Европейският съюз и НАТО предприеха нови стъпки към адаптиране и укрепване на съвместната си сигурност и устойчивост. България е ангажирана в процесите на тяхното стратегическо преосмисляне, като отстоява позиции, съобразени с принципите на солидарност, но и с националния интерес. Успоредно с това, присъединителният процес към Организацията за икономическо сътрудничество и развитие (ОИСР) придобива особена важност както за вътрешната трансформация на страната, така и за утвърждаването ѝ като пълноценен участник в международната архитектура на демократичното развитие.</w:t>
      </w:r>
    </w:p>
    <w:p w14:paraId="5808F423" w14:textId="767D57A7" w:rsidR="00A53041" w:rsidRPr="005F49B3" w:rsidRDefault="00A53041" w:rsidP="00D6403A">
      <w:pPr>
        <w:pStyle w:val="Heading4"/>
        <w:numPr>
          <w:ilvl w:val="0"/>
          <w:numId w:val="17"/>
        </w:numPr>
        <w:spacing w:after="120"/>
        <w:ind w:left="714" w:hanging="357"/>
        <w:jc w:val="center"/>
        <w:rPr>
          <w:rFonts w:ascii="Times New Roman" w:hAnsi="Times New Roman" w:cs="Times New Roman"/>
          <w:color w:val="auto"/>
          <w:sz w:val="24"/>
          <w:u w:val="single"/>
        </w:rPr>
      </w:pPr>
      <w:bookmarkStart w:id="14" w:name="_Hlk206596227"/>
      <w:r w:rsidRPr="005F49B3">
        <w:rPr>
          <w:rFonts w:ascii="Times New Roman" w:hAnsi="Times New Roman" w:cs="Times New Roman"/>
          <w:color w:val="auto"/>
          <w:sz w:val="24"/>
          <w:u w:val="single"/>
        </w:rPr>
        <w:t xml:space="preserve">Политики </w:t>
      </w:r>
      <w:r w:rsidR="0048497D">
        <w:rPr>
          <w:rFonts w:ascii="Times New Roman" w:hAnsi="Times New Roman" w:cs="Times New Roman"/>
          <w:color w:val="auto"/>
          <w:sz w:val="24"/>
          <w:u w:val="single"/>
        </w:rPr>
        <w:t>з</w:t>
      </w:r>
      <w:r w:rsidRPr="005F49B3">
        <w:rPr>
          <w:rFonts w:ascii="Times New Roman" w:hAnsi="Times New Roman" w:cs="Times New Roman"/>
          <w:color w:val="auto"/>
          <w:sz w:val="24"/>
          <w:u w:val="single"/>
        </w:rPr>
        <w:t xml:space="preserve">а сигурност </w:t>
      </w:r>
      <w:r w:rsidR="0048497D">
        <w:rPr>
          <w:rFonts w:ascii="Times New Roman" w:hAnsi="Times New Roman" w:cs="Times New Roman"/>
          <w:color w:val="auto"/>
          <w:sz w:val="24"/>
          <w:u w:val="single"/>
        </w:rPr>
        <w:t>на</w:t>
      </w:r>
      <w:r w:rsidRPr="005F49B3">
        <w:rPr>
          <w:rFonts w:ascii="Times New Roman" w:hAnsi="Times New Roman" w:cs="Times New Roman"/>
          <w:color w:val="auto"/>
          <w:sz w:val="24"/>
          <w:u w:val="single"/>
        </w:rPr>
        <w:t xml:space="preserve"> ЕС и икономическа устойчивост</w:t>
      </w:r>
    </w:p>
    <w:p w14:paraId="6A8AC59E" w14:textId="541FA0C7" w:rsidR="00A53041" w:rsidRPr="005F49B3" w:rsidRDefault="00A53041" w:rsidP="00D6403A">
      <w:pPr>
        <w:pStyle w:val="NoSpacing"/>
        <w:numPr>
          <w:ilvl w:val="0"/>
          <w:numId w:val="16"/>
        </w:numPr>
        <w:spacing w:after="120" w:line="276" w:lineRule="auto"/>
        <w:ind w:left="714" w:hanging="357"/>
        <w:contextualSpacing/>
        <w:jc w:val="both"/>
        <w:rPr>
          <w:rFonts w:ascii="Times New Roman" w:hAnsi="Times New Roman" w:cs="Times New Roman"/>
          <w:b/>
          <w:sz w:val="24"/>
          <w:lang w:val="bg-BG"/>
        </w:rPr>
      </w:pPr>
      <w:r w:rsidRPr="005F49B3">
        <w:rPr>
          <w:rFonts w:ascii="Times New Roman" w:hAnsi="Times New Roman" w:cs="Times New Roman"/>
          <w:b/>
          <w:sz w:val="24"/>
          <w:lang w:val="bg-BG"/>
        </w:rPr>
        <w:t xml:space="preserve">ЕС прие трикомпонентен подход за справяне с рисковете към икономическата сигурност чрез укрепване на веригите на </w:t>
      </w:r>
      <w:r w:rsidR="0048497D">
        <w:rPr>
          <w:rFonts w:ascii="Times New Roman" w:hAnsi="Times New Roman" w:cs="Times New Roman"/>
          <w:b/>
          <w:sz w:val="24"/>
          <w:lang w:val="bg-BG"/>
        </w:rPr>
        <w:t>доставки</w:t>
      </w:r>
      <w:r w:rsidRPr="005F49B3">
        <w:rPr>
          <w:rFonts w:ascii="Times New Roman" w:hAnsi="Times New Roman" w:cs="Times New Roman"/>
          <w:b/>
          <w:sz w:val="24"/>
          <w:lang w:val="bg-BG"/>
        </w:rPr>
        <w:t>, ограничаване на стратегическите зависимости и разширяване на глобалните партньорства.</w:t>
      </w:r>
    </w:p>
    <w:p w14:paraId="68CC359B" w14:textId="77777777" w:rsidR="00A53041" w:rsidRPr="005F49B3" w:rsidRDefault="00A53041" w:rsidP="00D6403A">
      <w:pPr>
        <w:pStyle w:val="NoSpacing"/>
        <w:numPr>
          <w:ilvl w:val="0"/>
          <w:numId w:val="16"/>
        </w:numPr>
        <w:spacing w:after="120" w:line="276" w:lineRule="auto"/>
        <w:ind w:left="714" w:hanging="357"/>
        <w:contextualSpacing/>
        <w:jc w:val="both"/>
        <w:rPr>
          <w:rFonts w:ascii="Times New Roman" w:hAnsi="Times New Roman" w:cs="Times New Roman"/>
          <w:b/>
          <w:sz w:val="24"/>
          <w:lang w:val="bg-BG"/>
        </w:rPr>
      </w:pPr>
      <w:r w:rsidRPr="005F49B3">
        <w:rPr>
          <w:rFonts w:ascii="Times New Roman" w:hAnsi="Times New Roman" w:cs="Times New Roman"/>
          <w:b/>
          <w:sz w:val="24"/>
          <w:lang w:val="bg-BG"/>
        </w:rPr>
        <w:t>България отстоява запазването на единодушието при вземане на решения в ключови политики като ОВППС, МФР и разширяването, с цел защита на националния интерес и институционалното равноправие.</w:t>
      </w:r>
    </w:p>
    <w:p w14:paraId="7D317B22" w14:textId="2980151D"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В отговор на усложнената геополитическа среда, през 2024 г. Европейската комисия предприе действия по изграждане на по-устойчива и автономна икономическа база на ЕС. В рамките на този процес беше стартирана Стратегия за засилване на икономическата сигурност, насочена към съвместно с държавите членки управление на рисковете, свързани с веригите на </w:t>
      </w:r>
      <w:r w:rsidR="0048497D">
        <w:rPr>
          <w:rFonts w:ascii="Times New Roman" w:hAnsi="Times New Roman" w:cs="Times New Roman"/>
          <w:sz w:val="24"/>
          <w:szCs w:val="24"/>
          <w:lang w:eastAsia="bg-BG"/>
        </w:rPr>
        <w:t>доставка</w:t>
      </w:r>
      <w:r w:rsidRPr="005F49B3">
        <w:rPr>
          <w:rFonts w:ascii="Times New Roman" w:hAnsi="Times New Roman" w:cs="Times New Roman"/>
          <w:sz w:val="24"/>
          <w:szCs w:val="24"/>
          <w:lang w:eastAsia="bg-BG"/>
        </w:rPr>
        <w:t>, достъпа до критични суровини, стратегическите технологии и външните инвестиции.</w:t>
      </w:r>
    </w:p>
    <w:p w14:paraId="6E4DC2E8" w14:textId="77777777"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Идентифицирани са четири основни групи взаимосвързани рискове. Първата включва уязвимостта на доставките – особено по отношение на суровини и продукти, важни за зеления и цифровия преход. Втората група касае физическите и киберзаплахите за критична инфраструктура като тръбопроводи, подводни кабели и логистични мрежи. Третата е свързана с индустриален шпионаж, кражба на ноу-хау и загуба на технологичен суверенитет. Четвъртата обхваща използването на икономически </w:t>
      </w:r>
      <w:r w:rsidRPr="005F49B3">
        <w:rPr>
          <w:rFonts w:ascii="Times New Roman" w:hAnsi="Times New Roman" w:cs="Times New Roman"/>
          <w:sz w:val="24"/>
          <w:szCs w:val="24"/>
          <w:lang w:eastAsia="bg-BG"/>
        </w:rPr>
        <w:lastRenderedPageBreak/>
        <w:t>зависимости като инструмент за политически натиск – чрез манипулация на търговията, придобиване на стратегически компании, налагане на санкции и блокиране на износ.</w:t>
      </w:r>
    </w:p>
    <w:p w14:paraId="383B2C5A" w14:textId="77777777"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В отговор на тези заплахи ЕС прилага </w:t>
      </w:r>
      <w:proofErr w:type="spellStart"/>
      <w:r w:rsidRPr="005F49B3">
        <w:rPr>
          <w:rFonts w:ascii="Times New Roman" w:hAnsi="Times New Roman" w:cs="Times New Roman"/>
          <w:sz w:val="24"/>
          <w:szCs w:val="24"/>
          <w:lang w:eastAsia="bg-BG"/>
        </w:rPr>
        <w:t>тристълбов</w:t>
      </w:r>
      <w:proofErr w:type="spellEnd"/>
      <w:r w:rsidRPr="005F49B3">
        <w:rPr>
          <w:rFonts w:ascii="Times New Roman" w:hAnsi="Times New Roman" w:cs="Times New Roman"/>
          <w:sz w:val="24"/>
          <w:szCs w:val="24"/>
          <w:lang w:eastAsia="bg-BG"/>
        </w:rPr>
        <w:t xml:space="preserve"> подход. Първо, се насърчава изграждането на по-устойчиви и конкурентоспособни вериги за стойност чрез иновации, инвестиции и програми като </w:t>
      </w:r>
      <w:proofErr w:type="spellStart"/>
      <w:r w:rsidRPr="005F49B3">
        <w:rPr>
          <w:rFonts w:ascii="Times New Roman" w:hAnsi="Times New Roman" w:cs="Times New Roman"/>
          <w:sz w:val="24"/>
          <w:szCs w:val="24"/>
          <w:lang w:eastAsia="bg-BG"/>
        </w:rPr>
        <w:t>NextGenerationEU</w:t>
      </w:r>
      <w:proofErr w:type="spellEnd"/>
      <w:r w:rsidRPr="005F49B3">
        <w:rPr>
          <w:rFonts w:ascii="Times New Roman" w:hAnsi="Times New Roman" w:cs="Times New Roman"/>
          <w:sz w:val="24"/>
          <w:szCs w:val="24"/>
          <w:lang w:eastAsia="bg-BG"/>
        </w:rPr>
        <w:t>, насочени към индустриалната база в стратегически сектори. Второ, се засилва нормативната рамка – включително чрез Регламента за чуждестранните субсидии, механизма за скрининг на чуждестранни инвестиции, контрол на износа и Европейския акт за критичните суровини. Трето, ЕС разширява мрежата си от стратегически партньорства с демократични държави чрез Глобалния портал, зелени алианси и споразумения за свободна търговия.</w:t>
      </w:r>
    </w:p>
    <w:p w14:paraId="51214C17" w14:textId="77777777"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В този контекст България последователно отстоява необходимостта от запазване на единството на Съюза и на принципа на единодушие в ключови политики – включително Общата външна политика и политика за сигурност (ОВППС), Многогодишната финансова рамка (МФР), разширяването и данъчната политика. Страната се противопоставя на предложения за преминаване към квалифицирано мнозинство, особено в процеса на разширяване, който рискува да бъде политически </w:t>
      </w:r>
      <w:proofErr w:type="spellStart"/>
      <w:r w:rsidRPr="005F49B3">
        <w:rPr>
          <w:rFonts w:ascii="Times New Roman" w:hAnsi="Times New Roman" w:cs="Times New Roman"/>
          <w:sz w:val="24"/>
          <w:szCs w:val="24"/>
          <w:lang w:eastAsia="bg-BG"/>
        </w:rPr>
        <w:t>инструментализиран</w:t>
      </w:r>
      <w:proofErr w:type="spellEnd"/>
      <w:r w:rsidRPr="005F49B3">
        <w:rPr>
          <w:rFonts w:ascii="Times New Roman" w:hAnsi="Times New Roman" w:cs="Times New Roman"/>
          <w:sz w:val="24"/>
          <w:szCs w:val="24"/>
          <w:lang w:eastAsia="bg-BG"/>
        </w:rPr>
        <w:t xml:space="preserve"> за сметка на принципа на собствените заслуги – с потенциално негативни последствия за върховенството на правото и добросъседските отношения.</w:t>
      </w:r>
    </w:p>
    <w:p w14:paraId="0570EE91" w14:textId="1BAE04FE" w:rsidR="00A53041" w:rsidRPr="005F49B3" w:rsidRDefault="00A53041" w:rsidP="00D6403A">
      <w:pPr>
        <w:pStyle w:val="Heading4"/>
        <w:numPr>
          <w:ilvl w:val="0"/>
          <w:numId w:val="17"/>
        </w:numPr>
        <w:spacing w:after="120"/>
        <w:ind w:left="714" w:hanging="357"/>
        <w:jc w:val="center"/>
        <w:rPr>
          <w:rFonts w:ascii="Times New Roman" w:hAnsi="Times New Roman" w:cs="Times New Roman"/>
          <w:color w:val="auto"/>
          <w:sz w:val="24"/>
          <w:u w:val="single"/>
        </w:rPr>
      </w:pPr>
      <w:r w:rsidRPr="005F49B3">
        <w:rPr>
          <w:rFonts w:ascii="Times New Roman" w:hAnsi="Times New Roman" w:cs="Times New Roman"/>
          <w:color w:val="auto"/>
          <w:sz w:val="24"/>
          <w:u w:val="single"/>
        </w:rPr>
        <w:t xml:space="preserve">Политики </w:t>
      </w:r>
      <w:r w:rsidR="00C147F3">
        <w:rPr>
          <w:rFonts w:ascii="Times New Roman" w:hAnsi="Times New Roman" w:cs="Times New Roman"/>
          <w:color w:val="auto"/>
          <w:sz w:val="24"/>
          <w:u w:val="single"/>
        </w:rPr>
        <w:t>з</w:t>
      </w:r>
      <w:r w:rsidRPr="005F49B3">
        <w:rPr>
          <w:rFonts w:ascii="Times New Roman" w:hAnsi="Times New Roman" w:cs="Times New Roman"/>
          <w:color w:val="auto"/>
          <w:sz w:val="24"/>
          <w:u w:val="single"/>
        </w:rPr>
        <w:t>а сигурност на НАТО и геостратегически ангажименти</w:t>
      </w:r>
    </w:p>
    <w:p w14:paraId="587CECD8" w14:textId="77777777" w:rsidR="00A53041" w:rsidRPr="005F49B3" w:rsidRDefault="00A53041" w:rsidP="00D6403A">
      <w:pPr>
        <w:pStyle w:val="NoSpacing"/>
        <w:numPr>
          <w:ilvl w:val="0"/>
          <w:numId w:val="18"/>
        </w:numPr>
        <w:spacing w:after="120" w:line="276" w:lineRule="auto"/>
        <w:ind w:left="714" w:hanging="357"/>
        <w:contextualSpacing/>
        <w:jc w:val="both"/>
        <w:rPr>
          <w:rFonts w:ascii="Times New Roman" w:hAnsi="Times New Roman" w:cs="Times New Roman"/>
          <w:b/>
          <w:sz w:val="24"/>
          <w:lang w:val="bg-BG"/>
        </w:rPr>
      </w:pPr>
      <w:r w:rsidRPr="005F49B3">
        <w:rPr>
          <w:rFonts w:ascii="Times New Roman" w:hAnsi="Times New Roman" w:cs="Times New Roman"/>
          <w:b/>
          <w:sz w:val="24"/>
          <w:lang w:val="bg-BG"/>
        </w:rPr>
        <w:t xml:space="preserve">НАТО задълбочи подкрепата за Украйна чрез </w:t>
      </w:r>
      <w:r w:rsidR="00876F0C" w:rsidRPr="005F49B3">
        <w:rPr>
          <w:rFonts w:ascii="Times New Roman" w:hAnsi="Times New Roman" w:cs="Times New Roman"/>
          <w:b/>
          <w:sz w:val="24"/>
          <w:lang w:val="bg-BG"/>
        </w:rPr>
        <w:t>NSATU</w:t>
      </w:r>
      <w:r w:rsidRPr="005F49B3">
        <w:rPr>
          <w:rFonts w:ascii="Times New Roman" w:hAnsi="Times New Roman" w:cs="Times New Roman"/>
          <w:b/>
          <w:sz w:val="24"/>
          <w:lang w:val="bg-BG"/>
        </w:rPr>
        <w:t>, План за действие за Юга и поет финансов ангажимент, като част от по-широката стратегия за възпиране и отбрана.</w:t>
      </w:r>
    </w:p>
    <w:p w14:paraId="2232E1E6" w14:textId="07C7C2CC" w:rsidR="00C147F3" w:rsidRPr="00C147F3" w:rsidRDefault="00A53041" w:rsidP="00D6403A">
      <w:pPr>
        <w:pStyle w:val="NoSpacing"/>
        <w:numPr>
          <w:ilvl w:val="0"/>
          <w:numId w:val="18"/>
        </w:numPr>
        <w:spacing w:after="120" w:line="276" w:lineRule="auto"/>
        <w:ind w:left="714" w:hanging="357"/>
        <w:contextualSpacing/>
        <w:jc w:val="both"/>
        <w:rPr>
          <w:rFonts w:ascii="Times New Roman" w:hAnsi="Times New Roman" w:cs="Times New Roman"/>
          <w:b/>
          <w:sz w:val="24"/>
          <w:lang w:val="bg-BG"/>
        </w:rPr>
      </w:pPr>
      <w:r w:rsidRPr="005F49B3">
        <w:rPr>
          <w:rFonts w:ascii="Times New Roman" w:hAnsi="Times New Roman" w:cs="Times New Roman"/>
          <w:b/>
          <w:sz w:val="24"/>
          <w:lang w:val="bg-BG"/>
        </w:rPr>
        <w:t xml:space="preserve">България </w:t>
      </w:r>
      <w:r w:rsidR="0048497D">
        <w:rPr>
          <w:rFonts w:ascii="Times New Roman" w:hAnsi="Times New Roman" w:cs="Times New Roman"/>
          <w:b/>
          <w:sz w:val="24"/>
          <w:lang w:val="bg-BG"/>
        </w:rPr>
        <w:t>акцентира върху необходимостта от</w:t>
      </w:r>
      <w:r w:rsidRPr="005F49B3">
        <w:rPr>
          <w:rFonts w:ascii="Times New Roman" w:hAnsi="Times New Roman" w:cs="Times New Roman"/>
          <w:b/>
          <w:sz w:val="24"/>
          <w:lang w:val="bg-BG"/>
        </w:rPr>
        <w:t xml:space="preserve"> по-видимо и постоянно присъствие на НАТО в Черно море, </w:t>
      </w:r>
      <w:r w:rsidR="0048497D">
        <w:rPr>
          <w:rFonts w:ascii="Times New Roman" w:hAnsi="Times New Roman" w:cs="Times New Roman"/>
          <w:b/>
          <w:sz w:val="24"/>
          <w:lang w:val="bg-BG"/>
        </w:rPr>
        <w:t>с оглед геостратегическата му значимост</w:t>
      </w:r>
      <w:r w:rsidRPr="005F49B3">
        <w:rPr>
          <w:rFonts w:ascii="Times New Roman" w:hAnsi="Times New Roman" w:cs="Times New Roman"/>
          <w:b/>
          <w:sz w:val="24"/>
          <w:lang w:val="bg-BG"/>
        </w:rPr>
        <w:t xml:space="preserve"> като фронтова линия на трансатлантическата сигурност.</w:t>
      </w:r>
    </w:p>
    <w:p w14:paraId="785575CF" w14:textId="1757DE0F"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Във връзка с приетата през 2022 г. Стратегическа концепция на НАТО, през 2023 и 2024 г. бяха предприети последователни действия по нейното </w:t>
      </w:r>
      <w:proofErr w:type="spellStart"/>
      <w:r w:rsidRPr="005F49B3">
        <w:rPr>
          <w:rFonts w:ascii="Times New Roman" w:hAnsi="Times New Roman" w:cs="Times New Roman"/>
          <w:sz w:val="24"/>
          <w:szCs w:val="24"/>
          <w:lang w:eastAsia="bg-BG"/>
        </w:rPr>
        <w:t>операционализиране</w:t>
      </w:r>
      <w:proofErr w:type="spellEnd"/>
      <w:r w:rsidRPr="005F49B3">
        <w:rPr>
          <w:rFonts w:ascii="Times New Roman" w:hAnsi="Times New Roman" w:cs="Times New Roman"/>
          <w:sz w:val="24"/>
          <w:szCs w:val="24"/>
          <w:lang w:eastAsia="bg-BG"/>
        </w:rPr>
        <w:t>. На срещата</w:t>
      </w:r>
      <w:r w:rsidR="0048497D">
        <w:rPr>
          <w:rFonts w:ascii="Times New Roman" w:hAnsi="Times New Roman" w:cs="Times New Roman"/>
          <w:sz w:val="24"/>
          <w:szCs w:val="24"/>
          <w:lang w:eastAsia="bg-BG"/>
        </w:rPr>
        <w:t xml:space="preserve"> на НАТО</w:t>
      </w:r>
      <w:r w:rsidRPr="005F49B3">
        <w:rPr>
          <w:rFonts w:ascii="Times New Roman" w:hAnsi="Times New Roman" w:cs="Times New Roman"/>
          <w:sz w:val="24"/>
          <w:szCs w:val="24"/>
          <w:lang w:eastAsia="bg-BG"/>
        </w:rPr>
        <w:t xml:space="preserve"> във Вилнюс (2023 г.) и последвалата среща във Вашингтон (2024 г.) бяха приети решения за засилване на възпирането и отбраната, </w:t>
      </w:r>
      <w:r w:rsidR="00F30BFE">
        <w:rPr>
          <w:rFonts w:ascii="Times New Roman" w:hAnsi="Times New Roman" w:cs="Times New Roman"/>
          <w:sz w:val="24"/>
          <w:szCs w:val="24"/>
          <w:lang w:eastAsia="bg-BG"/>
        </w:rPr>
        <w:t xml:space="preserve">надграждане на текущите усилия за засилване на националната и съюзна устойчивост, </w:t>
      </w:r>
      <w:r w:rsidR="0048497D">
        <w:rPr>
          <w:rFonts w:ascii="Times New Roman" w:hAnsi="Times New Roman" w:cs="Times New Roman"/>
          <w:sz w:val="24"/>
          <w:szCs w:val="24"/>
          <w:lang w:eastAsia="bg-BG"/>
        </w:rPr>
        <w:t>засилване</w:t>
      </w:r>
      <w:r w:rsidRPr="005F49B3">
        <w:rPr>
          <w:rFonts w:ascii="Times New Roman" w:hAnsi="Times New Roman" w:cs="Times New Roman"/>
          <w:sz w:val="24"/>
          <w:szCs w:val="24"/>
          <w:lang w:eastAsia="bg-BG"/>
        </w:rPr>
        <w:t xml:space="preserve"> на </w:t>
      </w:r>
      <w:r w:rsidR="0048497D">
        <w:rPr>
          <w:rFonts w:ascii="Times New Roman" w:hAnsi="Times New Roman" w:cs="Times New Roman"/>
          <w:sz w:val="24"/>
          <w:szCs w:val="24"/>
          <w:lang w:eastAsia="bg-BG"/>
        </w:rPr>
        <w:t xml:space="preserve">политическата и практическата </w:t>
      </w:r>
      <w:r w:rsidRPr="005F49B3">
        <w:rPr>
          <w:rFonts w:ascii="Times New Roman" w:hAnsi="Times New Roman" w:cs="Times New Roman"/>
          <w:sz w:val="24"/>
          <w:szCs w:val="24"/>
          <w:lang w:eastAsia="bg-BG"/>
        </w:rPr>
        <w:t xml:space="preserve">подкрепа за Украйна и оформяне на по-задълбочена политика към Глобалния юг. По линия на </w:t>
      </w:r>
      <w:r w:rsidR="0048497D">
        <w:rPr>
          <w:rFonts w:ascii="Times New Roman" w:hAnsi="Times New Roman" w:cs="Times New Roman"/>
          <w:sz w:val="24"/>
          <w:szCs w:val="24"/>
          <w:lang w:eastAsia="bg-BG"/>
        </w:rPr>
        <w:t xml:space="preserve">подкрепата за </w:t>
      </w:r>
      <w:r w:rsidRPr="005F49B3">
        <w:rPr>
          <w:rFonts w:ascii="Times New Roman" w:hAnsi="Times New Roman" w:cs="Times New Roman"/>
          <w:sz w:val="24"/>
          <w:szCs w:val="24"/>
          <w:lang w:eastAsia="bg-BG"/>
        </w:rPr>
        <w:t xml:space="preserve">Украйна бе договорен нов механизъм – </w:t>
      </w:r>
      <w:bookmarkStart w:id="15" w:name="_Hlk206668615"/>
      <w:r w:rsidRPr="005F49B3">
        <w:rPr>
          <w:rFonts w:ascii="Times New Roman" w:hAnsi="Times New Roman" w:cs="Times New Roman"/>
          <w:sz w:val="24"/>
          <w:szCs w:val="24"/>
          <w:lang w:eastAsia="bg-BG"/>
        </w:rPr>
        <w:t xml:space="preserve">NSATU (NATO </w:t>
      </w:r>
      <w:proofErr w:type="spellStart"/>
      <w:r w:rsidRPr="005F49B3">
        <w:rPr>
          <w:rFonts w:ascii="Times New Roman" w:hAnsi="Times New Roman" w:cs="Times New Roman"/>
          <w:sz w:val="24"/>
          <w:szCs w:val="24"/>
          <w:lang w:eastAsia="bg-BG"/>
        </w:rPr>
        <w:t>Security</w:t>
      </w:r>
      <w:proofErr w:type="spellEnd"/>
      <w:r w:rsidRPr="005F49B3">
        <w:rPr>
          <w:rFonts w:ascii="Times New Roman" w:hAnsi="Times New Roman" w:cs="Times New Roman"/>
          <w:sz w:val="24"/>
          <w:szCs w:val="24"/>
          <w:lang w:eastAsia="bg-BG"/>
        </w:rPr>
        <w:t xml:space="preserve"> </w:t>
      </w:r>
      <w:proofErr w:type="spellStart"/>
      <w:r w:rsidRPr="005F49B3">
        <w:rPr>
          <w:rFonts w:ascii="Times New Roman" w:hAnsi="Times New Roman" w:cs="Times New Roman"/>
          <w:sz w:val="24"/>
          <w:szCs w:val="24"/>
          <w:lang w:eastAsia="bg-BG"/>
        </w:rPr>
        <w:t>Assistance</w:t>
      </w:r>
      <w:proofErr w:type="spellEnd"/>
      <w:r w:rsidRPr="005F49B3">
        <w:rPr>
          <w:rFonts w:ascii="Times New Roman" w:hAnsi="Times New Roman" w:cs="Times New Roman"/>
          <w:sz w:val="24"/>
          <w:szCs w:val="24"/>
          <w:lang w:eastAsia="bg-BG"/>
        </w:rPr>
        <w:t xml:space="preserve"> </w:t>
      </w:r>
      <w:proofErr w:type="spellStart"/>
      <w:r w:rsidRPr="005F49B3">
        <w:rPr>
          <w:rFonts w:ascii="Times New Roman" w:hAnsi="Times New Roman" w:cs="Times New Roman"/>
          <w:sz w:val="24"/>
          <w:szCs w:val="24"/>
          <w:lang w:eastAsia="bg-BG"/>
        </w:rPr>
        <w:t>and</w:t>
      </w:r>
      <w:proofErr w:type="spellEnd"/>
      <w:r w:rsidRPr="005F49B3">
        <w:rPr>
          <w:rFonts w:ascii="Times New Roman" w:hAnsi="Times New Roman" w:cs="Times New Roman"/>
          <w:sz w:val="24"/>
          <w:szCs w:val="24"/>
          <w:lang w:eastAsia="bg-BG"/>
        </w:rPr>
        <w:t xml:space="preserve"> </w:t>
      </w:r>
      <w:proofErr w:type="spellStart"/>
      <w:r w:rsidRPr="005F49B3">
        <w:rPr>
          <w:rFonts w:ascii="Times New Roman" w:hAnsi="Times New Roman" w:cs="Times New Roman"/>
          <w:sz w:val="24"/>
          <w:szCs w:val="24"/>
          <w:lang w:eastAsia="bg-BG"/>
        </w:rPr>
        <w:t>Training</w:t>
      </w:r>
      <w:proofErr w:type="spellEnd"/>
      <w:r w:rsidRPr="005F49B3">
        <w:rPr>
          <w:rFonts w:ascii="Times New Roman" w:hAnsi="Times New Roman" w:cs="Times New Roman"/>
          <w:sz w:val="24"/>
          <w:szCs w:val="24"/>
          <w:lang w:eastAsia="bg-BG"/>
        </w:rPr>
        <w:t xml:space="preserve"> </w:t>
      </w:r>
      <w:proofErr w:type="spellStart"/>
      <w:r w:rsidRPr="005F49B3">
        <w:rPr>
          <w:rFonts w:ascii="Times New Roman" w:hAnsi="Times New Roman" w:cs="Times New Roman"/>
          <w:sz w:val="24"/>
          <w:szCs w:val="24"/>
          <w:lang w:eastAsia="bg-BG"/>
        </w:rPr>
        <w:t>for</w:t>
      </w:r>
      <w:proofErr w:type="spellEnd"/>
      <w:r w:rsidRPr="005F49B3">
        <w:rPr>
          <w:rFonts w:ascii="Times New Roman" w:hAnsi="Times New Roman" w:cs="Times New Roman"/>
          <w:sz w:val="24"/>
          <w:szCs w:val="24"/>
          <w:lang w:eastAsia="bg-BG"/>
        </w:rPr>
        <w:t xml:space="preserve"> </w:t>
      </w:r>
      <w:proofErr w:type="spellStart"/>
      <w:r w:rsidRPr="005F49B3">
        <w:rPr>
          <w:rFonts w:ascii="Times New Roman" w:hAnsi="Times New Roman" w:cs="Times New Roman"/>
          <w:sz w:val="24"/>
          <w:szCs w:val="24"/>
          <w:lang w:eastAsia="bg-BG"/>
        </w:rPr>
        <w:t>Ukraine</w:t>
      </w:r>
      <w:proofErr w:type="spellEnd"/>
      <w:r w:rsidRPr="005F49B3">
        <w:rPr>
          <w:rFonts w:ascii="Times New Roman" w:hAnsi="Times New Roman" w:cs="Times New Roman"/>
          <w:sz w:val="24"/>
          <w:szCs w:val="24"/>
          <w:lang w:eastAsia="bg-BG"/>
        </w:rPr>
        <w:t>)</w:t>
      </w:r>
      <w:bookmarkEnd w:id="15"/>
      <w:r w:rsidRPr="005F49B3">
        <w:rPr>
          <w:rFonts w:ascii="Times New Roman" w:hAnsi="Times New Roman" w:cs="Times New Roman"/>
          <w:sz w:val="24"/>
          <w:szCs w:val="24"/>
          <w:lang w:eastAsia="bg-BG"/>
        </w:rPr>
        <w:t>, съчетан с многогодишна програма за подкрепа и финансови ангажименти.</w:t>
      </w:r>
    </w:p>
    <w:p w14:paraId="01957FE3" w14:textId="5CC171DE"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В същото време, НАТО прие План за действие за Юга, целящ засилен стратегически подход към Южното съседство. Особено внимание се отделя на Черно море като зона с нарастваща геостратегическа значимост в резултат от войната в Украйна. </w:t>
      </w:r>
      <w:r w:rsidR="0048497D">
        <w:rPr>
          <w:rFonts w:ascii="Times New Roman" w:hAnsi="Times New Roman" w:cs="Times New Roman"/>
          <w:sz w:val="24"/>
          <w:szCs w:val="24"/>
          <w:lang w:eastAsia="bg-BG"/>
        </w:rPr>
        <w:t>Потенциалното</w:t>
      </w:r>
      <w:r w:rsidRPr="005F49B3">
        <w:rPr>
          <w:rFonts w:ascii="Times New Roman" w:hAnsi="Times New Roman" w:cs="Times New Roman"/>
          <w:sz w:val="24"/>
          <w:szCs w:val="24"/>
          <w:lang w:eastAsia="bg-BG"/>
        </w:rPr>
        <w:t xml:space="preserve"> разширяване на конфликта би имало пряко отражение върху сигурността на всички съюзници по източния фланг на НАТО.</w:t>
      </w:r>
    </w:p>
    <w:p w14:paraId="5F57DA57" w14:textId="77777777"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България разглежда Черно море като фронтова линия на трансатлантическата сигурност и последователно отстоява позицията за по-видимо присъствие на НАТО в </w:t>
      </w:r>
      <w:r w:rsidRPr="005F49B3">
        <w:rPr>
          <w:rFonts w:ascii="Times New Roman" w:hAnsi="Times New Roman" w:cs="Times New Roman"/>
          <w:sz w:val="24"/>
          <w:szCs w:val="24"/>
          <w:lang w:eastAsia="bg-BG"/>
        </w:rPr>
        <w:lastRenderedPageBreak/>
        <w:t xml:space="preserve">региона. В тази връзка, създаването на Противоминната военноморска група (MCM Black </w:t>
      </w:r>
      <w:proofErr w:type="spellStart"/>
      <w:r w:rsidRPr="005F49B3">
        <w:rPr>
          <w:rFonts w:ascii="Times New Roman" w:hAnsi="Times New Roman" w:cs="Times New Roman"/>
          <w:sz w:val="24"/>
          <w:szCs w:val="24"/>
          <w:lang w:eastAsia="bg-BG"/>
        </w:rPr>
        <w:t>Sea</w:t>
      </w:r>
      <w:proofErr w:type="spellEnd"/>
      <w:r w:rsidRPr="005F49B3">
        <w:rPr>
          <w:rFonts w:ascii="Times New Roman" w:hAnsi="Times New Roman" w:cs="Times New Roman"/>
          <w:sz w:val="24"/>
          <w:szCs w:val="24"/>
          <w:lang w:eastAsia="bg-BG"/>
        </w:rPr>
        <w:t>), оперативна от юли 2024 г., е стъпка в правилната посока. Тя има за цел не само да реагира на непосредствената заплаха от плаващи мини, но и да гарантира сигурността и свободата на корабоплаването. Въпреки това, подобни инициативи не могат да заместят по-дългосрочното ангажиране и стратегическо присъствие на Алианса в региона.</w:t>
      </w:r>
    </w:p>
    <w:p w14:paraId="48602242" w14:textId="77777777" w:rsidR="00A53041"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Наред с това, САЩ запазват ключова роля в осигуряването на координиран трансатлантически отговор на агресивната политика на Русия, в укрепването на Източния фланг и гарантирането на стабилност в Западните Балкани. България подкрепя този подход, включително чрез подобряване на военната мобилност и адаптиране на транспортната инфраструктура с двойна употреба в съответствие с изискванията на НАТО.</w:t>
      </w:r>
    </w:p>
    <w:p w14:paraId="33682DD8" w14:textId="655DA854" w:rsidR="00F30BFE" w:rsidRDefault="00C147F3" w:rsidP="00633444">
      <w:pPr>
        <w:spacing w:after="120" w:line="276" w:lineRule="auto"/>
        <w:ind w:firstLine="851"/>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Продължи двустранното сътрудничество със САЩ по линия на изграждането на устойчивост и изпълнение на изискванията на НАТО. Бяха проведени редица семинари за повишаване на осведомеността и капацитета на компетентните институции. Открои се необходимост от подобряване на междуведомствената координация и от </w:t>
      </w:r>
      <w:r w:rsidR="007E59DB">
        <w:rPr>
          <w:rFonts w:ascii="Times New Roman" w:hAnsi="Times New Roman" w:cs="Times New Roman"/>
          <w:sz w:val="24"/>
          <w:szCs w:val="24"/>
          <w:lang w:eastAsia="bg-BG"/>
        </w:rPr>
        <w:t>по-</w:t>
      </w:r>
      <w:r>
        <w:rPr>
          <w:rFonts w:ascii="Times New Roman" w:hAnsi="Times New Roman" w:cs="Times New Roman"/>
          <w:sz w:val="24"/>
          <w:szCs w:val="24"/>
          <w:lang w:eastAsia="bg-BG"/>
        </w:rPr>
        <w:t xml:space="preserve">активно участие в процеса на планиране и вземане на решения по линия на устойчивостта в НАТО. </w:t>
      </w:r>
      <w:r w:rsidR="007E59DB">
        <w:rPr>
          <w:rFonts w:ascii="Times New Roman" w:hAnsi="Times New Roman" w:cs="Times New Roman"/>
          <w:sz w:val="24"/>
          <w:szCs w:val="24"/>
          <w:lang w:eastAsia="bg-BG"/>
        </w:rPr>
        <w:t xml:space="preserve">Следва да  продължат усилията за изграждане на механизъм за </w:t>
      </w:r>
      <w:r w:rsidR="00003748">
        <w:rPr>
          <w:rFonts w:ascii="Times New Roman" w:hAnsi="Times New Roman" w:cs="Times New Roman"/>
          <w:sz w:val="24"/>
          <w:szCs w:val="24"/>
          <w:lang w:eastAsia="bg-BG"/>
        </w:rPr>
        <w:t xml:space="preserve">взаимодействие и </w:t>
      </w:r>
      <w:r w:rsidR="007E59DB">
        <w:rPr>
          <w:rFonts w:ascii="Times New Roman" w:hAnsi="Times New Roman" w:cs="Times New Roman"/>
          <w:sz w:val="24"/>
          <w:szCs w:val="24"/>
          <w:lang w:eastAsia="bg-BG"/>
        </w:rPr>
        <w:t>координация, определяне на национални цели за устойчивост в изпълнение на целите на Алианса</w:t>
      </w:r>
      <w:r w:rsidR="00003748">
        <w:rPr>
          <w:rFonts w:ascii="Times New Roman" w:hAnsi="Times New Roman" w:cs="Times New Roman"/>
          <w:sz w:val="24"/>
          <w:szCs w:val="24"/>
          <w:lang w:eastAsia="bg-BG"/>
        </w:rPr>
        <w:t xml:space="preserve"> и изграждане на институционален капацитет чрез участие в обучения и учения. </w:t>
      </w:r>
    </w:p>
    <w:p w14:paraId="2B0F1D70" w14:textId="77777777" w:rsidR="00A53041" w:rsidRPr="005F49B3" w:rsidRDefault="00A53041" w:rsidP="00D6403A">
      <w:pPr>
        <w:pStyle w:val="Heading4"/>
        <w:numPr>
          <w:ilvl w:val="0"/>
          <w:numId w:val="17"/>
        </w:numPr>
        <w:spacing w:after="120"/>
        <w:ind w:left="714" w:hanging="357"/>
        <w:jc w:val="center"/>
        <w:rPr>
          <w:rFonts w:ascii="Times New Roman" w:hAnsi="Times New Roman" w:cs="Times New Roman"/>
          <w:color w:val="auto"/>
          <w:sz w:val="24"/>
          <w:u w:val="single"/>
        </w:rPr>
      </w:pPr>
      <w:r w:rsidRPr="005F49B3">
        <w:rPr>
          <w:rFonts w:ascii="Times New Roman" w:hAnsi="Times New Roman" w:cs="Times New Roman"/>
          <w:color w:val="auto"/>
          <w:sz w:val="24"/>
          <w:u w:val="single"/>
        </w:rPr>
        <w:t>Членство в ОИСР</w:t>
      </w:r>
    </w:p>
    <w:p w14:paraId="7DE914E5" w14:textId="77777777" w:rsidR="00A53041" w:rsidRPr="005F49B3" w:rsidRDefault="00A53041" w:rsidP="00D6403A">
      <w:pPr>
        <w:pStyle w:val="NoSpacing"/>
        <w:numPr>
          <w:ilvl w:val="0"/>
          <w:numId w:val="19"/>
        </w:numPr>
        <w:spacing w:after="120" w:line="276" w:lineRule="auto"/>
        <w:ind w:left="714" w:hanging="357"/>
        <w:contextualSpacing/>
        <w:jc w:val="both"/>
        <w:rPr>
          <w:rFonts w:ascii="Times New Roman" w:hAnsi="Times New Roman" w:cs="Times New Roman"/>
          <w:b/>
          <w:sz w:val="24"/>
          <w:lang w:val="bg-BG"/>
        </w:rPr>
      </w:pPr>
      <w:r w:rsidRPr="005F49B3">
        <w:rPr>
          <w:rFonts w:ascii="Times New Roman" w:hAnsi="Times New Roman" w:cs="Times New Roman"/>
          <w:b/>
          <w:sz w:val="24"/>
          <w:lang w:val="bg-BG"/>
        </w:rPr>
        <w:t>Членството в ОИСР е стратегически приоритет за вътрешна трансформация чрез прилагане на международни стандарти в икономическото и публичното управление.</w:t>
      </w:r>
    </w:p>
    <w:p w14:paraId="71D392C5" w14:textId="77777777" w:rsidR="00A53041" w:rsidRPr="005F49B3" w:rsidRDefault="00A53041" w:rsidP="00D6403A">
      <w:pPr>
        <w:pStyle w:val="NoSpacing"/>
        <w:numPr>
          <w:ilvl w:val="0"/>
          <w:numId w:val="19"/>
        </w:numPr>
        <w:spacing w:after="120" w:line="276" w:lineRule="auto"/>
        <w:ind w:left="714" w:hanging="357"/>
        <w:contextualSpacing/>
        <w:jc w:val="both"/>
        <w:rPr>
          <w:rFonts w:ascii="Times New Roman" w:hAnsi="Times New Roman" w:cs="Times New Roman"/>
          <w:b/>
          <w:sz w:val="24"/>
          <w:lang w:val="bg-BG"/>
        </w:rPr>
      </w:pPr>
      <w:r w:rsidRPr="005F49B3">
        <w:rPr>
          <w:rFonts w:ascii="Times New Roman" w:hAnsi="Times New Roman" w:cs="Times New Roman"/>
          <w:b/>
          <w:sz w:val="24"/>
          <w:lang w:val="bg-BG"/>
        </w:rPr>
        <w:t>България цели пълноправно членство до 2026 г., като изоставането от Румъния и Хърватия би създало риск от блокиране на процеса и загуба на институционална подкрепа.</w:t>
      </w:r>
    </w:p>
    <w:p w14:paraId="5CB279E3" w14:textId="083C69FC"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Присъединителният процес към ОИСР се разглежда като стратегически национален приоритет, свързан с вътрешната устойчивост и международната легитимност на България. Вътрешнополитически, членството би подпомогнало икономическото развитие и подобряването на жизнения стандарт чрез въвеждане на най-добрите международни практики в управлението, финансите, инвестиционната и търговската политика. </w:t>
      </w:r>
      <w:r w:rsidR="0048497D">
        <w:rPr>
          <w:rFonts w:ascii="Times New Roman" w:hAnsi="Times New Roman" w:cs="Times New Roman"/>
          <w:sz w:val="24"/>
          <w:szCs w:val="24"/>
          <w:lang w:eastAsia="bg-BG"/>
        </w:rPr>
        <w:t>В международен план</w:t>
      </w:r>
      <w:r w:rsidRPr="005F49B3">
        <w:rPr>
          <w:rFonts w:ascii="Times New Roman" w:hAnsi="Times New Roman" w:cs="Times New Roman"/>
          <w:sz w:val="24"/>
          <w:szCs w:val="24"/>
          <w:lang w:eastAsia="bg-BG"/>
        </w:rPr>
        <w:t>, то би затвърдило имиджа на България като надежден партньор, ангажиран с демократичните и пазарни принципи.</w:t>
      </w:r>
    </w:p>
    <w:p w14:paraId="45FAF014" w14:textId="77777777"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Поставена е политическа цел за приключване на техническата част от процеса до края на 2025 г. или началото на 2026 г., с оглед пълноправно членство през 2026 г. Важен фактор в този процес е синхронизирането с темповете на другите две кандидатстващи държави членки на ЕС – Хърватия и Румъния. Изоставане от този ритъм би намалило значително вероятността България да получи навременна институционална подкрепа от страна на Европейската комисия и Секретариата на ОИСР, както и би </w:t>
      </w:r>
      <w:r w:rsidRPr="005F49B3">
        <w:rPr>
          <w:rFonts w:ascii="Times New Roman" w:hAnsi="Times New Roman" w:cs="Times New Roman"/>
          <w:sz w:val="24"/>
          <w:szCs w:val="24"/>
          <w:lang w:eastAsia="bg-BG"/>
        </w:rPr>
        <w:lastRenderedPageBreak/>
        <w:t>компрометирало стратегическата възможност за едновременно приемане на трите държави.</w:t>
      </w:r>
    </w:p>
    <w:p w14:paraId="46D8F759" w14:textId="77777777" w:rsidR="00A75466"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тази връзка е необходимо гарантиране на последователност и висока политическа ангажираност, мобилизиране на националния експертен капацитет и ефективна координация на институциите, ангажирани в процеса. Стратегическата комуникация и публичната подкрепа за членството следва също да бъдат засилени, като част от усилията за повишаване на доверието към реформите и принадлежността на България към групата на развити демокрации и пазари.</w:t>
      </w:r>
      <w:bookmarkStart w:id="16" w:name="_Toc136342491"/>
      <w:bookmarkStart w:id="17" w:name="_Toc135305737"/>
      <w:bookmarkStart w:id="18" w:name="_Toc136342488"/>
    </w:p>
    <w:p w14:paraId="0C95E122" w14:textId="77777777" w:rsidR="00A75466" w:rsidRPr="00757AC6" w:rsidRDefault="00A75466" w:rsidP="00D6403A">
      <w:pPr>
        <w:pStyle w:val="Heading3"/>
        <w:numPr>
          <w:ilvl w:val="0"/>
          <w:numId w:val="12"/>
        </w:numPr>
        <w:spacing w:before="0" w:after="60" w:line="360" w:lineRule="auto"/>
        <w:rPr>
          <w:rFonts w:ascii="Times New Roman" w:hAnsi="Times New Roman" w:cs="Times New Roman"/>
          <w:b/>
          <w:color w:val="1F4E79" w:themeColor="accent1" w:themeShade="80"/>
          <w:lang w:val="en-US"/>
        </w:rPr>
      </w:pPr>
      <w:bookmarkStart w:id="19" w:name="_Toc208580372"/>
      <w:bookmarkEnd w:id="14"/>
      <w:r w:rsidRPr="00757AC6">
        <w:rPr>
          <w:rFonts w:ascii="Times New Roman" w:hAnsi="Times New Roman" w:cs="Times New Roman"/>
          <w:b/>
          <w:color w:val="1F4E79" w:themeColor="accent1" w:themeShade="80"/>
        </w:rPr>
        <w:t>Кибер</w:t>
      </w:r>
      <w:bookmarkEnd w:id="16"/>
      <w:r w:rsidR="00075D06" w:rsidRPr="00757AC6">
        <w:rPr>
          <w:rFonts w:ascii="Times New Roman" w:hAnsi="Times New Roman" w:cs="Times New Roman"/>
          <w:b/>
          <w:color w:val="1F4E79" w:themeColor="accent1" w:themeShade="80"/>
        </w:rPr>
        <w:t>сигурност</w:t>
      </w:r>
      <w:bookmarkEnd w:id="19"/>
    </w:p>
    <w:p w14:paraId="6CEA99FC" w14:textId="77777777" w:rsidR="00A53041" w:rsidRPr="005F49B3" w:rsidRDefault="00A53041" w:rsidP="00D6403A">
      <w:pPr>
        <w:pStyle w:val="ListParagraph"/>
        <w:numPr>
          <w:ilvl w:val="0"/>
          <w:numId w:val="20"/>
        </w:numPr>
        <w:jc w:val="both"/>
        <w:rPr>
          <w:rFonts w:ascii="Times New Roman" w:hAnsi="Times New Roman" w:cs="Times New Roman"/>
          <w:b/>
          <w:sz w:val="24"/>
          <w:szCs w:val="24"/>
        </w:rPr>
      </w:pPr>
      <w:r w:rsidRPr="005F49B3">
        <w:rPr>
          <w:rFonts w:ascii="Times New Roman" w:hAnsi="Times New Roman" w:cs="Times New Roman"/>
          <w:b/>
          <w:sz w:val="24"/>
          <w:szCs w:val="24"/>
        </w:rPr>
        <w:t xml:space="preserve">През 2024 г. България и останалите европейски държави са изправени пред трайна ескалация на кибератаките и киберпрестъпността. Най-сериозните предизвикателства произтичат от атаки със зловреден софтуер (вкл. </w:t>
      </w:r>
      <w:proofErr w:type="spellStart"/>
      <w:r w:rsidRPr="005F49B3">
        <w:rPr>
          <w:rFonts w:ascii="Times New Roman" w:hAnsi="Times New Roman" w:cs="Times New Roman"/>
          <w:b/>
          <w:sz w:val="24"/>
          <w:szCs w:val="24"/>
        </w:rPr>
        <w:t>ransomware</w:t>
      </w:r>
      <w:proofErr w:type="spellEnd"/>
      <w:r w:rsidRPr="005F49B3">
        <w:rPr>
          <w:rFonts w:ascii="Times New Roman" w:hAnsi="Times New Roman" w:cs="Times New Roman"/>
          <w:b/>
          <w:sz w:val="24"/>
          <w:szCs w:val="24"/>
        </w:rPr>
        <w:t xml:space="preserve">), посегателства върху критична инфраструктура, използване на изкуствен интелект за дезинформация, както и нарушения на сигурността на комуникациите. </w:t>
      </w:r>
    </w:p>
    <w:p w14:paraId="7F224111" w14:textId="77777777" w:rsidR="00A53041" w:rsidRPr="005F49B3" w:rsidRDefault="00A53041" w:rsidP="00D6403A">
      <w:pPr>
        <w:pStyle w:val="ListParagraph"/>
        <w:numPr>
          <w:ilvl w:val="0"/>
          <w:numId w:val="20"/>
        </w:numPr>
        <w:jc w:val="both"/>
        <w:rPr>
          <w:rFonts w:ascii="Times New Roman" w:hAnsi="Times New Roman" w:cs="Times New Roman"/>
          <w:b/>
          <w:sz w:val="24"/>
          <w:szCs w:val="24"/>
        </w:rPr>
      </w:pPr>
      <w:r w:rsidRPr="005F49B3">
        <w:rPr>
          <w:rFonts w:ascii="Times New Roman" w:hAnsi="Times New Roman" w:cs="Times New Roman"/>
          <w:b/>
          <w:sz w:val="24"/>
          <w:szCs w:val="24"/>
        </w:rPr>
        <w:t xml:space="preserve">Киберзаплахите все по-често се използват в контекста на хибридни стратегии, като комбинират средства от военен, информационен, икономически и технологичен характер. </w:t>
      </w:r>
    </w:p>
    <w:p w14:paraId="6027385D" w14:textId="77777777" w:rsidR="00A53041" w:rsidRPr="005F49B3" w:rsidRDefault="00A53041" w:rsidP="00D6403A">
      <w:pPr>
        <w:pStyle w:val="ListParagraph"/>
        <w:numPr>
          <w:ilvl w:val="0"/>
          <w:numId w:val="20"/>
        </w:numPr>
        <w:jc w:val="both"/>
        <w:rPr>
          <w:rFonts w:ascii="Times New Roman" w:hAnsi="Times New Roman" w:cs="Times New Roman"/>
          <w:b/>
          <w:sz w:val="24"/>
          <w:szCs w:val="24"/>
        </w:rPr>
      </w:pPr>
      <w:r w:rsidRPr="005F49B3">
        <w:rPr>
          <w:rFonts w:ascii="Times New Roman" w:hAnsi="Times New Roman" w:cs="Times New Roman"/>
          <w:b/>
          <w:sz w:val="24"/>
          <w:szCs w:val="24"/>
        </w:rPr>
        <w:t>Утвърждава се необходимостта от цялостен и системен подход към националната киберсигурност с акцент върху устойчивостта, нормативната рамка и кадровото обезпечаване на капацитетите.</w:t>
      </w:r>
    </w:p>
    <w:p w14:paraId="5BAA261E" w14:textId="6E154677"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Киберзаплахите през 2024 г. са доминирани от действия на държавно спонсорирани субекти, произхождащи предимно от </w:t>
      </w:r>
      <w:r w:rsidR="00876F0C" w:rsidRPr="005F49B3">
        <w:rPr>
          <w:rFonts w:ascii="Times New Roman" w:hAnsi="Times New Roman" w:cs="Times New Roman"/>
          <w:sz w:val="24"/>
          <w:szCs w:val="24"/>
          <w:lang w:eastAsia="bg-BG"/>
        </w:rPr>
        <w:t>РФ</w:t>
      </w:r>
      <w:r w:rsidRPr="005F49B3">
        <w:rPr>
          <w:rFonts w:ascii="Times New Roman" w:hAnsi="Times New Roman" w:cs="Times New Roman"/>
          <w:sz w:val="24"/>
          <w:szCs w:val="24"/>
          <w:lang w:eastAsia="bg-BG"/>
        </w:rPr>
        <w:t>, Китай, Иран и КНДР. Основни цели на атаките са събирането и манипулирането на чувствителна информация, нарушаването на функционалността на ключови системи и ерозиране на доверието в институциите. Установяват се сериозни уязвимости в защитата на информационните активи на стратегически обекти и държавни институции. Чести са посегателствата срещу звена от финансовия, здравния и транспортния сектор, както и срещу производители на отбранителни продукти и общински администрации. Особена тревога буди експлоатирането на слабата медийна и цифрова грамотност сред гражданите, в т.ч. на подрастващите, чрез използване на дълбоки фалшификации</w:t>
      </w:r>
      <w:r w:rsidR="0048497D">
        <w:rPr>
          <w:rFonts w:ascii="Times New Roman" w:hAnsi="Times New Roman" w:cs="Times New Roman"/>
          <w:sz w:val="24"/>
          <w:szCs w:val="24"/>
          <w:lang w:eastAsia="bg-BG"/>
        </w:rPr>
        <w:t xml:space="preserve"> </w:t>
      </w:r>
      <w:r w:rsidR="0048497D">
        <w:rPr>
          <w:rFonts w:ascii="Times New Roman" w:hAnsi="Times New Roman" w:cs="Times New Roman"/>
          <w:sz w:val="24"/>
          <w:szCs w:val="24"/>
          <w:lang w:val="en-US" w:eastAsia="bg-BG"/>
        </w:rPr>
        <w:t>(deep fake)</w:t>
      </w:r>
      <w:r w:rsidRPr="005F49B3">
        <w:rPr>
          <w:rFonts w:ascii="Times New Roman" w:hAnsi="Times New Roman" w:cs="Times New Roman"/>
          <w:sz w:val="24"/>
          <w:szCs w:val="24"/>
          <w:lang w:eastAsia="bg-BG"/>
        </w:rPr>
        <w:t xml:space="preserve"> и дезинформационни кампании с помощта на изкуствен интелект. Престъпни мрежи все по-успешно използват технологичните канали за прикриване на дейността си и извличане на печалба от мащабни трансгранични атаки. Рисковете се допълват от недостатъчното финансиране, недостига на квалифициран персонал, както и ограниченото използване на съвременни технологии за мониторинг и реакция, като SIEM системи.</w:t>
      </w:r>
    </w:p>
    <w:p w14:paraId="2985410A" w14:textId="77777777" w:rsidR="00A53041"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През 2024 г. е реализиран широк набор от институционални, законодателни и оперативни действия за противодействие на нарастващите киберзаплахи. Разширен е анализът на уязвимостите в стратегическите обекти, а на базата на идентифицираните слабости са изпратени препоръки до компетентните институции. Центърът за мониторинг и реакция на киберинциденти към ДАНС осъществява наблюдение в почти </w:t>
      </w:r>
      <w:r w:rsidRPr="005F49B3">
        <w:rPr>
          <w:rFonts w:ascii="Times New Roman" w:hAnsi="Times New Roman" w:cs="Times New Roman"/>
          <w:sz w:val="24"/>
          <w:szCs w:val="24"/>
          <w:lang w:eastAsia="bg-BG"/>
        </w:rPr>
        <w:lastRenderedPageBreak/>
        <w:t xml:space="preserve">реално време и координира действията по възстановяване на засегнати активи. Националният екип за реакция при инциденти CERT-BG регистрира 3 775 инцидента, от които преобладаващите са </w:t>
      </w:r>
      <w:proofErr w:type="spellStart"/>
      <w:r w:rsidRPr="005F49B3">
        <w:rPr>
          <w:rFonts w:ascii="Times New Roman" w:hAnsi="Times New Roman" w:cs="Times New Roman"/>
          <w:sz w:val="24"/>
          <w:szCs w:val="24"/>
          <w:lang w:eastAsia="bg-BG"/>
        </w:rPr>
        <w:t>фишинг</w:t>
      </w:r>
      <w:proofErr w:type="spellEnd"/>
      <w:r w:rsidRPr="005F49B3">
        <w:rPr>
          <w:rFonts w:ascii="Times New Roman" w:hAnsi="Times New Roman" w:cs="Times New Roman"/>
          <w:sz w:val="24"/>
          <w:szCs w:val="24"/>
          <w:lang w:eastAsia="bg-BG"/>
        </w:rPr>
        <w:t xml:space="preserve"> и зловреден код. Изпратени са над 6 200 указания и препоръки. Приети са мерки за подобряване на информираността на публичните администрации, организирани са обучения и е осигурен достъп на експерти до специализирани модули на ЕНИСА. Подготвени са и нормативни промени с цел хармонизация с Директива NIS2, включително разширяване на секторите и функции в обхвата на ЗКС. Проведени са съвместни учения с европейски партньори, вкл. по сценарии, свързани с енергийния сектор и изборни процеси.</w:t>
      </w:r>
    </w:p>
    <w:p w14:paraId="781CE4EF" w14:textId="787902C7" w:rsidR="000A0E0A" w:rsidRPr="005F49B3" w:rsidRDefault="00A53041"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Необходимо е създаването и устойчивото поддържане на национална система за киберсигурност, осигуряваща единен, координиран и аналитично базиран подход към съвременните заплахи. Следва да се гарантира редовна актуализация и прилагане на политиките за информационна сигурност в публичния сектор, както и внедряване на модерни средства за мониторинг и реакция. Препоръчва се изграждането на централизирани механизми за разработка на криптографски средства от български производители и за координация на реакцията при мащабни инциденти. Наложително е осигуряване на целеви ресурс за кадрово обезпечаване с висококвалифицирани експерти, чиято подготовка следва да се поддържа чрез обучение по международни стандарти. Следва да се засилят усилията за повишаване на цифровата и медийната грамотност сред населението, особено уязвимите групи, както и да се насърчава критичното мислене спрямо информационни въздействия</w:t>
      </w:r>
      <w:r w:rsidR="0048497D">
        <w:rPr>
          <w:rFonts w:ascii="Times New Roman" w:hAnsi="Times New Roman" w:cs="Times New Roman"/>
          <w:sz w:val="24"/>
          <w:szCs w:val="24"/>
          <w:lang w:eastAsia="bg-BG"/>
        </w:rPr>
        <w:t>, с акцент върху социалните медии, повишаване на медийната грамотност и устойчивост на зловредно съдържание.</w:t>
      </w:r>
      <w:r w:rsidRPr="005F49B3">
        <w:rPr>
          <w:rFonts w:ascii="Times New Roman" w:hAnsi="Times New Roman" w:cs="Times New Roman"/>
          <w:sz w:val="24"/>
          <w:szCs w:val="24"/>
          <w:lang w:eastAsia="bg-BG"/>
        </w:rPr>
        <w:t xml:space="preserve"> Поддържането на ефективно сътрудничество в рамките на ЕС, НАТО и партньорски мрежи трябва да се утвърди като основа за изграждане на устойчива киберекосистема и стратегическа автономност в тази ключова сфера.</w:t>
      </w:r>
    </w:p>
    <w:p w14:paraId="0787AFE5" w14:textId="77777777" w:rsidR="00211E8C" w:rsidRPr="00757AC6" w:rsidRDefault="00211E8C" w:rsidP="00D6403A">
      <w:pPr>
        <w:pStyle w:val="Heading3"/>
        <w:numPr>
          <w:ilvl w:val="0"/>
          <w:numId w:val="12"/>
        </w:numPr>
        <w:spacing w:line="360" w:lineRule="auto"/>
        <w:rPr>
          <w:rFonts w:ascii="Times New Roman" w:hAnsi="Times New Roman" w:cs="Times New Roman"/>
          <w:b/>
          <w:bCs/>
          <w:color w:val="1F4E79" w:themeColor="accent1" w:themeShade="80"/>
        </w:rPr>
      </w:pPr>
      <w:bookmarkStart w:id="20" w:name="_Toc208580373"/>
      <w:r w:rsidRPr="00757AC6">
        <w:rPr>
          <w:rFonts w:ascii="Times New Roman" w:hAnsi="Times New Roman" w:cs="Times New Roman"/>
          <w:b/>
          <w:bCs/>
          <w:color w:val="1F4E79" w:themeColor="accent1" w:themeShade="80"/>
        </w:rPr>
        <w:t>Тероризъм</w:t>
      </w:r>
      <w:bookmarkEnd w:id="17"/>
      <w:bookmarkEnd w:id="18"/>
      <w:r w:rsidRPr="00757AC6">
        <w:rPr>
          <w:rFonts w:ascii="Times New Roman" w:hAnsi="Times New Roman" w:cs="Times New Roman"/>
          <w:b/>
          <w:bCs/>
          <w:color w:val="1F4E79" w:themeColor="accent1" w:themeShade="80"/>
        </w:rPr>
        <w:t xml:space="preserve"> </w:t>
      </w:r>
      <w:r w:rsidR="00757AC6">
        <w:rPr>
          <w:rFonts w:ascii="Times New Roman" w:hAnsi="Times New Roman" w:cs="Times New Roman"/>
          <w:b/>
          <w:bCs/>
          <w:color w:val="1F4E79" w:themeColor="accent1" w:themeShade="80"/>
        </w:rPr>
        <w:t>и радикализация</w:t>
      </w:r>
      <w:bookmarkEnd w:id="20"/>
    </w:p>
    <w:p w14:paraId="7B739C76" w14:textId="77777777" w:rsidR="00D6017C" w:rsidRPr="005F49B3" w:rsidRDefault="00075D06" w:rsidP="00D6403A">
      <w:pPr>
        <w:pStyle w:val="ListParagraph"/>
        <w:numPr>
          <w:ilvl w:val="0"/>
          <w:numId w:val="21"/>
        </w:numPr>
        <w:spacing w:after="120"/>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 xml:space="preserve">В условия на влошаваща се обстановка по сигурността в БИСА, терористичните структури се стремят към възвръщане на позициите и разширяване на регионите си на действие, в т.ч. чрез интензивна пропаганда, която води до нарастване на риска от осъществяване на терористични действия в региона и отвъд. </w:t>
      </w:r>
    </w:p>
    <w:p w14:paraId="1D464485" w14:textId="3417FB10" w:rsidR="00075D06" w:rsidRPr="005F49B3" w:rsidRDefault="00075D06" w:rsidP="00D6403A">
      <w:pPr>
        <w:pStyle w:val="ListParagraph"/>
        <w:numPr>
          <w:ilvl w:val="0"/>
          <w:numId w:val="21"/>
        </w:numPr>
        <w:spacing w:after="120"/>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Запазват се основните субекти, носители на терористична заплаха за Европа: самостоятелно действащи терористи, индивиди с рисков профил, придвижващи се от конфликтни региони, в т.ч. инфилтрирани в мигрантски потоци, лица с произход от рискови райони, които се радикализират на по-късен етап от пребиваването си в европейска държава, завръщащи се/завърнали с</w:t>
      </w:r>
      <w:r w:rsidR="00B36B88">
        <w:rPr>
          <w:rFonts w:ascii="Times New Roman" w:hAnsi="Times New Roman" w:cs="Times New Roman"/>
          <w:b/>
          <w:sz w:val="24"/>
          <w:szCs w:val="24"/>
        </w:rPr>
        <w:t xml:space="preserve">е </w:t>
      </w:r>
      <w:r w:rsidRPr="005F49B3">
        <w:rPr>
          <w:rFonts w:ascii="Times New Roman" w:hAnsi="Times New Roman" w:cs="Times New Roman"/>
          <w:b/>
          <w:sz w:val="24"/>
          <w:szCs w:val="24"/>
        </w:rPr>
        <w:t xml:space="preserve">бойци и семейства на джихадисти. </w:t>
      </w:r>
    </w:p>
    <w:p w14:paraId="2BBF5A4A" w14:textId="3A916E7A" w:rsidR="00D6017C" w:rsidRPr="005F49B3" w:rsidRDefault="00D6017C"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През 2024 г. международният тероризъм запази позицията си като една от основните глобални заплахи за националната и международната сигурност. БИСА и Централна Азия стимулира активността на терористични организации като т.нар. Ислямска държава и Ал-Кайда, които адаптираха своите стратегии към децентрализирана структура и интензивно използване на дигитални средства за радикализация, финансиране и пропаганда. ЕС отчете повишен брой атаки, извършени </w:t>
      </w:r>
      <w:r w:rsidRPr="005F49B3">
        <w:rPr>
          <w:rFonts w:ascii="Times New Roman" w:hAnsi="Times New Roman" w:cs="Times New Roman"/>
          <w:sz w:val="24"/>
          <w:szCs w:val="24"/>
          <w:lang w:eastAsia="bg-BG"/>
        </w:rPr>
        <w:lastRenderedPageBreak/>
        <w:t xml:space="preserve">от самостоятелно действащи лица, включително непълнолетни. Радикализацията се ускорява под въздействието на </w:t>
      </w:r>
      <w:r w:rsidR="00C2336B">
        <w:rPr>
          <w:rFonts w:ascii="Times New Roman" w:hAnsi="Times New Roman" w:cs="Times New Roman"/>
          <w:sz w:val="24"/>
          <w:szCs w:val="24"/>
          <w:lang w:eastAsia="bg-BG"/>
        </w:rPr>
        <w:t>продължаващата война в Газа</w:t>
      </w:r>
      <w:r w:rsidRPr="005F49B3">
        <w:rPr>
          <w:rFonts w:ascii="Times New Roman" w:hAnsi="Times New Roman" w:cs="Times New Roman"/>
          <w:sz w:val="24"/>
          <w:szCs w:val="24"/>
          <w:lang w:eastAsia="bg-BG"/>
        </w:rPr>
        <w:t>, нови технологични средства и разпространението на екстремистко съдържание онлайн.</w:t>
      </w:r>
    </w:p>
    <w:p w14:paraId="66F796A8" w14:textId="77777777" w:rsidR="00D6017C" w:rsidRPr="005F49B3" w:rsidRDefault="00D6017C"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България не е изолирана от тези процеси. Близостта ѝ до конфликтни зони, включително като страна по Източносредиземноморския маршрут, увеличава уязвимостта от навлизане и установяване на територията ѝ на лица, свързани с терористични организации. Акцент в усилията през 2024 г. бе поставен върху предотвратяване на радикализацията, противодействие на финансирането на тероризма и усъвършенстване на междуинституционалната координация и капацитет за реакция при терористични заплахи.</w:t>
      </w:r>
    </w:p>
    <w:p w14:paraId="435B99B3" w14:textId="77777777" w:rsidR="00D6017C" w:rsidRPr="005F49B3" w:rsidRDefault="00D6017C"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Рискът от терористични действия в Европа и България остава повишен поради широкото използване на пропаганда от терористични организации, инфилтрацията на радикализирани лица в мигрантските потоци и появата на нови модели на радикализация, особено сред младите хора. Основните източници на заплаха са самостоятелно действащи терористи, завърнали се бойци, лица с произход от рискови региони и индивиди, податливи на джихадистко или крайнодясно влияние. Нарастващата склонност към насилие в екстремисткия спектър, както и размиването на границите между тероризъм и организирана престъпност, задълбочават заплахата. Конфликтите в Близкия изток, включително смяната на режима в Сирия и нестабилността около затворите и лагерите с бойци на ИДИЛ, създават допълнителен риск от възраждане на структури и проникване в Европа. Увеличава се и опасността от контрабанда на радиоактивни материали в резултат на войната в Украйна.</w:t>
      </w:r>
    </w:p>
    <w:p w14:paraId="2C244CBC" w14:textId="21375D15" w:rsidR="00D6017C" w:rsidRPr="005F49B3" w:rsidRDefault="00D6017C"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На национално ниво се отчита опасност от използване на българска територия за логистична или финансова подкрепа на терористични структури, както и възможност за радикализация на местно ниво</w:t>
      </w:r>
      <w:r w:rsidR="0086182B">
        <w:rPr>
          <w:rFonts w:ascii="Times New Roman" w:hAnsi="Times New Roman" w:cs="Times New Roman"/>
          <w:sz w:val="24"/>
          <w:szCs w:val="24"/>
          <w:lang w:eastAsia="bg-BG"/>
        </w:rPr>
        <w:t>, в т.ч.</w:t>
      </w:r>
      <w:r w:rsidRPr="005F49B3">
        <w:rPr>
          <w:rFonts w:ascii="Times New Roman" w:hAnsi="Times New Roman" w:cs="Times New Roman"/>
          <w:sz w:val="24"/>
          <w:szCs w:val="24"/>
          <w:lang w:eastAsia="bg-BG"/>
        </w:rPr>
        <w:t xml:space="preserve"> риск от създаване на „спящи клетки“ и активиране на индивидуални нападения. Съществува потенциал и за злоупотреба с интернет пространства и нови технологии – включително изкуствен интелект – за </w:t>
      </w:r>
      <w:proofErr w:type="spellStart"/>
      <w:r w:rsidRPr="005F49B3">
        <w:rPr>
          <w:rFonts w:ascii="Times New Roman" w:hAnsi="Times New Roman" w:cs="Times New Roman"/>
          <w:sz w:val="24"/>
          <w:szCs w:val="24"/>
          <w:lang w:eastAsia="bg-BG"/>
        </w:rPr>
        <w:t>вербовка</w:t>
      </w:r>
      <w:proofErr w:type="spellEnd"/>
      <w:r w:rsidRPr="005F49B3">
        <w:rPr>
          <w:rFonts w:ascii="Times New Roman" w:hAnsi="Times New Roman" w:cs="Times New Roman"/>
          <w:sz w:val="24"/>
          <w:szCs w:val="24"/>
          <w:lang w:eastAsia="bg-BG"/>
        </w:rPr>
        <w:t>, координация и разпространение на екстремистко съдържание.</w:t>
      </w:r>
    </w:p>
    <w:p w14:paraId="07A08092" w14:textId="77777777" w:rsidR="00D6017C" w:rsidRPr="005F49B3" w:rsidRDefault="00D6017C"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През 2024 г. България предприе комплексни действия за повишаване на капацитета за противодействие на терористичните заплахи. Беше проведено национално пълномащабно учение „Отговор 24“, с участие на над 200 представители на ключови институции, включително МВР, МО, ДАНС, Прокуратурата и здравните власти, с цел оценка на оперативната готовност за реакция при терористичен акт. По линия на контрола върху чуждестранни граждани, ДАНС извърши 8258 проверки и предотврати достъпа до страната на 12 лица, представляващи риск за националната сигурност. Бяха наложени принудителни административни мерки на 36 чужди граждани за логистика или съпричастност към тероризъм и 144 лица бяха включени в масива на нежеланите чужденци.</w:t>
      </w:r>
    </w:p>
    <w:p w14:paraId="33712453" w14:textId="77777777" w:rsidR="00D6017C" w:rsidRPr="005F49B3" w:rsidRDefault="00D6017C"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На европейско ниво България участва активно в усилията за прекъсване на каналите за финансиране на тероризма. Бяха въведени ускорени и ефективни механизми за информиране на задължените лица относно санкции и резолюции на Съвета за сигурност на ООН. Осъществявана е и постоянна работа за мониторинг на рискови </w:t>
      </w:r>
      <w:r w:rsidRPr="005F49B3">
        <w:rPr>
          <w:rFonts w:ascii="Times New Roman" w:hAnsi="Times New Roman" w:cs="Times New Roman"/>
          <w:sz w:val="24"/>
          <w:szCs w:val="24"/>
          <w:lang w:eastAsia="bg-BG"/>
        </w:rPr>
        <w:lastRenderedPageBreak/>
        <w:t>интернет платформи и за ограничаване на онлайн пропагандата, включително чрез сътрудничество с партньорски служби.</w:t>
      </w:r>
    </w:p>
    <w:p w14:paraId="168B6257" w14:textId="77777777" w:rsidR="000A0E0A" w:rsidRPr="005F49B3" w:rsidRDefault="00D6017C"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Необходимо е продължаване на интегрирания подход за борба с тероризма, базиран на проактивна превенция, ранно откриване и ефективна реакция. В краткосрочен план се препоръчва подобряване на наблюдението върху онлайн средата, с фокус върху изкуствения интелект като инструмент за разпространение на терористично съдържание и вербуване на симпатизанти. Следва да се разширят механизмите за обмен на информация със страните от Източносредиземноморския маршрут и Западните Балкани, както и да се задълбочи стратегическият диалог с Турция. В дългосрочен план от съществено значение е въвеждането на образователни и информационни програми за ранно идентифициране на процеси на радикализация, както и укрепване на капацитета за финансово разузнаване. С оглед на динамичната трансформация на терористичната среда, е необходимо адаптиране на законодателната рамка, засилване на международното сътрудничество и поддържане на висока оперативна готовност на всички звена от сис</w:t>
      </w:r>
      <w:r w:rsidR="00EA7EE4" w:rsidRPr="005F49B3">
        <w:rPr>
          <w:rFonts w:ascii="Times New Roman" w:hAnsi="Times New Roman" w:cs="Times New Roman"/>
          <w:sz w:val="24"/>
          <w:szCs w:val="24"/>
          <w:lang w:eastAsia="bg-BG"/>
        </w:rPr>
        <w:t>темата за национална сигурност.</w:t>
      </w:r>
      <w:bookmarkStart w:id="21" w:name="_Toc135305738"/>
      <w:bookmarkStart w:id="22" w:name="_Toc136342489"/>
    </w:p>
    <w:p w14:paraId="7C486371" w14:textId="544B88DA" w:rsidR="00B03D96" w:rsidRPr="00757AC6" w:rsidRDefault="00BA66B0" w:rsidP="00D6403A">
      <w:pPr>
        <w:pStyle w:val="Heading3"/>
        <w:numPr>
          <w:ilvl w:val="0"/>
          <w:numId w:val="12"/>
        </w:numPr>
        <w:spacing w:line="360" w:lineRule="auto"/>
        <w:rPr>
          <w:rFonts w:ascii="Times New Roman" w:eastAsia="Times New Roman" w:hAnsi="Times New Roman" w:cs="Times New Roman"/>
          <w:b/>
          <w:color w:val="1F4E79" w:themeColor="accent1" w:themeShade="80"/>
          <w:lang w:eastAsia="bg-BG"/>
        </w:rPr>
      </w:pPr>
      <w:bookmarkStart w:id="23" w:name="_Toc208580374"/>
      <w:r w:rsidRPr="00757AC6">
        <w:rPr>
          <w:rFonts w:ascii="Times New Roman" w:eastAsia="Times New Roman" w:hAnsi="Times New Roman" w:cs="Times New Roman"/>
          <w:b/>
          <w:color w:val="1F4E79" w:themeColor="accent1" w:themeShade="80"/>
          <w:lang w:eastAsia="bg-BG"/>
        </w:rPr>
        <w:t>М</w:t>
      </w:r>
      <w:r w:rsidR="00211E8C" w:rsidRPr="00757AC6">
        <w:rPr>
          <w:rFonts w:ascii="Times New Roman" w:eastAsia="Times New Roman" w:hAnsi="Times New Roman" w:cs="Times New Roman"/>
          <w:b/>
          <w:color w:val="1F4E79" w:themeColor="accent1" w:themeShade="80"/>
          <w:lang w:eastAsia="bg-BG"/>
        </w:rPr>
        <w:t>играци</w:t>
      </w:r>
      <w:bookmarkEnd w:id="21"/>
      <w:bookmarkEnd w:id="22"/>
      <w:r w:rsidR="008067F6" w:rsidRPr="00757AC6">
        <w:rPr>
          <w:rFonts w:ascii="Times New Roman" w:eastAsia="Times New Roman" w:hAnsi="Times New Roman" w:cs="Times New Roman"/>
          <w:b/>
          <w:color w:val="1F4E79" w:themeColor="accent1" w:themeShade="80"/>
          <w:lang w:eastAsia="bg-BG"/>
        </w:rPr>
        <w:t>онен натиск</w:t>
      </w:r>
      <w:r w:rsidR="001F5C34" w:rsidRPr="00757AC6">
        <w:rPr>
          <w:rFonts w:ascii="Times New Roman" w:eastAsia="Times New Roman" w:hAnsi="Times New Roman" w:cs="Times New Roman"/>
          <w:b/>
          <w:color w:val="1F4E79" w:themeColor="accent1" w:themeShade="80"/>
          <w:lang w:eastAsia="bg-BG"/>
        </w:rPr>
        <w:t xml:space="preserve"> и гран</w:t>
      </w:r>
      <w:bookmarkStart w:id="24" w:name="_Toc136342493"/>
      <w:r w:rsidR="002A7912">
        <w:rPr>
          <w:rFonts w:ascii="Times New Roman" w:eastAsia="Times New Roman" w:hAnsi="Times New Roman" w:cs="Times New Roman"/>
          <w:b/>
          <w:color w:val="1F4E79" w:themeColor="accent1" w:themeShade="80"/>
          <w:lang w:eastAsia="bg-BG"/>
        </w:rPr>
        <w:t>ичен контрол</w:t>
      </w:r>
      <w:bookmarkEnd w:id="23"/>
    </w:p>
    <w:p w14:paraId="001BDCF7" w14:textId="255ED434" w:rsidR="001E1716" w:rsidRPr="005F49B3" w:rsidRDefault="001E1716" w:rsidP="00D6403A">
      <w:pPr>
        <w:pStyle w:val="NoSpacing"/>
        <w:numPr>
          <w:ilvl w:val="0"/>
          <w:numId w:val="42"/>
        </w:numPr>
        <w:spacing w:after="120" w:line="276" w:lineRule="auto"/>
        <w:ind w:left="714" w:hanging="357"/>
        <w:contextualSpacing/>
        <w:jc w:val="both"/>
        <w:rPr>
          <w:rFonts w:ascii="Times New Roman" w:hAnsi="Times New Roman" w:cs="Times New Roman"/>
          <w:b/>
          <w:sz w:val="24"/>
          <w:lang w:val="bg-BG"/>
        </w:rPr>
      </w:pPr>
      <w:r w:rsidRPr="005F49B3">
        <w:rPr>
          <w:rFonts w:ascii="Times New Roman" w:hAnsi="Times New Roman" w:cs="Times New Roman"/>
          <w:b/>
          <w:sz w:val="24"/>
          <w:lang w:val="bg-BG"/>
        </w:rPr>
        <w:t>През 2024 г. миграционният натиск към Европейския съюз остана значителен поради продължаващи военни конфликти, социално-икономическа нестабилност и задълбочаващи се регионални кризи</w:t>
      </w:r>
      <w:r w:rsidR="00C2336B">
        <w:rPr>
          <w:rFonts w:ascii="Times New Roman" w:hAnsi="Times New Roman" w:cs="Times New Roman"/>
          <w:b/>
          <w:sz w:val="24"/>
          <w:lang w:val="bg-BG"/>
        </w:rPr>
        <w:t xml:space="preserve"> и конфликти</w:t>
      </w:r>
      <w:r w:rsidRPr="005F49B3">
        <w:rPr>
          <w:rFonts w:ascii="Times New Roman" w:hAnsi="Times New Roman" w:cs="Times New Roman"/>
          <w:b/>
          <w:sz w:val="24"/>
          <w:lang w:val="bg-BG"/>
        </w:rPr>
        <w:t xml:space="preserve"> в БИСА</w:t>
      </w:r>
      <w:r w:rsidR="00C2336B">
        <w:rPr>
          <w:rFonts w:ascii="Times New Roman" w:hAnsi="Times New Roman" w:cs="Times New Roman"/>
          <w:b/>
          <w:sz w:val="24"/>
          <w:lang w:val="bg-BG"/>
        </w:rPr>
        <w:t>, Субсахарска Африка</w:t>
      </w:r>
      <w:r w:rsidRPr="005F49B3">
        <w:rPr>
          <w:rFonts w:ascii="Times New Roman" w:hAnsi="Times New Roman" w:cs="Times New Roman"/>
          <w:b/>
          <w:sz w:val="24"/>
          <w:lang w:val="bg-BG"/>
        </w:rPr>
        <w:t xml:space="preserve"> и Централна Азия, </w:t>
      </w:r>
      <w:r w:rsidR="0055221A">
        <w:rPr>
          <w:rFonts w:ascii="Times New Roman" w:hAnsi="Times New Roman" w:cs="Times New Roman"/>
          <w:b/>
          <w:sz w:val="24"/>
          <w:lang w:val="bg-BG"/>
        </w:rPr>
        <w:t xml:space="preserve">които </w:t>
      </w:r>
      <w:r w:rsidR="007E046D">
        <w:rPr>
          <w:rFonts w:ascii="Times New Roman" w:hAnsi="Times New Roman" w:cs="Times New Roman"/>
          <w:b/>
          <w:sz w:val="24"/>
          <w:lang w:val="bg-BG"/>
        </w:rPr>
        <w:t>създават условия за генериране на големи миграционни потоци от лица, търсещи закрила в Република България</w:t>
      </w:r>
      <w:r w:rsidRPr="005F49B3">
        <w:rPr>
          <w:rFonts w:ascii="Times New Roman" w:hAnsi="Times New Roman" w:cs="Times New Roman"/>
          <w:b/>
          <w:sz w:val="24"/>
          <w:lang w:val="bg-BG"/>
        </w:rPr>
        <w:t xml:space="preserve">. </w:t>
      </w:r>
    </w:p>
    <w:p w14:paraId="47F8AD65" w14:textId="77777777" w:rsidR="001E1716" w:rsidRPr="005F49B3" w:rsidRDefault="001E1716" w:rsidP="00D6403A">
      <w:pPr>
        <w:pStyle w:val="NoSpacing"/>
        <w:numPr>
          <w:ilvl w:val="0"/>
          <w:numId w:val="42"/>
        </w:numPr>
        <w:spacing w:after="120" w:line="276" w:lineRule="auto"/>
        <w:ind w:left="714" w:hanging="357"/>
        <w:contextualSpacing/>
        <w:jc w:val="both"/>
        <w:rPr>
          <w:rFonts w:ascii="Times New Roman" w:hAnsi="Times New Roman" w:cs="Times New Roman"/>
          <w:b/>
          <w:sz w:val="24"/>
          <w:lang w:val="bg-BG"/>
        </w:rPr>
      </w:pPr>
      <w:r w:rsidRPr="005F49B3">
        <w:rPr>
          <w:rFonts w:ascii="Times New Roman" w:hAnsi="Times New Roman" w:cs="Times New Roman"/>
          <w:b/>
          <w:sz w:val="24"/>
          <w:lang w:val="bg-BG"/>
        </w:rPr>
        <w:t>През 2024 г. България постигна пълна интеграция в Шенгенското пространство и продължи да развива оперативните и стратегическите си капацитети за справяне с трансграничния натиск.</w:t>
      </w:r>
    </w:p>
    <w:p w14:paraId="2A20E857" w14:textId="4ABF1560" w:rsidR="001E1716" w:rsidRPr="005F49B3" w:rsidRDefault="001E1716"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Основните рискове за сигурността, свързани с миграционния натиск, произтичат от увеличения брой незаконни преминавания, особено от граждани на страни в Африка и Азия, които използват установени маршрути и </w:t>
      </w:r>
      <w:proofErr w:type="spellStart"/>
      <w:r w:rsidRPr="005F49B3">
        <w:rPr>
          <w:rFonts w:ascii="Times New Roman" w:hAnsi="Times New Roman" w:cs="Times New Roman"/>
          <w:sz w:val="24"/>
          <w:szCs w:val="24"/>
          <w:lang w:eastAsia="bg-BG"/>
        </w:rPr>
        <w:t>каналджийски</w:t>
      </w:r>
      <w:proofErr w:type="spellEnd"/>
      <w:r w:rsidRPr="005F49B3">
        <w:rPr>
          <w:rFonts w:ascii="Times New Roman" w:hAnsi="Times New Roman" w:cs="Times New Roman"/>
          <w:sz w:val="24"/>
          <w:szCs w:val="24"/>
          <w:lang w:eastAsia="bg-BG"/>
        </w:rPr>
        <w:t xml:space="preserve"> мрежи с висока степен на координация и технологична адаптивност. Незаконната миграция създава възможности за проникване на криминално проявени лица и лица, свързани с терористични мрежи, особено в контекста на ограничен</w:t>
      </w:r>
      <w:r w:rsidR="002A7912">
        <w:rPr>
          <w:rFonts w:ascii="Times New Roman" w:hAnsi="Times New Roman" w:cs="Times New Roman"/>
          <w:sz w:val="24"/>
          <w:szCs w:val="24"/>
          <w:lang w:eastAsia="bg-BG"/>
        </w:rPr>
        <w:t>и възможности</w:t>
      </w:r>
      <w:r w:rsidRPr="005F49B3">
        <w:rPr>
          <w:rFonts w:ascii="Times New Roman" w:hAnsi="Times New Roman" w:cs="Times New Roman"/>
          <w:sz w:val="24"/>
          <w:szCs w:val="24"/>
          <w:lang w:eastAsia="bg-BG"/>
        </w:rPr>
        <w:t xml:space="preserve"> за идентификация и проверка. Допълнителен риск произтича от вторични миграционни движения на вече пребиваващи на територията на ЕС чужденци, както и от потенциална радикализация в приемащи или транзитни държави. Вътрешна уязвимост се поражда и от необходимостта за съхраняване на баланс между сигурността и правата на лицата, търсещи международна закрила. Налице са предизвикателства в адаптирането на националната нормативна уредба към нововъзникващи рискове и динамиката на миграционните потоци. </w:t>
      </w:r>
      <w:r w:rsidR="002A7912" w:rsidRPr="002A7912">
        <w:rPr>
          <w:rFonts w:ascii="Times New Roman" w:hAnsi="Times New Roman" w:cs="Times New Roman"/>
          <w:sz w:val="24"/>
          <w:szCs w:val="24"/>
          <w:lang w:eastAsia="bg-BG"/>
        </w:rPr>
        <w:t xml:space="preserve">Въпреки спада в миграционния натиск към страната от септември 2023 г. насам, дължащ се на предприетия комплекс от мерки, както и засиленото сътрудничество с Турция, Гърция и Румъния, общата регионална обстановка остава нестабилна, а </w:t>
      </w:r>
      <w:proofErr w:type="spellStart"/>
      <w:r w:rsidR="002A7912" w:rsidRPr="002A7912">
        <w:rPr>
          <w:rFonts w:ascii="Times New Roman" w:hAnsi="Times New Roman" w:cs="Times New Roman"/>
          <w:sz w:val="24"/>
          <w:szCs w:val="24"/>
          <w:lang w:eastAsia="bg-BG"/>
        </w:rPr>
        <w:t>каналджийските</w:t>
      </w:r>
      <w:proofErr w:type="spellEnd"/>
      <w:r w:rsidR="002A7912" w:rsidRPr="002A7912">
        <w:rPr>
          <w:rFonts w:ascii="Times New Roman" w:hAnsi="Times New Roman" w:cs="Times New Roman"/>
          <w:sz w:val="24"/>
          <w:szCs w:val="24"/>
          <w:lang w:eastAsia="bg-BG"/>
        </w:rPr>
        <w:t xml:space="preserve"> мрежи проявяват висока способност за адаптация</w:t>
      </w:r>
      <w:r w:rsidR="002A7912">
        <w:rPr>
          <w:rFonts w:ascii="Times New Roman" w:hAnsi="Times New Roman" w:cs="Times New Roman"/>
          <w:sz w:val="24"/>
          <w:szCs w:val="24"/>
          <w:lang w:eastAsia="bg-BG"/>
        </w:rPr>
        <w:t>.</w:t>
      </w:r>
    </w:p>
    <w:p w14:paraId="0BE45F51" w14:textId="7909CAB4" w:rsidR="002A7912" w:rsidRPr="005F49B3" w:rsidRDefault="002A7912" w:rsidP="00891E30">
      <w:pPr>
        <w:spacing w:after="120" w:line="276" w:lineRule="auto"/>
        <w:ind w:firstLine="851"/>
        <w:jc w:val="both"/>
        <w:rPr>
          <w:rFonts w:ascii="Times New Roman" w:hAnsi="Times New Roman" w:cs="Times New Roman"/>
          <w:sz w:val="24"/>
          <w:szCs w:val="24"/>
          <w:lang w:eastAsia="bg-BG"/>
        </w:rPr>
      </w:pPr>
      <w:r w:rsidRPr="002A7912">
        <w:rPr>
          <w:rFonts w:ascii="Times New Roman" w:hAnsi="Times New Roman" w:cs="Times New Roman"/>
          <w:sz w:val="24"/>
          <w:szCs w:val="24"/>
          <w:lang w:eastAsia="bg-BG"/>
        </w:rPr>
        <w:lastRenderedPageBreak/>
        <w:t xml:space="preserve">През 2024 г. бе приложен многопластов подход за ограничаване на незаконната миграция, основан на засилена охрана по външната граница и разширено международно сътрудничество. България засили присъствието на полицейски патрули в критичните  гранични зони и ефективно използва възможностите на въздушното визуално и техническо наблюдение. Проведени бяха специализирани операции с фокус върху уязвими участъци в граничните зони  и на ГКПП, както и проверки за наличие на укрити лица в пътни превозни средства. Поддържано бе високо ниво на сътрудничество с Агенция Фронтекс, включително чрез съвместни мисии и постоянен обмен на оперативна информация. Разширени бяха и механизмите за междуведомствено и международно сътрудничество чрез смесени гранични комисии и контактни центрове. В допълнение, бяха командировани военнослужещи от МО за логистична подкрепа и охрана на държавната граница. В рамките на ЕС България подкрепи предприетите действия за справяне с миграционния натиск по Източносредиземноморския и </w:t>
      </w:r>
      <w:proofErr w:type="spellStart"/>
      <w:r w:rsidRPr="002A7912">
        <w:rPr>
          <w:rFonts w:ascii="Times New Roman" w:hAnsi="Times New Roman" w:cs="Times New Roman"/>
          <w:sz w:val="24"/>
          <w:szCs w:val="24"/>
          <w:lang w:eastAsia="bg-BG"/>
        </w:rPr>
        <w:t>Западнобалканския</w:t>
      </w:r>
      <w:proofErr w:type="spellEnd"/>
      <w:r w:rsidRPr="002A7912">
        <w:rPr>
          <w:rFonts w:ascii="Times New Roman" w:hAnsi="Times New Roman" w:cs="Times New Roman"/>
          <w:sz w:val="24"/>
          <w:szCs w:val="24"/>
          <w:lang w:eastAsia="bg-BG"/>
        </w:rPr>
        <w:t xml:space="preserve"> миграционен маршрут, включително прилагането на нови мерки срещу трафика на мигранти, както и провеждане на инициативи за засилване на връщането и </w:t>
      </w:r>
      <w:proofErr w:type="spellStart"/>
      <w:r w:rsidRPr="002A7912">
        <w:rPr>
          <w:rFonts w:ascii="Times New Roman" w:hAnsi="Times New Roman" w:cs="Times New Roman"/>
          <w:sz w:val="24"/>
          <w:szCs w:val="24"/>
          <w:lang w:eastAsia="bg-BG"/>
        </w:rPr>
        <w:t>реадмисията</w:t>
      </w:r>
      <w:proofErr w:type="spellEnd"/>
      <w:r w:rsidRPr="002A7912">
        <w:rPr>
          <w:rFonts w:ascii="Times New Roman" w:hAnsi="Times New Roman" w:cs="Times New Roman"/>
          <w:sz w:val="24"/>
          <w:szCs w:val="24"/>
          <w:lang w:eastAsia="bg-BG"/>
        </w:rPr>
        <w:t xml:space="preserve"> на лица, представляващи заплаха за обществения ред.</w:t>
      </w:r>
    </w:p>
    <w:p w14:paraId="40EB5662" w14:textId="77777777" w:rsidR="00B03D96" w:rsidRPr="005F49B3" w:rsidRDefault="001E1716"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За повишаване на ефективността на управлението на миграционния натиск е необходимо продължаващо укрепване на националния капацитет за граничен контрол чрез инвестиции в модерни технологии – вкл. </w:t>
      </w:r>
      <w:proofErr w:type="spellStart"/>
      <w:r w:rsidRPr="005F49B3">
        <w:rPr>
          <w:rFonts w:ascii="Times New Roman" w:hAnsi="Times New Roman" w:cs="Times New Roman"/>
          <w:sz w:val="24"/>
          <w:szCs w:val="24"/>
          <w:lang w:eastAsia="bg-BG"/>
        </w:rPr>
        <w:t>дронове</w:t>
      </w:r>
      <w:proofErr w:type="spellEnd"/>
      <w:r w:rsidRPr="005F49B3">
        <w:rPr>
          <w:rFonts w:ascii="Times New Roman" w:hAnsi="Times New Roman" w:cs="Times New Roman"/>
          <w:sz w:val="24"/>
          <w:szCs w:val="24"/>
          <w:lang w:eastAsia="bg-BG"/>
        </w:rPr>
        <w:t xml:space="preserve">, сензори и системи за сателитно наблюдение – и автоматизация на проверките. Необходимо е проактивно противодействие на </w:t>
      </w:r>
      <w:proofErr w:type="spellStart"/>
      <w:r w:rsidRPr="005F49B3">
        <w:rPr>
          <w:rFonts w:ascii="Times New Roman" w:hAnsi="Times New Roman" w:cs="Times New Roman"/>
          <w:sz w:val="24"/>
          <w:szCs w:val="24"/>
          <w:lang w:eastAsia="bg-BG"/>
        </w:rPr>
        <w:t>каналджийски</w:t>
      </w:r>
      <w:proofErr w:type="spellEnd"/>
      <w:r w:rsidRPr="005F49B3">
        <w:rPr>
          <w:rFonts w:ascii="Times New Roman" w:hAnsi="Times New Roman" w:cs="Times New Roman"/>
          <w:sz w:val="24"/>
          <w:szCs w:val="24"/>
          <w:lang w:eastAsia="bg-BG"/>
        </w:rPr>
        <w:t xml:space="preserve"> мрежи чрез оперативно разузнаване, правно-съдебно сътрудничество и международен обмен на чувствителна информация. Следва да се засили анализът на миграционните потоци в реално време и да се изгради устойчива система за ранно предупреждение за нови маршрути и рискове. Приоритетно значение има адаптацията на нормативната рамка към динамиката на незаконната миграция и осигуряване на устойчиво правно основание за връщане и </w:t>
      </w:r>
      <w:proofErr w:type="spellStart"/>
      <w:r w:rsidRPr="005F49B3">
        <w:rPr>
          <w:rFonts w:ascii="Times New Roman" w:hAnsi="Times New Roman" w:cs="Times New Roman"/>
          <w:sz w:val="24"/>
          <w:szCs w:val="24"/>
          <w:lang w:eastAsia="bg-BG"/>
        </w:rPr>
        <w:t>реадмисия</w:t>
      </w:r>
      <w:proofErr w:type="spellEnd"/>
      <w:r w:rsidRPr="005F49B3">
        <w:rPr>
          <w:rFonts w:ascii="Times New Roman" w:hAnsi="Times New Roman" w:cs="Times New Roman"/>
          <w:sz w:val="24"/>
          <w:szCs w:val="24"/>
          <w:lang w:eastAsia="bg-BG"/>
        </w:rPr>
        <w:t>. Политиките трябва да съчетават сигурност с хуманност, чрез ефективна система за убежище и мерки за недопускане на радикализация и социална изолация на чужденци с временен или дългосрочен престой. Активната позиция на България в рамките на ЕС и сътрудничеството със страни по произход и транзит следва да се използват за формулиране на общоевропейски подход, основан на споделена отговорност и гъвкавост в управлението на миграцията.</w:t>
      </w:r>
    </w:p>
    <w:p w14:paraId="1F5DB529" w14:textId="77777777" w:rsidR="007955C4" w:rsidRPr="00757AC6" w:rsidRDefault="003D38CE" w:rsidP="00D6403A">
      <w:pPr>
        <w:pStyle w:val="Heading3"/>
        <w:numPr>
          <w:ilvl w:val="0"/>
          <w:numId w:val="12"/>
        </w:numPr>
        <w:spacing w:line="360" w:lineRule="auto"/>
        <w:rPr>
          <w:rFonts w:ascii="Times New Roman" w:hAnsi="Times New Roman" w:cs="Times New Roman"/>
          <w:b/>
          <w:color w:val="1F4E79" w:themeColor="accent1" w:themeShade="80"/>
        </w:rPr>
      </w:pPr>
      <w:bookmarkStart w:id="25" w:name="_Toc208580375"/>
      <w:r w:rsidRPr="00757AC6">
        <w:rPr>
          <w:rFonts w:ascii="Times New Roman" w:hAnsi="Times New Roman" w:cs="Times New Roman"/>
          <w:b/>
          <w:color w:val="1F4E79" w:themeColor="accent1" w:themeShade="80"/>
        </w:rPr>
        <w:t>Разпространение на оръжия за масово унищожаване</w:t>
      </w:r>
      <w:bookmarkEnd w:id="25"/>
      <w:r w:rsidRPr="00757AC6">
        <w:rPr>
          <w:rFonts w:ascii="Times New Roman" w:hAnsi="Times New Roman" w:cs="Times New Roman"/>
          <w:b/>
          <w:color w:val="1F4E79" w:themeColor="accent1" w:themeShade="80"/>
        </w:rPr>
        <w:t xml:space="preserve"> </w:t>
      </w:r>
      <w:bookmarkEnd w:id="24"/>
    </w:p>
    <w:p w14:paraId="68FBAB47" w14:textId="77777777" w:rsidR="008011F6" w:rsidRPr="005F49B3" w:rsidRDefault="008011F6" w:rsidP="00D6403A">
      <w:pPr>
        <w:pStyle w:val="ListParagraph"/>
        <w:numPr>
          <w:ilvl w:val="0"/>
          <w:numId w:val="15"/>
        </w:numPr>
        <w:jc w:val="both"/>
        <w:rPr>
          <w:rFonts w:ascii="Times New Roman" w:hAnsi="Times New Roman" w:cs="Times New Roman"/>
          <w:b/>
          <w:sz w:val="24"/>
          <w:szCs w:val="24"/>
        </w:rPr>
      </w:pPr>
      <w:bookmarkStart w:id="26" w:name="_Toc136342487"/>
      <w:r w:rsidRPr="005F49B3">
        <w:rPr>
          <w:rFonts w:ascii="Times New Roman" w:hAnsi="Times New Roman" w:cs="Times New Roman"/>
          <w:b/>
          <w:sz w:val="24"/>
          <w:szCs w:val="24"/>
        </w:rPr>
        <w:t xml:space="preserve">През 2024 г. международната среда на сигурност се влоши допълнително, като отбеляза рязък ръст на заплахите, свързани с разпространението и модернизацията на </w:t>
      </w:r>
      <w:r w:rsidR="00876F0C" w:rsidRPr="005F49B3">
        <w:rPr>
          <w:rFonts w:ascii="Times New Roman" w:hAnsi="Times New Roman" w:cs="Times New Roman"/>
          <w:b/>
          <w:sz w:val="24"/>
          <w:szCs w:val="24"/>
        </w:rPr>
        <w:t>ОМУ</w:t>
      </w:r>
      <w:r w:rsidRPr="005F49B3">
        <w:rPr>
          <w:rFonts w:ascii="Times New Roman" w:hAnsi="Times New Roman" w:cs="Times New Roman"/>
          <w:b/>
          <w:sz w:val="24"/>
          <w:szCs w:val="24"/>
        </w:rPr>
        <w:t xml:space="preserve">. </w:t>
      </w:r>
    </w:p>
    <w:p w14:paraId="19E6A447" w14:textId="77777777" w:rsidR="008011F6" w:rsidRPr="005F49B3" w:rsidRDefault="008011F6" w:rsidP="00D6403A">
      <w:pPr>
        <w:pStyle w:val="ListParagraph"/>
        <w:numPr>
          <w:ilvl w:val="0"/>
          <w:numId w:val="15"/>
        </w:numPr>
        <w:jc w:val="both"/>
        <w:rPr>
          <w:rFonts w:ascii="Times New Roman" w:hAnsi="Times New Roman" w:cs="Times New Roman"/>
          <w:b/>
          <w:sz w:val="24"/>
          <w:szCs w:val="24"/>
        </w:rPr>
      </w:pPr>
      <w:r w:rsidRPr="005F49B3">
        <w:rPr>
          <w:rFonts w:ascii="Times New Roman" w:hAnsi="Times New Roman" w:cs="Times New Roman"/>
          <w:b/>
          <w:sz w:val="24"/>
          <w:szCs w:val="24"/>
        </w:rPr>
        <w:t xml:space="preserve">Нараснаха рисковете от трансфер на технологии с двойна употреба към държави и недържавни субекти, включително терористични организации. Активизира се надпреварата във въоръжаването между ядрените сили, като бе отчетено разширяване на арсеналите и нарушаване на ключови международни договори. </w:t>
      </w:r>
    </w:p>
    <w:p w14:paraId="4038F755" w14:textId="77777777" w:rsidR="008011F6" w:rsidRPr="005F49B3" w:rsidRDefault="008011F6" w:rsidP="00D6403A">
      <w:pPr>
        <w:pStyle w:val="ListParagraph"/>
        <w:numPr>
          <w:ilvl w:val="0"/>
          <w:numId w:val="15"/>
        </w:numPr>
        <w:spacing w:after="120"/>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 xml:space="preserve">Бяха регистрирани опити за незаконен превоз на общоопасни вещества и изделия, предназначени за заобикаляне на санкционните режими, което </w:t>
      </w:r>
      <w:r w:rsidRPr="005F49B3">
        <w:rPr>
          <w:rFonts w:ascii="Times New Roman" w:hAnsi="Times New Roman" w:cs="Times New Roman"/>
          <w:b/>
          <w:sz w:val="24"/>
          <w:szCs w:val="24"/>
        </w:rPr>
        <w:lastRenderedPageBreak/>
        <w:t>затвърди необходимостта от засилване на контрола и превенцията на национално и международно ниво.</w:t>
      </w:r>
    </w:p>
    <w:p w14:paraId="647552EA" w14:textId="79ACE642" w:rsidR="008011F6" w:rsidRPr="005F49B3" w:rsidRDefault="008011F6"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Международната архитектура за контрол върху въоръженията продължи да ерозира, особено след оттеглянето на </w:t>
      </w:r>
      <w:r w:rsidR="00876F0C" w:rsidRPr="005F49B3">
        <w:rPr>
          <w:rFonts w:ascii="Times New Roman" w:hAnsi="Times New Roman" w:cs="Times New Roman"/>
          <w:sz w:val="24"/>
          <w:szCs w:val="24"/>
          <w:lang w:eastAsia="bg-BG"/>
        </w:rPr>
        <w:t>РФ</w:t>
      </w:r>
      <w:r w:rsidRPr="005F49B3">
        <w:rPr>
          <w:rFonts w:ascii="Times New Roman" w:hAnsi="Times New Roman" w:cs="Times New Roman"/>
          <w:sz w:val="24"/>
          <w:szCs w:val="24"/>
          <w:lang w:eastAsia="bg-BG"/>
        </w:rPr>
        <w:t xml:space="preserve"> от </w:t>
      </w:r>
      <w:bookmarkStart w:id="27" w:name="_Hlk206668711"/>
      <w:r w:rsidRPr="005F49B3">
        <w:rPr>
          <w:rFonts w:ascii="Times New Roman" w:hAnsi="Times New Roman" w:cs="Times New Roman"/>
          <w:sz w:val="24"/>
          <w:szCs w:val="24"/>
          <w:lang w:eastAsia="bg-BG"/>
        </w:rPr>
        <w:t>Договора за всеобхватна забрана на ядрените опити (ДВЗЯО)</w:t>
      </w:r>
      <w:bookmarkEnd w:id="27"/>
      <w:r w:rsidRPr="005F49B3">
        <w:rPr>
          <w:rFonts w:ascii="Times New Roman" w:hAnsi="Times New Roman" w:cs="Times New Roman"/>
          <w:sz w:val="24"/>
          <w:szCs w:val="24"/>
          <w:lang w:eastAsia="bg-BG"/>
        </w:rPr>
        <w:t xml:space="preserve"> и блокирането на диалога по Договора „New START“. Пълномащабната военна агресия срещу Украйна и окупацията на </w:t>
      </w:r>
      <w:proofErr w:type="spellStart"/>
      <w:r w:rsidR="002A7912">
        <w:rPr>
          <w:rFonts w:ascii="Times New Roman" w:hAnsi="Times New Roman" w:cs="Times New Roman"/>
          <w:sz w:val="24"/>
          <w:szCs w:val="24"/>
          <w:lang w:eastAsia="bg-BG"/>
        </w:rPr>
        <w:t>Запорожката</w:t>
      </w:r>
      <w:proofErr w:type="spellEnd"/>
      <w:r w:rsidR="002A7912">
        <w:rPr>
          <w:rFonts w:ascii="Times New Roman" w:hAnsi="Times New Roman" w:cs="Times New Roman"/>
          <w:sz w:val="24"/>
          <w:szCs w:val="24"/>
          <w:lang w:eastAsia="bg-BG"/>
        </w:rPr>
        <w:t xml:space="preserve"> АЕЦ </w:t>
      </w:r>
      <w:r w:rsidR="002A7912">
        <w:rPr>
          <w:rFonts w:ascii="Times New Roman" w:hAnsi="Times New Roman" w:cs="Times New Roman"/>
          <w:sz w:val="24"/>
          <w:szCs w:val="24"/>
          <w:lang w:val="en-US" w:eastAsia="bg-BG"/>
        </w:rPr>
        <w:t>(</w:t>
      </w:r>
      <w:r w:rsidRPr="005F49B3">
        <w:rPr>
          <w:rFonts w:ascii="Times New Roman" w:hAnsi="Times New Roman" w:cs="Times New Roman"/>
          <w:sz w:val="24"/>
          <w:szCs w:val="24"/>
          <w:lang w:eastAsia="bg-BG"/>
        </w:rPr>
        <w:t>ЗАЕЦ</w:t>
      </w:r>
      <w:r w:rsidR="002A7912">
        <w:rPr>
          <w:rFonts w:ascii="Times New Roman" w:hAnsi="Times New Roman" w:cs="Times New Roman"/>
          <w:sz w:val="24"/>
          <w:szCs w:val="24"/>
          <w:lang w:val="en-US" w:eastAsia="bg-BG"/>
        </w:rPr>
        <w:t>)</w:t>
      </w:r>
      <w:r w:rsidRPr="005F49B3">
        <w:rPr>
          <w:rFonts w:ascii="Times New Roman" w:hAnsi="Times New Roman" w:cs="Times New Roman"/>
          <w:sz w:val="24"/>
          <w:szCs w:val="24"/>
          <w:lang w:eastAsia="bg-BG"/>
        </w:rPr>
        <w:t xml:space="preserve"> създадоха реален и непосредствен риск от сериозен ядрен инцидент. Китай разшири ядрения си арсенал без ангажимент за прозрачност и верификация, като отказа участие в разговори за намаляване на риска. Сближаването между РФ и Китай по въпросите на сигурността допълнително усложни стратегическата среда. Ядрената програма на Иран, в съчетание с активизирането на неговата ракетна програма и двустранната ѝ обвързаност с руските интереси, генерира нарастваща нестабилност в Близкия изток. Потенциалът за попадане на </w:t>
      </w:r>
      <w:r w:rsidR="00876F0C" w:rsidRPr="005F49B3">
        <w:rPr>
          <w:rFonts w:ascii="Times New Roman" w:hAnsi="Times New Roman" w:cs="Times New Roman"/>
          <w:sz w:val="24"/>
          <w:szCs w:val="24"/>
          <w:lang w:eastAsia="bg-BG"/>
        </w:rPr>
        <w:t>оръжия за масово унищожение</w:t>
      </w:r>
      <w:r w:rsidRPr="005F49B3">
        <w:rPr>
          <w:rFonts w:ascii="Times New Roman" w:hAnsi="Times New Roman" w:cs="Times New Roman"/>
          <w:sz w:val="24"/>
          <w:szCs w:val="24"/>
          <w:lang w:eastAsia="bg-BG"/>
        </w:rPr>
        <w:t xml:space="preserve"> или техни компоненти в ръцете на екстремистки организации остава висок и представлява значителна заплаха и за сигурността на България.</w:t>
      </w:r>
    </w:p>
    <w:p w14:paraId="03FACF73" w14:textId="77777777" w:rsidR="008011F6" w:rsidRPr="005F49B3" w:rsidRDefault="008011F6"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През 2024 г. бяха предприети действия за ограничаване на незаконната търговия с изделия и технологии с възможна двойна употреба. Наложени бяха принудителни административни мерки спрямо чужди граждани за опити за заобикаляне на санкционни режими чрез доставки за Руската федерация, както и поради нерегламентиран превоз на общоопасни вещества. Изготвени бяха над 1300 становища относно сделки, свързани с отбранителни продукти. България продължи активно да участва в работата на Международната агенция за атомна енергия и подкрепи усилията за гарантиране на ядрената сигурност в Украйна, включително чрез предложения за създаване на зона за сигурност около ЗАЕЦ. В допълнение страната ни се включи в пилотната среща за създаване на Глобален форум за предотвратяване на радиологичния и ядрен тероризъм, насочен към надграждане на международното сътрудничество и способностите за реакция при подобен тип заплахи.</w:t>
      </w:r>
    </w:p>
    <w:p w14:paraId="47F52C98" w14:textId="60A3F301" w:rsidR="00A75466" w:rsidRPr="005F49B3" w:rsidRDefault="008011F6"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Необходимо е да се утвърди устойчив и стратегически ангажиран национален принос към международните усилия за неразпространение и контрол на оръжията за масово унищожение. Следва да се засили ролята на България в многостранни формати като </w:t>
      </w:r>
      <w:r w:rsidR="002A7912">
        <w:rPr>
          <w:rFonts w:ascii="Times New Roman" w:hAnsi="Times New Roman" w:cs="Times New Roman"/>
          <w:sz w:val="24"/>
          <w:szCs w:val="24"/>
          <w:lang w:eastAsia="bg-BG"/>
        </w:rPr>
        <w:t xml:space="preserve">Международната агенция за атомна енергия </w:t>
      </w:r>
      <w:r w:rsidR="002A7912">
        <w:rPr>
          <w:rFonts w:ascii="Times New Roman" w:hAnsi="Times New Roman" w:cs="Times New Roman"/>
          <w:sz w:val="24"/>
          <w:szCs w:val="24"/>
          <w:lang w:val="en-US" w:eastAsia="bg-BG"/>
        </w:rPr>
        <w:t>(</w:t>
      </w:r>
      <w:r w:rsidRPr="005F49B3">
        <w:rPr>
          <w:rFonts w:ascii="Times New Roman" w:hAnsi="Times New Roman" w:cs="Times New Roman"/>
          <w:sz w:val="24"/>
          <w:szCs w:val="24"/>
          <w:lang w:eastAsia="bg-BG"/>
        </w:rPr>
        <w:t>МААЕ</w:t>
      </w:r>
      <w:r w:rsidR="002A7912">
        <w:rPr>
          <w:rFonts w:ascii="Times New Roman" w:hAnsi="Times New Roman" w:cs="Times New Roman"/>
          <w:sz w:val="24"/>
          <w:szCs w:val="24"/>
          <w:lang w:val="en-US" w:eastAsia="bg-BG"/>
        </w:rPr>
        <w:t>)</w:t>
      </w:r>
      <w:r w:rsidRPr="005F49B3">
        <w:rPr>
          <w:rFonts w:ascii="Times New Roman" w:hAnsi="Times New Roman" w:cs="Times New Roman"/>
          <w:sz w:val="24"/>
          <w:szCs w:val="24"/>
          <w:lang w:eastAsia="bg-BG"/>
        </w:rPr>
        <w:t xml:space="preserve"> и </w:t>
      </w:r>
      <w:proofErr w:type="spellStart"/>
      <w:r w:rsidRPr="005F49B3">
        <w:rPr>
          <w:rFonts w:ascii="Times New Roman" w:hAnsi="Times New Roman" w:cs="Times New Roman"/>
          <w:sz w:val="24"/>
          <w:szCs w:val="24"/>
          <w:lang w:eastAsia="bg-BG"/>
        </w:rPr>
        <w:t>Global</w:t>
      </w:r>
      <w:proofErr w:type="spellEnd"/>
      <w:r w:rsidRPr="005F49B3">
        <w:rPr>
          <w:rFonts w:ascii="Times New Roman" w:hAnsi="Times New Roman" w:cs="Times New Roman"/>
          <w:sz w:val="24"/>
          <w:szCs w:val="24"/>
          <w:lang w:eastAsia="bg-BG"/>
        </w:rPr>
        <w:t xml:space="preserve"> FTPRNT, с акцент върху превенцията на радиологичния и ядрен тероризъм. Препоръчва се повишаване на националния капацитет за разкриване, проследяване и блокиране на незаконни потоци на изделия и технологии с двойна употреба чрез по-тясна координация между компетентните институции, задълбочаване на анализа на рисковете и усъвършенстване на контролните механизми. В допълнение, България следва да подкрепя инициативи за възстановяване на международния диалог по ядреното разоръжаване, включително усилия за нови споразумения, компенсиращи излизането от ключови договори, като инициира или участва в</w:t>
      </w:r>
      <w:r w:rsidR="002A7912">
        <w:rPr>
          <w:rFonts w:ascii="Times New Roman" w:hAnsi="Times New Roman" w:cs="Times New Roman"/>
          <w:sz w:val="24"/>
          <w:szCs w:val="24"/>
          <w:lang w:eastAsia="bg-BG"/>
        </w:rPr>
        <w:t>ъв</w:t>
      </w:r>
      <w:r w:rsidRPr="005F49B3">
        <w:rPr>
          <w:rFonts w:ascii="Times New Roman" w:hAnsi="Times New Roman" w:cs="Times New Roman"/>
          <w:sz w:val="24"/>
          <w:szCs w:val="24"/>
          <w:lang w:eastAsia="bg-BG"/>
        </w:rPr>
        <w:t xml:space="preserve"> формати за деескалация на напрежението в глобалните горещи точки. Не на последно място, важно е да се развиват капацитети за ранно предупреждение и управление на инциденти, свързани с ядрената безопасност и сигурност, включително чрез интеграция на съвременни технологични решения и обмен на данни с международните партньори.</w:t>
      </w:r>
    </w:p>
    <w:p w14:paraId="23BC9771" w14:textId="27DD265D" w:rsidR="00A75466" w:rsidRPr="00757AC6" w:rsidRDefault="00A75466" w:rsidP="00D6403A">
      <w:pPr>
        <w:pStyle w:val="Heading3"/>
        <w:numPr>
          <w:ilvl w:val="0"/>
          <w:numId w:val="12"/>
        </w:numPr>
        <w:spacing w:before="0" w:after="120" w:line="360" w:lineRule="auto"/>
        <w:rPr>
          <w:rFonts w:ascii="Times New Roman" w:hAnsi="Times New Roman" w:cs="Times New Roman"/>
          <w:b/>
          <w:color w:val="1F4E79" w:themeColor="accent1" w:themeShade="80"/>
        </w:rPr>
      </w:pPr>
      <w:bookmarkStart w:id="28" w:name="_Toc208580376"/>
      <w:r w:rsidRPr="00757AC6">
        <w:rPr>
          <w:rFonts w:ascii="Times New Roman" w:hAnsi="Times New Roman" w:cs="Times New Roman"/>
          <w:b/>
          <w:color w:val="1F4E79" w:themeColor="accent1" w:themeShade="80"/>
        </w:rPr>
        <w:lastRenderedPageBreak/>
        <w:t>Енергий</w:t>
      </w:r>
      <w:bookmarkEnd w:id="26"/>
      <w:r w:rsidRPr="00757AC6">
        <w:rPr>
          <w:rFonts w:ascii="Times New Roman" w:hAnsi="Times New Roman" w:cs="Times New Roman"/>
          <w:b/>
          <w:color w:val="1F4E79" w:themeColor="accent1" w:themeShade="80"/>
        </w:rPr>
        <w:t>на сигурност и диверсификация</w:t>
      </w:r>
      <w:bookmarkStart w:id="29" w:name="_Hlk206596175"/>
      <w:bookmarkEnd w:id="28"/>
    </w:p>
    <w:p w14:paraId="74B882C6" w14:textId="4F6C4A48" w:rsidR="00580811" w:rsidRPr="00580811" w:rsidRDefault="00580811" w:rsidP="00D6403A">
      <w:pPr>
        <w:pStyle w:val="ListParagraph"/>
        <w:numPr>
          <w:ilvl w:val="0"/>
          <w:numId w:val="15"/>
        </w:numPr>
        <w:jc w:val="both"/>
        <w:rPr>
          <w:rFonts w:ascii="Times New Roman" w:hAnsi="Times New Roman" w:cs="Times New Roman"/>
          <w:b/>
          <w:sz w:val="24"/>
          <w:szCs w:val="24"/>
        </w:rPr>
      </w:pPr>
      <w:r w:rsidRPr="00580811">
        <w:rPr>
          <w:rFonts w:ascii="Times New Roman" w:hAnsi="Times New Roman" w:cs="Times New Roman"/>
          <w:b/>
          <w:sz w:val="24"/>
          <w:szCs w:val="24"/>
        </w:rPr>
        <w:t>Опитът от енергийната криза 2022–2023 г. показа, че ЕС се нуждае от по-устойчива и предвидима рамка за гарантиране на сигурността и достъпността на енергийните доставки.</w:t>
      </w:r>
    </w:p>
    <w:p w14:paraId="59001933" w14:textId="163119D3" w:rsidR="00580811" w:rsidRPr="00580811" w:rsidRDefault="00580811" w:rsidP="00D6403A">
      <w:pPr>
        <w:pStyle w:val="ListParagraph"/>
        <w:numPr>
          <w:ilvl w:val="0"/>
          <w:numId w:val="15"/>
        </w:numPr>
        <w:jc w:val="both"/>
        <w:rPr>
          <w:rFonts w:ascii="Times New Roman" w:hAnsi="Times New Roman" w:cs="Times New Roman"/>
          <w:b/>
          <w:sz w:val="24"/>
          <w:szCs w:val="24"/>
        </w:rPr>
      </w:pPr>
      <w:r w:rsidRPr="00580811">
        <w:rPr>
          <w:rFonts w:ascii="Times New Roman" w:hAnsi="Times New Roman" w:cs="Times New Roman"/>
          <w:b/>
          <w:sz w:val="24"/>
          <w:szCs w:val="24"/>
        </w:rPr>
        <w:t>През 2024 г. България продължи да провежда енергийна политика, съобразена с европейските цели за сигурна, конкурентоспособна и ресурсно ефективна икономика.</w:t>
      </w:r>
    </w:p>
    <w:p w14:paraId="17650760" w14:textId="1867864F" w:rsidR="00580811" w:rsidRPr="00580811" w:rsidRDefault="00580811" w:rsidP="00D6403A">
      <w:pPr>
        <w:pStyle w:val="ListParagraph"/>
        <w:numPr>
          <w:ilvl w:val="0"/>
          <w:numId w:val="15"/>
        </w:numPr>
        <w:jc w:val="both"/>
        <w:rPr>
          <w:rFonts w:ascii="Times New Roman" w:hAnsi="Times New Roman" w:cs="Times New Roman"/>
          <w:b/>
          <w:sz w:val="24"/>
          <w:szCs w:val="24"/>
        </w:rPr>
      </w:pPr>
      <w:r w:rsidRPr="00580811">
        <w:rPr>
          <w:rFonts w:ascii="Times New Roman" w:hAnsi="Times New Roman" w:cs="Times New Roman"/>
          <w:b/>
          <w:sz w:val="24"/>
          <w:szCs w:val="24"/>
        </w:rPr>
        <w:t>България изпълни изискванията на ЕС за запълване на газовите хранилища, като към 1 ноември 2024 г. ПГХ „Чирен“ достигна над 97%</w:t>
      </w:r>
      <w:r w:rsidR="00AB44B6">
        <w:rPr>
          <w:rFonts w:ascii="Times New Roman" w:hAnsi="Times New Roman" w:cs="Times New Roman"/>
          <w:b/>
          <w:sz w:val="24"/>
          <w:szCs w:val="24"/>
        </w:rPr>
        <w:t xml:space="preserve"> от неговия обем</w:t>
      </w:r>
      <w:r w:rsidRPr="00580811">
        <w:rPr>
          <w:rFonts w:ascii="Times New Roman" w:hAnsi="Times New Roman" w:cs="Times New Roman"/>
          <w:b/>
          <w:sz w:val="24"/>
          <w:szCs w:val="24"/>
        </w:rPr>
        <w:t xml:space="preserve">, а </w:t>
      </w:r>
      <w:r w:rsidR="00AB44B6">
        <w:rPr>
          <w:rFonts w:ascii="Times New Roman" w:hAnsi="Times New Roman" w:cs="Times New Roman"/>
          <w:b/>
          <w:sz w:val="24"/>
          <w:szCs w:val="24"/>
        </w:rPr>
        <w:t xml:space="preserve">газовите </w:t>
      </w:r>
      <w:r w:rsidRPr="00580811">
        <w:rPr>
          <w:rFonts w:ascii="Times New Roman" w:hAnsi="Times New Roman" w:cs="Times New Roman"/>
          <w:b/>
          <w:sz w:val="24"/>
          <w:szCs w:val="24"/>
        </w:rPr>
        <w:t>доставки</w:t>
      </w:r>
      <w:r w:rsidR="00AB44B6">
        <w:rPr>
          <w:rFonts w:ascii="Times New Roman" w:hAnsi="Times New Roman" w:cs="Times New Roman"/>
          <w:b/>
          <w:sz w:val="24"/>
          <w:szCs w:val="24"/>
        </w:rPr>
        <w:t xml:space="preserve"> в страната</w:t>
      </w:r>
      <w:r w:rsidRPr="00580811">
        <w:rPr>
          <w:rFonts w:ascii="Times New Roman" w:hAnsi="Times New Roman" w:cs="Times New Roman"/>
          <w:b/>
          <w:sz w:val="24"/>
          <w:szCs w:val="24"/>
        </w:rPr>
        <w:t xml:space="preserve"> се осигуряваха чрез диверсифицирани източници по IGB, </w:t>
      </w:r>
      <w:r w:rsidR="00B21F81">
        <w:rPr>
          <w:rFonts w:ascii="Times New Roman" w:hAnsi="Times New Roman" w:cs="Times New Roman"/>
          <w:b/>
          <w:sz w:val="24"/>
          <w:szCs w:val="24"/>
          <w:lang w:val="en-US"/>
        </w:rPr>
        <w:t>LNG</w:t>
      </w:r>
      <w:r w:rsidRPr="00580811">
        <w:rPr>
          <w:rFonts w:ascii="Times New Roman" w:hAnsi="Times New Roman" w:cs="Times New Roman"/>
          <w:b/>
          <w:sz w:val="24"/>
          <w:szCs w:val="24"/>
        </w:rPr>
        <w:t xml:space="preserve"> терминали в Гърция и добив от Чирен.</w:t>
      </w:r>
    </w:p>
    <w:p w14:paraId="25797977" w14:textId="6F173EE9" w:rsidR="00580811" w:rsidRPr="00580811" w:rsidRDefault="00580811" w:rsidP="00D6403A">
      <w:pPr>
        <w:pStyle w:val="ListParagraph"/>
        <w:numPr>
          <w:ilvl w:val="0"/>
          <w:numId w:val="15"/>
        </w:numPr>
        <w:jc w:val="both"/>
        <w:rPr>
          <w:rFonts w:ascii="Times New Roman" w:hAnsi="Times New Roman" w:cs="Times New Roman"/>
          <w:b/>
          <w:sz w:val="24"/>
          <w:szCs w:val="24"/>
        </w:rPr>
      </w:pPr>
      <w:r w:rsidRPr="00580811">
        <w:rPr>
          <w:rFonts w:ascii="Times New Roman" w:hAnsi="Times New Roman" w:cs="Times New Roman"/>
          <w:b/>
          <w:sz w:val="24"/>
          <w:szCs w:val="24"/>
        </w:rPr>
        <w:t>Делът на ядрената енергия в електропроизводството е 41,56%, като процесът на диверсификация на горивото за АЕЦ „Козлодуй“ продължи чрез договори с „Уестингхаус“ и „</w:t>
      </w:r>
      <w:proofErr w:type="spellStart"/>
      <w:r w:rsidRPr="00580811">
        <w:rPr>
          <w:rFonts w:ascii="Times New Roman" w:hAnsi="Times New Roman" w:cs="Times New Roman"/>
          <w:b/>
          <w:sz w:val="24"/>
          <w:szCs w:val="24"/>
        </w:rPr>
        <w:t>Фраматом</w:t>
      </w:r>
      <w:proofErr w:type="spellEnd"/>
      <w:r w:rsidRPr="00580811">
        <w:rPr>
          <w:rFonts w:ascii="Times New Roman" w:hAnsi="Times New Roman" w:cs="Times New Roman"/>
          <w:b/>
          <w:sz w:val="24"/>
          <w:szCs w:val="24"/>
        </w:rPr>
        <w:t>“.</w:t>
      </w:r>
    </w:p>
    <w:p w14:paraId="64B4C653" w14:textId="40359875" w:rsidR="00580811" w:rsidRPr="00580811" w:rsidRDefault="00580811" w:rsidP="00D6403A">
      <w:pPr>
        <w:pStyle w:val="ListParagraph"/>
        <w:numPr>
          <w:ilvl w:val="0"/>
          <w:numId w:val="15"/>
        </w:numPr>
        <w:jc w:val="both"/>
        <w:rPr>
          <w:rFonts w:ascii="Times New Roman" w:hAnsi="Times New Roman" w:cs="Times New Roman"/>
          <w:b/>
          <w:sz w:val="24"/>
          <w:szCs w:val="24"/>
        </w:rPr>
      </w:pPr>
      <w:r w:rsidRPr="00580811">
        <w:rPr>
          <w:rFonts w:ascii="Times New Roman" w:hAnsi="Times New Roman" w:cs="Times New Roman"/>
          <w:b/>
          <w:sz w:val="24"/>
          <w:szCs w:val="24"/>
        </w:rPr>
        <w:t>Остава рискът, свързан с невъзможността за извозване на отработено ядрено гориво и зависимостта от руски резервни части и услуги за АЕЦ, което наложи дерогация от санкциите на ЕС за доставка на конкретни материали.</w:t>
      </w:r>
    </w:p>
    <w:p w14:paraId="117AE5DD" w14:textId="7566786D" w:rsidR="00580811" w:rsidRPr="00580811" w:rsidRDefault="00580811" w:rsidP="00580811">
      <w:pPr>
        <w:spacing w:line="276" w:lineRule="auto"/>
        <w:ind w:firstLine="851"/>
        <w:jc w:val="both"/>
        <w:rPr>
          <w:rFonts w:ascii="Times New Roman" w:hAnsi="Times New Roman" w:cs="Times New Roman"/>
          <w:sz w:val="24"/>
          <w:szCs w:val="24"/>
          <w:lang w:eastAsia="bg-BG"/>
        </w:rPr>
      </w:pPr>
      <w:r w:rsidRPr="00580811">
        <w:rPr>
          <w:rFonts w:ascii="Times New Roman" w:hAnsi="Times New Roman" w:cs="Times New Roman"/>
          <w:sz w:val="24"/>
          <w:szCs w:val="24"/>
          <w:lang w:eastAsia="bg-BG"/>
        </w:rPr>
        <w:t xml:space="preserve">Изострената надпревара за ресурси и икономическо влияние, все по-честите екстремни климатични явления, продължаващата военна агресия на </w:t>
      </w:r>
      <w:r>
        <w:rPr>
          <w:rFonts w:ascii="Times New Roman" w:hAnsi="Times New Roman" w:cs="Times New Roman"/>
          <w:sz w:val="24"/>
          <w:szCs w:val="24"/>
          <w:lang w:eastAsia="bg-BG"/>
        </w:rPr>
        <w:t>РФ</w:t>
      </w:r>
      <w:r w:rsidRPr="00580811">
        <w:rPr>
          <w:rFonts w:ascii="Times New Roman" w:hAnsi="Times New Roman" w:cs="Times New Roman"/>
          <w:sz w:val="24"/>
          <w:szCs w:val="24"/>
          <w:lang w:eastAsia="bg-BG"/>
        </w:rPr>
        <w:t xml:space="preserve"> в Украйна и ескалацията на напрежението в БИСА поддържаха актуални заплахите от инцидентно или умишлено увреждане на ключови съоръжения, включително подводни. Те изведоха на преден план риска от временно или трайно възпрепятстване на доставки на стратегически суровини, засягащи енергийната и продоволствената сигурност. </w:t>
      </w:r>
      <w:r w:rsidR="001824B9" w:rsidRPr="005C7524">
        <w:rPr>
          <w:rFonts w:ascii="Times New Roman" w:hAnsi="Times New Roman" w:cs="Times New Roman"/>
          <w:sz w:val="24"/>
          <w:szCs w:val="24"/>
          <w:lang w:eastAsia="bg-BG"/>
        </w:rPr>
        <w:t>Климатичните промени допълнително засилват тези рискове, включително чрез негативно въздействие върху водните ресурси, земеде</w:t>
      </w:r>
      <w:r w:rsidR="001824B9">
        <w:rPr>
          <w:rFonts w:ascii="Times New Roman" w:hAnsi="Times New Roman" w:cs="Times New Roman"/>
          <w:sz w:val="24"/>
          <w:szCs w:val="24"/>
          <w:lang w:eastAsia="bg-BG"/>
        </w:rPr>
        <w:t xml:space="preserve">лието, а също и върху устойчивостта, надеждността и диверсификацията на енергийните ресурси и системи. </w:t>
      </w:r>
      <w:r w:rsidRPr="00580811">
        <w:rPr>
          <w:rFonts w:ascii="Times New Roman" w:hAnsi="Times New Roman" w:cs="Times New Roman"/>
          <w:sz w:val="24"/>
          <w:szCs w:val="24"/>
          <w:lang w:eastAsia="bg-BG"/>
        </w:rPr>
        <w:t>Нараснаха и опасенията на ЕС и НАТО от формирането на трайни икономически зависимости от трети държави, особено в сектора на възобновяемите енергийни източници, определян като ключов за постигане на енергиен суверенитет. Същевременно бе запазен стремежът към ограничаване на влиянието на Русия като доставчик на оборудване, гориво и експертиза.</w:t>
      </w:r>
    </w:p>
    <w:p w14:paraId="16F6896E" w14:textId="4053F250" w:rsidR="00580811" w:rsidRPr="00580811" w:rsidRDefault="00580811" w:rsidP="00580811">
      <w:pPr>
        <w:spacing w:line="276" w:lineRule="auto"/>
        <w:ind w:firstLine="851"/>
        <w:jc w:val="both"/>
        <w:rPr>
          <w:rFonts w:ascii="Times New Roman" w:hAnsi="Times New Roman" w:cs="Times New Roman"/>
          <w:sz w:val="24"/>
          <w:szCs w:val="24"/>
          <w:lang w:eastAsia="bg-BG"/>
        </w:rPr>
      </w:pPr>
      <w:r w:rsidRPr="00580811">
        <w:rPr>
          <w:rFonts w:ascii="Times New Roman" w:hAnsi="Times New Roman" w:cs="Times New Roman"/>
          <w:sz w:val="24"/>
          <w:szCs w:val="24"/>
          <w:lang w:eastAsia="bg-BG"/>
        </w:rPr>
        <w:t>Енергийната криза от 2022–2023 г. показа както силните страни на европейската енергийна политика, така и нейните уязвимости. Въпреки че реакцията на ЕС бе бърза и сравнително ефективна, кризата разкри структурни слабости в инфраструктурата и ценова нестабилност, способни да породят значителни социални и икономически последици. Това очерта необходимостта от актуализирана и по-устойчива рамка за гарантиране на енергийната сигурност и достъпността на доставките. В този контекст през 2024 г. България продължи да провежда енергийна политика, съобразена с европейските цели за сигурна, конкурентоспособна и ресурсно ефективна икономика.</w:t>
      </w:r>
    </w:p>
    <w:p w14:paraId="0BCFB9B5" w14:textId="5216543D" w:rsidR="00580811" w:rsidRPr="00580811" w:rsidRDefault="00580811" w:rsidP="00580811">
      <w:pPr>
        <w:spacing w:line="276" w:lineRule="auto"/>
        <w:ind w:firstLine="851"/>
        <w:jc w:val="both"/>
        <w:rPr>
          <w:rFonts w:ascii="Times New Roman" w:hAnsi="Times New Roman" w:cs="Times New Roman"/>
          <w:sz w:val="24"/>
          <w:szCs w:val="24"/>
          <w:lang w:eastAsia="bg-BG"/>
        </w:rPr>
      </w:pPr>
      <w:r w:rsidRPr="00580811">
        <w:rPr>
          <w:rFonts w:ascii="Times New Roman" w:hAnsi="Times New Roman" w:cs="Times New Roman"/>
          <w:sz w:val="24"/>
          <w:szCs w:val="24"/>
          <w:lang w:eastAsia="bg-BG"/>
        </w:rPr>
        <w:t xml:space="preserve">Смущенията на пазара на природен газ, породени от войната в Украйна и последвалите санкции, изведоха на преден план риска от зависимост от ограничен брой доставчици и маршрути. В отговор бе приложен Регламент (ЕС) 2022/1032, който </w:t>
      </w:r>
      <w:r w:rsidRPr="00580811">
        <w:rPr>
          <w:rFonts w:ascii="Times New Roman" w:hAnsi="Times New Roman" w:cs="Times New Roman"/>
          <w:sz w:val="24"/>
          <w:szCs w:val="24"/>
          <w:lang w:eastAsia="bg-BG"/>
        </w:rPr>
        <w:lastRenderedPageBreak/>
        <w:t>задължава държавите членки да запълват подземните газови хранилища до 90% преди зимния сезон. България изпълни това изискване, като през есента на 2023 г. ПГХ „Чирен“ бе запълнено на 90%, а към 1 ноември 2024 г. достигна над 97%. Доставките за вътрешния пазар през 2024 г. се осигуряваха чрез комбинация от дългосрочен договор с азербайджанска компания по интерконектора Гърция–България (IGB), договори за втечнен природен газ от терминали в Гърция и добив от ПГХ „Чирен“ през зимата. IGB предостави възможност за достъп до газ от Каспийския регион, Катар, Египет, Израел, САЩ и други производители, като свързаността му с гръцката газопреносна мрежа, управлявана от DESFA, допълнително укрепи регионалната сигурност. Националният обществен доставчик „Булгаргаз“ ЕАД разшири присъствието си в регионалните пазари чрез регистрация като ползвател на гръцката, сръбската и словашката газопреносни мрежи, придоби лицензия за търговия в Румъния и планира стъпване и на унгарския пазар през 2025 г.</w:t>
      </w:r>
    </w:p>
    <w:p w14:paraId="0B3EC917" w14:textId="5F90D3B3" w:rsidR="00580811" w:rsidRPr="00580811" w:rsidRDefault="00580811" w:rsidP="00580811">
      <w:pPr>
        <w:spacing w:line="276" w:lineRule="auto"/>
        <w:ind w:firstLine="851"/>
        <w:jc w:val="both"/>
        <w:rPr>
          <w:rFonts w:ascii="Times New Roman" w:hAnsi="Times New Roman" w:cs="Times New Roman"/>
          <w:sz w:val="24"/>
          <w:szCs w:val="24"/>
          <w:lang w:eastAsia="bg-BG"/>
        </w:rPr>
      </w:pPr>
      <w:r w:rsidRPr="00580811">
        <w:rPr>
          <w:rFonts w:ascii="Times New Roman" w:hAnsi="Times New Roman" w:cs="Times New Roman"/>
          <w:sz w:val="24"/>
          <w:szCs w:val="24"/>
          <w:lang w:eastAsia="bg-BG"/>
        </w:rPr>
        <w:t>Наред с газовата сигурност, стратегическо значение има обезпечаването на надеждни доставки на свежо ядрено гориво за АЕЦ „Козлодуй“, която през 2024 г. осигури 41,56% от електропроизводството в страната. В рамките на програмата за диверсификация бяха сключени стратегически договори: с „Уестингхаус Електрик Швеция“ за доставка на горивни касети в периода 2024–2033 г., като първата доставка бе реализирана през април 2024 г., както и с „</w:t>
      </w:r>
      <w:proofErr w:type="spellStart"/>
      <w:r w:rsidRPr="00580811">
        <w:rPr>
          <w:rFonts w:ascii="Times New Roman" w:hAnsi="Times New Roman" w:cs="Times New Roman"/>
          <w:sz w:val="24"/>
          <w:szCs w:val="24"/>
          <w:lang w:eastAsia="bg-BG"/>
        </w:rPr>
        <w:t>Фраматом</w:t>
      </w:r>
      <w:proofErr w:type="spellEnd"/>
      <w:r w:rsidRPr="00580811">
        <w:rPr>
          <w:rFonts w:ascii="Times New Roman" w:hAnsi="Times New Roman" w:cs="Times New Roman"/>
          <w:sz w:val="24"/>
          <w:szCs w:val="24"/>
          <w:lang w:eastAsia="bg-BG"/>
        </w:rPr>
        <w:t xml:space="preserve">“ </w:t>
      </w:r>
      <w:proofErr w:type="spellStart"/>
      <w:r w:rsidRPr="00580811">
        <w:rPr>
          <w:rFonts w:ascii="Times New Roman" w:hAnsi="Times New Roman" w:cs="Times New Roman"/>
          <w:sz w:val="24"/>
          <w:szCs w:val="24"/>
          <w:lang w:eastAsia="bg-BG"/>
        </w:rPr>
        <w:t>GmbH</w:t>
      </w:r>
      <w:proofErr w:type="spellEnd"/>
      <w:r w:rsidRPr="00580811">
        <w:rPr>
          <w:rFonts w:ascii="Times New Roman" w:hAnsi="Times New Roman" w:cs="Times New Roman"/>
          <w:sz w:val="24"/>
          <w:szCs w:val="24"/>
          <w:lang w:eastAsia="bg-BG"/>
        </w:rPr>
        <w:t xml:space="preserve"> за доставка на свежо ядрено гориво за 6-ти блок за периода 2026–2034 г., с планирана първа доставка в края на 2026 г. Паралелно с това АЕЦ „Козлодуй“ и „Уестингхаус“ реализират проект за внедряване на шест тестови касети RWFA-13, които ще бъдат заредени в 6-ти блок през есента на 2026 г. и ще работят в продължение на четири кампании.</w:t>
      </w:r>
    </w:p>
    <w:p w14:paraId="7D1BE952" w14:textId="180A55F8" w:rsidR="00580811" w:rsidRPr="00580811" w:rsidRDefault="00580811" w:rsidP="00580811">
      <w:pPr>
        <w:spacing w:line="276" w:lineRule="auto"/>
        <w:ind w:firstLine="851"/>
        <w:jc w:val="both"/>
        <w:rPr>
          <w:rFonts w:ascii="Times New Roman" w:hAnsi="Times New Roman" w:cs="Times New Roman"/>
          <w:sz w:val="24"/>
          <w:szCs w:val="24"/>
          <w:lang w:eastAsia="bg-BG"/>
        </w:rPr>
      </w:pPr>
      <w:r w:rsidRPr="00580811">
        <w:rPr>
          <w:rFonts w:ascii="Times New Roman" w:hAnsi="Times New Roman" w:cs="Times New Roman"/>
          <w:sz w:val="24"/>
          <w:szCs w:val="24"/>
          <w:lang w:eastAsia="bg-BG"/>
        </w:rPr>
        <w:t xml:space="preserve">Продължаващият конфликт създава и рискове за управлението на отработеното ядрено гориво (ОЯГ). През 2024 г. не бе реализирано извозване на касети към Русия за технологично съхранение, а плановете предвиждат при възможност осъществяването на два превоза на касети от реактори ВВЕР-1000 през 2025–2026 г. В средносрочна перспектива всички касети от ВВЕР-440 ще бъдат прехвърлени от </w:t>
      </w:r>
      <w:bookmarkStart w:id="30" w:name="_Hlk206668754"/>
      <w:r w:rsidRPr="00580811">
        <w:rPr>
          <w:rFonts w:ascii="Times New Roman" w:hAnsi="Times New Roman" w:cs="Times New Roman"/>
          <w:sz w:val="24"/>
          <w:szCs w:val="24"/>
          <w:lang w:eastAsia="bg-BG"/>
        </w:rPr>
        <w:t>хранилището за отработено гориво към хранилището за сухо съхранение (ХССОЯГ)</w:t>
      </w:r>
      <w:bookmarkEnd w:id="30"/>
      <w:r w:rsidRPr="00580811">
        <w:rPr>
          <w:rFonts w:ascii="Times New Roman" w:hAnsi="Times New Roman" w:cs="Times New Roman"/>
          <w:sz w:val="24"/>
          <w:szCs w:val="24"/>
          <w:lang w:eastAsia="bg-BG"/>
        </w:rPr>
        <w:t xml:space="preserve"> на площадката на АЕЦ „Козлодуй“. Това ще освободи капацитет в съществуващото хранилище, достатъчен поне до 2032 г.</w:t>
      </w:r>
    </w:p>
    <w:p w14:paraId="60D132D4" w14:textId="7CC476B1" w:rsidR="00580811" w:rsidRPr="00580811" w:rsidRDefault="00580811" w:rsidP="00580811">
      <w:pPr>
        <w:spacing w:line="276" w:lineRule="auto"/>
        <w:ind w:firstLine="851"/>
        <w:jc w:val="both"/>
        <w:rPr>
          <w:rFonts w:ascii="Times New Roman" w:hAnsi="Times New Roman" w:cs="Times New Roman"/>
          <w:sz w:val="24"/>
          <w:szCs w:val="24"/>
          <w:lang w:eastAsia="bg-BG"/>
        </w:rPr>
      </w:pPr>
      <w:r w:rsidRPr="00580811">
        <w:rPr>
          <w:rFonts w:ascii="Times New Roman" w:hAnsi="Times New Roman" w:cs="Times New Roman"/>
          <w:sz w:val="24"/>
          <w:szCs w:val="24"/>
          <w:lang w:eastAsia="bg-BG"/>
        </w:rPr>
        <w:t>Допълнително предизвикателство представляват доставките на резервни части и компоненти за АЕЦ „Козлодуй“, тъй като централата е изградена по съветски проект, а значителна част от системите и оборудването са с руски произход. Това налага продължаваща зависимост от руски производители за критични стоки и услуги, които в редица случаи нямат заместители или алтернативните решения са технически несъвместими. С цел обезпечаване на безаварийна експлоатация и поддържане на ядрената и радиационната безопасност през 2024 г. Министерският съвет прие решение за дерогация от ограничителните мерки на ЕС, което позволи доставка на конкретни материали и части от Русия.</w:t>
      </w:r>
    </w:p>
    <w:p w14:paraId="3E0B1D46" w14:textId="5497C7E1" w:rsidR="0087788E" w:rsidRPr="005F49B3" w:rsidRDefault="00580811" w:rsidP="00580811">
      <w:pPr>
        <w:spacing w:line="276" w:lineRule="auto"/>
        <w:ind w:firstLine="851"/>
        <w:jc w:val="both"/>
        <w:rPr>
          <w:rFonts w:ascii="Times New Roman" w:hAnsi="Times New Roman" w:cs="Times New Roman"/>
          <w:sz w:val="24"/>
          <w:szCs w:val="24"/>
          <w:lang w:eastAsia="bg-BG"/>
        </w:rPr>
      </w:pPr>
      <w:r w:rsidRPr="00580811">
        <w:rPr>
          <w:rFonts w:ascii="Times New Roman" w:hAnsi="Times New Roman" w:cs="Times New Roman"/>
          <w:sz w:val="24"/>
          <w:szCs w:val="24"/>
          <w:lang w:eastAsia="bg-BG"/>
        </w:rPr>
        <w:t xml:space="preserve">Предвид тези уязвимости е необходимо да се поддържа последователна политика на диверсификация както на природния газ, така и на ядреното гориво. </w:t>
      </w:r>
      <w:r w:rsidRPr="00580811">
        <w:rPr>
          <w:rFonts w:ascii="Times New Roman" w:hAnsi="Times New Roman" w:cs="Times New Roman"/>
          <w:sz w:val="24"/>
          <w:szCs w:val="24"/>
          <w:lang w:eastAsia="bg-BG"/>
        </w:rPr>
        <w:lastRenderedPageBreak/>
        <w:t>Устойчивите и предвидими канали за доставки трябва да останат стратегически приоритет, включително чрез активно участие на националния доставчик в регионалните пазари. Запазването на най-високи стандарти за техническа и ядрена безопасност изисква своевременно осигуряване на резервни части и услуги, както и ускорено внедряване на алтернативни технологии за ограничаване на зависимостта от ограничен брой доставчици. Важен елемент е и разработването на надеждни решения за съхранение и управление на отработено гориво, които да предотвратят недостиг на капацитет в средносрочна перспектива и да гарантират устойчивостта на националната енергийна система.</w:t>
      </w:r>
    </w:p>
    <w:p w14:paraId="4F6FEADA" w14:textId="77777777" w:rsidR="00957D3B" w:rsidRPr="00757AC6" w:rsidRDefault="00957D3B" w:rsidP="00D6403A">
      <w:pPr>
        <w:pStyle w:val="Heading3"/>
        <w:numPr>
          <w:ilvl w:val="0"/>
          <w:numId w:val="12"/>
        </w:numPr>
        <w:spacing w:line="360" w:lineRule="auto"/>
        <w:rPr>
          <w:rFonts w:ascii="Times New Roman" w:hAnsi="Times New Roman" w:cs="Times New Roman"/>
          <w:b/>
          <w:color w:val="1F4E79" w:themeColor="accent1" w:themeShade="80"/>
        </w:rPr>
      </w:pPr>
      <w:bookmarkStart w:id="31" w:name="_Toc136342494"/>
      <w:bookmarkStart w:id="32" w:name="_Toc208580377"/>
      <w:bookmarkEnd w:id="29"/>
      <w:r w:rsidRPr="00757AC6">
        <w:rPr>
          <w:rFonts w:ascii="Times New Roman" w:hAnsi="Times New Roman" w:cs="Times New Roman"/>
          <w:b/>
          <w:color w:val="1F4E79" w:themeColor="accent1" w:themeShade="80"/>
        </w:rPr>
        <w:t>Нов</w:t>
      </w:r>
      <w:r w:rsidR="003D38CE" w:rsidRPr="00757AC6">
        <w:rPr>
          <w:rFonts w:ascii="Times New Roman" w:hAnsi="Times New Roman" w:cs="Times New Roman"/>
          <w:b/>
          <w:color w:val="1F4E79" w:themeColor="accent1" w:themeShade="80"/>
        </w:rPr>
        <w:t>и технологии и оръжейни системи</w:t>
      </w:r>
      <w:bookmarkEnd w:id="31"/>
      <w:bookmarkEnd w:id="32"/>
    </w:p>
    <w:p w14:paraId="0920BF14" w14:textId="77777777" w:rsidR="00FB108D" w:rsidRPr="005F49B3" w:rsidRDefault="00FB108D" w:rsidP="00FB108D">
      <w:pPr>
        <w:pStyle w:val="ListParagraph"/>
        <w:numPr>
          <w:ilvl w:val="0"/>
          <w:numId w:val="2"/>
        </w:numPr>
        <w:spacing w:line="276" w:lineRule="auto"/>
        <w:jc w:val="both"/>
        <w:rPr>
          <w:rFonts w:ascii="Times New Roman" w:hAnsi="Times New Roman" w:cs="Times New Roman"/>
          <w:b/>
          <w:sz w:val="24"/>
        </w:rPr>
      </w:pPr>
      <w:r w:rsidRPr="005F49B3">
        <w:rPr>
          <w:rFonts w:ascii="Times New Roman" w:hAnsi="Times New Roman" w:cs="Times New Roman"/>
          <w:b/>
          <w:sz w:val="24"/>
        </w:rPr>
        <w:t>ЕС предприе конкретни стъпки за укрепване на отбранителната готовност и технологичната независимост в отговор на войната в Украйна, включително чрез нова стратегическа рамка и целенасочено финансиране.</w:t>
      </w:r>
    </w:p>
    <w:p w14:paraId="484F2686" w14:textId="77777777" w:rsidR="00FB108D" w:rsidRPr="005F49B3" w:rsidRDefault="00FB108D" w:rsidP="00FB108D">
      <w:pPr>
        <w:pStyle w:val="ListParagraph"/>
        <w:numPr>
          <w:ilvl w:val="0"/>
          <w:numId w:val="2"/>
        </w:numPr>
        <w:spacing w:line="276" w:lineRule="auto"/>
        <w:jc w:val="both"/>
        <w:rPr>
          <w:rFonts w:ascii="Times New Roman" w:hAnsi="Times New Roman" w:cs="Times New Roman"/>
          <w:b/>
          <w:sz w:val="24"/>
        </w:rPr>
      </w:pPr>
      <w:r w:rsidRPr="005F49B3">
        <w:rPr>
          <w:rFonts w:ascii="Times New Roman" w:hAnsi="Times New Roman" w:cs="Times New Roman"/>
          <w:b/>
          <w:sz w:val="24"/>
        </w:rPr>
        <w:t>Българската отбранителна индустрия има потенциал да се позиционира като ключов партньор в европейските вериги за доставка чрез участие в програми като Европейския фонд за отбрана (EDF)</w:t>
      </w:r>
      <w:r>
        <w:rPr>
          <w:rFonts w:ascii="Times New Roman" w:hAnsi="Times New Roman" w:cs="Times New Roman"/>
          <w:b/>
          <w:sz w:val="24"/>
        </w:rPr>
        <w:t>, Европейската програма за отбранителна промишленост (</w:t>
      </w:r>
      <w:r>
        <w:rPr>
          <w:rFonts w:ascii="Times New Roman" w:hAnsi="Times New Roman" w:cs="Times New Roman"/>
          <w:b/>
          <w:sz w:val="24"/>
          <w:lang w:val="en-US"/>
        </w:rPr>
        <w:t>EDIP</w:t>
      </w:r>
      <w:r>
        <w:rPr>
          <w:rFonts w:ascii="Times New Roman" w:hAnsi="Times New Roman" w:cs="Times New Roman"/>
          <w:b/>
          <w:sz w:val="24"/>
        </w:rPr>
        <w:t>)</w:t>
      </w:r>
      <w:r>
        <w:rPr>
          <w:rFonts w:ascii="Times New Roman" w:hAnsi="Times New Roman" w:cs="Times New Roman"/>
          <w:b/>
          <w:sz w:val="24"/>
          <w:lang w:val="en-US"/>
        </w:rPr>
        <w:t xml:space="preserve">, </w:t>
      </w:r>
      <w:r>
        <w:rPr>
          <w:rFonts w:ascii="Times New Roman" w:hAnsi="Times New Roman" w:cs="Times New Roman"/>
          <w:b/>
          <w:sz w:val="24"/>
        </w:rPr>
        <w:t xml:space="preserve">инструмента </w:t>
      </w:r>
      <w:r w:rsidRPr="00FC46E1">
        <w:rPr>
          <w:rFonts w:ascii="Times New Roman" w:hAnsi="Times New Roman" w:cs="Times New Roman"/>
          <w:b/>
          <w:bCs/>
          <w:sz w:val="24"/>
        </w:rPr>
        <w:t>„Мерки за сигурността на Европа чрез укрепване на европейската отбранителна промишленост“</w:t>
      </w:r>
      <w:r>
        <w:rPr>
          <w:rFonts w:ascii="Times New Roman" w:hAnsi="Times New Roman" w:cs="Times New Roman"/>
          <w:b/>
          <w:sz w:val="24"/>
        </w:rPr>
        <w:t xml:space="preserve"> </w:t>
      </w:r>
      <w:r w:rsidRPr="00FC46E1">
        <w:rPr>
          <w:rFonts w:ascii="Times New Roman" w:hAnsi="Times New Roman" w:cs="Times New Roman"/>
          <w:b/>
          <w:bCs/>
          <w:sz w:val="24"/>
        </w:rPr>
        <w:t xml:space="preserve">(SAFE) </w:t>
      </w:r>
      <w:r>
        <w:rPr>
          <w:rFonts w:ascii="Times New Roman" w:hAnsi="Times New Roman" w:cs="Times New Roman"/>
          <w:b/>
          <w:bCs/>
          <w:sz w:val="24"/>
        </w:rPr>
        <w:t xml:space="preserve">и </w:t>
      </w:r>
      <w:proofErr w:type="spellStart"/>
      <w:r>
        <w:rPr>
          <w:rFonts w:ascii="Times New Roman" w:hAnsi="Times New Roman" w:cs="Times New Roman"/>
          <w:b/>
          <w:bCs/>
          <w:sz w:val="24"/>
        </w:rPr>
        <w:t>др</w:t>
      </w:r>
      <w:proofErr w:type="spellEnd"/>
      <w:r>
        <w:rPr>
          <w:rFonts w:ascii="Times New Roman" w:hAnsi="Times New Roman" w:cs="Times New Roman"/>
          <w:b/>
          <w:sz w:val="24"/>
        </w:rPr>
        <w:t xml:space="preserve"> </w:t>
      </w:r>
      <w:r w:rsidRPr="005F49B3">
        <w:rPr>
          <w:rFonts w:ascii="Times New Roman" w:hAnsi="Times New Roman" w:cs="Times New Roman"/>
          <w:b/>
          <w:sz w:val="24"/>
        </w:rPr>
        <w:t>.</w:t>
      </w:r>
    </w:p>
    <w:p w14:paraId="1F85CEBB" w14:textId="77777777" w:rsidR="00FB108D" w:rsidRPr="005F49B3" w:rsidRDefault="00FB108D" w:rsidP="00FB108D">
      <w:pPr>
        <w:pStyle w:val="ListParagraph"/>
        <w:numPr>
          <w:ilvl w:val="0"/>
          <w:numId w:val="2"/>
        </w:numPr>
        <w:spacing w:after="120" w:line="276" w:lineRule="auto"/>
        <w:ind w:left="714" w:hanging="357"/>
        <w:jc w:val="both"/>
        <w:rPr>
          <w:rFonts w:ascii="Times New Roman" w:hAnsi="Times New Roman" w:cs="Times New Roman"/>
          <w:b/>
          <w:sz w:val="24"/>
        </w:rPr>
      </w:pPr>
      <w:r w:rsidRPr="005F49B3">
        <w:rPr>
          <w:rFonts w:ascii="Times New Roman" w:hAnsi="Times New Roman" w:cs="Times New Roman"/>
          <w:b/>
          <w:sz w:val="24"/>
        </w:rPr>
        <w:t>Необходим е технологичен преход и по-тясна интеграция между индустрия, наука и стратегическо планиране.</w:t>
      </w:r>
    </w:p>
    <w:p w14:paraId="66914320" w14:textId="45EA67BB" w:rsidR="00953D5C" w:rsidRDefault="00C2336B" w:rsidP="00891E30">
      <w:pPr>
        <w:spacing w:after="120" w:line="276" w:lineRule="auto"/>
        <w:ind w:firstLine="851"/>
        <w:jc w:val="both"/>
        <w:rPr>
          <w:rFonts w:ascii="Times New Roman" w:hAnsi="Times New Roman" w:cs="Times New Roman"/>
          <w:sz w:val="24"/>
          <w:szCs w:val="24"/>
          <w:lang w:eastAsia="bg-BG"/>
        </w:rPr>
      </w:pPr>
      <w:r>
        <w:rPr>
          <w:rFonts w:ascii="Times New Roman" w:hAnsi="Times New Roman" w:cs="Times New Roman"/>
          <w:sz w:val="24"/>
          <w:szCs w:val="24"/>
          <w:lang w:eastAsia="bg-BG"/>
        </w:rPr>
        <w:t>Войната</w:t>
      </w:r>
      <w:r w:rsidR="00953D5C" w:rsidRPr="005F49B3">
        <w:rPr>
          <w:rFonts w:ascii="Times New Roman" w:hAnsi="Times New Roman" w:cs="Times New Roman"/>
          <w:sz w:val="24"/>
          <w:szCs w:val="24"/>
          <w:lang w:eastAsia="bg-BG"/>
        </w:rPr>
        <w:t xml:space="preserve"> в Украйна изведе на преден план сериозни дефицити в отбранителните способности на страните от ЕС и повдигна въпроса за нивото на готовност на европейските държави да отговорят на съвременни заплахи. Тези дефицити включват ограничен производствен капацитет, зависимост от външни доставчици и ниска степен на координация между индустриалните и отбранителните политики на държавите членки. За България рисковете се конкретизират в опасността от технологично изоставане, слабо присъствие в стратегически вериги на стойността и недостатъчна адаптация към новите индустриални стандарти на ЕС</w:t>
      </w:r>
      <w:r w:rsidR="006607DB">
        <w:rPr>
          <w:rFonts w:ascii="Times New Roman" w:hAnsi="Times New Roman" w:cs="Times New Roman"/>
          <w:sz w:val="24"/>
          <w:szCs w:val="24"/>
          <w:lang w:eastAsia="bg-BG"/>
        </w:rPr>
        <w:t>.</w:t>
      </w:r>
    </w:p>
    <w:p w14:paraId="55224BE3" w14:textId="6B690E73" w:rsidR="006607DB" w:rsidRPr="005F49B3" w:rsidRDefault="006607DB" w:rsidP="00891E30">
      <w:pPr>
        <w:spacing w:after="120" w:line="276" w:lineRule="auto"/>
        <w:ind w:firstLine="851"/>
        <w:jc w:val="both"/>
        <w:rPr>
          <w:rFonts w:ascii="Times New Roman" w:hAnsi="Times New Roman" w:cs="Times New Roman"/>
          <w:sz w:val="24"/>
          <w:szCs w:val="24"/>
          <w:lang w:eastAsia="bg-BG"/>
        </w:rPr>
      </w:pPr>
      <w:r w:rsidRPr="006607DB">
        <w:rPr>
          <w:rFonts w:ascii="Times New Roman" w:hAnsi="Times New Roman" w:cs="Times New Roman"/>
          <w:sz w:val="24"/>
          <w:szCs w:val="24"/>
          <w:lang w:eastAsia="bg-BG"/>
        </w:rPr>
        <w:t>Целенасоченото ускоряване на технологичния преход на българската отбранителна технологична и индустриална база е ключов процес за повишаване на конкурентоспособността на националния отбранително-индустриален капацитет и за пълноценното интегриране на българските предприятия в европейските и съюзническите вериги за доставки.</w:t>
      </w:r>
      <w:r w:rsidR="00EB23CD">
        <w:rPr>
          <w:rFonts w:ascii="Times New Roman" w:hAnsi="Times New Roman" w:cs="Times New Roman"/>
          <w:sz w:val="24"/>
          <w:szCs w:val="24"/>
          <w:lang w:eastAsia="bg-BG"/>
        </w:rPr>
        <w:t xml:space="preserve"> </w:t>
      </w:r>
    </w:p>
    <w:p w14:paraId="6DC90767" w14:textId="77777777" w:rsidR="00953D5C" w:rsidRDefault="00953D5C"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През 2024 г. на европейско равнище беше очертана нова стратегическа рамка, подкрепена от финансови инструменти за повишаване на индустриалния и отбранителен капацитет на Съюза. Европейският фонд за отбрана (EDF) предостави възможности за финансиране на иновации, научни изследвания и технологично развитие, в които български компании и научни организации участват активно. На национално ниво бяха предприети действия за актуализиране на Стратегията за развитие на българската отбранителна технологична и индустриална база (БОТИБ). Приоритетно внимание се </w:t>
      </w:r>
      <w:r w:rsidRPr="005F49B3">
        <w:rPr>
          <w:rFonts w:ascii="Times New Roman" w:hAnsi="Times New Roman" w:cs="Times New Roman"/>
          <w:sz w:val="24"/>
          <w:szCs w:val="24"/>
          <w:lang w:eastAsia="bg-BG"/>
        </w:rPr>
        <w:lastRenderedPageBreak/>
        <w:t>отделя на консолидация на производствения капацитет, развитие на експортния потенциал и засилване на съвместимостта с европейските отбранителни цели.</w:t>
      </w:r>
    </w:p>
    <w:p w14:paraId="44582ED5" w14:textId="5BDAA5E1" w:rsidR="00EB23CD" w:rsidRDefault="00EB23CD" w:rsidP="00891E30">
      <w:pPr>
        <w:spacing w:after="120" w:line="276" w:lineRule="auto"/>
        <w:ind w:firstLine="851"/>
        <w:jc w:val="both"/>
        <w:rPr>
          <w:rFonts w:ascii="Times New Roman" w:hAnsi="Times New Roman" w:cs="Times New Roman"/>
          <w:sz w:val="24"/>
          <w:szCs w:val="24"/>
          <w:lang w:eastAsia="bg-BG"/>
        </w:rPr>
      </w:pPr>
      <w:r w:rsidRPr="00EB23CD">
        <w:rPr>
          <w:rFonts w:ascii="Times New Roman" w:hAnsi="Times New Roman" w:cs="Times New Roman"/>
          <w:sz w:val="24"/>
          <w:szCs w:val="24"/>
          <w:lang w:eastAsia="bg-BG"/>
        </w:rPr>
        <w:t>В МИИ се намира Националната контактна точка по EDF, която е част от мрежата на Национални точки за контакт по EDF, изградена от Европейската комисия. Тази мрежа цели да осигури институционализиран наднационален механизъм за взаимодействие, информиране и подпомагане участието на кандидатите по програмата. На национално ниво точките за контакт изграждат и поддържат контактна информационна мрежа, която включва държавни институции, научноизследователски и академични организации, национални асоциации, сдружения, включително малки и средни предприятия. В този смисъл, в България вече функционира ефективна национална структура за системно информиране, консултиране и координиране на участието на заинтересовани субекти, която е неразделна част от европейската</w:t>
      </w:r>
      <w:r w:rsidR="000A0D35">
        <w:rPr>
          <w:rFonts w:ascii="Times New Roman" w:hAnsi="Times New Roman" w:cs="Times New Roman"/>
          <w:sz w:val="24"/>
          <w:szCs w:val="24"/>
          <w:lang w:eastAsia="bg-BG"/>
        </w:rPr>
        <w:t xml:space="preserve"> </w:t>
      </w:r>
      <w:r w:rsidR="000A0D35" w:rsidRPr="000A0D35">
        <w:rPr>
          <w:rFonts w:ascii="Times New Roman" w:hAnsi="Times New Roman" w:cs="Times New Roman"/>
          <w:sz w:val="24"/>
          <w:szCs w:val="24"/>
          <w:lang w:eastAsia="bg-BG"/>
        </w:rPr>
        <w:t>мрежа на Националните точки за контакт по EDF.</w:t>
      </w:r>
    </w:p>
    <w:p w14:paraId="3E1903EC" w14:textId="02B2BAA5" w:rsidR="000A0D35" w:rsidRPr="005F49B3" w:rsidRDefault="000A0D35" w:rsidP="00891E30">
      <w:pPr>
        <w:spacing w:after="120" w:line="276" w:lineRule="auto"/>
        <w:ind w:firstLine="851"/>
        <w:jc w:val="both"/>
        <w:rPr>
          <w:rFonts w:ascii="Times New Roman" w:hAnsi="Times New Roman" w:cs="Times New Roman"/>
          <w:sz w:val="24"/>
          <w:szCs w:val="24"/>
          <w:lang w:eastAsia="bg-BG"/>
        </w:rPr>
      </w:pPr>
      <w:r w:rsidRPr="000A0D35">
        <w:rPr>
          <w:rFonts w:ascii="Times New Roman" w:hAnsi="Times New Roman" w:cs="Times New Roman"/>
          <w:sz w:val="24"/>
          <w:szCs w:val="24"/>
          <w:lang w:eastAsia="bg-BG"/>
        </w:rPr>
        <w:t>В допълнение, МИИ поддържа активен диалог с националните индустриални обединения и организации, като напр. Сдружението на българската отбранителна индустрия (СБОИ), Българската асоциация по информационни технологии (БАИТ), както и редица специализирани клъстери и сдружения в сферата на електрониката, комуникациите и машиностроенето, като отчита тяхната значима роля в процеса по изграждане на устойчив национален отбранително-индустриален капацитет и работи активно за повишаване на синергията между цивилния и военния сектор. Те представляват стратегически партньори на държавата в усилията за модернизация на производствената инфраструктура, развитие на научно-изследователската дейност и изграждане на устойчив кадрови капацитет. Чрез тях се постига по-тясна координация между индустрията и публичните институции, което е предпоставка за по-успешно интегриране на българските предприятия в европейските технологични и индустриални екосистеми.</w:t>
      </w:r>
    </w:p>
    <w:p w14:paraId="542DE005" w14:textId="4EA97D39" w:rsidR="00A75466" w:rsidRDefault="00953D5C" w:rsidP="00891E30">
      <w:pPr>
        <w:spacing w:after="120" w:line="276" w:lineRule="auto"/>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Необходимо е целенасочено ускоряване на технологичния преход в българската отбранителна индустрия чрез стимулиране на научно-изследователската дейност, модернизация на съществуващата производствена инфраструктура и развитие на кадровия капацитет. Препоръчва се разработване на интегрирана индустриално-научна платформа за взаимодействие между публичния сектор, академичните институции и индустрията, с цел по-ефективна интеграция в съюзническата екосистема и повишаване на стратегическата автономност на страната в областта на отбранителните технологии.</w:t>
      </w:r>
    </w:p>
    <w:p w14:paraId="56181523" w14:textId="77777777" w:rsidR="00AF7C1D" w:rsidRDefault="00AF7C1D">
      <w:pPr>
        <w:rPr>
          <w:rFonts w:ascii="Times New Roman" w:eastAsiaTheme="majorEastAsia" w:hAnsi="Times New Roman" w:cs="Times New Roman"/>
          <w:b/>
          <w:color w:val="2E74B5" w:themeColor="accent1" w:themeShade="BF"/>
          <w:sz w:val="24"/>
          <w:szCs w:val="24"/>
        </w:rPr>
      </w:pPr>
      <w:bookmarkStart w:id="33" w:name="_Toc208580378"/>
      <w:r>
        <w:rPr>
          <w:rFonts w:ascii="Times New Roman" w:hAnsi="Times New Roman" w:cs="Times New Roman"/>
          <w:b/>
          <w:sz w:val="24"/>
          <w:szCs w:val="24"/>
        </w:rPr>
        <w:br w:type="page"/>
      </w:r>
    </w:p>
    <w:p w14:paraId="7EF80557" w14:textId="07E778F5" w:rsidR="00466ED9" w:rsidRPr="00757AC6" w:rsidRDefault="00E440EA" w:rsidP="00D6403A">
      <w:pPr>
        <w:pStyle w:val="Heading1"/>
        <w:numPr>
          <w:ilvl w:val="0"/>
          <w:numId w:val="10"/>
        </w:numPr>
        <w:spacing w:line="360" w:lineRule="auto"/>
        <w:ind w:left="284" w:firstLine="0"/>
        <w:rPr>
          <w:rFonts w:ascii="Times New Roman" w:hAnsi="Times New Roman" w:cs="Times New Roman"/>
          <w:b/>
          <w:sz w:val="24"/>
          <w:szCs w:val="24"/>
        </w:rPr>
      </w:pPr>
      <w:r w:rsidRPr="00757AC6">
        <w:rPr>
          <w:rFonts w:ascii="Times New Roman" w:hAnsi="Times New Roman" w:cs="Times New Roman"/>
          <w:b/>
          <w:sz w:val="24"/>
          <w:szCs w:val="24"/>
        </w:rPr>
        <w:lastRenderedPageBreak/>
        <w:t>ВЪТРЕШНА СРЕДА НА СИГУРН</w:t>
      </w:r>
      <w:r w:rsidR="00B6303C">
        <w:rPr>
          <w:rFonts w:ascii="Times New Roman" w:hAnsi="Times New Roman" w:cs="Times New Roman"/>
          <w:b/>
          <w:sz w:val="24"/>
          <w:szCs w:val="24"/>
        </w:rPr>
        <w:t>О</w:t>
      </w:r>
      <w:r w:rsidRPr="00757AC6">
        <w:rPr>
          <w:rFonts w:ascii="Times New Roman" w:hAnsi="Times New Roman" w:cs="Times New Roman"/>
          <w:b/>
          <w:sz w:val="24"/>
          <w:szCs w:val="24"/>
        </w:rPr>
        <w:t>СТ</w:t>
      </w:r>
      <w:bookmarkEnd w:id="33"/>
    </w:p>
    <w:p w14:paraId="0BF1DF88" w14:textId="77777777" w:rsidR="00466ED9" w:rsidRPr="00757AC6" w:rsidRDefault="00944AD4" w:rsidP="00D6403A">
      <w:pPr>
        <w:pStyle w:val="Heading2"/>
        <w:numPr>
          <w:ilvl w:val="0"/>
          <w:numId w:val="13"/>
        </w:numPr>
        <w:spacing w:line="360" w:lineRule="auto"/>
        <w:ind w:left="1134" w:hanging="283"/>
        <w:rPr>
          <w:rFonts w:ascii="Times New Roman" w:hAnsi="Times New Roman" w:cs="Times New Roman"/>
          <w:b/>
          <w:sz w:val="24"/>
          <w:szCs w:val="24"/>
        </w:rPr>
      </w:pPr>
      <w:bookmarkStart w:id="34" w:name="_Toc136342499"/>
      <w:bookmarkStart w:id="35" w:name="_Toc208580379"/>
      <w:r w:rsidRPr="00757AC6">
        <w:rPr>
          <w:rFonts w:ascii="Times New Roman" w:hAnsi="Times New Roman" w:cs="Times New Roman"/>
          <w:b/>
          <w:sz w:val="24"/>
          <w:szCs w:val="24"/>
        </w:rPr>
        <w:t>Увод</w:t>
      </w:r>
      <w:bookmarkEnd w:id="34"/>
      <w:bookmarkEnd w:id="35"/>
    </w:p>
    <w:p w14:paraId="591920DF" w14:textId="5FD75820" w:rsidR="00C01842" w:rsidRPr="005F49B3" w:rsidRDefault="00C01842" w:rsidP="00891E30">
      <w:pPr>
        <w:spacing w:after="120"/>
        <w:ind w:firstLine="851"/>
        <w:jc w:val="both"/>
        <w:rPr>
          <w:rFonts w:ascii="Times New Roman" w:hAnsi="Times New Roman" w:cs="Times New Roman"/>
          <w:sz w:val="24"/>
          <w:szCs w:val="24"/>
          <w:lang w:eastAsia="bg-BG"/>
        </w:rPr>
      </w:pPr>
      <w:bookmarkStart w:id="36" w:name="_Toc136342500"/>
      <w:r w:rsidRPr="005F49B3">
        <w:rPr>
          <w:rFonts w:ascii="Times New Roman" w:hAnsi="Times New Roman" w:cs="Times New Roman"/>
          <w:sz w:val="24"/>
          <w:szCs w:val="24"/>
          <w:lang w:eastAsia="bg-BG"/>
        </w:rPr>
        <w:t xml:space="preserve">През 2024 г. вътрешната среда </w:t>
      </w:r>
      <w:r w:rsidR="00986B4F">
        <w:rPr>
          <w:rFonts w:ascii="Times New Roman" w:hAnsi="Times New Roman" w:cs="Times New Roman"/>
          <w:sz w:val="24"/>
          <w:szCs w:val="24"/>
          <w:lang w:eastAsia="bg-BG"/>
        </w:rPr>
        <w:t>н</w:t>
      </w:r>
      <w:r w:rsidRPr="005F49B3">
        <w:rPr>
          <w:rFonts w:ascii="Times New Roman" w:hAnsi="Times New Roman" w:cs="Times New Roman"/>
          <w:sz w:val="24"/>
          <w:szCs w:val="24"/>
          <w:lang w:eastAsia="bg-BG"/>
        </w:rPr>
        <w:t>а сигурност в Република България продължи да се характеризира с комплексно и динамично взаимодействие между структурни слабости, социално-икономически напрежения и външни въздействия, които рефлектират пряко върху стабилността и устойчивостта на държавата. Под въздействието на геополитическата несигурност, икономическата волатилност и демографската трансформация, българското общество функционира в контекст на повишена чувствителност към рискове, включително такива, произтичащи от ерозията на доверието в институциите, социалната фрагментация и хибридни въздействия, като в информационната среда се засилват опитите за манипулиране на общественото мнение чрез дезинформация, включително от външни актьори.</w:t>
      </w:r>
    </w:p>
    <w:p w14:paraId="340EFB41" w14:textId="2E946D39" w:rsidR="00C01842" w:rsidRPr="005F49B3" w:rsidRDefault="00C0184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На политическо ниво продължава да се усеща инерцията на нестабилност от предходни години, отразена в затруднен</w:t>
      </w:r>
      <w:r w:rsidR="00ED3849">
        <w:rPr>
          <w:rFonts w:ascii="Times New Roman" w:hAnsi="Times New Roman" w:cs="Times New Roman"/>
          <w:sz w:val="24"/>
          <w:szCs w:val="24"/>
          <w:lang w:eastAsia="bg-BG"/>
        </w:rPr>
        <w:t xml:space="preserve">ото формиране </w:t>
      </w:r>
      <w:r w:rsidRPr="005F49B3">
        <w:rPr>
          <w:rFonts w:ascii="Times New Roman" w:hAnsi="Times New Roman" w:cs="Times New Roman"/>
          <w:sz w:val="24"/>
          <w:szCs w:val="24"/>
          <w:lang w:eastAsia="bg-BG"/>
        </w:rPr>
        <w:t xml:space="preserve">на устойчиви парламентарни мнозинства, периодичните предсрочни избори и натрупаната фрагментация в публичния дебат. Липсата на предвидимост в управленските цикли се съчетава с институционални дефицити, особено в сектори, свързани с правоприлагане, контрол и надзор. Констатира се продължаваща административна уязвимост, в т.ч. при противодействие на корупцията, гарантиране на ефективно правосъдие и управление на </w:t>
      </w:r>
      <w:proofErr w:type="spellStart"/>
      <w:r w:rsidRPr="005F49B3">
        <w:rPr>
          <w:rFonts w:ascii="Times New Roman" w:hAnsi="Times New Roman" w:cs="Times New Roman"/>
          <w:sz w:val="24"/>
          <w:szCs w:val="24"/>
          <w:lang w:eastAsia="bg-BG"/>
        </w:rPr>
        <w:t>пенитенциарната</w:t>
      </w:r>
      <w:proofErr w:type="spellEnd"/>
      <w:r w:rsidRPr="005F49B3">
        <w:rPr>
          <w:rFonts w:ascii="Times New Roman" w:hAnsi="Times New Roman" w:cs="Times New Roman"/>
          <w:sz w:val="24"/>
          <w:szCs w:val="24"/>
          <w:lang w:eastAsia="bg-BG"/>
        </w:rPr>
        <w:t xml:space="preserve"> система.</w:t>
      </w:r>
    </w:p>
    <w:p w14:paraId="3DC9CA33" w14:textId="77777777" w:rsidR="00C01842" w:rsidRPr="005F49B3" w:rsidRDefault="00C0184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Социалните и демографски процеси допълнително обострят вътрешната рискова среда. Ниската раждаемост, напредналото застаряване на населението, териториалното обезлюдяване и високият дял икономически неактивни лица – особено сред младежите и хората с увреждания – затрудняват не само трудовия пазар, но и устойчивостта на публичните системи. Регионалните дисбаланси в достъпа до образование, здравеопазване и мобилност засилват социалната изолация в части от страната и намаляват възможностите за ефективно участие на местно ниво в превенцията и управлението на кризи.</w:t>
      </w:r>
    </w:p>
    <w:p w14:paraId="015EDB5A" w14:textId="77777777" w:rsidR="00C01842" w:rsidRPr="005F49B3" w:rsidRDefault="00C0184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Организираната престъпност запазва висока степен на адаптивност и проникване в различни сектори на обществения живот. Тенденцията към </w:t>
      </w:r>
      <w:proofErr w:type="spellStart"/>
      <w:r w:rsidRPr="005F49B3">
        <w:rPr>
          <w:rFonts w:ascii="Times New Roman" w:hAnsi="Times New Roman" w:cs="Times New Roman"/>
          <w:sz w:val="24"/>
          <w:szCs w:val="24"/>
          <w:lang w:eastAsia="bg-BG"/>
        </w:rPr>
        <w:t>поликриминалност</w:t>
      </w:r>
      <w:proofErr w:type="spellEnd"/>
      <w:r w:rsidRPr="005F49B3">
        <w:rPr>
          <w:rFonts w:ascii="Times New Roman" w:hAnsi="Times New Roman" w:cs="Times New Roman"/>
          <w:sz w:val="24"/>
          <w:szCs w:val="24"/>
          <w:lang w:eastAsia="bg-BG"/>
        </w:rPr>
        <w:t>, трафик на наркотици, незаконна търговия с акцизни стоки, трансгранични измами и миграционни канали свидетелстват за устойчиви престъпни мрежи, които генерират значителен икономически и социален риск. Същевременно се наблюдават слабости в капацитета за правоприлагане и превенция, особено при мониторинг на местата за лишаване от свобода, работа с уязвими групи и противодействие на радикализацията.</w:t>
      </w:r>
    </w:p>
    <w:p w14:paraId="2F11B07D" w14:textId="77777777" w:rsidR="00C01842" w:rsidRPr="005F49B3" w:rsidRDefault="00C0184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Тези процеси подчертават необходимостта от изграждане на устойчив модел на вътрешна сигурност, базиран на системен междуинституционален подход, интегрирани социални политики и укрепване на човешкия капитал като ключов ресурс. Сигурността не следва да се разглежда единствено през призмата на правоприлагането, а като цялостна функция на справедлива и устойчива държавност, способна да отговаря на кризисни сценарии и дългосрочни трансформации.</w:t>
      </w:r>
    </w:p>
    <w:p w14:paraId="54AC6601" w14:textId="77777777" w:rsidR="00665F1B" w:rsidRPr="00757AC6" w:rsidRDefault="00075702" w:rsidP="00D6403A">
      <w:pPr>
        <w:pStyle w:val="Heading2"/>
        <w:numPr>
          <w:ilvl w:val="0"/>
          <w:numId w:val="13"/>
        </w:numPr>
        <w:spacing w:before="0" w:after="120" w:line="360" w:lineRule="auto"/>
        <w:ind w:left="1135" w:hanging="284"/>
        <w:rPr>
          <w:rFonts w:ascii="Times New Roman" w:hAnsi="Times New Roman" w:cs="Times New Roman"/>
          <w:b/>
          <w:sz w:val="24"/>
          <w:szCs w:val="24"/>
        </w:rPr>
      </w:pPr>
      <w:bookmarkStart w:id="37" w:name="_Toc208580380"/>
      <w:r w:rsidRPr="00757AC6">
        <w:rPr>
          <w:rFonts w:ascii="Times New Roman" w:hAnsi="Times New Roman" w:cs="Times New Roman"/>
          <w:b/>
          <w:sz w:val="24"/>
          <w:szCs w:val="24"/>
        </w:rPr>
        <w:lastRenderedPageBreak/>
        <w:t xml:space="preserve">Рискове, </w:t>
      </w:r>
      <w:r w:rsidR="00665F1B" w:rsidRPr="00757AC6">
        <w:rPr>
          <w:rFonts w:ascii="Times New Roman" w:hAnsi="Times New Roman" w:cs="Times New Roman"/>
          <w:b/>
          <w:sz w:val="24"/>
          <w:szCs w:val="24"/>
        </w:rPr>
        <w:t>мерки и препоръки</w:t>
      </w:r>
      <w:bookmarkEnd w:id="37"/>
      <w:r w:rsidR="00665F1B" w:rsidRPr="00757AC6">
        <w:rPr>
          <w:rFonts w:ascii="Times New Roman" w:hAnsi="Times New Roman" w:cs="Times New Roman"/>
          <w:b/>
          <w:sz w:val="24"/>
          <w:szCs w:val="24"/>
        </w:rPr>
        <w:t xml:space="preserve"> </w:t>
      </w:r>
      <w:bookmarkEnd w:id="36"/>
    </w:p>
    <w:p w14:paraId="74D21B59" w14:textId="77777777" w:rsidR="00C01842" w:rsidRPr="005F49B3" w:rsidRDefault="00C01842" w:rsidP="00876F0C">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Разделът „Рискове, предприети мерки и препоръки“ представя аналитичен преглед на ключовите предизвикателства пред вътрешната сигурност през 2024 г., както и реакциите на институциите в отговор на идентифицираните заплахи. Изборът и подредбата на разглежданите теми – от обществените процеси и социалната сигурност до правоприлагането, миграцията, информационната среда и сигурността в населените места – не следва строга йерархия, а отразява необходимостта от цялостен и многопластов поглед върху средата на сигурност.</w:t>
      </w:r>
    </w:p>
    <w:p w14:paraId="3B702BE7" w14:textId="77777777" w:rsidR="00C01842" w:rsidRPr="005F49B3" w:rsidRDefault="00C0184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Всеки от елементите носи собствена значимост и взаимовръзка с останалите, като комбинацията от социални, институционални и технологични рискове подчертава нуждата от системна и устойчива политика в сферата на вътрешната сигурност. Представените мерки и препоръки са фокусирани върху повишаване на оперативния капацитет, междуведомствената координация и социалната устойчивост, с цел намаляване на уязвимостите и укрепване на доверието в системата за сигурност.</w:t>
      </w:r>
    </w:p>
    <w:p w14:paraId="59511F73" w14:textId="17BAD96D" w:rsidR="00802233" w:rsidRPr="00757AC6" w:rsidRDefault="00964B18" w:rsidP="00D6403A">
      <w:pPr>
        <w:pStyle w:val="Heading3"/>
        <w:numPr>
          <w:ilvl w:val="0"/>
          <w:numId w:val="14"/>
        </w:numPr>
        <w:spacing w:line="360" w:lineRule="auto"/>
        <w:rPr>
          <w:rFonts w:ascii="Times New Roman" w:hAnsi="Times New Roman" w:cs="Times New Roman"/>
          <w:b/>
          <w:color w:val="1F4E79" w:themeColor="accent1" w:themeShade="80"/>
          <w:lang w:eastAsia="bg-BG"/>
        </w:rPr>
      </w:pPr>
      <w:bookmarkStart w:id="38" w:name="_Toc208580381"/>
      <w:bookmarkStart w:id="39" w:name="_Hlk206661481"/>
      <w:bookmarkStart w:id="40" w:name="_Hlk206662688"/>
      <w:r w:rsidRPr="00757AC6">
        <w:rPr>
          <w:rFonts w:ascii="Times New Roman" w:hAnsi="Times New Roman" w:cs="Times New Roman"/>
          <w:b/>
          <w:color w:val="1F4E79" w:themeColor="accent1" w:themeShade="80"/>
          <w:lang w:eastAsia="bg-BG"/>
        </w:rPr>
        <w:t>Отбрана</w:t>
      </w:r>
      <w:bookmarkEnd w:id="38"/>
    </w:p>
    <w:bookmarkEnd w:id="39"/>
    <w:p w14:paraId="1E53659A" w14:textId="77777777" w:rsidR="00B6484A" w:rsidRPr="00B6484A" w:rsidRDefault="00B6484A" w:rsidP="00D6403A">
      <w:pPr>
        <w:pStyle w:val="ListParagraph"/>
        <w:numPr>
          <w:ilvl w:val="0"/>
          <w:numId w:val="49"/>
        </w:numPr>
        <w:jc w:val="both"/>
        <w:rPr>
          <w:rFonts w:ascii="Times New Roman" w:hAnsi="Times New Roman" w:cs="Times New Roman"/>
          <w:b/>
          <w:sz w:val="24"/>
          <w:lang w:eastAsia="bg-BG"/>
        </w:rPr>
      </w:pPr>
      <w:r w:rsidRPr="00B6484A">
        <w:rPr>
          <w:rFonts w:ascii="Times New Roman" w:hAnsi="Times New Roman" w:cs="Times New Roman"/>
          <w:b/>
          <w:sz w:val="24"/>
          <w:lang w:eastAsia="bg-BG"/>
        </w:rPr>
        <w:t>През 2024 г. разходите за отбрана достигнаха целевото ниво от 2 % от БВП, а през 2025 г. НАТО прие нов ангажимент за увеличаването им до 5 % от БВП до 2035 г.</w:t>
      </w:r>
    </w:p>
    <w:p w14:paraId="006D7D38" w14:textId="77777777" w:rsidR="00B6484A" w:rsidRPr="00B6484A" w:rsidRDefault="00B6484A" w:rsidP="00D6403A">
      <w:pPr>
        <w:pStyle w:val="ListParagraph"/>
        <w:numPr>
          <w:ilvl w:val="0"/>
          <w:numId w:val="49"/>
        </w:numPr>
        <w:jc w:val="both"/>
        <w:rPr>
          <w:rFonts w:ascii="Times New Roman" w:hAnsi="Times New Roman" w:cs="Times New Roman"/>
          <w:b/>
          <w:sz w:val="24"/>
          <w:lang w:eastAsia="bg-BG"/>
        </w:rPr>
      </w:pPr>
      <w:r w:rsidRPr="00B6484A">
        <w:rPr>
          <w:rFonts w:ascii="Times New Roman" w:hAnsi="Times New Roman" w:cs="Times New Roman"/>
          <w:b/>
          <w:sz w:val="24"/>
          <w:lang w:eastAsia="bg-BG"/>
        </w:rPr>
        <w:t>Българските въоръжени сили запазиха готовност за изпълнение на задачите по трите мисии, включително международни операции и подпомагане на населението при бедствия и охрана на границата.</w:t>
      </w:r>
    </w:p>
    <w:p w14:paraId="036990A2" w14:textId="77777777" w:rsidR="00B6484A" w:rsidRPr="00B6484A" w:rsidRDefault="00B6484A" w:rsidP="00D6403A">
      <w:pPr>
        <w:pStyle w:val="ListParagraph"/>
        <w:numPr>
          <w:ilvl w:val="0"/>
          <w:numId w:val="49"/>
        </w:numPr>
        <w:jc w:val="both"/>
        <w:rPr>
          <w:rFonts w:ascii="Times New Roman" w:hAnsi="Times New Roman" w:cs="Times New Roman"/>
          <w:b/>
          <w:sz w:val="24"/>
          <w:lang w:eastAsia="bg-BG"/>
        </w:rPr>
      </w:pPr>
      <w:r w:rsidRPr="00B6484A">
        <w:rPr>
          <w:rFonts w:ascii="Times New Roman" w:hAnsi="Times New Roman" w:cs="Times New Roman"/>
          <w:b/>
          <w:sz w:val="24"/>
          <w:lang w:eastAsia="bg-BG"/>
        </w:rPr>
        <w:t>Продължи процесът на модернизация – с проекти за бойни машини, самолети F-16, патрулни кораби, система за ПВО IRIS-T и други критични способности.</w:t>
      </w:r>
    </w:p>
    <w:p w14:paraId="408D5D0C" w14:textId="3BB021AC" w:rsidR="00B6484A" w:rsidRPr="00B6484A" w:rsidRDefault="00B6484A" w:rsidP="00D6403A">
      <w:pPr>
        <w:pStyle w:val="ListParagraph"/>
        <w:numPr>
          <w:ilvl w:val="0"/>
          <w:numId w:val="49"/>
        </w:numPr>
        <w:jc w:val="both"/>
        <w:rPr>
          <w:rFonts w:ascii="Times New Roman" w:hAnsi="Times New Roman" w:cs="Times New Roman"/>
          <w:b/>
          <w:sz w:val="24"/>
          <w:lang w:eastAsia="bg-BG"/>
        </w:rPr>
      </w:pPr>
      <w:proofErr w:type="spellStart"/>
      <w:r w:rsidRPr="00B6484A">
        <w:rPr>
          <w:rFonts w:ascii="Times New Roman" w:hAnsi="Times New Roman" w:cs="Times New Roman"/>
          <w:b/>
          <w:sz w:val="24"/>
          <w:lang w:eastAsia="bg-BG"/>
        </w:rPr>
        <w:t>Некомплектът</w:t>
      </w:r>
      <w:proofErr w:type="spellEnd"/>
      <w:r w:rsidRPr="00B6484A">
        <w:rPr>
          <w:rFonts w:ascii="Times New Roman" w:hAnsi="Times New Roman" w:cs="Times New Roman"/>
          <w:b/>
          <w:sz w:val="24"/>
          <w:lang w:eastAsia="bg-BG"/>
        </w:rPr>
        <w:t xml:space="preserve"> от личен състав остана висок – 21,8% при военнослужещите и 16% при доброволния резерв, което изисква нови подходи за попълване, включително дебат за форми на задължителна военна подготовка.</w:t>
      </w:r>
    </w:p>
    <w:p w14:paraId="6E3270AB" w14:textId="77777777"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И през 2024 г., в условията на влошаваща се външна среда за сигурност, отбраната запази важно място в дневния ред на държавното управление. Въпреки динамиката на вътрешнополитическите процеси през годината бе съхранена политическата воля на национално ниво за изграждане и развитие на отбранителните способности и за изпълнение на съюзните ангажименти. Отбранителната политика продължи да се реализира в съответствие с Конституцията, законите и стратегическите документи в областта на сигурността и отбраната. Продължи изпълнението на Програмата за развитие на отбранителните способности на въоръжените сили на Република България до 2032 г. (Програма 2032), на Плана за развитие на въоръжените сили до 2026 г. (План 2026) и на Националния план за повишаване на разходите за отбрана до 2% от БВП до 2024 г. (Национален план 2024). През март 2025 г. Министерският съвет прие нова Национална отбранителна стратегия.</w:t>
      </w:r>
    </w:p>
    <w:p w14:paraId="20194A1B" w14:textId="5F096BAE" w:rsidR="00B6484A" w:rsidRPr="00B6484A" w:rsidRDefault="00AB486D" w:rsidP="00B6484A">
      <w:pPr>
        <w:spacing w:after="120"/>
        <w:ind w:firstLine="851"/>
        <w:jc w:val="both"/>
        <w:rPr>
          <w:rFonts w:ascii="Times New Roman" w:hAnsi="Times New Roman" w:cs="Times New Roman"/>
          <w:sz w:val="24"/>
          <w:szCs w:val="24"/>
          <w:lang w:eastAsia="bg-BG"/>
        </w:rPr>
      </w:pPr>
      <w:r>
        <w:rPr>
          <w:rFonts w:ascii="Times New Roman" w:hAnsi="Times New Roman" w:cs="Times New Roman"/>
          <w:sz w:val="24"/>
          <w:szCs w:val="24"/>
          <w:lang w:eastAsia="bg-BG"/>
        </w:rPr>
        <w:t>О</w:t>
      </w:r>
      <w:r w:rsidR="00B6484A" w:rsidRPr="00B6484A">
        <w:rPr>
          <w:rFonts w:ascii="Times New Roman" w:hAnsi="Times New Roman" w:cs="Times New Roman"/>
          <w:sz w:val="24"/>
          <w:szCs w:val="24"/>
          <w:lang w:eastAsia="bg-BG"/>
        </w:rPr>
        <w:t xml:space="preserve">сигурена </w:t>
      </w:r>
      <w:r>
        <w:rPr>
          <w:rFonts w:ascii="Times New Roman" w:hAnsi="Times New Roman" w:cs="Times New Roman"/>
          <w:sz w:val="24"/>
          <w:szCs w:val="24"/>
          <w:lang w:eastAsia="bg-BG"/>
        </w:rPr>
        <w:t xml:space="preserve">беше </w:t>
      </w:r>
      <w:r w:rsidR="00B6484A" w:rsidRPr="00B6484A">
        <w:rPr>
          <w:rFonts w:ascii="Times New Roman" w:hAnsi="Times New Roman" w:cs="Times New Roman"/>
          <w:sz w:val="24"/>
          <w:szCs w:val="24"/>
          <w:lang w:eastAsia="bg-BG"/>
        </w:rPr>
        <w:t xml:space="preserve">приемственост в целите и приоритетите и в изпълнението на ангажиментите на страната в рамките на колективната отбрана на НАТО и Общата политика за сигурност и отбрана на ЕС. Продължи плавното нарастване на разходите за отбрана, които през 2024 г. на практика достигнаха целевото ниво от 2 % от БВП, </w:t>
      </w:r>
      <w:r w:rsidR="00B6484A" w:rsidRPr="00B6484A">
        <w:rPr>
          <w:rFonts w:ascii="Times New Roman" w:hAnsi="Times New Roman" w:cs="Times New Roman"/>
          <w:sz w:val="24"/>
          <w:szCs w:val="24"/>
          <w:lang w:eastAsia="bg-BG"/>
        </w:rPr>
        <w:lastRenderedPageBreak/>
        <w:t>заложено в Националния план 2024. Това равнище е минимално необходимо и представлява основа за последващо повишаване, в унисон с поетите съюзнически ангажименти и възможностите на страната. На срещата на върха на НАТО в Хага през юни 2025 г. съюзниците поеха нов ангажимент за увеличаване на разходите за отбрана до 5 % от БВП до 2035 г., от които 3,5 % за основни отбранителни разходи и 1,5 % за по-широки, свързани със сигурността</w:t>
      </w:r>
      <w:r w:rsidR="00986B4F">
        <w:rPr>
          <w:rFonts w:ascii="Times New Roman" w:hAnsi="Times New Roman" w:cs="Times New Roman"/>
          <w:sz w:val="24"/>
          <w:szCs w:val="24"/>
          <w:lang w:eastAsia="bg-BG"/>
        </w:rPr>
        <w:t xml:space="preserve"> и устойчивостта</w:t>
      </w:r>
      <w:r w:rsidR="00B6484A" w:rsidRPr="00B6484A">
        <w:rPr>
          <w:rFonts w:ascii="Times New Roman" w:hAnsi="Times New Roman" w:cs="Times New Roman"/>
          <w:sz w:val="24"/>
          <w:szCs w:val="24"/>
          <w:lang w:eastAsia="bg-BG"/>
        </w:rPr>
        <w:t>.</w:t>
      </w:r>
    </w:p>
    <w:p w14:paraId="053CBC90" w14:textId="77777777"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 xml:space="preserve">През 2024 г. българските въоръжени сили разполагаха с необходимата степен на готовност за реагиране при кризи от военен характер. Подготовката допринесе за съхранението на способностите им за изпълнение на задачите по трите мисии, като се отчете ръст в нейния интензитет и обхват. Български формирования и военнослужещи, участващи в мисии и операции зад граница, изпълниха успешно поставените задачи. Дейностите по мисия „Принос към националната сигурност в мирно време“ потвърдиха значението на опита, подготовката и специфичните способности на въоръжените сили за оказване на помощ на населението при бедствия, охрана на държавната граница и унищожаване на </w:t>
      </w:r>
      <w:proofErr w:type="spellStart"/>
      <w:r w:rsidRPr="00B6484A">
        <w:rPr>
          <w:rFonts w:ascii="Times New Roman" w:hAnsi="Times New Roman" w:cs="Times New Roman"/>
          <w:sz w:val="24"/>
          <w:szCs w:val="24"/>
          <w:lang w:eastAsia="bg-BG"/>
        </w:rPr>
        <w:t>невзривени</w:t>
      </w:r>
      <w:proofErr w:type="spellEnd"/>
      <w:r w:rsidRPr="00B6484A">
        <w:rPr>
          <w:rFonts w:ascii="Times New Roman" w:hAnsi="Times New Roman" w:cs="Times New Roman"/>
          <w:sz w:val="24"/>
          <w:szCs w:val="24"/>
          <w:lang w:eastAsia="bg-BG"/>
        </w:rPr>
        <w:t xml:space="preserve"> боеприпаси.</w:t>
      </w:r>
    </w:p>
    <w:p w14:paraId="061A901F" w14:textId="77777777"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Новият цикъл на отбранително планиране в НАТО и пакетът Цели за способности 2025 въвеждат по-високи количествени и качествени изисквания. Националният отбранителен план, синхронизиран с плана на НАТО за региона, предвижда завишени изисквания към способностите на въоръжените сили за изпълнение на мисия „Възпиране и отбрана“. Значително се повишиха и изискванията към България за осигуряване на поддръжка от страната-домакин при развръщане и преминаване на съюзни сили, включително развитие на военната мобилност и логистичното осигуряване.</w:t>
      </w:r>
    </w:p>
    <w:p w14:paraId="4417A464" w14:textId="08CA710C"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 xml:space="preserve">Продължи процесът на превъоръжаване и модернизация. Народното събрание прие Програма за инвестиции в отбраната до 2032 г., съдържаща приоритетни проекти и финансова рамка. </w:t>
      </w:r>
      <w:r w:rsidR="00524AC0">
        <w:rPr>
          <w:rFonts w:ascii="Times New Roman" w:hAnsi="Times New Roman" w:cs="Times New Roman"/>
          <w:sz w:val="24"/>
          <w:szCs w:val="24"/>
          <w:lang w:eastAsia="bg-BG"/>
        </w:rPr>
        <w:t>Изпълняваха</w:t>
      </w:r>
      <w:r w:rsidRPr="00B6484A">
        <w:rPr>
          <w:rFonts w:ascii="Times New Roman" w:hAnsi="Times New Roman" w:cs="Times New Roman"/>
          <w:sz w:val="24"/>
          <w:szCs w:val="24"/>
          <w:lang w:eastAsia="bg-BG"/>
        </w:rPr>
        <w:t xml:space="preserve"> се проектите за придобиване на бойни машини за Сухопътните войски, самолети F-16 и многофункционални модулни патрулни кораби. Стартира и проект за придобиване на система за противовъздушна отбрана със среден обсег IRIS-T в рамките на германската инициатива „Щит на европейското небе“. Критично важно за преодоляване на дефицити е придобиването на нови 3D радари, брегови противокорабни комплекси, зенитно-ракетни комплекси, ракетни системи за залпов огън с повишена мобилност, 155 мм самоходни гаубици, както и способности за киберотбрана.</w:t>
      </w:r>
    </w:p>
    <w:p w14:paraId="5A0A73D5" w14:textId="77777777"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 xml:space="preserve">Въпреки предприетите мерки </w:t>
      </w:r>
      <w:proofErr w:type="spellStart"/>
      <w:r w:rsidRPr="00B6484A">
        <w:rPr>
          <w:rFonts w:ascii="Times New Roman" w:hAnsi="Times New Roman" w:cs="Times New Roman"/>
          <w:sz w:val="24"/>
          <w:szCs w:val="24"/>
          <w:lang w:eastAsia="bg-BG"/>
        </w:rPr>
        <w:t>некомплектът</w:t>
      </w:r>
      <w:proofErr w:type="spellEnd"/>
      <w:r w:rsidRPr="00B6484A">
        <w:rPr>
          <w:rFonts w:ascii="Times New Roman" w:hAnsi="Times New Roman" w:cs="Times New Roman"/>
          <w:sz w:val="24"/>
          <w:szCs w:val="24"/>
          <w:lang w:eastAsia="bg-BG"/>
        </w:rPr>
        <w:t xml:space="preserve"> от военнослужещи остана висок, като в края на 2024 г. достигна 21,8%, а доброволният резерв бе попълнен едва на 16%. Увеличението на основните възнаграждения е ключов фактор за привличане и задържане на мотивирани кадри, предвид острата конкуренция на пазара на труда. Необходими са нови подходи за попълване на резерва и запаса, включително чрез обществен дебат за възможно въвеждане на форми на задължителна военна подготовка.</w:t>
      </w:r>
    </w:p>
    <w:p w14:paraId="5E0A949C" w14:textId="77777777"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България продължи активното си участие в укрепването на възпиращия и отбранителния потенциал на НАТО в Черно море. Изграждането на многонационалната бойна група на Алианса у нас остана приоритет, както и развитието на щаб на многонационална дивизия на НАТО. За гарантиране на безопасността на морския трафик заедно с Румъния и Турция бе създадена Противоминна военноморска група в Черно море.</w:t>
      </w:r>
    </w:p>
    <w:p w14:paraId="56F40388" w14:textId="77777777"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lastRenderedPageBreak/>
        <w:t>Усилията бяха насочени и към изграждане на способности за противодействие на дезинформацията и за ефективни стратегически комуникации. Подкрепата за Украйна продължи като стратегически интерес, в съответствие с решенията на Народното събрание, включително чрез разширяване на обема и обхвата на военната помощ.</w:t>
      </w:r>
    </w:p>
    <w:p w14:paraId="20483251" w14:textId="6A385098" w:rsid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На базата на анализа за 2024 г. може да се направи основен извод: при коренно променената стратегическа среда и нарастващи военни заплахи отбраната следва да остане във фокуса на политиката за защита на националната сигурност, с адекватна ресурсна и политическа подкрепа. Състоянието на по-голямата част от способностите на въоръжените сили остава незадоволително и непроменено спрямо предходната година. Въоръжените сили продължават да изпълняват своите задачи, особено по мисия „Възпиране и отбрана“, с ограничения и рискове за личния състав. В средносрочен план обаче се очаква съществено подобрение с усвояването на ново въоръжение и техника и ефекта от мерките за попълване на вакантните длъжности.</w:t>
      </w:r>
    </w:p>
    <w:p w14:paraId="56F0CB25" w14:textId="2B285F04" w:rsidR="00B6484A" w:rsidRPr="00757AC6" w:rsidRDefault="00B6484A" w:rsidP="00D6403A">
      <w:pPr>
        <w:pStyle w:val="Heading3"/>
        <w:numPr>
          <w:ilvl w:val="0"/>
          <w:numId w:val="14"/>
        </w:numPr>
        <w:spacing w:line="360" w:lineRule="auto"/>
        <w:rPr>
          <w:rFonts w:ascii="Times New Roman" w:hAnsi="Times New Roman" w:cs="Times New Roman"/>
          <w:b/>
          <w:color w:val="1F4E79" w:themeColor="accent1" w:themeShade="80"/>
          <w:lang w:eastAsia="bg-BG"/>
        </w:rPr>
      </w:pPr>
      <w:bookmarkStart w:id="41" w:name="_Toc208580382"/>
      <w:r>
        <w:rPr>
          <w:rFonts w:ascii="Times New Roman" w:hAnsi="Times New Roman" w:cs="Times New Roman"/>
          <w:b/>
          <w:color w:val="1F4E79" w:themeColor="accent1" w:themeShade="80"/>
          <w:lang w:eastAsia="bg-BG"/>
        </w:rPr>
        <w:t>С</w:t>
      </w:r>
      <w:r w:rsidRPr="00757AC6">
        <w:rPr>
          <w:rFonts w:ascii="Times New Roman" w:hAnsi="Times New Roman" w:cs="Times New Roman"/>
          <w:b/>
          <w:color w:val="1F4E79" w:themeColor="accent1" w:themeShade="80"/>
          <w:lang w:eastAsia="bg-BG"/>
        </w:rPr>
        <w:t>игурност и способности</w:t>
      </w:r>
      <w:bookmarkEnd w:id="41"/>
    </w:p>
    <w:p w14:paraId="4EE47E76" w14:textId="409E7E5C" w:rsidR="00B6484A" w:rsidRPr="00B6484A" w:rsidRDefault="00B6484A" w:rsidP="00D6403A">
      <w:pPr>
        <w:pStyle w:val="ListParagraph"/>
        <w:numPr>
          <w:ilvl w:val="0"/>
          <w:numId w:val="49"/>
        </w:numPr>
        <w:spacing w:after="120"/>
        <w:jc w:val="both"/>
        <w:rPr>
          <w:rFonts w:ascii="Times New Roman" w:hAnsi="Times New Roman" w:cs="Times New Roman"/>
          <w:b/>
          <w:sz w:val="24"/>
          <w:lang w:eastAsia="bg-BG"/>
        </w:rPr>
      </w:pPr>
      <w:r w:rsidRPr="00B6484A">
        <w:rPr>
          <w:rFonts w:ascii="Times New Roman" w:hAnsi="Times New Roman" w:cs="Times New Roman"/>
          <w:b/>
          <w:sz w:val="24"/>
          <w:lang w:eastAsia="bg-BG"/>
        </w:rPr>
        <w:t>България продължи да изпитва стратегически зависимости от външни технологии и суровини, особено в сферата на БЛА и сателитните системи, което ограничава националния капацитет.</w:t>
      </w:r>
    </w:p>
    <w:p w14:paraId="207D9735" w14:textId="795766BB" w:rsidR="00B6484A" w:rsidRPr="00B6484A" w:rsidRDefault="003377C1" w:rsidP="00D6403A">
      <w:pPr>
        <w:pStyle w:val="ListParagraph"/>
        <w:numPr>
          <w:ilvl w:val="0"/>
          <w:numId w:val="49"/>
        </w:numPr>
        <w:spacing w:after="120"/>
        <w:jc w:val="both"/>
        <w:rPr>
          <w:rFonts w:ascii="Times New Roman" w:hAnsi="Times New Roman" w:cs="Times New Roman"/>
          <w:b/>
          <w:sz w:val="24"/>
          <w:lang w:eastAsia="bg-BG"/>
        </w:rPr>
      </w:pPr>
      <w:r w:rsidRPr="003377C1">
        <w:rPr>
          <w:rFonts w:ascii="Times New Roman" w:hAnsi="Times New Roman" w:cs="Times New Roman"/>
          <w:b/>
          <w:sz w:val="24"/>
          <w:lang w:eastAsia="bg-BG"/>
        </w:rPr>
        <w:t>Критичен кадрови недостиг се наблюдава както във въоръжените сили, така и в специализираните структури, включително НСО.</w:t>
      </w:r>
    </w:p>
    <w:p w14:paraId="0D1E8354" w14:textId="77777777" w:rsidR="00B6484A" w:rsidRPr="00B6484A" w:rsidRDefault="00B6484A" w:rsidP="00D6403A">
      <w:pPr>
        <w:pStyle w:val="ListParagraph"/>
        <w:numPr>
          <w:ilvl w:val="0"/>
          <w:numId w:val="49"/>
        </w:numPr>
        <w:spacing w:after="120"/>
        <w:jc w:val="both"/>
        <w:rPr>
          <w:rFonts w:ascii="Times New Roman" w:hAnsi="Times New Roman" w:cs="Times New Roman"/>
          <w:b/>
          <w:sz w:val="24"/>
          <w:lang w:eastAsia="bg-BG"/>
        </w:rPr>
      </w:pPr>
      <w:r w:rsidRPr="00B6484A">
        <w:rPr>
          <w:rFonts w:ascii="Times New Roman" w:hAnsi="Times New Roman" w:cs="Times New Roman"/>
          <w:b/>
          <w:sz w:val="24"/>
          <w:lang w:eastAsia="bg-BG"/>
        </w:rPr>
        <w:t>Недостатъчно развитата индустриална и логистична инфраструктура, заедно с липсата на ефективно взаимодействие между индустрия, образование и сектор „Сигурност“, остава значим структурен риск.</w:t>
      </w:r>
    </w:p>
    <w:p w14:paraId="2FC34AA7" w14:textId="47CCC073" w:rsidR="00B6484A" w:rsidRPr="00B6484A" w:rsidRDefault="00B6484A" w:rsidP="00D6403A">
      <w:pPr>
        <w:pStyle w:val="ListParagraph"/>
        <w:numPr>
          <w:ilvl w:val="0"/>
          <w:numId w:val="49"/>
        </w:numPr>
        <w:spacing w:after="120"/>
        <w:jc w:val="both"/>
        <w:rPr>
          <w:rFonts w:ascii="Times New Roman" w:hAnsi="Times New Roman" w:cs="Times New Roman"/>
          <w:b/>
          <w:sz w:val="24"/>
          <w:lang w:eastAsia="bg-BG"/>
        </w:rPr>
      </w:pPr>
      <w:r w:rsidRPr="00B6484A">
        <w:rPr>
          <w:rFonts w:ascii="Times New Roman" w:hAnsi="Times New Roman" w:cs="Times New Roman"/>
          <w:b/>
          <w:sz w:val="24"/>
          <w:lang w:eastAsia="bg-BG"/>
        </w:rPr>
        <w:t>Националната иновационна система се очерта като стратегически инструмент за сигурност, съсредоточен върху изкуствения интелект, автономните системи, киберсигурността и космическите технологии.</w:t>
      </w:r>
    </w:p>
    <w:p w14:paraId="7A5B4BA3" w14:textId="77777777"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Стартиралото изграждане на Център за иновации в отбраната и активното участие на български структури в Европейската космическа агенция очертаха стратегически фокус върху интегрирането на иновации, научноизследователска дейност и национална сигурност. В контекста на висока международна волатилност – продължаваща руска агресия срещу Украйна, нестабилност в Черноморския регион и конфликти в БИСА – за България се очертаха нови стратегически зависимости по линия на суровини, технологии и капацитет за поддръжка от страна-домакин.</w:t>
      </w:r>
    </w:p>
    <w:p w14:paraId="1B71A9A6" w14:textId="77777777"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Съществуващата зависимост от външни технологични решения в области като отбранителната индустрия, безпилотните и сателитните технологии бе отчетена като структурен риск за сигурността. Недостатъчната свързаност между научната и иновационната екосистема, липсата на устойчиви механизми за трансфер и комерсиализация на научни резултати, както и недостигът на висококвалифицирани кадри в технологичния сектор ограничават изграждането на национален капацитет. В същото време, икономическите и търговски зависимости от авторитарни режими се оценяват като потенциален риск, включително по линия на възможно индиректно финансиране на действия, подкопаващи сигурността на ЕС и неговите държави членки.</w:t>
      </w:r>
    </w:p>
    <w:p w14:paraId="7285FB7A" w14:textId="4EF3B670"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Критичен недостиг на личен състав се отчита не само във въоръжените сили, но и в ключови структури като Националната служба за охрана</w:t>
      </w:r>
      <w:r w:rsidR="003377C1">
        <w:rPr>
          <w:rFonts w:ascii="Times New Roman" w:hAnsi="Times New Roman" w:cs="Times New Roman"/>
          <w:sz w:val="24"/>
          <w:szCs w:val="24"/>
          <w:lang w:eastAsia="bg-BG"/>
        </w:rPr>
        <w:t xml:space="preserve"> </w:t>
      </w:r>
      <w:r w:rsidR="003377C1">
        <w:rPr>
          <w:rFonts w:ascii="Times New Roman" w:hAnsi="Times New Roman" w:cs="Times New Roman"/>
          <w:sz w:val="24"/>
          <w:szCs w:val="24"/>
          <w:lang w:val="en-US" w:eastAsia="bg-BG"/>
        </w:rPr>
        <w:t>(</w:t>
      </w:r>
      <w:r w:rsidR="003377C1">
        <w:rPr>
          <w:rFonts w:ascii="Times New Roman" w:hAnsi="Times New Roman" w:cs="Times New Roman"/>
          <w:sz w:val="24"/>
          <w:szCs w:val="24"/>
          <w:lang w:eastAsia="bg-BG"/>
        </w:rPr>
        <w:t>НСО</w:t>
      </w:r>
      <w:r w:rsidR="003377C1">
        <w:rPr>
          <w:rFonts w:ascii="Times New Roman" w:hAnsi="Times New Roman" w:cs="Times New Roman"/>
          <w:sz w:val="24"/>
          <w:szCs w:val="24"/>
          <w:lang w:val="en-US" w:eastAsia="bg-BG"/>
        </w:rPr>
        <w:t>)</w:t>
      </w:r>
      <w:r w:rsidRPr="00B6484A">
        <w:rPr>
          <w:rFonts w:ascii="Times New Roman" w:hAnsi="Times New Roman" w:cs="Times New Roman"/>
          <w:sz w:val="24"/>
          <w:szCs w:val="24"/>
          <w:lang w:eastAsia="bg-BG"/>
        </w:rPr>
        <w:t xml:space="preserve">, където кадровият дефицит затруднява оперативната готовност, особено при международни мисии. </w:t>
      </w:r>
      <w:r w:rsidRPr="00B6484A">
        <w:rPr>
          <w:rFonts w:ascii="Times New Roman" w:hAnsi="Times New Roman" w:cs="Times New Roman"/>
          <w:sz w:val="24"/>
          <w:szCs w:val="24"/>
          <w:lang w:eastAsia="bg-BG"/>
        </w:rPr>
        <w:lastRenderedPageBreak/>
        <w:t>Ограничените капиталови разходи, липсата на модерна учебно-материална база и припокриването на нормативни функции между различни охранителни звена допълнително отслабват устойчивостта на сектор „Сигурност“.</w:t>
      </w:r>
    </w:p>
    <w:p w14:paraId="190D5DAD" w14:textId="77777777"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Установени са рискове, свързани с недостатъчно развитата индустриална и логистична инфраструктура с мобилизационно и отбранително значение – индустриални паркове, високотехнологични зони и клъстери. Слабото взаимодействие между индустрията, образованието и сигурността възпрепятства изграждането на устойчива база за развитие на способности. Дейността на специализираните служби изисква устойчиво технологично осигуряване, включително чрез внедряване на решения на основата на изкуствен интелект за обработка на големи данни и стратегическо вземане на решения. Допълнителна уязвимост произтича от необходимостта от по-добро военновременно планиране и по-ясно нормативно дефиниране на отговорностите между институциите.</w:t>
      </w:r>
    </w:p>
    <w:p w14:paraId="30CF6E1F" w14:textId="77777777" w:rsidR="00B6484A" w:rsidRPr="00B6484A" w:rsidRDefault="00B6484A" w:rsidP="00B6484A">
      <w:pPr>
        <w:spacing w:after="120"/>
        <w:ind w:firstLine="851"/>
        <w:jc w:val="both"/>
        <w:rPr>
          <w:rFonts w:ascii="Times New Roman" w:hAnsi="Times New Roman" w:cs="Times New Roman"/>
          <w:sz w:val="24"/>
          <w:szCs w:val="24"/>
          <w:lang w:eastAsia="bg-BG"/>
        </w:rPr>
      </w:pPr>
      <w:r w:rsidRPr="00B6484A">
        <w:rPr>
          <w:rFonts w:ascii="Times New Roman" w:hAnsi="Times New Roman" w:cs="Times New Roman"/>
          <w:sz w:val="24"/>
          <w:szCs w:val="24"/>
          <w:lang w:eastAsia="bg-BG"/>
        </w:rPr>
        <w:t>В отговор на тези предизвикателства през 2024 г. бяха предприети мерки за укрепване на капацитета на институциите, включително инвестиционна програма за Националната служба за охрана с проект за учебно-тренировъчна база и засилване на международното сътрудничество. В рамките на Министерството на иновациите и растежа се реализираха програми за трансфер на технологии, дигитализация и стимулиране на предприятия с потенциал за двойна употреба.</w:t>
      </w:r>
    </w:p>
    <w:p w14:paraId="145D6F71" w14:textId="77777777" w:rsidR="003377C1" w:rsidRPr="00B6484A" w:rsidRDefault="003377C1" w:rsidP="003377C1">
      <w:pPr>
        <w:spacing w:after="120"/>
        <w:ind w:firstLine="851"/>
        <w:jc w:val="both"/>
        <w:rPr>
          <w:rFonts w:ascii="Times New Roman" w:hAnsi="Times New Roman" w:cs="Times New Roman"/>
          <w:sz w:val="24"/>
          <w:szCs w:val="24"/>
          <w:lang w:eastAsia="bg-BG"/>
        </w:rPr>
      </w:pPr>
      <w:bookmarkStart w:id="42" w:name="_Toc136342503"/>
      <w:bookmarkEnd w:id="40"/>
      <w:r w:rsidRPr="00B6484A">
        <w:rPr>
          <w:rFonts w:ascii="Times New Roman" w:hAnsi="Times New Roman" w:cs="Times New Roman"/>
          <w:sz w:val="24"/>
          <w:szCs w:val="24"/>
          <w:lang w:eastAsia="bg-BG"/>
        </w:rPr>
        <w:t>Основният извод е, че устойчивата трансформация на политиката за сигурност и способности изисква обединяване на усилията между отбраната, индустрията, образованието и иновациите. Това включва не само адекватно бюджетно и кадрово осигуряване, но и изграждане на интегрирано стратегическо планиране, съобразено с динамиката на международната среда.</w:t>
      </w:r>
      <w:r w:rsidRPr="000F56BE">
        <w:rPr>
          <w:rFonts w:ascii="Times New Roman" w:hAnsi="Times New Roman" w:cs="Times New Roman"/>
          <w:sz w:val="24"/>
          <w:szCs w:val="24"/>
          <w:lang w:eastAsia="bg-BG"/>
        </w:rPr>
        <w:t xml:space="preserve"> </w:t>
      </w:r>
      <w:r w:rsidRPr="00B6484A">
        <w:rPr>
          <w:rFonts w:ascii="Times New Roman" w:hAnsi="Times New Roman" w:cs="Times New Roman"/>
          <w:sz w:val="24"/>
          <w:szCs w:val="24"/>
          <w:lang w:eastAsia="bg-BG"/>
        </w:rPr>
        <w:t>Необходимо е разширяване на публично-частните партньорства и инвестиции в човешки капитал. Националната иновационна система следва да бъде разглеждана като инструмент за сигурност, съсредоточен върху изкуствения интелект, автономните системи и космическите технологии.</w:t>
      </w:r>
    </w:p>
    <w:p w14:paraId="02BEBFC2" w14:textId="77777777" w:rsidR="00471963" w:rsidRPr="00757AC6" w:rsidRDefault="00471963" w:rsidP="00D6403A">
      <w:pPr>
        <w:pStyle w:val="Heading3"/>
        <w:numPr>
          <w:ilvl w:val="0"/>
          <w:numId w:val="14"/>
        </w:numPr>
        <w:spacing w:before="0" w:line="360" w:lineRule="auto"/>
        <w:rPr>
          <w:rFonts w:ascii="Times New Roman" w:hAnsi="Times New Roman" w:cs="Times New Roman"/>
          <w:b/>
          <w:color w:val="1F4E79" w:themeColor="accent1" w:themeShade="80"/>
        </w:rPr>
      </w:pPr>
      <w:bookmarkStart w:id="43" w:name="_Toc208580383"/>
      <w:r w:rsidRPr="00757AC6">
        <w:rPr>
          <w:rFonts w:ascii="Times New Roman" w:hAnsi="Times New Roman" w:cs="Times New Roman"/>
          <w:b/>
          <w:color w:val="1F4E79" w:themeColor="accent1" w:themeShade="80"/>
        </w:rPr>
        <w:t>Финансова сигурност</w:t>
      </w:r>
      <w:bookmarkEnd w:id="42"/>
      <w:bookmarkEnd w:id="43"/>
    </w:p>
    <w:p w14:paraId="6ACF1F95" w14:textId="77777777" w:rsidR="00706330" w:rsidRPr="005F49B3" w:rsidRDefault="00706330" w:rsidP="00D6403A">
      <w:pPr>
        <w:pStyle w:val="ListParagraph"/>
        <w:numPr>
          <w:ilvl w:val="0"/>
          <w:numId w:val="6"/>
        </w:numPr>
        <w:jc w:val="both"/>
        <w:rPr>
          <w:rFonts w:ascii="Times New Roman" w:hAnsi="Times New Roman" w:cs="Times New Roman"/>
          <w:b/>
          <w:sz w:val="24"/>
          <w:szCs w:val="24"/>
        </w:rPr>
      </w:pPr>
      <w:r w:rsidRPr="005F49B3">
        <w:rPr>
          <w:rFonts w:ascii="Times New Roman" w:hAnsi="Times New Roman" w:cs="Times New Roman"/>
          <w:b/>
          <w:sz w:val="24"/>
          <w:szCs w:val="24"/>
        </w:rPr>
        <w:t xml:space="preserve">Финансовата сигурност на страната продължи да се поддържа в условията на стабилна макроикономическа среда, характеризираща се с умерен икономически растеж, контролирана инфлация и постепенно намаляваща безработица. </w:t>
      </w:r>
    </w:p>
    <w:p w14:paraId="26FB9A7B" w14:textId="77777777" w:rsidR="00706330" w:rsidRPr="005F49B3" w:rsidRDefault="00706330" w:rsidP="00D6403A">
      <w:pPr>
        <w:pStyle w:val="ListParagraph"/>
        <w:numPr>
          <w:ilvl w:val="0"/>
          <w:numId w:val="6"/>
        </w:numPr>
        <w:spacing w:after="120"/>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Банковият сектор запази добра капиталова адекватност и ликвидност, като повечето институции напреднаха с подготовката на информационните си системи за преминаване към единната валута.</w:t>
      </w:r>
    </w:p>
    <w:p w14:paraId="1D623B20" w14:textId="2BD4DE35" w:rsidR="00706330" w:rsidRPr="005F49B3" w:rsidRDefault="00706330"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Наблюдавани са редица фактори, носещи потенциал за дестабилизиране на финансовата сигурност. Сред тях се открояват колебанията в нивата на чуждестранни инвестиции, спадовете в индустриалното производство и ограничената експортна активност, които могат да създадат натиск върху фискалната устойчивост. Отчетени са и институционални рискове, свързани със забавен напредък в прилагането на добри практики за защита на интелектуалната собственост, което увеличава </w:t>
      </w:r>
      <w:proofErr w:type="spellStart"/>
      <w:r w:rsidRPr="005F49B3">
        <w:rPr>
          <w:rFonts w:ascii="Times New Roman" w:hAnsi="Times New Roman" w:cs="Times New Roman"/>
          <w:sz w:val="24"/>
          <w:szCs w:val="24"/>
          <w:lang w:eastAsia="bg-BG"/>
        </w:rPr>
        <w:t>репутационния</w:t>
      </w:r>
      <w:proofErr w:type="spellEnd"/>
      <w:r w:rsidRPr="005F49B3">
        <w:rPr>
          <w:rFonts w:ascii="Times New Roman" w:hAnsi="Times New Roman" w:cs="Times New Roman"/>
          <w:sz w:val="24"/>
          <w:szCs w:val="24"/>
          <w:lang w:eastAsia="bg-BG"/>
        </w:rPr>
        <w:t xml:space="preserve"> и санкционен риск и може да затрудни достъпа на страната до международни финансови потоци.</w:t>
      </w:r>
    </w:p>
    <w:p w14:paraId="5C82F751" w14:textId="77777777" w:rsidR="00706330" w:rsidRPr="005F49B3" w:rsidRDefault="00706330"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lastRenderedPageBreak/>
        <w:t>На фона на стабилната банкова среда остават актуални няколко групи рискове с потенциал за нарушаване на доверието в системата. Сред тях се нареждат: разпространението на инвестиционни измами и схеми с признаци на финансови пирамиди, нелицензирана търговия с финансови инструменти чрез онлайн платформи, негативни практики от страна на финансови институции, уронващи доверието в надзорните органи, както и недостатъчно ефективна комуникационна кампания относно присъединяването към еврозоната. Допълнителни рискове произтичат от опити за използване на националната финансова система за разслояване и трансфер на средства с престъпен произход, заобикаляне на международни санкции, разпространение на фалшиви парични знаци, злоупотреби със средства от Държавното обществено осигуряване и измами при европейски проекти.</w:t>
      </w:r>
    </w:p>
    <w:p w14:paraId="2756BD36" w14:textId="77777777" w:rsidR="00706330" w:rsidRPr="005F49B3" w:rsidRDefault="00706330"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Организираната престъпност остава значим източник на заплахи за финансовата сигурност. Дейности на престъпни групи в сферата на контрабандата на благородни метали, незаконното производство и дистрибуция на акцизни стоки, разпространението на наркотици и данъчните измами са водещи направления. Отделно внимание изискват злоупотребите с ДДС, осъществявани чрез сложни трансгранични схеми с участието на юридически лица, регистрирани в ЕС и трети страни. Тези дейности пряко засягат приходната част на бюджета, компрометират социалната сигурност и застрашават икономическата стабилност.</w:t>
      </w:r>
    </w:p>
    <w:p w14:paraId="45A591D7" w14:textId="77777777" w:rsidR="00706330" w:rsidRPr="005F49B3" w:rsidRDefault="00706330"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Поддържа се устойчива макроикономическа и бюджетна политика чрез следене на основните икономически индикатори – растеж, инфлация и заетост. В управлението на публичните предприятия продължава прилагането на стандарти за добро корпоративно управление и отчетност в съответствие със Закона за публичните предприятия. Извършва се стратегическо преструктуриране на активи с цел повишаване на ефективността и защитата на публичния интерес. Поддържат се усилия за институционална интеграция на страната в международната икономическа и финансова архитектура, включително чрез напредък по критериите за членство в ОИСР.</w:t>
      </w:r>
    </w:p>
    <w:p w14:paraId="7BD8BB0B" w14:textId="255FA6FC" w:rsidR="00706330" w:rsidRPr="005F49B3" w:rsidRDefault="00706330"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областта на финансовото разузнаване се отчита активност по Закона за мерките срещу изпирането на пари и Закона за мерките срещу финансирането на тероризма</w:t>
      </w:r>
      <w:r w:rsidR="0086182B">
        <w:rPr>
          <w:rStyle w:val="FootnoteReference"/>
          <w:rFonts w:ascii="Times New Roman" w:hAnsi="Times New Roman" w:cs="Times New Roman"/>
          <w:sz w:val="24"/>
          <w:szCs w:val="24"/>
          <w:lang w:eastAsia="bg-BG"/>
        </w:rPr>
        <w:footnoteReference w:id="1"/>
      </w:r>
      <w:r w:rsidRPr="005F49B3">
        <w:rPr>
          <w:rFonts w:ascii="Times New Roman" w:hAnsi="Times New Roman" w:cs="Times New Roman"/>
          <w:sz w:val="24"/>
          <w:szCs w:val="24"/>
          <w:lang w:eastAsia="bg-BG"/>
        </w:rPr>
        <w:t>. Обработени са над 3700 уведомления за съмнителни транзакции, образувани са близо 1300 оперативни и 1500 аналитични преписки. Преустановени са 52 съмнителни операции на стойност над 4.4 млн. евро. Проведени са над 80 проверки и наложени санкции на стойност над 320 хил. лева. Реализирани са съвместни операции с партньорски служби за пресичане на трансгранична контрабанда и нелегална търговия с акцизни стоки и наркотици, както и за документиране на данъчни престъпления.</w:t>
      </w:r>
    </w:p>
    <w:p w14:paraId="448CA250" w14:textId="77777777" w:rsidR="00706330" w:rsidRPr="005F49B3" w:rsidRDefault="00706330"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изпълнение на междуведомствен план между приходната администрация и органите на реда се прилагат съвместни контролни действия за противодействие на данъчни измами, в т.ч. в електронната търговия. Прилагани са специални разузнавателни средства, разработвани са аналитични профили и са провеждани действия по разкриване и доказване на престъпни мрежи. Осигурено е съдействие на Европейската прокуратура и българската прокуратура по над 200 производства.</w:t>
      </w:r>
    </w:p>
    <w:p w14:paraId="623BA0B7" w14:textId="77777777" w:rsidR="00706330" w:rsidRPr="005F49B3" w:rsidRDefault="00706330"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lastRenderedPageBreak/>
        <w:t>Наложително е ускоряване на прилагането на стратегически финансови реформи с акцент върху повишаване устойчивостта на публичните предприятия спрямо енергийни и пазарни шокове. Необходимо е подобряване на системата за ранно идентифициране на фискални рискове, произтичащи от външни и вътрешни събития, чрез създаване на интегрирани механизми за финансов анализ и ранно предупреждение. Следва да се гарантира последователност в усилията за прозрачност, добро управление и отчетност в публичния сектор. От стратегическо значение е преодоляването на критиките по закрилата на интелектуалната собственост, тъй като този аспект влияе пряко върху международната финансова репутация на страната и напредъка по линия на членството в ОИСР.</w:t>
      </w:r>
    </w:p>
    <w:p w14:paraId="24917B87" w14:textId="77777777" w:rsidR="00706330" w:rsidRPr="005F49B3" w:rsidRDefault="00706330" w:rsidP="003114D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Целесъобразно е предприемане на законодателни промени за засилване на </w:t>
      </w:r>
      <w:proofErr w:type="spellStart"/>
      <w:r w:rsidRPr="005F49B3">
        <w:rPr>
          <w:rFonts w:ascii="Times New Roman" w:hAnsi="Times New Roman" w:cs="Times New Roman"/>
          <w:sz w:val="24"/>
          <w:szCs w:val="24"/>
          <w:lang w:eastAsia="bg-BG"/>
        </w:rPr>
        <w:t>предрегистрационния</w:t>
      </w:r>
      <w:proofErr w:type="spellEnd"/>
      <w:r w:rsidRPr="005F49B3">
        <w:rPr>
          <w:rFonts w:ascii="Times New Roman" w:hAnsi="Times New Roman" w:cs="Times New Roman"/>
          <w:sz w:val="24"/>
          <w:szCs w:val="24"/>
          <w:lang w:eastAsia="bg-BG"/>
        </w:rPr>
        <w:t xml:space="preserve"> контрол върху търговските дружества, увеличаване на изискванията за учредителен капитал и ограничаване на възможността за учредяване от лица с натрупани непогасени публични задължения. Следва да се изградят по-ефективни механизми за оперативно взаимодействие и обмен на данни между компетентните институции, както и да се засили аналитичният капацитет за борба с данъчни и финансови престъпления. Продължаването на усилията за повишаване на финансовата култура на населението и противодействие на измамите в цифрова среда също е от ключово значение за гарантиране на устойчивата финансова сигурност на страната.</w:t>
      </w:r>
    </w:p>
    <w:p w14:paraId="7C3CA4DC" w14:textId="77777777" w:rsidR="00286FF1" w:rsidRPr="00757AC6" w:rsidRDefault="00286FF1" w:rsidP="00D6403A">
      <w:pPr>
        <w:pStyle w:val="Heading3"/>
        <w:numPr>
          <w:ilvl w:val="0"/>
          <w:numId w:val="14"/>
        </w:numPr>
        <w:spacing w:before="0" w:line="360" w:lineRule="auto"/>
        <w:rPr>
          <w:rFonts w:ascii="Times New Roman" w:hAnsi="Times New Roman" w:cs="Times New Roman"/>
          <w:b/>
          <w:color w:val="1F4E79" w:themeColor="accent1" w:themeShade="80"/>
          <w:lang w:val="en-US"/>
        </w:rPr>
      </w:pPr>
      <w:bookmarkStart w:id="44" w:name="_Toc208580384"/>
      <w:r w:rsidRPr="00757AC6">
        <w:rPr>
          <w:rFonts w:ascii="Times New Roman" w:hAnsi="Times New Roman" w:cs="Times New Roman"/>
          <w:b/>
          <w:color w:val="1F4E79" w:themeColor="accent1" w:themeShade="80"/>
        </w:rPr>
        <w:t>Икономическа сигурност</w:t>
      </w:r>
      <w:bookmarkEnd w:id="44"/>
    </w:p>
    <w:p w14:paraId="3D8D7C51" w14:textId="77777777" w:rsidR="006C1933" w:rsidRPr="005F49B3" w:rsidRDefault="006C1933" w:rsidP="00D6403A">
      <w:pPr>
        <w:pStyle w:val="ListParagraph"/>
        <w:numPr>
          <w:ilvl w:val="0"/>
          <w:numId w:val="5"/>
        </w:numPr>
        <w:jc w:val="both"/>
        <w:rPr>
          <w:rFonts w:ascii="Times New Roman" w:hAnsi="Times New Roman" w:cs="Times New Roman"/>
          <w:b/>
          <w:sz w:val="24"/>
        </w:rPr>
      </w:pPr>
      <w:r w:rsidRPr="005F49B3">
        <w:rPr>
          <w:rFonts w:ascii="Times New Roman" w:hAnsi="Times New Roman" w:cs="Times New Roman"/>
          <w:b/>
          <w:sz w:val="24"/>
        </w:rPr>
        <w:t xml:space="preserve">Запазва се стабилна макроикономическа среда, с положителен растеж на БВП, овладяване на инфлационния натиск и намаляване на безработицата. </w:t>
      </w:r>
    </w:p>
    <w:p w14:paraId="77E6F495" w14:textId="77777777" w:rsidR="006C1933" w:rsidRPr="005F49B3" w:rsidRDefault="006C1933" w:rsidP="00D6403A">
      <w:pPr>
        <w:pStyle w:val="ListParagraph"/>
        <w:numPr>
          <w:ilvl w:val="0"/>
          <w:numId w:val="5"/>
        </w:numPr>
        <w:spacing w:after="120"/>
        <w:ind w:left="714" w:hanging="357"/>
        <w:jc w:val="both"/>
        <w:rPr>
          <w:rFonts w:ascii="Times New Roman" w:hAnsi="Times New Roman" w:cs="Times New Roman"/>
          <w:b/>
          <w:sz w:val="24"/>
        </w:rPr>
      </w:pPr>
      <w:r w:rsidRPr="005F49B3">
        <w:rPr>
          <w:rFonts w:ascii="Times New Roman" w:hAnsi="Times New Roman" w:cs="Times New Roman"/>
          <w:b/>
          <w:sz w:val="24"/>
        </w:rPr>
        <w:t>Разработва се Национална индустриална стратегия за периода 2025–2030 г., насочена към преход към зелена икономика, дигитализация и скъсяване на веригите на доставки. България поддържа ангажираност към присъединяване към ОИСР като стратегическа цел, включително чрез подобряване на корпоративното управление на публичните предприятия.</w:t>
      </w:r>
    </w:p>
    <w:p w14:paraId="7241EB11" w14:textId="77777777" w:rsidR="00DD22C8" w:rsidRPr="005F49B3" w:rsidRDefault="006C1933" w:rsidP="00DD22C8">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Установени са няколко ключови риска пред икономическата сигурност на страната. На макроравнище продължава да съществува несигурност по отношение на глобалната икономическа среда, търговската политика на водещи икономики и възстановяването на веригите на доставки. На вътрешно равнище се наблюдава спад на ключови индустриални показатели – промишлено производство, оборот в индустрията, преките чуждестранни инвестиции и износ, което създава опасност от дългосрочно забавяне на растежа. Недостигът на квалифицирана работна сила продължава да ограничава възможностите за развитие в определени сектори. Съществуват и структурни рискове, свързани с липсата на стратегическа индустриална политика в предходни години. Външнополитически риск произтича от недостатъчния напредък по линия на закрилата на правата върху интелектуалната собственост, което засяга икономическите отношения със САЩ и поставя под въпрос напредъка в процеса на присъединяване към ОИСР.</w:t>
      </w:r>
    </w:p>
    <w:p w14:paraId="65E3DD97" w14:textId="77777777" w:rsidR="006C1933" w:rsidRPr="005F49B3" w:rsidRDefault="006C1933"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За ограничаване на тези рискове се прилагат политики за стимулиране на икономическата активност, насърчаване на инвестициите и развитието на човешкия капитал. Стартира разработването на Национална индустриална стратегия с европейско финансиране, която ще очертае дългосрочна визия за развитие на преработващата и </w:t>
      </w:r>
      <w:r w:rsidRPr="005F49B3">
        <w:rPr>
          <w:rFonts w:ascii="Times New Roman" w:hAnsi="Times New Roman" w:cs="Times New Roman"/>
          <w:sz w:val="24"/>
          <w:szCs w:val="24"/>
          <w:lang w:eastAsia="bg-BG"/>
        </w:rPr>
        <w:lastRenderedPageBreak/>
        <w:t>добивната промишленост, трансформация към нисковъглеродна икономика и дигитализация. Поддържа се последователна политика за управление на публичните предприятия на базата на принципите на добро корпоративно управление. Реализират се усилия за интеграция в международната икономическа архитектура, включително чрез напредък в процеса по присъединяване към ОИСР.</w:t>
      </w:r>
    </w:p>
    <w:p w14:paraId="71B8D1C7" w14:textId="56B0F0B5" w:rsidR="00DD22C8" w:rsidRPr="005F49B3" w:rsidRDefault="006C1933" w:rsidP="00876F0C">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Необходимо е ускоряване на реформите в индустриалната политика чрез бързото приемане и изпълнение на Националната индустриална стратегия. Следва да се предприемат допълнителни действия за преодоляване на идентифицирания спад в промишленото производство, като се акцентира върху насърчаване на износа, иновациите и повишаване на производителността. </w:t>
      </w:r>
      <w:r w:rsidR="007E046D" w:rsidRPr="007E046D">
        <w:rPr>
          <w:rFonts w:ascii="Times New Roman" w:hAnsi="Times New Roman" w:cs="Times New Roman"/>
          <w:sz w:val="24"/>
          <w:szCs w:val="24"/>
          <w:lang w:eastAsia="bg-BG"/>
        </w:rPr>
        <w:t>Препоръчително е да се повиши координацията на действията на институциите за справяне с недостига на квалифицирани кадри.</w:t>
      </w:r>
      <w:r w:rsidRPr="005F49B3">
        <w:rPr>
          <w:rFonts w:ascii="Times New Roman" w:hAnsi="Times New Roman" w:cs="Times New Roman"/>
          <w:sz w:val="24"/>
          <w:szCs w:val="24"/>
          <w:lang w:eastAsia="bg-BG"/>
        </w:rPr>
        <w:t xml:space="preserve"> Външната търговска политика следва да бъде по-тясно обвързана с приоритетите за икономическа сигурност, включително чрез подобряване на системата за закрила на интелектуалната собственост. В контекста на нарастващи геоикономически напрежения и енергийна несигурност, е от стратегическо значение да се повиши устойчивостта на ключовите публични предприятия чрез гарантиране на енергийната им независимост и защита от външни сътресения.</w:t>
      </w:r>
    </w:p>
    <w:p w14:paraId="5A54BD05" w14:textId="584A069E" w:rsidR="00471963" w:rsidRPr="00757AC6" w:rsidRDefault="00471963" w:rsidP="00D6403A">
      <w:pPr>
        <w:pStyle w:val="Heading3"/>
        <w:numPr>
          <w:ilvl w:val="0"/>
          <w:numId w:val="14"/>
        </w:numPr>
        <w:spacing w:before="0" w:line="360" w:lineRule="auto"/>
        <w:rPr>
          <w:rFonts w:ascii="Times New Roman" w:hAnsi="Times New Roman" w:cs="Times New Roman"/>
          <w:b/>
          <w:color w:val="1F4E79" w:themeColor="accent1" w:themeShade="80"/>
        </w:rPr>
      </w:pPr>
      <w:bookmarkStart w:id="45" w:name="_Toc208580385"/>
      <w:r w:rsidRPr="00757AC6">
        <w:rPr>
          <w:rFonts w:ascii="Times New Roman" w:hAnsi="Times New Roman" w:cs="Times New Roman"/>
          <w:b/>
          <w:color w:val="1F4E79" w:themeColor="accent1" w:themeShade="80"/>
        </w:rPr>
        <w:t>Енергетика</w:t>
      </w:r>
      <w:bookmarkEnd w:id="45"/>
    </w:p>
    <w:p w14:paraId="5F0115EA" w14:textId="5BEFB502" w:rsidR="00281C85" w:rsidRPr="00281C85" w:rsidRDefault="00281C85" w:rsidP="00D6403A">
      <w:pPr>
        <w:pStyle w:val="ListParagraph"/>
        <w:numPr>
          <w:ilvl w:val="0"/>
          <w:numId w:val="5"/>
        </w:numPr>
        <w:jc w:val="both"/>
        <w:rPr>
          <w:rFonts w:ascii="Times New Roman" w:hAnsi="Times New Roman" w:cs="Times New Roman"/>
          <w:b/>
          <w:sz w:val="24"/>
        </w:rPr>
      </w:pPr>
      <w:bookmarkStart w:id="46" w:name="_Hlk207638493"/>
      <w:r w:rsidRPr="00281C85">
        <w:rPr>
          <w:rFonts w:ascii="Times New Roman" w:hAnsi="Times New Roman" w:cs="Times New Roman"/>
          <w:b/>
          <w:sz w:val="24"/>
        </w:rPr>
        <w:t>Намалението на производството на електроенергия от въглища с близо 60% спрямо 2022 г. ограничи балансиращите възможности и засили риска за устойчивостта на електроенергийната система.</w:t>
      </w:r>
    </w:p>
    <w:bookmarkEnd w:id="46"/>
    <w:p w14:paraId="2807D15E" w14:textId="3124424A" w:rsidR="00281C85" w:rsidRPr="00281C85" w:rsidRDefault="00281C85" w:rsidP="00D6403A">
      <w:pPr>
        <w:pStyle w:val="ListParagraph"/>
        <w:numPr>
          <w:ilvl w:val="0"/>
          <w:numId w:val="5"/>
        </w:numPr>
        <w:jc w:val="both"/>
        <w:rPr>
          <w:rFonts w:ascii="Times New Roman" w:hAnsi="Times New Roman" w:cs="Times New Roman"/>
          <w:b/>
          <w:sz w:val="24"/>
        </w:rPr>
      </w:pPr>
      <w:r w:rsidRPr="00281C85">
        <w:rPr>
          <w:rFonts w:ascii="Times New Roman" w:hAnsi="Times New Roman" w:cs="Times New Roman"/>
          <w:b/>
          <w:sz w:val="24"/>
        </w:rPr>
        <w:t xml:space="preserve">Бяха предприети ключови инфраструктурни проекти – разширение на газохранилището в Чирен, въвеждане в експлоатация на LNG терминала в Александруполис и изграждане на нови </w:t>
      </w:r>
      <w:r w:rsidR="006D4006">
        <w:rPr>
          <w:rFonts w:ascii="Times New Roman" w:hAnsi="Times New Roman" w:cs="Times New Roman"/>
          <w:b/>
          <w:sz w:val="24"/>
        </w:rPr>
        <w:t>преносни газопроводи – част от Вертикалния коридор</w:t>
      </w:r>
      <w:r w:rsidRPr="00281C85">
        <w:rPr>
          <w:rFonts w:ascii="Times New Roman" w:hAnsi="Times New Roman" w:cs="Times New Roman"/>
          <w:b/>
          <w:sz w:val="24"/>
        </w:rPr>
        <w:t>.</w:t>
      </w:r>
    </w:p>
    <w:p w14:paraId="13508554" w14:textId="2D66CDBE" w:rsidR="00281C85" w:rsidRPr="00281C85" w:rsidRDefault="00281C85" w:rsidP="00D6403A">
      <w:pPr>
        <w:pStyle w:val="ListParagraph"/>
        <w:numPr>
          <w:ilvl w:val="0"/>
          <w:numId w:val="5"/>
        </w:numPr>
        <w:jc w:val="both"/>
        <w:rPr>
          <w:rFonts w:ascii="Times New Roman" w:hAnsi="Times New Roman" w:cs="Times New Roman"/>
          <w:b/>
          <w:sz w:val="24"/>
        </w:rPr>
      </w:pPr>
      <w:r w:rsidRPr="00281C85">
        <w:rPr>
          <w:rFonts w:ascii="Times New Roman" w:hAnsi="Times New Roman" w:cs="Times New Roman"/>
          <w:b/>
          <w:sz w:val="24"/>
        </w:rPr>
        <w:t>Финансовото състояние на „Булгаргаз“ се влоши поради неизползван капацитет по договора с BOTAŞ, просрочени задължения на „Топлофикация София“ за над 985 млн. лв. и блокирани ресурси в скъп газ.</w:t>
      </w:r>
    </w:p>
    <w:p w14:paraId="4A5EDB2C" w14:textId="0F074ED3" w:rsidR="00281C85" w:rsidRPr="00281C85" w:rsidRDefault="00281C85" w:rsidP="00281C85">
      <w:pPr>
        <w:spacing w:after="120"/>
        <w:ind w:firstLine="851"/>
        <w:jc w:val="both"/>
        <w:rPr>
          <w:rFonts w:ascii="Times New Roman" w:hAnsi="Times New Roman" w:cs="Times New Roman"/>
          <w:sz w:val="24"/>
          <w:szCs w:val="24"/>
          <w:lang w:eastAsia="bg-BG"/>
        </w:rPr>
      </w:pPr>
      <w:r w:rsidRPr="00281C85">
        <w:rPr>
          <w:rFonts w:ascii="Times New Roman" w:hAnsi="Times New Roman" w:cs="Times New Roman"/>
          <w:sz w:val="24"/>
          <w:szCs w:val="24"/>
          <w:lang w:eastAsia="bg-BG"/>
        </w:rPr>
        <w:t xml:space="preserve">Основно предизвикателство за енергийния сектор в България остава устойчивото преминаване към нисковъглеродна енергетика, което изисква плавна замяна на изкопаемите горива с нискоемисионни технологии при гарантиране на системната адекватност на електроенергийната система (ЕЕС) и достъпността на енергийните доставки. </w:t>
      </w:r>
      <w:r w:rsidR="00B6303C">
        <w:rPr>
          <w:rFonts w:ascii="Times New Roman" w:hAnsi="Times New Roman" w:cs="Times New Roman"/>
          <w:sz w:val="24"/>
          <w:szCs w:val="24"/>
          <w:lang w:eastAsia="bg-BG"/>
        </w:rPr>
        <w:t>До приемането от Комисията за енергийно и водно регулиране на Методика за определяне на цена на балансиращата електрическа енергия, влязла в сила от 2024 г., се наблюдаваше проблем при балансирането на електроенергийната система в условията на нарастващ обем енергия от възобновяеми източници.</w:t>
      </w:r>
    </w:p>
    <w:p w14:paraId="340AF656" w14:textId="00B6DDB0" w:rsidR="00281C85" w:rsidRPr="00281C85" w:rsidRDefault="00281C85" w:rsidP="00281C85">
      <w:pPr>
        <w:spacing w:after="120"/>
        <w:ind w:firstLine="851"/>
        <w:jc w:val="both"/>
        <w:rPr>
          <w:rFonts w:ascii="Times New Roman" w:hAnsi="Times New Roman" w:cs="Times New Roman"/>
          <w:sz w:val="24"/>
          <w:szCs w:val="24"/>
          <w:lang w:eastAsia="bg-BG"/>
        </w:rPr>
      </w:pPr>
      <w:r w:rsidRPr="00281C85">
        <w:rPr>
          <w:rFonts w:ascii="Times New Roman" w:hAnsi="Times New Roman" w:cs="Times New Roman"/>
          <w:sz w:val="24"/>
          <w:szCs w:val="24"/>
          <w:lang w:eastAsia="bg-BG"/>
        </w:rPr>
        <w:t xml:space="preserve">Рисковете за сигурността на ЕЕС се задълбочиха от ограничените възможности за заместване на конвенционалните мощности от въглища с ВЕИ и системи за съхранение. Въпреки значителния ръст на фотоволтаичните и вятърните мощности през 2024 г., те не могат да заменят технологично реакцията на синхронните генератори при поддържане на устойчивостта на системата. Производството от въглища намаля с 25% спрямо 2023 г. и с почти 60% спрямо 2022 г., а колебливите цени на квотите за емисии ограничиха възможността за прогнозиране и натовариха балансиращите мощности. За осигуряване на стабилност е необходимо непрекъснато участие на минимален брой </w:t>
      </w:r>
      <w:r w:rsidRPr="00281C85">
        <w:rPr>
          <w:rFonts w:ascii="Times New Roman" w:hAnsi="Times New Roman" w:cs="Times New Roman"/>
          <w:sz w:val="24"/>
          <w:szCs w:val="24"/>
          <w:lang w:eastAsia="bg-BG"/>
        </w:rPr>
        <w:lastRenderedPageBreak/>
        <w:t xml:space="preserve">конвенционални блокове. През 2024 г. НЕК съсредоточи усилията си върху възстановяването на ПАВЕЦ „Чаира“, като бе ремонтиран хидроагрегат 2 по иновативен метод, планира се възстановяване на хидроагрегат 3, а за хидроагрегат 1 е подписан договор с „Тошиба“. В изпълнение на Регламент (ЕС) 2019/941 бе </w:t>
      </w:r>
      <w:r w:rsidR="006D4006">
        <w:rPr>
          <w:rFonts w:ascii="Times New Roman" w:hAnsi="Times New Roman" w:cs="Times New Roman"/>
          <w:sz w:val="24"/>
          <w:szCs w:val="24"/>
          <w:lang w:eastAsia="bg-BG"/>
        </w:rPr>
        <w:t>актуализиран</w:t>
      </w:r>
      <w:r w:rsidRPr="00281C85">
        <w:rPr>
          <w:rFonts w:ascii="Times New Roman" w:hAnsi="Times New Roman" w:cs="Times New Roman"/>
          <w:sz w:val="24"/>
          <w:szCs w:val="24"/>
          <w:lang w:eastAsia="bg-BG"/>
        </w:rPr>
        <w:t xml:space="preserve"> Национал</w:t>
      </w:r>
      <w:r w:rsidR="006D4006">
        <w:rPr>
          <w:rFonts w:ascii="Times New Roman" w:hAnsi="Times New Roman" w:cs="Times New Roman"/>
          <w:sz w:val="24"/>
          <w:szCs w:val="24"/>
          <w:lang w:eastAsia="bg-BG"/>
        </w:rPr>
        <w:t>ния</w:t>
      </w:r>
      <w:r w:rsidRPr="00281C85">
        <w:rPr>
          <w:rFonts w:ascii="Times New Roman" w:hAnsi="Times New Roman" w:cs="Times New Roman"/>
          <w:sz w:val="24"/>
          <w:szCs w:val="24"/>
          <w:lang w:eastAsia="bg-BG"/>
        </w:rPr>
        <w:t xml:space="preserve"> план за действие за справяне с рискове в електроенергийния сектор, включващ сценарии за кибератаки, физически и вътрешни заплахи, природни бедствия, технически сривове, недостиг на гориво и политически кризи.</w:t>
      </w:r>
    </w:p>
    <w:p w14:paraId="2399026F" w14:textId="77777777" w:rsidR="00281C85" w:rsidRPr="00281C85" w:rsidRDefault="00281C85" w:rsidP="00281C85">
      <w:pPr>
        <w:spacing w:after="120"/>
        <w:ind w:firstLine="851"/>
        <w:jc w:val="both"/>
        <w:rPr>
          <w:rFonts w:ascii="Times New Roman" w:hAnsi="Times New Roman" w:cs="Times New Roman"/>
          <w:sz w:val="24"/>
          <w:szCs w:val="24"/>
          <w:lang w:eastAsia="bg-BG"/>
        </w:rPr>
      </w:pPr>
      <w:r w:rsidRPr="00281C85">
        <w:rPr>
          <w:rFonts w:ascii="Times New Roman" w:hAnsi="Times New Roman" w:cs="Times New Roman"/>
          <w:sz w:val="24"/>
          <w:szCs w:val="24"/>
          <w:lang w:eastAsia="bg-BG"/>
        </w:rPr>
        <w:t>Сигурността на доставките и развитието на газопреносната инфраструктура бяха подпомогнати от проекти за повишаване на междусистемния капацитет в точките Кулата/</w:t>
      </w:r>
      <w:proofErr w:type="spellStart"/>
      <w:r w:rsidRPr="00281C85">
        <w:rPr>
          <w:rFonts w:ascii="Times New Roman" w:hAnsi="Times New Roman" w:cs="Times New Roman"/>
          <w:sz w:val="24"/>
          <w:szCs w:val="24"/>
          <w:lang w:eastAsia="bg-BG"/>
        </w:rPr>
        <w:t>Сидирокастро</w:t>
      </w:r>
      <w:proofErr w:type="spellEnd"/>
      <w:r w:rsidRPr="00281C85">
        <w:rPr>
          <w:rFonts w:ascii="Times New Roman" w:hAnsi="Times New Roman" w:cs="Times New Roman"/>
          <w:sz w:val="24"/>
          <w:szCs w:val="24"/>
          <w:lang w:eastAsia="bg-BG"/>
        </w:rPr>
        <w:t xml:space="preserve"> и </w:t>
      </w:r>
      <w:proofErr w:type="spellStart"/>
      <w:r w:rsidRPr="00281C85">
        <w:rPr>
          <w:rFonts w:ascii="Times New Roman" w:hAnsi="Times New Roman" w:cs="Times New Roman"/>
          <w:sz w:val="24"/>
          <w:szCs w:val="24"/>
          <w:lang w:eastAsia="bg-BG"/>
        </w:rPr>
        <w:t>Негру</w:t>
      </w:r>
      <w:proofErr w:type="spellEnd"/>
      <w:r w:rsidRPr="00281C85">
        <w:rPr>
          <w:rFonts w:ascii="Times New Roman" w:hAnsi="Times New Roman" w:cs="Times New Roman"/>
          <w:sz w:val="24"/>
          <w:szCs w:val="24"/>
          <w:lang w:eastAsia="bg-BG"/>
        </w:rPr>
        <w:t xml:space="preserve"> Вода/Кардам, които са част от Вертикалния коридор за пренос на природен газ от алтернативни източници. Министерският съвет обяви три проекта за обекти от национално значение – изграждане на лупинг Кулата–Кресна и преносен газопровод Пиперево–Перник; лупинг Рупча–Ветрино с </w:t>
      </w:r>
      <w:proofErr w:type="spellStart"/>
      <w:r w:rsidRPr="00281C85">
        <w:rPr>
          <w:rFonts w:ascii="Times New Roman" w:hAnsi="Times New Roman" w:cs="Times New Roman"/>
          <w:sz w:val="24"/>
          <w:szCs w:val="24"/>
          <w:lang w:eastAsia="bg-BG"/>
        </w:rPr>
        <w:t>реверсиране</w:t>
      </w:r>
      <w:proofErr w:type="spellEnd"/>
      <w:r w:rsidRPr="00281C85">
        <w:rPr>
          <w:rFonts w:ascii="Times New Roman" w:hAnsi="Times New Roman" w:cs="Times New Roman"/>
          <w:sz w:val="24"/>
          <w:szCs w:val="24"/>
          <w:lang w:eastAsia="bg-BG"/>
        </w:rPr>
        <w:t xml:space="preserve"> на компресорна станция Кардам; и нова довеждаща инфраструктура за източномаришкия регион. През октомври 2024 г. в търговска експлоатация влезе LNG терминалът в Александруполис, в който „Булгартрансгаз“ притежава 20% дял, а стартиралото разширение на газохранилището в Чирен предвижда увеличаване на капацитета на работен газ до 1 млрд. м³ и удвояване на дневните дебити.</w:t>
      </w:r>
    </w:p>
    <w:p w14:paraId="3FFF10D9" w14:textId="77777777" w:rsidR="00281C85" w:rsidRPr="00281C85" w:rsidRDefault="00281C85" w:rsidP="00281C85">
      <w:pPr>
        <w:spacing w:after="120"/>
        <w:ind w:firstLine="851"/>
        <w:jc w:val="both"/>
        <w:rPr>
          <w:rFonts w:ascii="Times New Roman" w:hAnsi="Times New Roman" w:cs="Times New Roman"/>
          <w:sz w:val="24"/>
          <w:szCs w:val="24"/>
          <w:lang w:eastAsia="bg-BG"/>
        </w:rPr>
      </w:pPr>
      <w:r w:rsidRPr="00281C85">
        <w:rPr>
          <w:rFonts w:ascii="Times New Roman" w:hAnsi="Times New Roman" w:cs="Times New Roman"/>
          <w:sz w:val="24"/>
          <w:szCs w:val="24"/>
          <w:lang w:eastAsia="bg-BG"/>
        </w:rPr>
        <w:t xml:space="preserve">Въпреки предприетите мерки финансовото състояние на „Булгаргаз“ ЕАД се влоши поради обременяващо дългосрочно споразумение с турската BOTAŞ за LNG капацитет, което доведе до значителни разходи за неизползвани услуги. Допълнително напрежение оказаха просрочените задължения на топлофикационните дружества, които към края на 2024 г. надхвърлят 1 млрд. лв., като 96,4% от тях са на „Топлофикация София“. Това създаде ликвидни проблеми за обществения доставчик и риск за навременното разплащане с международните доставчици. Натрупани количества газ в Чирен и Турция на цени над пазарните блокираха финансов ресурс и ограничиха възможностите за съхранение на нови обеми. В същото време се запази високата </w:t>
      </w:r>
      <w:proofErr w:type="spellStart"/>
      <w:r w:rsidRPr="00281C85">
        <w:rPr>
          <w:rFonts w:ascii="Times New Roman" w:hAnsi="Times New Roman" w:cs="Times New Roman"/>
          <w:sz w:val="24"/>
          <w:szCs w:val="24"/>
          <w:lang w:eastAsia="bg-BG"/>
        </w:rPr>
        <w:t>аварийност</w:t>
      </w:r>
      <w:proofErr w:type="spellEnd"/>
      <w:r w:rsidRPr="00281C85">
        <w:rPr>
          <w:rFonts w:ascii="Times New Roman" w:hAnsi="Times New Roman" w:cs="Times New Roman"/>
          <w:sz w:val="24"/>
          <w:szCs w:val="24"/>
          <w:lang w:eastAsia="bg-BG"/>
        </w:rPr>
        <w:t xml:space="preserve"> в топлопреносните мрежи, особено в София, където значителна част от инфраструктурата е в експлоатация от над 40 години, което повишава риска от прекъсване на топлоподаването.</w:t>
      </w:r>
    </w:p>
    <w:p w14:paraId="5066BA0A" w14:textId="2667A8E1" w:rsidR="00281C85" w:rsidRPr="005F49B3" w:rsidRDefault="00281C85" w:rsidP="000F08C2">
      <w:pPr>
        <w:spacing w:after="120"/>
        <w:ind w:firstLine="851"/>
        <w:jc w:val="both"/>
        <w:rPr>
          <w:rFonts w:ascii="Times New Roman" w:hAnsi="Times New Roman" w:cs="Times New Roman"/>
          <w:sz w:val="24"/>
          <w:szCs w:val="24"/>
          <w:lang w:eastAsia="bg-BG"/>
        </w:rPr>
      </w:pPr>
      <w:r w:rsidRPr="00281C85">
        <w:rPr>
          <w:rFonts w:ascii="Times New Roman" w:hAnsi="Times New Roman" w:cs="Times New Roman"/>
          <w:sz w:val="24"/>
          <w:szCs w:val="24"/>
          <w:lang w:eastAsia="bg-BG"/>
        </w:rPr>
        <w:t xml:space="preserve">България продължи напредъка си по ангажиментите в рамките на Европейската зелена сделка и Националния план за възстановяване и устойчивост. Приоритетите на националната политика могат да бъдат обобщени в три направления: ефективно използване на местните енергийни ресурси, изграждане на нови генериращи и балансиращи мощности със системи за съхранение, както и повишаване на междусистемната свързаност. През юни 2024 г. НЕК подписа консултантско споразумение с Европейската инвестиционна банка за предпроектни проучвания за нови ПАВЕЦ при язовирите Батак и Доспат, част от пакет за развитие на над 4 GW мощности и над 70 </w:t>
      </w:r>
      <w:proofErr w:type="spellStart"/>
      <w:r w:rsidRPr="00281C85">
        <w:rPr>
          <w:rFonts w:ascii="Times New Roman" w:hAnsi="Times New Roman" w:cs="Times New Roman"/>
          <w:sz w:val="24"/>
          <w:szCs w:val="24"/>
          <w:lang w:eastAsia="bg-BG"/>
        </w:rPr>
        <w:t>GWh</w:t>
      </w:r>
      <w:proofErr w:type="spellEnd"/>
      <w:r w:rsidRPr="00281C85">
        <w:rPr>
          <w:rFonts w:ascii="Times New Roman" w:hAnsi="Times New Roman" w:cs="Times New Roman"/>
          <w:sz w:val="24"/>
          <w:szCs w:val="24"/>
          <w:lang w:eastAsia="bg-BG"/>
        </w:rPr>
        <w:t xml:space="preserve"> капацитет за съхранение. В ход е и процедура RESTORE за изграждане на национална инфраструктура за съхранение на електроенергия от възобновяеми източници, както и национална схема за подпомагане на домакинствата с финансиране за слънчеви инсталации и фотоволтаични системи до 10 </w:t>
      </w:r>
      <w:proofErr w:type="spellStart"/>
      <w:r w:rsidRPr="00281C85">
        <w:rPr>
          <w:rFonts w:ascii="Times New Roman" w:hAnsi="Times New Roman" w:cs="Times New Roman"/>
          <w:sz w:val="24"/>
          <w:szCs w:val="24"/>
          <w:lang w:eastAsia="bg-BG"/>
        </w:rPr>
        <w:t>kWp</w:t>
      </w:r>
      <w:proofErr w:type="spellEnd"/>
      <w:r w:rsidRPr="00281C85">
        <w:rPr>
          <w:rFonts w:ascii="Times New Roman" w:hAnsi="Times New Roman" w:cs="Times New Roman"/>
          <w:sz w:val="24"/>
          <w:szCs w:val="24"/>
          <w:lang w:eastAsia="bg-BG"/>
        </w:rPr>
        <w:t>.</w:t>
      </w:r>
    </w:p>
    <w:p w14:paraId="08D3AE53" w14:textId="38EB6664" w:rsidR="002F2E54" w:rsidRPr="00757AC6" w:rsidRDefault="002F2E54" w:rsidP="00D6403A">
      <w:pPr>
        <w:pStyle w:val="Heading3"/>
        <w:numPr>
          <w:ilvl w:val="0"/>
          <w:numId w:val="14"/>
        </w:numPr>
        <w:spacing w:line="360" w:lineRule="auto"/>
        <w:rPr>
          <w:rFonts w:ascii="Times New Roman" w:hAnsi="Times New Roman" w:cs="Times New Roman"/>
          <w:b/>
          <w:color w:val="1F4E79" w:themeColor="accent1" w:themeShade="80"/>
        </w:rPr>
      </w:pPr>
      <w:bookmarkStart w:id="47" w:name="_Toc136342512"/>
      <w:bookmarkStart w:id="48" w:name="_Toc208580386"/>
      <w:r w:rsidRPr="00757AC6">
        <w:rPr>
          <w:rFonts w:ascii="Times New Roman" w:hAnsi="Times New Roman" w:cs="Times New Roman"/>
          <w:b/>
          <w:color w:val="1F4E79" w:themeColor="accent1" w:themeShade="80"/>
        </w:rPr>
        <w:lastRenderedPageBreak/>
        <w:t>Защита на класифицираната информация</w:t>
      </w:r>
      <w:bookmarkEnd w:id="47"/>
      <w:bookmarkEnd w:id="48"/>
    </w:p>
    <w:p w14:paraId="3BD35B6D" w14:textId="6D7FBB8A" w:rsidR="00953D5C" w:rsidRPr="005F49B3" w:rsidRDefault="0086182B" w:rsidP="00D6403A">
      <w:pPr>
        <w:pStyle w:val="ListParagraph"/>
        <w:numPr>
          <w:ilvl w:val="0"/>
          <w:numId w:val="1"/>
        </w:numPr>
        <w:spacing w:line="276" w:lineRule="auto"/>
        <w:jc w:val="both"/>
        <w:rPr>
          <w:rFonts w:ascii="Times New Roman" w:hAnsi="Times New Roman" w:cs="Times New Roman"/>
          <w:b/>
          <w:sz w:val="24"/>
        </w:rPr>
      </w:pPr>
      <w:bookmarkStart w:id="49" w:name="_Toc136342502"/>
      <w:r>
        <w:rPr>
          <w:rFonts w:ascii="Times New Roman" w:hAnsi="Times New Roman" w:cs="Times New Roman"/>
          <w:b/>
          <w:sz w:val="24"/>
        </w:rPr>
        <w:t>Националната система за защита на класифицираната информация е стабилна и функционира с висока степен на надеждност.</w:t>
      </w:r>
    </w:p>
    <w:p w14:paraId="6A2C59EC" w14:textId="33CFCA15" w:rsidR="00242DA0" w:rsidRPr="005F49B3" w:rsidRDefault="00242DA0" w:rsidP="00D6403A">
      <w:pPr>
        <w:pStyle w:val="ListParagraph"/>
        <w:numPr>
          <w:ilvl w:val="0"/>
          <w:numId w:val="1"/>
        </w:numPr>
        <w:spacing w:after="120" w:line="276" w:lineRule="auto"/>
        <w:ind w:left="714" w:hanging="357"/>
        <w:jc w:val="both"/>
        <w:rPr>
          <w:rFonts w:ascii="Times New Roman" w:hAnsi="Times New Roman" w:cs="Times New Roman"/>
          <w:b/>
          <w:sz w:val="24"/>
        </w:rPr>
      </w:pPr>
      <w:r>
        <w:rPr>
          <w:rFonts w:ascii="Times New Roman" w:hAnsi="Times New Roman" w:cs="Times New Roman"/>
          <w:b/>
          <w:sz w:val="24"/>
        </w:rPr>
        <w:t xml:space="preserve">Основни предизвикателства пред Националната система за защита на класифицираната информация са кадровият дефицит и технологичното изоставане. </w:t>
      </w:r>
    </w:p>
    <w:p w14:paraId="32AAB6A9" w14:textId="72ECF49C" w:rsidR="00953D5C" w:rsidRPr="005F49B3" w:rsidRDefault="00953D5C"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Заплахите към системите за защита са все по-комплексни, а всяко отклонение от утвърдените стандарти би могло да се превърне не само във вътрешен, но и във външнополитически проблем. </w:t>
      </w:r>
      <w:r w:rsidR="00242DA0">
        <w:rPr>
          <w:rFonts w:ascii="Times New Roman" w:hAnsi="Times New Roman" w:cs="Times New Roman"/>
          <w:sz w:val="24"/>
          <w:szCs w:val="24"/>
          <w:lang w:eastAsia="bg-BG"/>
        </w:rPr>
        <w:t>П</w:t>
      </w:r>
      <w:r w:rsidRPr="005F49B3">
        <w:rPr>
          <w:rFonts w:ascii="Times New Roman" w:hAnsi="Times New Roman" w:cs="Times New Roman"/>
          <w:sz w:val="24"/>
          <w:szCs w:val="24"/>
          <w:lang w:eastAsia="bg-BG"/>
        </w:rPr>
        <w:t>рез 2024 г. не са регистрирани пробиви, които да компрометират международното доверие, като системата показа устойчивост и капацитет за превенция и реакция.</w:t>
      </w:r>
    </w:p>
    <w:p w14:paraId="3CA472FF" w14:textId="24153BC4" w:rsidR="00953D5C" w:rsidRPr="005F49B3" w:rsidRDefault="00953D5C"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През 2024 г. бяха проведени целенасочени обучения на служители с достъп до класифицирана информация, включително по стандартите на НАТО и ЕС. Регулаторната рамка бе запазена стабилна, като бе потвърдена и от визитата на експерти от Службата по сигурността на НАТО. Оказвана бе методическа и консултативна подкрепа на организационните единици </w:t>
      </w:r>
      <w:r w:rsidR="00232435">
        <w:rPr>
          <w:rFonts w:ascii="Times New Roman" w:hAnsi="Times New Roman" w:cs="Times New Roman"/>
          <w:sz w:val="24"/>
          <w:szCs w:val="24"/>
          <w:lang w:eastAsia="bg-BG"/>
        </w:rPr>
        <w:t>от страна</w:t>
      </w:r>
      <w:r w:rsidRPr="005F49B3">
        <w:rPr>
          <w:rFonts w:ascii="Times New Roman" w:hAnsi="Times New Roman" w:cs="Times New Roman"/>
          <w:sz w:val="24"/>
          <w:szCs w:val="24"/>
          <w:lang w:eastAsia="bg-BG"/>
        </w:rPr>
        <w:t xml:space="preserve"> на Държавната комисия по сигурността на информацията. </w:t>
      </w:r>
    </w:p>
    <w:p w14:paraId="0BDC70D0" w14:textId="0B07E3F7" w:rsidR="000A0E0A" w:rsidRPr="005F49B3" w:rsidRDefault="00953D5C" w:rsidP="003114D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Необходимо е ускорено въвеждане на технологични решения в системата за защита на класифицираната информация. Следва да се гарантира дългосрочна съвместимост със стандартите на НАТО и ЕС, </w:t>
      </w:r>
      <w:r w:rsidR="00232435">
        <w:rPr>
          <w:rFonts w:ascii="Times New Roman" w:hAnsi="Times New Roman" w:cs="Times New Roman"/>
          <w:sz w:val="24"/>
          <w:szCs w:val="24"/>
          <w:lang w:eastAsia="bg-BG"/>
        </w:rPr>
        <w:t xml:space="preserve">както и прилагането им в необходимата степен, </w:t>
      </w:r>
      <w:r w:rsidRPr="005F49B3">
        <w:rPr>
          <w:rFonts w:ascii="Times New Roman" w:hAnsi="Times New Roman" w:cs="Times New Roman"/>
          <w:sz w:val="24"/>
          <w:szCs w:val="24"/>
          <w:lang w:eastAsia="bg-BG"/>
        </w:rPr>
        <w:t xml:space="preserve">като се отчита динамичното развитие на </w:t>
      </w:r>
      <w:r w:rsidR="00232435">
        <w:rPr>
          <w:rFonts w:ascii="Times New Roman" w:hAnsi="Times New Roman" w:cs="Times New Roman"/>
          <w:sz w:val="24"/>
          <w:szCs w:val="24"/>
          <w:lang w:eastAsia="bg-BG"/>
        </w:rPr>
        <w:t>технологиите</w:t>
      </w:r>
      <w:r w:rsidRPr="005F49B3">
        <w:rPr>
          <w:rFonts w:ascii="Times New Roman" w:hAnsi="Times New Roman" w:cs="Times New Roman"/>
          <w:sz w:val="24"/>
          <w:szCs w:val="24"/>
          <w:lang w:eastAsia="bg-BG"/>
        </w:rPr>
        <w:t xml:space="preserve">. Препоръчва се ограничаване на броя на лицата с достъп до класифицирана информация чрез прилагане на принципа на необходимост и редуциране на формалната класификация на документи. Необходими са инвестиции в обновяване на ИКТ оборудване, както и осигуряване на адекватно възнаграждение за квалифициран ИТ персонал. Ускоряването на процедурите по акредитация на КИС изисква </w:t>
      </w:r>
      <w:r w:rsidR="00242DA0">
        <w:rPr>
          <w:rFonts w:ascii="Times New Roman" w:hAnsi="Times New Roman" w:cs="Times New Roman"/>
          <w:sz w:val="24"/>
          <w:szCs w:val="24"/>
          <w:lang w:eastAsia="bg-BG"/>
        </w:rPr>
        <w:t xml:space="preserve">имплементиране на съвременни технологични решения и адекватно кадрово осигуряване по линия на информационната сигурност. </w:t>
      </w:r>
      <w:r w:rsidRPr="005F49B3">
        <w:rPr>
          <w:rFonts w:ascii="Times New Roman" w:hAnsi="Times New Roman" w:cs="Times New Roman"/>
          <w:sz w:val="24"/>
          <w:szCs w:val="24"/>
          <w:lang w:eastAsia="bg-BG"/>
        </w:rPr>
        <w:t xml:space="preserve">Препоръчва се създаване на механизъм за </w:t>
      </w:r>
      <w:r w:rsidR="00232435">
        <w:rPr>
          <w:rFonts w:ascii="Times New Roman" w:hAnsi="Times New Roman" w:cs="Times New Roman"/>
          <w:sz w:val="24"/>
          <w:szCs w:val="24"/>
          <w:lang w:eastAsia="bg-BG"/>
        </w:rPr>
        <w:t xml:space="preserve">финансиране на развитието и техническата модернизация на КИС в ОЕ. </w:t>
      </w:r>
      <w:bookmarkEnd w:id="49"/>
    </w:p>
    <w:p w14:paraId="22E09CAD" w14:textId="77777777" w:rsidR="00471963" w:rsidRPr="00757AC6" w:rsidRDefault="00F34426" w:rsidP="00D6403A">
      <w:pPr>
        <w:pStyle w:val="Heading3"/>
        <w:numPr>
          <w:ilvl w:val="0"/>
          <w:numId w:val="14"/>
        </w:numPr>
        <w:spacing w:before="0" w:line="276" w:lineRule="auto"/>
        <w:ind w:left="714" w:hanging="357"/>
        <w:rPr>
          <w:rFonts w:ascii="Times New Roman" w:hAnsi="Times New Roman" w:cs="Times New Roman"/>
          <w:b/>
          <w:color w:val="1F4E79" w:themeColor="accent1" w:themeShade="80"/>
          <w:lang w:eastAsia="bg-BG"/>
        </w:rPr>
      </w:pPr>
      <w:bookmarkStart w:id="50" w:name="_Toc208580387"/>
      <w:r w:rsidRPr="00757AC6">
        <w:rPr>
          <w:rFonts w:ascii="Times New Roman" w:hAnsi="Times New Roman" w:cs="Times New Roman"/>
          <w:b/>
          <w:color w:val="1F4E79" w:themeColor="accent1" w:themeShade="80"/>
          <w:lang w:eastAsia="bg-BG"/>
        </w:rPr>
        <w:t>Секторни уязвимости и защита на населението при бедствия, климатични и екологични заплахи</w:t>
      </w:r>
      <w:bookmarkEnd w:id="50"/>
    </w:p>
    <w:p w14:paraId="1DE76CC5" w14:textId="29272CC0" w:rsidR="00F34426" w:rsidRPr="005F49B3" w:rsidRDefault="00F34426" w:rsidP="00D6403A">
      <w:pPr>
        <w:pStyle w:val="ListParagraph"/>
        <w:numPr>
          <w:ilvl w:val="0"/>
          <w:numId w:val="35"/>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2024 г. бе белязана от най-горещото лято от началото на века, с рекордни температури, продължителна суша и увеличен брой пожари и бедствия на територията на цялата страна.</w:t>
      </w:r>
      <w:r w:rsidR="001824B9">
        <w:rPr>
          <w:rFonts w:ascii="Times New Roman" w:hAnsi="Times New Roman" w:cs="Times New Roman"/>
          <w:b/>
          <w:sz w:val="24"/>
          <w:szCs w:val="24"/>
        </w:rPr>
        <w:t xml:space="preserve"> </w:t>
      </w:r>
      <w:r w:rsidR="001824B9" w:rsidRPr="001824B9">
        <w:rPr>
          <w:rFonts w:ascii="Times New Roman" w:hAnsi="Times New Roman" w:cs="Times New Roman"/>
          <w:b/>
          <w:sz w:val="24"/>
          <w:szCs w:val="24"/>
        </w:rPr>
        <w:t>Необходимо е засилване на капацитета за климатично моделиране и ранно предупреждение, както и интегриране на получените данни в процесите на стратегическо планиране в областта на националната сигурност.</w:t>
      </w:r>
    </w:p>
    <w:p w14:paraId="524485D3" w14:textId="77777777" w:rsidR="00F34426" w:rsidRPr="005F49B3" w:rsidRDefault="00F34426" w:rsidP="00D6403A">
      <w:pPr>
        <w:pStyle w:val="ListParagraph"/>
        <w:numPr>
          <w:ilvl w:val="0"/>
          <w:numId w:val="35"/>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Нарастващата честота и интензивност на природни бедствия изостриха дефицитите в капацитета за реагиране, координация и устойчивост на критичната инфраструктура.</w:t>
      </w:r>
    </w:p>
    <w:p w14:paraId="29CEDBB3" w14:textId="77777777" w:rsidR="00F34426" w:rsidRPr="005F49B3" w:rsidRDefault="00F34426" w:rsidP="00D6403A">
      <w:pPr>
        <w:pStyle w:val="ListParagraph"/>
        <w:numPr>
          <w:ilvl w:val="0"/>
          <w:numId w:val="35"/>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Водният сектор остава особено уязвим – водни режими, амортизирана мрежа, недостиг на инвестиции и повишени киберрискове към SCADA/ICS системите.</w:t>
      </w:r>
    </w:p>
    <w:p w14:paraId="7FCF3904" w14:textId="77777777" w:rsidR="00F34426" w:rsidRPr="005F49B3" w:rsidRDefault="00F34426" w:rsidP="00D6403A">
      <w:pPr>
        <w:pStyle w:val="ListParagraph"/>
        <w:numPr>
          <w:ilvl w:val="0"/>
          <w:numId w:val="35"/>
        </w:numPr>
        <w:spacing w:before="120" w:after="120" w:line="276" w:lineRule="auto"/>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lastRenderedPageBreak/>
        <w:t>Управлението на отпадъците и преминаването към кръгова икономика са забавени, с нарастващ натиск върху регионалните депа и риск от екологични инциденти.</w:t>
      </w:r>
    </w:p>
    <w:p w14:paraId="4BCB4A3C" w14:textId="77777777" w:rsidR="00F34426" w:rsidRPr="005F49B3" w:rsidRDefault="00F34426"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През 2024 г. Република България бе изправена пред множество взаимно усилващи се предизвикателства в сферата на защитата на населението, инфраструктурата и околната среда. Отчетените екстремни климатични явления – най-горещото лято от началото на века, редица интензивни пожари и периоди на продължителна суша – разкриха уязвимости в способността за ранно реагиране, ефективна координация между институциите и устойчивост на ключови системи от обществено значение. Съпътстващи процеси като свлачища, </w:t>
      </w:r>
      <w:proofErr w:type="spellStart"/>
      <w:r w:rsidRPr="005F49B3">
        <w:rPr>
          <w:rFonts w:ascii="Times New Roman" w:hAnsi="Times New Roman" w:cs="Times New Roman"/>
          <w:sz w:val="24"/>
          <w:szCs w:val="24"/>
          <w:lang w:eastAsia="bg-BG"/>
        </w:rPr>
        <w:t>абразия</w:t>
      </w:r>
      <w:proofErr w:type="spellEnd"/>
      <w:r w:rsidRPr="005F49B3">
        <w:rPr>
          <w:rFonts w:ascii="Times New Roman" w:hAnsi="Times New Roman" w:cs="Times New Roman"/>
          <w:sz w:val="24"/>
          <w:szCs w:val="24"/>
          <w:lang w:eastAsia="bg-BG"/>
        </w:rPr>
        <w:t xml:space="preserve">, критично намаляване на водните ресурси и затруднения в управлението на отпадъци допълнително </w:t>
      </w:r>
      <w:proofErr w:type="spellStart"/>
      <w:r w:rsidRPr="005F49B3">
        <w:rPr>
          <w:rFonts w:ascii="Times New Roman" w:hAnsi="Times New Roman" w:cs="Times New Roman"/>
          <w:sz w:val="24"/>
          <w:szCs w:val="24"/>
          <w:lang w:eastAsia="bg-BG"/>
        </w:rPr>
        <w:t>обостриха</w:t>
      </w:r>
      <w:proofErr w:type="spellEnd"/>
      <w:r w:rsidRPr="005F49B3">
        <w:rPr>
          <w:rFonts w:ascii="Times New Roman" w:hAnsi="Times New Roman" w:cs="Times New Roman"/>
          <w:sz w:val="24"/>
          <w:szCs w:val="24"/>
          <w:lang w:eastAsia="bg-BG"/>
        </w:rPr>
        <w:t xml:space="preserve"> рисковата среда.</w:t>
      </w:r>
    </w:p>
    <w:p w14:paraId="50EBBC55" w14:textId="090F1B73" w:rsidR="00F34426" w:rsidRPr="005F49B3" w:rsidRDefault="00F34426"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Рисковете за сигурността произтичат както от външни природни фактори, така и от структурни слабости във вътрешната организация на ключови сектори – </w:t>
      </w:r>
      <w:proofErr w:type="spellStart"/>
      <w:r w:rsidRPr="005F49B3">
        <w:rPr>
          <w:rFonts w:ascii="Times New Roman" w:hAnsi="Times New Roman" w:cs="Times New Roman"/>
          <w:sz w:val="24"/>
          <w:szCs w:val="24"/>
          <w:lang w:eastAsia="bg-BG"/>
        </w:rPr>
        <w:t>недофинансиране</w:t>
      </w:r>
      <w:proofErr w:type="spellEnd"/>
      <w:r w:rsidRPr="005F49B3">
        <w:rPr>
          <w:rFonts w:ascii="Times New Roman" w:hAnsi="Times New Roman" w:cs="Times New Roman"/>
          <w:sz w:val="24"/>
          <w:szCs w:val="24"/>
          <w:lang w:eastAsia="bg-BG"/>
        </w:rPr>
        <w:t>, остаряла инфраструктура, фрагментирана отговорност между институциите и ограничен капацитет на местно ниво. Комбинацията от тези елементи увеличава вероятността от системни сривове при възникване на бедствия или извънредни ситуации.</w:t>
      </w:r>
      <w:r w:rsidR="001824B9">
        <w:rPr>
          <w:rFonts w:ascii="Times New Roman" w:hAnsi="Times New Roman" w:cs="Times New Roman"/>
          <w:sz w:val="24"/>
          <w:szCs w:val="24"/>
          <w:lang w:eastAsia="bg-BG"/>
        </w:rPr>
        <w:t xml:space="preserve"> </w:t>
      </w:r>
      <w:r w:rsidR="001824B9" w:rsidRPr="000049C0">
        <w:rPr>
          <w:rFonts w:ascii="Times New Roman" w:hAnsi="Times New Roman" w:cs="Times New Roman"/>
          <w:sz w:val="24"/>
          <w:szCs w:val="24"/>
          <w:lang w:eastAsia="bg-BG"/>
        </w:rPr>
        <w:t>Координацията на политиките за адаптация към изменението на климата е съществена за ограничаване на тези уязвимости, като интегрирането на климатичните рискове следва да бъде системно застъпено във всички секторни стратегии.</w:t>
      </w:r>
    </w:p>
    <w:p w14:paraId="7EA4EF3A" w14:textId="6F7D73B9" w:rsidR="00F34426" w:rsidRPr="005F49B3" w:rsidRDefault="00F34426"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Наред с физическите рискове, се очертават и нови измерения на заплахата – най-вече свързани с киберсигурността на критичната инфраструктура</w:t>
      </w:r>
      <w:r w:rsidR="002F6553">
        <w:rPr>
          <w:rFonts w:ascii="Times New Roman" w:hAnsi="Times New Roman" w:cs="Times New Roman"/>
          <w:sz w:val="24"/>
          <w:szCs w:val="24"/>
          <w:lang w:eastAsia="bg-BG"/>
        </w:rPr>
        <w:t xml:space="preserve"> в </w:t>
      </w:r>
      <w:r w:rsidRPr="005F49B3">
        <w:rPr>
          <w:rFonts w:ascii="Times New Roman" w:hAnsi="Times New Roman" w:cs="Times New Roman"/>
          <w:sz w:val="24"/>
          <w:szCs w:val="24"/>
          <w:lang w:eastAsia="bg-BG"/>
        </w:rPr>
        <w:t xml:space="preserve">сектор </w:t>
      </w:r>
      <w:r w:rsidR="002F6553">
        <w:rPr>
          <w:rFonts w:ascii="Times New Roman" w:hAnsi="Times New Roman" w:cs="Times New Roman"/>
          <w:sz w:val="24"/>
          <w:szCs w:val="24"/>
          <w:lang w:eastAsia="bg-BG"/>
        </w:rPr>
        <w:t>„Околна среда“, по отношение на питейно-битовото</w:t>
      </w:r>
      <w:r w:rsidRPr="005F49B3">
        <w:rPr>
          <w:rFonts w:ascii="Times New Roman" w:hAnsi="Times New Roman" w:cs="Times New Roman"/>
          <w:sz w:val="24"/>
          <w:szCs w:val="24"/>
          <w:lang w:eastAsia="bg-BG"/>
        </w:rPr>
        <w:t xml:space="preserve"> водоснабдяване. Повишената автоматизация и свързаност, съчетани с остарели софтуерни решения, правят системите уязвими на злонамерени кибердействия, включително в контекста на хибридни сценарии.</w:t>
      </w:r>
    </w:p>
    <w:p w14:paraId="187A88EC" w14:textId="38C6E4A4" w:rsidR="00AB3EB8" w:rsidRPr="005F49B3" w:rsidRDefault="00F34426" w:rsidP="00891E30">
      <w:pPr>
        <w:spacing w:after="120"/>
        <w:ind w:firstLine="851"/>
        <w:jc w:val="both"/>
      </w:pPr>
      <w:r w:rsidRPr="005F49B3">
        <w:rPr>
          <w:rFonts w:ascii="Times New Roman" w:hAnsi="Times New Roman" w:cs="Times New Roman"/>
          <w:sz w:val="24"/>
          <w:szCs w:val="24"/>
          <w:lang w:eastAsia="bg-BG"/>
        </w:rPr>
        <w:t>На този фон, 2024 г. бе белязана от предприемането на редица стратегически и оперативни стъпки: усъвършенстване на рамката за управление на риска от бедствия, стартиране на инвестиции в модернизация на пожарна и спасителна техника, въвеждане на системата BG-ALERT за ранно предупреждение, както и реализация на геозащитни проекти. Въпреки това, необходимостта от хоризонтално планиране, междуинституционална координация</w:t>
      </w:r>
      <w:r w:rsidR="00ED3849">
        <w:rPr>
          <w:rFonts w:ascii="Times New Roman" w:hAnsi="Times New Roman" w:cs="Times New Roman"/>
          <w:sz w:val="24"/>
          <w:szCs w:val="24"/>
          <w:lang w:eastAsia="bg-BG"/>
        </w:rPr>
        <w:t xml:space="preserve">, </w:t>
      </w:r>
      <w:r w:rsidRPr="005F49B3">
        <w:rPr>
          <w:rFonts w:ascii="Times New Roman" w:hAnsi="Times New Roman" w:cs="Times New Roman"/>
          <w:sz w:val="24"/>
          <w:szCs w:val="24"/>
          <w:lang w:eastAsia="bg-BG"/>
        </w:rPr>
        <w:t>устойчиво финансиране</w:t>
      </w:r>
      <w:r w:rsidR="00ED3849">
        <w:rPr>
          <w:rFonts w:ascii="Times New Roman" w:hAnsi="Times New Roman" w:cs="Times New Roman"/>
          <w:sz w:val="24"/>
          <w:szCs w:val="24"/>
          <w:lang w:eastAsia="bg-BG"/>
        </w:rPr>
        <w:t xml:space="preserve"> и повишаване на културата на превенция сред населението</w:t>
      </w:r>
      <w:r w:rsidRPr="005F49B3">
        <w:rPr>
          <w:rFonts w:ascii="Times New Roman" w:hAnsi="Times New Roman" w:cs="Times New Roman"/>
          <w:sz w:val="24"/>
          <w:szCs w:val="24"/>
          <w:lang w:eastAsia="bg-BG"/>
        </w:rPr>
        <w:t xml:space="preserve"> остава ключова за преодоляване на идентифицираните дефицити.</w:t>
      </w:r>
    </w:p>
    <w:p w14:paraId="2FE37B29" w14:textId="5F1FB9F2" w:rsidR="00F34426" w:rsidRPr="005F49B3" w:rsidRDefault="00F34426" w:rsidP="00D6403A">
      <w:pPr>
        <w:pStyle w:val="Heading4"/>
        <w:numPr>
          <w:ilvl w:val="0"/>
          <w:numId w:val="40"/>
        </w:numPr>
        <w:spacing w:after="120"/>
        <w:ind w:left="284" w:hanging="284"/>
        <w:jc w:val="center"/>
        <w:rPr>
          <w:rStyle w:val="Strong"/>
          <w:rFonts w:ascii="Times New Roman" w:hAnsi="Times New Roman" w:cs="Times New Roman"/>
          <w:b w:val="0"/>
          <w:bCs w:val="0"/>
          <w:color w:val="auto"/>
          <w:sz w:val="24"/>
          <w:szCs w:val="24"/>
          <w:u w:val="single"/>
        </w:rPr>
      </w:pPr>
      <w:r w:rsidRPr="005F49B3">
        <w:rPr>
          <w:rStyle w:val="Strong"/>
          <w:rFonts w:ascii="Times New Roman" w:hAnsi="Times New Roman" w:cs="Times New Roman"/>
          <w:b w:val="0"/>
          <w:bCs w:val="0"/>
          <w:color w:val="auto"/>
          <w:sz w:val="24"/>
          <w:szCs w:val="24"/>
          <w:u w:val="single"/>
        </w:rPr>
        <w:t xml:space="preserve">Бедствия, пожари и </w:t>
      </w:r>
      <w:r w:rsidR="00331096">
        <w:rPr>
          <w:rStyle w:val="Strong"/>
          <w:rFonts w:ascii="Times New Roman" w:hAnsi="Times New Roman" w:cs="Times New Roman"/>
          <w:b w:val="0"/>
          <w:bCs w:val="0"/>
          <w:color w:val="auto"/>
          <w:sz w:val="24"/>
          <w:szCs w:val="24"/>
          <w:u w:val="single"/>
        </w:rPr>
        <w:t>екстремни климатични явления</w:t>
      </w:r>
    </w:p>
    <w:p w14:paraId="44F89AED" w14:textId="77777777" w:rsidR="00F34426" w:rsidRPr="005F49B3" w:rsidRDefault="00F34426" w:rsidP="00D6403A">
      <w:pPr>
        <w:pStyle w:val="ListParagraph"/>
        <w:numPr>
          <w:ilvl w:val="0"/>
          <w:numId w:val="36"/>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2024 г. бе белязана от рекордни горещини и климатични аномалии, довели до 41 обявени бедствени положения и над 35 000 пожара – сериозен натиск върху капацитета за реагиране.</w:t>
      </w:r>
    </w:p>
    <w:p w14:paraId="105C576F" w14:textId="64CAC880" w:rsidR="00F34426" w:rsidRPr="005F49B3" w:rsidRDefault="00F34426" w:rsidP="00D6403A">
      <w:pPr>
        <w:pStyle w:val="ListParagraph"/>
        <w:numPr>
          <w:ilvl w:val="0"/>
          <w:numId w:val="36"/>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 xml:space="preserve">Въведена бе в експлоатация системата BG-ALERT, използвана при реални инциденти, но едва 87 кметове и 6 областни управители </w:t>
      </w:r>
      <w:r w:rsidR="00CC12BF">
        <w:rPr>
          <w:rFonts w:ascii="Times New Roman" w:hAnsi="Times New Roman" w:cs="Times New Roman"/>
          <w:b/>
          <w:sz w:val="24"/>
          <w:szCs w:val="24"/>
        </w:rPr>
        <w:t xml:space="preserve">са заявили право да я ползват. </w:t>
      </w:r>
    </w:p>
    <w:p w14:paraId="4192EEED" w14:textId="217D9B07" w:rsidR="00F34426" w:rsidRPr="005F49B3" w:rsidRDefault="00F34426" w:rsidP="00D6403A">
      <w:pPr>
        <w:pStyle w:val="ListParagraph"/>
        <w:numPr>
          <w:ilvl w:val="0"/>
          <w:numId w:val="36"/>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Доброволните формирования и междуинституционалната координация се утвърдиха като ключови елементи на оперативната готовност</w:t>
      </w:r>
      <w:r w:rsidR="00CC12BF">
        <w:rPr>
          <w:rFonts w:ascii="Times New Roman" w:hAnsi="Times New Roman" w:cs="Times New Roman"/>
          <w:b/>
          <w:sz w:val="24"/>
          <w:szCs w:val="24"/>
        </w:rPr>
        <w:t>.</w:t>
      </w:r>
    </w:p>
    <w:p w14:paraId="3CE4DD61" w14:textId="77777777"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lastRenderedPageBreak/>
        <w:t>През 2024 г. Република България бе изправена пред едно от най-екстремните лета в началото на XXI век – с рекордни температури и продължителни сухи периоди, допълнително влошаващи риска от пожари и други климатично обусловени бедствия. Отчетената средна сезонна температура през лятото надхвърли климатичните норми, като месец юни бе най-топлият от 1930 г. насам. Това доведе до рязко нарастване на броя на пожарите, активиране на свлачища и влошаване на условията за водоснабдяване.</w:t>
      </w:r>
    </w:p>
    <w:p w14:paraId="330D9F91" w14:textId="2C98F399"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През 2024 г. на територията на страната бяха обявени 41 бедствени положения – значително увеличение спрямо предходни години. Най-често срещаните причини са пожари, воден режим и наводнения, но се наблюдава и разнообразие на заплахите – вкл. нахлуване на марокански скакалци и екстремни метеорологични явления като градушки. Главна дирекция „Пожарна безопасност и защита на населението“ отчете над 48 000 произшествия, от които над 35 000 са пожари, а над 12 000 – спасителни операции.</w:t>
      </w:r>
      <w:r w:rsidR="001824B9">
        <w:rPr>
          <w:rFonts w:ascii="Times New Roman" w:hAnsi="Times New Roman" w:cs="Times New Roman"/>
          <w:sz w:val="24"/>
          <w:szCs w:val="24"/>
          <w:lang w:eastAsia="bg-BG"/>
        </w:rPr>
        <w:t xml:space="preserve"> </w:t>
      </w:r>
      <w:r w:rsidR="001824B9" w:rsidRPr="00046FD4">
        <w:rPr>
          <w:rFonts w:ascii="Times New Roman" w:hAnsi="Times New Roman" w:cs="Times New Roman"/>
          <w:sz w:val="24"/>
          <w:szCs w:val="24"/>
          <w:lang w:eastAsia="bg-BG"/>
        </w:rPr>
        <w:t xml:space="preserve">Посочените климатични аномалии и бедствия потвърждават необходимостта от </w:t>
      </w:r>
      <w:r w:rsidR="001824B9">
        <w:rPr>
          <w:rFonts w:ascii="Times New Roman" w:hAnsi="Times New Roman" w:cs="Times New Roman"/>
          <w:sz w:val="24"/>
          <w:szCs w:val="24"/>
          <w:lang w:eastAsia="bg-BG"/>
        </w:rPr>
        <w:t xml:space="preserve">съдействие за </w:t>
      </w:r>
      <w:r w:rsidR="001824B9" w:rsidRPr="00046FD4">
        <w:rPr>
          <w:rFonts w:ascii="Times New Roman" w:hAnsi="Times New Roman" w:cs="Times New Roman"/>
          <w:sz w:val="24"/>
          <w:szCs w:val="24"/>
          <w:lang w:eastAsia="bg-BG"/>
        </w:rPr>
        <w:t>ускорено прилагане на Националния план за действие за адаптация</w:t>
      </w:r>
      <w:r w:rsidR="001824B9">
        <w:rPr>
          <w:rFonts w:ascii="Times New Roman" w:hAnsi="Times New Roman" w:cs="Times New Roman"/>
          <w:sz w:val="24"/>
          <w:szCs w:val="24"/>
          <w:lang w:eastAsia="bg-BG"/>
        </w:rPr>
        <w:t xml:space="preserve"> към изменението на климата</w:t>
      </w:r>
      <w:r w:rsidR="001824B9" w:rsidRPr="00046FD4">
        <w:rPr>
          <w:rFonts w:ascii="Times New Roman" w:hAnsi="Times New Roman" w:cs="Times New Roman"/>
          <w:sz w:val="24"/>
          <w:szCs w:val="24"/>
          <w:lang w:eastAsia="bg-BG"/>
        </w:rPr>
        <w:t>,</w:t>
      </w:r>
      <w:r w:rsidR="001824B9">
        <w:rPr>
          <w:rFonts w:ascii="Times New Roman" w:hAnsi="Times New Roman" w:cs="Times New Roman"/>
          <w:sz w:val="24"/>
          <w:szCs w:val="24"/>
          <w:lang w:eastAsia="bg-BG"/>
        </w:rPr>
        <w:t xml:space="preserve"> част от Националната стратегия,</w:t>
      </w:r>
      <w:r w:rsidR="001824B9" w:rsidRPr="00046FD4">
        <w:rPr>
          <w:rFonts w:ascii="Times New Roman" w:hAnsi="Times New Roman" w:cs="Times New Roman"/>
          <w:sz w:val="24"/>
          <w:szCs w:val="24"/>
          <w:lang w:eastAsia="bg-BG"/>
        </w:rPr>
        <w:t xml:space="preserve"> с фокус върху превенцията и устойчивото финансиране, а не само върху реакцията при бедствия.</w:t>
      </w:r>
    </w:p>
    <w:p w14:paraId="7B297013" w14:textId="7008F4A6" w:rsidR="005D6905" w:rsidRDefault="00F34426" w:rsidP="005D6905">
      <w:pPr>
        <w:spacing w:after="120"/>
        <w:ind w:firstLine="851"/>
        <w:jc w:val="both"/>
        <w:rPr>
          <w:rFonts w:ascii="Times New Roman" w:hAnsi="Times New Roman" w:cs="Times New Roman"/>
          <w:sz w:val="24"/>
          <w:szCs w:val="24"/>
          <w:lang w:eastAsia="bg-BG"/>
        </w:rPr>
      </w:pPr>
      <w:r w:rsidRPr="005D6905">
        <w:rPr>
          <w:rFonts w:ascii="Times New Roman" w:hAnsi="Times New Roman" w:cs="Times New Roman"/>
          <w:sz w:val="24"/>
          <w:szCs w:val="24"/>
          <w:lang w:eastAsia="bg-BG"/>
        </w:rPr>
        <w:t>С оглед увеличената честота на кризисни ситуации и необходимостта от повишена координация, през 2024 г. се активираха редица стратегически и оперативни мерки, включително изграждането на интегрирана система за ранно предупреждение – BG-ALERT</w:t>
      </w:r>
      <w:r w:rsidR="005D6905">
        <w:rPr>
          <w:rFonts w:ascii="Times New Roman" w:hAnsi="Times New Roman" w:cs="Times New Roman"/>
          <w:sz w:val="24"/>
          <w:szCs w:val="24"/>
          <w:lang w:eastAsia="bg-BG"/>
        </w:rPr>
        <w:t xml:space="preserve">. </w:t>
      </w:r>
      <w:r w:rsidR="005D6905" w:rsidRPr="005F49B3">
        <w:rPr>
          <w:rFonts w:ascii="Times New Roman" w:hAnsi="Times New Roman" w:cs="Times New Roman"/>
          <w:sz w:val="24"/>
          <w:szCs w:val="24"/>
          <w:lang w:eastAsia="bg-BG"/>
        </w:rPr>
        <w:t>Системата бе въведена в редовна експлоатация чрез приета наредба и през 2024 г. бе използвана три пъти при реални пожари. Проведени са 13 обучения за длъжностни лица от общински и областни администрации с цел оперативно използване на системата.</w:t>
      </w:r>
      <w:r w:rsidR="005D6905" w:rsidRPr="005D6905">
        <w:rPr>
          <w:rFonts w:ascii="Times New Roman" w:hAnsi="Times New Roman" w:cs="Times New Roman"/>
          <w:sz w:val="24"/>
          <w:szCs w:val="24"/>
          <w:lang w:eastAsia="bg-BG"/>
        </w:rPr>
        <w:t xml:space="preserve"> Към края на 2024 г. едва 87 кметове и 6 областни управители са заявили използване на системата BG-ALERT, което ограничава нейния потенциален обхват и въздействие.</w:t>
      </w:r>
    </w:p>
    <w:p w14:paraId="5254FFDD" w14:textId="77777777" w:rsidR="005D6905" w:rsidRDefault="005D6905" w:rsidP="005D6905">
      <w:pPr>
        <w:spacing w:after="120"/>
        <w:ind w:firstLine="851"/>
        <w:jc w:val="both"/>
        <w:rPr>
          <w:rFonts w:ascii="Times New Roman" w:hAnsi="Times New Roman" w:cs="Times New Roman"/>
          <w:sz w:val="24"/>
          <w:szCs w:val="24"/>
          <w:lang w:eastAsia="bg-BG"/>
        </w:rPr>
      </w:pPr>
      <w:r w:rsidRPr="005D6905">
        <w:rPr>
          <w:rFonts w:ascii="Times New Roman" w:hAnsi="Times New Roman" w:cs="Times New Roman"/>
          <w:sz w:val="24"/>
          <w:szCs w:val="24"/>
          <w:lang w:eastAsia="bg-BG"/>
        </w:rPr>
        <w:t xml:space="preserve">Съществуващите механизми за предупреждение и комуникация с населението се усъвършенстват, но тяхната ефективност зависи от активното участие на местната власт и навременната координация между институциите. </w:t>
      </w:r>
    </w:p>
    <w:p w14:paraId="5A9858D6" w14:textId="66A12A07"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Най-съществените рискове за националната сигурност произтичат от нарастващата честота и интензивност на бедствия</w:t>
      </w:r>
      <w:r w:rsidR="009A756A">
        <w:rPr>
          <w:rFonts w:ascii="Times New Roman" w:hAnsi="Times New Roman" w:cs="Times New Roman"/>
          <w:sz w:val="24"/>
          <w:szCs w:val="24"/>
          <w:lang w:eastAsia="bg-BG"/>
        </w:rPr>
        <w:t>та</w:t>
      </w:r>
      <w:r w:rsidRPr="005F49B3">
        <w:rPr>
          <w:rFonts w:ascii="Times New Roman" w:hAnsi="Times New Roman" w:cs="Times New Roman"/>
          <w:sz w:val="24"/>
          <w:szCs w:val="24"/>
          <w:lang w:eastAsia="bg-BG"/>
        </w:rPr>
        <w:t>, свързани с климатични фактори, човешки действия и уязвима инфраструктура. Отчетеното увеличение на броя на пожарите с 4,3% спрямо 2023 г., както и големият брой бедствени положения, свидетелстват за системен натиск върху способностите за превенция, реагиране и възстановяване. Високите температури, съчетани с небрежност и нерегламентирани дейности в горски и земеделски територии, създават условия за бързо разрастване на огнища, често в труднодостъпни райони.</w:t>
      </w:r>
    </w:p>
    <w:p w14:paraId="2194E622" w14:textId="77777777"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Недостатъчното финансиране и остарялото техническо оборудване продължават да бъдат ограничаващи фактори в капацитета на пожарните служби. Макар да съществуват планове и проекти за модернизация, голяма част от придобиването на техника и оборудване разчита на европейски програми и се намира в различни етапи на процедурно изпълнение. При това, в условията на повишена климатична променливост, съществува траен риск от претоварване на системите за реагиране и недостиг на ресурси за пълноценна намеса в пикови периоди.</w:t>
      </w:r>
    </w:p>
    <w:p w14:paraId="76FD30CA" w14:textId="795F78BD" w:rsidR="00A457E8"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lastRenderedPageBreak/>
        <w:t xml:space="preserve">В отговор на утежнената оперативна среда бяха предприети редица стратегически и тактически действия. </w:t>
      </w:r>
      <w:r w:rsidRPr="005A1F3B">
        <w:rPr>
          <w:rFonts w:ascii="Times New Roman" w:hAnsi="Times New Roman" w:cs="Times New Roman"/>
          <w:sz w:val="24"/>
          <w:szCs w:val="24"/>
          <w:lang w:eastAsia="bg-BG"/>
        </w:rPr>
        <w:t>На национално ниво бе утвърден годишният план за изпълнение на Националната програма за намаляване на риска от бедствия 2021–2025 г., както и годишен план за развитие на доброволните формирования. Към края на 2024 г. в страната функционират 248 формирования с над 3400 доброволци</w:t>
      </w:r>
      <w:r w:rsidRPr="005F49B3">
        <w:rPr>
          <w:rFonts w:ascii="Times New Roman" w:hAnsi="Times New Roman" w:cs="Times New Roman"/>
          <w:sz w:val="24"/>
          <w:szCs w:val="24"/>
          <w:lang w:eastAsia="bg-BG"/>
        </w:rPr>
        <w:t xml:space="preserve"> към общините и 24 формирования към юридически лица. </w:t>
      </w:r>
      <w:r w:rsidR="00A457E8" w:rsidRPr="00A457E8">
        <w:rPr>
          <w:rFonts w:ascii="Times New Roman" w:hAnsi="Times New Roman" w:cs="Times New Roman"/>
          <w:sz w:val="24"/>
          <w:szCs w:val="24"/>
          <w:lang w:eastAsia="bg-BG"/>
        </w:rPr>
        <w:t>Продължиха съвместните тренировки и учения на териториалните звена за пожарна безопасност и защита на населението, включително такива по противодействие на тероризъм и радиационни инциденти.</w:t>
      </w:r>
    </w:p>
    <w:p w14:paraId="08EFA90B" w14:textId="77777777"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рамките на Програма „Околна среда“ 2021–2027 г. бе стартиран проект за модернизация на структурните звена на ГДПБЗН, с предвидено придобиване на над 250 пожарни автомобила от различен клас, 67 мобилни системи за гасене на горски пожари и 6000 комплекта лични предпазни средства. В началото на 2024 г. бе утвърден план за взаимодействие между ГДПБЗН и Изпълнителна агенция по горите, насочен към координация при пожари в горски територии.</w:t>
      </w:r>
    </w:p>
    <w:p w14:paraId="6D34B481" w14:textId="74A9170A"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Продължи сътрудничеството между МВР и </w:t>
      </w:r>
      <w:r w:rsidR="005A1F3B">
        <w:rPr>
          <w:rFonts w:ascii="Times New Roman" w:hAnsi="Times New Roman" w:cs="Times New Roman"/>
          <w:sz w:val="24"/>
          <w:szCs w:val="24"/>
          <w:lang w:eastAsia="bg-BG"/>
        </w:rPr>
        <w:t>МО</w:t>
      </w:r>
      <w:r w:rsidRPr="005F49B3">
        <w:rPr>
          <w:rFonts w:ascii="Times New Roman" w:hAnsi="Times New Roman" w:cs="Times New Roman"/>
          <w:sz w:val="24"/>
          <w:szCs w:val="24"/>
          <w:lang w:eastAsia="bg-BG"/>
        </w:rPr>
        <w:t xml:space="preserve"> за използване на въздушна техника при пожарогасене и разузнаване, като 23 служители на МВР преминаха обучение в авиобаза Крумово. Проведени бяха и национални учения, свързани с отработване на сценарии по бедствия и външни аварии.</w:t>
      </w:r>
    </w:p>
    <w:p w14:paraId="3F3602E0" w14:textId="77777777" w:rsidR="00A457E8" w:rsidRPr="005F49B3" w:rsidRDefault="00A457E8" w:rsidP="00A457E8">
      <w:pPr>
        <w:spacing w:after="120"/>
        <w:ind w:firstLine="851"/>
        <w:jc w:val="both"/>
        <w:rPr>
          <w:rFonts w:ascii="Times New Roman" w:hAnsi="Times New Roman" w:cs="Times New Roman"/>
          <w:sz w:val="24"/>
          <w:szCs w:val="24"/>
          <w:lang w:eastAsia="bg-BG"/>
        </w:rPr>
      </w:pPr>
      <w:r w:rsidRPr="00D526A5">
        <w:rPr>
          <w:rFonts w:ascii="Times New Roman" w:hAnsi="Times New Roman" w:cs="Times New Roman"/>
          <w:sz w:val="24"/>
          <w:szCs w:val="24"/>
          <w:lang w:eastAsia="bg-BG"/>
        </w:rPr>
        <w:t xml:space="preserve">За повишаване на ефективността на системата </w:t>
      </w:r>
      <w:r>
        <w:rPr>
          <w:rFonts w:ascii="Times New Roman" w:hAnsi="Times New Roman" w:cs="Times New Roman"/>
          <w:sz w:val="24"/>
          <w:szCs w:val="24"/>
          <w:lang w:eastAsia="bg-BG"/>
        </w:rPr>
        <w:t xml:space="preserve">за </w:t>
      </w:r>
      <w:r w:rsidRPr="00D526A5">
        <w:rPr>
          <w:rFonts w:ascii="Times New Roman" w:hAnsi="Times New Roman" w:cs="Times New Roman"/>
          <w:sz w:val="24"/>
          <w:szCs w:val="24"/>
          <w:lang w:eastAsia="bg-BG"/>
        </w:rPr>
        <w:t xml:space="preserve">защита при бедствия е необходимо по-активно включване на всички областни и общински администрации в използването </w:t>
      </w:r>
      <w:r>
        <w:rPr>
          <w:rFonts w:ascii="Times New Roman" w:hAnsi="Times New Roman" w:cs="Times New Roman"/>
          <w:sz w:val="24"/>
          <w:szCs w:val="24"/>
          <w:lang w:eastAsia="bg-BG"/>
        </w:rPr>
        <w:t xml:space="preserve">на системата BG-ALERT. </w:t>
      </w:r>
      <w:r w:rsidRPr="005F49B3">
        <w:rPr>
          <w:rFonts w:ascii="Times New Roman" w:hAnsi="Times New Roman" w:cs="Times New Roman"/>
          <w:sz w:val="24"/>
          <w:szCs w:val="24"/>
          <w:lang w:eastAsia="bg-BG"/>
        </w:rPr>
        <w:t>Препоръчва се устойчиво бюджетиране на системите за ранно предупреждение и пожарна безопасност, така че стратегическите проекти за модернизация да не зависят изцяло от европейско финансиране, а да се гарантира предвидимост и оперативност.</w:t>
      </w:r>
    </w:p>
    <w:p w14:paraId="16192392" w14:textId="77777777" w:rsidR="00A457E8" w:rsidRPr="005F49B3" w:rsidRDefault="00A457E8" w:rsidP="00A457E8">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 Необходимо е да се укрепи вертикалната и хоризонталната координация между институциите, ангажирани с управлението на риска – от стратегическо планиране до теренни действия. В условията на повишена климатична нестабилност, е от ключово значение изграждането на многослойна система за устойчивост, основана на превенция, адекватно реагиране и ефективно възстановяване.</w:t>
      </w:r>
    </w:p>
    <w:p w14:paraId="201BB0DE" w14:textId="233835FE" w:rsidR="00F34426" w:rsidRPr="005F49B3" w:rsidRDefault="00783194" w:rsidP="00D6403A">
      <w:pPr>
        <w:pStyle w:val="Heading4"/>
        <w:numPr>
          <w:ilvl w:val="0"/>
          <w:numId w:val="40"/>
        </w:numPr>
        <w:spacing w:after="120"/>
        <w:ind w:left="284" w:hanging="284"/>
        <w:jc w:val="center"/>
        <w:rPr>
          <w:rStyle w:val="Strong"/>
          <w:rFonts w:ascii="Times New Roman" w:hAnsi="Times New Roman" w:cs="Times New Roman"/>
          <w:b w:val="0"/>
          <w:bCs w:val="0"/>
          <w:color w:val="auto"/>
          <w:sz w:val="24"/>
          <w:szCs w:val="24"/>
          <w:u w:val="single"/>
        </w:rPr>
      </w:pPr>
      <w:r>
        <w:rPr>
          <w:rStyle w:val="Strong"/>
          <w:rFonts w:ascii="Times New Roman" w:hAnsi="Times New Roman" w:cs="Times New Roman"/>
          <w:b w:val="0"/>
          <w:bCs w:val="0"/>
          <w:color w:val="auto"/>
          <w:sz w:val="24"/>
          <w:szCs w:val="24"/>
          <w:u w:val="single"/>
        </w:rPr>
        <w:t>Отрасъл</w:t>
      </w:r>
      <w:r w:rsidR="00F34426" w:rsidRPr="005F49B3">
        <w:rPr>
          <w:rStyle w:val="Strong"/>
          <w:rFonts w:ascii="Times New Roman" w:hAnsi="Times New Roman" w:cs="Times New Roman"/>
          <w:b w:val="0"/>
          <w:bCs w:val="0"/>
          <w:color w:val="auto"/>
          <w:sz w:val="24"/>
          <w:szCs w:val="24"/>
          <w:u w:val="single"/>
        </w:rPr>
        <w:t xml:space="preserve"> „Водоснабдяване и канализация“</w:t>
      </w:r>
    </w:p>
    <w:p w14:paraId="615D044C" w14:textId="77777777" w:rsidR="00F34426" w:rsidRPr="005F49B3" w:rsidRDefault="00F34426" w:rsidP="00D6403A">
      <w:pPr>
        <w:pStyle w:val="ListParagraph"/>
        <w:numPr>
          <w:ilvl w:val="0"/>
          <w:numId w:val="37"/>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Водният дефицит и сушата през 2024 г. доведоха до водни режими в десетки населени места, включително областни центрове, на фона на амортизирана мрежа и високи загуби.</w:t>
      </w:r>
    </w:p>
    <w:p w14:paraId="487AB4AC" w14:textId="77777777" w:rsidR="00F34426" w:rsidRPr="005F49B3" w:rsidRDefault="00F34426" w:rsidP="00D6403A">
      <w:pPr>
        <w:pStyle w:val="ListParagraph"/>
        <w:numPr>
          <w:ilvl w:val="0"/>
          <w:numId w:val="37"/>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Киберсигурността на ВиК системите се очерта като високорисков компонент, с уязвими SCADA/ICS системи и необходимост от бърза технологична подмяна и институционална координация.</w:t>
      </w:r>
    </w:p>
    <w:p w14:paraId="7CCC9076" w14:textId="1653AAAF" w:rsidR="00F34426" w:rsidRPr="005F49B3" w:rsidRDefault="00F34426" w:rsidP="000D4CFC">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rPr>
        <w:t>П</w:t>
      </w:r>
      <w:r w:rsidRPr="005F49B3">
        <w:rPr>
          <w:rFonts w:ascii="Times New Roman" w:hAnsi="Times New Roman" w:cs="Times New Roman"/>
          <w:sz w:val="24"/>
          <w:szCs w:val="24"/>
          <w:lang w:eastAsia="bg-BG"/>
        </w:rPr>
        <w:t xml:space="preserve">рез 2023–2024 г. ВиК </w:t>
      </w:r>
      <w:r w:rsidR="00783194">
        <w:rPr>
          <w:rFonts w:ascii="Times New Roman" w:hAnsi="Times New Roman" w:cs="Times New Roman"/>
          <w:sz w:val="24"/>
          <w:szCs w:val="24"/>
          <w:lang w:eastAsia="bg-BG"/>
        </w:rPr>
        <w:t>отрасълът</w:t>
      </w:r>
      <w:r w:rsidRPr="005F49B3">
        <w:rPr>
          <w:rFonts w:ascii="Times New Roman" w:hAnsi="Times New Roman" w:cs="Times New Roman"/>
          <w:sz w:val="24"/>
          <w:szCs w:val="24"/>
          <w:lang w:eastAsia="bg-BG"/>
        </w:rPr>
        <w:t xml:space="preserve"> в Република България продължава да бъде изправен пред сериозни структурни и системни предизвикателства, застрашаващи сигурността на водоснабдяването, качеството на услугите и устойчивостта на инфраструктурата. Състоянието на водопреносната мрежа остава силно амортизирано, с високи нива на техническа загуба на вода. Финансовите ограничения на сектора допълнително затрудняват изпълнението на инвестиционни проекти, поддържането и </w:t>
      </w:r>
      <w:r w:rsidRPr="005F49B3">
        <w:rPr>
          <w:rFonts w:ascii="Times New Roman" w:hAnsi="Times New Roman" w:cs="Times New Roman"/>
          <w:sz w:val="24"/>
          <w:szCs w:val="24"/>
          <w:lang w:eastAsia="bg-BG"/>
        </w:rPr>
        <w:lastRenderedPageBreak/>
        <w:t>модернизацията на съществуващата инфраструктура, както и постигането на съответствие с европейските екологични директиви.</w:t>
      </w:r>
    </w:p>
    <w:p w14:paraId="4ECF0391" w14:textId="77777777"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Успоредно с това, се идентифицира и нововъзникнал, с висок потенциал за въздействие, риск </w:t>
      </w:r>
      <w:r w:rsidRPr="00783194">
        <w:rPr>
          <w:rFonts w:ascii="Times New Roman" w:hAnsi="Times New Roman" w:cs="Times New Roman"/>
          <w:sz w:val="24"/>
          <w:szCs w:val="24"/>
          <w:lang w:eastAsia="bg-BG"/>
        </w:rPr>
        <w:t>– киберзаплахи към критичната ВиК инфраструктура.</w:t>
      </w:r>
      <w:r w:rsidRPr="005F49B3">
        <w:rPr>
          <w:rFonts w:ascii="Times New Roman" w:hAnsi="Times New Roman" w:cs="Times New Roman"/>
          <w:sz w:val="24"/>
          <w:szCs w:val="24"/>
          <w:lang w:eastAsia="bg-BG"/>
        </w:rPr>
        <w:t xml:space="preserve"> Повишената автоматизация, свързаност и използването на остарели компоненти без поддръжка превръщат ВиК системите в потенциална мишена за злонамерени действия, включително в контекста на хибридни заплахи.</w:t>
      </w:r>
    </w:p>
    <w:p w14:paraId="658035A4" w14:textId="77777777" w:rsidR="007B5F94" w:rsidRPr="005F49B3" w:rsidRDefault="007B5F94" w:rsidP="007B5F94">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Основните заплахи за </w:t>
      </w:r>
      <w:r>
        <w:rPr>
          <w:rFonts w:ascii="Times New Roman" w:hAnsi="Times New Roman" w:cs="Times New Roman"/>
          <w:sz w:val="24"/>
          <w:szCs w:val="24"/>
          <w:lang w:eastAsia="bg-BG"/>
        </w:rPr>
        <w:t>отрасъла</w:t>
      </w:r>
      <w:r w:rsidRPr="005F49B3">
        <w:rPr>
          <w:rFonts w:ascii="Times New Roman" w:hAnsi="Times New Roman" w:cs="Times New Roman"/>
          <w:sz w:val="24"/>
          <w:szCs w:val="24"/>
          <w:lang w:eastAsia="bg-BG"/>
        </w:rPr>
        <w:t xml:space="preserve"> включват недостиг</w:t>
      </w:r>
      <w:r>
        <w:rPr>
          <w:rFonts w:ascii="Times New Roman" w:hAnsi="Times New Roman" w:cs="Times New Roman"/>
          <w:sz w:val="24"/>
          <w:szCs w:val="24"/>
          <w:lang w:eastAsia="bg-BG"/>
        </w:rPr>
        <w:t>а</w:t>
      </w:r>
      <w:r w:rsidRPr="005F49B3">
        <w:rPr>
          <w:rFonts w:ascii="Times New Roman" w:hAnsi="Times New Roman" w:cs="Times New Roman"/>
          <w:sz w:val="24"/>
          <w:szCs w:val="24"/>
          <w:lang w:eastAsia="bg-BG"/>
        </w:rPr>
        <w:t xml:space="preserve"> на водни ресурси</w:t>
      </w:r>
      <w:r>
        <w:rPr>
          <w:rFonts w:ascii="Times New Roman" w:hAnsi="Times New Roman" w:cs="Times New Roman"/>
          <w:sz w:val="24"/>
          <w:szCs w:val="24"/>
          <w:lang w:eastAsia="bg-BG"/>
        </w:rPr>
        <w:t>, една от причините за който са климатичните промените</w:t>
      </w:r>
      <w:r w:rsidRPr="006A180A">
        <w:rPr>
          <w:rFonts w:ascii="Times New Roman" w:hAnsi="Times New Roman" w:cs="Times New Roman"/>
          <w:sz w:val="24"/>
          <w:szCs w:val="24"/>
          <w:lang w:eastAsia="bg-BG"/>
        </w:rPr>
        <w:t>, ограничената възможност за регулиране на водоподаването в отделни населени места, л</w:t>
      </w:r>
      <w:r w:rsidRPr="005F49B3">
        <w:rPr>
          <w:rFonts w:ascii="Times New Roman" w:hAnsi="Times New Roman" w:cs="Times New Roman"/>
          <w:sz w:val="24"/>
          <w:szCs w:val="24"/>
          <w:lang w:eastAsia="bg-BG"/>
        </w:rPr>
        <w:t xml:space="preserve">ипсата на интегрирано планиране </w:t>
      </w:r>
      <w:r>
        <w:rPr>
          <w:rFonts w:ascii="Times New Roman" w:hAnsi="Times New Roman" w:cs="Times New Roman"/>
          <w:sz w:val="24"/>
          <w:szCs w:val="24"/>
          <w:lang w:eastAsia="bg-BG"/>
        </w:rPr>
        <w:t xml:space="preserve">за територията на цялата страна </w:t>
      </w:r>
      <w:r w:rsidRPr="005F49B3">
        <w:rPr>
          <w:rFonts w:ascii="Times New Roman" w:hAnsi="Times New Roman" w:cs="Times New Roman"/>
          <w:sz w:val="24"/>
          <w:szCs w:val="24"/>
          <w:lang w:eastAsia="bg-BG"/>
        </w:rPr>
        <w:t>и недофинансираната инфраструктура. Голям брой населени места са обект на режимно водоснабдяване</w:t>
      </w:r>
      <w:r>
        <w:rPr>
          <w:rFonts w:ascii="Times New Roman" w:hAnsi="Times New Roman" w:cs="Times New Roman"/>
          <w:sz w:val="24"/>
          <w:szCs w:val="24"/>
          <w:lang w:eastAsia="bg-BG"/>
        </w:rPr>
        <w:t>, като з</w:t>
      </w:r>
      <w:r w:rsidRPr="005F49B3">
        <w:rPr>
          <w:rFonts w:ascii="Times New Roman" w:hAnsi="Times New Roman" w:cs="Times New Roman"/>
          <w:sz w:val="24"/>
          <w:szCs w:val="24"/>
          <w:lang w:eastAsia="bg-BG"/>
        </w:rPr>
        <w:t>агубите на вода поради техническо състояние на мрежата остават трайно високи, а усилията за преодоляването им срещат кадрови, административни и финансови затруднения.</w:t>
      </w:r>
    </w:p>
    <w:p w14:paraId="099CCD52" w14:textId="48486FF5"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Киберсигурността във ВиК </w:t>
      </w:r>
      <w:r w:rsidR="00783194">
        <w:rPr>
          <w:rFonts w:ascii="Times New Roman" w:hAnsi="Times New Roman" w:cs="Times New Roman"/>
          <w:sz w:val="24"/>
          <w:szCs w:val="24"/>
          <w:lang w:eastAsia="bg-BG"/>
        </w:rPr>
        <w:t>отрасъла</w:t>
      </w:r>
      <w:r w:rsidRPr="005F49B3">
        <w:rPr>
          <w:rFonts w:ascii="Times New Roman" w:hAnsi="Times New Roman" w:cs="Times New Roman"/>
          <w:sz w:val="24"/>
          <w:szCs w:val="24"/>
          <w:lang w:eastAsia="bg-BG"/>
        </w:rPr>
        <w:t xml:space="preserve"> се очертава като особено уязвим компонент. Автоматизирани системи за управление и контрол (SCADA, ICS) работят с остарели или неподдържани технологии, което повишава риска от проникване, саботаж, кражба на данни или предизвикване на реални повреди в системите за доставка на питейна вода. Киберзаплахите могат да доведат до прекъсване на водоснабдяването, замърсяване, загуба на обществено доверие и материални щети. Наблюдава се потенциал за комбинирани – физически и </w:t>
      </w:r>
      <w:proofErr w:type="spellStart"/>
      <w:r w:rsidRPr="005F49B3">
        <w:rPr>
          <w:rFonts w:ascii="Times New Roman" w:hAnsi="Times New Roman" w:cs="Times New Roman"/>
          <w:sz w:val="24"/>
          <w:szCs w:val="24"/>
          <w:lang w:eastAsia="bg-BG"/>
        </w:rPr>
        <w:t>кибер</w:t>
      </w:r>
      <w:proofErr w:type="spellEnd"/>
      <w:r w:rsidRPr="005F49B3">
        <w:rPr>
          <w:rFonts w:ascii="Times New Roman" w:hAnsi="Times New Roman" w:cs="Times New Roman"/>
          <w:sz w:val="24"/>
          <w:szCs w:val="24"/>
          <w:lang w:eastAsia="bg-BG"/>
        </w:rPr>
        <w:t xml:space="preserve"> – атаки, насочени срещу критични обекти от ВиК инфраструктурата.</w:t>
      </w:r>
    </w:p>
    <w:p w14:paraId="5F7D7D28" w14:textId="77777777"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В отговор на установените рискове през 2023–2024 г. бяха осигурени средства от държавния бюджет за </w:t>
      </w:r>
      <w:proofErr w:type="spellStart"/>
      <w:r w:rsidRPr="005F49B3">
        <w:rPr>
          <w:rFonts w:ascii="Times New Roman" w:hAnsi="Times New Roman" w:cs="Times New Roman"/>
          <w:sz w:val="24"/>
          <w:szCs w:val="24"/>
          <w:lang w:eastAsia="bg-BG"/>
        </w:rPr>
        <w:t>дофинансиране</w:t>
      </w:r>
      <w:proofErr w:type="spellEnd"/>
      <w:r w:rsidRPr="005F49B3">
        <w:rPr>
          <w:rFonts w:ascii="Times New Roman" w:hAnsi="Times New Roman" w:cs="Times New Roman"/>
          <w:sz w:val="24"/>
          <w:szCs w:val="24"/>
          <w:lang w:eastAsia="bg-BG"/>
        </w:rPr>
        <w:t xml:space="preserve"> на публичната ВиК инфраструктура, включително за реконструкция на довеждащи водопроводи и реализация на нови проекти за питейно-битово водоснабдяване. Проведени са геоложки проучвания и са предприети действия по включване на алтернативни водоизточници с цел осигуряване на допълнителен дебит в засегнатите региони. Ограничено е отклоняването на питейна вода за други цели, засилен е контролът срещу нерегламентирано потребление и са разработени аварийни мерки за засушените територии.</w:t>
      </w:r>
    </w:p>
    <w:p w14:paraId="6C37547A" w14:textId="3707FDE3"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областта на канализацията и пречистването се изпълняват проекти за доизграждане и модернизация на пречиствателни станции и канализационни мрежи</w:t>
      </w:r>
      <w:r w:rsidR="000D4CFC">
        <w:rPr>
          <w:rFonts w:ascii="Times New Roman" w:hAnsi="Times New Roman" w:cs="Times New Roman"/>
          <w:sz w:val="24"/>
          <w:szCs w:val="24"/>
          <w:lang w:eastAsia="bg-BG"/>
        </w:rPr>
        <w:t>.</w:t>
      </w:r>
      <w:r w:rsidRPr="005F49B3">
        <w:rPr>
          <w:rFonts w:ascii="Times New Roman" w:hAnsi="Times New Roman" w:cs="Times New Roman"/>
          <w:sz w:val="24"/>
          <w:szCs w:val="24"/>
          <w:lang w:eastAsia="bg-BG"/>
        </w:rPr>
        <w:t xml:space="preserve"> Местните власти и ВиК операторите прилагат защитни мерки в контекста на бедствия, като разработват и актуализират аварийни планове, в съответствие със задълженията им по Закона за водите и договорите с асоциациите по ВиК.</w:t>
      </w:r>
    </w:p>
    <w:p w14:paraId="21B0AA35" w14:textId="112032D3"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По линия на киберсигурността са извършени прегледи на риска и са определени ключови уязвимости. Стартирани са дейности по идентифициране и изолиране на остарели системи и компоненти, както и поетапна подмяна на софтуер с изтекъл срок на поддръжка. Отчетена е нужда от сертифициране на системите за управление по международни стандарти. </w:t>
      </w:r>
      <w:r w:rsidR="00783194">
        <w:rPr>
          <w:rFonts w:ascii="Times New Roman" w:hAnsi="Times New Roman" w:cs="Times New Roman"/>
          <w:sz w:val="24"/>
          <w:szCs w:val="24"/>
          <w:lang w:eastAsia="bg-BG"/>
        </w:rPr>
        <w:t>Отрасълът</w:t>
      </w:r>
      <w:r w:rsidRPr="005F49B3">
        <w:rPr>
          <w:rFonts w:ascii="Times New Roman" w:hAnsi="Times New Roman" w:cs="Times New Roman"/>
          <w:sz w:val="24"/>
          <w:szCs w:val="24"/>
          <w:lang w:eastAsia="bg-BG"/>
        </w:rPr>
        <w:t xml:space="preserve"> работи по изграждане на вътрешен капацитет за мониторинг на инциденти, регистрация и реакция, </w:t>
      </w:r>
      <w:bookmarkStart w:id="51" w:name="_Hlk206668886"/>
      <w:r w:rsidRPr="005F49B3">
        <w:rPr>
          <w:rFonts w:ascii="Times New Roman" w:hAnsi="Times New Roman" w:cs="Times New Roman"/>
          <w:sz w:val="24"/>
          <w:szCs w:val="24"/>
          <w:lang w:eastAsia="bg-BG"/>
        </w:rPr>
        <w:t>а Екипът за реагиране на инциденти с компютърна сигурност (ЕРИКС)</w:t>
      </w:r>
      <w:bookmarkEnd w:id="51"/>
      <w:r w:rsidRPr="005F49B3">
        <w:rPr>
          <w:rFonts w:ascii="Times New Roman" w:hAnsi="Times New Roman" w:cs="Times New Roman"/>
          <w:sz w:val="24"/>
          <w:szCs w:val="24"/>
          <w:lang w:eastAsia="bg-BG"/>
        </w:rPr>
        <w:t xml:space="preserve"> в сектора е определен за надграждане.</w:t>
      </w:r>
    </w:p>
    <w:p w14:paraId="1ED9A9A9" w14:textId="77777777" w:rsidR="007B5F94" w:rsidRPr="005F49B3" w:rsidRDefault="007B5F94" w:rsidP="007B5F94">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Необходимо е целенасочено и устойчиво бюджетиране на инвестиции във ВиК </w:t>
      </w:r>
      <w:r>
        <w:rPr>
          <w:rFonts w:ascii="Times New Roman" w:hAnsi="Times New Roman" w:cs="Times New Roman"/>
          <w:sz w:val="24"/>
          <w:szCs w:val="24"/>
          <w:lang w:eastAsia="bg-BG"/>
        </w:rPr>
        <w:t>отрасъла</w:t>
      </w:r>
      <w:r w:rsidRPr="005F49B3">
        <w:rPr>
          <w:rFonts w:ascii="Times New Roman" w:hAnsi="Times New Roman" w:cs="Times New Roman"/>
          <w:sz w:val="24"/>
          <w:szCs w:val="24"/>
          <w:lang w:eastAsia="bg-BG"/>
        </w:rPr>
        <w:t xml:space="preserve">, включително чрез програми за доизграждане на големи инфраструктурни </w:t>
      </w:r>
      <w:r w:rsidRPr="005F49B3">
        <w:rPr>
          <w:rFonts w:ascii="Times New Roman" w:hAnsi="Times New Roman" w:cs="Times New Roman"/>
          <w:sz w:val="24"/>
          <w:szCs w:val="24"/>
          <w:lang w:eastAsia="bg-BG"/>
        </w:rPr>
        <w:lastRenderedPageBreak/>
        <w:t xml:space="preserve">обекти – язовири, пречиствателни станции, довеждащи и разпределителни водопроводи. </w:t>
      </w:r>
      <w:r>
        <w:rPr>
          <w:rFonts w:ascii="Times New Roman" w:hAnsi="Times New Roman" w:cs="Times New Roman"/>
          <w:sz w:val="24"/>
          <w:szCs w:val="24"/>
          <w:lang w:eastAsia="bg-BG"/>
        </w:rPr>
        <w:t xml:space="preserve">Важно е </w:t>
      </w:r>
      <w:r w:rsidRPr="004D5DA1">
        <w:rPr>
          <w:rFonts w:ascii="Times New Roman" w:hAnsi="Times New Roman" w:cs="Times New Roman"/>
          <w:sz w:val="24"/>
          <w:szCs w:val="24"/>
          <w:lang w:eastAsia="bg-BG"/>
        </w:rPr>
        <w:t xml:space="preserve">да се осигури цялостно териториално консолидиране на услугите на принципа „една област – една асоциация – един оператор“, </w:t>
      </w:r>
      <w:r>
        <w:rPr>
          <w:rFonts w:ascii="Times New Roman" w:hAnsi="Times New Roman" w:cs="Times New Roman"/>
          <w:sz w:val="24"/>
          <w:szCs w:val="24"/>
          <w:lang w:eastAsia="bg-BG"/>
        </w:rPr>
        <w:t xml:space="preserve">с което </w:t>
      </w:r>
      <w:r w:rsidRPr="002E5227">
        <w:rPr>
          <w:rFonts w:ascii="Times New Roman" w:hAnsi="Times New Roman" w:cs="Times New Roman"/>
          <w:sz w:val="24"/>
          <w:szCs w:val="24"/>
          <w:lang w:eastAsia="bg-BG"/>
        </w:rPr>
        <w:t>регионал</w:t>
      </w:r>
      <w:r>
        <w:rPr>
          <w:rFonts w:ascii="Times New Roman" w:hAnsi="Times New Roman" w:cs="Times New Roman"/>
          <w:sz w:val="24"/>
          <w:szCs w:val="24"/>
          <w:lang w:eastAsia="bg-BG"/>
        </w:rPr>
        <w:t xml:space="preserve">ният </w:t>
      </w:r>
      <w:r w:rsidRPr="002E5227">
        <w:rPr>
          <w:rFonts w:ascii="Times New Roman" w:hAnsi="Times New Roman" w:cs="Times New Roman"/>
          <w:sz w:val="24"/>
          <w:szCs w:val="24"/>
          <w:lang w:eastAsia="bg-BG"/>
        </w:rPr>
        <w:t xml:space="preserve">принцип на планиране и изграждане на мрежи и съоръжения, </w:t>
      </w:r>
      <w:r>
        <w:rPr>
          <w:rFonts w:ascii="Times New Roman" w:hAnsi="Times New Roman" w:cs="Times New Roman"/>
          <w:sz w:val="24"/>
          <w:szCs w:val="24"/>
          <w:lang w:eastAsia="bg-BG"/>
        </w:rPr>
        <w:t>които</w:t>
      </w:r>
      <w:r w:rsidRPr="002E5227">
        <w:rPr>
          <w:rFonts w:ascii="Times New Roman" w:hAnsi="Times New Roman" w:cs="Times New Roman"/>
          <w:sz w:val="24"/>
          <w:szCs w:val="24"/>
          <w:lang w:eastAsia="bg-BG"/>
        </w:rPr>
        <w:t xml:space="preserve"> да се ползват ефективно от повече потребители</w:t>
      </w:r>
      <w:r>
        <w:rPr>
          <w:rFonts w:ascii="Times New Roman" w:hAnsi="Times New Roman" w:cs="Times New Roman"/>
          <w:sz w:val="24"/>
          <w:szCs w:val="24"/>
          <w:lang w:eastAsia="bg-BG"/>
        </w:rPr>
        <w:t xml:space="preserve"> ще се прилага за територията на цялата страна. Очакваният ефект е </w:t>
      </w:r>
      <w:r w:rsidRPr="002E5227">
        <w:rPr>
          <w:rFonts w:ascii="Times New Roman" w:hAnsi="Times New Roman" w:cs="Times New Roman"/>
          <w:sz w:val="24"/>
          <w:szCs w:val="24"/>
          <w:lang w:eastAsia="bg-BG"/>
        </w:rPr>
        <w:t>икономия от мащаба при предоставяне на ВиК услугите, не допуска</w:t>
      </w:r>
      <w:r>
        <w:rPr>
          <w:rFonts w:ascii="Times New Roman" w:hAnsi="Times New Roman" w:cs="Times New Roman"/>
          <w:sz w:val="24"/>
          <w:szCs w:val="24"/>
          <w:lang w:eastAsia="bg-BG"/>
        </w:rPr>
        <w:t>не на</w:t>
      </w:r>
      <w:r w:rsidRPr="002E5227">
        <w:rPr>
          <w:rFonts w:ascii="Times New Roman" w:hAnsi="Times New Roman" w:cs="Times New Roman"/>
          <w:sz w:val="24"/>
          <w:szCs w:val="24"/>
          <w:lang w:eastAsia="bg-BG"/>
        </w:rPr>
        <w:t xml:space="preserve"> прекомерни разходи за инфраструктура</w:t>
      </w:r>
      <w:r>
        <w:rPr>
          <w:rFonts w:ascii="Times New Roman" w:hAnsi="Times New Roman" w:cs="Times New Roman"/>
          <w:sz w:val="24"/>
          <w:szCs w:val="24"/>
          <w:lang w:eastAsia="bg-BG"/>
        </w:rPr>
        <w:t xml:space="preserve">, </w:t>
      </w:r>
      <w:r w:rsidRPr="004D5DA1">
        <w:rPr>
          <w:rFonts w:ascii="Times New Roman" w:hAnsi="Times New Roman" w:cs="Times New Roman"/>
          <w:sz w:val="24"/>
          <w:szCs w:val="24"/>
          <w:lang w:eastAsia="bg-BG"/>
        </w:rPr>
        <w:t>осигуряване на компетентен персонал.</w:t>
      </w:r>
      <w:r>
        <w:rPr>
          <w:rFonts w:ascii="Times New Roman" w:hAnsi="Times New Roman" w:cs="Times New Roman"/>
          <w:sz w:val="24"/>
          <w:szCs w:val="24"/>
          <w:lang w:eastAsia="bg-BG"/>
        </w:rPr>
        <w:t xml:space="preserve"> </w:t>
      </w:r>
      <w:r w:rsidRPr="005F49B3">
        <w:rPr>
          <w:rFonts w:ascii="Times New Roman" w:hAnsi="Times New Roman" w:cs="Times New Roman"/>
          <w:sz w:val="24"/>
          <w:szCs w:val="24"/>
          <w:lang w:eastAsia="bg-BG"/>
        </w:rPr>
        <w:t>Особено внимание изисква създаването на благоприятна среда за привличане и задържане на квалифицирани кадри, както и подготовката на нови специалисти.</w:t>
      </w:r>
      <w:r>
        <w:rPr>
          <w:rFonts w:ascii="Times New Roman" w:hAnsi="Times New Roman" w:cs="Times New Roman"/>
          <w:sz w:val="24"/>
          <w:szCs w:val="24"/>
          <w:lang w:eastAsia="bg-BG"/>
        </w:rPr>
        <w:t xml:space="preserve"> </w:t>
      </w:r>
    </w:p>
    <w:p w14:paraId="3CA77E08" w14:textId="77777777"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Препоръчва се изрично регламентиране на отговорностите по киберсигурност между собственици, оператори и стопани на инфраструктурата. Следва да се разработи методология за анализ и картографиране на цифровия отпечатък на всяка система за питейна вода, с цел точно идентифициране на уязвими компоненти. От съществено значение е укрепването на техническия и оперативен капацитет на ЕРИКС и включването му в рамките на националната система за защита на критичната инфраструктура. Приоритизирана трябва да бъде подмяната на SCADA/ICS системи с уязвими елементи и внедряване на защитни решения съгласно международни стандарти (напр. ISO/IEC 27001).</w:t>
      </w:r>
    </w:p>
    <w:p w14:paraId="009AD73F" w14:textId="77777777" w:rsidR="00F34426" w:rsidRPr="005F49B3" w:rsidRDefault="00F34426" w:rsidP="00D6403A">
      <w:pPr>
        <w:pStyle w:val="Heading4"/>
        <w:numPr>
          <w:ilvl w:val="0"/>
          <w:numId w:val="40"/>
        </w:numPr>
        <w:spacing w:after="120"/>
        <w:ind w:left="284" w:hanging="284"/>
        <w:jc w:val="center"/>
        <w:rPr>
          <w:rFonts w:ascii="Times New Roman" w:hAnsi="Times New Roman" w:cs="Times New Roman"/>
          <w:color w:val="auto"/>
          <w:u w:val="single"/>
        </w:rPr>
      </w:pPr>
      <w:r w:rsidRPr="005F49B3">
        <w:rPr>
          <w:rStyle w:val="Strong"/>
          <w:rFonts w:ascii="Times New Roman" w:hAnsi="Times New Roman" w:cs="Times New Roman"/>
          <w:b w:val="0"/>
          <w:bCs w:val="0"/>
          <w:color w:val="auto"/>
          <w:sz w:val="24"/>
          <w:szCs w:val="24"/>
          <w:u w:val="single"/>
        </w:rPr>
        <w:t>Управление на отпадъци и кръгова икономика</w:t>
      </w:r>
    </w:p>
    <w:p w14:paraId="4F40334C" w14:textId="77777777" w:rsidR="00F34426" w:rsidRPr="005F49B3" w:rsidRDefault="00F34426" w:rsidP="00D6403A">
      <w:pPr>
        <w:pStyle w:val="ListParagraph"/>
        <w:numPr>
          <w:ilvl w:val="0"/>
          <w:numId w:val="38"/>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Забавеното въвеждане на принципите на кръговата икономика увеличава натиска върху регионалните депа и създава предпоставки за екологични рискове.</w:t>
      </w:r>
    </w:p>
    <w:p w14:paraId="6CFCD947" w14:textId="77777777" w:rsidR="00F34426" w:rsidRPr="005F49B3" w:rsidRDefault="00F34426" w:rsidP="00D6403A">
      <w:pPr>
        <w:pStyle w:val="ListParagraph"/>
        <w:numPr>
          <w:ilvl w:val="0"/>
          <w:numId w:val="38"/>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Нерегламентираното изхвърляне на отпадъци в периферни и горски зони се увеличава, особено в общини без специализирана инфраструктура за събиране и третиране.</w:t>
      </w:r>
    </w:p>
    <w:p w14:paraId="3B2868F6" w14:textId="77777777" w:rsidR="00F34426" w:rsidRPr="005F49B3" w:rsidRDefault="00F34426" w:rsidP="00DA454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Управлението на отпадъците в България остава стратегически предизвикателен сектор, както в екологично, така и </w:t>
      </w:r>
      <w:r w:rsidR="00DA4547" w:rsidRPr="005F49B3">
        <w:rPr>
          <w:rFonts w:ascii="Times New Roman" w:hAnsi="Times New Roman" w:cs="Times New Roman"/>
          <w:sz w:val="24"/>
          <w:szCs w:val="24"/>
          <w:lang w:eastAsia="bg-BG"/>
        </w:rPr>
        <w:t>по отношение на сигурността</w:t>
      </w:r>
      <w:r w:rsidRPr="005F49B3">
        <w:rPr>
          <w:rFonts w:ascii="Times New Roman" w:hAnsi="Times New Roman" w:cs="Times New Roman"/>
          <w:sz w:val="24"/>
          <w:szCs w:val="24"/>
          <w:lang w:eastAsia="bg-BG"/>
        </w:rPr>
        <w:t>. Забавянето в прилагането на принципите на кръговата икономика допринася за натиск върху капацитета на регионалните депа, екологични рискове и натрупване на уязвимости в градската и периферната инфраструктура. През 2023–2024 г. се наблюдава увеличаване на нерегламентираното изхвърляне на битови, едрогабаритни и строителни отпадъци, особено в райони без изградени специализирани площадки.</w:t>
      </w:r>
    </w:p>
    <w:p w14:paraId="184F7C10" w14:textId="77777777" w:rsidR="00F34426" w:rsidRPr="005F49B3" w:rsidRDefault="00F34426" w:rsidP="00DA454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Забавеното преминаване към устойчиви модели на ресурсно управление ограничава потенциала за намаляване на екологичния отпечатък и затруднява изпълнението на стратегическите цели в областта на климатичната адаптация, екологичната сигурност и опазването на почвите и водите.</w:t>
      </w:r>
    </w:p>
    <w:p w14:paraId="3C572B5C" w14:textId="77777777" w:rsidR="00F34426" w:rsidRPr="005F49B3" w:rsidRDefault="00F34426" w:rsidP="00DA454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Основният риск произтича от тенденцията към преждевременно запълване на регионалните депа поради липса на достатъчен капацитет за предварително третиране, рециклиране и оползотворяване на отпадъците. В редица общини липсват площадки за събиране на едрогабаритни и строителни отпадъци, което води до тяхното нерегламентирано изхвърляне в периферни зони, речни корита и горски територии. Тези практики не само създават условия за замърсяване, но и увеличават риска от възникване на пожари и затрудняват защитата на природната и урбанизираната среда.</w:t>
      </w:r>
    </w:p>
    <w:p w14:paraId="77272F14" w14:textId="77777777" w:rsidR="00F34426" w:rsidRPr="005F49B3" w:rsidRDefault="00F34426" w:rsidP="00DA454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lastRenderedPageBreak/>
        <w:t>Ограниченото въвеждане на устойчиви практики в индустриалния и битовия сектор води до загуба на възможности за повторна употреба, намаляване на отпадъците на източника и изграждане на затворени цикли на потребление. Забавянето в адаптацията към кръгова икономика поставя под риск изпълнението на ангажиментите на страната по линия на ЕС, включително по отношение на Зелената сделка и целите за въглеродна неутралност.</w:t>
      </w:r>
    </w:p>
    <w:p w14:paraId="3545F71F" w14:textId="77777777" w:rsidR="00F34426" w:rsidRPr="005F49B3" w:rsidRDefault="00F34426" w:rsidP="00DA454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периода 2023–2024 г. бяха предприети редица мерки на национално и местно ниво за овладяване на тенденцията към натрупване на отпадъци и стимулиране на устойчивото им управление. Въпреки това, съществуващият институционален и финансов капацитет в редица общини остава ограничен. Подготвят се нови планове и проектни предложения по линия на Програмата „Околна среда“ 2021–2027 г. с цел изграждане на нови съоръжения за третиране и рециклиране на отпадъци, както и обновяване на съществуващите депа.</w:t>
      </w:r>
    </w:p>
    <w:p w14:paraId="5826269E" w14:textId="77777777" w:rsidR="00F34426" w:rsidRPr="005F49B3" w:rsidRDefault="00F34426" w:rsidP="00DA454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По линия на контрола и правоприлагането се засилва мониторингът на незаконните сметища, а в някои региони са предприети пилотни инициативи за въвеждане на цифрови системи за проследимост на отпадъци и оптимизация на събирането. Съществуват механизми за публично–частно партньорство, но тяхното приложение остава ограничено и концентрирано в няколко по-големи общини.</w:t>
      </w:r>
    </w:p>
    <w:p w14:paraId="4AA46ABE" w14:textId="77777777" w:rsidR="00F34426" w:rsidRPr="005F49B3" w:rsidRDefault="00F34426" w:rsidP="00DA454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Необходимо е ускорено прилагане на принципите на кръговата икономика чрез създаване на икономически стимули и регулаторни механизми, насърчаващи намаляването на отпадъците на източника, разделното събиране, повторната употреба и рециклирането. Следва да се разширят инвестициите в инфраструктура за предварително третиране и оползотворяване, като приоритетно се изградят регионални съоръжения в общини, в които капацитетът е изчерпан или липсва.</w:t>
      </w:r>
    </w:p>
    <w:p w14:paraId="209FD1B8" w14:textId="77777777" w:rsidR="00F34426" w:rsidRPr="005F49B3" w:rsidRDefault="00F34426" w:rsidP="00DA454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Препоръчва се разработване и прилагане на стандарти за проследимост и контрол на строителните и едрогабаритните отпадъци, включително чрез цифрови инструменти и интегрирани бази данни. Местните власти следва да получат целева подкрепа за изграждане на площадки за разделно събиране и специализирани зони за временно съхранение, особено в чувствителни и труднодостъпни територии.</w:t>
      </w:r>
    </w:p>
    <w:p w14:paraId="2E3D3964" w14:textId="77777777" w:rsidR="00F34426" w:rsidRPr="005F49B3" w:rsidRDefault="00F34426" w:rsidP="00DA4547">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На национално равнище следва да се гарантира пълно и своевременно изпълнение на Националния план за управление на отпадъците, както и да се актуализира и прилага Стратегията за кръгова икономика с ясен график, индикатори и отговорни институции. Препоръчва се разширяване на прилагането на разширената отговорност на производителите в секторите с висок отпадъчен отпечатък, както и засилване на контрола върху нерегламентираното изхвърляне на отпадъци чрез законодателни и административни мерки.</w:t>
      </w:r>
    </w:p>
    <w:p w14:paraId="7DCF77FB" w14:textId="77777777" w:rsidR="00F34426" w:rsidRPr="005F49B3" w:rsidRDefault="00F34426" w:rsidP="00D6403A">
      <w:pPr>
        <w:pStyle w:val="Heading4"/>
        <w:numPr>
          <w:ilvl w:val="0"/>
          <w:numId w:val="40"/>
        </w:numPr>
        <w:spacing w:after="120"/>
        <w:ind w:left="0" w:firstLine="284"/>
        <w:jc w:val="center"/>
        <w:rPr>
          <w:rStyle w:val="Strong"/>
          <w:rFonts w:ascii="Times New Roman" w:hAnsi="Times New Roman" w:cs="Times New Roman"/>
          <w:b w:val="0"/>
          <w:bCs w:val="0"/>
          <w:color w:val="auto"/>
          <w:sz w:val="24"/>
          <w:szCs w:val="24"/>
          <w:u w:val="single"/>
        </w:rPr>
      </w:pPr>
      <w:r w:rsidRPr="005F49B3">
        <w:rPr>
          <w:rStyle w:val="Strong"/>
          <w:rFonts w:ascii="Times New Roman" w:hAnsi="Times New Roman" w:cs="Times New Roman"/>
          <w:b w:val="0"/>
          <w:bCs w:val="0"/>
          <w:color w:val="auto"/>
          <w:sz w:val="24"/>
          <w:szCs w:val="24"/>
          <w:u w:val="single"/>
        </w:rPr>
        <w:t xml:space="preserve">Геозащитна дейност и </w:t>
      </w:r>
      <w:proofErr w:type="spellStart"/>
      <w:r w:rsidRPr="005F49B3">
        <w:rPr>
          <w:rStyle w:val="Strong"/>
          <w:rFonts w:ascii="Times New Roman" w:hAnsi="Times New Roman" w:cs="Times New Roman"/>
          <w:b w:val="0"/>
          <w:bCs w:val="0"/>
          <w:color w:val="auto"/>
          <w:sz w:val="24"/>
          <w:szCs w:val="24"/>
          <w:u w:val="single"/>
        </w:rPr>
        <w:t>свлачищни</w:t>
      </w:r>
      <w:proofErr w:type="spellEnd"/>
      <w:r w:rsidRPr="005F49B3">
        <w:rPr>
          <w:rStyle w:val="Strong"/>
          <w:rFonts w:ascii="Times New Roman" w:hAnsi="Times New Roman" w:cs="Times New Roman"/>
          <w:b w:val="0"/>
          <w:bCs w:val="0"/>
          <w:color w:val="auto"/>
          <w:sz w:val="24"/>
          <w:szCs w:val="24"/>
          <w:u w:val="single"/>
        </w:rPr>
        <w:t xml:space="preserve"> процеси</w:t>
      </w:r>
    </w:p>
    <w:p w14:paraId="1B3AE367" w14:textId="77777777" w:rsidR="00F34426" w:rsidRPr="005F49B3" w:rsidRDefault="00F34426" w:rsidP="00D6403A">
      <w:pPr>
        <w:pStyle w:val="ListParagraph"/>
        <w:numPr>
          <w:ilvl w:val="0"/>
          <w:numId w:val="39"/>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През 2024 г. броят на активните свлачища достигна 2248, като значителна част попадат в урбанизирани територии, създавайки риск за инфраструктура и население.</w:t>
      </w:r>
    </w:p>
    <w:p w14:paraId="3D32ACC7" w14:textId="2B0B683F" w:rsidR="00F34426" w:rsidRPr="005F49B3" w:rsidRDefault="00F34426" w:rsidP="00D6403A">
      <w:pPr>
        <w:pStyle w:val="ListParagraph"/>
        <w:numPr>
          <w:ilvl w:val="0"/>
          <w:numId w:val="39"/>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t xml:space="preserve">Наблюдава се трайна тенденция към активизиране на </w:t>
      </w:r>
      <w:proofErr w:type="spellStart"/>
      <w:r w:rsidRPr="005F49B3">
        <w:rPr>
          <w:rFonts w:ascii="Times New Roman" w:hAnsi="Times New Roman" w:cs="Times New Roman"/>
          <w:b/>
          <w:sz w:val="24"/>
          <w:szCs w:val="24"/>
        </w:rPr>
        <w:t>свлачищни</w:t>
      </w:r>
      <w:proofErr w:type="spellEnd"/>
      <w:r w:rsidRPr="005F49B3">
        <w:rPr>
          <w:rFonts w:ascii="Times New Roman" w:hAnsi="Times New Roman" w:cs="Times New Roman"/>
          <w:b/>
          <w:sz w:val="24"/>
          <w:szCs w:val="24"/>
        </w:rPr>
        <w:t xml:space="preserve"> процеси, засилена от климатични фактори, </w:t>
      </w:r>
      <w:proofErr w:type="spellStart"/>
      <w:r w:rsidRPr="005F49B3">
        <w:rPr>
          <w:rFonts w:ascii="Times New Roman" w:hAnsi="Times New Roman" w:cs="Times New Roman"/>
          <w:b/>
          <w:sz w:val="24"/>
          <w:szCs w:val="24"/>
        </w:rPr>
        <w:t>урбанизационен</w:t>
      </w:r>
      <w:proofErr w:type="spellEnd"/>
      <w:r w:rsidRPr="005F49B3">
        <w:rPr>
          <w:rFonts w:ascii="Times New Roman" w:hAnsi="Times New Roman" w:cs="Times New Roman"/>
          <w:b/>
          <w:sz w:val="24"/>
          <w:szCs w:val="24"/>
        </w:rPr>
        <w:t xml:space="preserve"> натиск и </w:t>
      </w:r>
      <w:r w:rsidR="00783194">
        <w:rPr>
          <w:rFonts w:ascii="Times New Roman" w:hAnsi="Times New Roman" w:cs="Times New Roman"/>
          <w:b/>
          <w:sz w:val="24"/>
          <w:szCs w:val="24"/>
        </w:rPr>
        <w:t>недостатъчна</w:t>
      </w:r>
      <w:r w:rsidRPr="005F49B3">
        <w:rPr>
          <w:rFonts w:ascii="Times New Roman" w:hAnsi="Times New Roman" w:cs="Times New Roman"/>
          <w:b/>
          <w:sz w:val="24"/>
          <w:szCs w:val="24"/>
        </w:rPr>
        <w:t xml:space="preserve"> геозащитна инфраструктура</w:t>
      </w:r>
      <w:r w:rsidR="00783194">
        <w:rPr>
          <w:rFonts w:ascii="Times New Roman" w:hAnsi="Times New Roman" w:cs="Times New Roman"/>
          <w:b/>
          <w:sz w:val="24"/>
          <w:szCs w:val="24"/>
        </w:rPr>
        <w:t xml:space="preserve"> за укрепване на свлачища</w:t>
      </w:r>
      <w:r w:rsidRPr="005F49B3">
        <w:rPr>
          <w:rFonts w:ascii="Times New Roman" w:hAnsi="Times New Roman" w:cs="Times New Roman"/>
          <w:b/>
          <w:sz w:val="24"/>
          <w:szCs w:val="24"/>
        </w:rPr>
        <w:t>.</w:t>
      </w:r>
    </w:p>
    <w:p w14:paraId="5C1B1746" w14:textId="0A8F92BF" w:rsidR="00F34426" w:rsidRPr="005F49B3" w:rsidRDefault="00F34426" w:rsidP="00D6403A">
      <w:pPr>
        <w:pStyle w:val="ListParagraph"/>
        <w:numPr>
          <w:ilvl w:val="0"/>
          <w:numId w:val="39"/>
        </w:numPr>
        <w:spacing w:before="120" w:after="120" w:line="276" w:lineRule="auto"/>
        <w:jc w:val="both"/>
        <w:rPr>
          <w:rFonts w:ascii="Times New Roman" w:hAnsi="Times New Roman" w:cs="Times New Roman"/>
          <w:b/>
          <w:sz w:val="24"/>
          <w:szCs w:val="24"/>
        </w:rPr>
      </w:pPr>
      <w:r w:rsidRPr="005F49B3">
        <w:rPr>
          <w:rFonts w:ascii="Times New Roman" w:hAnsi="Times New Roman" w:cs="Times New Roman"/>
          <w:b/>
          <w:sz w:val="24"/>
          <w:szCs w:val="24"/>
        </w:rPr>
        <w:lastRenderedPageBreak/>
        <w:t xml:space="preserve">Необходима е системна превенция </w:t>
      </w:r>
      <w:r w:rsidR="00783194">
        <w:rPr>
          <w:rFonts w:ascii="Times New Roman" w:hAnsi="Times New Roman" w:cs="Times New Roman"/>
          <w:b/>
          <w:sz w:val="24"/>
          <w:szCs w:val="24"/>
        </w:rPr>
        <w:t>въз основа на</w:t>
      </w:r>
      <w:r w:rsidRPr="005F49B3">
        <w:rPr>
          <w:rFonts w:ascii="Times New Roman" w:hAnsi="Times New Roman" w:cs="Times New Roman"/>
          <w:b/>
          <w:sz w:val="24"/>
          <w:szCs w:val="24"/>
        </w:rPr>
        <w:t xml:space="preserve"> актуализирани карти на риска и целево финансиране, включително</w:t>
      </w:r>
      <w:r w:rsidR="00783194">
        <w:rPr>
          <w:rFonts w:ascii="Times New Roman" w:hAnsi="Times New Roman" w:cs="Times New Roman"/>
          <w:b/>
          <w:sz w:val="24"/>
          <w:szCs w:val="24"/>
        </w:rPr>
        <w:t xml:space="preserve"> чрез подпомагане на</w:t>
      </w:r>
      <w:r w:rsidRPr="005F49B3">
        <w:rPr>
          <w:rFonts w:ascii="Times New Roman" w:hAnsi="Times New Roman" w:cs="Times New Roman"/>
          <w:b/>
          <w:sz w:val="24"/>
          <w:szCs w:val="24"/>
        </w:rPr>
        <w:t xml:space="preserve"> общини.</w:t>
      </w:r>
    </w:p>
    <w:p w14:paraId="1658AF20" w14:textId="3AB3B403"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Територията на Република България се характеризира с висока уязвимост към геодинамични процеси, включително свлачища, </w:t>
      </w:r>
      <w:proofErr w:type="spellStart"/>
      <w:r w:rsidRPr="005F49B3">
        <w:rPr>
          <w:rFonts w:ascii="Times New Roman" w:hAnsi="Times New Roman" w:cs="Times New Roman"/>
          <w:sz w:val="24"/>
          <w:szCs w:val="24"/>
          <w:lang w:eastAsia="bg-BG"/>
        </w:rPr>
        <w:t>абразия</w:t>
      </w:r>
      <w:proofErr w:type="spellEnd"/>
      <w:r w:rsidRPr="005F49B3">
        <w:rPr>
          <w:rFonts w:ascii="Times New Roman" w:hAnsi="Times New Roman" w:cs="Times New Roman"/>
          <w:sz w:val="24"/>
          <w:szCs w:val="24"/>
          <w:lang w:eastAsia="bg-BG"/>
        </w:rPr>
        <w:t xml:space="preserve"> по крайбрежията и ерозия. През 2024 г. </w:t>
      </w:r>
      <w:r w:rsidR="00783194">
        <w:rPr>
          <w:rFonts w:ascii="Times New Roman" w:hAnsi="Times New Roman" w:cs="Times New Roman"/>
          <w:sz w:val="24"/>
          <w:szCs w:val="24"/>
          <w:lang w:eastAsia="bg-BG"/>
        </w:rPr>
        <w:t>са</w:t>
      </w:r>
      <w:r w:rsidRPr="005F49B3">
        <w:rPr>
          <w:rFonts w:ascii="Times New Roman" w:hAnsi="Times New Roman" w:cs="Times New Roman"/>
          <w:sz w:val="24"/>
          <w:szCs w:val="24"/>
          <w:lang w:eastAsia="bg-BG"/>
        </w:rPr>
        <w:t xml:space="preserve"> регистрирани нови 14 свлачища, а процесите в 26 вече регистрирани района с</w:t>
      </w:r>
      <w:r w:rsidR="00783194">
        <w:rPr>
          <w:rFonts w:ascii="Times New Roman" w:hAnsi="Times New Roman" w:cs="Times New Roman"/>
          <w:sz w:val="24"/>
          <w:szCs w:val="24"/>
          <w:lang w:eastAsia="bg-BG"/>
        </w:rPr>
        <w:t>а</w:t>
      </w:r>
      <w:r w:rsidRPr="005F49B3">
        <w:rPr>
          <w:rFonts w:ascii="Times New Roman" w:hAnsi="Times New Roman" w:cs="Times New Roman"/>
          <w:sz w:val="24"/>
          <w:szCs w:val="24"/>
          <w:lang w:eastAsia="bg-BG"/>
        </w:rPr>
        <w:t xml:space="preserve"> активизира</w:t>
      </w:r>
      <w:r w:rsidR="00783194">
        <w:rPr>
          <w:rFonts w:ascii="Times New Roman" w:hAnsi="Times New Roman" w:cs="Times New Roman"/>
          <w:sz w:val="24"/>
          <w:szCs w:val="24"/>
          <w:lang w:eastAsia="bg-BG"/>
        </w:rPr>
        <w:t>ни</w:t>
      </w:r>
      <w:r w:rsidRPr="005F49B3">
        <w:rPr>
          <w:rFonts w:ascii="Times New Roman" w:hAnsi="Times New Roman" w:cs="Times New Roman"/>
          <w:sz w:val="24"/>
          <w:szCs w:val="24"/>
          <w:lang w:eastAsia="bg-BG"/>
        </w:rPr>
        <w:t>. Към края на годината свлачищата в страната достигат 2248, с обща площ над 218 000 дка, като значителна част попадат в урбанизирани територии.</w:t>
      </w:r>
    </w:p>
    <w:p w14:paraId="6343182B" w14:textId="77777777"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Неблагоприятните геодинамични явления нанасят сериозни щети на инфраструктура, частна и публична собственост, пътна и ВиК мрежа, което води до допълнителни разходи за възстановяване, ограничаване на достъпа до услуги и повишаване на рисковия профил на населени места в уязвими зони.</w:t>
      </w:r>
    </w:p>
    <w:p w14:paraId="200316A5" w14:textId="77777777"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Основният риск произтича от стихийния и трудно предвидим характер на геодинамичните процеси. Активните и периодично активни свлачища заемат значителна част от урбанизираните територии, създавайки предпоставки за засягане на пътна, жилищна и комунална инфраструктура. Поради нарастващия натиск върху крайбрежните и планинските зони, както и вследствие на климатични фактори (продължителни валежи, суша, температурни амплитуди), се очаква увеличаване на честотата и въздействието на свлачищата.</w:t>
      </w:r>
    </w:p>
    <w:p w14:paraId="3188766F" w14:textId="69695608"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Допълнителен риск е свързан с урбаниз</w:t>
      </w:r>
      <w:r w:rsidR="00783194">
        <w:rPr>
          <w:rFonts w:ascii="Times New Roman" w:hAnsi="Times New Roman" w:cs="Times New Roman"/>
          <w:sz w:val="24"/>
          <w:szCs w:val="24"/>
          <w:lang w:eastAsia="bg-BG"/>
        </w:rPr>
        <w:t>ирането на</w:t>
      </w:r>
      <w:r w:rsidRPr="005F49B3">
        <w:rPr>
          <w:rFonts w:ascii="Times New Roman" w:hAnsi="Times New Roman" w:cs="Times New Roman"/>
          <w:sz w:val="24"/>
          <w:szCs w:val="24"/>
          <w:lang w:eastAsia="bg-BG"/>
        </w:rPr>
        <w:t xml:space="preserve"> </w:t>
      </w:r>
      <w:proofErr w:type="spellStart"/>
      <w:r w:rsidRPr="005F49B3">
        <w:rPr>
          <w:rFonts w:ascii="Times New Roman" w:hAnsi="Times New Roman" w:cs="Times New Roman"/>
          <w:sz w:val="24"/>
          <w:szCs w:val="24"/>
          <w:lang w:eastAsia="bg-BG"/>
        </w:rPr>
        <w:t>свлачищни</w:t>
      </w:r>
      <w:proofErr w:type="spellEnd"/>
      <w:r w:rsidRPr="005F49B3">
        <w:rPr>
          <w:rFonts w:ascii="Times New Roman" w:hAnsi="Times New Roman" w:cs="Times New Roman"/>
          <w:sz w:val="24"/>
          <w:szCs w:val="24"/>
          <w:lang w:eastAsia="bg-BG"/>
        </w:rPr>
        <w:t xml:space="preserve"> райони, което допуска инвестиционни намерения в нестабилни територии</w:t>
      </w:r>
      <w:r w:rsidR="00783194">
        <w:rPr>
          <w:rFonts w:ascii="Times New Roman" w:hAnsi="Times New Roman" w:cs="Times New Roman"/>
          <w:sz w:val="24"/>
          <w:szCs w:val="24"/>
          <w:lang w:eastAsia="bg-BG"/>
        </w:rPr>
        <w:t xml:space="preserve"> при разработване на общи и подробни устройствени планове за съответните територии</w:t>
      </w:r>
      <w:r w:rsidRPr="005F49B3">
        <w:rPr>
          <w:rFonts w:ascii="Times New Roman" w:hAnsi="Times New Roman" w:cs="Times New Roman"/>
          <w:sz w:val="24"/>
          <w:szCs w:val="24"/>
          <w:lang w:eastAsia="bg-BG"/>
        </w:rPr>
        <w:t xml:space="preserve">. </w:t>
      </w:r>
      <w:r w:rsidR="00783194">
        <w:rPr>
          <w:rFonts w:ascii="Times New Roman" w:hAnsi="Times New Roman" w:cs="Times New Roman"/>
          <w:sz w:val="24"/>
          <w:szCs w:val="24"/>
          <w:lang w:eastAsia="bg-BG"/>
        </w:rPr>
        <w:t xml:space="preserve">Недостатъчен е и </w:t>
      </w:r>
      <w:r w:rsidR="00783194" w:rsidRPr="005F49B3">
        <w:rPr>
          <w:rFonts w:ascii="Times New Roman" w:hAnsi="Times New Roman" w:cs="Times New Roman"/>
          <w:sz w:val="24"/>
          <w:szCs w:val="24"/>
          <w:lang w:eastAsia="bg-BG"/>
        </w:rPr>
        <w:t>капацитет</w:t>
      </w:r>
      <w:r w:rsidR="00783194">
        <w:rPr>
          <w:rFonts w:ascii="Times New Roman" w:hAnsi="Times New Roman" w:cs="Times New Roman"/>
          <w:sz w:val="24"/>
          <w:szCs w:val="24"/>
          <w:lang w:eastAsia="bg-BG"/>
        </w:rPr>
        <w:t xml:space="preserve">ът </w:t>
      </w:r>
      <w:r w:rsidRPr="005F49B3">
        <w:rPr>
          <w:rFonts w:ascii="Times New Roman" w:hAnsi="Times New Roman" w:cs="Times New Roman"/>
          <w:sz w:val="24"/>
          <w:szCs w:val="24"/>
          <w:lang w:eastAsia="bg-BG"/>
        </w:rPr>
        <w:t xml:space="preserve">на общините </w:t>
      </w:r>
      <w:r w:rsidR="00783194">
        <w:rPr>
          <w:rFonts w:ascii="Times New Roman" w:hAnsi="Times New Roman" w:cs="Times New Roman"/>
          <w:sz w:val="24"/>
          <w:szCs w:val="24"/>
          <w:lang w:eastAsia="bg-BG"/>
        </w:rPr>
        <w:t xml:space="preserve">по отношение на ангажиментите им за извършване на мониторинг и поддържане на </w:t>
      </w:r>
      <w:r w:rsidRPr="005F49B3">
        <w:rPr>
          <w:rFonts w:ascii="Times New Roman" w:hAnsi="Times New Roman" w:cs="Times New Roman"/>
          <w:sz w:val="24"/>
          <w:szCs w:val="24"/>
          <w:lang w:eastAsia="bg-BG"/>
        </w:rPr>
        <w:t>геозащитна инфраструктура</w:t>
      </w:r>
      <w:r w:rsidR="00783194">
        <w:rPr>
          <w:rFonts w:ascii="Times New Roman" w:hAnsi="Times New Roman" w:cs="Times New Roman"/>
          <w:sz w:val="24"/>
          <w:szCs w:val="24"/>
          <w:lang w:eastAsia="bg-BG"/>
        </w:rPr>
        <w:t xml:space="preserve"> на териториите си, поради което </w:t>
      </w:r>
      <w:r w:rsidRPr="005F49B3">
        <w:rPr>
          <w:rFonts w:ascii="Times New Roman" w:hAnsi="Times New Roman" w:cs="Times New Roman"/>
          <w:sz w:val="24"/>
          <w:szCs w:val="24"/>
          <w:lang w:eastAsia="bg-BG"/>
        </w:rPr>
        <w:t xml:space="preserve">голяма част от укрепителните съоръжения </w:t>
      </w:r>
      <w:r w:rsidR="00783194">
        <w:rPr>
          <w:rFonts w:ascii="Times New Roman" w:hAnsi="Times New Roman" w:cs="Times New Roman"/>
          <w:sz w:val="24"/>
          <w:szCs w:val="24"/>
          <w:lang w:eastAsia="bg-BG"/>
        </w:rPr>
        <w:t xml:space="preserve">в тези райони не се поддържат и са опасни за експлоатация. </w:t>
      </w:r>
    </w:p>
    <w:p w14:paraId="5B344688" w14:textId="1EC7F934"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През 2023–2024 г. са осъществени редица дейности по регистриране, наблюдение и контрол на </w:t>
      </w:r>
      <w:proofErr w:type="spellStart"/>
      <w:r w:rsidRPr="005F49B3">
        <w:rPr>
          <w:rFonts w:ascii="Times New Roman" w:hAnsi="Times New Roman" w:cs="Times New Roman"/>
          <w:sz w:val="24"/>
          <w:szCs w:val="24"/>
          <w:lang w:eastAsia="bg-BG"/>
        </w:rPr>
        <w:t>свлачищни</w:t>
      </w:r>
      <w:proofErr w:type="spellEnd"/>
      <w:r w:rsidRPr="005F49B3">
        <w:rPr>
          <w:rFonts w:ascii="Times New Roman" w:hAnsi="Times New Roman" w:cs="Times New Roman"/>
          <w:sz w:val="24"/>
          <w:szCs w:val="24"/>
          <w:lang w:eastAsia="bg-BG"/>
        </w:rPr>
        <w:t xml:space="preserve"> райони, вкл. режимни изследвания, </w:t>
      </w:r>
      <w:r w:rsidR="00783194">
        <w:rPr>
          <w:rFonts w:ascii="Times New Roman" w:hAnsi="Times New Roman" w:cs="Times New Roman"/>
          <w:sz w:val="24"/>
          <w:szCs w:val="24"/>
          <w:lang w:eastAsia="bg-BG"/>
        </w:rPr>
        <w:t xml:space="preserve">включващи мониторинг, </w:t>
      </w:r>
      <w:proofErr w:type="spellStart"/>
      <w:r w:rsidR="00783194">
        <w:rPr>
          <w:rFonts w:ascii="Times New Roman" w:hAnsi="Times New Roman" w:cs="Times New Roman"/>
          <w:sz w:val="24"/>
          <w:szCs w:val="24"/>
          <w:lang w:eastAsia="bg-BG"/>
        </w:rPr>
        <w:t>инклинометрични</w:t>
      </w:r>
      <w:proofErr w:type="spellEnd"/>
      <w:r w:rsidR="00783194">
        <w:rPr>
          <w:rFonts w:ascii="Times New Roman" w:hAnsi="Times New Roman" w:cs="Times New Roman"/>
          <w:sz w:val="24"/>
          <w:szCs w:val="24"/>
          <w:lang w:eastAsia="bg-BG"/>
        </w:rPr>
        <w:t xml:space="preserve">, </w:t>
      </w:r>
      <w:proofErr w:type="spellStart"/>
      <w:r w:rsidR="00783194">
        <w:rPr>
          <w:rFonts w:ascii="Times New Roman" w:hAnsi="Times New Roman" w:cs="Times New Roman"/>
          <w:sz w:val="24"/>
          <w:szCs w:val="24"/>
          <w:lang w:eastAsia="bg-BG"/>
        </w:rPr>
        <w:t>пиезометрични</w:t>
      </w:r>
      <w:proofErr w:type="spellEnd"/>
      <w:r w:rsidR="00783194">
        <w:rPr>
          <w:rFonts w:ascii="Times New Roman" w:hAnsi="Times New Roman" w:cs="Times New Roman"/>
          <w:sz w:val="24"/>
          <w:szCs w:val="24"/>
          <w:lang w:eastAsia="bg-BG"/>
        </w:rPr>
        <w:t xml:space="preserve"> и геодезически измервания в свлачищата, </w:t>
      </w:r>
      <w:r w:rsidRPr="005F49B3">
        <w:rPr>
          <w:rFonts w:ascii="Times New Roman" w:hAnsi="Times New Roman" w:cs="Times New Roman"/>
          <w:sz w:val="24"/>
          <w:szCs w:val="24"/>
          <w:lang w:eastAsia="bg-BG"/>
        </w:rPr>
        <w:t xml:space="preserve">поддръжка на дренажни съоръжения и подпомагане на общини за </w:t>
      </w:r>
      <w:proofErr w:type="spellStart"/>
      <w:r w:rsidRPr="005F49B3">
        <w:rPr>
          <w:rFonts w:ascii="Times New Roman" w:hAnsi="Times New Roman" w:cs="Times New Roman"/>
          <w:sz w:val="24"/>
          <w:szCs w:val="24"/>
          <w:lang w:eastAsia="bg-BG"/>
        </w:rPr>
        <w:t>проекто</w:t>
      </w:r>
      <w:proofErr w:type="spellEnd"/>
      <w:r w:rsidRPr="005F49B3">
        <w:rPr>
          <w:rFonts w:ascii="Times New Roman" w:hAnsi="Times New Roman" w:cs="Times New Roman"/>
          <w:sz w:val="24"/>
          <w:szCs w:val="24"/>
          <w:lang w:eastAsia="bg-BG"/>
        </w:rPr>
        <w:t>-проучвателни работи. В ход е актуализацията на картите на геоложкия риск и изпълнението на „Програмата за превенция и ограничаване на свлачищата (2022–2027 г.)“.</w:t>
      </w:r>
    </w:p>
    <w:p w14:paraId="7F82B0CF" w14:textId="676BF1AD" w:rsidR="00F34426" w:rsidRPr="005F49B3" w:rsidRDefault="00783194" w:rsidP="00F34426">
      <w:pPr>
        <w:spacing w:after="120"/>
        <w:ind w:firstLine="851"/>
        <w:jc w:val="both"/>
        <w:rPr>
          <w:rFonts w:ascii="Times New Roman" w:hAnsi="Times New Roman" w:cs="Times New Roman"/>
          <w:sz w:val="24"/>
          <w:szCs w:val="24"/>
          <w:lang w:eastAsia="bg-BG"/>
        </w:rPr>
      </w:pPr>
      <w:r>
        <w:rPr>
          <w:rFonts w:ascii="Times New Roman" w:hAnsi="Times New Roman" w:cs="Times New Roman"/>
          <w:sz w:val="24"/>
          <w:szCs w:val="24"/>
          <w:lang w:eastAsia="bg-BG"/>
        </w:rPr>
        <w:t>Осъществен</w:t>
      </w:r>
      <w:r w:rsidR="00F34426" w:rsidRPr="005F49B3">
        <w:rPr>
          <w:rFonts w:ascii="Times New Roman" w:hAnsi="Times New Roman" w:cs="Times New Roman"/>
          <w:sz w:val="24"/>
          <w:szCs w:val="24"/>
          <w:lang w:eastAsia="bg-BG"/>
        </w:rPr>
        <w:t xml:space="preserve"> е предварителен контрол върху 86 инвестиционни </w:t>
      </w:r>
      <w:r>
        <w:rPr>
          <w:rFonts w:ascii="Times New Roman" w:hAnsi="Times New Roman" w:cs="Times New Roman"/>
          <w:sz w:val="24"/>
          <w:szCs w:val="24"/>
          <w:lang w:eastAsia="bg-BG"/>
        </w:rPr>
        <w:t>намерения</w:t>
      </w:r>
      <w:r w:rsidR="00F34426" w:rsidRPr="005F49B3">
        <w:rPr>
          <w:rFonts w:ascii="Times New Roman" w:hAnsi="Times New Roman" w:cs="Times New Roman"/>
          <w:sz w:val="24"/>
          <w:szCs w:val="24"/>
          <w:lang w:eastAsia="bg-BG"/>
        </w:rPr>
        <w:t xml:space="preserve"> в </w:t>
      </w:r>
      <w:proofErr w:type="spellStart"/>
      <w:r w:rsidR="00F34426" w:rsidRPr="005F49B3">
        <w:rPr>
          <w:rFonts w:ascii="Times New Roman" w:hAnsi="Times New Roman" w:cs="Times New Roman"/>
          <w:sz w:val="24"/>
          <w:szCs w:val="24"/>
          <w:lang w:eastAsia="bg-BG"/>
        </w:rPr>
        <w:t>свлачищни</w:t>
      </w:r>
      <w:proofErr w:type="spellEnd"/>
      <w:r w:rsidR="00F34426" w:rsidRPr="005F49B3">
        <w:rPr>
          <w:rFonts w:ascii="Times New Roman" w:hAnsi="Times New Roman" w:cs="Times New Roman"/>
          <w:sz w:val="24"/>
          <w:szCs w:val="24"/>
          <w:lang w:eastAsia="bg-BG"/>
        </w:rPr>
        <w:t xml:space="preserve"> райони. Реализирани са множество укрепителни обекти, включително в крайбрежните населени места на Черноморието (Ахтопол, Китен, Обзор, Бургас, Бяла, Царево), както и в </w:t>
      </w:r>
      <w:proofErr w:type="spellStart"/>
      <w:r w:rsidR="00F34426" w:rsidRPr="005F49B3">
        <w:rPr>
          <w:rFonts w:ascii="Times New Roman" w:hAnsi="Times New Roman" w:cs="Times New Roman"/>
          <w:sz w:val="24"/>
          <w:szCs w:val="24"/>
          <w:lang w:eastAsia="bg-BG"/>
        </w:rPr>
        <w:t>свлачищни</w:t>
      </w:r>
      <w:proofErr w:type="spellEnd"/>
      <w:r w:rsidR="00F34426" w:rsidRPr="005F49B3">
        <w:rPr>
          <w:rFonts w:ascii="Times New Roman" w:hAnsi="Times New Roman" w:cs="Times New Roman"/>
          <w:sz w:val="24"/>
          <w:szCs w:val="24"/>
          <w:lang w:eastAsia="bg-BG"/>
        </w:rPr>
        <w:t xml:space="preserve"> терени във вътрешността на страната (</w:t>
      </w:r>
      <w:r>
        <w:rPr>
          <w:rFonts w:ascii="Times New Roman" w:hAnsi="Times New Roman" w:cs="Times New Roman"/>
          <w:sz w:val="24"/>
          <w:szCs w:val="24"/>
          <w:lang w:eastAsia="bg-BG"/>
        </w:rPr>
        <w:t>в общини Сухиндол, Правец, Омуртаг, Своге</w:t>
      </w:r>
      <w:r>
        <w:rPr>
          <w:rFonts w:ascii="Times New Roman" w:hAnsi="Times New Roman" w:cs="Times New Roman"/>
          <w:sz w:val="24"/>
          <w:szCs w:val="24"/>
          <w:lang w:val="en-US" w:eastAsia="bg-BG"/>
        </w:rPr>
        <w:t xml:space="preserve">) </w:t>
      </w:r>
      <w:r w:rsidR="00FC5B2F">
        <w:rPr>
          <w:rFonts w:ascii="Times New Roman" w:hAnsi="Times New Roman" w:cs="Times New Roman"/>
          <w:sz w:val="24"/>
          <w:szCs w:val="24"/>
          <w:lang w:eastAsia="bg-BG"/>
        </w:rPr>
        <w:t xml:space="preserve">В процес на реализация са геозащитни обекти в </w:t>
      </w:r>
      <w:r w:rsidR="00F34426" w:rsidRPr="005F49B3">
        <w:rPr>
          <w:rFonts w:ascii="Times New Roman" w:hAnsi="Times New Roman" w:cs="Times New Roman"/>
          <w:sz w:val="24"/>
          <w:szCs w:val="24"/>
          <w:lang w:eastAsia="bg-BG"/>
        </w:rPr>
        <w:t xml:space="preserve">с. Габровица, </w:t>
      </w:r>
      <w:r w:rsidR="00FC5B2F">
        <w:rPr>
          <w:rFonts w:ascii="Times New Roman" w:hAnsi="Times New Roman" w:cs="Times New Roman"/>
          <w:sz w:val="24"/>
          <w:szCs w:val="24"/>
          <w:lang w:eastAsia="bg-BG"/>
        </w:rPr>
        <w:t xml:space="preserve">община Белово, </w:t>
      </w:r>
      <w:r w:rsidR="00F34426" w:rsidRPr="005F49B3">
        <w:rPr>
          <w:rFonts w:ascii="Times New Roman" w:hAnsi="Times New Roman" w:cs="Times New Roman"/>
          <w:sz w:val="24"/>
          <w:szCs w:val="24"/>
          <w:lang w:eastAsia="bg-BG"/>
        </w:rPr>
        <w:t>с. Лютидол,</w:t>
      </w:r>
      <w:r w:rsidR="00FC5B2F">
        <w:rPr>
          <w:rFonts w:ascii="Times New Roman" w:hAnsi="Times New Roman" w:cs="Times New Roman"/>
          <w:sz w:val="24"/>
          <w:szCs w:val="24"/>
          <w:lang w:eastAsia="bg-BG"/>
        </w:rPr>
        <w:t xml:space="preserve"> община Своге,</w:t>
      </w:r>
      <w:r w:rsidR="00F34426" w:rsidRPr="005F49B3">
        <w:rPr>
          <w:rFonts w:ascii="Times New Roman" w:hAnsi="Times New Roman" w:cs="Times New Roman"/>
          <w:sz w:val="24"/>
          <w:szCs w:val="24"/>
          <w:lang w:eastAsia="bg-BG"/>
        </w:rPr>
        <w:t xml:space="preserve"> с. Стърница</w:t>
      </w:r>
      <w:r w:rsidR="00FC5B2F">
        <w:rPr>
          <w:rFonts w:ascii="Times New Roman" w:hAnsi="Times New Roman" w:cs="Times New Roman"/>
          <w:sz w:val="24"/>
          <w:szCs w:val="24"/>
          <w:lang w:eastAsia="bg-BG"/>
        </w:rPr>
        <w:t>, община Баните</w:t>
      </w:r>
      <w:r w:rsidR="00F34426" w:rsidRPr="005F49B3">
        <w:rPr>
          <w:rFonts w:ascii="Times New Roman" w:hAnsi="Times New Roman" w:cs="Times New Roman"/>
          <w:sz w:val="24"/>
          <w:szCs w:val="24"/>
          <w:lang w:eastAsia="bg-BG"/>
        </w:rPr>
        <w:t xml:space="preserve"> и др. Дейностите са реализирани със съвместно финансиране от централния бюджет и чрез </w:t>
      </w:r>
      <w:r w:rsidR="00FC5B2F">
        <w:rPr>
          <w:rFonts w:ascii="Times New Roman" w:hAnsi="Times New Roman" w:cs="Times New Roman"/>
          <w:sz w:val="24"/>
          <w:szCs w:val="24"/>
          <w:lang w:eastAsia="bg-BG"/>
        </w:rPr>
        <w:t>финансова</w:t>
      </w:r>
      <w:r w:rsidR="00F34426" w:rsidRPr="005F49B3">
        <w:rPr>
          <w:rFonts w:ascii="Times New Roman" w:hAnsi="Times New Roman" w:cs="Times New Roman"/>
          <w:sz w:val="24"/>
          <w:szCs w:val="24"/>
          <w:lang w:eastAsia="bg-BG"/>
        </w:rPr>
        <w:t xml:space="preserve"> подкрепа на общините.</w:t>
      </w:r>
    </w:p>
    <w:p w14:paraId="53C5FA7F" w14:textId="04D73BF7" w:rsidR="00F34426" w:rsidRPr="005F49B3" w:rsidRDefault="00F34426" w:rsidP="00F3442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Препоръчва се изпълнение на </w:t>
      </w:r>
      <w:r w:rsidR="00FC5B2F">
        <w:rPr>
          <w:rFonts w:ascii="Times New Roman" w:hAnsi="Times New Roman" w:cs="Times New Roman"/>
          <w:sz w:val="24"/>
          <w:szCs w:val="24"/>
          <w:lang w:eastAsia="bg-BG"/>
        </w:rPr>
        <w:t>П</w:t>
      </w:r>
      <w:r w:rsidRPr="005F49B3">
        <w:rPr>
          <w:rFonts w:ascii="Times New Roman" w:hAnsi="Times New Roman" w:cs="Times New Roman"/>
          <w:sz w:val="24"/>
          <w:szCs w:val="24"/>
          <w:lang w:eastAsia="bg-BG"/>
        </w:rPr>
        <w:t>рограма</w:t>
      </w:r>
      <w:r w:rsidR="00FC5B2F">
        <w:rPr>
          <w:rFonts w:ascii="Times New Roman" w:hAnsi="Times New Roman" w:cs="Times New Roman"/>
          <w:sz w:val="24"/>
          <w:szCs w:val="24"/>
          <w:lang w:eastAsia="bg-BG"/>
        </w:rPr>
        <w:t>та</w:t>
      </w:r>
      <w:r w:rsidRPr="005F49B3">
        <w:rPr>
          <w:rFonts w:ascii="Times New Roman" w:hAnsi="Times New Roman" w:cs="Times New Roman"/>
          <w:sz w:val="24"/>
          <w:szCs w:val="24"/>
          <w:lang w:eastAsia="bg-BG"/>
        </w:rPr>
        <w:t xml:space="preserve"> за геозащита чрез обвързване с териториалното и устройствено планиране, вкл. чрез задължително използване на актуализираните карти на геоложкия риск в процеса </w:t>
      </w:r>
      <w:r w:rsidR="00FC5B2F">
        <w:rPr>
          <w:rFonts w:ascii="Times New Roman" w:hAnsi="Times New Roman" w:cs="Times New Roman"/>
          <w:sz w:val="24"/>
          <w:szCs w:val="24"/>
          <w:lang w:eastAsia="bg-BG"/>
        </w:rPr>
        <w:t xml:space="preserve">на разработване на устройствени </w:t>
      </w:r>
      <w:r w:rsidR="00FC5B2F">
        <w:rPr>
          <w:rFonts w:ascii="Times New Roman" w:hAnsi="Times New Roman" w:cs="Times New Roman"/>
          <w:sz w:val="24"/>
          <w:szCs w:val="24"/>
          <w:lang w:eastAsia="bg-BG"/>
        </w:rPr>
        <w:lastRenderedPageBreak/>
        <w:t>планов</w:t>
      </w:r>
      <w:r w:rsidR="00C90111">
        <w:rPr>
          <w:rFonts w:ascii="Times New Roman" w:hAnsi="Times New Roman" w:cs="Times New Roman"/>
          <w:sz w:val="24"/>
          <w:szCs w:val="24"/>
          <w:lang w:eastAsia="bg-BG"/>
        </w:rPr>
        <w:t>е</w:t>
      </w:r>
      <w:r w:rsidR="00FC5B2F">
        <w:rPr>
          <w:rFonts w:ascii="Times New Roman" w:hAnsi="Times New Roman" w:cs="Times New Roman"/>
          <w:sz w:val="24"/>
          <w:szCs w:val="24"/>
          <w:lang w:eastAsia="bg-BG"/>
        </w:rPr>
        <w:t xml:space="preserve"> и </w:t>
      </w:r>
      <w:r w:rsidRPr="005F49B3">
        <w:rPr>
          <w:rFonts w:ascii="Times New Roman" w:hAnsi="Times New Roman" w:cs="Times New Roman"/>
          <w:sz w:val="24"/>
          <w:szCs w:val="24"/>
          <w:lang w:eastAsia="bg-BG"/>
        </w:rPr>
        <w:t xml:space="preserve">одобряване на инвестиционни проекти. Необходимо е целево финансиране за </w:t>
      </w:r>
      <w:r w:rsidR="00FC5B2F">
        <w:rPr>
          <w:rFonts w:ascii="Times New Roman" w:hAnsi="Times New Roman" w:cs="Times New Roman"/>
          <w:sz w:val="24"/>
          <w:szCs w:val="24"/>
          <w:lang w:eastAsia="bg-BG"/>
        </w:rPr>
        <w:t>геозащитни мерки и</w:t>
      </w:r>
      <w:r w:rsidRPr="005F49B3">
        <w:rPr>
          <w:rFonts w:ascii="Times New Roman" w:hAnsi="Times New Roman" w:cs="Times New Roman"/>
          <w:sz w:val="24"/>
          <w:szCs w:val="24"/>
          <w:lang w:eastAsia="bg-BG"/>
        </w:rPr>
        <w:t xml:space="preserve"> дейности</w:t>
      </w:r>
      <w:r w:rsidR="00FC5B2F">
        <w:rPr>
          <w:rFonts w:ascii="Times New Roman" w:hAnsi="Times New Roman" w:cs="Times New Roman"/>
          <w:sz w:val="24"/>
          <w:szCs w:val="24"/>
          <w:lang w:eastAsia="bg-BG"/>
        </w:rPr>
        <w:t xml:space="preserve"> за ограничаване на свлачищата</w:t>
      </w:r>
      <w:r w:rsidRPr="005F49B3">
        <w:rPr>
          <w:rFonts w:ascii="Times New Roman" w:hAnsi="Times New Roman" w:cs="Times New Roman"/>
          <w:sz w:val="24"/>
          <w:szCs w:val="24"/>
          <w:lang w:eastAsia="bg-BG"/>
        </w:rPr>
        <w:t xml:space="preserve">, а не само за аварийни </w:t>
      </w:r>
      <w:r w:rsidR="00FC5B2F">
        <w:rPr>
          <w:rFonts w:ascii="Times New Roman" w:hAnsi="Times New Roman" w:cs="Times New Roman"/>
          <w:sz w:val="24"/>
          <w:szCs w:val="24"/>
          <w:lang w:eastAsia="bg-BG"/>
        </w:rPr>
        <w:t>мероприятия в тях</w:t>
      </w:r>
      <w:r w:rsidRPr="005F49B3">
        <w:rPr>
          <w:rFonts w:ascii="Times New Roman" w:hAnsi="Times New Roman" w:cs="Times New Roman"/>
          <w:sz w:val="24"/>
          <w:szCs w:val="24"/>
          <w:lang w:eastAsia="bg-BG"/>
        </w:rPr>
        <w:t xml:space="preserve">, с </w:t>
      </w:r>
      <w:r w:rsidR="00FC5B2F">
        <w:rPr>
          <w:rFonts w:ascii="Times New Roman" w:hAnsi="Times New Roman" w:cs="Times New Roman"/>
          <w:sz w:val="24"/>
          <w:szCs w:val="24"/>
          <w:lang w:eastAsia="bg-BG"/>
        </w:rPr>
        <w:t xml:space="preserve">разпределение на финансовите средства по определени критерии с </w:t>
      </w:r>
      <w:r w:rsidRPr="005F49B3">
        <w:rPr>
          <w:rFonts w:ascii="Times New Roman" w:hAnsi="Times New Roman" w:cs="Times New Roman"/>
          <w:sz w:val="24"/>
          <w:szCs w:val="24"/>
          <w:lang w:eastAsia="bg-BG"/>
        </w:rPr>
        <w:t>предимство за критични инфраструктури и населени места.</w:t>
      </w:r>
    </w:p>
    <w:p w14:paraId="66B7C7BC" w14:textId="3263893E" w:rsidR="00FC5B2F" w:rsidRDefault="00FC5B2F" w:rsidP="00FC5B2F">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Следва да се разшири техническият и административен капацитет на държавните и общинските органи, както и да се </w:t>
      </w:r>
      <w:r>
        <w:rPr>
          <w:rFonts w:ascii="Times New Roman" w:hAnsi="Times New Roman" w:cs="Times New Roman"/>
          <w:sz w:val="24"/>
          <w:szCs w:val="24"/>
          <w:lang w:eastAsia="bg-BG"/>
        </w:rPr>
        <w:t>актуализира и осъвремени Р</w:t>
      </w:r>
      <w:r w:rsidRPr="005F49B3">
        <w:rPr>
          <w:rFonts w:ascii="Times New Roman" w:hAnsi="Times New Roman" w:cs="Times New Roman"/>
          <w:sz w:val="24"/>
          <w:szCs w:val="24"/>
          <w:lang w:eastAsia="bg-BG"/>
        </w:rPr>
        <w:t>егистър</w:t>
      </w:r>
      <w:r>
        <w:rPr>
          <w:rFonts w:ascii="Times New Roman" w:hAnsi="Times New Roman" w:cs="Times New Roman"/>
          <w:sz w:val="24"/>
          <w:szCs w:val="24"/>
          <w:lang w:eastAsia="bg-BG"/>
        </w:rPr>
        <w:t xml:space="preserve">а на </w:t>
      </w:r>
      <w:proofErr w:type="spellStart"/>
      <w:r>
        <w:rPr>
          <w:rFonts w:ascii="Times New Roman" w:hAnsi="Times New Roman" w:cs="Times New Roman"/>
          <w:sz w:val="24"/>
          <w:szCs w:val="24"/>
          <w:lang w:eastAsia="bg-BG"/>
        </w:rPr>
        <w:t>свлачищните</w:t>
      </w:r>
      <w:proofErr w:type="spellEnd"/>
      <w:r>
        <w:rPr>
          <w:rFonts w:ascii="Times New Roman" w:hAnsi="Times New Roman" w:cs="Times New Roman"/>
          <w:sz w:val="24"/>
          <w:szCs w:val="24"/>
          <w:lang w:eastAsia="bg-BG"/>
        </w:rPr>
        <w:t xml:space="preserve"> райони</w:t>
      </w:r>
      <w:r w:rsidRPr="005F49B3">
        <w:rPr>
          <w:rFonts w:ascii="Times New Roman" w:hAnsi="Times New Roman" w:cs="Times New Roman"/>
          <w:sz w:val="24"/>
          <w:szCs w:val="24"/>
          <w:lang w:eastAsia="bg-BG"/>
        </w:rPr>
        <w:t>. Препоръчва се оптимизация на междуведомствената координация</w:t>
      </w:r>
      <w:r>
        <w:rPr>
          <w:rFonts w:ascii="Times New Roman" w:hAnsi="Times New Roman" w:cs="Times New Roman"/>
          <w:sz w:val="24"/>
          <w:szCs w:val="24"/>
          <w:lang w:eastAsia="bg-BG"/>
        </w:rPr>
        <w:t xml:space="preserve"> при възникване на </w:t>
      </w:r>
      <w:proofErr w:type="spellStart"/>
      <w:r>
        <w:rPr>
          <w:rFonts w:ascii="Times New Roman" w:hAnsi="Times New Roman" w:cs="Times New Roman"/>
          <w:sz w:val="24"/>
          <w:szCs w:val="24"/>
          <w:lang w:eastAsia="bg-BG"/>
        </w:rPr>
        <w:t>свлачищни</w:t>
      </w:r>
      <w:proofErr w:type="spellEnd"/>
      <w:r>
        <w:rPr>
          <w:rFonts w:ascii="Times New Roman" w:hAnsi="Times New Roman" w:cs="Times New Roman"/>
          <w:sz w:val="24"/>
          <w:szCs w:val="24"/>
          <w:lang w:eastAsia="bg-BG"/>
        </w:rPr>
        <w:t xml:space="preserve"> процеси </w:t>
      </w:r>
      <w:r w:rsidRPr="005F49B3">
        <w:rPr>
          <w:rFonts w:ascii="Times New Roman" w:hAnsi="Times New Roman" w:cs="Times New Roman"/>
          <w:sz w:val="24"/>
          <w:szCs w:val="24"/>
          <w:lang w:eastAsia="bg-BG"/>
        </w:rPr>
        <w:t xml:space="preserve">и </w:t>
      </w:r>
      <w:r>
        <w:rPr>
          <w:rFonts w:ascii="Times New Roman" w:hAnsi="Times New Roman" w:cs="Times New Roman"/>
          <w:sz w:val="24"/>
          <w:szCs w:val="24"/>
          <w:lang w:eastAsia="bg-BG"/>
        </w:rPr>
        <w:t xml:space="preserve">финансова подкрепа на общините за превенция и ограничаване на свлачищата в </w:t>
      </w:r>
      <w:r w:rsidRPr="005F49B3">
        <w:rPr>
          <w:rFonts w:ascii="Times New Roman" w:hAnsi="Times New Roman" w:cs="Times New Roman"/>
          <w:sz w:val="24"/>
          <w:szCs w:val="24"/>
          <w:lang w:eastAsia="bg-BG"/>
        </w:rPr>
        <w:t>засегнати райони.</w:t>
      </w:r>
    </w:p>
    <w:p w14:paraId="6D27B95E" w14:textId="1806EC02" w:rsidR="00F34426" w:rsidRDefault="00FC5B2F" w:rsidP="00FC5B2F">
      <w:pPr>
        <w:spacing w:after="120"/>
        <w:ind w:firstLine="851"/>
        <w:jc w:val="both"/>
        <w:rPr>
          <w:rFonts w:ascii="Times New Roman" w:hAnsi="Times New Roman" w:cs="Times New Roman"/>
          <w:sz w:val="24"/>
          <w:szCs w:val="24"/>
          <w:lang w:eastAsia="bg-BG"/>
        </w:rPr>
      </w:pPr>
      <w:r>
        <w:rPr>
          <w:rFonts w:ascii="Times New Roman" w:hAnsi="Times New Roman" w:cs="Times New Roman"/>
          <w:sz w:val="24"/>
          <w:szCs w:val="24"/>
          <w:lang w:eastAsia="bg-BG"/>
        </w:rPr>
        <w:t>Необходимо е да се облекчат процедурите за възлагане на обществени поръчки в условия на неотложност и спешност за реализиране на геозащитна инфраструктура за ограничаване на свлачища и други неблагоприятни геодинамични процеси</w:t>
      </w:r>
    </w:p>
    <w:p w14:paraId="0A13E2B9" w14:textId="17EA94EA" w:rsidR="002C3C36" w:rsidRPr="005F49B3" w:rsidRDefault="002C3C36" w:rsidP="00D6403A">
      <w:pPr>
        <w:pStyle w:val="Heading4"/>
        <w:numPr>
          <w:ilvl w:val="0"/>
          <w:numId w:val="40"/>
        </w:numPr>
        <w:spacing w:after="120"/>
        <w:ind w:left="0" w:firstLine="284"/>
        <w:jc w:val="center"/>
        <w:rPr>
          <w:rStyle w:val="Strong"/>
          <w:rFonts w:ascii="Times New Roman" w:hAnsi="Times New Roman" w:cs="Times New Roman"/>
          <w:b w:val="0"/>
          <w:bCs w:val="0"/>
          <w:color w:val="auto"/>
          <w:sz w:val="24"/>
          <w:szCs w:val="24"/>
          <w:u w:val="single"/>
        </w:rPr>
      </w:pPr>
      <w:r w:rsidRPr="002C3C36">
        <w:rPr>
          <w:rFonts w:ascii="Times New Roman" w:hAnsi="Times New Roman" w:cs="Times New Roman"/>
          <w:color w:val="auto"/>
          <w:sz w:val="24"/>
          <w:szCs w:val="24"/>
          <w:u w:val="single"/>
        </w:rPr>
        <w:t>Инфраструктурен риск: кадастрални данни и системи</w:t>
      </w:r>
    </w:p>
    <w:p w14:paraId="7800D8A9" w14:textId="324005CB" w:rsidR="002C3C36" w:rsidRPr="002C3C36" w:rsidRDefault="002C3C36" w:rsidP="00D6403A">
      <w:pPr>
        <w:pStyle w:val="ListParagraph"/>
        <w:numPr>
          <w:ilvl w:val="0"/>
          <w:numId w:val="39"/>
        </w:numPr>
        <w:spacing w:before="120" w:after="120" w:line="276" w:lineRule="auto"/>
        <w:jc w:val="both"/>
        <w:rPr>
          <w:rFonts w:ascii="Times New Roman" w:hAnsi="Times New Roman" w:cs="Times New Roman"/>
          <w:b/>
          <w:sz w:val="24"/>
          <w:szCs w:val="24"/>
        </w:rPr>
      </w:pPr>
      <w:r w:rsidRPr="002C3C36">
        <w:rPr>
          <w:rFonts w:ascii="Times New Roman" w:hAnsi="Times New Roman" w:cs="Times New Roman"/>
          <w:b/>
          <w:sz w:val="24"/>
          <w:szCs w:val="24"/>
        </w:rPr>
        <w:t>Кадастралните и специализираните данни обхващат над 20 млн. недвижими имоти и имат стратегическо значение за националната сигурност.</w:t>
      </w:r>
    </w:p>
    <w:p w14:paraId="293B760E" w14:textId="06517D0C" w:rsidR="002C3C36" w:rsidRPr="002C3C36" w:rsidRDefault="002C3C36" w:rsidP="00D6403A">
      <w:pPr>
        <w:pStyle w:val="ListParagraph"/>
        <w:numPr>
          <w:ilvl w:val="0"/>
          <w:numId w:val="39"/>
        </w:numPr>
        <w:spacing w:before="120" w:after="120" w:line="276" w:lineRule="auto"/>
        <w:jc w:val="both"/>
        <w:rPr>
          <w:rFonts w:ascii="Times New Roman" w:hAnsi="Times New Roman" w:cs="Times New Roman"/>
          <w:b/>
          <w:sz w:val="24"/>
          <w:szCs w:val="24"/>
        </w:rPr>
      </w:pPr>
      <w:r w:rsidRPr="002C3C36">
        <w:rPr>
          <w:rFonts w:ascii="Times New Roman" w:hAnsi="Times New Roman" w:cs="Times New Roman"/>
          <w:b/>
          <w:sz w:val="24"/>
          <w:szCs w:val="24"/>
        </w:rPr>
        <w:t>Информационните системи на кадастъра функционират върху остаряла и амортизирана инфраструктура, създавайки риск за защита на данните и надеждността на услугите.</w:t>
      </w:r>
    </w:p>
    <w:p w14:paraId="692CB5E0" w14:textId="77777777" w:rsidR="002C3C36" w:rsidRPr="002C3C36" w:rsidRDefault="002C3C36" w:rsidP="00D6403A">
      <w:pPr>
        <w:pStyle w:val="ListParagraph"/>
        <w:numPr>
          <w:ilvl w:val="0"/>
          <w:numId w:val="39"/>
        </w:numPr>
        <w:spacing w:before="120" w:after="120" w:line="276" w:lineRule="auto"/>
        <w:jc w:val="both"/>
        <w:rPr>
          <w:rFonts w:ascii="Times New Roman" w:hAnsi="Times New Roman" w:cs="Times New Roman"/>
          <w:b/>
          <w:sz w:val="24"/>
          <w:szCs w:val="24"/>
        </w:rPr>
      </w:pPr>
      <w:r w:rsidRPr="002C3C36">
        <w:rPr>
          <w:rFonts w:ascii="Times New Roman" w:hAnsi="Times New Roman" w:cs="Times New Roman"/>
          <w:b/>
          <w:sz w:val="24"/>
          <w:szCs w:val="24"/>
        </w:rPr>
        <w:t>Отчетено е системно претоварване на сървърите и устройствата поради ръст на потребители, данни и заявки.</w:t>
      </w:r>
    </w:p>
    <w:p w14:paraId="06B9B6BA" w14:textId="00CB3D6E" w:rsidR="002C3C36" w:rsidRPr="002C3C36" w:rsidRDefault="002C3C36" w:rsidP="00D6403A">
      <w:pPr>
        <w:pStyle w:val="ListParagraph"/>
        <w:numPr>
          <w:ilvl w:val="0"/>
          <w:numId w:val="39"/>
        </w:numPr>
        <w:spacing w:before="120" w:after="120" w:line="276" w:lineRule="auto"/>
        <w:jc w:val="both"/>
        <w:rPr>
          <w:rFonts w:ascii="Times New Roman" w:hAnsi="Times New Roman" w:cs="Times New Roman"/>
          <w:b/>
          <w:sz w:val="24"/>
          <w:szCs w:val="24"/>
        </w:rPr>
      </w:pPr>
      <w:r w:rsidRPr="002C3C36">
        <w:rPr>
          <w:rFonts w:ascii="Times New Roman" w:hAnsi="Times New Roman" w:cs="Times New Roman"/>
          <w:b/>
          <w:sz w:val="24"/>
          <w:szCs w:val="24"/>
        </w:rPr>
        <w:t>Стартира процес по модернизация на системата чрез рамков договор със системен интегратор и внедряване на нова информационна система до края на 2024 г.</w:t>
      </w:r>
    </w:p>
    <w:p w14:paraId="0EAC248C" w14:textId="08B81BCF" w:rsidR="002C3C36" w:rsidRPr="002C3C36" w:rsidRDefault="002C3C36" w:rsidP="002C3C36">
      <w:pPr>
        <w:spacing w:after="120"/>
        <w:ind w:firstLine="851"/>
        <w:jc w:val="both"/>
        <w:rPr>
          <w:rFonts w:ascii="Times New Roman" w:hAnsi="Times New Roman" w:cs="Times New Roman"/>
          <w:sz w:val="24"/>
          <w:szCs w:val="24"/>
          <w:lang w:eastAsia="bg-BG"/>
        </w:rPr>
      </w:pPr>
      <w:r w:rsidRPr="002C3C36">
        <w:rPr>
          <w:rFonts w:ascii="Times New Roman" w:hAnsi="Times New Roman" w:cs="Times New Roman"/>
          <w:sz w:val="24"/>
          <w:szCs w:val="24"/>
          <w:lang w:eastAsia="bg-BG"/>
        </w:rPr>
        <w:t>Кадастралните и специализираните данни в Република България имат стратегическо значение за националната сигурност, като обхващат над 20,1 млн. недвижими имоти, включително 13,8 млн. поземлени имоти, 3,2 млн. сгради и 3,1 млн. самостоятелни обекти. В кадастралния регистър на собствеността са вписани над 26 млн. записа. Тези данни се използват при планиране, инвестиционно проектиране, изграждане на инфраструктура, управление при бедствия, опазване на околната среда и при сделки с недвижими имоти. Цялостното функциониране на гражданския оборот и ключови дейности в държавата зависи пряко от информационните системи на кадастъра.</w:t>
      </w:r>
    </w:p>
    <w:p w14:paraId="6E05CD7D" w14:textId="483A8975" w:rsidR="002C3C36" w:rsidRPr="002C3C36" w:rsidRDefault="002C3C36" w:rsidP="002C3C36">
      <w:pPr>
        <w:spacing w:after="120"/>
        <w:ind w:firstLine="851"/>
        <w:jc w:val="both"/>
        <w:rPr>
          <w:rFonts w:ascii="Times New Roman" w:hAnsi="Times New Roman" w:cs="Times New Roman"/>
          <w:sz w:val="24"/>
          <w:szCs w:val="24"/>
          <w:lang w:eastAsia="bg-BG"/>
        </w:rPr>
      </w:pPr>
      <w:r w:rsidRPr="002C3C36">
        <w:rPr>
          <w:rFonts w:ascii="Times New Roman" w:hAnsi="Times New Roman" w:cs="Times New Roman"/>
          <w:sz w:val="24"/>
          <w:szCs w:val="24"/>
          <w:lang w:eastAsia="bg-BG"/>
        </w:rPr>
        <w:t>През 2023–2024 г. тези системи продължиха да работят върху остаряла и амортизирана информационно-комуникационна среда, което поражда значителни рискове за защитата на личните данни, надеждността на кадастралната информация и непрекъсваемостта на ключови услуги. Отчетено бе системно претоварване на сървърите и устройствата поради значителен ръст на потребители, данни и заявки, което допълнително увеличи вероятността от сривове и загуба на информация.</w:t>
      </w:r>
    </w:p>
    <w:p w14:paraId="2BF70C56" w14:textId="1A0F808F" w:rsidR="002C3C36" w:rsidRPr="005F49B3" w:rsidRDefault="002C3C36" w:rsidP="002C3C36">
      <w:pPr>
        <w:spacing w:after="120"/>
        <w:ind w:firstLine="851"/>
        <w:jc w:val="both"/>
        <w:rPr>
          <w:rFonts w:ascii="Times New Roman" w:hAnsi="Times New Roman" w:cs="Times New Roman"/>
          <w:sz w:val="24"/>
          <w:szCs w:val="24"/>
          <w:lang w:eastAsia="bg-BG"/>
        </w:rPr>
      </w:pPr>
      <w:r w:rsidRPr="002C3C36">
        <w:rPr>
          <w:rFonts w:ascii="Times New Roman" w:hAnsi="Times New Roman" w:cs="Times New Roman"/>
          <w:sz w:val="24"/>
          <w:szCs w:val="24"/>
          <w:lang w:eastAsia="bg-BG"/>
        </w:rPr>
        <w:t xml:space="preserve">За преодоляване на тези рискове Агенцията по геодезия, картография и кадастър сключи рамков договор със системния интегратор „Информационно обслужване“ АД за изграждане, поддържане и развитие на информационно-комуникационните системи. В резултат на извършен анализ бяха идентифицирани слабости в сървърната и мрежовата инфраструктура и формулирани конкретни препоръки за тяхното отстраняване. Осигурена бе необходимата инфраструктура за въвеждането на нова информационна </w:t>
      </w:r>
      <w:r w:rsidRPr="002C3C36">
        <w:rPr>
          <w:rFonts w:ascii="Times New Roman" w:hAnsi="Times New Roman" w:cs="Times New Roman"/>
          <w:sz w:val="24"/>
          <w:szCs w:val="24"/>
          <w:lang w:eastAsia="bg-BG"/>
        </w:rPr>
        <w:lastRenderedPageBreak/>
        <w:t>система за кадастрални и специализирани данни, като внедряването ѝ бе планирано до края на декември 2024 г.</w:t>
      </w:r>
    </w:p>
    <w:p w14:paraId="27FF462F" w14:textId="77777777" w:rsidR="006213BD" w:rsidRPr="00FD5396" w:rsidRDefault="003C6AA8" w:rsidP="00D6403A">
      <w:pPr>
        <w:pStyle w:val="Heading3"/>
        <w:numPr>
          <w:ilvl w:val="0"/>
          <w:numId w:val="14"/>
        </w:numPr>
        <w:spacing w:before="120" w:after="120" w:line="276" w:lineRule="auto"/>
        <w:ind w:left="714" w:hanging="357"/>
        <w:rPr>
          <w:rFonts w:ascii="Times New Roman" w:hAnsi="Times New Roman" w:cs="Times New Roman"/>
          <w:b/>
          <w:color w:val="1F4E79" w:themeColor="accent1" w:themeShade="80"/>
        </w:rPr>
      </w:pPr>
      <w:bookmarkStart w:id="52" w:name="_Toc208580388"/>
      <w:r w:rsidRPr="00FD5396">
        <w:rPr>
          <w:rFonts w:ascii="Times New Roman" w:hAnsi="Times New Roman" w:cs="Times New Roman"/>
          <w:b/>
          <w:color w:val="1F4E79" w:themeColor="accent1" w:themeShade="80"/>
        </w:rPr>
        <w:t>Общество и човешки капитал: демографски, здравни, образователни и социални аспекти на сигурността</w:t>
      </w:r>
      <w:bookmarkEnd w:id="52"/>
    </w:p>
    <w:p w14:paraId="07343672" w14:textId="77777777" w:rsidR="003C6AA8" w:rsidRPr="005F49B3" w:rsidRDefault="003C6AA8" w:rsidP="00D6403A">
      <w:pPr>
        <w:pStyle w:val="ListParagraph"/>
        <w:numPr>
          <w:ilvl w:val="0"/>
          <w:numId w:val="22"/>
        </w:numPr>
        <w:spacing w:after="120"/>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България е сред най-бързо застаряващите държави в Европа, с нарастваща възрастова зависимост и обезлюдяване на цели региони, което ограничава способността за реакция при кризи.</w:t>
      </w:r>
    </w:p>
    <w:p w14:paraId="51EE9B9C" w14:textId="77777777" w:rsidR="00A52DC6" w:rsidRPr="005F49B3" w:rsidRDefault="00A52DC6" w:rsidP="00D6403A">
      <w:pPr>
        <w:pStyle w:val="ListParagraph"/>
        <w:numPr>
          <w:ilvl w:val="0"/>
          <w:numId w:val="22"/>
        </w:numPr>
        <w:jc w:val="both"/>
        <w:rPr>
          <w:rFonts w:ascii="Times New Roman" w:hAnsi="Times New Roman" w:cs="Times New Roman"/>
          <w:b/>
          <w:sz w:val="24"/>
          <w:szCs w:val="24"/>
        </w:rPr>
      </w:pPr>
      <w:r>
        <w:rPr>
          <w:rFonts w:ascii="Times New Roman" w:hAnsi="Times New Roman" w:cs="Times New Roman"/>
          <w:b/>
          <w:sz w:val="24"/>
          <w:szCs w:val="24"/>
        </w:rPr>
        <w:t>Н</w:t>
      </w:r>
      <w:r w:rsidRPr="005F49B3">
        <w:rPr>
          <w:rFonts w:ascii="Times New Roman" w:hAnsi="Times New Roman" w:cs="Times New Roman"/>
          <w:b/>
          <w:sz w:val="24"/>
          <w:szCs w:val="24"/>
        </w:rPr>
        <w:t xml:space="preserve">иска безработица, </w:t>
      </w:r>
      <w:r>
        <w:rPr>
          <w:rFonts w:ascii="Times New Roman" w:hAnsi="Times New Roman" w:cs="Times New Roman"/>
          <w:b/>
          <w:sz w:val="24"/>
          <w:szCs w:val="24"/>
        </w:rPr>
        <w:t>несъответствие между предлагането и търсенето на труд</w:t>
      </w:r>
      <w:r w:rsidRPr="005F49B3">
        <w:rPr>
          <w:rFonts w:ascii="Times New Roman" w:hAnsi="Times New Roman" w:cs="Times New Roman"/>
          <w:b/>
          <w:sz w:val="24"/>
          <w:szCs w:val="24"/>
        </w:rPr>
        <w:t xml:space="preserve">, като </w:t>
      </w:r>
      <w:r>
        <w:rPr>
          <w:rFonts w:ascii="Times New Roman" w:hAnsi="Times New Roman" w:cs="Times New Roman"/>
          <w:b/>
          <w:sz w:val="24"/>
          <w:szCs w:val="24"/>
        </w:rPr>
        <w:t xml:space="preserve">все още се наблюдават </w:t>
      </w:r>
      <w:r w:rsidRPr="005F49B3">
        <w:rPr>
          <w:rFonts w:ascii="Times New Roman" w:hAnsi="Times New Roman" w:cs="Times New Roman"/>
          <w:b/>
          <w:sz w:val="24"/>
          <w:szCs w:val="24"/>
        </w:rPr>
        <w:t>младежка неактивност и териториални неравенства.</w:t>
      </w:r>
    </w:p>
    <w:p w14:paraId="5D313A26" w14:textId="77777777" w:rsidR="003C6AA8" w:rsidRPr="005F49B3" w:rsidRDefault="003C6AA8" w:rsidP="00D6403A">
      <w:pPr>
        <w:pStyle w:val="ListParagraph"/>
        <w:numPr>
          <w:ilvl w:val="0"/>
          <w:numId w:val="22"/>
        </w:numPr>
        <w:jc w:val="both"/>
        <w:rPr>
          <w:rFonts w:ascii="Times New Roman" w:hAnsi="Times New Roman" w:cs="Times New Roman"/>
          <w:b/>
          <w:sz w:val="24"/>
          <w:szCs w:val="24"/>
        </w:rPr>
      </w:pPr>
      <w:r w:rsidRPr="005F49B3">
        <w:rPr>
          <w:rFonts w:ascii="Times New Roman" w:hAnsi="Times New Roman" w:cs="Times New Roman"/>
          <w:b/>
          <w:sz w:val="24"/>
          <w:szCs w:val="24"/>
        </w:rPr>
        <w:t>Здравната система е изложена на едновременни рискове – кадрови, епидемични, технологични и нормативни – с ограничен капацитет за реакция при комбинирани кризи.</w:t>
      </w:r>
    </w:p>
    <w:p w14:paraId="44909D32" w14:textId="77777777" w:rsidR="003C6AA8" w:rsidRPr="005F49B3" w:rsidRDefault="003C6AA8" w:rsidP="00D6403A">
      <w:pPr>
        <w:pStyle w:val="ListParagraph"/>
        <w:numPr>
          <w:ilvl w:val="0"/>
          <w:numId w:val="22"/>
        </w:numPr>
        <w:jc w:val="both"/>
        <w:rPr>
          <w:rFonts w:ascii="Times New Roman" w:hAnsi="Times New Roman" w:cs="Times New Roman"/>
          <w:b/>
          <w:sz w:val="24"/>
          <w:szCs w:val="24"/>
        </w:rPr>
      </w:pPr>
      <w:r w:rsidRPr="005F49B3">
        <w:rPr>
          <w:rFonts w:ascii="Times New Roman" w:hAnsi="Times New Roman" w:cs="Times New Roman"/>
          <w:b/>
          <w:sz w:val="24"/>
          <w:szCs w:val="24"/>
        </w:rPr>
        <w:t>Образованието не успява да отговори на нуждите от умения в сектори, свързани със сигурността и устойчивостта.</w:t>
      </w:r>
    </w:p>
    <w:p w14:paraId="7AEB5563" w14:textId="77777777" w:rsidR="00C10DF4" w:rsidRPr="005F49B3" w:rsidRDefault="00C10DF4" w:rsidP="00D6403A">
      <w:pPr>
        <w:pStyle w:val="ListParagraph"/>
        <w:numPr>
          <w:ilvl w:val="0"/>
          <w:numId w:val="22"/>
        </w:numPr>
        <w:jc w:val="both"/>
        <w:rPr>
          <w:rFonts w:ascii="Times New Roman" w:hAnsi="Times New Roman" w:cs="Times New Roman"/>
          <w:b/>
          <w:sz w:val="24"/>
          <w:szCs w:val="24"/>
        </w:rPr>
      </w:pPr>
      <w:r w:rsidRPr="005F49B3">
        <w:rPr>
          <w:rFonts w:ascii="Times New Roman" w:hAnsi="Times New Roman" w:cs="Times New Roman"/>
          <w:b/>
          <w:sz w:val="24"/>
          <w:szCs w:val="24"/>
        </w:rPr>
        <w:t>Запазва се и периодичната липса на важни и скъпоструващи лекарства в търговската мрежа поради проблеми с логистиката, схеми за паралелен износ, нарастващо потребление и други.</w:t>
      </w:r>
    </w:p>
    <w:p w14:paraId="3137A915" w14:textId="77777777" w:rsidR="003C6AA8" w:rsidRPr="005F49B3" w:rsidRDefault="003C6AA8" w:rsidP="00D6403A">
      <w:pPr>
        <w:pStyle w:val="ListParagraph"/>
        <w:numPr>
          <w:ilvl w:val="0"/>
          <w:numId w:val="22"/>
        </w:numPr>
        <w:jc w:val="both"/>
        <w:rPr>
          <w:rFonts w:ascii="Times New Roman" w:hAnsi="Times New Roman" w:cs="Times New Roman"/>
          <w:b/>
          <w:sz w:val="24"/>
          <w:szCs w:val="24"/>
        </w:rPr>
      </w:pPr>
      <w:r w:rsidRPr="005F49B3">
        <w:rPr>
          <w:rFonts w:ascii="Times New Roman" w:hAnsi="Times New Roman" w:cs="Times New Roman"/>
          <w:b/>
          <w:sz w:val="24"/>
          <w:szCs w:val="24"/>
        </w:rPr>
        <w:t>Спортът се утвърждава като инструмент за социална устойчивост, превенция на рисково поведение и компонент от националната готовност за действие при кризи.</w:t>
      </w:r>
    </w:p>
    <w:p w14:paraId="3F5E56AE"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През 2024 г. дълбоките социално-демографски трансформации в Република България продължават да оказват въздействие върху всички елементи на националната сигурност – от отбранителния капацитет и икономическата устойчивост до обществената кохезия и кризисната готовност. Устойчивото обезлюдяване, застаряващото население, дефицитите на кадри в стратегически сектори, натискът върху здравната система и предизвикателствата в образованието формират взаимосвързана среда на повишен социален риск.</w:t>
      </w:r>
    </w:p>
    <w:p w14:paraId="21303910"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Развитието на човешкия капитал изисква едновременно справяне с негативните демографски процеси и изграждане на адаптивни, справедливи и интегрирани системи в ключови сфери като труд, здраве, образование и физическа активност. Социалните системи трябва не само да осигуряват достъп и услуги, но и да бъдат подготвени за действени отговори в условия на кризи, геополитическа нестабилност и хибридни заплахи.</w:t>
      </w:r>
    </w:p>
    <w:p w14:paraId="5209EB36"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Анализът потвърждава необходимостта от цялостен и </w:t>
      </w:r>
      <w:proofErr w:type="spellStart"/>
      <w:r w:rsidRPr="005F49B3">
        <w:rPr>
          <w:rFonts w:ascii="Times New Roman" w:hAnsi="Times New Roman" w:cs="Times New Roman"/>
          <w:sz w:val="24"/>
          <w:szCs w:val="24"/>
          <w:lang w:eastAsia="bg-BG"/>
        </w:rPr>
        <w:t>надведомствен</w:t>
      </w:r>
      <w:proofErr w:type="spellEnd"/>
      <w:r w:rsidRPr="005F49B3">
        <w:rPr>
          <w:rFonts w:ascii="Times New Roman" w:hAnsi="Times New Roman" w:cs="Times New Roman"/>
          <w:sz w:val="24"/>
          <w:szCs w:val="24"/>
          <w:lang w:eastAsia="bg-BG"/>
        </w:rPr>
        <w:t xml:space="preserve"> подход, който да разглежда човешкия капитал не само като ресурс, а като ядро на устойчивата държавност и обществена сигурност.</w:t>
      </w:r>
    </w:p>
    <w:p w14:paraId="61914CA2" w14:textId="77777777" w:rsidR="003C6AA8" w:rsidRPr="005F49B3" w:rsidRDefault="003C6AA8" w:rsidP="00D6403A">
      <w:pPr>
        <w:pStyle w:val="Heading4"/>
        <w:numPr>
          <w:ilvl w:val="1"/>
          <w:numId w:val="23"/>
        </w:numPr>
        <w:spacing w:after="120"/>
        <w:ind w:left="284" w:hanging="284"/>
        <w:jc w:val="center"/>
        <w:rPr>
          <w:rFonts w:ascii="Times New Roman" w:hAnsi="Times New Roman" w:cs="Times New Roman"/>
          <w:color w:val="auto"/>
          <w:sz w:val="24"/>
          <w:u w:val="single"/>
        </w:rPr>
      </w:pPr>
      <w:r w:rsidRPr="005F49B3">
        <w:rPr>
          <w:rFonts w:ascii="Times New Roman" w:hAnsi="Times New Roman" w:cs="Times New Roman"/>
          <w:color w:val="auto"/>
          <w:sz w:val="24"/>
          <w:u w:val="single"/>
        </w:rPr>
        <w:t>Демографски тенденции и рискове</w:t>
      </w:r>
    </w:p>
    <w:p w14:paraId="1E35D0C6" w14:textId="77777777" w:rsidR="00464D51" w:rsidRPr="005F49B3" w:rsidRDefault="00464D51" w:rsidP="00D6403A">
      <w:pPr>
        <w:pStyle w:val="ListParagraph"/>
        <w:numPr>
          <w:ilvl w:val="0"/>
          <w:numId w:val="24"/>
        </w:numPr>
        <w:jc w:val="both"/>
        <w:rPr>
          <w:rFonts w:ascii="Times New Roman" w:hAnsi="Times New Roman" w:cs="Times New Roman"/>
          <w:b/>
          <w:sz w:val="24"/>
          <w:szCs w:val="24"/>
        </w:rPr>
      </w:pPr>
      <w:r w:rsidRPr="005F49B3">
        <w:rPr>
          <w:rFonts w:ascii="Times New Roman" w:hAnsi="Times New Roman" w:cs="Times New Roman"/>
          <w:b/>
          <w:sz w:val="24"/>
          <w:szCs w:val="24"/>
        </w:rPr>
        <w:t>България отчита най-ниска раждаемост от началото на века и продължаващо ускорено застаряване на населението – средна възраст 45.3 години.</w:t>
      </w:r>
    </w:p>
    <w:p w14:paraId="11970151" w14:textId="77777777" w:rsidR="00464D51" w:rsidRPr="005F49B3" w:rsidRDefault="00464D51" w:rsidP="00D6403A">
      <w:pPr>
        <w:pStyle w:val="ListParagraph"/>
        <w:numPr>
          <w:ilvl w:val="0"/>
          <w:numId w:val="24"/>
        </w:numPr>
        <w:jc w:val="both"/>
        <w:rPr>
          <w:rFonts w:ascii="Times New Roman" w:hAnsi="Times New Roman" w:cs="Times New Roman"/>
          <w:b/>
          <w:sz w:val="24"/>
          <w:szCs w:val="24"/>
        </w:rPr>
      </w:pPr>
      <w:r w:rsidRPr="005F49B3">
        <w:rPr>
          <w:rFonts w:ascii="Times New Roman" w:hAnsi="Times New Roman" w:cs="Times New Roman"/>
          <w:b/>
          <w:sz w:val="24"/>
          <w:szCs w:val="24"/>
        </w:rPr>
        <w:lastRenderedPageBreak/>
        <w:t>Териториалното обезлюдяване, особено в селските и северозападните райони, ограничава базовите функции на местната власт и капацитета за реакция при кризи.</w:t>
      </w:r>
    </w:p>
    <w:p w14:paraId="27301C63" w14:textId="77777777" w:rsidR="007335A5" w:rsidRPr="005F49B3" w:rsidRDefault="007335A5" w:rsidP="007335A5">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Демографските процеси в Република България продължават да представляват един от най-съществените дългосрочни рискове за националната сигурност, като през 2024 г. тенденциите се задълбочават. Населението на страната възлиза на 6 </w:t>
      </w:r>
      <w:r>
        <w:rPr>
          <w:rFonts w:ascii="Times New Roman" w:hAnsi="Times New Roman" w:cs="Times New Roman"/>
          <w:sz w:val="24"/>
          <w:szCs w:val="24"/>
          <w:lang w:eastAsia="bg-BG"/>
        </w:rPr>
        <w:t>437</w:t>
      </w:r>
      <w:r w:rsidRPr="005F49B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360</w:t>
      </w:r>
      <w:r w:rsidRPr="005F49B3">
        <w:rPr>
          <w:rFonts w:ascii="Times New Roman" w:hAnsi="Times New Roman" w:cs="Times New Roman"/>
          <w:sz w:val="24"/>
          <w:szCs w:val="24"/>
          <w:lang w:eastAsia="bg-BG"/>
        </w:rPr>
        <w:t xml:space="preserve"> души, като отрицателният естествен прираст достига </w:t>
      </w:r>
      <w:r>
        <w:rPr>
          <w:rFonts w:ascii="Times New Roman" w:hAnsi="Times New Roman" w:cs="Times New Roman"/>
          <w:sz w:val="24"/>
          <w:szCs w:val="24"/>
          <w:lang w:eastAsia="bg-BG"/>
        </w:rPr>
        <w:t xml:space="preserve"> минус </w:t>
      </w:r>
      <w:r w:rsidRPr="005F49B3">
        <w:rPr>
          <w:rFonts w:ascii="Times New Roman" w:hAnsi="Times New Roman" w:cs="Times New Roman"/>
          <w:sz w:val="24"/>
          <w:szCs w:val="24"/>
          <w:lang w:eastAsia="bg-BG"/>
        </w:rPr>
        <w:t xml:space="preserve">47 308 души, а броят на </w:t>
      </w:r>
      <w:proofErr w:type="spellStart"/>
      <w:r w:rsidRPr="005F49B3">
        <w:rPr>
          <w:rFonts w:ascii="Times New Roman" w:hAnsi="Times New Roman" w:cs="Times New Roman"/>
          <w:sz w:val="24"/>
          <w:szCs w:val="24"/>
          <w:lang w:eastAsia="bg-BG"/>
        </w:rPr>
        <w:t>живородените</w:t>
      </w:r>
      <w:proofErr w:type="spellEnd"/>
      <w:r w:rsidRPr="005F49B3">
        <w:rPr>
          <w:rFonts w:ascii="Times New Roman" w:hAnsi="Times New Roman" w:cs="Times New Roman"/>
          <w:sz w:val="24"/>
          <w:szCs w:val="24"/>
          <w:lang w:eastAsia="bg-BG"/>
        </w:rPr>
        <w:t xml:space="preserve"> е с 6.6% по-нисък спрямо предходната година. Коефициентът на раждаемост е спаднал от 8.</w:t>
      </w:r>
      <w:r>
        <w:rPr>
          <w:rFonts w:ascii="Times New Roman" w:hAnsi="Times New Roman" w:cs="Times New Roman"/>
          <w:sz w:val="24"/>
          <w:szCs w:val="24"/>
          <w:lang w:eastAsia="bg-BG"/>
        </w:rPr>
        <w:t>9</w:t>
      </w:r>
      <w:r w:rsidRPr="005F49B3">
        <w:rPr>
          <w:rFonts w:ascii="Times New Roman" w:hAnsi="Times New Roman" w:cs="Times New Roman"/>
          <w:sz w:val="24"/>
          <w:szCs w:val="24"/>
          <w:lang w:eastAsia="bg-BG"/>
        </w:rPr>
        <w:t xml:space="preserve">‰ през 2023 г. на </w:t>
      </w:r>
      <w:r>
        <w:rPr>
          <w:rFonts w:ascii="Times New Roman" w:hAnsi="Times New Roman" w:cs="Times New Roman"/>
          <w:sz w:val="24"/>
          <w:szCs w:val="24"/>
          <w:lang w:eastAsia="bg-BG"/>
        </w:rPr>
        <w:t>8.3</w:t>
      </w:r>
      <w:r w:rsidRPr="005F49B3">
        <w:rPr>
          <w:rFonts w:ascii="Times New Roman" w:hAnsi="Times New Roman" w:cs="Times New Roman"/>
          <w:sz w:val="24"/>
          <w:szCs w:val="24"/>
          <w:lang w:eastAsia="bg-BG"/>
        </w:rPr>
        <w:t>‰ през 2024 г. Средната възраст на населението е 45.3 години, а в селата достига 47.6 години, което поставя страната сред най-бързо застаряващите в Европа.</w:t>
      </w:r>
    </w:p>
    <w:p w14:paraId="7BBDD0C9" w14:textId="77777777" w:rsidR="007335A5" w:rsidRPr="005F49B3" w:rsidRDefault="007335A5" w:rsidP="007335A5">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Паралелно с това продължава намалението на броя на жените в репродуктивна възраст – 1 </w:t>
      </w:r>
      <w:r>
        <w:rPr>
          <w:rFonts w:ascii="Times New Roman" w:hAnsi="Times New Roman" w:cs="Times New Roman"/>
          <w:sz w:val="24"/>
          <w:szCs w:val="24"/>
          <w:lang w:eastAsia="bg-BG"/>
        </w:rPr>
        <w:t>257</w:t>
      </w:r>
      <w:r w:rsidRPr="005F49B3">
        <w:rPr>
          <w:rFonts w:ascii="Times New Roman" w:hAnsi="Times New Roman" w:cs="Times New Roman"/>
          <w:sz w:val="24"/>
          <w:szCs w:val="24"/>
          <w:lang w:eastAsia="bg-BG"/>
        </w:rPr>
        <w:t xml:space="preserve"> 000 през 2024 г., което е с 12 000 по-малко спрямо предходната година. Коефициентът на плодовитост </w:t>
      </w:r>
      <w:r>
        <w:rPr>
          <w:rFonts w:ascii="Times New Roman" w:hAnsi="Times New Roman" w:cs="Times New Roman"/>
          <w:sz w:val="24"/>
          <w:szCs w:val="24"/>
          <w:lang w:eastAsia="bg-BG"/>
        </w:rPr>
        <w:t xml:space="preserve">за 2024 г. </w:t>
      </w:r>
      <w:r w:rsidRPr="005F49B3">
        <w:rPr>
          <w:rFonts w:ascii="Times New Roman" w:hAnsi="Times New Roman" w:cs="Times New Roman"/>
          <w:sz w:val="24"/>
          <w:szCs w:val="24"/>
          <w:lang w:eastAsia="bg-BG"/>
        </w:rPr>
        <w:t>е 1.</w:t>
      </w:r>
      <w:r>
        <w:rPr>
          <w:rFonts w:ascii="Times New Roman" w:hAnsi="Times New Roman" w:cs="Times New Roman"/>
          <w:sz w:val="24"/>
          <w:szCs w:val="24"/>
          <w:lang w:eastAsia="bg-BG"/>
        </w:rPr>
        <w:t>72</w:t>
      </w:r>
      <w:r w:rsidRPr="005F49B3">
        <w:rPr>
          <w:rFonts w:ascii="Times New Roman" w:hAnsi="Times New Roman" w:cs="Times New Roman"/>
          <w:sz w:val="24"/>
          <w:szCs w:val="24"/>
          <w:lang w:eastAsia="bg-BG"/>
        </w:rPr>
        <w:t xml:space="preserve"> и остава под необходимите нива за просто възпроизводство. Увеличението на дела на хората над 65 години (24.</w:t>
      </w:r>
      <w:r>
        <w:rPr>
          <w:rFonts w:ascii="Times New Roman" w:hAnsi="Times New Roman" w:cs="Times New Roman"/>
          <w:sz w:val="24"/>
          <w:szCs w:val="24"/>
          <w:lang w:eastAsia="bg-BG"/>
        </w:rPr>
        <w:t>0</w:t>
      </w:r>
      <w:r w:rsidRPr="005F49B3">
        <w:rPr>
          <w:rFonts w:ascii="Times New Roman" w:hAnsi="Times New Roman" w:cs="Times New Roman"/>
          <w:sz w:val="24"/>
          <w:szCs w:val="24"/>
          <w:lang w:eastAsia="bg-BG"/>
        </w:rPr>
        <w:t>%) и високият коефициент на възрастова зависимост (61.3%) допълнително натоварват социалната и здравната система, с потенциал за трайна ерозия на обществения капацитет и устойчивост.</w:t>
      </w:r>
    </w:p>
    <w:p w14:paraId="3BFFB285" w14:textId="77777777" w:rsidR="007335A5" w:rsidRPr="005F49B3" w:rsidRDefault="007335A5" w:rsidP="007335A5">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Регионалната картина разкрива особено сериозни дисбаланси. Северозападният район на България, и по-конкретно област Видин, е с най-висок дял на населението над 65 г. – 31.</w:t>
      </w:r>
      <w:r>
        <w:rPr>
          <w:rFonts w:ascii="Times New Roman" w:hAnsi="Times New Roman" w:cs="Times New Roman"/>
          <w:sz w:val="24"/>
          <w:szCs w:val="24"/>
          <w:lang w:eastAsia="bg-BG"/>
        </w:rPr>
        <w:t>4</w:t>
      </w:r>
      <w:r w:rsidRPr="005F49B3">
        <w:rPr>
          <w:rFonts w:ascii="Times New Roman" w:hAnsi="Times New Roman" w:cs="Times New Roman"/>
          <w:sz w:val="24"/>
          <w:szCs w:val="24"/>
          <w:lang w:eastAsia="bg-BG"/>
        </w:rPr>
        <w:t>%, и най-нисък относителен дял на младото население – едва 11.</w:t>
      </w:r>
      <w:r>
        <w:rPr>
          <w:rFonts w:ascii="Times New Roman" w:hAnsi="Times New Roman" w:cs="Times New Roman"/>
          <w:sz w:val="24"/>
          <w:szCs w:val="24"/>
          <w:lang w:eastAsia="bg-BG"/>
        </w:rPr>
        <w:t>4</w:t>
      </w:r>
      <w:r w:rsidRPr="005F49B3">
        <w:rPr>
          <w:rFonts w:ascii="Times New Roman" w:hAnsi="Times New Roman" w:cs="Times New Roman"/>
          <w:sz w:val="24"/>
          <w:szCs w:val="24"/>
          <w:lang w:eastAsia="bg-BG"/>
        </w:rPr>
        <w:t>% под 15-годишна възраст. В селата възрастните хора над 65 г. са почти 30%, което прави големи части от територията изключително уязвими спрямо кризи, бедствия и дори базови функции на местното самоуправление. Значителен брой от обезлюдените населени места изпитват затруднения с достъпа до основни здравни и образователни услуги.</w:t>
      </w:r>
    </w:p>
    <w:p w14:paraId="5B7069C3" w14:textId="77777777" w:rsidR="007335A5" w:rsidRDefault="007335A5" w:rsidP="007335A5">
      <w:pPr>
        <w:spacing w:after="120"/>
        <w:ind w:firstLine="851"/>
        <w:jc w:val="both"/>
        <w:rPr>
          <w:rFonts w:ascii="Times New Roman" w:hAnsi="Times New Roman" w:cs="Times New Roman"/>
          <w:sz w:val="24"/>
          <w:szCs w:val="24"/>
          <w:lang w:eastAsia="bg-BG"/>
        </w:rPr>
      </w:pPr>
      <w:r w:rsidRPr="006E3146">
        <w:rPr>
          <w:rFonts w:ascii="Times New Roman" w:hAnsi="Times New Roman" w:cs="Times New Roman"/>
          <w:sz w:val="24"/>
          <w:szCs w:val="24"/>
          <w:lang w:eastAsia="bg-BG"/>
        </w:rPr>
        <w:t xml:space="preserve">Механичният прираст през 2024 г. е положителен – </w:t>
      </w:r>
      <w:r>
        <w:rPr>
          <w:rFonts w:ascii="Times New Roman" w:hAnsi="Times New Roman" w:cs="Times New Roman"/>
          <w:sz w:val="24"/>
          <w:szCs w:val="24"/>
          <w:lang w:eastAsia="bg-BG"/>
        </w:rPr>
        <w:t xml:space="preserve">плюс </w:t>
      </w:r>
      <w:r w:rsidRPr="006E3146">
        <w:rPr>
          <w:rFonts w:ascii="Times New Roman" w:hAnsi="Times New Roman" w:cs="Times New Roman"/>
          <w:sz w:val="24"/>
          <w:szCs w:val="24"/>
          <w:lang w:eastAsia="bg-BG"/>
        </w:rPr>
        <w:t xml:space="preserve">39 187 души, като основните фактори са </w:t>
      </w:r>
      <w:r>
        <w:rPr>
          <w:rFonts w:ascii="Times New Roman" w:hAnsi="Times New Roman" w:cs="Times New Roman"/>
          <w:sz w:val="24"/>
          <w:szCs w:val="24"/>
          <w:lang w:eastAsia="bg-BG"/>
        </w:rPr>
        <w:t>е</w:t>
      </w:r>
      <w:r w:rsidRPr="006E3146">
        <w:rPr>
          <w:rFonts w:ascii="Times New Roman" w:hAnsi="Times New Roman" w:cs="Times New Roman"/>
          <w:sz w:val="24"/>
          <w:szCs w:val="24"/>
          <w:lang w:eastAsia="bg-BG"/>
        </w:rPr>
        <w:t xml:space="preserve">миграцията и </w:t>
      </w:r>
      <w:r>
        <w:rPr>
          <w:rFonts w:ascii="Times New Roman" w:hAnsi="Times New Roman" w:cs="Times New Roman"/>
          <w:sz w:val="24"/>
          <w:szCs w:val="24"/>
          <w:lang w:eastAsia="bg-BG"/>
        </w:rPr>
        <w:t>потокът на имигрантите.</w:t>
      </w:r>
      <w:r w:rsidRPr="006E3146">
        <w:rPr>
          <w:rFonts w:ascii="Times New Roman" w:hAnsi="Times New Roman" w:cs="Times New Roman"/>
          <w:sz w:val="24"/>
          <w:szCs w:val="24"/>
          <w:lang w:eastAsia="bg-BG"/>
        </w:rPr>
        <w:t>. Делът на имигрантите от страни извън ЕС е над 5</w:t>
      </w:r>
      <w:r>
        <w:rPr>
          <w:rFonts w:ascii="Times New Roman" w:hAnsi="Times New Roman" w:cs="Times New Roman"/>
          <w:sz w:val="24"/>
          <w:szCs w:val="24"/>
          <w:lang w:eastAsia="bg-BG"/>
        </w:rPr>
        <w:t>1.5</w:t>
      </w:r>
      <w:r w:rsidRPr="006E3146">
        <w:rPr>
          <w:rFonts w:ascii="Times New Roman" w:hAnsi="Times New Roman" w:cs="Times New Roman"/>
          <w:sz w:val="24"/>
          <w:szCs w:val="24"/>
          <w:lang w:eastAsia="bg-BG"/>
        </w:rPr>
        <w:t>%. Сред тях значима част</w:t>
      </w:r>
      <w:r>
        <w:rPr>
          <w:rFonts w:ascii="Times New Roman" w:hAnsi="Times New Roman" w:cs="Times New Roman"/>
          <w:sz w:val="24"/>
          <w:szCs w:val="24"/>
          <w:lang w:eastAsia="bg-BG"/>
        </w:rPr>
        <w:t xml:space="preserve"> </w:t>
      </w:r>
      <w:r w:rsidRPr="00E46EC6">
        <w:rPr>
          <w:rFonts w:ascii="Times New Roman" w:hAnsi="Times New Roman" w:cs="Times New Roman"/>
          <w:sz w:val="24"/>
          <w:szCs w:val="24"/>
          <w:lang w:eastAsia="bg-BG"/>
        </w:rPr>
        <w:t>(18.3%)</w:t>
      </w:r>
      <w:r w:rsidRPr="006E3146">
        <w:rPr>
          <w:rFonts w:ascii="Times New Roman" w:hAnsi="Times New Roman" w:cs="Times New Roman"/>
          <w:sz w:val="24"/>
          <w:szCs w:val="24"/>
          <w:lang w:eastAsia="bg-BG"/>
        </w:rPr>
        <w:t xml:space="preserve"> са мъже във възрастовата група 25–34 години, което показва ограничен потенциал за демографско компенсиране</w:t>
      </w:r>
      <w:r w:rsidRPr="005F49B3">
        <w:rPr>
          <w:rFonts w:ascii="Times New Roman" w:hAnsi="Times New Roman" w:cs="Times New Roman"/>
          <w:sz w:val="24"/>
          <w:szCs w:val="24"/>
          <w:lang w:eastAsia="bg-BG"/>
        </w:rPr>
        <w:t xml:space="preserve">, но поставя и допълнителни предизвикателства по отношение на интеграцията, културната адаптация и социалната кохезия. Страната няма </w:t>
      </w:r>
      <w:r>
        <w:rPr>
          <w:rFonts w:ascii="Times New Roman" w:hAnsi="Times New Roman" w:cs="Times New Roman"/>
          <w:sz w:val="24"/>
          <w:szCs w:val="24"/>
          <w:lang w:eastAsia="bg-BG"/>
        </w:rPr>
        <w:t>ясна</w:t>
      </w:r>
      <w:r w:rsidRPr="005F49B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визия</w:t>
      </w:r>
      <w:r w:rsidRPr="005F49B3">
        <w:rPr>
          <w:rFonts w:ascii="Times New Roman" w:hAnsi="Times New Roman" w:cs="Times New Roman"/>
          <w:sz w:val="24"/>
          <w:szCs w:val="24"/>
          <w:lang w:eastAsia="bg-BG"/>
        </w:rPr>
        <w:t xml:space="preserve"> за дългосрочно задържане и привличане на висококвалифицирани мигранти.</w:t>
      </w:r>
    </w:p>
    <w:p w14:paraId="36106EED" w14:textId="62B0309C"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Предприети са действия по линия на </w:t>
      </w:r>
      <w:r w:rsidR="00A52DC6">
        <w:rPr>
          <w:rFonts w:ascii="Times New Roman" w:hAnsi="Times New Roman" w:cs="Times New Roman"/>
          <w:sz w:val="24"/>
          <w:szCs w:val="24"/>
          <w:lang w:eastAsia="bg-BG"/>
        </w:rPr>
        <w:t>Актуализираната н</w:t>
      </w:r>
      <w:r w:rsidRPr="005F49B3">
        <w:rPr>
          <w:rFonts w:ascii="Times New Roman" w:hAnsi="Times New Roman" w:cs="Times New Roman"/>
          <w:sz w:val="24"/>
          <w:szCs w:val="24"/>
          <w:lang w:eastAsia="bg-BG"/>
        </w:rPr>
        <w:t xml:space="preserve">ационалната стратегия за демографско развитие </w:t>
      </w:r>
      <w:r w:rsidR="00A52DC6">
        <w:rPr>
          <w:rFonts w:ascii="Times New Roman" w:hAnsi="Times New Roman" w:cs="Times New Roman"/>
          <w:sz w:val="24"/>
          <w:szCs w:val="24"/>
          <w:lang w:eastAsia="bg-BG"/>
        </w:rPr>
        <w:t xml:space="preserve">на населението </w:t>
      </w:r>
      <w:r w:rsidR="007E046D">
        <w:rPr>
          <w:rFonts w:ascii="Times New Roman" w:hAnsi="Times New Roman" w:cs="Times New Roman"/>
          <w:sz w:val="24"/>
          <w:szCs w:val="24"/>
          <w:lang w:eastAsia="bg-BG"/>
        </w:rPr>
        <w:t>в</w:t>
      </w:r>
      <w:r w:rsidR="00A52DC6">
        <w:rPr>
          <w:rFonts w:ascii="Times New Roman" w:hAnsi="Times New Roman" w:cs="Times New Roman"/>
          <w:sz w:val="24"/>
          <w:szCs w:val="24"/>
          <w:lang w:eastAsia="bg-BG"/>
        </w:rPr>
        <w:t xml:space="preserve"> Република България</w:t>
      </w:r>
      <w:r w:rsidR="007335A5">
        <w:rPr>
          <w:rFonts w:ascii="Times New Roman" w:hAnsi="Times New Roman" w:cs="Times New Roman"/>
          <w:sz w:val="24"/>
          <w:szCs w:val="24"/>
          <w:lang w:val="en-US" w:eastAsia="bg-BG"/>
        </w:rPr>
        <w:t xml:space="preserve"> </w:t>
      </w:r>
      <w:r w:rsidRPr="005F49B3">
        <w:rPr>
          <w:rFonts w:ascii="Times New Roman" w:hAnsi="Times New Roman" w:cs="Times New Roman"/>
          <w:sz w:val="24"/>
          <w:szCs w:val="24"/>
          <w:lang w:eastAsia="bg-BG"/>
        </w:rPr>
        <w:t>(2012–2030), включително чрез осъвременяване на аналитичните инструменти и статистически обхват. НСИ разработват подобрени прогнози за възрастовата структура, което има значение за стратегическото планиране на ресурсите в социалната, здравната и отбранителната система. През 2024 г. е отчетен и напредък по темата за интеграцията на българите зад граница и завръщането им в страната, макар и без ясен ефект върху баланса между раждаемост и смъртност.</w:t>
      </w:r>
    </w:p>
    <w:p w14:paraId="2F7C4E52"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Въпреки отчетените усилия, необходима е системна, </w:t>
      </w:r>
      <w:proofErr w:type="spellStart"/>
      <w:r w:rsidRPr="005F49B3">
        <w:rPr>
          <w:rFonts w:ascii="Times New Roman" w:hAnsi="Times New Roman" w:cs="Times New Roman"/>
          <w:sz w:val="24"/>
          <w:szCs w:val="24"/>
          <w:lang w:eastAsia="bg-BG"/>
        </w:rPr>
        <w:t>надведомствена</w:t>
      </w:r>
      <w:proofErr w:type="spellEnd"/>
      <w:r w:rsidRPr="005F49B3">
        <w:rPr>
          <w:rFonts w:ascii="Times New Roman" w:hAnsi="Times New Roman" w:cs="Times New Roman"/>
          <w:sz w:val="24"/>
          <w:szCs w:val="24"/>
          <w:lang w:eastAsia="bg-BG"/>
        </w:rPr>
        <w:t xml:space="preserve"> политика, насочена не само към смекчаване на негативните ефекти от демографската промяна, но и към възстановяване на потенциала за дългосрочна национална устойчивост. Предизвикателствата изискват едноврем</w:t>
      </w:r>
      <w:r w:rsidR="00D9739D" w:rsidRPr="005F49B3">
        <w:rPr>
          <w:rFonts w:ascii="Times New Roman" w:hAnsi="Times New Roman" w:cs="Times New Roman"/>
          <w:sz w:val="24"/>
          <w:szCs w:val="24"/>
          <w:lang w:eastAsia="bg-BG"/>
        </w:rPr>
        <w:t>енно териториални, икономически</w:t>
      </w:r>
      <w:r w:rsidRPr="005F49B3">
        <w:rPr>
          <w:rFonts w:ascii="Times New Roman" w:hAnsi="Times New Roman" w:cs="Times New Roman"/>
          <w:sz w:val="24"/>
          <w:szCs w:val="24"/>
          <w:lang w:eastAsia="bg-BG"/>
        </w:rPr>
        <w:t xml:space="preserve"> </w:t>
      </w:r>
      <w:r w:rsidR="00D9739D" w:rsidRPr="005F49B3">
        <w:rPr>
          <w:rFonts w:ascii="Times New Roman" w:hAnsi="Times New Roman" w:cs="Times New Roman"/>
          <w:sz w:val="24"/>
          <w:szCs w:val="24"/>
          <w:lang w:eastAsia="bg-BG"/>
        </w:rPr>
        <w:t xml:space="preserve">и </w:t>
      </w:r>
      <w:r w:rsidRPr="005F49B3">
        <w:rPr>
          <w:rFonts w:ascii="Times New Roman" w:hAnsi="Times New Roman" w:cs="Times New Roman"/>
          <w:sz w:val="24"/>
          <w:szCs w:val="24"/>
          <w:lang w:eastAsia="bg-BG"/>
        </w:rPr>
        <w:t xml:space="preserve">културни </w:t>
      </w:r>
      <w:r w:rsidRPr="005F49B3">
        <w:rPr>
          <w:rFonts w:ascii="Times New Roman" w:hAnsi="Times New Roman" w:cs="Times New Roman"/>
          <w:sz w:val="24"/>
          <w:szCs w:val="24"/>
          <w:lang w:eastAsia="bg-BG"/>
        </w:rPr>
        <w:lastRenderedPageBreak/>
        <w:t>решения</w:t>
      </w:r>
      <w:r w:rsidR="00D9739D" w:rsidRPr="005F49B3">
        <w:rPr>
          <w:rFonts w:ascii="Times New Roman" w:hAnsi="Times New Roman" w:cs="Times New Roman"/>
          <w:sz w:val="24"/>
          <w:szCs w:val="24"/>
          <w:lang w:eastAsia="bg-BG"/>
        </w:rPr>
        <w:t>, в контекста на сигурността</w:t>
      </w:r>
      <w:r w:rsidRPr="005F49B3">
        <w:rPr>
          <w:rFonts w:ascii="Times New Roman" w:hAnsi="Times New Roman" w:cs="Times New Roman"/>
          <w:sz w:val="24"/>
          <w:szCs w:val="24"/>
          <w:lang w:eastAsia="bg-BG"/>
        </w:rPr>
        <w:t>. Особено належащи остават мерки за социално-икономическо съживяване на демографски уязвимите райони, както и за координирано прилагане на политики за репродуктивно здраве, семейна подкрепа, образователна достъпност и здравна мобилност. Интегрирането на завръщащи се граждани и регулираната миграция следва да бъде не само демографски компенсаторен механизъм, но и стратегически инструмент за обновяване на човешкия капитал.</w:t>
      </w:r>
    </w:p>
    <w:p w14:paraId="4ED5598F" w14:textId="77777777" w:rsidR="003C6AA8" w:rsidRPr="005F49B3" w:rsidRDefault="003C6AA8" w:rsidP="00D6403A">
      <w:pPr>
        <w:pStyle w:val="Heading4"/>
        <w:numPr>
          <w:ilvl w:val="1"/>
          <w:numId w:val="23"/>
        </w:numPr>
        <w:spacing w:after="120"/>
        <w:ind w:left="284" w:hanging="284"/>
        <w:jc w:val="center"/>
        <w:rPr>
          <w:rFonts w:ascii="Times New Roman" w:hAnsi="Times New Roman" w:cs="Times New Roman"/>
          <w:color w:val="auto"/>
          <w:sz w:val="24"/>
          <w:u w:val="single"/>
        </w:rPr>
      </w:pPr>
      <w:r w:rsidRPr="005F49B3">
        <w:rPr>
          <w:rFonts w:ascii="Times New Roman" w:hAnsi="Times New Roman" w:cs="Times New Roman"/>
          <w:color w:val="auto"/>
          <w:sz w:val="24"/>
          <w:u w:val="single"/>
        </w:rPr>
        <w:t>Работна сила и икономическа активност</w:t>
      </w:r>
    </w:p>
    <w:p w14:paraId="69D99E82" w14:textId="2A2413B0" w:rsidR="00464D51" w:rsidRPr="00A52DC6" w:rsidRDefault="007E046D" w:rsidP="00D6403A">
      <w:pPr>
        <w:pStyle w:val="ListParagraph"/>
        <w:numPr>
          <w:ilvl w:val="0"/>
          <w:numId w:val="25"/>
        </w:numPr>
        <w:jc w:val="both"/>
        <w:rPr>
          <w:rFonts w:ascii="Times New Roman" w:hAnsi="Times New Roman" w:cs="Times New Roman"/>
          <w:b/>
          <w:sz w:val="24"/>
          <w:szCs w:val="24"/>
        </w:rPr>
      </w:pPr>
      <w:r>
        <w:rPr>
          <w:rFonts w:ascii="Times New Roman" w:hAnsi="Times New Roman" w:cs="Times New Roman"/>
          <w:b/>
          <w:sz w:val="24"/>
          <w:szCs w:val="24"/>
        </w:rPr>
        <w:t>През периода е отчетена н</w:t>
      </w:r>
      <w:r w:rsidR="00A52DC6" w:rsidRPr="005F49B3">
        <w:rPr>
          <w:rFonts w:ascii="Times New Roman" w:hAnsi="Times New Roman" w:cs="Times New Roman"/>
          <w:b/>
          <w:sz w:val="24"/>
          <w:szCs w:val="24"/>
        </w:rPr>
        <w:t xml:space="preserve">иска безработица, </w:t>
      </w:r>
      <w:r w:rsidR="00A52DC6">
        <w:rPr>
          <w:rFonts w:ascii="Times New Roman" w:hAnsi="Times New Roman" w:cs="Times New Roman"/>
          <w:b/>
          <w:sz w:val="24"/>
          <w:szCs w:val="24"/>
        </w:rPr>
        <w:t>като 96 хил</w:t>
      </w:r>
      <w:r w:rsidR="00A52DC6" w:rsidRPr="005F49B3">
        <w:rPr>
          <w:rFonts w:ascii="Times New Roman" w:hAnsi="Times New Roman" w:cs="Times New Roman"/>
          <w:b/>
          <w:sz w:val="24"/>
          <w:szCs w:val="24"/>
        </w:rPr>
        <w:t xml:space="preserve">. </w:t>
      </w:r>
      <w:r w:rsidR="00A52DC6">
        <w:rPr>
          <w:rFonts w:ascii="Times New Roman" w:hAnsi="Times New Roman" w:cs="Times New Roman"/>
          <w:b/>
          <w:sz w:val="24"/>
          <w:szCs w:val="24"/>
        </w:rPr>
        <w:t xml:space="preserve">са </w:t>
      </w:r>
      <w:r w:rsidR="00A52DC6" w:rsidRPr="005F49B3">
        <w:rPr>
          <w:rFonts w:ascii="Times New Roman" w:hAnsi="Times New Roman" w:cs="Times New Roman"/>
          <w:b/>
          <w:sz w:val="24"/>
          <w:szCs w:val="24"/>
        </w:rPr>
        <w:t>икономически неактивни</w:t>
      </w:r>
      <w:r w:rsidR="00A52DC6">
        <w:rPr>
          <w:rFonts w:ascii="Times New Roman" w:hAnsi="Times New Roman" w:cs="Times New Roman"/>
          <w:b/>
          <w:sz w:val="24"/>
          <w:szCs w:val="24"/>
        </w:rPr>
        <w:t>те лица в трудоспособна възраст, които желаят да работят и могат да бъдат включени в заетост</w:t>
      </w:r>
      <w:r w:rsidR="00A52DC6" w:rsidRPr="005F49B3">
        <w:rPr>
          <w:rFonts w:ascii="Times New Roman" w:hAnsi="Times New Roman" w:cs="Times New Roman"/>
          <w:b/>
          <w:sz w:val="24"/>
          <w:szCs w:val="24"/>
        </w:rPr>
        <w:t>.</w:t>
      </w:r>
    </w:p>
    <w:p w14:paraId="5CA2E014" w14:textId="1CE224A4" w:rsidR="00464D51" w:rsidRPr="005F49B3" w:rsidRDefault="007E046D" w:rsidP="00D6403A">
      <w:pPr>
        <w:pStyle w:val="ListParagraph"/>
        <w:numPr>
          <w:ilvl w:val="0"/>
          <w:numId w:val="25"/>
        </w:numPr>
        <w:jc w:val="both"/>
        <w:rPr>
          <w:rFonts w:ascii="Times New Roman" w:hAnsi="Times New Roman" w:cs="Times New Roman"/>
          <w:b/>
          <w:sz w:val="24"/>
          <w:szCs w:val="24"/>
        </w:rPr>
      </w:pPr>
      <w:r>
        <w:rPr>
          <w:rFonts w:ascii="Times New Roman" w:hAnsi="Times New Roman" w:cs="Times New Roman"/>
          <w:b/>
          <w:sz w:val="24"/>
          <w:szCs w:val="24"/>
        </w:rPr>
        <w:t>Оценява се, че са налице т</w:t>
      </w:r>
      <w:r w:rsidR="00464D51" w:rsidRPr="005F49B3">
        <w:rPr>
          <w:rFonts w:ascii="Times New Roman" w:hAnsi="Times New Roman" w:cs="Times New Roman"/>
          <w:b/>
          <w:sz w:val="24"/>
          <w:szCs w:val="24"/>
        </w:rPr>
        <w:t>ериториални дисбаланси в заетостта</w:t>
      </w:r>
      <w:r>
        <w:rPr>
          <w:rFonts w:ascii="Times New Roman" w:hAnsi="Times New Roman" w:cs="Times New Roman"/>
          <w:b/>
          <w:sz w:val="24"/>
          <w:szCs w:val="24"/>
        </w:rPr>
        <w:t xml:space="preserve">, които могат да допринесат за създаването на </w:t>
      </w:r>
      <w:r w:rsidR="00464D51" w:rsidRPr="005F49B3">
        <w:rPr>
          <w:rFonts w:ascii="Times New Roman" w:hAnsi="Times New Roman" w:cs="Times New Roman"/>
          <w:b/>
          <w:sz w:val="24"/>
          <w:szCs w:val="24"/>
        </w:rPr>
        <w:t>социално напрежение.</w:t>
      </w:r>
    </w:p>
    <w:p w14:paraId="6F7B4CF5" w14:textId="1683154B" w:rsidR="003C6AA8" w:rsidRPr="005F49B3" w:rsidRDefault="00A52DC6" w:rsidP="00A52DC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Пазарът на труда в Република България през 2024 г. се характеризира с едновременно присъствие на благоприятни макроикономически тенденции и </w:t>
      </w:r>
      <w:r>
        <w:rPr>
          <w:rFonts w:ascii="Times New Roman" w:hAnsi="Times New Roman" w:cs="Times New Roman"/>
          <w:sz w:val="24"/>
          <w:szCs w:val="24"/>
          <w:lang w:eastAsia="bg-BG"/>
        </w:rPr>
        <w:t>несъответствия между предлагането и търсенето на труд</w:t>
      </w:r>
      <w:r w:rsidRPr="005F49B3">
        <w:rPr>
          <w:rFonts w:ascii="Times New Roman" w:hAnsi="Times New Roman" w:cs="Times New Roman"/>
          <w:sz w:val="24"/>
          <w:szCs w:val="24"/>
          <w:lang w:eastAsia="bg-BG"/>
        </w:rPr>
        <w:t xml:space="preserve">. По данни на Агенцията по заетостта равнището на регистрирана безработица достига исторически минимум – 5.4% средногодишно за страната. В същото време в бюрата по труда са регистрирани </w:t>
      </w:r>
      <w:r w:rsidRPr="000E53E8">
        <w:rPr>
          <w:rFonts w:ascii="Times New Roman" w:hAnsi="Times New Roman" w:cs="Times New Roman"/>
          <w:sz w:val="24"/>
          <w:szCs w:val="24"/>
          <w:lang w:eastAsia="bg-BG"/>
        </w:rPr>
        <w:t>154 604</w:t>
      </w:r>
      <w:r w:rsidRPr="005F49B3">
        <w:rPr>
          <w:rFonts w:ascii="Times New Roman" w:hAnsi="Times New Roman" w:cs="Times New Roman"/>
          <w:sz w:val="24"/>
          <w:szCs w:val="24"/>
          <w:lang w:eastAsia="bg-BG"/>
        </w:rPr>
        <w:t xml:space="preserve"> безработни, а</w:t>
      </w:r>
      <w:r w:rsidRPr="000E1527">
        <w:t xml:space="preserve"> </w:t>
      </w:r>
      <w:r>
        <w:rPr>
          <w:rFonts w:ascii="Times New Roman" w:hAnsi="Times New Roman" w:cs="Times New Roman"/>
          <w:sz w:val="24"/>
          <w:szCs w:val="24"/>
          <w:lang w:eastAsia="bg-BG"/>
        </w:rPr>
        <w:t>с</w:t>
      </w:r>
      <w:r w:rsidRPr="000E1527">
        <w:rPr>
          <w:rFonts w:ascii="Times New Roman" w:hAnsi="Times New Roman" w:cs="Times New Roman"/>
          <w:sz w:val="24"/>
          <w:szCs w:val="24"/>
          <w:lang w:eastAsia="bg-BG"/>
        </w:rPr>
        <w:t xml:space="preserve">ъгласно последното анкетно проучване на потребностите на </w:t>
      </w:r>
      <w:r>
        <w:rPr>
          <w:rFonts w:ascii="Times New Roman" w:hAnsi="Times New Roman" w:cs="Times New Roman"/>
          <w:sz w:val="24"/>
          <w:szCs w:val="24"/>
          <w:lang w:eastAsia="bg-BG"/>
        </w:rPr>
        <w:t>работодателите от работна сила</w:t>
      </w:r>
      <w:r w:rsidRPr="000E1527">
        <w:rPr>
          <w:rFonts w:ascii="Times New Roman" w:hAnsi="Times New Roman" w:cs="Times New Roman"/>
          <w:sz w:val="24"/>
          <w:szCs w:val="24"/>
          <w:lang w:eastAsia="bg-BG"/>
        </w:rPr>
        <w:t xml:space="preserve">, проведено от Агенцията по заетостта, през следващите 12 месеца </w:t>
      </w:r>
      <w:r>
        <w:rPr>
          <w:rFonts w:ascii="Times New Roman" w:hAnsi="Times New Roman" w:cs="Times New Roman"/>
          <w:sz w:val="24"/>
          <w:szCs w:val="24"/>
          <w:lang w:eastAsia="bg-BG"/>
        </w:rPr>
        <w:t>работодателите ще търсят</w:t>
      </w:r>
      <w:r w:rsidRPr="000E1527">
        <w:rPr>
          <w:rFonts w:ascii="Times New Roman" w:hAnsi="Times New Roman" w:cs="Times New Roman"/>
          <w:sz w:val="24"/>
          <w:szCs w:val="24"/>
          <w:lang w:eastAsia="bg-BG"/>
        </w:rPr>
        <w:t xml:space="preserve"> 261 926 работници и специалисти, с умения и знания в различни професионални направления. </w:t>
      </w:r>
    </w:p>
    <w:p w14:paraId="05CEC900" w14:textId="240DD319" w:rsidR="007335A5" w:rsidRPr="005F49B3" w:rsidRDefault="007335A5" w:rsidP="007335A5">
      <w:pPr>
        <w:spacing w:after="120"/>
        <w:ind w:firstLine="851"/>
        <w:jc w:val="both"/>
        <w:rPr>
          <w:rFonts w:ascii="Times New Roman" w:hAnsi="Times New Roman" w:cs="Times New Roman"/>
          <w:sz w:val="24"/>
          <w:szCs w:val="24"/>
          <w:lang w:eastAsia="bg-BG"/>
        </w:rPr>
      </w:pPr>
      <w:r w:rsidRPr="008549AF">
        <w:rPr>
          <w:rFonts w:ascii="Times New Roman" w:hAnsi="Times New Roman" w:cs="Times New Roman"/>
          <w:sz w:val="24"/>
          <w:szCs w:val="24"/>
          <w:lang w:eastAsia="bg-BG"/>
        </w:rPr>
        <w:t xml:space="preserve">По данни от Наблюдението на работната сила (НРС), през 2024 г. икономически неактивните лица в трудоспособна възраст (15–64 г.) са малко над 1 </w:t>
      </w:r>
      <w:proofErr w:type="spellStart"/>
      <w:r w:rsidRPr="008549AF">
        <w:rPr>
          <w:rFonts w:ascii="Times New Roman" w:hAnsi="Times New Roman" w:cs="Times New Roman"/>
          <w:sz w:val="24"/>
          <w:szCs w:val="24"/>
          <w:lang w:eastAsia="bg-BG"/>
        </w:rPr>
        <w:t>млн.души</w:t>
      </w:r>
      <w:proofErr w:type="spellEnd"/>
      <w:r w:rsidRPr="008549AF">
        <w:rPr>
          <w:rFonts w:ascii="Times New Roman" w:hAnsi="Times New Roman" w:cs="Times New Roman"/>
          <w:sz w:val="24"/>
          <w:szCs w:val="24"/>
          <w:lang w:eastAsia="bg-BG"/>
        </w:rPr>
        <w:t>, от тях около 441 хил. са учащи</w:t>
      </w:r>
      <w:r>
        <w:rPr>
          <w:rFonts w:ascii="Times New Roman" w:hAnsi="Times New Roman" w:cs="Times New Roman"/>
          <w:sz w:val="24"/>
          <w:szCs w:val="24"/>
          <w:lang w:eastAsia="bg-BG"/>
        </w:rPr>
        <w:t>,</w:t>
      </w:r>
      <w:r w:rsidRPr="008549AF">
        <w:rPr>
          <w:rFonts w:ascii="Times New Roman" w:hAnsi="Times New Roman" w:cs="Times New Roman"/>
          <w:sz w:val="24"/>
          <w:szCs w:val="24"/>
          <w:lang w:eastAsia="bg-BG"/>
        </w:rPr>
        <w:t xml:space="preserve"> 114 хил. са пенсионери</w:t>
      </w:r>
      <w:r w:rsidRPr="00CF7650">
        <w:t xml:space="preserve"> </w:t>
      </w:r>
      <w:r w:rsidRPr="00E46EC6">
        <w:rPr>
          <w:rFonts w:ascii="Times New Roman" w:hAnsi="Times New Roman" w:cs="Times New Roman"/>
          <w:sz w:val="24"/>
          <w:szCs w:val="24"/>
          <w:lang w:eastAsia="bg-BG"/>
        </w:rPr>
        <w:t xml:space="preserve">269 хил. </w:t>
      </w:r>
      <w:r>
        <w:rPr>
          <w:rFonts w:ascii="Times New Roman" w:hAnsi="Times New Roman" w:cs="Times New Roman"/>
          <w:sz w:val="24"/>
          <w:szCs w:val="24"/>
          <w:lang w:eastAsia="bg-BG"/>
        </w:rPr>
        <w:t>са посочили</w:t>
      </w:r>
      <w:r w:rsidRPr="00E46EC6">
        <w:rPr>
          <w:rFonts w:ascii="Times New Roman" w:hAnsi="Times New Roman" w:cs="Times New Roman"/>
          <w:sz w:val="24"/>
          <w:szCs w:val="24"/>
          <w:lang w:eastAsia="bg-BG"/>
        </w:rPr>
        <w:t xml:space="preserve"> </w:t>
      </w:r>
      <w:r w:rsidRPr="00CF7650">
        <w:rPr>
          <w:rFonts w:ascii="Times New Roman" w:hAnsi="Times New Roman" w:cs="Times New Roman"/>
          <w:sz w:val="24"/>
          <w:szCs w:val="24"/>
          <w:lang w:eastAsia="bg-BG"/>
        </w:rPr>
        <w:t xml:space="preserve">лични и семейни причини, </w:t>
      </w:r>
      <w:r>
        <w:rPr>
          <w:rFonts w:ascii="Times New Roman" w:hAnsi="Times New Roman" w:cs="Times New Roman"/>
          <w:sz w:val="24"/>
          <w:szCs w:val="24"/>
          <w:lang w:eastAsia="bg-BG"/>
        </w:rPr>
        <w:t xml:space="preserve">а други 132.1 хил. не работят и не търсят работа, поради различни причини, в т.ч. </w:t>
      </w:r>
      <w:r w:rsidRPr="00CF7650">
        <w:rPr>
          <w:rFonts w:ascii="Times New Roman" w:hAnsi="Times New Roman" w:cs="Times New Roman"/>
          <w:sz w:val="24"/>
          <w:szCs w:val="24"/>
          <w:lang w:eastAsia="bg-BG"/>
        </w:rPr>
        <w:t>заболяване</w:t>
      </w:r>
      <w:r>
        <w:rPr>
          <w:rFonts w:ascii="Times New Roman" w:hAnsi="Times New Roman" w:cs="Times New Roman"/>
          <w:sz w:val="24"/>
          <w:szCs w:val="24"/>
          <w:lang w:eastAsia="bg-BG"/>
        </w:rPr>
        <w:t xml:space="preserve"> и нетрудоспособност. От икономически неактивните лица в трудоспособна възраст само 96.1 хил. лица (9,3 %) желаят да работят. </w:t>
      </w:r>
      <w:r w:rsidRPr="006E3146">
        <w:rPr>
          <w:rFonts w:ascii="Times New Roman" w:hAnsi="Times New Roman" w:cs="Times New Roman"/>
          <w:sz w:val="24"/>
          <w:szCs w:val="24"/>
          <w:lang w:eastAsia="bg-BG"/>
        </w:rPr>
        <w:t>Според данните</w:t>
      </w:r>
      <w:r>
        <w:rPr>
          <w:rFonts w:ascii="Times New Roman" w:hAnsi="Times New Roman" w:cs="Times New Roman"/>
          <w:sz w:val="24"/>
          <w:szCs w:val="24"/>
          <w:lang w:eastAsia="bg-BG"/>
        </w:rPr>
        <w:t xml:space="preserve"> от изследването</w:t>
      </w:r>
      <w:r w:rsidRPr="006E3146">
        <w:rPr>
          <w:rFonts w:ascii="Times New Roman" w:hAnsi="Times New Roman" w:cs="Times New Roman"/>
          <w:sz w:val="24"/>
          <w:szCs w:val="24"/>
          <w:lang w:eastAsia="bg-BG"/>
        </w:rPr>
        <w:t>, общата икономическа неактивност показва тенденция към намаляване.</w:t>
      </w:r>
      <w:r>
        <w:rPr>
          <w:rFonts w:ascii="Times New Roman" w:hAnsi="Times New Roman" w:cs="Times New Roman"/>
          <w:sz w:val="24"/>
          <w:szCs w:val="24"/>
          <w:lang w:eastAsia="bg-BG"/>
        </w:rPr>
        <w:t xml:space="preserve"> По данни на Евростат делът на икономически неактивните младежи на възраст 15-29 г.</w:t>
      </w:r>
      <w:r w:rsidRPr="005F49B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продължава да намалява и през 2024 г., но </w:t>
      </w:r>
      <w:proofErr w:type="spellStart"/>
      <w:r w:rsidRPr="005F49B3">
        <w:rPr>
          <w:rFonts w:ascii="Times New Roman" w:hAnsi="Times New Roman" w:cs="Times New Roman"/>
          <w:sz w:val="24"/>
          <w:szCs w:val="24"/>
          <w:lang w:eastAsia="bg-BG"/>
        </w:rPr>
        <w:t>остав</w:t>
      </w:r>
      <w:proofErr w:type="spellEnd"/>
      <w:r w:rsidRPr="005F49B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по-</w:t>
      </w:r>
      <w:r w:rsidRPr="005F49B3">
        <w:rPr>
          <w:rFonts w:ascii="Times New Roman" w:hAnsi="Times New Roman" w:cs="Times New Roman"/>
          <w:sz w:val="24"/>
          <w:szCs w:val="24"/>
          <w:lang w:eastAsia="bg-BG"/>
        </w:rPr>
        <w:t>висок</w:t>
      </w:r>
      <w:r>
        <w:rPr>
          <w:rFonts w:ascii="Times New Roman" w:hAnsi="Times New Roman" w:cs="Times New Roman"/>
          <w:sz w:val="24"/>
          <w:szCs w:val="24"/>
          <w:lang w:eastAsia="bg-BG"/>
        </w:rPr>
        <w:t xml:space="preserve"> от </w:t>
      </w:r>
      <w:proofErr w:type="spellStart"/>
      <w:r>
        <w:rPr>
          <w:rFonts w:ascii="Times New Roman" w:hAnsi="Times New Roman" w:cs="Times New Roman"/>
          <w:sz w:val="24"/>
          <w:szCs w:val="24"/>
          <w:lang w:eastAsia="bg-BG"/>
        </w:rPr>
        <w:t>средоевропейското</w:t>
      </w:r>
      <w:proofErr w:type="spellEnd"/>
      <w:r>
        <w:rPr>
          <w:rFonts w:ascii="Times New Roman" w:hAnsi="Times New Roman" w:cs="Times New Roman"/>
          <w:sz w:val="24"/>
          <w:szCs w:val="24"/>
          <w:lang w:eastAsia="bg-BG"/>
        </w:rPr>
        <w:t xml:space="preserve"> равнище</w:t>
      </w:r>
      <w:r w:rsidRPr="005F49B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от 11.1% </w:t>
      </w:r>
      <w:r w:rsidRPr="005F49B3">
        <w:rPr>
          <w:rFonts w:ascii="Times New Roman" w:hAnsi="Times New Roman" w:cs="Times New Roman"/>
          <w:sz w:val="24"/>
          <w:szCs w:val="24"/>
          <w:lang w:eastAsia="bg-BG"/>
        </w:rPr>
        <w:t xml:space="preserve">– 12.7% от хората на възраст 15–29 години не учат, не работят и не се обучават (т.нар. </w:t>
      </w:r>
      <w:proofErr w:type="spellStart"/>
      <w:r w:rsidRPr="005F49B3">
        <w:rPr>
          <w:rFonts w:ascii="Times New Roman" w:hAnsi="Times New Roman" w:cs="Times New Roman"/>
          <w:sz w:val="24"/>
          <w:szCs w:val="24"/>
          <w:lang w:eastAsia="bg-BG"/>
        </w:rPr>
        <w:t>NEETs</w:t>
      </w:r>
      <w:proofErr w:type="spellEnd"/>
      <w:r w:rsidRPr="005F49B3">
        <w:rPr>
          <w:rFonts w:ascii="Times New Roman" w:hAnsi="Times New Roman" w:cs="Times New Roman"/>
          <w:sz w:val="24"/>
          <w:szCs w:val="24"/>
          <w:lang w:eastAsia="bg-BG"/>
        </w:rPr>
        <w:t xml:space="preserve">). </w:t>
      </w:r>
    </w:p>
    <w:p w14:paraId="1FC5EF2D" w14:textId="137A3626"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Отчетливо се проявяват регионални дисбаланси – както по отношение на равнището на безработица, така и по достъп до обучение, инфраструктура и мобилност. Някои области с висока безработица (например Видин</w:t>
      </w:r>
      <w:r w:rsidR="00A52DC6">
        <w:rPr>
          <w:rFonts w:ascii="Times New Roman" w:hAnsi="Times New Roman" w:cs="Times New Roman"/>
          <w:sz w:val="24"/>
          <w:szCs w:val="24"/>
          <w:lang w:eastAsia="bg-BG"/>
        </w:rPr>
        <w:t xml:space="preserve"> и</w:t>
      </w:r>
      <w:r w:rsidRPr="005F49B3">
        <w:rPr>
          <w:rFonts w:ascii="Times New Roman" w:hAnsi="Times New Roman" w:cs="Times New Roman"/>
          <w:sz w:val="24"/>
          <w:szCs w:val="24"/>
          <w:lang w:eastAsia="bg-BG"/>
        </w:rPr>
        <w:t xml:space="preserve"> Монтана) остават в периферията на целенасочените инвестиционни политики </w:t>
      </w:r>
      <w:r w:rsidR="00A52DC6">
        <w:rPr>
          <w:rFonts w:ascii="Times New Roman" w:hAnsi="Times New Roman" w:cs="Times New Roman"/>
          <w:sz w:val="24"/>
          <w:szCs w:val="24"/>
          <w:lang w:eastAsia="bg-BG"/>
        </w:rPr>
        <w:t>допринасящи за създаването на работни места в тях</w:t>
      </w:r>
      <w:r w:rsidRPr="005F49B3">
        <w:rPr>
          <w:rFonts w:ascii="Times New Roman" w:hAnsi="Times New Roman" w:cs="Times New Roman"/>
          <w:sz w:val="24"/>
          <w:szCs w:val="24"/>
          <w:lang w:eastAsia="bg-BG"/>
        </w:rPr>
        <w:t>. Това задълбочава риска от териториално обезлюдяване и икономическа инертност, включително и с отражение върху сигурността в критични региони.</w:t>
      </w:r>
    </w:p>
    <w:p w14:paraId="077556BC" w14:textId="7BBA68D6"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Международната миграция продължава да влияе върху трудовия потенциал на страната. България се намира в конкурентна среда за квалифицирани кадри, както в рамките на ЕС, така и извън него. Завръщащите се български граждани и мигрантите от трети страни с разрешение за пребиваване създават частичен компенсаторен ефект, но в същото време изискват създаването на устойчиви механизми за интеграция, </w:t>
      </w:r>
      <w:r w:rsidRPr="005F49B3">
        <w:rPr>
          <w:rFonts w:ascii="Times New Roman" w:hAnsi="Times New Roman" w:cs="Times New Roman"/>
          <w:sz w:val="24"/>
          <w:szCs w:val="24"/>
          <w:lang w:eastAsia="bg-BG"/>
        </w:rPr>
        <w:lastRenderedPageBreak/>
        <w:t xml:space="preserve">преквалификация и културна адаптация. </w:t>
      </w:r>
      <w:r w:rsidR="00A52DC6" w:rsidRPr="00A52DC6">
        <w:rPr>
          <w:rFonts w:ascii="Times New Roman" w:hAnsi="Times New Roman" w:cs="Times New Roman"/>
          <w:sz w:val="24"/>
          <w:szCs w:val="24"/>
          <w:lang w:eastAsia="bg-BG"/>
        </w:rPr>
        <w:t>Необходимо е действията в контекста на миграцията и интеграцията да бъдат продължени и засилени</w:t>
      </w:r>
      <w:r w:rsidR="00A52DC6">
        <w:rPr>
          <w:rFonts w:ascii="Times New Roman" w:hAnsi="Times New Roman" w:cs="Times New Roman"/>
          <w:sz w:val="24"/>
          <w:szCs w:val="24"/>
          <w:lang w:eastAsia="bg-BG"/>
        </w:rPr>
        <w:t>.</w:t>
      </w:r>
    </w:p>
    <w:p w14:paraId="3B8D256A" w14:textId="61AC7F8D"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отговор на тези предизвикателства, Агенцията по заетостта отчита включване на над 1</w:t>
      </w:r>
      <w:r w:rsidR="00A52DC6">
        <w:rPr>
          <w:rFonts w:ascii="Times New Roman" w:hAnsi="Times New Roman" w:cs="Times New Roman"/>
          <w:sz w:val="24"/>
          <w:szCs w:val="24"/>
          <w:lang w:eastAsia="bg-BG"/>
        </w:rPr>
        <w:t>60</w:t>
      </w:r>
      <w:r w:rsidRPr="005F49B3">
        <w:rPr>
          <w:rFonts w:ascii="Times New Roman" w:hAnsi="Times New Roman" w:cs="Times New Roman"/>
          <w:sz w:val="24"/>
          <w:szCs w:val="24"/>
          <w:lang w:eastAsia="bg-BG"/>
        </w:rPr>
        <w:t xml:space="preserve"> 000 </w:t>
      </w:r>
      <w:r w:rsidR="00A52DC6">
        <w:rPr>
          <w:rFonts w:ascii="Times New Roman" w:hAnsi="Times New Roman" w:cs="Times New Roman"/>
          <w:sz w:val="24"/>
          <w:szCs w:val="24"/>
          <w:lang w:eastAsia="bg-BG"/>
        </w:rPr>
        <w:t>безработни лица</w:t>
      </w:r>
      <w:r w:rsidRPr="005F49B3">
        <w:rPr>
          <w:rFonts w:ascii="Times New Roman" w:hAnsi="Times New Roman" w:cs="Times New Roman"/>
          <w:sz w:val="24"/>
          <w:szCs w:val="24"/>
          <w:lang w:eastAsia="bg-BG"/>
        </w:rPr>
        <w:t xml:space="preserve"> в заетост чрез посредничество, от които близо 16 000 – чрез субсидирана заетост. Проведени са обучения на над 8 000 безработни и неактивни лица. Акцентира се върху активиране на лица, отдалечени от пазара на труда, чрез </w:t>
      </w:r>
      <w:r w:rsidR="00A52DC6">
        <w:rPr>
          <w:rFonts w:ascii="Times New Roman" w:hAnsi="Times New Roman" w:cs="Times New Roman"/>
          <w:sz w:val="24"/>
          <w:szCs w:val="24"/>
          <w:lang w:eastAsia="bg-BG"/>
        </w:rPr>
        <w:t xml:space="preserve">мерки, насочени към достигане и активиране на неактивните лица, както и </w:t>
      </w:r>
      <w:r w:rsidRPr="005F49B3">
        <w:rPr>
          <w:rFonts w:ascii="Times New Roman" w:hAnsi="Times New Roman" w:cs="Times New Roman"/>
          <w:sz w:val="24"/>
          <w:szCs w:val="24"/>
          <w:lang w:eastAsia="bg-BG"/>
        </w:rPr>
        <w:t>програми, съчетаващи обучение, стажуване и подкрепа чрез менторство, транспортни разходи и адаптационни модули. Разработва се и Национална програма за насърчаване на мобилността и задържането на кадри в по-слабо развитите региони.</w:t>
      </w:r>
    </w:p>
    <w:p w14:paraId="30E13969" w14:textId="6A16FEB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Независимо от постигнатия напредък в някои направления, анализът на риска показва, че усилията остават фрагментирани, без достатъчно координация между образованието, социалната политика, местното развитие и имиграционната рамка. За да бъде ограничено разширяването на дефицитите, е необходим междусекторен подход, насочен към дългосрочна предвидимост, подкрепа за териториална кохезия и активно участие на бизнеса в обучителния процес. Изграждането на национална система за прогнозиране на нуждите от кадри по икономически сектори и региони, както и цялостна политика за трансфер на умения между поколенията и групите с различен статус на заетост, са от ключово значение за поддържането на устойчив трудов потенциал.</w:t>
      </w:r>
      <w:r w:rsidR="00A52DC6">
        <w:rPr>
          <w:rFonts w:ascii="Times New Roman" w:hAnsi="Times New Roman" w:cs="Times New Roman"/>
          <w:sz w:val="24"/>
          <w:szCs w:val="24"/>
          <w:lang w:eastAsia="bg-BG"/>
        </w:rPr>
        <w:t xml:space="preserve"> В тази връзка през 2025 г. от страна на МТСП са предприети действия за </w:t>
      </w:r>
      <w:r w:rsidR="00A52DC6" w:rsidRPr="00AE0A80">
        <w:rPr>
          <w:rFonts w:ascii="Times New Roman" w:hAnsi="Times New Roman" w:cs="Times New Roman"/>
          <w:sz w:val="24"/>
          <w:szCs w:val="24"/>
          <w:lang w:eastAsia="bg-BG"/>
        </w:rPr>
        <w:t>изготв</w:t>
      </w:r>
      <w:r w:rsidR="00A52DC6">
        <w:rPr>
          <w:rFonts w:ascii="Times New Roman" w:hAnsi="Times New Roman" w:cs="Times New Roman"/>
          <w:sz w:val="24"/>
          <w:szCs w:val="24"/>
          <w:lang w:eastAsia="bg-BG"/>
        </w:rPr>
        <w:t>яне на</w:t>
      </w:r>
      <w:r w:rsidR="00A52DC6" w:rsidRPr="00AE0A80">
        <w:rPr>
          <w:rFonts w:ascii="Times New Roman" w:hAnsi="Times New Roman" w:cs="Times New Roman"/>
          <w:sz w:val="24"/>
          <w:szCs w:val="24"/>
          <w:lang w:eastAsia="bg-BG"/>
        </w:rPr>
        <w:t xml:space="preserve"> дългосрочни прогнози за развитието на</w:t>
      </w:r>
      <w:r w:rsidR="00A52DC6">
        <w:rPr>
          <w:rFonts w:ascii="Times New Roman" w:hAnsi="Times New Roman" w:cs="Times New Roman"/>
          <w:sz w:val="24"/>
          <w:szCs w:val="24"/>
          <w:lang w:eastAsia="bg-BG"/>
        </w:rPr>
        <w:t xml:space="preserve"> </w:t>
      </w:r>
      <w:r w:rsidR="00A52DC6" w:rsidRPr="00AE0A80">
        <w:rPr>
          <w:rFonts w:ascii="Times New Roman" w:hAnsi="Times New Roman" w:cs="Times New Roman"/>
          <w:sz w:val="24"/>
          <w:szCs w:val="24"/>
          <w:lang w:eastAsia="bg-BG"/>
        </w:rPr>
        <w:t xml:space="preserve">пазара на труда в България, </w:t>
      </w:r>
      <w:r w:rsidR="00A52DC6">
        <w:rPr>
          <w:rFonts w:ascii="Times New Roman" w:hAnsi="Times New Roman" w:cs="Times New Roman"/>
          <w:sz w:val="24"/>
          <w:szCs w:val="24"/>
          <w:lang w:eastAsia="bg-BG"/>
        </w:rPr>
        <w:t>както и усъвършенстване на</w:t>
      </w:r>
      <w:r w:rsidR="00A52DC6" w:rsidRPr="00AE0A80">
        <w:rPr>
          <w:rFonts w:ascii="Times New Roman" w:hAnsi="Times New Roman" w:cs="Times New Roman"/>
          <w:sz w:val="24"/>
          <w:szCs w:val="24"/>
          <w:lang w:eastAsia="bg-BG"/>
        </w:rPr>
        <w:t xml:space="preserve"> методологията и макроикономическият модел за</w:t>
      </w:r>
      <w:r w:rsidR="00A52DC6">
        <w:rPr>
          <w:rFonts w:ascii="Times New Roman" w:hAnsi="Times New Roman" w:cs="Times New Roman"/>
          <w:sz w:val="24"/>
          <w:szCs w:val="24"/>
          <w:lang w:eastAsia="bg-BG"/>
        </w:rPr>
        <w:t xml:space="preserve"> </w:t>
      </w:r>
      <w:r w:rsidR="00A52DC6" w:rsidRPr="00AE0A80">
        <w:rPr>
          <w:rFonts w:ascii="Times New Roman" w:hAnsi="Times New Roman" w:cs="Times New Roman"/>
          <w:sz w:val="24"/>
          <w:szCs w:val="24"/>
          <w:lang w:eastAsia="bg-BG"/>
        </w:rPr>
        <w:t>дългосрочно прогнозиране чрез представяне на прогнозите за търсените професии на ниво единична</w:t>
      </w:r>
      <w:r w:rsidR="00A52DC6">
        <w:rPr>
          <w:rFonts w:ascii="Times New Roman" w:hAnsi="Times New Roman" w:cs="Times New Roman"/>
          <w:sz w:val="24"/>
          <w:szCs w:val="24"/>
          <w:lang w:eastAsia="bg-BG"/>
        </w:rPr>
        <w:t xml:space="preserve"> </w:t>
      </w:r>
      <w:r w:rsidR="00A52DC6" w:rsidRPr="00AE0A80">
        <w:rPr>
          <w:rFonts w:ascii="Times New Roman" w:hAnsi="Times New Roman" w:cs="Times New Roman"/>
          <w:sz w:val="24"/>
          <w:szCs w:val="24"/>
          <w:lang w:eastAsia="bg-BG"/>
        </w:rPr>
        <w:t>група от НКПД-2011 г. и на данните за регионалните дисбаланси/структурните несъответствия на ниво</w:t>
      </w:r>
      <w:r w:rsidR="00A52DC6">
        <w:rPr>
          <w:rFonts w:ascii="Times New Roman" w:hAnsi="Times New Roman" w:cs="Times New Roman"/>
          <w:sz w:val="24"/>
          <w:szCs w:val="24"/>
          <w:lang w:eastAsia="bg-BG"/>
        </w:rPr>
        <w:t xml:space="preserve"> </w:t>
      </w:r>
      <w:r w:rsidR="00A52DC6" w:rsidRPr="00AE0A80">
        <w:rPr>
          <w:rFonts w:ascii="Times New Roman" w:hAnsi="Times New Roman" w:cs="Times New Roman"/>
          <w:sz w:val="24"/>
          <w:szCs w:val="24"/>
          <w:lang w:eastAsia="bg-BG"/>
        </w:rPr>
        <w:t>област.</w:t>
      </w:r>
    </w:p>
    <w:p w14:paraId="4B644C2F" w14:textId="77777777" w:rsidR="003C6AA8" w:rsidRPr="005F49B3" w:rsidRDefault="003C6AA8" w:rsidP="00D6403A">
      <w:pPr>
        <w:pStyle w:val="Heading4"/>
        <w:numPr>
          <w:ilvl w:val="1"/>
          <w:numId w:val="23"/>
        </w:numPr>
        <w:spacing w:after="120"/>
        <w:ind w:left="284" w:hanging="284"/>
        <w:jc w:val="center"/>
        <w:rPr>
          <w:rFonts w:ascii="Times New Roman" w:hAnsi="Times New Roman" w:cs="Times New Roman"/>
          <w:color w:val="auto"/>
          <w:sz w:val="24"/>
          <w:u w:val="single"/>
        </w:rPr>
      </w:pPr>
      <w:r w:rsidRPr="005F49B3">
        <w:rPr>
          <w:rFonts w:ascii="Times New Roman" w:hAnsi="Times New Roman" w:cs="Times New Roman"/>
          <w:color w:val="auto"/>
          <w:sz w:val="24"/>
          <w:u w:val="single"/>
        </w:rPr>
        <w:t>Здравеопазване</w:t>
      </w:r>
      <w:r w:rsidR="00DC14E8" w:rsidRPr="005F49B3">
        <w:rPr>
          <w:color w:val="auto"/>
        </w:rPr>
        <w:t xml:space="preserve"> </w:t>
      </w:r>
      <w:r w:rsidR="00DC14E8" w:rsidRPr="005F49B3">
        <w:rPr>
          <w:rFonts w:ascii="Times New Roman" w:hAnsi="Times New Roman" w:cs="Times New Roman"/>
          <w:color w:val="auto"/>
          <w:sz w:val="24"/>
          <w:u w:val="single"/>
        </w:rPr>
        <w:t>и устойчивост на системите за обществено здраве</w:t>
      </w:r>
    </w:p>
    <w:p w14:paraId="61CB7526" w14:textId="77777777" w:rsidR="00464D51" w:rsidRPr="005F49B3" w:rsidRDefault="00464D51" w:rsidP="00D6403A">
      <w:pPr>
        <w:pStyle w:val="ListParagraph"/>
        <w:numPr>
          <w:ilvl w:val="0"/>
          <w:numId w:val="26"/>
        </w:numPr>
        <w:jc w:val="both"/>
        <w:rPr>
          <w:rFonts w:ascii="Times New Roman" w:hAnsi="Times New Roman" w:cs="Times New Roman"/>
          <w:b/>
          <w:sz w:val="24"/>
          <w:szCs w:val="24"/>
        </w:rPr>
      </w:pPr>
      <w:r w:rsidRPr="005F49B3">
        <w:rPr>
          <w:rFonts w:ascii="Times New Roman" w:hAnsi="Times New Roman" w:cs="Times New Roman"/>
          <w:b/>
          <w:sz w:val="24"/>
          <w:szCs w:val="24"/>
        </w:rPr>
        <w:t>Системен недостиг на медицински кадри и фрагментиран достъп до здравни услуги повишават уязвимостта на системата при едновременни кризи.</w:t>
      </w:r>
    </w:p>
    <w:p w14:paraId="555A16FC" w14:textId="77777777" w:rsidR="00464D51" w:rsidRPr="005F49B3" w:rsidRDefault="00464D51" w:rsidP="00D6403A">
      <w:pPr>
        <w:pStyle w:val="ListParagraph"/>
        <w:numPr>
          <w:ilvl w:val="0"/>
          <w:numId w:val="26"/>
        </w:numPr>
        <w:jc w:val="both"/>
        <w:rPr>
          <w:rFonts w:ascii="Times New Roman" w:hAnsi="Times New Roman" w:cs="Times New Roman"/>
          <w:b/>
          <w:sz w:val="24"/>
          <w:szCs w:val="24"/>
        </w:rPr>
      </w:pPr>
      <w:r w:rsidRPr="005F49B3">
        <w:rPr>
          <w:rFonts w:ascii="Times New Roman" w:hAnsi="Times New Roman" w:cs="Times New Roman"/>
          <w:b/>
          <w:sz w:val="24"/>
          <w:szCs w:val="24"/>
        </w:rPr>
        <w:t>Рискове, свързани с епидемии, радиационна безопасност и нерегламентирани субстанции, подчертават нуждата от интегрирана здравна сигурност.</w:t>
      </w:r>
    </w:p>
    <w:p w14:paraId="7C3095C3"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Системата на здравеопазване в Република България през 2024 г. функционира в условия на комплексно натрупване на рискове – едновременно свързани с демографската структура, външната среда, кадровите ресурси, технологичното обезпечаване и нормативната уредба. Пандемията от COVID-19 остави трайни следи върху капацитета за реакция и подчерта съществуващите уязвимости. През последната година се наблюдава завръщане на редица епидемични заболявания – регистрираните случаи на морбили, коклюш и други инфекции сочат понижение в обхвата на имунизационните кампании и задълбочаващ се риск от епидемично разпространение в специфични общности, включително сред деца и бежански групи. Особено обезпокоителна е липсата на всеобхватна </w:t>
      </w:r>
      <w:proofErr w:type="spellStart"/>
      <w:r w:rsidRPr="005F49B3">
        <w:rPr>
          <w:rFonts w:ascii="Times New Roman" w:hAnsi="Times New Roman" w:cs="Times New Roman"/>
          <w:sz w:val="24"/>
          <w:szCs w:val="24"/>
          <w:lang w:eastAsia="bg-BG"/>
        </w:rPr>
        <w:t>ваксинална</w:t>
      </w:r>
      <w:proofErr w:type="spellEnd"/>
      <w:r w:rsidRPr="005F49B3">
        <w:rPr>
          <w:rFonts w:ascii="Times New Roman" w:hAnsi="Times New Roman" w:cs="Times New Roman"/>
          <w:sz w:val="24"/>
          <w:szCs w:val="24"/>
          <w:lang w:eastAsia="bg-BG"/>
        </w:rPr>
        <w:t xml:space="preserve"> култура и недостатъчната информираност сред уязвими групи.</w:t>
      </w:r>
    </w:p>
    <w:p w14:paraId="6EEE6055"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През 2024 г. се отчита и продължаващ недостиг на медицински специалисти, особено в отдалечените и слабо населени региони. Липсата на млади лекари и </w:t>
      </w:r>
      <w:r w:rsidRPr="005F49B3">
        <w:rPr>
          <w:rFonts w:ascii="Times New Roman" w:hAnsi="Times New Roman" w:cs="Times New Roman"/>
          <w:sz w:val="24"/>
          <w:szCs w:val="24"/>
          <w:lang w:eastAsia="bg-BG"/>
        </w:rPr>
        <w:lastRenderedPageBreak/>
        <w:t>медицински сестри, както и неравномерното разпределение на кадрите, компрометира устойчивостта на здравната система при кризи. Проблемът се изостря от ограничените възможности за допълнително обучение и специализация в определени области, както и от миграцията на здравни специалисти. През последните години се наблюдава постоянна тенденция към застаряване на здравния персонал, което допълнително поставя под въпрос дългосрочната кадрова устойчивост на системата.</w:t>
      </w:r>
    </w:p>
    <w:p w14:paraId="49F29EE1"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Здравно-неосигурените лица остават значителен дял от населението – с концентриране в специфични етнически и социално уязвими групи. Това води до ограничен достъп до базови здравни грижи, включително профилактика, ранна диагностика и спешна помощ. Към това се прибавят и структурни трудности при обхващане на населението, пребиваващо извън официално регистрираното си местоживеене, което създава логистични и институционални пречки пред здравното планиране.</w:t>
      </w:r>
    </w:p>
    <w:p w14:paraId="7BC5FD45"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Съществуват и значими рискове, свързани с общественото здраве и безопасността – употребата на психоактивни вещества, разпространението на незаконни лекарства и достъпът до нерегламентирани медицински изделия. Според данни на Министерството на здравеопазването се задълбочава проблемът с т.нар. дизайнерски наркотици, често без възможност за навременна идентификация и контрол. Това е свързано с рискове за сигурността, особено сред подрастващите и в контекста на трансграничния трафик на субстанции.</w:t>
      </w:r>
    </w:p>
    <w:p w14:paraId="7592309B"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институционален план през 2024 г. се отбелязва напредък по ключови стратегически направления. България продължава участието си в Европейската здравна уредба и в проектите за изграждане на капацитет за реагиране при кризи. Един от тях е проектът за въздушна спешна помощ (HEMS), който следва да гарантира национално покритие чрез използване на въздушни средства. Проектът е стратегически важен както в контекста на природни бедствия и затруднен достъп до отдалечени райони, така и в случай на мащабни терористични актове или аварии с радиационен потенциал.</w:t>
      </w:r>
    </w:p>
    <w:p w14:paraId="045FA3EC"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Съществено значение имат и мерките, свързани с радиационната и ядрена безопасност – в т.ч. контрол върху радиоактивни материали с медицинско предназначение, сензорни системи и дигитална свързаност на базовите болници в националната здравна карта. Част от медицинската апаратура в страната попада в категорията изделия с двойна употреба и изисква засилен контрол от гледна точка на киберсигурността и технологичната проследимост.</w:t>
      </w:r>
    </w:p>
    <w:p w14:paraId="642040B7"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Въпреки реализираните инициативи, продължава да съществува системен риск от претоварване на здравната система при едновременни кризи (епидемични вълни, природни бедствия, миграционен натиск). Настоящият анализ показва необходимост от укрепване на здравната сигурност чрез няколко ключови направления: усъвършенстване на имунизационното покритие и култура, целево задържане и разпределение на кадри в уязвими региони, пълноценна интеграция на здравно-неосигурени лица чрез междуведомствени инструменти, и развитие на капацитетите за въздушен, мобилен и цифров отговор при кризи. В допълнение, нужни са нормативни механизми за реакция при бързо разпространяващи се наркотични и биологични рискове, както и адаптиране на системите за спешна помощ към променящия се рисков профил на населението.</w:t>
      </w:r>
    </w:p>
    <w:p w14:paraId="445F9E39" w14:textId="77777777" w:rsidR="003C6AA8" w:rsidRPr="005F49B3" w:rsidRDefault="00DC14E8" w:rsidP="00D6403A">
      <w:pPr>
        <w:pStyle w:val="Heading4"/>
        <w:numPr>
          <w:ilvl w:val="1"/>
          <w:numId w:val="23"/>
        </w:numPr>
        <w:spacing w:after="120"/>
        <w:ind w:left="284" w:hanging="284"/>
        <w:jc w:val="center"/>
        <w:rPr>
          <w:rFonts w:ascii="Times New Roman" w:hAnsi="Times New Roman" w:cs="Times New Roman"/>
          <w:color w:val="auto"/>
          <w:sz w:val="24"/>
          <w:u w:val="single"/>
        </w:rPr>
      </w:pPr>
      <w:r w:rsidRPr="005F49B3">
        <w:rPr>
          <w:rFonts w:ascii="Times New Roman" w:hAnsi="Times New Roman" w:cs="Times New Roman"/>
          <w:color w:val="auto"/>
          <w:sz w:val="24"/>
          <w:u w:val="single"/>
        </w:rPr>
        <w:lastRenderedPageBreak/>
        <w:t>Образование и развитие на човешкия капитал</w:t>
      </w:r>
    </w:p>
    <w:p w14:paraId="2345C035" w14:textId="77777777" w:rsidR="00464D51" w:rsidRPr="005F49B3" w:rsidRDefault="00464D51" w:rsidP="00D6403A">
      <w:pPr>
        <w:pStyle w:val="ListParagraph"/>
        <w:numPr>
          <w:ilvl w:val="0"/>
          <w:numId w:val="27"/>
        </w:numPr>
        <w:jc w:val="both"/>
        <w:rPr>
          <w:rFonts w:ascii="Times New Roman" w:hAnsi="Times New Roman" w:cs="Times New Roman"/>
          <w:b/>
          <w:sz w:val="24"/>
          <w:szCs w:val="24"/>
        </w:rPr>
      </w:pPr>
      <w:r w:rsidRPr="005F49B3">
        <w:rPr>
          <w:rFonts w:ascii="Times New Roman" w:hAnsi="Times New Roman" w:cs="Times New Roman"/>
          <w:b/>
          <w:sz w:val="24"/>
          <w:szCs w:val="24"/>
        </w:rPr>
        <w:t>Висок дял на отпаднали ученици и ограничен достъп до образование в уязвими групи създават условия за трайна социална уязвимост и дезинтеграция.</w:t>
      </w:r>
    </w:p>
    <w:p w14:paraId="45EB8061" w14:textId="77777777" w:rsidR="00464D51" w:rsidRPr="005F49B3" w:rsidRDefault="00464D51" w:rsidP="00D6403A">
      <w:pPr>
        <w:pStyle w:val="ListParagraph"/>
        <w:numPr>
          <w:ilvl w:val="0"/>
          <w:numId w:val="27"/>
        </w:numPr>
        <w:jc w:val="both"/>
        <w:rPr>
          <w:rFonts w:ascii="Times New Roman" w:hAnsi="Times New Roman" w:cs="Times New Roman"/>
          <w:b/>
          <w:sz w:val="24"/>
          <w:szCs w:val="24"/>
        </w:rPr>
      </w:pPr>
      <w:r w:rsidRPr="005F49B3">
        <w:rPr>
          <w:rFonts w:ascii="Times New Roman" w:hAnsi="Times New Roman" w:cs="Times New Roman"/>
          <w:b/>
          <w:sz w:val="24"/>
          <w:szCs w:val="24"/>
        </w:rPr>
        <w:t>Образователната система не генерира достатъчно кадри в критични за сигурността направления като киберсигурност, здравеопазване и инженерни специалности.</w:t>
      </w:r>
    </w:p>
    <w:p w14:paraId="76A8DBE2"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През 2024 г. системата на образование в Република България продължава да функционира в условията на демографски натиск, неравномерна регионална осигуреност и нарастващи очаквания за адекватност спрямо нуждите на пазара на труда и националната сигурност. Тенденциите показват стабилизиране на обхвата в ранните етапи на образованието – среден дял на обхванатите деца в задължителна предучилищна възраст е 91.5%. Същевременно продължават да съществуват трайни пропуски в обхвата на децата от определени социални и етнически групи, особено в някои райони с висока бедност и ограничен достъп до услуги.</w:t>
      </w:r>
    </w:p>
    <w:p w14:paraId="4708545A"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Отпадането от училище остава устойчив проблем – през учебната 2022/2023 г. общо 17 097 ученици са напуснали системата, като най-висок е делът в начален и прогимназиален етап. Основните причини са свързани с икономическа принуда, миграция и социална уязвимост, а в немалко случаи – с липса на мотивация или трудности в адаптацията към учебната среда. Това създава сериозен риск от формиране на поколения с ограничен достъп до труд и висока уязвимост спрямо радикализация, манипулации и антисистемни влияния.</w:t>
      </w:r>
    </w:p>
    <w:p w14:paraId="2598E63A"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През 2024 г. Министерството на образованието и науката продължава изпълнението на междусекторния Механизъм за съвместна работа на институциите по обхващане и задържане на децата и учениците в образователната система. Над 4 800 екипа са обходили повече от 60 000 адреса в цялата страна. Въпреки положителните резултати в част от регионите, ефектът върху дългосрочното задържане остава ограничен, особено при ученици в горен курс.</w:t>
      </w:r>
    </w:p>
    <w:p w14:paraId="75C4F743" w14:textId="77777777" w:rsidR="003C6AA8" w:rsidRPr="005F49B3" w:rsidRDefault="003C6AA8" w:rsidP="00891E30">
      <w:pPr>
        <w:spacing w:after="120"/>
        <w:ind w:firstLine="851"/>
        <w:jc w:val="both"/>
        <w:rPr>
          <w:rFonts w:ascii="Times New Roman" w:hAnsi="Times New Roman" w:cs="Times New Roman"/>
          <w:sz w:val="24"/>
          <w:szCs w:val="24"/>
          <w:lang w:eastAsia="bg-BG"/>
        </w:rPr>
      </w:pPr>
      <w:bookmarkStart w:id="53" w:name="_Hlk206669112"/>
      <w:r w:rsidRPr="005F49B3">
        <w:rPr>
          <w:rFonts w:ascii="Times New Roman" w:hAnsi="Times New Roman" w:cs="Times New Roman"/>
          <w:sz w:val="24"/>
          <w:szCs w:val="24"/>
          <w:lang w:eastAsia="bg-BG"/>
        </w:rPr>
        <w:t xml:space="preserve">Професионалното образование и обучението (ПОО) </w:t>
      </w:r>
      <w:bookmarkEnd w:id="53"/>
      <w:r w:rsidRPr="005F49B3">
        <w:rPr>
          <w:rFonts w:ascii="Times New Roman" w:hAnsi="Times New Roman" w:cs="Times New Roman"/>
          <w:sz w:val="24"/>
          <w:szCs w:val="24"/>
          <w:lang w:eastAsia="bg-BG"/>
        </w:rPr>
        <w:t xml:space="preserve">се развиват в посока на тясно сътрудничество с бизнеса и адаптиране на учебните програми към търсенето на пазара на труда. Броят на </w:t>
      </w:r>
      <w:proofErr w:type="spellStart"/>
      <w:r w:rsidRPr="005F49B3">
        <w:rPr>
          <w:rFonts w:ascii="Times New Roman" w:hAnsi="Times New Roman" w:cs="Times New Roman"/>
          <w:sz w:val="24"/>
          <w:szCs w:val="24"/>
          <w:lang w:eastAsia="bg-BG"/>
        </w:rPr>
        <w:t>дуалните</w:t>
      </w:r>
      <w:proofErr w:type="spellEnd"/>
      <w:r w:rsidRPr="005F49B3">
        <w:rPr>
          <w:rFonts w:ascii="Times New Roman" w:hAnsi="Times New Roman" w:cs="Times New Roman"/>
          <w:sz w:val="24"/>
          <w:szCs w:val="24"/>
          <w:lang w:eastAsia="bg-BG"/>
        </w:rPr>
        <w:t xml:space="preserve"> паралелки и учениците в тях нараства, като в тях се обучават над 5 700 ученици. Въпреки това, обхватът остава ограничен спрямо мащаба на потребностите – най-остри са дефицитите в технически, инженерни и STEM направления. Системата не осигурява достатъчно кадри в критични за сигурността сфери като киберсигурност, здравеопазване, енергетика и транспорт.</w:t>
      </w:r>
    </w:p>
    <w:p w14:paraId="0A5067FC"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Секторът висше образование продължава да страда от структурен дисбаланс между търсене и предлагане. Увеличението на броя на приетите студенти не е съпроводено с целенасочена промяна на профила на обучението спрямо националните приоритети. Необходима е системна реформа, насочена към преструктуриране на приема, засилване на връзката с реалния сектор и интернационализация на програмите.</w:t>
      </w:r>
    </w:p>
    <w:p w14:paraId="49B1F4FB"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Извеждането на образованието като структуроопределяща система за устойчивостта на държавата изисква по-силна хоризонтална координация с останалите сектори – труд, икономика, сигурност, здравеопазване. Необходими са комплексни </w:t>
      </w:r>
      <w:r w:rsidRPr="005F49B3">
        <w:rPr>
          <w:rFonts w:ascii="Times New Roman" w:hAnsi="Times New Roman" w:cs="Times New Roman"/>
          <w:sz w:val="24"/>
          <w:szCs w:val="24"/>
          <w:lang w:eastAsia="bg-BG"/>
        </w:rPr>
        <w:lastRenderedPageBreak/>
        <w:t>мерки за минимизиране на отпадането, адаптиране на обучението към трансформиращия се трудов пазар и укрепване на професионалното и висшето образование в направления, свързани със стратегическите предизвикателства. Специално внимание следва да се отдели на развиването на базови и специализирани умения по гражданска устойчивост, информационна хигиена и технологична грамотност сред подрастващите. От ключово значение е също така създаването на устойчива система за предвиждане на бъдещите нужди от умения, включително чрез сътрудничество с работодатели, институции и академичната общност.</w:t>
      </w:r>
    </w:p>
    <w:p w14:paraId="4B101122" w14:textId="77777777" w:rsidR="003C6AA8" w:rsidRPr="00757AC6" w:rsidRDefault="00DC14E8" w:rsidP="00D6403A">
      <w:pPr>
        <w:pStyle w:val="Heading4"/>
        <w:numPr>
          <w:ilvl w:val="1"/>
          <w:numId w:val="23"/>
        </w:numPr>
        <w:spacing w:after="120"/>
        <w:ind w:left="284" w:hanging="284"/>
        <w:jc w:val="center"/>
        <w:rPr>
          <w:rFonts w:ascii="Times New Roman" w:hAnsi="Times New Roman" w:cs="Times New Roman"/>
          <w:color w:val="auto"/>
          <w:sz w:val="24"/>
          <w:u w:val="single"/>
        </w:rPr>
      </w:pPr>
      <w:r w:rsidRPr="00757AC6">
        <w:rPr>
          <w:rFonts w:ascii="Times New Roman" w:hAnsi="Times New Roman" w:cs="Times New Roman"/>
          <w:color w:val="auto"/>
          <w:sz w:val="24"/>
          <w:u w:val="single"/>
        </w:rPr>
        <w:t>Спортът като елемент от архитектурата на сигурността</w:t>
      </w:r>
    </w:p>
    <w:p w14:paraId="426E17EC" w14:textId="77777777" w:rsidR="00DC14E8" w:rsidRPr="005F49B3" w:rsidRDefault="00DC14E8" w:rsidP="00D6403A">
      <w:pPr>
        <w:pStyle w:val="ListParagraph"/>
        <w:numPr>
          <w:ilvl w:val="0"/>
          <w:numId w:val="28"/>
        </w:numPr>
        <w:jc w:val="both"/>
        <w:rPr>
          <w:rFonts w:ascii="Times New Roman" w:hAnsi="Times New Roman" w:cs="Times New Roman"/>
          <w:b/>
          <w:sz w:val="24"/>
          <w:szCs w:val="24"/>
        </w:rPr>
      </w:pPr>
      <w:r w:rsidRPr="005F49B3">
        <w:rPr>
          <w:rFonts w:ascii="Times New Roman" w:hAnsi="Times New Roman" w:cs="Times New Roman"/>
          <w:b/>
          <w:sz w:val="24"/>
          <w:szCs w:val="24"/>
        </w:rPr>
        <w:t>Спортът се утвърждава като инструмент за социална устойчивост, изграждане на личностни умения и повишаване на националната готовност при кризи.</w:t>
      </w:r>
    </w:p>
    <w:p w14:paraId="14989905" w14:textId="77777777" w:rsidR="00DC14E8" w:rsidRPr="005F49B3" w:rsidRDefault="00DC14E8" w:rsidP="00D6403A">
      <w:pPr>
        <w:pStyle w:val="ListParagraph"/>
        <w:numPr>
          <w:ilvl w:val="0"/>
          <w:numId w:val="28"/>
        </w:numPr>
        <w:jc w:val="both"/>
        <w:rPr>
          <w:rFonts w:ascii="Times New Roman" w:hAnsi="Times New Roman" w:cs="Times New Roman"/>
          <w:b/>
          <w:sz w:val="24"/>
          <w:szCs w:val="24"/>
        </w:rPr>
      </w:pPr>
      <w:r w:rsidRPr="005F49B3">
        <w:rPr>
          <w:rFonts w:ascii="Times New Roman" w:hAnsi="Times New Roman" w:cs="Times New Roman"/>
          <w:b/>
          <w:sz w:val="24"/>
          <w:szCs w:val="24"/>
        </w:rPr>
        <w:t>Препоръчва се интегриране на спортната инфраструктура в плановете за действие при бедствия, мобилизация и извънредни ситуации.</w:t>
      </w:r>
    </w:p>
    <w:p w14:paraId="3D3317F4"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Секторът „Физическо възпитание и спорт“ заема стратегическо място в системата за укрепване на човешкия капитал, обществената устойчивост и националната сигурност. През 2024 г. Министерството на младежта и спорта продължава да прилага политики, които разглеждат спорта не само като инструмент за здраве и личностно развитие, но и като елемент от превенцията на рисково поведение, социална изолация и институционално отчуждение. Физическата активност е призната като ключова за изграждането на социални, културни и поведенчески механизми за устойчивост, особено сред децата и младежите.</w:t>
      </w:r>
    </w:p>
    <w:p w14:paraId="6C2ABBE3"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През отчетния период се наблюдава засилено прилагане на подхода „спорт за всички“ с фокус върху уязвими социални групи, малки населени места и подрастващи. Активно се развиват партньорствата с образователните институции, местните власти и спортните клубове, с цел осигуряване на достъп до занимания по спорт и двигателна активност извън училищната среда. Спортните училища, университетският спорт и мрежата от спортни обекти изпълняват важна роля в изграждането на навици за активен начин на живот и формиране на личностни умения с дългосрочно значение.</w:t>
      </w:r>
    </w:p>
    <w:p w14:paraId="3E76E1E9"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Политиките в сектора са пряко свързани с усилията за повишаване на националната готовност при кризи и изграждане на способности за реакция. Обучението по спортове с елементи на оцеляване – плуване, ориентиране, зимни спортове – допринася за физическата и психологическата издръжливост на младите хора. Подобни умения имат значение не само за здравето, но и за първоначалната реакция в извънредни ситуации, включително природни бедствия, техногенни инциденти и миграционни кризи.</w:t>
      </w:r>
    </w:p>
    <w:p w14:paraId="71C57797"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този контекст, спортната инфраструктура следва да бъде пълноценно интегрирана в националните планове за действие при кризи и мобилизация. Залите, спортните комплекси и съоръженията могат да изпълняват функции като логистични и медицински пунктове, места за евакуация, подслон и базова хуманитарна помощ. За тази цел е необходимо тяхното картографиране, техническа пригодност и нормативно регламентирано използване при необходимост.</w:t>
      </w:r>
    </w:p>
    <w:p w14:paraId="3F89D4CA"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lastRenderedPageBreak/>
        <w:t xml:space="preserve">В областта на превенцията и социалната интеграция спортът остава основно средство за намаляване на агресията, насърчаване на колективното поведение и изграждане на уважение към правилата. Особено ефективни са инициативите, насочени към младежи в риск, както и към групи с ограничен достъп до образование и труд. Подкрепя се включването на спорта в програмите за </w:t>
      </w:r>
      <w:proofErr w:type="spellStart"/>
      <w:r w:rsidRPr="005F49B3">
        <w:rPr>
          <w:rFonts w:ascii="Times New Roman" w:hAnsi="Times New Roman" w:cs="Times New Roman"/>
          <w:sz w:val="24"/>
          <w:szCs w:val="24"/>
          <w:lang w:eastAsia="bg-BG"/>
        </w:rPr>
        <w:t>ресоциализация</w:t>
      </w:r>
      <w:proofErr w:type="spellEnd"/>
      <w:r w:rsidRPr="005F49B3">
        <w:rPr>
          <w:rFonts w:ascii="Times New Roman" w:hAnsi="Times New Roman" w:cs="Times New Roman"/>
          <w:sz w:val="24"/>
          <w:szCs w:val="24"/>
          <w:lang w:eastAsia="bg-BG"/>
        </w:rPr>
        <w:t>, работа с младежки лидери и доброволчески практики.</w:t>
      </w:r>
    </w:p>
    <w:p w14:paraId="25B529D1" w14:textId="77777777" w:rsidR="003C6AA8"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Елитният спорт допринася за утвърждаване на позитивен национален образ, доверие в институциите и чувство за принадлежност. Успехите на български спортисти на международната сцена имат обединяваща функция и следва да бъдат подкрепяни както чрез инвестиции в подготовка и инфраструктура, така и чрез устойчиво свързване с масовия спорт и гражданската активност.</w:t>
      </w:r>
    </w:p>
    <w:p w14:paraId="32120800" w14:textId="77777777" w:rsidR="00B03D96" w:rsidRPr="005F49B3" w:rsidRDefault="003C6AA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С оглед постигане на дългосрочна устойчивост, секторът „Спорт“ следва да се развива като хоризонтален интегратор в политиките по сигурност, здраве, образование и социално включване. Препоръчва се изграждането на стратегическа рамка за развитие на човешкия потенциал чрез физическа активност, включително чрез създаване на национална платформа с функции за координация, мониторинг и междусекторно сътрудничество. Това ще позволи не само по-пълноценно използване на потенциала на спорта, но и неговото утвърждаване като елемент от общата архитектура на сигурността в Република България.</w:t>
      </w:r>
    </w:p>
    <w:p w14:paraId="1E16C239" w14:textId="2994518F" w:rsidR="00D6403A" w:rsidRPr="00D6403A" w:rsidRDefault="00D6403A" w:rsidP="00D6403A">
      <w:pPr>
        <w:pStyle w:val="Heading3"/>
        <w:numPr>
          <w:ilvl w:val="0"/>
          <w:numId w:val="14"/>
        </w:numPr>
        <w:tabs>
          <w:tab w:val="num" w:pos="360"/>
        </w:tabs>
        <w:spacing w:line="360" w:lineRule="auto"/>
        <w:ind w:left="0" w:firstLine="0"/>
        <w:rPr>
          <w:rFonts w:ascii="Times New Roman" w:hAnsi="Times New Roman" w:cs="Times New Roman"/>
          <w:b/>
          <w:color w:val="1F4E79" w:themeColor="accent1" w:themeShade="80"/>
        </w:rPr>
      </w:pPr>
      <w:bookmarkStart w:id="54" w:name="_Toc208580389"/>
      <w:r w:rsidRPr="00D6403A">
        <w:rPr>
          <w:rFonts w:ascii="Times New Roman" w:hAnsi="Times New Roman" w:cs="Times New Roman"/>
          <w:b/>
          <w:color w:val="1F4E79" w:themeColor="accent1" w:themeShade="80"/>
        </w:rPr>
        <w:t xml:space="preserve">Правосъдие и върховенство на </w:t>
      </w:r>
      <w:r w:rsidR="005E3227">
        <w:rPr>
          <w:rFonts w:ascii="Times New Roman" w:hAnsi="Times New Roman" w:cs="Times New Roman"/>
          <w:b/>
          <w:color w:val="1F4E79" w:themeColor="accent1" w:themeShade="80"/>
        </w:rPr>
        <w:t>правото</w:t>
      </w:r>
      <w:bookmarkEnd w:id="54"/>
    </w:p>
    <w:p w14:paraId="6A25CB23" w14:textId="79ECC175" w:rsidR="00D6403A" w:rsidRPr="00957D18" w:rsidRDefault="00D6403A" w:rsidP="00D6403A">
      <w:pPr>
        <w:pStyle w:val="NoSpacing"/>
        <w:numPr>
          <w:ilvl w:val="0"/>
          <w:numId w:val="9"/>
        </w:numPr>
        <w:spacing w:after="120" w:line="276" w:lineRule="auto"/>
        <w:ind w:left="714" w:hanging="357"/>
        <w:contextualSpacing/>
        <w:jc w:val="both"/>
        <w:rPr>
          <w:rFonts w:ascii="Times New Roman" w:eastAsiaTheme="minorHAnsi" w:hAnsi="Times New Roman" w:cs="Times New Roman"/>
          <w:b/>
          <w:bCs/>
          <w:sz w:val="24"/>
          <w:szCs w:val="24"/>
          <w:lang w:val="bg-BG" w:eastAsia="bg-BG"/>
        </w:rPr>
      </w:pPr>
      <w:r w:rsidRPr="00957D18">
        <w:rPr>
          <w:rFonts w:ascii="Times New Roman" w:eastAsiaTheme="minorHAnsi" w:hAnsi="Times New Roman" w:cs="Times New Roman"/>
          <w:b/>
          <w:bCs/>
          <w:sz w:val="24"/>
          <w:szCs w:val="24"/>
          <w:lang w:val="bg-BG" w:eastAsia="bg-BG"/>
        </w:rPr>
        <w:t xml:space="preserve">Налице е </w:t>
      </w:r>
      <w:r w:rsidR="00693604">
        <w:rPr>
          <w:rFonts w:ascii="Times New Roman" w:eastAsiaTheme="minorHAnsi" w:hAnsi="Times New Roman" w:cs="Times New Roman"/>
          <w:b/>
          <w:bCs/>
          <w:sz w:val="24"/>
          <w:szCs w:val="24"/>
          <w:lang w:val="bg-BG" w:eastAsia="bg-BG"/>
        </w:rPr>
        <w:t xml:space="preserve">опасност от криминална и идеологическа радикализация сред лишените от свобода лица </w:t>
      </w:r>
      <w:r w:rsidRPr="00957D18">
        <w:rPr>
          <w:rFonts w:ascii="Times New Roman" w:eastAsiaTheme="minorHAnsi" w:hAnsi="Times New Roman" w:cs="Times New Roman"/>
          <w:b/>
          <w:bCs/>
          <w:sz w:val="24"/>
          <w:szCs w:val="24"/>
          <w:lang w:val="bg-BG" w:eastAsia="bg-BG"/>
        </w:rPr>
        <w:t xml:space="preserve">в затворите, като в отговор е предприета модернизация чрез видеонаблюдение, електронни системи и социални програми. </w:t>
      </w:r>
    </w:p>
    <w:p w14:paraId="46EEF407" w14:textId="77777777" w:rsidR="00D6403A" w:rsidRPr="00957D18" w:rsidRDefault="00D6403A" w:rsidP="00D6403A">
      <w:pPr>
        <w:pStyle w:val="NoSpacing"/>
        <w:numPr>
          <w:ilvl w:val="0"/>
          <w:numId w:val="9"/>
        </w:numPr>
        <w:spacing w:after="120" w:line="276" w:lineRule="auto"/>
        <w:ind w:left="714" w:hanging="357"/>
        <w:contextualSpacing/>
        <w:jc w:val="both"/>
        <w:rPr>
          <w:rFonts w:ascii="Times New Roman" w:eastAsiaTheme="minorHAnsi" w:hAnsi="Times New Roman" w:cs="Times New Roman"/>
          <w:b/>
          <w:bCs/>
          <w:sz w:val="24"/>
          <w:szCs w:val="24"/>
          <w:lang w:val="bg-BG" w:eastAsia="bg-BG"/>
        </w:rPr>
      </w:pPr>
      <w:r w:rsidRPr="00957D18">
        <w:rPr>
          <w:rFonts w:ascii="Times New Roman" w:eastAsiaTheme="minorHAnsi" w:hAnsi="Times New Roman" w:cs="Times New Roman"/>
          <w:b/>
          <w:bCs/>
          <w:sz w:val="24"/>
          <w:szCs w:val="24"/>
          <w:lang w:val="bg-BG" w:eastAsia="bg-BG"/>
        </w:rPr>
        <w:t xml:space="preserve">Създадена е организация за прилагане на ограничителните мерки на ЕС, а регистърът на действителните собственици се използва като инструмент за превенция на изпирането на пари. </w:t>
      </w:r>
    </w:p>
    <w:p w14:paraId="5814831D" w14:textId="77777777" w:rsidR="00D6403A" w:rsidRPr="00957D18" w:rsidRDefault="00D6403A" w:rsidP="00D6403A">
      <w:pPr>
        <w:pStyle w:val="NoSpacing"/>
        <w:numPr>
          <w:ilvl w:val="0"/>
          <w:numId w:val="9"/>
        </w:numPr>
        <w:spacing w:after="120" w:line="276" w:lineRule="auto"/>
        <w:ind w:left="714" w:hanging="357"/>
        <w:contextualSpacing/>
        <w:jc w:val="both"/>
        <w:rPr>
          <w:rFonts w:ascii="Times New Roman" w:eastAsiaTheme="minorHAnsi" w:hAnsi="Times New Roman" w:cs="Times New Roman"/>
          <w:b/>
          <w:bCs/>
          <w:sz w:val="24"/>
          <w:szCs w:val="24"/>
          <w:lang w:val="bg-BG" w:eastAsia="bg-BG"/>
        </w:rPr>
      </w:pPr>
      <w:r w:rsidRPr="00957D18">
        <w:rPr>
          <w:rFonts w:ascii="Times New Roman" w:eastAsiaTheme="minorHAnsi" w:hAnsi="Times New Roman" w:cs="Times New Roman"/>
          <w:b/>
          <w:bCs/>
          <w:sz w:val="24"/>
          <w:szCs w:val="24"/>
          <w:lang w:val="bg-BG" w:eastAsia="bg-BG"/>
        </w:rPr>
        <w:t xml:space="preserve">Осигурено е задължително представителство на над 2400 непридружени непълнолетни чужденци, като България се подготвя за прилагането на Пакта за миграция и убежище. </w:t>
      </w:r>
    </w:p>
    <w:p w14:paraId="25F6CFD2" w14:textId="77777777" w:rsidR="00D6403A" w:rsidRPr="00957D18" w:rsidRDefault="00D6403A" w:rsidP="00D6403A">
      <w:pPr>
        <w:pStyle w:val="NoSpacing"/>
        <w:numPr>
          <w:ilvl w:val="0"/>
          <w:numId w:val="9"/>
        </w:numPr>
        <w:spacing w:after="120" w:line="276" w:lineRule="auto"/>
        <w:ind w:left="714" w:hanging="357"/>
        <w:contextualSpacing/>
        <w:jc w:val="both"/>
        <w:rPr>
          <w:rFonts w:ascii="Times New Roman" w:eastAsiaTheme="minorHAnsi" w:hAnsi="Times New Roman" w:cs="Times New Roman"/>
          <w:b/>
          <w:bCs/>
          <w:sz w:val="24"/>
          <w:szCs w:val="24"/>
          <w:lang w:val="bg-BG" w:eastAsia="bg-BG"/>
        </w:rPr>
      </w:pPr>
      <w:r w:rsidRPr="00957D18">
        <w:rPr>
          <w:rFonts w:ascii="Times New Roman" w:eastAsiaTheme="minorHAnsi" w:hAnsi="Times New Roman" w:cs="Times New Roman"/>
          <w:b/>
          <w:bCs/>
          <w:sz w:val="24"/>
          <w:szCs w:val="24"/>
          <w:lang w:val="bg-BG" w:eastAsia="bg-BG"/>
        </w:rPr>
        <w:t xml:space="preserve">Прилагани са специални мерки за сигурност, включително международно сътрудничество, за гарантиране на безопасността на свидетели по дела за тежки престъпления. </w:t>
      </w:r>
    </w:p>
    <w:p w14:paraId="088F6E6E" w14:textId="77777777" w:rsidR="00D6403A" w:rsidRPr="00957D18" w:rsidRDefault="00D6403A" w:rsidP="00D6403A">
      <w:pPr>
        <w:pStyle w:val="NoSpacing"/>
        <w:numPr>
          <w:ilvl w:val="0"/>
          <w:numId w:val="9"/>
        </w:numPr>
        <w:spacing w:after="120" w:line="276" w:lineRule="auto"/>
        <w:ind w:left="714" w:hanging="357"/>
        <w:contextualSpacing/>
        <w:jc w:val="both"/>
        <w:rPr>
          <w:rFonts w:ascii="Times New Roman" w:eastAsiaTheme="minorHAnsi" w:hAnsi="Times New Roman" w:cs="Times New Roman"/>
          <w:b/>
          <w:bCs/>
          <w:sz w:val="24"/>
          <w:szCs w:val="24"/>
          <w:lang w:val="bg-BG" w:eastAsia="bg-BG"/>
        </w:rPr>
      </w:pPr>
      <w:r w:rsidRPr="00957D18">
        <w:rPr>
          <w:rFonts w:ascii="Times New Roman" w:eastAsiaTheme="minorHAnsi" w:hAnsi="Times New Roman" w:cs="Times New Roman"/>
          <w:b/>
          <w:bCs/>
          <w:sz w:val="24"/>
          <w:szCs w:val="24"/>
          <w:lang w:val="bg-BG" w:eastAsia="bg-BG"/>
        </w:rPr>
        <w:t xml:space="preserve">През 2024 г. са извършени 33 проверки и редовни тренировки на състава на ГД „Охрана“, включително симулации на терористични атаки, като са установени пропуски в подготовката по първа помощ. </w:t>
      </w:r>
    </w:p>
    <w:p w14:paraId="4C7221F2" w14:textId="77777777" w:rsidR="00693604" w:rsidRPr="00655B7C" w:rsidRDefault="00D6403A" w:rsidP="00693604">
      <w:pPr>
        <w:spacing w:after="120"/>
        <w:ind w:firstLine="851"/>
        <w:jc w:val="both"/>
        <w:rPr>
          <w:rFonts w:ascii="Times New Roman" w:hAnsi="Times New Roman" w:cs="Times New Roman"/>
          <w:sz w:val="24"/>
          <w:szCs w:val="24"/>
          <w:lang w:eastAsia="bg-BG"/>
        </w:rPr>
      </w:pPr>
      <w:r w:rsidRPr="00655B7C">
        <w:rPr>
          <w:rFonts w:ascii="Times New Roman" w:hAnsi="Times New Roman" w:cs="Times New Roman"/>
          <w:lang w:eastAsia="bg-BG"/>
        </w:rPr>
        <w:t xml:space="preserve">Процесите в разглежданите направления се характеризират със съчетание от устойчиви предизвикателства и целенасочени усилия за модернизация и укрепване на институционалния капацитет. </w:t>
      </w:r>
      <w:proofErr w:type="spellStart"/>
      <w:r w:rsidRPr="00655B7C">
        <w:rPr>
          <w:rFonts w:ascii="Times New Roman" w:hAnsi="Times New Roman" w:cs="Times New Roman"/>
          <w:lang w:eastAsia="bg-BG"/>
        </w:rPr>
        <w:t>Пенитенциарната</w:t>
      </w:r>
      <w:proofErr w:type="spellEnd"/>
      <w:r w:rsidRPr="00655B7C">
        <w:rPr>
          <w:rFonts w:ascii="Times New Roman" w:hAnsi="Times New Roman" w:cs="Times New Roman"/>
          <w:lang w:eastAsia="bg-BG"/>
        </w:rPr>
        <w:t xml:space="preserve"> система </w:t>
      </w:r>
      <w:r w:rsidR="00693604" w:rsidRPr="00486AC1">
        <w:rPr>
          <w:rFonts w:ascii="Times New Roman" w:hAnsi="Times New Roman" w:cs="Times New Roman"/>
          <w:lang w:eastAsia="bg-BG"/>
        </w:rPr>
        <w:t>функционира в рамките на допустимия капацитет, пренаселеността остава възможен риск при повишено натоварване на системата</w:t>
      </w:r>
      <w:r w:rsidR="00693604">
        <w:rPr>
          <w:rFonts w:ascii="Times New Roman" w:hAnsi="Times New Roman" w:cs="Times New Roman"/>
          <w:lang w:eastAsia="bg-BG"/>
        </w:rPr>
        <w:t xml:space="preserve">. Възможни рискове са </w:t>
      </w:r>
      <w:r w:rsidR="00693604" w:rsidRPr="00486AC1">
        <w:rPr>
          <w:rFonts w:ascii="Times New Roman" w:hAnsi="Times New Roman" w:cs="Times New Roman"/>
          <w:lang w:eastAsia="bg-BG"/>
        </w:rPr>
        <w:t>незаконно внасяне на мобилни телефони, наркотици и други неразрешени вещи и предмети</w:t>
      </w:r>
      <w:r w:rsidR="00693604">
        <w:rPr>
          <w:rFonts w:ascii="Times New Roman" w:hAnsi="Times New Roman" w:cs="Times New Roman"/>
          <w:lang w:eastAsia="bg-BG"/>
        </w:rPr>
        <w:t>, както и остава о</w:t>
      </w:r>
      <w:r w:rsidR="00693604" w:rsidRPr="00486AC1">
        <w:rPr>
          <w:rFonts w:ascii="Times New Roman" w:hAnsi="Times New Roman" w:cs="Times New Roman"/>
          <w:lang w:eastAsia="bg-BG"/>
        </w:rPr>
        <w:t>пасността от криминална и идеологическа радикализаци</w:t>
      </w:r>
      <w:r w:rsidR="00693604">
        <w:rPr>
          <w:rFonts w:ascii="Times New Roman" w:hAnsi="Times New Roman" w:cs="Times New Roman"/>
          <w:lang w:eastAsia="bg-BG"/>
        </w:rPr>
        <w:t>я сред лишените от свобода лица, което с</w:t>
      </w:r>
      <w:r w:rsidR="00693604" w:rsidRPr="00486AC1">
        <w:rPr>
          <w:rFonts w:ascii="Times New Roman" w:hAnsi="Times New Roman" w:cs="Times New Roman"/>
          <w:lang w:eastAsia="bg-BG"/>
        </w:rPr>
        <w:t xml:space="preserve">е </w:t>
      </w:r>
      <w:r w:rsidR="00693604">
        <w:rPr>
          <w:rFonts w:ascii="Times New Roman" w:hAnsi="Times New Roman" w:cs="Times New Roman"/>
          <w:lang w:eastAsia="bg-BG"/>
        </w:rPr>
        <w:t xml:space="preserve">дължи </w:t>
      </w:r>
      <w:r w:rsidR="00693604" w:rsidRPr="00486AC1">
        <w:rPr>
          <w:rFonts w:ascii="Times New Roman" w:hAnsi="Times New Roman" w:cs="Times New Roman"/>
          <w:lang w:eastAsia="bg-BG"/>
        </w:rPr>
        <w:t>основно поради етническа и религиозна принадлежност</w:t>
      </w:r>
      <w:r w:rsidR="00693604">
        <w:rPr>
          <w:rFonts w:ascii="Times New Roman" w:hAnsi="Times New Roman" w:cs="Times New Roman"/>
          <w:lang w:eastAsia="bg-BG"/>
        </w:rPr>
        <w:t xml:space="preserve">. </w:t>
      </w:r>
      <w:r w:rsidR="00693604" w:rsidRPr="00655B7C">
        <w:rPr>
          <w:rFonts w:ascii="Times New Roman" w:hAnsi="Times New Roman" w:cs="Times New Roman"/>
          <w:lang w:eastAsia="bg-BG"/>
        </w:rPr>
        <w:t xml:space="preserve">Прилагането на европейските санкции е подсилено чрез дейността на Агенцията </w:t>
      </w:r>
      <w:r w:rsidR="00693604" w:rsidRPr="00655B7C">
        <w:rPr>
          <w:rFonts w:ascii="Times New Roman" w:hAnsi="Times New Roman" w:cs="Times New Roman"/>
          <w:lang w:eastAsia="bg-BG"/>
        </w:rPr>
        <w:lastRenderedPageBreak/>
        <w:t>по вписванията и поддържането на регистър на действителните собственици. Националното бюро за правна помощ гарантира достъп до правосъдие за уязвими категории чужденци, като същевременно се подготвя за новите изисквания на Пакта за миграция и убежище. Защитата на свидетели и сигурността на съдебните сгради остават критични елементи в борбата с тежките престъпления и терористичните заплахи, докато конвенционалната престъпност и корупцията продължават да подкопават доверието на гражданите в институциите. В този контекст ключов акцент е необходимостта от интегриран подход, който съчетава модернизация, дигитализация и по-тясно междуинституционално сътрудничество.</w:t>
      </w:r>
    </w:p>
    <w:p w14:paraId="50516872" w14:textId="77777777" w:rsidR="00D6403A" w:rsidRPr="00957D18" w:rsidRDefault="00D6403A" w:rsidP="00D6403A">
      <w:pPr>
        <w:pStyle w:val="Heading4"/>
        <w:numPr>
          <w:ilvl w:val="0"/>
          <w:numId w:val="50"/>
        </w:numPr>
        <w:jc w:val="center"/>
        <w:rPr>
          <w:rFonts w:ascii="Times New Roman" w:hAnsi="Times New Roman" w:cs="Times New Roman"/>
          <w:color w:val="auto"/>
          <w:sz w:val="24"/>
          <w:szCs w:val="24"/>
        </w:rPr>
      </w:pPr>
      <w:proofErr w:type="spellStart"/>
      <w:r w:rsidRPr="00957D18">
        <w:rPr>
          <w:rFonts w:ascii="Times New Roman" w:hAnsi="Times New Roman" w:cs="Times New Roman"/>
          <w:color w:val="auto"/>
          <w:sz w:val="24"/>
          <w:szCs w:val="24"/>
        </w:rPr>
        <w:t>Пенитенциарна</w:t>
      </w:r>
      <w:proofErr w:type="spellEnd"/>
      <w:r w:rsidRPr="00957D18">
        <w:rPr>
          <w:rFonts w:ascii="Times New Roman" w:hAnsi="Times New Roman" w:cs="Times New Roman"/>
          <w:color w:val="auto"/>
          <w:sz w:val="24"/>
          <w:szCs w:val="24"/>
        </w:rPr>
        <w:t xml:space="preserve"> система</w:t>
      </w:r>
    </w:p>
    <w:p w14:paraId="66FDF41C" w14:textId="32467ABE" w:rsidR="00693604" w:rsidRPr="00693604" w:rsidRDefault="00693604" w:rsidP="00693604">
      <w:pPr>
        <w:pStyle w:val="ListParagraph"/>
        <w:numPr>
          <w:ilvl w:val="0"/>
          <w:numId w:val="51"/>
        </w:numPr>
        <w:spacing w:after="120" w:line="278" w:lineRule="auto"/>
        <w:jc w:val="both"/>
        <w:rPr>
          <w:rFonts w:ascii="Times New Roman" w:hAnsi="Times New Roman" w:cs="Times New Roman"/>
          <w:b/>
          <w:bCs/>
          <w:lang w:eastAsia="bg-BG"/>
        </w:rPr>
      </w:pPr>
      <w:proofErr w:type="spellStart"/>
      <w:r w:rsidRPr="00957D18">
        <w:rPr>
          <w:rFonts w:ascii="Times New Roman" w:hAnsi="Times New Roman" w:cs="Times New Roman"/>
          <w:b/>
          <w:bCs/>
          <w:lang w:eastAsia="bg-BG"/>
        </w:rPr>
        <w:t>Пенитенциарната</w:t>
      </w:r>
      <w:proofErr w:type="spellEnd"/>
      <w:r w:rsidRPr="00957D18">
        <w:rPr>
          <w:rFonts w:ascii="Times New Roman" w:hAnsi="Times New Roman" w:cs="Times New Roman"/>
          <w:b/>
          <w:bCs/>
          <w:lang w:eastAsia="bg-BG"/>
        </w:rPr>
        <w:t xml:space="preserve"> система функционира в рамките на капацитета си, но остава уязвима заради остарял сграден фонд, незаконен внос на забранени предмети и </w:t>
      </w:r>
      <w:r>
        <w:rPr>
          <w:rFonts w:ascii="Times New Roman" w:hAnsi="Times New Roman" w:cs="Times New Roman"/>
          <w:b/>
          <w:bCs/>
          <w:lang w:eastAsia="bg-BG"/>
        </w:rPr>
        <w:t xml:space="preserve"> опасност</w:t>
      </w:r>
      <w:r w:rsidRPr="00DD3FB2">
        <w:rPr>
          <w:rFonts w:ascii="Times New Roman" w:hAnsi="Times New Roman" w:cs="Times New Roman"/>
          <w:b/>
          <w:bCs/>
          <w:lang w:eastAsia="bg-BG"/>
        </w:rPr>
        <w:t xml:space="preserve"> от криминална и идеологическа радикализаци</w:t>
      </w:r>
      <w:r>
        <w:rPr>
          <w:rFonts w:ascii="Times New Roman" w:hAnsi="Times New Roman" w:cs="Times New Roman"/>
          <w:b/>
          <w:bCs/>
          <w:lang w:eastAsia="bg-BG"/>
        </w:rPr>
        <w:t xml:space="preserve">я сред лишените от свобода лица, </w:t>
      </w:r>
      <w:r w:rsidRPr="00DD3FB2">
        <w:rPr>
          <w:rFonts w:ascii="Times New Roman" w:hAnsi="Times New Roman" w:cs="Times New Roman"/>
          <w:b/>
          <w:bCs/>
          <w:lang w:eastAsia="bg-BG"/>
        </w:rPr>
        <w:t>поради етническа и религиозна принадлежност</w:t>
      </w:r>
      <w:r w:rsidRPr="00957D18">
        <w:rPr>
          <w:rFonts w:ascii="Times New Roman" w:hAnsi="Times New Roman" w:cs="Times New Roman"/>
          <w:b/>
          <w:bCs/>
          <w:lang w:eastAsia="bg-BG"/>
        </w:rPr>
        <w:t xml:space="preserve"> и организиран</w:t>
      </w:r>
      <w:r>
        <w:rPr>
          <w:rFonts w:ascii="Times New Roman" w:hAnsi="Times New Roman" w:cs="Times New Roman"/>
          <w:b/>
          <w:bCs/>
          <w:lang w:eastAsia="bg-BG"/>
        </w:rPr>
        <w:t>е</w:t>
      </w:r>
      <w:r w:rsidRPr="00957D18">
        <w:rPr>
          <w:rFonts w:ascii="Times New Roman" w:hAnsi="Times New Roman" w:cs="Times New Roman"/>
          <w:b/>
          <w:bCs/>
          <w:lang w:eastAsia="bg-BG"/>
        </w:rPr>
        <w:t xml:space="preserve"> </w:t>
      </w:r>
      <w:r>
        <w:rPr>
          <w:rFonts w:ascii="Times New Roman" w:hAnsi="Times New Roman" w:cs="Times New Roman"/>
          <w:b/>
          <w:bCs/>
          <w:lang w:eastAsia="bg-BG"/>
        </w:rPr>
        <w:t xml:space="preserve">на </w:t>
      </w:r>
      <w:r w:rsidRPr="00957D18">
        <w:rPr>
          <w:rFonts w:ascii="Times New Roman" w:hAnsi="Times New Roman" w:cs="Times New Roman"/>
          <w:b/>
          <w:bCs/>
          <w:lang w:eastAsia="bg-BG"/>
        </w:rPr>
        <w:t>престъпна дейност</w:t>
      </w:r>
      <w:r w:rsidRPr="00486AC1">
        <w:t xml:space="preserve"> </w:t>
      </w:r>
      <w:r w:rsidRPr="00486AC1">
        <w:rPr>
          <w:rFonts w:ascii="Times New Roman" w:hAnsi="Times New Roman" w:cs="Times New Roman"/>
          <w:b/>
          <w:bCs/>
          <w:lang w:eastAsia="bg-BG"/>
        </w:rPr>
        <w:t xml:space="preserve">в затворите и арестите, </w:t>
      </w:r>
      <w:r>
        <w:rPr>
          <w:rFonts w:ascii="Times New Roman" w:hAnsi="Times New Roman" w:cs="Times New Roman"/>
          <w:b/>
          <w:bCs/>
          <w:lang w:eastAsia="bg-BG"/>
        </w:rPr>
        <w:t xml:space="preserve">чрез </w:t>
      </w:r>
      <w:r w:rsidRPr="00486AC1">
        <w:rPr>
          <w:rFonts w:ascii="Times New Roman" w:hAnsi="Times New Roman" w:cs="Times New Roman"/>
          <w:b/>
          <w:bCs/>
          <w:lang w:eastAsia="bg-BG"/>
        </w:rPr>
        <w:t>бягства или опити за бягства и вътрешни бунтове</w:t>
      </w:r>
      <w:r w:rsidRPr="00957D18">
        <w:rPr>
          <w:rFonts w:ascii="Times New Roman" w:hAnsi="Times New Roman" w:cs="Times New Roman"/>
          <w:b/>
          <w:bCs/>
          <w:lang w:eastAsia="bg-BG"/>
        </w:rPr>
        <w:t>.</w:t>
      </w:r>
    </w:p>
    <w:p w14:paraId="2B3C6698" w14:textId="77777777" w:rsidR="00D6403A" w:rsidRPr="00957D18" w:rsidRDefault="00D6403A" w:rsidP="00D6403A">
      <w:pPr>
        <w:pStyle w:val="ListParagraph"/>
        <w:numPr>
          <w:ilvl w:val="0"/>
          <w:numId w:val="51"/>
        </w:numPr>
        <w:spacing w:after="120" w:line="278" w:lineRule="auto"/>
        <w:jc w:val="both"/>
        <w:rPr>
          <w:rFonts w:ascii="Times New Roman" w:hAnsi="Times New Roman" w:cs="Times New Roman"/>
          <w:b/>
          <w:bCs/>
          <w:lang w:eastAsia="bg-BG"/>
        </w:rPr>
      </w:pPr>
      <w:r w:rsidRPr="00957D18">
        <w:rPr>
          <w:rFonts w:ascii="Times New Roman" w:hAnsi="Times New Roman" w:cs="Times New Roman"/>
          <w:b/>
          <w:bCs/>
          <w:lang w:eastAsia="bg-BG"/>
        </w:rPr>
        <w:t xml:space="preserve">През 2024 г. са предприети ремонти и модернизация, внедрени са системи за видеонаблюдение и електронен контрол, разширени са социални и образователни програми за </w:t>
      </w:r>
      <w:proofErr w:type="spellStart"/>
      <w:r w:rsidRPr="00957D18">
        <w:rPr>
          <w:rFonts w:ascii="Times New Roman" w:hAnsi="Times New Roman" w:cs="Times New Roman"/>
          <w:b/>
          <w:bCs/>
          <w:lang w:eastAsia="bg-BG"/>
        </w:rPr>
        <w:t>ресоциализация</w:t>
      </w:r>
      <w:proofErr w:type="spellEnd"/>
      <w:r w:rsidRPr="00957D18">
        <w:rPr>
          <w:rFonts w:ascii="Times New Roman" w:hAnsi="Times New Roman" w:cs="Times New Roman"/>
          <w:b/>
          <w:bCs/>
          <w:lang w:eastAsia="bg-BG"/>
        </w:rPr>
        <w:t>.</w:t>
      </w:r>
    </w:p>
    <w:p w14:paraId="473895BB" w14:textId="77777777" w:rsidR="00D6403A" w:rsidRPr="00957D18" w:rsidRDefault="00D6403A" w:rsidP="00D6403A">
      <w:pPr>
        <w:pStyle w:val="ListParagraph"/>
        <w:numPr>
          <w:ilvl w:val="0"/>
          <w:numId w:val="51"/>
        </w:numPr>
        <w:spacing w:after="120" w:line="278" w:lineRule="auto"/>
        <w:jc w:val="both"/>
        <w:rPr>
          <w:rFonts w:ascii="Times New Roman" w:hAnsi="Times New Roman" w:cs="Times New Roman"/>
          <w:b/>
          <w:bCs/>
          <w:lang w:eastAsia="bg-BG"/>
        </w:rPr>
      </w:pPr>
      <w:r w:rsidRPr="00957D18">
        <w:rPr>
          <w:rFonts w:ascii="Times New Roman" w:hAnsi="Times New Roman" w:cs="Times New Roman"/>
          <w:b/>
          <w:bCs/>
          <w:lang w:eastAsia="bg-BG"/>
        </w:rPr>
        <w:t>Поставен е акцент върху необходимостта от ускорено обновяване на инфраструктурата, инвестиции в киберсигурност и укрепване на капацитета на персонала чрез обучения и международно сътрудничество.</w:t>
      </w:r>
    </w:p>
    <w:p w14:paraId="60D50FD5" w14:textId="77777777" w:rsidR="00D6403A" w:rsidRPr="00957D18" w:rsidRDefault="00D6403A" w:rsidP="00D6403A">
      <w:pPr>
        <w:spacing w:after="120"/>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 xml:space="preserve">През 2024 г. Главна дирекция „Изпълнение на наказанията“ (ГДИН) ръководи мрежа от 12 затвора с 24 общежития от открит и закрит тип, два поправителни дома за непълнолетни, 26 ареста и 109 пробационни звена. Системата функционира в рамките на допустимия капацитет, но остава изложена на редица структурни и оперативни предизвикателства. Основните усилия са насочени към модернизация на сградния фонд, въвеждане на електронни системи за контрол и видеонаблюдение, както и към развитие на социални, образователни и трудови програми за </w:t>
      </w:r>
      <w:proofErr w:type="spellStart"/>
      <w:r w:rsidRPr="00501AE3">
        <w:rPr>
          <w:rFonts w:ascii="Times New Roman" w:hAnsi="Times New Roman" w:cs="Times New Roman"/>
          <w:sz w:val="24"/>
          <w:szCs w:val="24"/>
          <w:lang w:eastAsia="bg-BG"/>
        </w:rPr>
        <w:t>ресоциализация</w:t>
      </w:r>
      <w:proofErr w:type="spellEnd"/>
      <w:r w:rsidRPr="00501AE3">
        <w:rPr>
          <w:rFonts w:ascii="Times New Roman" w:hAnsi="Times New Roman" w:cs="Times New Roman"/>
          <w:sz w:val="24"/>
          <w:szCs w:val="24"/>
          <w:lang w:eastAsia="bg-BG"/>
        </w:rPr>
        <w:t>. ГДИН поддържа активно международно сътрудничество, включително чрез Норвежкия финансов механизъм, и участва в семинари за обмяна на опит с партньорски институции.</w:t>
      </w:r>
    </w:p>
    <w:p w14:paraId="639F70E6" w14:textId="1B8395F9" w:rsidR="00693604" w:rsidRPr="00501AE3" w:rsidRDefault="00693604" w:rsidP="00693604">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 xml:space="preserve">Системата се сблъсква с множество рискове, свързани с вътрешната сигурност и институционалната устойчивост. Незаконният внос на мобилни телефони, наркотици и други забранени предмети остава основен проблем, като </w:t>
      </w:r>
      <w:proofErr w:type="spellStart"/>
      <w:r w:rsidRPr="00501AE3">
        <w:rPr>
          <w:rFonts w:ascii="Times New Roman" w:hAnsi="Times New Roman" w:cs="Times New Roman"/>
          <w:sz w:val="24"/>
          <w:szCs w:val="24"/>
          <w:lang w:eastAsia="bg-BG"/>
        </w:rPr>
        <w:t>новоизникваща</w:t>
      </w:r>
      <w:proofErr w:type="spellEnd"/>
      <w:r w:rsidRPr="00501AE3">
        <w:rPr>
          <w:rFonts w:ascii="Times New Roman" w:hAnsi="Times New Roman" w:cs="Times New Roman"/>
          <w:sz w:val="24"/>
          <w:szCs w:val="24"/>
          <w:lang w:eastAsia="bg-BG"/>
        </w:rPr>
        <w:t xml:space="preserve"> уязвимост е използването на безпилотни летателни средства. Съществува</w:t>
      </w:r>
      <w:r>
        <w:rPr>
          <w:rFonts w:ascii="Times New Roman" w:hAnsi="Times New Roman" w:cs="Times New Roman"/>
          <w:sz w:val="24"/>
          <w:szCs w:val="24"/>
          <w:lang w:eastAsia="bg-BG"/>
        </w:rPr>
        <w:t>т</w:t>
      </w:r>
      <w:r w:rsidRPr="00501AE3">
        <w:rPr>
          <w:rFonts w:ascii="Times New Roman" w:hAnsi="Times New Roman" w:cs="Times New Roman"/>
          <w:sz w:val="24"/>
          <w:szCs w:val="24"/>
          <w:lang w:eastAsia="bg-BG"/>
        </w:rPr>
        <w:t xml:space="preserve"> опасности от</w:t>
      </w:r>
      <w:r w:rsidRPr="00DD3FB2">
        <w:t xml:space="preserve"> </w:t>
      </w:r>
      <w:r w:rsidRPr="00DD3FB2">
        <w:rPr>
          <w:rFonts w:ascii="Times New Roman" w:hAnsi="Times New Roman" w:cs="Times New Roman"/>
          <w:sz w:val="24"/>
          <w:szCs w:val="24"/>
          <w:lang w:eastAsia="bg-BG"/>
        </w:rPr>
        <w:t>криминална</w:t>
      </w:r>
      <w:r>
        <w:rPr>
          <w:rFonts w:ascii="Times New Roman" w:hAnsi="Times New Roman" w:cs="Times New Roman"/>
          <w:sz w:val="24"/>
          <w:szCs w:val="24"/>
          <w:lang w:eastAsia="bg-BG"/>
        </w:rPr>
        <w:t xml:space="preserve"> и</w:t>
      </w:r>
      <w:r w:rsidRPr="00501AE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идеологическа </w:t>
      </w:r>
      <w:r w:rsidRPr="00501AE3">
        <w:rPr>
          <w:rFonts w:ascii="Times New Roman" w:hAnsi="Times New Roman" w:cs="Times New Roman"/>
          <w:sz w:val="24"/>
          <w:szCs w:val="24"/>
          <w:lang w:eastAsia="bg-BG"/>
        </w:rPr>
        <w:t>радикализация сред лишените от свобода по етнически и религиозен признак, както и</w:t>
      </w:r>
      <w:r>
        <w:rPr>
          <w:rFonts w:ascii="Times New Roman" w:hAnsi="Times New Roman" w:cs="Times New Roman"/>
          <w:sz w:val="24"/>
          <w:szCs w:val="24"/>
          <w:lang w:eastAsia="bg-BG"/>
        </w:rPr>
        <w:t xml:space="preserve"> заплахи</w:t>
      </w:r>
      <w:r w:rsidRPr="00501AE3">
        <w:rPr>
          <w:rFonts w:ascii="Times New Roman" w:hAnsi="Times New Roman" w:cs="Times New Roman"/>
          <w:sz w:val="24"/>
          <w:szCs w:val="24"/>
          <w:lang w:eastAsia="bg-BG"/>
        </w:rPr>
        <w:t xml:space="preserve"> от организиране на престъпна дейност в местата за лишаване от свобода</w:t>
      </w:r>
      <w:r>
        <w:rPr>
          <w:rFonts w:ascii="Times New Roman" w:hAnsi="Times New Roman" w:cs="Times New Roman"/>
          <w:sz w:val="24"/>
          <w:szCs w:val="24"/>
          <w:lang w:eastAsia="bg-BG"/>
        </w:rPr>
        <w:t xml:space="preserve"> (</w:t>
      </w:r>
      <w:r w:rsidRPr="00486AC1">
        <w:rPr>
          <w:rFonts w:ascii="Times New Roman" w:hAnsi="Times New Roman" w:cs="Times New Roman"/>
          <w:sz w:val="24"/>
          <w:szCs w:val="24"/>
          <w:lang w:eastAsia="bg-BG"/>
        </w:rPr>
        <w:t>бягства или опити за бягства и вътрешни бунтове</w:t>
      </w:r>
      <w:r>
        <w:rPr>
          <w:rFonts w:ascii="Times New Roman" w:hAnsi="Times New Roman" w:cs="Times New Roman"/>
          <w:sz w:val="24"/>
          <w:szCs w:val="24"/>
          <w:lang w:eastAsia="bg-BG"/>
        </w:rPr>
        <w:t>)</w:t>
      </w:r>
      <w:r w:rsidRPr="00501AE3">
        <w:rPr>
          <w:rFonts w:ascii="Times New Roman" w:hAnsi="Times New Roman" w:cs="Times New Roman"/>
          <w:sz w:val="24"/>
          <w:szCs w:val="24"/>
          <w:lang w:eastAsia="bg-BG"/>
        </w:rPr>
        <w:t>. Допълнителни рискове произтичат от остарялата инфраструктура, която затруднява контрола и наблюдението, и от недостатъчната техническа обезпеченост на персонала. Потенциални заплахи са и кибератаки срещу информационните системи на дирекцията.</w:t>
      </w:r>
    </w:p>
    <w:p w14:paraId="25A77A5C"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 xml:space="preserve">През 2024 г. са предприети целенасочени усилия за повишаване на сигурността. Извършват се ремонти и обновяване на обекти, финансирани и по международни програми. Внедрени са модерни системи за видеонаблюдение и електронен контрол. Провеждат се разнообразни рехабилитационни програми – образователни, трудови и социални, с цел </w:t>
      </w:r>
      <w:proofErr w:type="spellStart"/>
      <w:r w:rsidRPr="00501AE3">
        <w:rPr>
          <w:rFonts w:ascii="Times New Roman" w:hAnsi="Times New Roman" w:cs="Times New Roman"/>
          <w:sz w:val="24"/>
          <w:szCs w:val="24"/>
          <w:lang w:eastAsia="bg-BG"/>
        </w:rPr>
        <w:t>ресоциализация</w:t>
      </w:r>
      <w:proofErr w:type="spellEnd"/>
      <w:r w:rsidRPr="00501AE3">
        <w:rPr>
          <w:rFonts w:ascii="Times New Roman" w:hAnsi="Times New Roman" w:cs="Times New Roman"/>
          <w:sz w:val="24"/>
          <w:szCs w:val="24"/>
          <w:lang w:eastAsia="bg-BG"/>
        </w:rPr>
        <w:t xml:space="preserve"> на лишените от свобода. Надзорно-охранителният и </w:t>
      </w:r>
      <w:r w:rsidRPr="00501AE3">
        <w:rPr>
          <w:rFonts w:ascii="Times New Roman" w:hAnsi="Times New Roman" w:cs="Times New Roman"/>
          <w:sz w:val="24"/>
          <w:szCs w:val="24"/>
          <w:lang w:eastAsia="bg-BG"/>
        </w:rPr>
        <w:lastRenderedPageBreak/>
        <w:t>социално-психологическият персонал преминава регулярни обучения за повишаване на капацитета, включително по международни стандарти. Засилен е вътрешният контрол чрез специализирани звена „Охрана и сигурност“ и „Вътрешна сигурност“, които осъществяват проверки на служителите и процедурите.</w:t>
      </w:r>
    </w:p>
    <w:p w14:paraId="250DE83A"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Необходимо е ускорено обновяване и модернизация на сградния фонд, особено в по-малките и натоварени обекти. Следва да се въведат разширени технически средства за контрол, включително технологии за откриване и блокиране на безпилотни летателни апарати и незаконно внесени устройства. Препоръчва се разширяване на програмите за превенция на радикализация и ранна идентификация на рискови профили сред лишените от свобода. Важно е да се инвестира в киберсигурност и информационна защита на системите. От стратегическа гледна точка е необходимо да се укрепи капацитетът на персонала чрез допълнителни обучения, подобряване на условията на труд и развитие на партньорствата с международни организации.</w:t>
      </w:r>
    </w:p>
    <w:p w14:paraId="2192B384" w14:textId="3A5ABD59" w:rsidR="00D6403A" w:rsidRPr="00957D18" w:rsidRDefault="00D6403A" w:rsidP="00D6403A">
      <w:pPr>
        <w:pStyle w:val="Heading4"/>
        <w:numPr>
          <w:ilvl w:val="0"/>
          <w:numId w:val="50"/>
        </w:numPr>
        <w:jc w:val="center"/>
        <w:rPr>
          <w:rFonts w:ascii="Times New Roman" w:hAnsi="Times New Roman" w:cs="Times New Roman"/>
          <w:color w:val="auto"/>
          <w:sz w:val="24"/>
          <w:szCs w:val="24"/>
          <w:lang w:eastAsia="bg-BG"/>
        </w:rPr>
      </w:pPr>
      <w:r w:rsidRPr="00957D18">
        <w:rPr>
          <w:rFonts w:ascii="Times New Roman" w:hAnsi="Times New Roman" w:cs="Times New Roman"/>
          <w:color w:val="auto"/>
          <w:sz w:val="24"/>
          <w:szCs w:val="24"/>
          <w:lang w:eastAsia="bg-BG"/>
        </w:rPr>
        <w:t xml:space="preserve">Санкции и финансов контрол </w:t>
      </w:r>
    </w:p>
    <w:p w14:paraId="13FD9C82" w14:textId="77777777" w:rsidR="00D6403A" w:rsidRPr="00957D18" w:rsidRDefault="00D6403A" w:rsidP="00D6403A">
      <w:pPr>
        <w:pStyle w:val="ListParagraph"/>
        <w:numPr>
          <w:ilvl w:val="0"/>
          <w:numId w:val="52"/>
        </w:numPr>
        <w:spacing w:after="120" w:line="278" w:lineRule="auto"/>
        <w:jc w:val="both"/>
        <w:rPr>
          <w:rFonts w:ascii="Times New Roman" w:hAnsi="Times New Roman" w:cs="Times New Roman"/>
          <w:b/>
          <w:bCs/>
          <w:lang w:eastAsia="bg-BG"/>
        </w:rPr>
      </w:pPr>
      <w:r w:rsidRPr="00957D18">
        <w:rPr>
          <w:rFonts w:ascii="Times New Roman" w:hAnsi="Times New Roman" w:cs="Times New Roman"/>
          <w:b/>
          <w:bCs/>
          <w:lang w:eastAsia="bg-BG"/>
        </w:rPr>
        <w:t xml:space="preserve">Агенцията по вписванията е ключов орган в прилагането на европейските ограничителни мерки срещу Русия и Беларус, като поддържа списъци със санкционирани лица и участва във </w:t>
      </w:r>
      <w:proofErr w:type="spellStart"/>
      <w:r w:rsidRPr="00957D18">
        <w:rPr>
          <w:rFonts w:ascii="Times New Roman" w:hAnsi="Times New Roman" w:cs="Times New Roman"/>
          <w:b/>
          <w:bCs/>
          <w:lang w:eastAsia="bg-BG"/>
        </w:rPr>
        <w:t>Freeze</w:t>
      </w:r>
      <w:proofErr w:type="spellEnd"/>
      <w:r w:rsidRPr="00957D18">
        <w:rPr>
          <w:rFonts w:ascii="Times New Roman" w:hAnsi="Times New Roman" w:cs="Times New Roman"/>
          <w:b/>
          <w:bCs/>
          <w:lang w:eastAsia="bg-BG"/>
        </w:rPr>
        <w:t xml:space="preserve"> </w:t>
      </w:r>
      <w:proofErr w:type="spellStart"/>
      <w:r w:rsidRPr="00957D18">
        <w:rPr>
          <w:rFonts w:ascii="Times New Roman" w:hAnsi="Times New Roman" w:cs="Times New Roman"/>
          <w:b/>
          <w:bCs/>
          <w:lang w:eastAsia="bg-BG"/>
        </w:rPr>
        <w:t>and</w:t>
      </w:r>
      <w:proofErr w:type="spellEnd"/>
      <w:r w:rsidRPr="00957D18">
        <w:rPr>
          <w:rFonts w:ascii="Times New Roman" w:hAnsi="Times New Roman" w:cs="Times New Roman"/>
          <w:b/>
          <w:bCs/>
          <w:lang w:eastAsia="bg-BG"/>
        </w:rPr>
        <w:t xml:space="preserve"> </w:t>
      </w:r>
      <w:proofErr w:type="spellStart"/>
      <w:r w:rsidRPr="00957D18">
        <w:rPr>
          <w:rFonts w:ascii="Times New Roman" w:hAnsi="Times New Roman" w:cs="Times New Roman"/>
          <w:b/>
          <w:bCs/>
          <w:lang w:eastAsia="bg-BG"/>
        </w:rPr>
        <w:t>Seize</w:t>
      </w:r>
      <w:proofErr w:type="spellEnd"/>
      <w:r w:rsidRPr="00957D18">
        <w:rPr>
          <w:rFonts w:ascii="Times New Roman" w:hAnsi="Times New Roman" w:cs="Times New Roman"/>
          <w:b/>
          <w:bCs/>
          <w:lang w:eastAsia="bg-BG"/>
        </w:rPr>
        <w:t xml:space="preserve"> </w:t>
      </w:r>
      <w:proofErr w:type="spellStart"/>
      <w:r w:rsidRPr="00957D18">
        <w:rPr>
          <w:rFonts w:ascii="Times New Roman" w:hAnsi="Times New Roman" w:cs="Times New Roman"/>
          <w:b/>
          <w:bCs/>
          <w:lang w:eastAsia="bg-BG"/>
        </w:rPr>
        <w:t>Task</w:t>
      </w:r>
      <w:proofErr w:type="spellEnd"/>
      <w:r w:rsidRPr="00957D18">
        <w:rPr>
          <w:rFonts w:ascii="Times New Roman" w:hAnsi="Times New Roman" w:cs="Times New Roman"/>
          <w:b/>
          <w:bCs/>
          <w:lang w:eastAsia="bg-BG"/>
        </w:rPr>
        <w:t xml:space="preserve"> </w:t>
      </w:r>
      <w:proofErr w:type="spellStart"/>
      <w:r w:rsidRPr="00957D18">
        <w:rPr>
          <w:rFonts w:ascii="Times New Roman" w:hAnsi="Times New Roman" w:cs="Times New Roman"/>
          <w:b/>
          <w:bCs/>
          <w:lang w:eastAsia="bg-BG"/>
        </w:rPr>
        <w:t>Force</w:t>
      </w:r>
      <w:proofErr w:type="spellEnd"/>
      <w:r w:rsidRPr="00957D18">
        <w:rPr>
          <w:rFonts w:ascii="Times New Roman" w:hAnsi="Times New Roman" w:cs="Times New Roman"/>
          <w:b/>
          <w:bCs/>
          <w:lang w:eastAsia="bg-BG"/>
        </w:rPr>
        <w:t xml:space="preserve"> към ЕК.</w:t>
      </w:r>
    </w:p>
    <w:p w14:paraId="0369DAA2" w14:textId="77777777" w:rsidR="00D6403A" w:rsidRPr="00957D18" w:rsidRDefault="00D6403A" w:rsidP="00D6403A">
      <w:pPr>
        <w:pStyle w:val="ListParagraph"/>
        <w:numPr>
          <w:ilvl w:val="0"/>
          <w:numId w:val="52"/>
        </w:numPr>
        <w:spacing w:after="120" w:line="278" w:lineRule="auto"/>
        <w:jc w:val="both"/>
        <w:rPr>
          <w:rFonts w:ascii="Times New Roman" w:hAnsi="Times New Roman" w:cs="Times New Roman"/>
          <w:b/>
          <w:bCs/>
          <w:lang w:eastAsia="bg-BG"/>
        </w:rPr>
      </w:pPr>
      <w:r w:rsidRPr="00957D18">
        <w:rPr>
          <w:rFonts w:ascii="Times New Roman" w:hAnsi="Times New Roman" w:cs="Times New Roman"/>
          <w:b/>
          <w:bCs/>
          <w:lang w:eastAsia="bg-BG"/>
        </w:rPr>
        <w:t>Основен риск са опитите за заобикаляне на санкциите чрез прехвърляне на собственост, използване на подставени лица и сделки с активи, които могат да прикрият санкционирани субекти.</w:t>
      </w:r>
    </w:p>
    <w:p w14:paraId="0EF51D32" w14:textId="77777777" w:rsidR="00D6403A" w:rsidRPr="00957D18" w:rsidRDefault="00D6403A" w:rsidP="00D6403A">
      <w:pPr>
        <w:pStyle w:val="ListParagraph"/>
        <w:numPr>
          <w:ilvl w:val="0"/>
          <w:numId w:val="52"/>
        </w:numPr>
        <w:spacing w:after="120" w:line="278" w:lineRule="auto"/>
        <w:jc w:val="both"/>
        <w:rPr>
          <w:rFonts w:ascii="Times New Roman" w:hAnsi="Times New Roman" w:cs="Times New Roman"/>
          <w:b/>
          <w:bCs/>
          <w:lang w:eastAsia="bg-BG"/>
        </w:rPr>
      </w:pPr>
      <w:r w:rsidRPr="00957D18">
        <w:rPr>
          <w:rFonts w:ascii="Times New Roman" w:hAnsi="Times New Roman" w:cs="Times New Roman"/>
          <w:b/>
          <w:bCs/>
          <w:lang w:eastAsia="bg-BG"/>
        </w:rPr>
        <w:t>Въведени са стриктни проверки на заявленията, задължителна координация с компетентни институции и централен регистър на действителните собственици като инструмент срещу изпирането на пари и финансирането на тероризма.</w:t>
      </w:r>
    </w:p>
    <w:p w14:paraId="6C6DBE4F" w14:textId="4E1C9A5D"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 xml:space="preserve">През 2024 г. Агенцията по вписванията има ключова роля в прилагането на европейските ограничителни мерки срещу </w:t>
      </w:r>
      <w:r w:rsidR="00BF531B">
        <w:rPr>
          <w:rFonts w:ascii="Times New Roman" w:hAnsi="Times New Roman" w:cs="Times New Roman"/>
          <w:sz w:val="24"/>
          <w:szCs w:val="24"/>
          <w:lang w:eastAsia="bg-BG"/>
        </w:rPr>
        <w:t>РФ</w:t>
      </w:r>
      <w:r w:rsidRPr="00501AE3">
        <w:rPr>
          <w:rFonts w:ascii="Times New Roman" w:hAnsi="Times New Roman" w:cs="Times New Roman"/>
          <w:sz w:val="24"/>
          <w:szCs w:val="24"/>
          <w:lang w:eastAsia="bg-BG"/>
        </w:rPr>
        <w:t xml:space="preserve"> и Беларус. В изпълнение на съответните регламенти на ЕС е съставен списък на всички физически и юридически лица от двете държави, които притежават недвижима собственост или дялове в търговски дружества в България. Списъкът се предоставя на длъжностните лица по регистрация и се актуализира своевременно. Агенцията участва в подгрупата „Замразяване и докладване“ (</w:t>
      </w:r>
      <w:proofErr w:type="spellStart"/>
      <w:r w:rsidRPr="00501AE3">
        <w:rPr>
          <w:rFonts w:ascii="Times New Roman" w:hAnsi="Times New Roman" w:cs="Times New Roman"/>
          <w:sz w:val="24"/>
          <w:szCs w:val="24"/>
          <w:lang w:eastAsia="bg-BG"/>
        </w:rPr>
        <w:t>Freeze</w:t>
      </w:r>
      <w:proofErr w:type="spellEnd"/>
      <w:r w:rsidRPr="00501AE3">
        <w:rPr>
          <w:rFonts w:ascii="Times New Roman" w:hAnsi="Times New Roman" w:cs="Times New Roman"/>
          <w:sz w:val="24"/>
          <w:szCs w:val="24"/>
          <w:lang w:eastAsia="bg-BG"/>
        </w:rPr>
        <w:t xml:space="preserve"> </w:t>
      </w:r>
      <w:proofErr w:type="spellStart"/>
      <w:r w:rsidRPr="00501AE3">
        <w:rPr>
          <w:rFonts w:ascii="Times New Roman" w:hAnsi="Times New Roman" w:cs="Times New Roman"/>
          <w:sz w:val="24"/>
          <w:szCs w:val="24"/>
          <w:lang w:eastAsia="bg-BG"/>
        </w:rPr>
        <w:t>and</w:t>
      </w:r>
      <w:proofErr w:type="spellEnd"/>
      <w:r w:rsidRPr="00501AE3">
        <w:rPr>
          <w:rFonts w:ascii="Times New Roman" w:hAnsi="Times New Roman" w:cs="Times New Roman"/>
          <w:sz w:val="24"/>
          <w:szCs w:val="24"/>
          <w:lang w:eastAsia="bg-BG"/>
        </w:rPr>
        <w:t xml:space="preserve"> </w:t>
      </w:r>
      <w:proofErr w:type="spellStart"/>
      <w:r w:rsidRPr="00501AE3">
        <w:rPr>
          <w:rFonts w:ascii="Times New Roman" w:hAnsi="Times New Roman" w:cs="Times New Roman"/>
          <w:sz w:val="24"/>
          <w:szCs w:val="24"/>
          <w:lang w:eastAsia="bg-BG"/>
        </w:rPr>
        <w:t>Reporting</w:t>
      </w:r>
      <w:proofErr w:type="spellEnd"/>
      <w:r w:rsidRPr="00501AE3">
        <w:rPr>
          <w:rFonts w:ascii="Times New Roman" w:hAnsi="Times New Roman" w:cs="Times New Roman"/>
          <w:sz w:val="24"/>
          <w:szCs w:val="24"/>
          <w:lang w:eastAsia="bg-BG"/>
        </w:rPr>
        <w:t xml:space="preserve">) на групата </w:t>
      </w:r>
      <w:proofErr w:type="spellStart"/>
      <w:r w:rsidRPr="00501AE3">
        <w:rPr>
          <w:rFonts w:ascii="Times New Roman" w:hAnsi="Times New Roman" w:cs="Times New Roman"/>
          <w:sz w:val="24"/>
          <w:szCs w:val="24"/>
          <w:lang w:eastAsia="bg-BG"/>
        </w:rPr>
        <w:t>Freeze</w:t>
      </w:r>
      <w:proofErr w:type="spellEnd"/>
      <w:r w:rsidRPr="00501AE3">
        <w:rPr>
          <w:rFonts w:ascii="Times New Roman" w:hAnsi="Times New Roman" w:cs="Times New Roman"/>
          <w:sz w:val="24"/>
          <w:szCs w:val="24"/>
          <w:lang w:eastAsia="bg-BG"/>
        </w:rPr>
        <w:t xml:space="preserve"> </w:t>
      </w:r>
      <w:proofErr w:type="spellStart"/>
      <w:r w:rsidRPr="00501AE3">
        <w:rPr>
          <w:rFonts w:ascii="Times New Roman" w:hAnsi="Times New Roman" w:cs="Times New Roman"/>
          <w:sz w:val="24"/>
          <w:szCs w:val="24"/>
          <w:lang w:eastAsia="bg-BG"/>
        </w:rPr>
        <w:t>and</w:t>
      </w:r>
      <w:proofErr w:type="spellEnd"/>
      <w:r w:rsidRPr="00501AE3">
        <w:rPr>
          <w:rFonts w:ascii="Times New Roman" w:hAnsi="Times New Roman" w:cs="Times New Roman"/>
          <w:sz w:val="24"/>
          <w:szCs w:val="24"/>
          <w:lang w:eastAsia="bg-BG"/>
        </w:rPr>
        <w:t xml:space="preserve"> </w:t>
      </w:r>
      <w:proofErr w:type="spellStart"/>
      <w:r w:rsidRPr="00501AE3">
        <w:rPr>
          <w:rFonts w:ascii="Times New Roman" w:hAnsi="Times New Roman" w:cs="Times New Roman"/>
          <w:sz w:val="24"/>
          <w:szCs w:val="24"/>
          <w:lang w:eastAsia="bg-BG"/>
        </w:rPr>
        <w:t>Seize</w:t>
      </w:r>
      <w:proofErr w:type="spellEnd"/>
      <w:r w:rsidRPr="00501AE3">
        <w:rPr>
          <w:rFonts w:ascii="Times New Roman" w:hAnsi="Times New Roman" w:cs="Times New Roman"/>
          <w:sz w:val="24"/>
          <w:szCs w:val="24"/>
          <w:lang w:eastAsia="bg-BG"/>
        </w:rPr>
        <w:t xml:space="preserve"> </w:t>
      </w:r>
      <w:proofErr w:type="spellStart"/>
      <w:r w:rsidRPr="00501AE3">
        <w:rPr>
          <w:rFonts w:ascii="Times New Roman" w:hAnsi="Times New Roman" w:cs="Times New Roman"/>
          <w:sz w:val="24"/>
          <w:szCs w:val="24"/>
          <w:lang w:eastAsia="bg-BG"/>
        </w:rPr>
        <w:t>Task</w:t>
      </w:r>
      <w:proofErr w:type="spellEnd"/>
      <w:r w:rsidRPr="00501AE3">
        <w:rPr>
          <w:rFonts w:ascii="Times New Roman" w:hAnsi="Times New Roman" w:cs="Times New Roman"/>
          <w:sz w:val="24"/>
          <w:szCs w:val="24"/>
          <w:lang w:eastAsia="bg-BG"/>
        </w:rPr>
        <w:t xml:space="preserve"> </w:t>
      </w:r>
      <w:proofErr w:type="spellStart"/>
      <w:r w:rsidRPr="00501AE3">
        <w:rPr>
          <w:rFonts w:ascii="Times New Roman" w:hAnsi="Times New Roman" w:cs="Times New Roman"/>
          <w:sz w:val="24"/>
          <w:szCs w:val="24"/>
          <w:lang w:eastAsia="bg-BG"/>
        </w:rPr>
        <w:t>Force</w:t>
      </w:r>
      <w:proofErr w:type="spellEnd"/>
      <w:r w:rsidRPr="00501AE3">
        <w:rPr>
          <w:rFonts w:ascii="Times New Roman" w:hAnsi="Times New Roman" w:cs="Times New Roman"/>
          <w:sz w:val="24"/>
          <w:szCs w:val="24"/>
          <w:lang w:eastAsia="bg-BG"/>
        </w:rPr>
        <w:t xml:space="preserve"> към Европейската комисия. Тя поддържа и националния регистър на действителните собственици като част от Търговския регистър и Регистър БУЛСТАТ, осигурявайки важен инструмент за борба с изпирането на пари и финансирането на тероризма.</w:t>
      </w:r>
    </w:p>
    <w:p w14:paraId="492AD0EA"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Основен риск представляват опитите за заобикаляне на санкциите чрез прехвърляне на собственост или контрол върху търговски дружества, използване на подставени лица или извършване на действия, които индиректно облагодетелстват санкционирани субекти. Допълнителна уязвимост възниква при вписването на непарични вноски и сделки с недвижими имоти или движими вещи, когато проверките не успеят да предотвратят прикриване на санкционирани активи. Рискът се задълбочава от динамиката на международната среда и честите актуализации на регламентите, което създава предпоставки за пропуски при прилагането им.</w:t>
      </w:r>
    </w:p>
    <w:p w14:paraId="0A9D705C"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lastRenderedPageBreak/>
        <w:t>Въведена е стриктна процедура за проверка на всяко заявление, като при установяване на участие на санкционирани лица се уведомяват Министерството на правосъдието, Министерството на външните работи, ДАНС и председателят на Координационната група по прилагането на санкциите на ЕС. Агенцията извършва документална проверка преди вписването на всяко действие и налага административно-наказателна отговорност при несвоевременно заявяване на информация. Регистърът на действителните собственици осигурява централизирана електронна база данни, достъпна за публичните органи с функции в областта на националната сигурност.</w:t>
      </w:r>
    </w:p>
    <w:p w14:paraId="54EC3A9C" w14:textId="684BD64D" w:rsidR="00D6403A" w:rsidRPr="00957D18" w:rsidRDefault="00D6403A" w:rsidP="00D6403A">
      <w:pPr>
        <w:pStyle w:val="Heading4"/>
        <w:numPr>
          <w:ilvl w:val="0"/>
          <w:numId w:val="50"/>
        </w:numPr>
        <w:jc w:val="center"/>
        <w:rPr>
          <w:rFonts w:ascii="Times New Roman" w:hAnsi="Times New Roman" w:cs="Times New Roman"/>
          <w:color w:val="auto"/>
          <w:sz w:val="24"/>
          <w:szCs w:val="24"/>
          <w:lang w:eastAsia="bg-BG"/>
        </w:rPr>
      </w:pPr>
      <w:r w:rsidRPr="00957D18">
        <w:rPr>
          <w:rFonts w:ascii="Times New Roman" w:hAnsi="Times New Roman" w:cs="Times New Roman"/>
          <w:color w:val="auto"/>
          <w:sz w:val="24"/>
          <w:szCs w:val="24"/>
          <w:lang w:eastAsia="bg-BG"/>
        </w:rPr>
        <w:t xml:space="preserve">Правна помощ и уязвими групи </w:t>
      </w:r>
    </w:p>
    <w:p w14:paraId="05914D90" w14:textId="77777777" w:rsidR="00D6403A" w:rsidRPr="00655B7C" w:rsidRDefault="00D6403A" w:rsidP="00D6403A">
      <w:pPr>
        <w:pStyle w:val="ListParagraph"/>
        <w:numPr>
          <w:ilvl w:val="0"/>
          <w:numId w:val="53"/>
        </w:numPr>
        <w:spacing w:after="120" w:line="278" w:lineRule="auto"/>
        <w:jc w:val="both"/>
        <w:rPr>
          <w:rFonts w:ascii="Times New Roman" w:hAnsi="Times New Roman" w:cs="Times New Roman"/>
          <w:b/>
          <w:bCs/>
          <w:lang w:eastAsia="bg-BG"/>
        </w:rPr>
      </w:pPr>
      <w:r w:rsidRPr="00655B7C">
        <w:rPr>
          <w:rFonts w:ascii="Times New Roman" w:hAnsi="Times New Roman" w:cs="Times New Roman"/>
          <w:b/>
          <w:bCs/>
          <w:lang w:eastAsia="bg-BG"/>
        </w:rPr>
        <w:t>През 2024 г. НБПП е осигурило задължително правно представителство за 2431 непридружени малолетни и непълнолетни чужденци, търсещи международна закрила, като тази група е определена по закон като особено уязвима.</w:t>
      </w:r>
    </w:p>
    <w:p w14:paraId="32594D74" w14:textId="77777777" w:rsidR="00D6403A" w:rsidRPr="00655B7C" w:rsidRDefault="00D6403A" w:rsidP="00D6403A">
      <w:pPr>
        <w:pStyle w:val="ListParagraph"/>
        <w:numPr>
          <w:ilvl w:val="0"/>
          <w:numId w:val="53"/>
        </w:numPr>
        <w:spacing w:after="120" w:line="278" w:lineRule="auto"/>
        <w:jc w:val="both"/>
        <w:rPr>
          <w:rFonts w:ascii="Times New Roman" w:hAnsi="Times New Roman" w:cs="Times New Roman"/>
          <w:b/>
          <w:bCs/>
          <w:lang w:eastAsia="bg-BG"/>
        </w:rPr>
      </w:pPr>
      <w:r w:rsidRPr="00655B7C">
        <w:rPr>
          <w:rFonts w:ascii="Times New Roman" w:hAnsi="Times New Roman" w:cs="Times New Roman"/>
          <w:b/>
          <w:bCs/>
          <w:lang w:eastAsia="bg-BG"/>
        </w:rPr>
        <w:t>Основен риск за системата е свързан с нарастващия натиск върху капацитета, нуждата от квалифицирани адвокати и сериозните нормативни и административни промени, които предстои да бъдат въведени с Пакта за миграция и убежище.</w:t>
      </w:r>
    </w:p>
    <w:p w14:paraId="26FD2133" w14:textId="77777777" w:rsidR="00D6403A" w:rsidRPr="00655B7C" w:rsidRDefault="00D6403A" w:rsidP="00D6403A">
      <w:pPr>
        <w:pStyle w:val="ListParagraph"/>
        <w:numPr>
          <w:ilvl w:val="0"/>
          <w:numId w:val="53"/>
        </w:numPr>
        <w:spacing w:after="120" w:line="278" w:lineRule="auto"/>
        <w:jc w:val="both"/>
        <w:rPr>
          <w:rFonts w:ascii="Times New Roman" w:hAnsi="Times New Roman" w:cs="Times New Roman"/>
          <w:b/>
          <w:bCs/>
          <w:lang w:eastAsia="bg-BG"/>
        </w:rPr>
      </w:pPr>
      <w:r w:rsidRPr="00655B7C">
        <w:rPr>
          <w:rFonts w:ascii="Times New Roman" w:hAnsi="Times New Roman" w:cs="Times New Roman"/>
          <w:b/>
          <w:bCs/>
          <w:lang w:eastAsia="bg-BG"/>
        </w:rPr>
        <w:t>За подготовката към новите изисквания НБПП участва в експертни работни групи, извършва анализи на нормативната рамка и планира мерки за разширяване на институционалното сътрудничество и обучението на адвокати.</w:t>
      </w:r>
    </w:p>
    <w:p w14:paraId="57EF74FF"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Националното бюро за правна помощ (НБПП) изпълнява ключова роля в гарантирането на върховенството на закона чрез осигуряване на достъп до правосъдие за уязвими категории лица. През 2024 г. са издадени 2431 решения за предоставяне на задължително правно представителство на непридружени малолетни и непълнолетни чужденци, търсещи международна закрила. Тази група е определена със закон като особено уязвима и получава правна защита във всички сфери на обществения живот. НБПП участва и в експертна работна група за подготовка на прилагането на Пакта за миграция и убежище, който ще въведе нови изисквания и значително ще разшири обхвата на дейностите по предоставяне на правна помощ.</w:t>
      </w:r>
    </w:p>
    <w:p w14:paraId="186841D1"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Основният риск е свързан с натиска върху системата за правна помощ поради увеличаващите се нужди на уязвими категории чужденци и мигранти. Прилагането на Пакта за миграция и убежище ще изисква сериозни нормативни, административни и финансови промени, което създава риск от недостатъчна готовност на системата. Допълнителен риск е зависимостта от ограничен брой адвокати с необходимата квалификация за работа с чужденци и непридружени деца, както и необходимостта от по-широка институционална координация.</w:t>
      </w:r>
    </w:p>
    <w:p w14:paraId="72B1A6F8"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През 2024 г. НБПП е осигурило правна помощ чрез назначаване на адвокати, вписани в Националния регистър, при задължителни случаи по наказателни, граждански и административни дела, когато лицата не разполагат със средства или интересите на правосъдието изискват това. Извършва се системна координация с Държавната агенция за бежанците при предоставянето на защита на непридружени малолетни и непълнолетни чужденци. В рамките на подготовката за прилагане на Пакта се анализират необходимите нормативни промени и се планират нови механизми и практики в сферата на миграцията и убежището.</w:t>
      </w:r>
    </w:p>
    <w:p w14:paraId="245F7334"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lastRenderedPageBreak/>
        <w:t>Необходимо е укрепване на административния и финансовия капацитет на НБПП, за да може системата да отговори на бъдещите изисквания. Препоръчва се разширяване на програмите за обучение на адвокати в областта на международната закрила, детската защита и миграционното право. Следва да се развие по-задълбочено междуинституционално сътрудничество – както с държавни органи, така и с международни партньори, за да се гарантира адекватно прилагане на Пакта за миграция и убежище. Стратегически важно е и въвеждането на дигитални инструменти за управление на делата и проследяване на предоставената правна помощ, с цел повишаване на прозрачността и ефективността.</w:t>
      </w:r>
    </w:p>
    <w:p w14:paraId="7CD35626" w14:textId="3D7D41E6" w:rsidR="00D6403A" w:rsidRPr="00957D18" w:rsidRDefault="00D6403A" w:rsidP="00D6403A">
      <w:pPr>
        <w:pStyle w:val="Heading4"/>
        <w:numPr>
          <w:ilvl w:val="0"/>
          <w:numId w:val="50"/>
        </w:numPr>
        <w:jc w:val="center"/>
        <w:rPr>
          <w:rFonts w:ascii="Times New Roman" w:hAnsi="Times New Roman" w:cs="Times New Roman"/>
          <w:color w:val="auto"/>
          <w:sz w:val="24"/>
          <w:szCs w:val="24"/>
          <w:lang w:eastAsia="bg-BG"/>
        </w:rPr>
      </w:pPr>
      <w:r w:rsidRPr="00957D18">
        <w:rPr>
          <w:rFonts w:ascii="Times New Roman" w:hAnsi="Times New Roman" w:cs="Times New Roman"/>
          <w:color w:val="auto"/>
          <w:sz w:val="24"/>
          <w:szCs w:val="24"/>
          <w:lang w:eastAsia="bg-BG"/>
        </w:rPr>
        <w:t xml:space="preserve">Защита на свидетели </w:t>
      </w:r>
    </w:p>
    <w:p w14:paraId="529CDBDA" w14:textId="77777777" w:rsidR="00D6403A" w:rsidRPr="00655B7C" w:rsidRDefault="00D6403A" w:rsidP="00D6403A">
      <w:pPr>
        <w:pStyle w:val="ListParagraph"/>
        <w:numPr>
          <w:ilvl w:val="0"/>
          <w:numId w:val="54"/>
        </w:numPr>
        <w:spacing w:after="120" w:line="278" w:lineRule="auto"/>
        <w:jc w:val="both"/>
        <w:rPr>
          <w:rFonts w:ascii="Times New Roman" w:hAnsi="Times New Roman" w:cs="Times New Roman"/>
          <w:b/>
          <w:bCs/>
          <w:lang w:eastAsia="bg-BG"/>
        </w:rPr>
      </w:pPr>
      <w:r w:rsidRPr="00655B7C">
        <w:rPr>
          <w:rFonts w:ascii="Times New Roman" w:hAnsi="Times New Roman" w:cs="Times New Roman"/>
          <w:b/>
          <w:bCs/>
          <w:lang w:eastAsia="bg-BG"/>
        </w:rPr>
        <w:t>Бюрото по защита на застрашени лица осигурява специална защита на ключови свидетели, като допринася за борбата с тежки умишлени престъпления и организираната престъпност и за ефективността на съдебния процес.</w:t>
      </w:r>
    </w:p>
    <w:p w14:paraId="66AB1156" w14:textId="77777777" w:rsidR="00D6403A" w:rsidRPr="00655B7C" w:rsidRDefault="00D6403A" w:rsidP="00D6403A">
      <w:pPr>
        <w:pStyle w:val="ListParagraph"/>
        <w:numPr>
          <w:ilvl w:val="0"/>
          <w:numId w:val="54"/>
        </w:numPr>
        <w:spacing w:after="120" w:line="278" w:lineRule="auto"/>
        <w:jc w:val="both"/>
        <w:rPr>
          <w:rFonts w:ascii="Times New Roman" w:hAnsi="Times New Roman" w:cs="Times New Roman"/>
          <w:b/>
          <w:bCs/>
          <w:lang w:eastAsia="bg-BG"/>
        </w:rPr>
      </w:pPr>
      <w:r w:rsidRPr="00655B7C">
        <w:rPr>
          <w:rFonts w:ascii="Times New Roman" w:hAnsi="Times New Roman" w:cs="Times New Roman"/>
          <w:b/>
          <w:bCs/>
          <w:lang w:eastAsia="bg-BG"/>
        </w:rPr>
        <w:t>Заплахите за живота и сигурността на свидетели по дела за тежки престъпления остават висок фактор на риск, който може да ограничи резултатността на наказателните производства.</w:t>
      </w:r>
    </w:p>
    <w:p w14:paraId="4BC4F399" w14:textId="77777777" w:rsidR="00D6403A" w:rsidRPr="00655B7C" w:rsidRDefault="00D6403A" w:rsidP="00D6403A">
      <w:pPr>
        <w:pStyle w:val="ListParagraph"/>
        <w:numPr>
          <w:ilvl w:val="0"/>
          <w:numId w:val="54"/>
        </w:numPr>
        <w:spacing w:after="120" w:line="278" w:lineRule="auto"/>
        <w:jc w:val="both"/>
        <w:rPr>
          <w:rFonts w:ascii="Times New Roman" w:hAnsi="Times New Roman" w:cs="Times New Roman"/>
          <w:b/>
          <w:bCs/>
          <w:lang w:eastAsia="bg-BG"/>
        </w:rPr>
      </w:pPr>
      <w:r w:rsidRPr="00655B7C">
        <w:rPr>
          <w:rFonts w:ascii="Times New Roman" w:hAnsi="Times New Roman" w:cs="Times New Roman"/>
          <w:b/>
          <w:bCs/>
          <w:lang w:eastAsia="bg-BG"/>
        </w:rPr>
        <w:t>БЗЗЛ прилага комплекс от национални мерки и международно сътрудничество, включително участие във форуми и обучения, за да интегрира добри практики и да осигури адекватна защита.</w:t>
      </w:r>
    </w:p>
    <w:p w14:paraId="5DC208E0"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Бюрото по защита на застрашени лица (БЗЗЛ) осъществява дейности по осигуряване на специална защита на ключови свидетели, чиито показания и информация са от съществено значение за наказателните производства. Дейността му подпомага борбата с тежки умишлени престъпления и организираната престъпност, като допринася за ефективността на съдебния процес. Бюрото функционира в тясно сътрудничество с множество държавни институции, а също така участва в международни форуми и обучения, в рамките на които се прилагат и споделят добри практики от европейската и международната среда.</w:t>
      </w:r>
    </w:p>
    <w:p w14:paraId="77DB6079"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Заплахите за живота и сигурността на свидетели по дела за тежки умишлени престъпления и организирана престъпност остават висок фактор на риск. Възможни са противоправни посегателства, насочени срещу лицата, предоставящи ключови показания, както и ограничаване на ефективността на наказателните производства при липса на адекватна защита.</w:t>
      </w:r>
    </w:p>
    <w:p w14:paraId="3610FFC3"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БЗЗЛ прилага комплекс от мерки за защита, които включват както национални механизми, така и използване на международно сътрудничество. В условията на взаимност и международни договори бюрото получава и оказва съдействие по защитата на свидетели. Участието в международни форуми, обучения и мероприятия позволява интегриране на добри практики в националната система. Бюрото осъществява обмен на информация и координация с компетентните институции за своевременно и адекватно реагиране на заплахи.</w:t>
      </w:r>
    </w:p>
    <w:p w14:paraId="4530B4C8" w14:textId="03251936" w:rsidR="00D6403A" w:rsidRPr="00957D18" w:rsidRDefault="00D6403A" w:rsidP="00D6403A">
      <w:pPr>
        <w:pStyle w:val="Heading4"/>
        <w:numPr>
          <w:ilvl w:val="0"/>
          <w:numId w:val="50"/>
        </w:numPr>
        <w:jc w:val="center"/>
        <w:rPr>
          <w:rFonts w:ascii="Times New Roman" w:hAnsi="Times New Roman" w:cs="Times New Roman"/>
          <w:color w:val="auto"/>
          <w:sz w:val="24"/>
          <w:szCs w:val="24"/>
          <w:lang w:eastAsia="bg-BG"/>
        </w:rPr>
      </w:pPr>
      <w:r w:rsidRPr="00957D18">
        <w:rPr>
          <w:rFonts w:ascii="Times New Roman" w:hAnsi="Times New Roman" w:cs="Times New Roman"/>
          <w:color w:val="auto"/>
          <w:sz w:val="24"/>
          <w:szCs w:val="24"/>
          <w:lang w:eastAsia="bg-BG"/>
        </w:rPr>
        <w:t xml:space="preserve">Сигурност на съдебната система </w:t>
      </w:r>
    </w:p>
    <w:p w14:paraId="7894276E" w14:textId="77777777" w:rsidR="00D6403A" w:rsidRPr="00655B7C" w:rsidRDefault="00D6403A" w:rsidP="00D6403A">
      <w:pPr>
        <w:pStyle w:val="ListParagraph"/>
        <w:numPr>
          <w:ilvl w:val="0"/>
          <w:numId w:val="55"/>
        </w:numPr>
        <w:spacing w:after="120" w:line="278" w:lineRule="auto"/>
        <w:jc w:val="both"/>
        <w:rPr>
          <w:rFonts w:ascii="Times New Roman" w:hAnsi="Times New Roman" w:cs="Times New Roman"/>
          <w:b/>
          <w:bCs/>
          <w:lang w:eastAsia="bg-BG"/>
        </w:rPr>
      </w:pPr>
      <w:r w:rsidRPr="00655B7C">
        <w:rPr>
          <w:rFonts w:ascii="Times New Roman" w:hAnsi="Times New Roman" w:cs="Times New Roman"/>
          <w:b/>
          <w:bCs/>
          <w:lang w:eastAsia="bg-BG"/>
        </w:rPr>
        <w:t xml:space="preserve">Главна дирекция „Охрана“ осигурява защитата на съдебните сгради и институциите на правосъдието, като през 2024 г. са проведени 33 проверки на </w:t>
      </w:r>
      <w:r w:rsidRPr="00655B7C">
        <w:rPr>
          <w:rFonts w:ascii="Times New Roman" w:hAnsi="Times New Roman" w:cs="Times New Roman"/>
          <w:b/>
          <w:bCs/>
          <w:lang w:eastAsia="bg-BG"/>
        </w:rPr>
        <w:lastRenderedPageBreak/>
        <w:t>готовността и регулярни тактически тренировки, включително симулации на терористични атаки.</w:t>
      </w:r>
    </w:p>
    <w:p w14:paraId="66B9B1CD" w14:textId="77777777" w:rsidR="00D6403A" w:rsidRPr="00655B7C" w:rsidRDefault="00D6403A" w:rsidP="00D6403A">
      <w:pPr>
        <w:pStyle w:val="ListParagraph"/>
        <w:numPr>
          <w:ilvl w:val="0"/>
          <w:numId w:val="55"/>
        </w:numPr>
        <w:spacing w:after="120" w:line="278" w:lineRule="auto"/>
        <w:jc w:val="both"/>
        <w:rPr>
          <w:rFonts w:ascii="Times New Roman" w:hAnsi="Times New Roman" w:cs="Times New Roman"/>
          <w:b/>
          <w:bCs/>
          <w:lang w:eastAsia="bg-BG"/>
        </w:rPr>
      </w:pPr>
      <w:r w:rsidRPr="00655B7C">
        <w:rPr>
          <w:rFonts w:ascii="Times New Roman" w:hAnsi="Times New Roman" w:cs="Times New Roman"/>
          <w:b/>
          <w:bCs/>
          <w:lang w:eastAsia="bg-BG"/>
        </w:rPr>
        <w:t>Съдебните сгради са потенциална цел на различни заплахи, включително терористични, като уязвимости произтичат от високия човекопоток и недостатъчната подготовка на състава при критични ситуации.</w:t>
      </w:r>
    </w:p>
    <w:p w14:paraId="7CE6F5A3" w14:textId="77777777" w:rsidR="00D6403A" w:rsidRPr="00655B7C" w:rsidRDefault="00D6403A" w:rsidP="00D6403A">
      <w:pPr>
        <w:pStyle w:val="ListParagraph"/>
        <w:numPr>
          <w:ilvl w:val="0"/>
          <w:numId w:val="55"/>
        </w:numPr>
        <w:spacing w:after="120" w:line="278" w:lineRule="auto"/>
        <w:jc w:val="both"/>
        <w:rPr>
          <w:rFonts w:ascii="Times New Roman" w:hAnsi="Times New Roman" w:cs="Times New Roman"/>
          <w:b/>
          <w:bCs/>
          <w:lang w:eastAsia="bg-BG"/>
        </w:rPr>
      </w:pPr>
      <w:r w:rsidRPr="00655B7C">
        <w:rPr>
          <w:rFonts w:ascii="Times New Roman" w:hAnsi="Times New Roman" w:cs="Times New Roman"/>
          <w:b/>
          <w:bCs/>
          <w:lang w:eastAsia="bg-BG"/>
        </w:rPr>
        <w:t>Установен е дефицит в подготовката по оказване на първа долекарска помощ, за преодоляването на който е препоръчано допълнително обучение и практическа подготовка на персонала.</w:t>
      </w:r>
    </w:p>
    <w:p w14:paraId="436A6B32" w14:textId="634D77F9"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 xml:space="preserve">Главна дирекция „Охрана“ има основна отговорност за сигурността на съдебните сгради, сградите на Министерството на правосъдието и Агенцията по вписванията – Централно управление. Дейността ѝ е пряко свързана с гарантирането на нормалното функциониране на съдебната власт и на ключови държавни институции. Съдебните сгради са обекти с особено значение за обществения живот, поради което е въведена практика за ежегодни охранителни обследвания и актуализация на охранителните планове. </w:t>
      </w:r>
    </w:p>
    <w:p w14:paraId="649F361A"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Съдебните сгради и обекти, свързани с правосъдието, са потенциални цели на различни по характер заплахи, включително и терористични атаки. Уязвимости могат да произтичат от високия човекопоток и комплексния характер на дейностите в тях, както и от недостатъчна подготовка на личния състав при критични ситуации.</w:t>
      </w:r>
    </w:p>
    <w:p w14:paraId="4AEB7496" w14:textId="77777777" w:rsidR="00D6403A" w:rsidRPr="00501AE3" w:rsidRDefault="00D6403A" w:rsidP="00D6403A">
      <w:pPr>
        <w:spacing w:after="120" w:line="278" w:lineRule="auto"/>
        <w:ind w:firstLine="851"/>
        <w:jc w:val="both"/>
        <w:rPr>
          <w:rFonts w:ascii="Times New Roman" w:hAnsi="Times New Roman" w:cs="Times New Roman"/>
          <w:sz w:val="24"/>
          <w:szCs w:val="24"/>
          <w:lang w:eastAsia="bg-BG"/>
        </w:rPr>
      </w:pPr>
      <w:r w:rsidRPr="00501AE3">
        <w:rPr>
          <w:rFonts w:ascii="Times New Roman" w:hAnsi="Times New Roman" w:cs="Times New Roman"/>
          <w:sz w:val="24"/>
          <w:szCs w:val="24"/>
          <w:lang w:eastAsia="bg-BG"/>
        </w:rPr>
        <w:t>Ежегодни охранителни обследвания и идентифициране на уязвими места, издаване на препоръки за отстраняването им и актуализация на охранителните планове в съответствие с Националния план за противодействие на тероризма (Решение № 564/2023 на МС). В изпълнение на „План за действие на ГД „Охрана“ при кризи, извънредни ситуации и защита при бедствия“ през 2024 г. са проведени 33 проверки на готовността на състава. Ежемесечно са организирани практически занятия и тактически тренировки, включително симулиране на терористична атака.</w:t>
      </w:r>
    </w:p>
    <w:p w14:paraId="45E482F9" w14:textId="77777777" w:rsidR="00D6403A" w:rsidRPr="00957D18" w:rsidRDefault="00D6403A" w:rsidP="00D6403A">
      <w:pPr>
        <w:spacing w:after="120"/>
        <w:ind w:firstLine="851"/>
        <w:jc w:val="both"/>
        <w:rPr>
          <w:rFonts w:ascii="Times New Roman" w:hAnsi="Times New Roman" w:cs="Times New Roman"/>
          <w:sz w:val="24"/>
          <w:szCs w:val="24"/>
          <w:lang w:eastAsia="bg-BG"/>
        </w:rPr>
      </w:pPr>
      <w:r w:rsidRPr="00957D18">
        <w:rPr>
          <w:rFonts w:ascii="Times New Roman" w:hAnsi="Times New Roman" w:cs="Times New Roman"/>
          <w:sz w:val="24"/>
          <w:szCs w:val="24"/>
          <w:lang w:eastAsia="bg-BG"/>
        </w:rPr>
        <w:t xml:space="preserve">Необходимо е подобряване на </w:t>
      </w:r>
      <w:r w:rsidRPr="00501AE3">
        <w:rPr>
          <w:rFonts w:ascii="Times New Roman" w:hAnsi="Times New Roman" w:cs="Times New Roman"/>
          <w:sz w:val="24"/>
          <w:szCs w:val="24"/>
          <w:lang w:eastAsia="bg-BG"/>
        </w:rPr>
        <w:t>подготовката на личния състав по линия на оказване на първа долекарска помощ на пострадали лица. Препоръката е за преодоляване на този дефицит чрез допълнителни обучения и практическа подготовка.</w:t>
      </w:r>
    </w:p>
    <w:p w14:paraId="2AC8888A" w14:textId="77777777" w:rsidR="00D6403A" w:rsidRPr="00693604" w:rsidRDefault="00D6403A" w:rsidP="005E3227">
      <w:pPr>
        <w:pStyle w:val="Heading3"/>
        <w:numPr>
          <w:ilvl w:val="0"/>
          <w:numId w:val="14"/>
        </w:numPr>
        <w:tabs>
          <w:tab w:val="num" w:pos="360"/>
        </w:tabs>
        <w:spacing w:line="360" w:lineRule="auto"/>
        <w:ind w:left="0" w:firstLine="0"/>
        <w:rPr>
          <w:rFonts w:ascii="Times New Roman" w:hAnsi="Times New Roman" w:cs="Times New Roman"/>
          <w:color w:val="auto"/>
        </w:rPr>
      </w:pPr>
      <w:bookmarkStart w:id="55" w:name="_Toc208580390"/>
      <w:r w:rsidRPr="00693604">
        <w:rPr>
          <w:rFonts w:ascii="Times New Roman" w:hAnsi="Times New Roman" w:cs="Times New Roman"/>
          <w:b/>
          <w:color w:val="1F4E79" w:themeColor="accent1" w:themeShade="80"/>
        </w:rPr>
        <w:t>Корупционен риск</w:t>
      </w:r>
      <w:bookmarkEnd w:id="55"/>
    </w:p>
    <w:p w14:paraId="1C46292F" w14:textId="77777777" w:rsidR="00693604" w:rsidRPr="008D5F1A" w:rsidRDefault="00693604" w:rsidP="00693604">
      <w:pPr>
        <w:pStyle w:val="ListParagraph"/>
        <w:numPr>
          <w:ilvl w:val="0"/>
          <w:numId w:val="56"/>
        </w:numPr>
        <w:spacing w:after="120" w:line="278" w:lineRule="auto"/>
        <w:jc w:val="both"/>
        <w:rPr>
          <w:rFonts w:ascii="Times New Roman" w:hAnsi="Times New Roman" w:cs="Times New Roman"/>
          <w:b/>
          <w:bCs/>
          <w:sz w:val="24"/>
          <w:szCs w:val="24"/>
          <w:lang w:eastAsia="bg-BG"/>
        </w:rPr>
      </w:pPr>
      <w:r w:rsidRPr="008D5F1A">
        <w:rPr>
          <w:rFonts w:ascii="Times New Roman" w:hAnsi="Times New Roman" w:cs="Times New Roman"/>
          <w:b/>
          <w:sz w:val="24"/>
          <w:szCs w:val="24"/>
        </w:rPr>
        <w:t>Корупционният риск продължава да представлява предизвикателство с потенциално неблагоприятно въздействие върху обществото, икономическата стабилност и политическата среда. Неговото наличие може да породи усещане за несправедливост и да отслаби доверието в институциите. В отговор на тези рискове, държавата демонстрира ангажираност към ограничаване</w:t>
      </w:r>
      <w:r>
        <w:rPr>
          <w:rFonts w:ascii="Times New Roman" w:hAnsi="Times New Roman" w:cs="Times New Roman"/>
          <w:b/>
          <w:sz w:val="24"/>
          <w:szCs w:val="24"/>
        </w:rPr>
        <w:t xml:space="preserve"> на възможностите за тяхното проявление</w:t>
      </w:r>
      <w:r w:rsidRPr="008D5F1A">
        <w:rPr>
          <w:rFonts w:ascii="Times New Roman" w:hAnsi="Times New Roman" w:cs="Times New Roman"/>
          <w:b/>
          <w:sz w:val="24"/>
          <w:szCs w:val="24"/>
        </w:rPr>
        <w:t xml:space="preserve"> чрез прилагане на превантивни мерки, засилване на контролните механизми и насърчаване на прозрачността в публичния сектор.</w:t>
      </w:r>
      <w:r>
        <w:rPr>
          <w:rFonts w:ascii="Times New Roman" w:hAnsi="Times New Roman" w:cs="Times New Roman"/>
          <w:b/>
          <w:sz w:val="24"/>
          <w:szCs w:val="24"/>
        </w:rPr>
        <w:t xml:space="preserve"> </w:t>
      </w:r>
      <w:r w:rsidRPr="00EB34C4">
        <w:rPr>
          <w:rFonts w:ascii="Times New Roman" w:hAnsi="Times New Roman" w:cs="Times New Roman"/>
          <w:b/>
          <w:sz w:val="24"/>
          <w:szCs w:val="24"/>
        </w:rPr>
        <w:t xml:space="preserve">Такива рискове могат да възникнат при провеждането на обществени поръчки, осъществяването на контролни функции, управлението и разпределението на публични средства, както и при предоставянето на административни услуги. Идентифицирането на тези рискови зони позволява целенасочено прилагане </w:t>
      </w:r>
      <w:r w:rsidRPr="00EB34C4">
        <w:rPr>
          <w:rFonts w:ascii="Times New Roman" w:hAnsi="Times New Roman" w:cs="Times New Roman"/>
          <w:b/>
          <w:sz w:val="24"/>
          <w:szCs w:val="24"/>
        </w:rPr>
        <w:lastRenderedPageBreak/>
        <w:t xml:space="preserve">на превантивни механизми и усъвършенстване на процедурите с цел ограничаване на възможностите за нерегламентирани действия. </w:t>
      </w:r>
    </w:p>
    <w:p w14:paraId="4F1CBB31" w14:textId="21AA8901" w:rsidR="00693604" w:rsidRPr="00693604" w:rsidRDefault="00693604" w:rsidP="00693604">
      <w:pPr>
        <w:pStyle w:val="ListParagraph"/>
        <w:numPr>
          <w:ilvl w:val="0"/>
          <w:numId w:val="56"/>
        </w:numPr>
        <w:spacing w:after="120" w:line="278" w:lineRule="auto"/>
        <w:jc w:val="both"/>
        <w:rPr>
          <w:rFonts w:ascii="Times New Roman" w:hAnsi="Times New Roman" w:cs="Times New Roman"/>
          <w:b/>
          <w:bCs/>
          <w:lang w:eastAsia="bg-BG"/>
        </w:rPr>
      </w:pPr>
      <w:r w:rsidRPr="00447DF5">
        <w:rPr>
          <w:rFonts w:ascii="Times New Roman" w:hAnsi="Times New Roman" w:cs="Times New Roman"/>
          <w:b/>
          <w:bCs/>
          <w:lang w:eastAsia="bg-BG"/>
        </w:rPr>
        <w:t>Сред основните антикорупционни подходи се откроява разширяването на електронните услуги, публичните регистри и системите за видеонаблюдение, насочени към ограничаване на човешкия фактор и повишаване на прозрачността в административните процес</w:t>
      </w:r>
      <w:r>
        <w:rPr>
          <w:rFonts w:ascii="Times New Roman" w:hAnsi="Times New Roman" w:cs="Times New Roman"/>
          <w:b/>
          <w:bCs/>
          <w:lang w:eastAsia="bg-BG"/>
        </w:rPr>
        <w:t>и</w:t>
      </w:r>
      <w:r w:rsidRPr="00EB34C4">
        <w:rPr>
          <w:rFonts w:ascii="Times New Roman" w:hAnsi="Times New Roman" w:cs="Times New Roman"/>
          <w:b/>
          <w:bCs/>
          <w:lang w:eastAsia="bg-BG"/>
        </w:rPr>
        <w:t xml:space="preserve">. </w:t>
      </w:r>
    </w:p>
    <w:p w14:paraId="51B0213F" w14:textId="77777777" w:rsidR="00693604" w:rsidRPr="00EB34C4" w:rsidRDefault="00693604" w:rsidP="00693604">
      <w:pPr>
        <w:spacing w:after="120" w:line="278" w:lineRule="auto"/>
        <w:ind w:firstLine="851"/>
        <w:jc w:val="both"/>
        <w:rPr>
          <w:rFonts w:ascii="Times New Roman" w:hAnsi="Times New Roman" w:cs="Times New Roman"/>
          <w:sz w:val="24"/>
          <w:szCs w:val="24"/>
          <w:lang w:eastAsia="bg-BG"/>
        </w:rPr>
      </w:pPr>
      <w:r w:rsidRPr="00EB34C4">
        <w:rPr>
          <w:rFonts w:ascii="Times New Roman" w:hAnsi="Times New Roman" w:cs="Times New Roman"/>
          <w:sz w:val="24"/>
          <w:szCs w:val="24"/>
          <w:lang w:eastAsia="bg-BG"/>
        </w:rPr>
        <w:t xml:space="preserve">Корупцията </w:t>
      </w:r>
      <w:r w:rsidRPr="00447DF5">
        <w:rPr>
          <w:rFonts w:ascii="Times New Roman" w:hAnsi="Times New Roman" w:cs="Times New Roman"/>
          <w:sz w:val="24"/>
          <w:szCs w:val="24"/>
          <w:lang w:eastAsia="bg-BG"/>
        </w:rPr>
        <w:t xml:space="preserve">представлява потенциален риск с възможно неблагоприятно отражение върху </w:t>
      </w:r>
      <w:r w:rsidRPr="00EB34C4">
        <w:rPr>
          <w:rFonts w:ascii="Times New Roman" w:hAnsi="Times New Roman" w:cs="Times New Roman"/>
          <w:sz w:val="24"/>
          <w:szCs w:val="24"/>
          <w:lang w:eastAsia="bg-BG"/>
        </w:rPr>
        <w:t xml:space="preserve">обществената, икономическата и политическата сфера.. </w:t>
      </w:r>
      <w:r w:rsidRPr="00447DF5">
        <w:rPr>
          <w:rFonts w:ascii="Times New Roman" w:hAnsi="Times New Roman" w:cs="Times New Roman"/>
          <w:sz w:val="24"/>
          <w:szCs w:val="24"/>
          <w:lang w:eastAsia="bg-BG"/>
        </w:rPr>
        <w:t xml:space="preserve">Рисковете се свързват с възможни нерегламентирани действия като неправомерно усвояване на ресурси, непрозрачни процедури при обществени поръчки, приватизационни сделки, концесии и разпределение на субсидии. Подобни рискове могат да породят усещане за несправедливост, социална неравнопоставеност и да отслабят доверието в институциите. Превенцията на корупционния риск </w:t>
      </w:r>
      <w:r w:rsidRPr="00EB34C4">
        <w:rPr>
          <w:rFonts w:ascii="Times New Roman" w:hAnsi="Times New Roman" w:cs="Times New Roman"/>
          <w:sz w:val="24"/>
          <w:szCs w:val="24"/>
          <w:lang w:eastAsia="bg-BG"/>
        </w:rPr>
        <w:t>е приоритет както за националните власти, така и за ЕС, който осъществява мониторинг върху антикорупционните</w:t>
      </w:r>
      <w:r w:rsidRPr="00447DF5">
        <w:rPr>
          <w:rFonts w:ascii="Times New Roman" w:hAnsi="Times New Roman" w:cs="Times New Roman"/>
          <w:sz w:val="24"/>
          <w:szCs w:val="24"/>
          <w:lang w:eastAsia="bg-BG"/>
        </w:rPr>
        <w:t xml:space="preserve"> политики и </w:t>
      </w:r>
      <w:r w:rsidRPr="00EB34C4">
        <w:rPr>
          <w:rFonts w:ascii="Times New Roman" w:hAnsi="Times New Roman" w:cs="Times New Roman"/>
          <w:sz w:val="24"/>
          <w:szCs w:val="24"/>
          <w:lang w:eastAsia="bg-BG"/>
        </w:rPr>
        <w:t xml:space="preserve"> инициативи в България.</w:t>
      </w:r>
    </w:p>
    <w:p w14:paraId="6CF843D4" w14:textId="77777777" w:rsidR="00693604" w:rsidRPr="00EB34C4" w:rsidRDefault="00693604" w:rsidP="00693604">
      <w:pPr>
        <w:spacing w:after="120" w:line="278" w:lineRule="auto"/>
        <w:ind w:firstLine="851"/>
        <w:jc w:val="both"/>
        <w:rPr>
          <w:rFonts w:ascii="Times New Roman" w:hAnsi="Times New Roman" w:cs="Times New Roman"/>
          <w:sz w:val="24"/>
          <w:szCs w:val="24"/>
          <w:lang w:eastAsia="bg-BG"/>
        </w:rPr>
      </w:pPr>
      <w:r w:rsidRPr="00447DF5">
        <w:rPr>
          <w:rFonts w:ascii="Times New Roman" w:hAnsi="Times New Roman" w:cs="Times New Roman"/>
          <w:sz w:val="24"/>
          <w:szCs w:val="24"/>
          <w:lang w:eastAsia="bg-BG"/>
        </w:rPr>
        <w:t>Идентифицирани са уязвими зони, в които съществува повишен риск от корупционни прояви сред длъжностните лица, особено при наличие на значителни властови ресурси и достъп до чувствителна информация.</w:t>
      </w:r>
      <w:r w:rsidRPr="00EB34C4">
        <w:rPr>
          <w:rFonts w:ascii="Times New Roman" w:hAnsi="Times New Roman" w:cs="Times New Roman"/>
          <w:sz w:val="24"/>
          <w:szCs w:val="24"/>
          <w:lang w:eastAsia="bg-BG"/>
        </w:rPr>
        <w:t>.</w:t>
      </w:r>
      <w:r w:rsidRPr="00447DF5">
        <w:rPr>
          <w:rFonts w:ascii="Times New Roman" w:hAnsi="Times New Roman" w:cs="Times New Roman"/>
          <w:sz w:val="24"/>
          <w:szCs w:val="24"/>
          <w:lang w:eastAsia="bg-BG"/>
        </w:rPr>
        <w:t xml:space="preserve"> Рискови ситуации могат да възникнат при предоставяне на административни услуги, упражняване на контролни функции, управление на публични средства или взимане на решения с икономическо значение. </w:t>
      </w:r>
      <w:r w:rsidRPr="00EB34C4">
        <w:rPr>
          <w:rFonts w:ascii="Times New Roman" w:hAnsi="Times New Roman" w:cs="Times New Roman"/>
          <w:sz w:val="24"/>
          <w:szCs w:val="24"/>
          <w:lang w:eastAsia="bg-BG"/>
        </w:rPr>
        <w:t xml:space="preserve"> </w:t>
      </w:r>
      <w:r w:rsidRPr="00447DF5">
        <w:rPr>
          <w:rFonts w:ascii="Times New Roman" w:hAnsi="Times New Roman" w:cs="Times New Roman"/>
          <w:sz w:val="24"/>
          <w:szCs w:val="24"/>
          <w:lang w:eastAsia="bg-BG"/>
        </w:rPr>
        <w:t xml:space="preserve"> Интензивното взаимодействие между администрацията и гражданите предполага необходимост от устойчиви механизми за превенция и контрол. </w:t>
      </w:r>
    </w:p>
    <w:p w14:paraId="0B4F02F8" w14:textId="77777777" w:rsidR="00693604" w:rsidRPr="00EB34C4" w:rsidRDefault="00693604" w:rsidP="00693604">
      <w:pPr>
        <w:spacing w:after="120"/>
        <w:ind w:firstLine="851"/>
        <w:jc w:val="both"/>
        <w:rPr>
          <w:rFonts w:ascii="Times New Roman" w:hAnsi="Times New Roman" w:cs="Times New Roman"/>
          <w:sz w:val="24"/>
          <w:szCs w:val="24"/>
          <w:lang w:eastAsia="bg-BG"/>
        </w:rPr>
      </w:pPr>
      <w:r w:rsidRPr="00447DF5">
        <w:rPr>
          <w:rFonts w:ascii="Times New Roman" w:hAnsi="Times New Roman" w:cs="Times New Roman"/>
          <w:sz w:val="24"/>
          <w:szCs w:val="24"/>
          <w:lang w:eastAsia="bg-BG"/>
        </w:rPr>
        <w:t>В рамките на превантивните мерки се разширяват</w:t>
      </w:r>
      <w:r w:rsidRPr="00EB34C4">
        <w:rPr>
          <w:rFonts w:ascii="Times New Roman" w:hAnsi="Times New Roman" w:cs="Times New Roman"/>
          <w:sz w:val="24"/>
          <w:szCs w:val="24"/>
          <w:lang w:eastAsia="bg-BG"/>
        </w:rPr>
        <w:t xml:space="preserve"> електронни услуги и публични регистри, които </w:t>
      </w:r>
      <w:r w:rsidRPr="00447DF5">
        <w:rPr>
          <w:rFonts w:ascii="Times New Roman" w:hAnsi="Times New Roman" w:cs="Times New Roman"/>
          <w:sz w:val="24"/>
          <w:szCs w:val="24"/>
          <w:lang w:eastAsia="bg-BG"/>
        </w:rPr>
        <w:t xml:space="preserve">ограничават </w:t>
      </w:r>
      <w:r w:rsidRPr="00EB34C4">
        <w:rPr>
          <w:rFonts w:ascii="Times New Roman" w:hAnsi="Times New Roman" w:cs="Times New Roman"/>
          <w:sz w:val="24"/>
          <w:szCs w:val="24"/>
          <w:lang w:eastAsia="bg-BG"/>
        </w:rPr>
        <w:t xml:space="preserve">човешкия фактор и </w:t>
      </w:r>
      <w:r w:rsidRPr="00447DF5">
        <w:rPr>
          <w:rFonts w:ascii="Times New Roman" w:hAnsi="Times New Roman" w:cs="Times New Roman"/>
          <w:sz w:val="24"/>
          <w:szCs w:val="24"/>
          <w:lang w:eastAsia="bg-BG"/>
        </w:rPr>
        <w:t>повишават прозрачността на административните процеси.</w:t>
      </w:r>
      <w:r w:rsidRPr="00EB34C4">
        <w:rPr>
          <w:rFonts w:ascii="Times New Roman" w:hAnsi="Times New Roman" w:cs="Times New Roman"/>
          <w:sz w:val="24"/>
          <w:szCs w:val="24"/>
          <w:lang w:eastAsia="bg-BG"/>
        </w:rPr>
        <w:t xml:space="preserve"> </w:t>
      </w:r>
      <w:r w:rsidRPr="00447DF5">
        <w:rPr>
          <w:rFonts w:ascii="Times New Roman" w:hAnsi="Times New Roman" w:cs="Times New Roman"/>
          <w:sz w:val="24"/>
          <w:szCs w:val="24"/>
          <w:lang w:eastAsia="bg-BG"/>
        </w:rPr>
        <w:t xml:space="preserve">Въвеждат </w:t>
      </w:r>
      <w:r w:rsidRPr="00EB34C4">
        <w:rPr>
          <w:rFonts w:ascii="Times New Roman" w:hAnsi="Times New Roman" w:cs="Times New Roman"/>
          <w:sz w:val="24"/>
          <w:szCs w:val="24"/>
          <w:lang w:eastAsia="bg-BG"/>
        </w:rPr>
        <w:t xml:space="preserve"> се видеонаблюдение и други дигитални решения с цел да се ограничат предпоставките за корупционни действия. </w:t>
      </w:r>
      <w:r w:rsidRPr="00447DF5">
        <w:rPr>
          <w:rFonts w:ascii="Times New Roman" w:hAnsi="Times New Roman" w:cs="Times New Roman"/>
          <w:sz w:val="24"/>
          <w:szCs w:val="24"/>
          <w:lang w:eastAsia="bg-BG"/>
        </w:rPr>
        <w:t xml:space="preserve"> Компетентните институции прилагат превантивни и контролни механизми, като напредъкът  се проследява чрез национален и европейски мониторинг. </w:t>
      </w:r>
    </w:p>
    <w:p w14:paraId="7131ADBF" w14:textId="77777777" w:rsidR="00693604" w:rsidRPr="005F49B3" w:rsidRDefault="00693604" w:rsidP="00693604">
      <w:pPr>
        <w:spacing w:after="120" w:line="278" w:lineRule="auto"/>
        <w:ind w:firstLine="851"/>
        <w:jc w:val="both"/>
        <w:rPr>
          <w:rFonts w:ascii="Times New Roman" w:hAnsi="Times New Roman" w:cs="Times New Roman"/>
          <w:sz w:val="24"/>
          <w:szCs w:val="24"/>
          <w:lang w:eastAsia="bg-BG"/>
        </w:rPr>
      </w:pPr>
      <w:r w:rsidRPr="00EB34C4">
        <w:rPr>
          <w:rFonts w:ascii="Times New Roman" w:hAnsi="Times New Roman" w:cs="Times New Roman"/>
          <w:sz w:val="24"/>
          <w:szCs w:val="24"/>
          <w:lang w:eastAsia="bg-BG"/>
        </w:rPr>
        <w:t xml:space="preserve">Разширяването на електронните услуги и дигитализацията на административните процеси са </w:t>
      </w:r>
      <w:r w:rsidRPr="00447DF5">
        <w:rPr>
          <w:rFonts w:ascii="Times New Roman" w:hAnsi="Times New Roman" w:cs="Times New Roman"/>
          <w:sz w:val="24"/>
          <w:szCs w:val="24"/>
          <w:lang w:eastAsia="bg-BG"/>
        </w:rPr>
        <w:t xml:space="preserve">сред основните инструменти за ограничаване на корупционния риск. </w:t>
      </w:r>
      <w:r w:rsidRPr="00EB34C4">
        <w:rPr>
          <w:rFonts w:ascii="Times New Roman" w:hAnsi="Times New Roman" w:cs="Times New Roman"/>
          <w:sz w:val="24"/>
          <w:szCs w:val="24"/>
          <w:lang w:eastAsia="bg-BG"/>
        </w:rPr>
        <w:t>Целесъобразно е намаляване на прякото участие на служители при предоставянето на услуги и контролни функции чрез автоматизация и прозрачност на процедурите</w:t>
      </w:r>
      <w:r w:rsidRPr="00447DF5">
        <w:rPr>
          <w:rFonts w:ascii="Times New Roman" w:hAnsi="Times New Roman" w:cs="Times New Roman"/>
          <w:sz w:val="24"/>
          <w:szCs w:val="24"/>
          <w:lang w:eastAsia="bg-BG"/>
        </w:rPr>
        <w:t>, което способства изграждането на устойчива антикорупционна среда</w:t>
      </w:r>
    </w:p>
    <w:p w14:paraId="377BD02B" w14:textId="77777777" w:rsidR="00A52DA3" w:rsidRPr="00757AC6" w:rsidRDefault="00397B52" w:rsidP="00D6403A">
      <w:pPr>
        <w:pStyle w:val="Heading3"/>
        <w:numPr>
          <w:ilvl w:val="0"/>
          <w:numId w:val="14"/>
        </w:numPr>
        <w:spacing w:line="360" w:lineRule="auto"/>
        <w:rPr>
          <w:rFonts w:ascii="Times New Roman" w:hAnsi="Times New Roman" w:cs="Times New Roman"/>
          <w:b/>
          <w:color w:val="1F4E79" w:themeColor="accent1" w:themeShade="80"/>
          <w:lang w:val="en-US"/>
        </w:rPr>
      </w:pPr>
      <w:bookmarkStart w:id="56" w:name="_Toc208580391"/>
      <w:r w:rsidRPr="00757AC6">
        <w:rPr>
          <w:rFonts w:ascii="Times New Roman" w:hAnsi="Times New Roman" w:cs="Times New Roman"/>
          <w:b/>
          <w:color w:val="1F4E79" w:themeColor="accent1" w:themeShade="80"/>
        </w:rPr>
        <w:t>Организирана престъпност, т</w:t>
      </w:r>
      <w:r w:rsidR="00A52DA3" w:rsidRPr="00757AC6">
        <w:rPr>
          <w:rFonts w:ascii="Times New Roman" w:hAnsi="Times New Roman" w:cs="Times New Roman"/>
          <w:b/>
          <w:color w:val="1F4E79" w:themeColor="accent1" w:themeShade="80"/>
        </w:rPr>
        <w:t>рафик на наркотици и контрабанда</w:t>
      </w:r>
      <w:bookmarkEnd w:id="56"/>
    </w:p>
    <w:p w14:paraId="23EDDB89" w14:textId="77777777" w:rsidR="00397B52" w:rsidRPr="005F49B3" w:rsidRDefault="00397B52" w:rsidP="00D6403A">
      <w:pPr>
        <w:pStyle w:val="NoSpacing"/>
        <w:numPr>
          <w:ilvl w:val="0"/>
          <w:numId w:val="8"/>
        </w:numPr>
        <w:spacing w:after="120" w:line="276" w:lineRule="auto"/>
        <w:jc w:val="both"/>
        <w:rPr>
          <w:rFonts w:ascii="Times New Roman" w:eastAsiaTheme="minorHAnsi" w:hAnsi="Times New Roman" w:cs="Times New Roman"/>
          <w:b/>
          <w:sz w:val="24"/>
          <w:szCs w:val="24"/>
          <w:lang w:val="bg-BG"/>
        </w:rPr>
      </w:pPr>
      <w:bookmarkStart w:id="57" w:name="_Toc136342508"/>
      <w:r w:rsidRPr="005F49B3">
        <w:rPr>
          <w:rFonts w:ascii="Times New Roman" w:eastAsiaTheme="minorHAnsi" w:hAnsi="Times New Roman" w:cs="Times New Roman"/>
          <w:b/>
          <w:sz w:val="24"/>
          <w:szCs w:val="24"/>
          <w:lang w:val="bg-BG"/>
        </w:rPr>
        <w:t xml:space="preserve">През 2024 г. организираната престъпност остава една от най-сериозните заплахи за националната сигурност на България, както поради вътрешната си интензивност, така и поради трансграничните си измерения. </w:t>
      </w:r>
    </w:p>
    <w:p w14:paraId="770BEF68" w14:textId="77777777" w:rsidR="00397B52" w:rsidRPr="005F49B3" w:rsidRDefault="00397B52" w:rsidP="00D6403A">
      <w:pPr>
        <w:pStyle w:val="NoSpacing"/>
        <w:numPr>
          <w:ilvl w:val="0"/>
          <w:numId w:val="8"/>
        </w:numPr>
        <w:spacing w:after="120" w:line="276" w:lineRule="auto"/>
        <w:jc w:val="both"/>
        <w:rPr>
          <w:rFonts w:ascii="Times New Roman" w:eastAsiaTheme="minorHAnsi" w:hAnsi="Times New Roman" w:cs="Times New Roman"/>
          <w:b/>
          <w:sz w:val="24"/>
          <w:szCs w:val="24"/>
          <w:lang w:val="bg-BG"/>
        </w:rPr>
      </w:pPr>
      <w:r w:rsidRPr="005F49B3">
        <w:rPr>
          <w:rFonts w:ascii="Times New Roman" w:eastAsiaTheme="minorHAnsi" w:hAnsi="Times New Roman" w:cs="Times New Roman"/>
          <w:b/>
          <w:sz w:val="24"/>
          <w:szCs w:val="24"/>
          <w:lang w:val="bg-BG"/>
        </w:rPr>
        <w:t xml:space="preserve">Страната ни продължава да бъде активно използвана от престъпни групировки за транзит, складиране, производство и разпространение на незаконни стоки, особено тютюневи изделия, наркотици и фалшифицирани продукти. </w:t>
      </w:r>
    </w:p>
    <w:p w14:paraId="1FEC646A" w14:textId="77777777" w:rsidR="00397B52" w:rsidRPr="005F49B3" w:rsidRDefault="00397B52" w:rsidP="00D6403A">
      <w:pPr>
        <w:pStyle w:val="NoSpacing"/>
        <w:numPr>
          <w:ilvl w:val="0"/>
          <w:numId w:val="8"/>
        </w:numPr>
        <w:spacing w:after="120" w:line="276" w:lineRule="auto"/>
        <w:jc w:val="both"/>
        <w:rPr>
          <w:rFonts w:ascii="Times New Roman" w:eastAsiaTheme="minorHAnsi" w:hAnsi="Times New Roman" w:cs="Times New Roman"/>
          <w:b/>
          <w:sz w:val="24"/>
          <w:szCs w:val="24"/>
          <w:lang w:val="bg-BG"/>
        </w:rPr>
      </w:pPr>
      <w:r w:rsidRPr="005F49B3">
        <w:rPr>
          <w:rFonts w:ascii="Times New Roman" w:eastAsiaTheme="minorHAnsi" w:hAnsi="Times New Roman" w:cs="Times New Roman"/>
          <w:b/>
          <w:sz w:val="24"/>
          <w:szCs w:val="24"/>
          <w:lang w:val="bg-BG"/>
        </w:rPr>
        <w:lastRenderedPageBreak/>
        <w:t xml:space="preserve">Отчита се устойчива тенденция на съчетаване на различни видове престъпна дейност – т.нар. </w:t>
      </w:r>
      <w:proofErr w:type="spellStart"/>
      <w:r w:rsidRPr="005F49B3">
        <w:rPr>
          <w:rFonts w:ascii="Times New Roman" w:eastAsiaTheme="minorHAnsi" w:hAnsi="Times New Roman" w:cs="Times New Roman"/>
          <w:b/>
          <w:sz w:val="24"/>
          <w:szCs w:val="24"/>
          <w:lang w:val="bg-BG"/>
        </w:rPr>
        <w:t>поликриминалност</w:t>
      </w:r>
      <w:proofErr w:type="spellEnd"/>
      <w:r w:rsidRPr="005F49B3">
        <w:rPr>
          <w:rFonts w:ascii="Times New Roman" w:eastAsiaTheme="minorHAnsi" w:hAnsi="Times New Roman" w:cs="Times New Roman"/>
          <w:b/>
          <w:sz w:val="24"/>
          <w:szCs w:val="24"/>
          <w:lang w:val="bg-BG"/>
        </w:rPr>
        <w:t>, както и участие в транснационални схеми, в които български граждани заемат оперативни или логистични роли.</w:t>
      </w:r>
    </w:p>
    <w:p w14:paraId="717B4228" w14:textId="23E33137" w:rsidR="00D076F6" w:rsidRPr="005F49B3" w:rsidRDefault="00D076F6" w:rsidP="00891E30">
      <w:pPr>
        <w:spacing w:after="120"/>
        <w:ind w:firstLine="851"/>
        <w:jc w:val="both"/>
        <w:rPr>
          <w:rFonts w:ascii="Times New Roman" w:hAnsi="Times New Roman" w:cs="Times New Roman"/>
          <w:sz w:val="24"/>
          <w:szCs w:val="24"/>
          <w:lang w:eastAsia="bg-BG"/>
        </w:rPr>
      </w:pPr>
      <w:r w:rsidRPr="00D076F6">
        <w:rPr>
          <w:rFonts w:ascii="Times New Roman" w:hAnsi="Times New Roman" w:cs="Times New Roman"/>
          <w:sz w:val="24"/>
          <w:szCs w:val="24"/>
          <w:lang w:eastAsia="bg-BG"/>
        </w:rPr>
        <w:t>Акцизното законодателство и мерките за контрол остават в центъра на усилията на институциите, като през 2024 г. са пресечени множество схеми за укриване на данъци и контрабанда, включително чрез разкриване на нелегални производствени мощности. Успоредно с това, трафикът на високорискови наркотични вещества и нови психоактивни субстанции бележи засилване, а Република България продължава да бъде използвана като транзитна страна за трафик на синтетични наркотици.</w:t>
      </w:r>
    </w:p>
    <w:p w14:paraId="12E1DFF0" w14:textId="341FD70A" w:rsidR="00397B52" w:rsidRPr="005F49B3" w:rsidRDefault="00397B52" w:rsidP="00D076F6">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Органите за сигурност и правоприлагане осъществяват активни действия по разкриване и неутрализиране на престъпни мрежи, включително чрез международно сътрудничество с партньорски служби.</w:t>
      </w:r>
      <w:r w:rsidR="00D076F6">
        <w:rPr>
          <w:rFonts w:ascii="Times New Roman" w:hAnsi="Times New Roman" w:cs="Times New Roman"/>
          <w:sz w:val="24"/>
          <w:szCs w:val="24"/>
          <w:lang w:eastAsia="bg-BG"/>
        </w:rPr>
        <w:t xml:space="preserve"> </w:t>
      </w:r>
      <w:r w:rsidRPr="005F49B3">
        <w:rPr>
          <w:rFonts w:ascii="Times New Roman" w:hAnsi="Times New Roman" w:cs="Times New Roman"/>
          <w:sz w:val="24"/>
          <w:szCs w:val="24"/>
          <w:lang w:eastAsia="bg-BG"/>
        </w:rPr>
        <w:t>Сред основните рискове се откроява трансграничната организирана престъпност, проявяваща се в трафик на хора, оръжие, наркотици и фалшиви документи. Рисков фактор остава и използването на фалшиви документи при процедурите за придобиване на гражданство.</w:t>
      </w:r>
    </w:p>
    <w:p w14:paraId="7E58B753" w14:textId="77777777" w:rsidR="00397B52" w:rsidRPr="005F49B3" w:rsidRDefault="00397B5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Незаконната търговия с тютюневи изделия продължава да генерира сериозни загуби за държавния бюджет и икономиката, като престъпните групи използват България като транзитна територия, а в някои случаи – и като дестинация за разпространение на нелегална продукция. Митническите нарушения, свързани с избягване на плащане на мита и вносни такси, също остават високо ниво.</w:t>
      </w:r>
    </w:p>
    <w:p w14:paraId="2C7DF3C0" w14:textId="0C5D598F" w:rsidR="00397B52" w:rsidRPr="005F49B3" w:rsidRDefault="00397B5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Нарастващото разнообразие от синтетични наркотици, каналите за онлайн продажба и </w:t>
      </w:r>
      <w:r w:rsidR="00D076F6">
        <w:rPr>
          <w:rFonts w:ascii="Times New Roman" w:hAnsi="Times New Roman" w:cs="Times New Roman"/>
          <w:sz w:val="24"/>
          <w:szCs w:val="24"/>
          <w:lang w:eastAsia="bg-BG"/>
        </w:rPr>
        <w:t>употребата на повече от едно наркотично вещество</w:t>
      </w:r>
      <w:r w:rsidRPr="005F49B3">
        <w:rPr>
          <w:rFonts w:ascii="Times New Roman" w:hAnsi="Times New Roman" w:cs="Times New Roman"/>
          <w:sz w:val="24"/>
          <w:szCs w:val="24"/>
          <w:lang w:eastAsia="bg-BG"/>
        </w:rPr>
        <w:t xml:space="preserve"> представляват сериозен риск за общественото здраве и сигурност. Запазва се производството на канабис и синтетични наркотици на територията на страната, което създава стабилна логистична база за вътрешно потребление и износ.</w:t>
      </w:r>
    </w:p>
    <w:p w14:paraId="76FCC551" w14:textId="2E5F1B5A" w:rsidR="00397B52" w:rsidRPr="005F49B3" w:rsidRDefault="00D076F6" w:rsidP="00891E30">
      <w:pPr>
        <w:spacing w:after="120"/>
        <w:ind w:firstLine="851"/>
        <w:jc w:val="both"/>
        <w:rPr>
          <w:rFonts w:ascii="Times New Roman" w:hAnsi="Times New Roman" w:cs="Times New Roman"/>
          <w:sz w:val="24"/>
          <w:szCs w:val="24"/>
          <w:lang w:eastAsia="bg-BG"/>
        </w:rPr>
      </w:pPr>
      <w:r w:rsidRPr="00D076F6">
        <w:rPr>
          <w:rFonts w:ascii="Times New Roman" w:hAnsi="Times New Roman" w:cs="Times New Roman"/>
          <w:sz w:val="24"/>
          <w:szCs w:val="24"/>
          <w:lang w:eastAsia="bg-BG"/>
        </w:rPr>
        <w:t>Високата доходност от трафика на наркотици продължава да бъде стимул за включване на нови лица в престъпните мрежи. По линията се очертава тревожната тенденция в схемите за разпространение на наркотични вещества да се набират млади хора, предимно непълнолетни, които подлежат на по-ограничена наказателна отговорност, за разлика от останалите участници в престъпните групи.</w:t>
      </w:r>
    </w:p>
    <w:p w14:paraId="6F05670F" w14:textId="25D7B7C5" w:rsidR="00C21A37" w:rsidRPr="005F49B3" w:rsidRDefault="00C21A37" w:rsidP="00891E30">
      <w:pPr>
        <w:spacing w:after="120"/>
        <w:ind w:firstLine="851"/>
        <w:jc w:val="both"/>
        <w:rPr>
          <w:rFonts w:ascii="Times New Roman" w:hAnsi="Times New Roman" w:cs="Times New Roman"/>
          <w:sz w:val="24"/>
          <w:szCs w:val="24"/>
          <w:lang w:eastAsia="bg-BG"/>
        </w:rPr>
      </w:pPr>
      <w:r w:rsidRPr="00C21A37">
        <w:rPr>
          <w:rFonts w:ascii="Times New Roman" w:hAnsi="Times New Roman" w:cs="Times New Roman"/>
          <w:sz w:val="24"/>
          <w:szCs w:val="24"/>
          <w:lang w:eastAsia="bg-BG"/>
        </w:rPr>
        <w:t>През 2024 г. са реализирани значими действия от страна на МВР, ДАНС и Агенция „Митници“ по пресичане на дейността на престъпни структури. Разкрити са две нелегални фабрики за тютюневи изделия. Иззети са над 94 млн. къса цигари, над 10 т марихуана, близо 900  кг  хероин  и  значителни  количества  синтетични  наркотици.  Неутрализирани  са  40 организирани престъпни групи, занимаващи се с трафик и/или разпространение на наркотични вещества</w:t>
      </w:r>
    </w:p>
    <w:p w14:paraId="342C6D21" w14:textId="77777777" w:rsidR="00397B52" w:rsidRPr="005F49B3" w:rsidRDefault="00397B5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ДАНС е идентифицирала и наложила ограничения на над 50 чужденци, свързани с незаконна миграция, а съвместно с МВР са проведени операции за неутрализиране на мрежи за незаконно превеждане на мигранти през границата и осигуряване на нелегален престой. Междуведомственият координационен център за противодействие на контрабандата е организирал 13 специализирани операции в рискови сектори, включително по линията на нефтопродуктите. Активизиран е информационният обмен с чужди партньорски служби като ДЕА, Европол, Интерпол и SELEC, довел до успешни </w:t>
      </w:r>
      <w:r w:rsidRPr="005F49B3">
        <w:rPr>
          <w:rFonts w:ascii="Times New Roman" w:hAnsi="Times New Roman" w:cs="Times New Roman"/>
          <w:sz w:val="24"/>
          <w:szCs w:val="24"/>
          <w:lang w:eastAsia="bg-BG"/>
        </w:rPr>
        <w:lastRenderedPageBreak/>
        <w:t>реализации. Систематично се подобряват методите за оперативен анализ, проследяване на престъпни мрежи и идентифициране на ключови фигури, включително чрез наблюдение на криминалния контингент и анализ на финансовите потоци.</w:t>
      </w:r>
    </w:p>
    <w:p w14:paraId="27635A44" w14:textId="77777777" w:rsidR="00397B52" w:rsidRPr="005F49B3" w:rsidRDefault="00397B5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С оглед високия системен риск, произтичащ от организираната престъпност, е необходимо да се ускори изграждането на национална рамка за стратегическо противодействие на </w:t>
      </w:r>
      <w:proofErr w:type="spellStart"/>
      <w:r w:rsidRPr="005F49B3">
        <w:rPr>
          <w:rFonts w:ascii="Times New Roman" w:hAnsi="Times New Roman" w:cs="Times New Roman"/>
          <w:sz w:val="24"/>
          <w:szCs w:val="24"/>
          <w:lang w:eastAsia="bg-BG"/>
        </w:rPr>
        <w:t>поликриминалността</w:t>
      </w:r>
      <w:proofErr w:type="spellEnd"/>
      <w:r w:rsidRPr="005F49B3">
        <w:rPr>
          <w:rFonts w:ascii="Times New Roman" w:hAnsi="Times New Roman" w:cs="Times New Roman"/>
          <w:sz w:val="24"/>
          <w:szCs w:val="24"/>
          <w:lang w:eastAsia="bg-BG"/>
        </w:rPr>
        <w:t>, с интегриран подход между правоприлагащи, разследващи и финансови органи. Следва да се създаде междусекторна аналитична единица за наблюдение на престъпните икономически модели, с фокус върху трансграничните връзки и ролята на България в глобалните криминални мрежи.</w:t>
      </w:r>
    </w:p>
    <w:p w14:paraId="298A9CED" w14:textId="77777777" w:rsidR="00397B52" w:rsidRPr="005F49B3" w:rsidRDefault="00397B5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Препоръчва се засилване на правната и институционалната рамка за противодействие на трафика на наркотици и контрабандата, включително чрез завишаване на санкциите, разширяване на специализираните екипи и инвестиране в технически и разузнавателни средства за проследяване на вериги на доставки. Особено внимание следва да се обърне на трафика на нови психоактивни субстанции и на онлайн пазарите за наркотици, като се изгради национална система за мониторинг и противодействие.</w:t>
      </w:r>
    </w:p>
    <w:p w14:paraId="45B2E8BE" w14:textId="632368D0" w:rsidR="000A0E0A" w:rsidRDefault="00397B52"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Необходимо е устойчиво укрепване на международното сътрудничество с партньорски служби, чрез оперативни работни групи и обмен на служители, както и участие в съвместни европейски платформи за борба с транснационалната престъпност. Акцент трябва да се постави и върху продължаващо професионално обучение, развитие на профилиращи способности за разкриване на </w:t>
      </w:r>
      <w:proofErr w:type="spellStart"/>
      <w:r w:rsidRPr="005F49B3">
        <w:rPr>
          <w:rFonts w:ascii="Times New Roman" w:hAnsi="Times New Roman" w:cs="Times New Roman"/>
          <w:sz w:val="24"/>
          <w:szCs w:val="24"/>
          <w:lang w:eastAsia="bg-BG"/>
        </w:rPr>
        <w:t>поликриминални</w:t>
      </w:r>
      <w:proofErr w:type="spellEnd"/>
      <w:r w:rsidRPr="005F49B3">
        <w:rPr>
          <w:rFonts w:ascii="Times New Roman" w:hAnsi="Times New Roman" w:cs="Times New Roman"/>
          <w:sz w:val="24"/>
          <w:szCs w:val="24"/>
          <w:lang w:eastAsia="bg-BG"/>
        </w:rPr>
        <w:t xml:space="preserve"> схеми, както и засилване на капацитета за работа с чувствителна информация.</w:t>
      </w:r>
    </w:p>
    <w:p w14:paraId="62630289" w14:textId="77777777" w:rsidR="00693604" w:rsidRPr="005E3227" w:rsidRDefault="00693604" w:rsidP="00693604">
      <w:pPr>
        <w:pStyle w:val="Heading3"/>
        <w:numPr>
          <w:ilvl w:val="0"/>
          <w:numId w:val="14"/>
        </w:numPr>
        <w:tabs>
          <w:tab w:val="num" w:pos="360"/>
        </w:tabs>
        <w:spacing w:line="360" w:lineRule="auto"/>
        <w:ind w:left="0" w:firstLine="0"/>
        <w:rPr>
          <w:rFonts w:ascii="Times New Roman" w:hAnsi="Times New Roman" w:cs="Times New Roman"/>
          <w:b/>
          <w:color w:val="1F4E79" w:themeColor="accent1" w:themeShade="80"/>
        </w:rPr>
      </w:pPr>
      <w:bookmarkStart w:id="58" w:name="_Toc208580392"/>
      <w:r w:rsidRPr="005E3227">
        <w:rPr>
          <w:rFonts w:ascii="Times New Roman" w:hAnsi="Times New Roman" w:cs="Times New Roman"/>
          <w:b/>
          <w:color w:val="1F4E79" w:themeColor="accent1" w:themeShade="80"/>
        </w:rPr>
        <w:t>Конвенционална престъпност</w:t>
      </w:r>
      <w:bookmarkEnd w:id="58"/>
    </w:p>
    <w:p w14:paraId="0B653011" w14:textId="77777777" w:rsidR="00693604" w:rsidRPr="00957D18" w:rsidRDefault="00693604" w:rsidP="00693604">
      <w:pPr>
        <w:pStyle w:val="NoSpacing"/>
        <w:numPr>
          <w:ilvl w:val="0"/>
          <w:numId w:val="9"/>
        </w:numPr>
        <w:spacing w:after="120" w:line="276" w:lineRule="auto"/>
        <w:ind w:left="714" w:hanging="357"/>
        <w:contextualSpacing/>
        <w:jc w:val="both"/>
        <w:rPr>
          <w:rFonts w:ascii="Times New Roman" w:eastAsiaTheme="minorHAnsi" w:hAnsi="Times New Roman" w:cs="Times New Roman"/>
          <w:b/>
          <w:bCs/>
          <w:sz w:val="24"/>
          <w:szCs w:val="24"/>
          <w:lang w:val="bg-BG" w:eastAsia="bg-BG"/>
        </w:rPr>
      </w:pPr>
      <w:r w:rsidRPr="00957D18">
        <w:rPr>
          <w:rFonts w:ascii="Times New Roman" w:eastAsiaTheme="minorHAnsi" w:hAnsi="Times New Roman" w:cs="Times New Roman"/>
          <w:b/>
          <w:bCs/>
          <w:sz w:val="24"/>
          <w:szCs w:val="24"/>
          <w:lang w:val="bg-BG" w:eastAsia="bg-BG"/>
        </w:rPr>
        <w:t xml:space="preserve">През 2024 г. в страната са регистрирани общо 74 709 престъпления против личността и собствеността на гражданите, което представлява увеличение с 2,2% спрямо предходната година. </w:t>
      </w:r>
    </w:p>
    <w:p w14:paraId="43F1BE0A" w14:textId="77777777" w:rsidR="00693604" w:rsidRPr="00957D18" w:rsidRDefault="00693604" w:rsidP="00693604">
      <w:pPr>
        <w:pStyle w:val="NoSpacing"/>
        <w:numPr>
          <w:ilvl w:val="0"/>
          <w:numId w:val="9"/>
        </w:numPr>
        <w:spacing w:after="120" w:line="276" w:lineRule="auto"/>
        <w:ind w:left="714" w:hanging="357"/>
        <w:contextualSpacing/>
        <w:jc w:val="both"/>
        <w:rPr>
          <w:rFonts w:ascii="Times New Roman" w:eastAsiaTheme="minorHAnsi" w:hAnsi="Times New Roman" w:cs="Times New Roman"/>
          <w:b/>
          <w:bCs/>
          <w:sz w:val="24"/>
          <w:szCs w:val="24"/>
          <w:lang w:val="bg-BG" w:eastAsia="bg-BG"/>
        </w:rPr>
      </w:pPr>
      <w:r w:rsidRPr="00957D18">
        <w:rPr>
          <w:rFonts w:ascii="Times New Roman" w:eastAsiaTheme="minorHAnsi" w:hAnsi="Times New Roman" w:cs="Times New Roman"/>
          <w:b/>
          <w:bCs/>
          <w:sz w:val="24"/>
          <w:szCs w:val="24"/>
          <w:lang w:val="bg-BG" w:eastAsia="bg-BG"/>
        </w:rPr>
        <w:t>Понижава се нивото на разкриваемост – 49,5% при 52,6% през 2023 г., което очертава тенденция към засилване на натиска върху правоприлагащата система, като същевременно се поставя въпросът за ефективността на превантивните и оперативни действия.</w:t>
      </w:r>
    </w:p>
    <w:p w14:paraId="2C145283" w14:textId="77777777" w:rsidR="00693604" w:rsidRPr="00957D18" w:rsidRDefault="00693604" w:rsidP="00693604">
      <w:pPr>
        <w:pStyle w:val="NoSpacing"/>
        <w:numPr>
          <w:ilvl w:val="0"/>
          <w:numId w:val="9"/>
        </w:numPr>
        <w:spacing w:after="120" w:line="276" w:lineRule="auto"/>
        <w:ind w:left="714" w:hanging="357"/>
        <w:contextualSpacing/>
        <w:jc w:val="both"/>
        <w:rPr>
          <w:rFonts w:ascii="Times New Roman" w:eastAsiaTheme="minorHAnsi" w:hAnsi="Times New Roman" w:cs="Times New Roman"/>
          <w:b/>
          <w:bCs/>
          <w:sz w:val="24"/>
          <w:szCs w:val="24"/>
          <w:lang w:val="bg-BG" w:eastAsia="bg-BG"/>
        </w:rPr>
      </w:pPr>
      <w:r w:rsidRPr="00957D18">
        <w:rPr>
          <w:rFonts w:ascii="Times New Roman" w:eastAsiaTheme="minorHAnsi" w:hAnsi="Times New Roman" w:cs="Times New Roman"/>
          <w:b/>
          <w:bCs/>
          <w:sz w:val="24"/>
          <w:szCs w:val="24"/>
          <w:lang w:val="bg-BG" w:eastAsia="bg-BG"/>
        </w:rPr>
        <w:t xml:space="preserve">Основен приоритет остава ограничаването на престъпленията срещу собствеността и телесната неприкосновеност на гражданите, като усилията са насочени към рискови групи – както извършители, така и потенциални жертви. </w:t>
      </w:r>
    </w:p>
    <w:p w14:paraId="22AE2D01" w14:textId="77777777" w:rsidR="00693604" w:rsidRPr="00957D18" w:rsidRDefault="00693604" w:rsidP="00693604">
      <w:pPr>
        <w:spacing w:after="120"/>
        <w:ind w:firstLine="851"/>
        <w:jc w:val="both"/>
        <w:rPr>
          <w:rFonts w:ascii="Times New Roman" w:hAnsi="Times New Roman" w:cs="Times New Roman"/>
          <w:sz w:val="24"/>
          <w:szCs w:val="24"/>
          <w:lang w:eastAsia="bg-BG"/>
        </w:rPr>
      </w:pPr>
      <w:r w:rsidRPr="00957D18">
        <w:rPr>
          <w:rFonts w:ascii="Times New Roman" w:hAnsi="Times New Roman" w:cs="Times New Roman"/>
          <w:sz w:val="24"/>
          <w:szCs w:val="24"/>
          <w:lang w:eastAsia="bg-BG"/>
        </w:rPr>
        <w:t>Формирането и активността на нови престъпни групи, включително такива с локално влияние, създават среда на безнаказаност, особено при наличие на знакови фигури, които демонстрират влияние и контрол върху местната среда. Използването на нови престъпни схеми и манипулации върху уязвими групи от населението допълнително затруднява превенцията.</w:t>
      </w:r>
    </w:p>
    <w:p w14:paraId="0F0148CC" w14:textId="77777777" w:rsidR="00693604" w:rsidRPr="00957D18" w:rsidRDefault="00693604" w:rsidP="00693604">
      <w:pPr>
        <w:spacing w:after="120"/>
        <w:ind w:firstLine="851"/>
        <w:jc w:val="both"/>
        <w:rPr>
          <w:rFonts w:ascii="Times New Roman" w:hAnsi="Times New Roman" w:cs="Times New Roman"/>
          <w:sz w:val="24"/>
          <w:szCs w:val="24"/>
          <w:lang w:eastAsia="bg-BG"/>
        </w:rPr>
      </w:pPr>
      <w:r w:rsidRPr="00957D18">
        <w:rPr>
          <w:rFonts w:ascii="Times New Roman" w:hAnsi="Times New Roman" w:cs="Times New Roman"/>
          <w:sz w:val="24"/>
          <w:szCs w:val="24"/>
          <w:lang w:eastAsia="bg-BG"/>
        </w:rPr>
        <w:t>През 2024 г. е изпълняван План за противодействие на конвенционалната престъпност, с акцент върху повишаване ефективността на полицейската дейност и подобряване на оперативната обстановка.</w:t>
      </w:r>
    </w:p>
    <w:p w14:paraId="3F526DE3" w14:textId="77777777" w:rsidR="00693604" w:rsidRPr="00957D18" w:rsidRDefault="00693604" w:rsidP="00693604">
      <w:pPr>
        <w:spacing w:after="120"/>
        <w:ind w:firstLine="851"/>
        <w:jc w:val="both"/>
        <w:rPr>
          <w:rFonts w:ascii="Times New Roman" w:hAnsi="Times New Roman" w:cs="Times New Roman"/>
          <w:sz w:val="24"/>
          <w:szCs w:val="24"/>
          <w:lang w:eastAsia="bg-BG"/>
        </w:rPr>
      </w:pPr>
      <w:r w:rsidRPr="00957D18">
        <w:rPr>
          <w:rFonts w:ascii="Times New Roman" w:hAnsi="Times New Roman" w:cs="Times New Roman"/>
          <w:sz w:val="24"/>
          <w:szCs w:val="24"/>
          <w:lang w:eastAsia="bg-BG"/>
        </w:rPr>
        <w:lastRenderedPageBreak/>
        <w:t>Оперативната работа се фокусира върху своевременна реакция при всеки отделен случай, провеждане на наблюдение върху новоизградени престъпни групи и контрол над криминално проявени лица. Извършва се системен анализ на прилаганите схеми с цел идентифициране и предупреждение на потенциалните жертви чрез информационни кампании.</w:t>
      </w:r>
    </w:p>
    <w:p w14:paraId="584E64A5" w14:textId="77777777" w:rsidR="00693604" w:rsidRPr="00957D18" w:rsidRDefault="00693604" w:rsidP="00693604">
      <w:pPr>
        <w:spacing w:after="120"/>
        <w:ind w:firstLine="851"/>
        <w:jc w:val="both"/>
        <w:rPr>
          <w:rFonts w:ascii="Times New Roman" w:hAnsi="Times New Roman" w:cs="Times New Roman"/>
          <w:sz w:val="24"/>
          <w:szCs w:val="24"/>
          <w:lang w:eastAsia="bg-BG"/>
        </w:rPr>
      </w:pPr>
      <w:r w:rsidRPr="00957D18">
        <w:rPr>
          <w:rFonts w:ascii="Times New Roman" w:hAnsi="Times New Roman" w:cs="Times New Roman"/>
          <w:sz w:val="24"/>
          <w:szCs w:val="24"/>
          <w:lang w:eastAsia="bg-BG"/>
        </w:rPr>
        <w:t>Продължава реализирането на практиката за регулярни полицейски посещения и приемни в малки населени места без постоянно полицейско присъствие. Провеждат се съвместни действия с други институции при възникнали кризисни ситуации и масови прояви, с цел гарантиране на обществения ред и безопасността на гражданите.</w:t>
      </w:r>
    </w:p>
    <w:p w14:paraId="5277FD36" w14:textId="77777777" w:rsidR="00693604" w:rsidRPr="00957D18" w:rsidRDefault="00693604" w:rsidP="00693604">
      <w:pPr>
        <w:spacing w:after="120"/>
        <w:ind w:firstLine="851"/>
        <w:jc w:val="both"/>
        <w:rPr>
          <w:rFonts w:ascii="Times New Roman" w:hAnsi="Times New Roman" w:cs="Times New Roman"/>
          <w:sz w:val="24"/>
          <w:szCs w:val="24"/>
          <w:lang w:eastAsia="bg-BG"/>
        </w:rPr>
      </w:pPr>
      <w:r w:rsidRPr="00957D18">
        <w:rPr>
          <w:rFonts w:ascii="Times New Roman" w:hAnsi="Times New Roman" w:cs="Times New Roman"/>
          <w:sz w:val="24"/>
          <w:szCs w:val="24"/>
          <w:lang w:eastAsia="bg-BG"/>
        </w:rPr>
        <w:t>Необходимо е да се ускори развитието на системен подход за борба с конвенционалната престъпност чрез задълбочено взаимодействие между МВР, местната власт и структурите на гражданското общество. Препоръчва се разширяване на програмите за обучение и техническа подготовка на служителите, включително в областта на криминален анализ и работа с уязвими групи.</w:t>
      </w:r>
    </w:p>
    <w:p w14:paraId="6039D057" w14:textId="77777777" w:rsidR="00693604" w:rsidRPr="00957D18" w:rsidRDefault="00693604" w:rsidP="00693604">
      <w:pPr>
        <w:spacing w:after="120"/>
        <w:ind w:firstLine="851"/>
        <w:jc w:val="both"/>
        <w:rPr>
          <w:rFonts w:ascii="Times New Roman" w:hAnsi="Times New Roman" w:cs="Times New Roman"/>
          <w:sz w:val="24"/>
          <w:szCs w:val="24"/>
          <w:lang w:eastAsia="bg-BG"/>
        </w:rPr>
      </w:pPr>
      <w:r w:rsidRPr="00957D18">
        <w:rPr>
          <w:rFonts w:ascii="Times New Roman" w:hAnsi="Times New Roman" w:cs="Times New Roman"/>
          <w:sz w:val="24"/>
          <w:szCs w:val="24"/>
          <w:lang w:eastAsia="bg-BG"/>
        </w:rPr>
        <w:t>Следва да се разшири обхватът на регулярните териториални анализи, включително по отношение на демографските и социални фактори, влияещи върху престъпността, както и да се повиши капацитетът за превенция чрез навременна идентификация на рискови зони и лица.</w:t>
      </w:r>
    </w:p>
    <w:p w14:paraId="5B211996" w14:textId="38B29C80" w:rsidR="00693604" w:rsidRPr="005F49B3" w:rsidRDefault="00693604" w:rsidP="00693604">
      <w:pPr>
        <w:spacing w:after="120"/>
        <w:ind w:firstLine="851"/>
        <w:jc w:val="both"/>
        <w:rPr>
          <w:rFonts w:ascii="Times New Roman" w:hAnsi="Times New Roman" w:cs="Times New Roman"/>
          <w:sz w:val="24"/>
          <w:szCs w:val="24"/>
          <w:lang w:eastAsia="bg-BG"/>
        </w:rPr>
      </w:pPr>
      <w:r>
        <w:rPr>
          <w:rFonts w:ascii="Times New Roman" w:hAnsi="Times New Roman" w:cs="Times New Roman"/>
          <w:sz w:val="24"/>
          <w:szCs w:val="24"/>
          <w:lang w:eastAsia="bg-BG"/>
        </w:rPr>
        <w:t>Повишаването</w:t>
      </w:r>
      <w:r w:rsidRPr="00957D18">
        <w:rPr>
          <w:rFonts w:ascii="Times New Roman" w:hAnsi="Times New Roman" w:cs="Times New Roman"/>
          <w:sz w:val="24"/>
          <w:szCs w:val="24"/>
          <w:lang w:eastAsia="bg-BG"/>
        </w:rPr>
        <w:t xml:space="preserve"> на усещането за сигурност в обществото изисква както прозрачност и отчетност в дейността на МВР, така и </w:t>
      </w:r>
      <w:r>
        <w:rPr>
          <w:rFonts w:ascii="Times New Roman" w:hAnsi="Times New Roman" w:cs="Times New Roman"/>
          <w:sz w:val="24"/>
          <w:szCs w:val="24"/>
          <w:lang w:eastAsia="bg-BG"/>
        </w:rPr>
        <w:t>активни действия</w:t>
      </w:r>
      <w:r w:rsidRPr="00957D18">
        <w:rPr>
          <w:rFonts w:ascii="Times New Roman" w:hAnsi="Times New Roman" w:cs="Times New Roman"/>
          <w:sz w:val="24"/>
          <w:szCs w:val="24"/>
          <w:lang w:eastAsia="bg-BG"/>
        </w:rPr>
        <w:t xml:space="preserve"> в разкриването на престъпления и намаляване на тяхната </w:t>
      </w:r>
      <w:proofErr w:type="spellStart"/>
      <w:r w:rsidRPr="00957D18">
        <w:rPr>
          <w:rFonts w:ascii="Times New Roman" w:hAnsi="Times New Roman" w:cs="Times New Roman"/>
          <w:sz w:val="24"/>
          <w:szCs w:val="24"/>
          <w:lang w:eastAsia="bg-BG"/>
        </w:rPr>
        <w:t>повтаряемост</w:t>
      </w:r>
      <w:proofErr w:type="spellEnd"/>
      <w:r w:rsidRPr="00957D18">
        <w:rPr>
          <w:rFonts w:ascii="Times New Roman" w:hAnsi="Times New Roman" w:cs="Times New Roman"/>
          <w:sz w:val="24"/>
          <w:szCs w:val="24"/>
          <w:lang w:eastAsia="bg-BG"/>
        </w:rPr>
        <w:t>. Особено важно е институционално да се адресира проблемът с</w:t>
      </w:r>
      <w:r>
        <w:rPr>
          <w:rFonts w:ascii="Times New Roman" w:hAnsi="Times New Roman" w:cs="Times New Roman"/>
          <w:sz w:val="24"/>
          <w:szCs w:val="24"/>
          <w:lang w:eastAsia="bg-BG"/>
        </w:rPr>
        <w:t>ъс</w:t>
      </w:r>
      <w:r w:rsidRPr="00957D18">
        <w:rPr>
          <w:rFonts w:ascii="Times New Roman" w:hAnsi="Times New Roman" w:cs="Times New Roman"/>
          <w:sz w:val="24"/>
          <w:szCs w:val="24"/>
          <w:lang w:eastAsia="bg-BG"/>
        </w:rPr>
        <w:t xml:space="preserve"> "знаковите" криминални фигури, като се осигури видим и ефективен институционален отговор, който да </w:t>
      </w:r>
      <w:r>
        <w:rPr>
          <w:rFonts w:ascii="Times New Roman" w:hAnsi="Times New Roman" w:cs="Times New Roman"/>
          <w:sz w:val="24"/>
          <w:szCs w:val="24"/>
          <w:lang w:eastAsia="bg-BG"/>
        </w:rPr>
        <w:t>повиши</w:t>
      </w:r>
      <w:r w:rsidRPr="00957D18">
        <w:rPr>
          <w:rFonts w:ascii="Times New Roman" w:hAnsi="Times New Roman" w:cs="Times New Roman"/>
          <w:sz w:val="24"/>
          <w:szCs w:val="24"/>
          <w:lang w:eastAsia="bg-BG"/>
        </w:rPr>
        <w:t xml:space="preserve"> доверието на гражданите в способността на държавата да защитава личната и имуществена неприкосновеност.</w:t>
      </w:r>
    </w:p>
    <w:p w14:paraId="7B97A726" w14:textId="77777777" w:rsidR="00EA38B0" w:rsidRPr="00757AC6" w:rsidRDefault="00EA38B0" w:rsidP="00D6403A">
      <w:pPr>
        <w:pStyle w:val="Heading3"/>
        <w:numPr>
          <w:ilvl w:val="0"/>
          <w:numId w:val="14"/>
        </w:numPr>
        <w:spacing w:after="120"/>
        <w:rPr>
          <w:rFonts w:ascii="Times New Roman" w:hAnsi="Times New Roman" w:cs="Times New Roman"/>
          <w:b/>
          <w:color w:val="1F4E79" w:themeColor="accent1" w:themeShade="80"/>
        </w:rPr>
      </w:pPr>
      <w:bookmarkStart w:id="59" w:name="_Toc208580393"/>
      <w:bookmarkEnd w:id="57"/>
      <w:r w:rsidRPr="00757AC6">
        <w:rPr>
          <w:rFonts w:ascii="Times New Roman" w:hAnsi="Times New Roman" w:cs="Times New Roman"/>
          <w:b/>
          <w:color w:val="1F4E79" w:themeColor="accent1" w:themeShade="80"/>
        </w:rPr>
        <w:t>Сигурност в сектор „Транспорт и транспортна инфраструктура“</w:t>
      </w:r>
      <w:bookmarkStart w:id="60" w:name="_Toc136342510"/>
      <w:bookmarkEnd w:id="59"/>
    </w:p>
    <w:bookmarkEnd w:id="60"/>
    <w:p w14:paraId="4E300AE9" w14:textId="77777777" w:rsidR="00E8735E" w:rsidRDefault="00E8735E" w:rsidP="00D6403A">
      <w:pPr>
        <w:pStyle w:val="NormalWeb"/>
        <w:numPr>
          <w:ilvl w:val="0"/>
          <w:numId w:val="7"/>
        </w:numPr>
        <w:spacing w:before="0" w:beforeAutospacing="0" w:after="120" w:afterAutospacing="0" w:line="276" w:lineRule="auto"/>
        <w:jc w:val="both"/>
        <w:rPr>
          <w:b/>
        </w:rPr>
      </w:pPr>
      <w:r w:rsidRPr="005F49B3">
        <w:rPr>
          <w:b/>
        </w:rPr>
        <w:t>Настоящата геополитическа ситуация налага развитието на алтернативни транспортни коридори, което засилва значението на България като логистичен център между Европа, Азия и Близкия изток.</w:t>
      </w:r>
    </w:p>
    <w:p w14:paraId="710B5CEC" w14:textId="33D861D7" w:rsidR="00666D9F" w:rsidRDefault="00666D9F" w:rsidP="00666D9F">
      <w:pPr>
        <w:pStyle w:val="NormalWeb"/>
        <w:numPr>
          <w:ilvl w:val="0"/>
          <w:numId w:val="7"/>
        </w:numPr>
        <w:spacing w:before="0" w:beforeAutospacing="0" w:after="120" w:afterAutospacing="0" w:line="276" w:lineRule="auto"/>
        <w:ind w:left="714" w:hanging="357"/>
        <w:jc w:val="both"/>
        <w:rPr>
          <w:b/>
        </w:rPr>
      </w:pPr>
      <w:r w:rsidRPr="005F49B3">
        <w:rPr>
          <w:b/>
        </w:rPr>
        <w:t>Налице е институционален напредък по реализирането на ключови инфраструктурни проекти, в т.ч. в контекста на трансграничната свързаност и военната мобилност, както и прилагане на технологични решения за повишаване на безопасността на пътната мрежа.</w:t>
      </w:r>
    </w:p>
    <w:p w14:paraId="2F0DB2FA" w14:textId="77777777" w:rsidR="00666D9F" w:rsidRPr="00666D9F" w:rsidRDefault="00666D9F" w:rsidP="00666D9F">
      <w:pPr>
        <w:pStyle w:val="NormalWeb"/>
        <w:numPr>
          <w:ilvl w:val="0"/>
          <w:numId w:val="7"/>
        </w:numPr>
        <w:spacing w:before="0" w:beforeAutospacing="0" w:after="120" w:afterAutospacing="0" w:line="276" w:lineRule="auto"/>
        <w:ind w:left="714" w:hanging="357"/>
        <w:jc w:val="both"/>
        <w:rPr>
          <w:b/>
        </w:rPr>
      </w:pPr>
      <w:r w:rsidRPr="00666D9F">
        <w:rPr>
          <w:b/>
        </w:rPr>
        <w:t>Рискове за морската сигурност, нерегламентиран превоз, фалшификации и контрабандни канали, включително чрез използване на безпилотни летателни системи, също допринасят за комплексна заплаха в сектора.</w:t>
      </w:r>
    </w:p>
    <w:p w14:paraId="6CE7A27E" w14:textId="77777777" w:rsidR="00666D9F" w:rsidRDefault="00666D9F" w:rsidP="00666D9F">
      <w:pPr>
        <w:pStyle w:val="NormalWeb"/>
        <w:numPr>
          <w:ilvl w:val="0"/>
          <w:numId w:val="7"/>
        </w:numPr>
        <w:spacing w:before="0" w:beforeAutospacing="0" w:after="120" w:afterAutospacing="0" w:line="276" w:lineRule="auto"/>
        <w:ind w:left="714" w:hanging="357"/>
        <w:jc w:val="both"/>
        <w:rPr>
          <w:b/>
        </w:rPr>
      </w:pPr>
      <w:r w:rsidRPr="005F49B3">
        <w:rPr>
          <w:b/>
        </w:rPr>
        <w:t xml:space="preserve">Въпреки реализираните усилия, нивото на пътнотранспортния травматизъм в страната остава високо, а транспортният сектор продължава да бъде изложен на системни предизвикателства, както в сферата на пътната безопасност, така и по отношение на сигурността на ключови инфраструктурни обекти. </w:t>
      </w:r>
    </w:p>
    <w:p w14:paraId="38B6B1BF" w14:textId="77777777" w:rsidR="00666D9F" w:rsidRDefault="0041749A" w:rsidP="00666D9F">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lastRenderedPageBreak/>
        <w:t xml:space="preserve">Основен рисков фактор остава високото ниво на пътнотранспортен травматизъм, включително с участие на уязвими участници като пешеходци, деца и нови водачи. Увеличението на инцидентите с </w:t>
      </w:r>
      <w:r>
        <w:rPr>
          <w:rFonts w:ascii="Times New Roman" w:hAnsi="Times New Roman" w:cs="Times New Roman"/>
          <w:sz w:val="24"/>
          <w:szCs w:val="24"/>
          <w:lang w:eastAsia="bg-BG"/>
        </w:rPr>
        <w:t>индивидуални</w:t>
      </w:r>
      <w:r w:rsidRPr="005F49B3">
        <w:rPr>
          <w:rFonts w:ascii="Times New Roman" w:hAnsi="Times New Roman" w:cs="Times New Roman"/>
          <w:sz w:val="24"/>
          <w:szCs w:val="24"/>
          <w:lang w:eastAsia="bg-BG"/>
        </w:rPr>
        <w:t xml:space="preserve"> електрически </w:t>
      </w:r>
      <w:r>
        <w:rPr>
          <w:rFonts w:ascii="Times New Roman" w:hAnsi="Times New Roman" w:cs="Times New Roman"/>
          <w:sz w:val="24"/>
          <w:szCs w:val="24"/>
          <w:lang w:eastAsia="bg-BG"/>
        </w:rPr>
        <w:t>превозни средства</w:t>
      </w:r>
      <w:r w:rsidRPr="005F49B3">
        <w:rPr>
          <w:rFonts w:ascii="Times New Roman" w:hAnsi="Times New Roman" w:cs="Times New Roman"/>
          <w:sz w:val="24"/>
          <w:szCs w:val="24"/>
          <w:lang w:eastAsia="bg-BG"/>
        </w:rPr>
        <w:t xml:space="preserve"> и липсата на системен контрол върху тяхната употреба също формират ново предизвикателство за безопасността. </w:t>
      </w:r>
      <w:r w:rsidR="00E8735E" w:rsidRPr="005F49B3">
        <w:rPr>
          <w:rFonts w:ascii="Times New Roman" w:hAnsi="Times New Roman" w:cs="Times New Roman"/>
          <w:sz w:val="24"/>
          <w:szCs w:val="24"/>
          <w:lang w:eastAsia="bg-BG"/>
        </w:rPr>
        <w:t xml:space="preserve">Недостатъчната интеграция между транспортно и градоустройствено планиране води до рискове в гъстонаселени райони, където липсват цялостни концепции за безопасна мобилност. Продължаващата експлоатация на пътни участъци с висока концентрация на произшествия влошава общата картина. Наред с това, нарастването на тежкотоварния трафик, включително транзитен, особено в Северна България, увеличава натоварването на неподходяща инфраструктура, създавайки условия за пътни инциденти и влошена мобилност. </w:t>
      </w:r>
      <w:r w:rsidRPr="00924366">
        <w:rPr>
          <w:rFonts w:ascii="Times New Roman" w:hAnsi="Times New Roman" w:cs="Times New Roman"/>
          <w:sz w:val="24"/>
          <w:szCs w:val="24"/>
          <w:lang w:eastAsia="bg-BG"/>
        </w:rPr>
        <w:t xml:space="preserve">В допълнение, стратегическата мобилност е затруднена от забавено изпълнение на проекти </w:t>
      </w:r>
      <w:r>
        <w:rPr>
          <w:rFonts w:ascii="Times New Roman" w:hAnsi="Times New Roman" w:cs="Times New Roman"/>
          <w:sz w:val="24"/>
          <w:szCs w:val="24"/>
          <w:lang w:eastAsia="bg-BG"/>
        </w:rPr>
        <w:t>за развитие и модернизация на транспортната инфраструктура</w:t>
      </w:r>
      <w:r w:rsidRPr="00924366">
        <w:rPr>
          <w:rFonts w:ascii="Times New Roman" w:hAnsi="Times New Roman" w:cs="Times New Roman"/>
          <w:sz w:val="24"/>
          <w:szCs w:val="24"/>
          <w:lang w:eastAsia="bg-BG"/>
        </w:rPr>
        <w:t xml:space="preserve">, което </w:t>
      </w:r>
      <w:r>
        <w:rPr>
          <w:rFonts w:ascii="Times New Roman" w:hAnsi="Times New Roman" w:cs="Times New Roman"/>
          <w:sz w:val="24"/>
          <w:szCs w:val="24"/>
          <w:lang w:eastAsia="bg-BG"/>
        </w:rPr>
        <w:t xml:space="preserve">би </w:t>
      </w:r>
      <w:r w:rsidRPr="00924366">
        <w:rPr>
          <w:rFonts w:ascii="Times New Roman" w:hAnsi="Times New Roman" w:cs="Times New Roman"/>
          <w:sz w:val="24"/>
          <w:szCs w:val="24"/>
          <w:lang w:eastAsia="bg-BG"/>
        </w:rPr>
        <w:t>огранич</w:t>
      </w:r>
      <w:r>
        <w:rPr>
          <w:rFonts w:ascii="Times New Roman" w:hAnsi="Times New Roman" w:cs="Times New Roman"/>
          <w:sz w:val="24"/>
          <w:szCs w:val="24"/>
          <w:lang w:eastAsia="bg-BG"/>
        </w:rPr>
        <w:t>ило</w:t>
      </w:r>
      <w:r w:rsidRPr="00924366">
        <w:rPr>
          <w:rFonts w:ascii="Times New Roman" w:hAnsi="Times New Roman" w:cs="Times New Roman"/>
          <w:sz w:val="24"/>
          <w:szCs w:val="24"/>
          <w:lang w:eastAsia="bg-BG"/>
        </w:rPr>
        <w:t xml:space="preserve"> способността за реакция при кризи.</w:t>
      </w:r>
      <w:r w:rsidRPr="005F49B3">
        <w:rPr>
          <w:rFonts w:ascii="Times New Roman" w:hAnsi="Times New Roman" w:cs="Times New Roman"/>
          <w:sz w:val="24"/>
          <w:szCs w:val="24"/>
          <w:lang w:eastAsia="bg-BG"/>
        </w:rPr>
        <w:t xml:space="preserve"> </w:t>
      </w:r>
    </w:p>
    <w:p w14:paraId="6F07B696" w14:textId="459D258F" w:rsidR="0041749A" w:rsidRPr="0041749A" w:rsidRDefault="0041749A" w:rsidP="00666D9F">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Рискове за морската сигурност, нерегламентиран превоз, фалшификации и контрабандни канали, включително чрез използване на безпилотни летателни системи, също допринасят за комплексна заплаха в сектора.</w:t>
      </w:r>
      <w:r>
        <w:rPr>
          <w:rFonts w:ascii="Times New Roman" w:hAnsi="Times New Roman" w:cs="Times New Roman"/>
          <w:sz w:val="24"/>
          <w:szCs w:val="24"/>
          <w:lang w:eastAsia="bg-BG"/>
        </w:rPr>
        <w:t xml:space="preserve"> </w:t>
      </w:r>
      <w:r w:rsidRPr="0041749A">
        <w:rPr>
          <w:rFonts w:ascii="Times New Roman" w:hAnsi="Times New Roman" w:cs="Times New Roman"/>
          <w:sz w:val="24"/>
          <w:szCs w:val="24"/>
          <w:lang w:eastAsia="bg-BG"/>
        </w:rPr>
        <w:t>Установените за черноморския регион заплахи и произтичащите от тях рискове са</w:t>
      </w:r>
      <w:r>
        <w:rPr>
          <w:rFonts w:ascii="Times New Roman" w:hAnsi="Times New Roman" w:cs="Times New Roman"/>
          <w:sz w:val="24"/>
          <w:szCs w:val="24"/>
          <w:lang w:eastAsia="bg-BG"/>
        </w:rPr>
        <w:t xml:space="preserve"> както следва</w:t>
      </w:r>
      <w:r w:rsidRPr="0041749A">
        <w:rPr>
          <w:rFonts w:ascii="Times New Roman" w:hAnsi="Times New Roman" w:cs="Times New Roman"/>
          <w:sz w:val="24"/>
          <w:szCs w:val="24"/>
          <w:lang w:eastAsia="bg-BG"/>
        </w:rPr>
        <w:t>:</w:t>
      </w:r>
    </w:p>
    <w:p w14:paraId="15F48E82" w14:textId="7DBCCEA2" w:rsidR="0041749A" w:rsidRPr="0041749A" w:rsidRDefault="0041749A" w:rsidP="0041749A">
      <w:pPr>
        <w:pStyle w:val="ListParagraph"/>
        <w:numPr>
          <w:ilvl w:val="0"/>
          <w:numId w:val="57"/>
        </w:numPr>
        <w:spacing w:after="120"/>
        <w:jc w:val="both"/>
        <w:rPr>
          <w:rFonts w:ascii="Times New Roman" w:hAnsi="Times New Roman" w:cs="Times New Roman"/>
          <w:i/>
          <w:iCs/>
          <w:sz w:val="24"/>
          <w:szCs w:val="24"/>
          <w:lang w:eastAsia="bg-BG"/>
        </w:rPr>
      </w:pPr>
      <w:r w:rsidRPr="0041749A">
        <w:rPr>
          <w:rFonts w:ascii="Times New Roman" w:hAnsi="Times New Roman" w:cs="Times New Roman"/>
          <w:i/>
          <w:iCs/>
          <w:sz w:val="24"/>
          <w:szCs w:val="24"/>
          <w:lang w:eastAsia="bg-BG"/>
        </w:rPr>
        <w:t>Възможни актове на външна агресия, вкл. във връзка с морски спорове, заплахи за суверенните права на държавите членки или въоръжени конфликти;</w:t>
      </w:r>
    </w:p>
    <w:p w14:paraId="620BC7FF" w14:textId="6D7D0481" w:rsidR="0041749A" w:rsidRPr="0041749A" w:rsidRDefault="0041749A" w:rsidP="0041749A">
      <w:pPr>
        <w:pStyle w:val="ListParagraph"/>
        <w:numPr>
          <w:ilvl w:val="0"/>
          <w:numId w:val="57"/>
        </w:numPr>
        <w:spacing w:after="120"/>
        <w:jc w:val="both"/>
        <w:rPr>
          <w:rFonts w:ascii="Times New Roman" w:hAnsi="Times New Roman" w:cs="Times New Roman"/>
          <w:i/>
          <w:iCs/>
          <w:sz w:val="24"/>
          <w:szCs w:val="24"/>
          <w:lang w:eastAsia="bg-BG"/>
        </w:rPr>
      </w:pPr>
      <w:r w:rsidRPr="0041749A">
        <w:rPr>
          <w:rFonts w:ascii="Times New Roman" w:hAnsi="Times New Roman" w:cs="Times New Roman"/>
          <w:i/>
          <w:iCs/>
          <w:sz w:val="24"/>
          <w:szCs w:val="24"/>
          <w:lang w:eastAsia="bg-BG"/>
        </w:rPr>
        <w:t>Тероризмът и други умишлени незаконни действия срещу кораби, товари и пътници, пристанища и пристанищни съоръжения и важни морски инфраструктури, включително кибератаки срещу информационните системи;</w:t>
      </w:r>
    </w:p>
    <w:p w14:paraId="7904795E" w14:textId="2233C40D" w:rsidR="0041749A" w:rsidRPr="0041749A" w:rsidRDefault="0041749A" w:rsidP="0041749A">
      <w:pPr>
        <w:pStyle w:val="ListParagraph"/>
        <w:numPr>
          <w:ilvl w:val="0"/>
          <w:numId w:val="57"/>
        </w:numPr>
        <w:spacing w:after="120"/>
        <w:jc w:val="both"/>
        <w:rPr>
          <w:rFonts w:ascii="Times New Roman" w:hAnsi="Times New Roman" w:cs="Times New Roman"/>
          <w:i/>
          <w:iCs/>
          <w:sz w:val="24"/>
          <w:szCs w:val="24"/>
          <w:lang w:eastAsia="bg-BG"/>
        </w:rPr>
      </w:pPr>
      <w:r w:rsidRPr="0041749A">
        <w:rPr>
          <w:rFonts w:ascii="Times New Roman" w:hAnsi="Times New Roman" w:cs="Times New Roman"/>
          <w:i/>
          <w:iCs/>
          <w:sz w:val="24"/>
          <w:szCs w:val="24"/>
          <w:lang w:eastAsia="bg-BG"/>
        </w:rPr>
        <w:t>Разпространението на оръжия за масово унищожение, в това число химични, биологични, радиологични и ядрени заплахи;</w:t>
      </w:r>
    </w:p>
    <w:p w14:paraId="3BB11564" w14:textId="3DF0CDDC" w:rsidR="0041749A" w:rsidRPr="0041749A" w:rsidRDefault="0041749A" w:rsidP="0041749A">
      <w:pPr>
        <w:pStyle w:val="ListParagraph"/>
        <w:numPr>
          <w:ilvl w:val="0"/>
          <w:numId w:val="57"/>
        </w:numPr>
        <w:spacing w:after="120"/>
        <w:jc w:val="both"/>
        <w:rPr>
          <w:rFonts w:ascii="Times New Roman" w:hAnsi="Times New Roman" w:cs="Times New Roman"/>
          <w:i/>
          <w:iCs/>
          <w:sz w:val="24"/>
          <w:szCs w:val="24"/>
          <w:lang w:eastAsia="bg-BG"/>
        </w:rPr>
      </w:pPr>
      <w:r w:rsidRPr="0041749A">
        <w:rPr>
          <w:rFonts w:ascii="Times New Roman" w:hAnsi="Times New Roman" w:cs="Times New Roman"/>
          <w:i/>
          <w:iCs/>
          <w:sz w:val="24"/>
          <w:szCs w:val="24"/>
          <w:lang w:eastAsia="bg-BG"/>
        </w:rPr>
        <w:t xml:space="preserve">Екологични, включително неустойчива и неразрешена експлоатация на природните и морските ресурси, нарушаване за биоразнообразието, влошаване на състоянието на околната среда, причинено от незаконно или случайно изхвърляне на химични, биологични и ядрени отпадъци, химически боеприпаси и </w:t>
      </w:r>
      <w:proofErr w:type="spellStart"/>
      <w:r w:rsidRPr="0041749A">
        <w:rPr>
          <w:rFonts w:ascii="Times New Roman" w:hAnsi="Times New Roman" w:cs="Times New Roman"/>
          <w:i/>
          <w:iCs/>
          <w:sz w:val="24"/>
          <w:szCs w:val="24"/>
          <w:lang w:eastAsia="bg-BG"/>
        </w:rPr>
        <w:t>неексплодирали</w:t>
      </w:r>
      <w:proofErr w:type="spellEnd"/>
      <w:r w:rsidRPr="0041749A">
        <w:rPr>
          <w:rFonts w:ascii="Times New Roman" w:hAnsi="Times New Roman" w:cs="Times New Roman"/>
          <w:i/>
          <w:iCs/>
          <w:sz w:val="24"/>
          <w:szCs w:val="24"/>
          <w:lang w:eastAsia="bg-BG"/>
        </w:rPr>
        <w:t xml:space="preserve"> взривни боеприпаси;</w:t>
      </w:r>
    </w:p>
    <w:p w14:paraId="138E7C1E" w14:textId="2C5B1BA4" w:rsidR="0041749A" w:rsidRPr="0041749A" w:rsidRDefault="0041749A" w:rsidP="0041749A">
      <w:pPr>
        <w:pStyle w:val="ListParagraph"/>
        <w:numPr>
          <w:ilvl w:val="0"/>
          <w:numId w:val="57"/>
        </w:numPr>
        <w:spacing w:after="120"/>
        <w:jc w:val="both"/>
        <w:rPr>
          <w:rFonts w:ascii="Times New Roman" w:hAnsi="Times New Roman" w:cs="Times New Roman"/>
          <w:i/>
          <w:iCs/>
          <w:sz w:val="24"/>
          <w:szCs w:val="24"/>
          <w:lang w:eastAsia="bg-BG"/>
        </w:rPr>
      </w:pPr>
      <w:r w:rsidRPr="0041749A">
        <w:rPr>
          <w:rFonts w:ascii="Times New Roman" w:hAnsi="Times New Roman" w:cs="Times New Roman"/>
          <w:i/>
          <w:iCs/>
          <w:sz w:val="24"/>
          <w:szCs w:val="24"/>
          <w:lang w:eastAsia="bg-BG"/>
        </w:rPr>
        <w:t>Трансграничната и организираната престъпност, в това число и незаконният, нерегулираният и недекларираният риболов;</w:t>
      </w:r>
    </w:p>
    <w:p w14:paraId="3D51809D" w14:textId="4C7AD63C" w:rsidR="0041749A" w:rsidRPr="0041749A" w:rsidRDefault="0041749A" w:rsidP="0041749A">
      <w:pPr>
        <w:pStyle w:val="ListParagraph"/>
        <w:numPr>
          <w:ilvl w:val="0"/>
          <w:numId w:val="57"/>
        </w:numPr>
        <w:spacing w:after="120"/>
        <w:jc w:val="both"/>
        <w:rPr>
          <w:rFonts w:ascii="Times New Roman" w:hAnsi="Times New Roman" w:cs="Times New Roman"/>
          <w:i/>
          <w:iCs/>
          <w:sz w:val="24"/>
          <w:szCs w:val="24"/>
          <w:lang w:eastAsia="bg-BG"/>
        </w:rPr>
      </w:pPr>
      <w:r w:rsidRPr="0041749A">
        <w:rPr>
          <w:rFonts w:ascii="Times New Roman" w:hAnsi="Times New Roman" w:cs="Times New Roman"/>
          <w:i/>
          <w:iCs/>
          <w:sz w:val="24"/>
          <w:szCs w:val="24"/>
          <w:lang w:eastAsia="bg-BG"/>
        </w:rPr>
        <w:t>Глобализирането на транспортните връзки способства за бързото разпространяване на инфекциозни заболявания и епидемии в световен мащаб, което излага на риск гражданите на Република България.</w:t>
      </w:r>
    </w:p>
    <w:p w14:paraId="75E26D76" w14:textId="77777777" w:rsidR="0041749A" w:rsidRPr="005F49B3" w:rsidRDefault="0041749A" w:rsidP="0041749A">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В железопътния транспорт също се отчита повишен рисков профил, както по линия на умишлени въздействия, така и поради експлоатационни инциденти. През 2024 г. </w:t>
      </w:r>
      <w:r w:rsidRPr="00C96F0E">
        <w:rPr>
          <w:rFonts w:ascii="Times New Roman" w:hAnsi="Times New Roman" w:cs="Times New Roman"/>
          <w:sz w:val="24"/>
          <w:szCs w:val="24"/>
          <w:lang w:eastAsia="bg-BG"/>
        </w:rPr>
        <w:t>все още остава висок броят на</w:t>
      </w:r>
      <w:r w:rsidRPr="005F49B3">
        <w:rPr>
          <w:rFonts w:ascii="Times New Roman" w:hAnsi="Times New Roman" w:cs="Times New Roman"/>
          <w:sz w:val="24"/>
          <w:szCs w:val="24"/>
          <w:lang w:eastAsia="bg-BG"/>
        </w:rPr>
        <w:t xml:space="preserve"> регистрирани</w:t>
      </w:r>
      <w:r>
        <w:rPr>
          <w:rFonts w:ascii="Times New Roman" w:hAnsi="Times New Roman" w:cs="Times New Roman"/>
          <w:sz w:val="24"/>
          <w:szCs w:val="24"/>
          <w:lang w:eastAsia="bg-BG"/>
        </w:rPr>
        <w:t>те</w:t>
      </w:r>
      <w:r w:rsidRPr="005F49B3">
        <w:rPr>
          <w:rFonts w:ascii="Times New Roman" w:hAnsi="Times New Roman" w:cs="Times New Roman"/>
          <w:sz w:val="24"/>
          <w:szCs w:val="24"/>
          <w:lang w:eastAsia="bg-BG"/>
        </w:rPr>
        <w:t xml:space="preserve"> случаи на дерайлиране, сблъсъци, пожари, произшествия на прелези и инциденти с хора, което подчертава необходимостта от поддържане на висока степен на контрол</w:t>
      </w:r>
      <w:r w:rsidRPr="00C96F0E">
        <w:t xml:space="preserve"> </w:t>
      </w:r>
      <w:r w:rsidRPr="00C96F0E">
        <w:rPr>
          <w:rFonts w:ascii="Times New Roman" w:hAnsi="Times New Roman" w:cs="Times New Roman"/>
          <w:sz w:val="24"/>
          <w:szCs w:val="24"/>
          <w:lang w:eastAsia="bg-BG"/>
        </w:rPr>
        <w:t>и обучение на персонала</w:t>
      </w:r>
      <w:r w:rsidRPr="005F49B3">
        <w:rPr>
          <w:rFonts w:ascii="Times New Roman" w:hAnsi="Times New Roman" w:cs="Times New Roman"/>
          <w:sz w:val="24"/>
          <w:szCs w:val="24"/>
          <w:lang w:eastAsia="bg-BG"/>
        </w:rPr>
        <w:t xml:space="preserve">, </w:t>
      </w:r>
      <w:r w:rsidRPr="00C96F0E">
        <w:rPr>
          <w:rFonts w:ascii="Times New Roman" w:hAnsi="Times New Roman" w:cs="Times New Roman"/>
          <w:sz w:val="24"/>
          <w:szCs w:val="24"/>
          <w:lang w:eastAsia="bg-BG"/>
        </w:rPr>
        <w:t xml:space="preserve">с оглед повишаване нивата на безопасност и </w:t>
      </w:r>
      <w:r w:rsidRPr="005F49B3">
        <w:rPr>
          <w:rFonts w:ascii="Times New Roman" w:hAnsi="Times New Roman" w:cs="Times New Roman"/>
          <w:sz w:val="24"/>
          <w:szCs w:val="24"/>
          <w:lang w:eastAsia="bg-BG"/>
        </w:rPr>
        <w:t xml:space="preserve">сигурност </w:t>
      </w:r>
      <w:r>
        <w:rPr>
          <w:rFonts w:ascii="Times New Roman" w:hAnsi="Times New Roman" w:cs="Times New Roman"/>
          <w:sz w:val="24"/>
          <w:szCs w:val="24"/>
          <w:lang w:eastAsia="bg-BG"/>
        </w:rPr>
        <w:t>в сектора</w:t>
      </w:r>
      <w:r w:rsidRPr="005F49B3">
        <w:rPr>
          <w:rFonts w:ascii="Times New Roman" w:hAnsi="Times New Roman" w:cs="Times New Roman"/>
          <w:sz w:val="24"/>
          <w:szCs w:val="24"/>
          <w:lang w:eastAsia="bg-BG"/>
        </w:rPr>
        <w:t xml:space="preserve">. Макар да не са допуснати инциденти с превоз на опасни товари, кражбите от подвижен състав и инфраструктура създават условия за сериозни аварии. Национална компания „Железопътна инфраструктура“ и „Холдинг БДЖ“ </w:t>
      </w:r>
      <w:r>
        <w:rPr>
          <w:rFonts w:ascii="Times New Roman" w:hAnsi="Times New Roman" w:cs="Times New Roman"/>
          <w:sz w:val="24"/>
          <w:szCs w:val="24"/>
          <w:lang w:eastAsia="bg-BG"/>
        </w:rPr>
        <w:t xml:space="preserve">ЕАД </w:t>
      </w:r>
      <w:r w:rsidRPr="005F49B3">
        <w:rPr>
          <w:rFonts w:ascii="Times New Roman" w:hAnsi="Times New Roman" w:cs="Times New Roman"/>
          <w:sz w:val="24"/>
          <w:szCs w:val="24"/>
          <w:lang w:eastAsia="bg-BG"/>
        </w:rPr>
        <w:t xml:space="preserve">отчитат напредък в усилията за укрепване на трасетата, видеонаблюдение, техническо обезопасяване на гарите и обучение на персонала. </w:t>
      </w:r>
      <w:r w:rsidRPr="005F49B3">
        <w:rPr>
          <w:rFonts w:ascii="Times New Roman" w:hAnsi="Times New Roman" w:cs="Times New Roman"/>
          <w:sz w:val="24"/>
          <w:szCs w:val="24"/>
          <w:lang w:eastAsia="bg-BG"/>
        </w:rPr>
        <w:lastRenderedPageBreak/>
        <w:t>Разработени са планове за противодействие на терористични заплахи за стратегическите възли, но е необходимо устойчиво финансиране и ускорено внедряване на автоматизирани системи за сигурност и наблюдение.</w:t>
      </w:r>
    </w:p>
    <w:p w14:paraId="12EB913A" w14:textId="77777777" w:rsidR="0041749A" w:rsidRDefault="0041749A" w:rsidP="0041749A">
      <w:pPr>
        <w:spacing w:after="120"/>
        <w:ind w:firstLine="851"/>
        <w:jc w:val="both"/>
        <w:rPr>
          <w:rFonts w:ascii="Times New Roman" w:hAnsi="Times New Roman" w:cs="Times New Roman"/>
          <w:sz w:val="24"/>
          <w:szCs w:val="24"/>
          <w:lang w:eastAsia="bg-BG"/>
        </w:rPr>
      </w:pPr>
      <w:r w:rsidRPr="0041749A">
        <w:rPr>
          <w:rFonts w:ascii="Times New Roman" w:hAnsi="Times New Roman" w:cs="Times New Roman"/>
          <w:sz w:val="24"/>
          <w:szCs w:val="24"/>
          <w:lang w:eastAsia="bg-BG"/>
        </w:rPr>
        <w:t>В контекста на военния конфликт в Украйна и засилената активност в Черноморския регион, въздушният транспорт остава изложен на хибридни заплахи, включително кибератаки срещу критичните авиационни инфраструктури – летища, системи за управление на въздушното движение и информационните системи на авиационните оператори. Субектите от авиационната индустрия поддържат степен на готовност „Жълта“ и прилагат мерки съгласно Плана за действие при актове на незаконна намеса в гражданското въздухоплаване. Националната програма за сигурност в гражданското въздухоплаване въвежда допълнителни изисквания за обучения по киберсигурност, както и за идентифициране и защита на информационни и комуникационни системи и данни от критично значение за сектора. Същевременно продължава да съществува опасност от нерегламентирани полети с безпилотни въздухоплавателни средства, включително за разузнавателни и терористични цели. Отделен риск представлява неправомерното използване на лазерни устройства, насочвани към пилоти при излитане и кацане, което създава непосредствени заплахи за безопасността на полетите и изисква нормативни и технически контрамерки.</w:t>
      </w:r>
    </w:p>
    <w:p w14:paraId="07522DBC" w14:textId="077FD9BE" w:rsidR="00666D9F" w:rsidRDefault="00666D9F" w:rsidP="00666D9F">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През 2024 г. е наблюдавана повишена институционална ангажираност с мерки по линия на законодателната и техническа рамка за пътна безопасност. Засилени са контролните действия, вкл. чрез издаване на над 1.4 млн. електронни фиша, съставяне на актове и административни наказания. Внедрени са интелигентни транспортни системи за управление на трафика и безопасността по АМ „Струма“ и в тунел „Железница“, с контролен център в процес на въвеждане. Извършени са 21 одита за пътна безопасност и съвместни огледи с предприемане на действия в участъци с концентрация на ПТП. Разработена е концепция за нова стратегия за пътна инфраструктура до 2030 г., в сътрудничество със Световната банка. Отчетен е напредък по ключови инфраструктурни проекти, включително FAST </w:t>
      </w:r>
      <w:proofErr w:type="spellStart"/>
      <w:r w:rsidRPr="005F49B3">
        <w:rPr>
          <w:rFonts w:ascii="Times New Roman" w:hAnsi="Times New Roman" w:cs="Times New Roman"/>
          <w:sz w:val="24"/>
          <w:szCs w:val="24"/>
          <w:lang w:eastAsia="bg-BG"/>
        </w:rPr>
        <w:t>Danube</w:t>
      </w:r>
      <w:proofErr w:type="spellEnd"/>
      <w:r w:rsidRPr="005F49B3">
        <w:rPr>
          <w:rFonts w:ascii="Times New Roman" w:hAnsi="Times New Roman" w:cs="Times New Roman"/>
          <w:sz w:val="24"/>
          <w:szCs w:val="24"/>
          <w:lang w:eastAsia="bg-BG"/>
        </w:rPr>
        <w:t xml:space="preserve"> 2, подготовка на втори мост при Русе, развитие на пристанищата Варна и Бургас и активиране на работата по Коридор VIII. В отговор на заплахите за морска сигурност и организирана престъпност в транспорта, са проведени съвместни проверки с институции и действия срещу корупция, измами и незаконни практики.</w:t>
      </w:r>
    </w:p>
    <w:p w14:paraId="7C84F108" w14:textId="4C6D29DB" w:rsidR="0041749A" w:rsidRPr="005F49B3" w:rsidRDefault="00E8735E" w:rsidP="0041749A">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Необходимо е структуриране и прилагане на системен подход към пътната безопасност чрез интегриране на инфраструктурни, образователни и контролни мерки. Приоритет следва да се даде на изграждането на инфраструктура, гарантираща безопасно движение на уязвими участници, в т.ч. въвеждането на зони с ограничение 30 км/ч в гъстонаселени райони. Следва да се ускори изграждането на обходни маршрути и алтернативни транспортни коридори, особено в контекста на военната мобилност и регионалната нестабилност. Важно е да се модернизира капацитетът за контрол, наблюдение и реакция, включително чрез по-ефективно използване на цифрови технологии и разширяване на координацията между институциите. </w:t>
      </w:r>
      <w:r w:rsidR="0041749A" w:rsidRPr="005F49B3">
        <w:rPr>
          <w:rFonts w:ascii="Times New Roman" w:hAnsi="Times New Roman" w:cs="Times New Roman"/>
          <w:sz w:val="24"/>
          <w:szCs w:val="24"/>
          <w:lang w:eastAsia="bg-BG"/>
        </w:rPr>
        <w:t xml:space="preserve">Препоръчва се обучение и изграждане на специализирани екипи за реакция при инциденти с безпилотни системи в обекти от критичната инфраструктура. Стратегическо значение </w:t>
      </w:r>
      <w:r w:rsidR="0041749A">
        <w:rPr>
          <w:rFonts w:ascii="Times New Roman" w:hAnsi="Times New Roman" w:cs="Times New Roman"/>
          <w:sz w:val="24"/>
          <w:szCs w:val="24"/>
          <w:lang w:eastAsia="bg-BG"/>
        </w:rPr>
        <w:t xml:space="preserve">за повишаване на сигурността в транспортния сектор </w:t>
      </w:r>
      <w:r w:rsidR="0041749A" w:rsidRPr="005F49B3">
        <w:rPr>
          <w:rFonts w:ascii="Times New Roman" w:hAnsi="Times New Roman" w:cs="Times New Roman"/>
          <w:sz w:val="24"/>
          <w:szCs w:val="24"/>
          <w:lang w:eastAsia="bg-BG"/>
        </w:rPr>
        <w:t>има и ускореното реализиране на инфраструктурните проекти</w:t>
      </w:r>
      <w:r w:rsidR="0041749A">
        <w:rPr>
          <w:rFonts w:ascii="Times New Roman" w:hAnsi="Times New Roman" w:cs="Times New Roman"/>
          <w:sz w:val="24"/>
          <w:szCs w:val="24"/>
          <w:lang w:eastAsia="bg-BG"/>
        </w:rPr>
        <w:t xml:space="preserve">, попадащи в обхвата на трансевропейската транспортна </w:t>
      </w:r>
      <w:r w:rsidR="0041749A">
        <w:rPr>
          <w:rFonts w:ascii="Times New Roman" w:hAnsi="Times New Roman" w:cs="Times New Roman"/>
          <w:sz w:val="24"/>
          <w:szCs w:val="24"/>
          <w:lang w:eastAsia="bg-BG"/>
        </w:rPr>
        <w:lastRenderedPageBreak/>
        <w:t>мрежа</w:t>
      </w:r>
      <w:r w:rsidR="0041749A" w:rsidRPr="005F49B3">
        <w:rPr>
          <w:rFonts w:ascii="Times New Roman" w:hAnsi="Times New Roman" w:cs="Times New Roman"/>
          <w:sz w:val="24"/>
          <w:szCs w:val="24"/>
          <w:lang w:eastAsia="bg-BG"/>
        </w:rPr>
        <w:t>, както и устойчивото интегриране на морската сигурност в националния подход към транспортната сигурност.</w:t>
      </w:r>
    </w:p>
    <w:p w14:paraId="1C458267" w14:textId="131FB46C" w:rsidR="00B92FB5" w:rsidRPr="00757AC6" w:rsidRDefault="00521622" w:rsidP="0041749A">
      <w:pPr>
        <w:pStyle w:val="Heading3"/>
        <w:numPr>
          <w:ilvl w:val="0"/>
          <w:numId w:val="14"/>
        </w:numPr>
        <w:spacing w:line="360" w:lineRule="auto"/>
        <w:rPr>
          <w:rFonts w:ascii="Times New Roman" w:hAnsi="Times New Roman" w:cs="Times New Roman"/>
          <w:b/>
          <w:bCs/>
          <w:iCs/>
          <w:color w:val="1F4E79" w:themeColor="accent1" w:themeShade="80"/>
          <w:lang w:eastAsia="bg-BG"/>
        </w:rPr>
      </w:pPr>
      <w:bookmarkStart w:id="61" w:name="_Toc208580394"/>
      <w:r w:rsidRPr="00757AC6">
        <w:rPr>
          <w:rFonts w:ascii="Times New Roman" w:hAnsi="Times New Roman" w:cs="Times New Roman"/>
          <w:b/>
          <w:bCs/>
          <w:iCs/>
          <w:color w:val="1F4E79" w:themeColor="accent1" w:themeShade="80"/>
          <w:lang w:eastAsia="bg-BG"/>
        </w:rPr>
        <w:t>Екология, околна среда и климат</w:t>
      </w:r>
      <w:bookmarkEnd w:id="61"/>
    </w:p>
    <w:p w14:paraId="31A86716" w14:textId="77777777" w:rsidR="00754D18" w:rsidRPr="005F49B3" w:rsidRDefault="00754D18" w:rsidP="00D6403A">
      <w:pPr>
        <w:pStyle w:val="ListParagraph"/>
        <w:numPr>
          <w:ilvl w:val="0"/>
          <w:numId w:val="34"/>
        </w:numPr>
        <w:jc w:val="both"/>
        <w:rPr>
          <w:rFonts w:ascii="Times New Roman" w:hAnsi="Times New Roman" w:cs="Times New Roman"/>
          <w:b/>
          <w:sz w:val="24"/>
          <w:szCs w:val="24"/>
        </w:rPr>
      </w:pPr>
      <w:r w:rsidRPr="005F49B3">
        <w:rPr>
          <w:rFonts w:ascii="Times New Roman" w:hAnsi="Times New Roman" w:cs="Times New Roman"/>
          <w:b/>
          <w:sz w:val="24"/>
          <w:szCs w:val="24"/>
        </w:rPr>
        <w:t xml:space="preserve">Нарастващата честота и интензитет на екстремни климатични явления, включително горски пожари, наводнения и суши, създават заплахи за здравето на населението, функционирането на критичната инфраструктура и териториалното развитие. </w:t>
      </w:r>
    </w:p>
    <w:p w14:paraId="24877D47" w14:textId="266A9ED4" w:rsidR="00754D18" w:rsidRPr="005F49B3" w:rsidRDefault="00754D18" w:rsidP="00D6403A">
      <w:pPr>
        <w:pStyle w:val="ListParagraph"/>
        <w:numPr>
          <w:ilvl w:val="0"/>
          <w:numId w:val="34"/>
        </w:numPr>
        <w:jc w:val="both"/>
        <w:rPr>
          <w:rFonts w:ascii="Times New Roman" w:hAnsi="Times New Roman" w:cs="Times New Roman"/>
          <w:b/>
          <w:sz w:val="24"/>
          <w:szCs w:val="24"/>
        </w:rPr>
      </w:pPr>
      <w:r w:rsidRPr="005F49B3">
        <w:rPr>
          <w:rFonts w:ascii="Times New Roman" w:hAnsi="Times New Roman" w:cs="Times New Roman"/>
          <w:b/>
          <w:sz w:val="24"/>
          <w:szCs w:val="24"/>
        </w:rPr>
        <w:t>Системният натиск върху компонентите на околната среда остава значителен, като проблемите с качеството на атмосферния въздух и замърсяването на водите</w:t>
      </w:r>
      <w:r w:rsidR="001824B9">
        <w:rPr>
          <w:rFonts w:ascii="Times New Roman" w:hAnsi="Times New Roman" w:cs="Times New Roman"/>
          <w:b/>
          <w:sz w:val="24"/>
          <w:szCs w:val="24"/>
        </w:rPr>
        <w:t xml:space="preserve"> поради недоизградената канализационна инфраструктура и ПСОВ за населените места,</w:t>
      </w:r>
      <w:r w:rsidR="001824B9" w:rsidRPr="005F49B3">
        <w:rPr>
          <w:rFonts w:ascii="Times New Roman" w:hAnsi="Times New Roman" w:cs="Times New Roman"/>
          <w:b/>
          <w:sz w:val="24"/>
          <w:szCs w:val="24"/>
        </w:rPr>
        <w:t xml:space="preserve"> </w:t>
      </w:r>
      <w:r w:rsidRPr="005F49B3">
        <w:rPr>
          <w:rFonts w:ascii="Times New Roman" w:hAnsi="Times New Roman" w:cs="Times New Roman"/>
          <w:b/>
          <w:sz w:val="24"/>
          <w:szCs w:val="24"/>
        </w:rPr>
        <w:t xml:space="preserve"> продължават да бъдат обект на наказателни процедури от страна на Европейската комисия. </w:t>
      </w:r>
    </w:p>
    <w:p w14:paraId="7CDDCECD" w14:textId="504B0719"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През 2023–2024 г. енергийната, екологичната и климатичната сигурност остава</w:t>
      </w:r>
      <w:r w:rsidR="00CD6FE6">
        <w:rPr>
          <w:rFonts w:ascii="Times New Roman" w:hAnsi="Times New Roman" w:cs="Times New Roman"/>
          <w:sz w:val="24"/>
          <w:szCs w:val="24"/>
          <w:lang w:eastAsia="bg-BG"/>
        </w:rPr>
        <w:t>т</w:t>
      </w:r>
      <w:r w:rsidRPr="005F49B3">
        <w:rPr>
          <w:rFonts w:ascii="Times New Roman" w:hAnsi="Times New Roman" w:cs="Times New Roman"/>
          <w:sz w:val="24"/>
          <w:szCs w:val="24"/>
          <w:lang w:eastAsia="bg-BG"/>
        </w:rPr>
        <w:t xml:space="preserve"> подложен</w:t>
      </w:r>
      <w:r w:rsidR="00CD6FE6">
        <w:rPr>
          <w:rFonts w:ascii="Times New Roman" w:hAnsi="Times New Roman" w:cs="Times New Roman"/>
          <w:sz w:val="24"/>
          <w:szCs w:val="24"/>
          <w:lang w:eastAsia="bg-BG"/>
        </w:rPr>
        <w:t>и</w:t>
      </w:r>
      <w:r w:rsidRPr="005F49B3">
        <w:rPr>
          <w:rFonts w:ascii="Times New Roman" w:hAnsi="Times New Roman" w:cs="Times New Roman"/>
          <w:sz w:val="24"/>
          <w:szCs w:val="24"/>
          <w:lang w:eastAsia="bg-BG"/>
        </w:rPr>
        <w:t xml:space="preserve"> на редица взаимносвързани рискове. На преден план излизат последствията от климатични бедствия с нарастваща честота и интензитет – включително наводнения, засушавания, горски пожари и температурни </w:t>
      </w:r>
      <w:proofErr w:type="spellStart"/>
      <w:r w:rsidRPr="005F49B3">
        <w:rPr>
          <w:rFonts w:ascii="Times New Roman" w:hAnsi="Times New Roman" w:cs="Times New Roman"/>
          <w:sz w:val="24"/>
          <w:szCs w:val="24"/>
          <w:lang w:eastAsia="bg-BG"/>
        </w:rPr>
        <w:t>екстреми</w:t>
      </w:r>
      <w:proofErr w:type="spellEnd"/>
      <w:r w:rsidRPr="005F49B3">
        <w:rPr>
          <w:rFonts w:ascii="Times New Roman" w:hAnsi="Times New Roman" w:cs="Times New Roman"/>
          <w:sz w:val="24"/>
          <w:szCs w:val="24"/>
          <w:lang w:eastAsia="bg-BG"/>
        </w:rPr>
        <w:t>. Тези събития оказват сериозен натиск върху социалните и икономическите системи, особено в трансграничните и уязвими общини, и водят до прекъсвания на услуги, щети по критичната инфраструктура и риск от социална дестабилизация.</w:t>
      </w:r>
    </w:p>
    <w:p w14:paraId="64538FA6" w14:textId="71C68A5D"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Ограничената адаптивност на териториалните и секторни политики към климатичните промени задълбочава уязвимостта на населението и стопанството, като липсата на системна интеграция на адаптационни мерки в устройственото планиране продължава да бъде сериозно предизвикателство. </w:t>
      </w:r>
    </w:p>
    <w:p w14:paraId="302678C8" w14:textId="77777777" w:rsidR="001824B9"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Проблемите с качеството на атмосферния въздух продължават да излагат населението на здравни рискове и поддържат наказателни процедури от страна на Европейската комисия. Макар и да се наблюдава положителна тенденция по отношение на фини прахови частици (ФПЧ10), пълното съответствие със законодателството все още не е постигнато. </w:t>
      </w:r>
    </w:p>
    <w:p w14:paraId="74BAB2D6" w14:textId="25F79E9A"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Потенциалът за големи аварии, свързани с опасни вещества, вкл. в контекста на терористични заплахи, създава допълнителен риск за сигурността на населението и околната среда.</w:t>
      </w:r>
      <w:r w:rsidR="001824B9">
        <w:rPr>
          <w:rFonts w:ascii="Times New Roman" w:hAnsi="Times New Roman" w:cs="Times New Roman"/>
          <w:sz w:val="24"/>
          <w:szCs w:val="24"/>
          <w:lang w:eastAsia="bg-BG"/>
        </w:rPr>
        <w:t xml:space="preserve"> </w:t>
      </w:r>
      <w:r w:rsidR="001824B9" w:rsidRPr="00673CE3">
        <w:rPr>
          <w:rFonts w:ascii="Times New Roman" w:hAnsi="Times New Roman" w:cs="Times New Roman"/>
          <w:sz w:val="24"/>
          <w:szCs w:val="24"/>
          <w:lang w:eastAsia="bg-BG"/>
        </w:rPr>
        <w:t xml:space="preserve">В контекста на </w:t>
      </w:r>
      <w:r w:rsidR="001824B9">
        <w:rPr>
          <w:rFonts w:ascii="Times New Roman" w:hAnsi="Times New Roman" w:cs="Times New Roman"/>
          <w:sz w:val="24"/>
          <w:szCs w:val="24"/>
          <w:lang w:eastAsia="bg-BG"/>
        </w:rPr>
        <w:t>контрола</w:t>
      </w:r>
      <w:r w:rsidR="001824B9" w:rsidRPr="00673CE3">
        <w:rPr>
          <w:rFonts w:ascii="Times New Roman" w:hAnsi="Times New Roman" w:cs="Times New Roman"/>
          <w:sz w:val="24"/>
          <w:szCs w:val="24"/>
          <w:lang w:eastAsia="bg-BG"/>
        </w:rPr>
        <w:t xml:space="preserve"> на големи аварии с опасни вещества, е постигнат напредък в броя на изготвените и изпитани външни аварийни планове на предприятията с висок рисков потенциал, </w:t>
      </w:r>
      <w:r w:rsidR="001824B9">
        <w:rPr>
          <w:rFonts w:ascii="Times New Roman" w:hAnsi="Times New Roman" w:cs="Times New Roman"/>
          <w:sz w:val="24"/>
          <w:szCs w:val="24"/>
          <w:lang w:eastAsia="bg-BG"/>
        </w:rPr>
        <w:t xml:space="preserve">които са от съществено значение за адекватната подготовка и ефективното изпълнение на необходимите действия за опазване на околната среда и </w:t>
      </w:r>
      <w:r w:rsidR="001824B9" w:rsidRPr="00361F80">
        <w:rPr>
          <w:rFonts w:ascii="Times New Roman" w:hAnsi="Times New Roman" w:cs="Times New Roman"/>
          <w:sz w:val="24"/>
          <w:szCs w:val="24"/>
          <w:lang w:eastAsia="bg-BG"/>
        </w:rPr>
        <w:t>защита</w:t>
      </w:r>
      <w:r w:rsidR="001824B9">
        <w:rPr>
          <w:rFonts w:ascii="Times New Roman" w:hAnsi="Times New Roman" w:cs="Times New Roman"/>
          <w:sz w:val="24"/>
          <w:szCs w:val="24"/>
          <w:lang w:eastAsia="bg-BG"/>
        </w:rPr>
        <w:t xml:space="preserve"> на населението в случай на голяма авария. На обществеността е предоставяна ясна и разбираема информация </w:t>
      </w:r>
      <w:r w:rsidR="001824B9" w:rsidRPr="001A6869">
        <w:rPr>
          <w:rFonts w:ascii="Times New Roman" w:hAnsi="Times New Roman" w:cs="Times New Roman"/>
          <w:sz w:val="24"/>
          <w:szCs w:val="24"/>
          <w:lang w:eastAsia="bg-BG"/>
        </w:rPr>
        <w:t>относно аварийното планиране и необходимите мерки</w:t>
      </w:r>
      <w:r w:rsidR="001824B9">
        <w:rPr>
          <w:rFonts w:ascii="Times New Roman" w:hAnsi="Times New Roman" w:cs="Times New Roman"/>
          <w:sz w:val="24"/>
          <w:szCs w:val="24"/>
          <w:lang w:eastAsia="bg-BG"/>
        </w:rPr>
        <w:t>,</w:t>
      </w:r>
      <w:r w:rsidR="001824B9" w:rsidRPr="001A6869">
        <w:rPr>
          <w:rFonts w:ascii="Times New Roman" w:hAnsi="Times New Roman" w:cs="Times New Roman"/>
          <w:sz w:val="24"/>
          <w:szCs w:val="24"/>
          <w:lang w:eastAsia="bg-BG"/>
        </w:rPr>
        <w:t xml:space="preserve"> и поведение при възникване </w:t>
      </w:r>
      <w:r w:rsidR="001824B9">
        <w:rPr>
          <w:rFonts w:ascii="Times New Roman" w:hAnsi="Times New Roman" w:cs="Times New Roman"/>
          <w:sz w:val="24"/>
          <w:szCs w:val="24"/>
          <w:lang w:eastAsia="bg-BG"/>
        </w:rPr>
        <w:t>на голяма авария, с което се постига</w:t>
      </w:r>
      <w:r w:rsidR="001824B9" w:rsidRPr="00704E07">
        <w:rPr>
          <w:rFonts w:ascii="Times New Roman" w:hAnsi="Times New Roman" w:cs="Times New Roman"/>
          <w:sz w:val="24"/>
          <w:szCs w:val="24"/>
          <w:lang w:eastAsia="bg-BG"/>
        </w:rPr>
        <w:t xml:space="preserve"> </w:t>
      </w:r>
      <w:r w:rsidR="001824B9">
        <w:rPr>
          <w:rFonts w:ascii="Times New Roman" w:hAnsi="Times New Roman" w:cs="Times New Roman"/>
          <w:sz w:val="24"/>
          <w:szCs w:val="24"/>
          <w:lang w:eastAsia="bg-BG"/>
        </w:rPr>
        <w:t>п</w:t>
      </w:r>
      <w:r w:rsidR="001824B9" w:rsidRPr="00673CE3">
        <w:rPr>
          <w:rFonts w:ascii="Times New Roman" w:hAnsi="Times New Roman" w:cs="Times New Roman"/>
          <w:sz w:val="24"/>
          <w:szCs w:val="24"/>
          <w:lang w:eastAsia="bg-BG"/>
        </w:rPr>
        <w:t xml:space="preserve">оддържане </w:t>
      </w:r>
      <w:r w:rsidR="001824B9">
        <w:rPr>
          <w:rFonts w:ascii="Times New Roman" w:hAnsi="Times New Roman" w:cs="Times New Roman"/>
          <w:sz w:val="24"/>
          <w:szCs w:val="24"/>
          <w:lang w:eastAsia="bg-BG"/>
        </w:rPr>
        <w:t xml:space="preserve">на </w:t>
      </w:r>
      <w:r w:rsidR="001824B9" w:rsidRPr="00673CE3">
        <w:rPr>
          <w:rFonts w:ascii="Times New Roman" w:hAnsi="Times New Roman" w:cs="Times New Roman"/>
          <w:sz w:val="24"/>
          <w:szCs w:val="24"/>
          <w:lang w:eastAsia="bg-BG"/>
        </w:rPr>
        <w:t>високо нив</w:t>
      </w:r>
      <w:r w:rsidR="001824B9">
        <w:rPr>
          <w:rFonts w:ascii="Times New Roman" w:hAnsi="Times New Roman" w:cs="Times New Roman"/>
          <w:sz w:val="24"/>
          <w:szCs w:val="24"/>
          <w:lang w:eastAsia="bg-BG"/>
        </w:rPr>
        <w:t>о на осведоменост.</w:t>
      </w:r>
    </w:p>
    <w:p w14:paraId="396BAC49" w14:textId="0B0B15E5"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Натискът върху водните ресурси, както поради климатични фактори, така и в резултат на остарели и неефективни системи за водоснабдяване</w:t>
      </w:r>
      <w:r w:rsidR="001824B9">
        <w:rPr>
          <w:rFonts w:ascii="Times New Roman" w:hAnsi="Times New Roman" w:cs="Times New Roman"/>
          <w:sz w:val="24"/>
          <w:szCs w:val="24"/>
          <w:lang w:eastAsia="bg-BG"/>
        </w:rPr>
        <w:t xml:space="preserve">, </w:t>
      </w:r>
      <w:r w:rsidRPr="005F49B3">
        <w:rPr>
          <w:rFonts w:ascii="Times New Roman" w:hAnsi="Times New Roman" w:cs="Times New Roman"/>
          <w:sz w:val="24"/>
          <w:szCs w:val="24"/>
          <w:lang w:eastAsia="bg-BG"/>
        </w:rPr>
        <w:t>напояване</w:t>
      </w:r>
      <w:r w:rsidR="001824B9">
        <w:rPr>
          <w:rFonts w:ascii="Times New Roman" w:hAnsi="Times New Roman" w:cs="Times New Roman"/>
          <w:sz w:val="24"/>
          <w:szCs w:val="24"/>
          <w:lang w:eastAsia="bg-BG"/>
        </w:rPr>
        <w:t xml:space="preserve"> и отвеждане на отпадъчните води са предизвикателство за</w:t>
      </w:r>
      <w:r w:rsidRPr="005F49B3">
        <w:rPr>
          <w:rFonts w:ascii="Times New Roman" w:hAnsi="Times New Roman" w:cs="Times New Roman"/>
          <w:sz w:val="24"/>
          <w:szCs w:val="24"/>
          <w:lang w:eastAsia="bg-BG"/>
        </w:rPr>
        <w:t xml:space="preserve"> устойчивото управление на този стратегически ресурс. Въпреки положените усилия в сектора на отпадъците, високи нива на депониране и нисък дял на повторна употреба продължават да пораждат екологични </w:t>
      </w:r>
      <w:r w:rsidRPr="005F49B3">
        <w:rPr>
          <w:rFonts w:ascii="Times New Roman" w:hAnsi="Times New Roman" w:cs="Times New Roman"/>
          <w:sz w:val="24"/>
          <w:szCs w:val="24"/>
          <w:lang w:eastAsia="bg-BG"/>
        </w:rPr>
        <w:lastRenderedPageBreak/>
        <w:t>и здравни рискове. Допълнително, бракониерството и пожарите в защитени територии подкопават природозащитното състояние на ключови видове и екосистеми, вкл. в територии от изключителна държавна собственост, където контролните усилия срещат сериозни логистични предизвикателства.</w:t>
      </w:r>
    </w:p>
    <w:p w14:paraId="62A0A0E8" w14:textId="77777777" w:rsidR="001824B9" w:rsidRPr="005F49B3" w:rsidRDefault="001824B9" w:rsidP="001824B9">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С цел ограничаване на идентифицираните рискове за енергийната, екологичната и климатичната сигурност, през 2023–2024 г. бяха реализирани редица стратегически, нормативни и оперативни мерки.</w:t>
      </w:r>
    </w:p>
    <w:p w14:paraId="4749C011" w14:textId="4F27613D" w:rsidR="001824B9" w:rsidRPr="005F49B3" w:rsidRDefault="001824B9" w:rsidP="001824B9">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За </w:t>
      </w:r>
      <w:r>
        <w:rPr>
          <w:rFonts w:ascii="Times New Roman" w:hAnsi="Times New Roman" w:cs="Times New Roman"/>
          <w:sz w:val="24"/>
          <w:szCs w:val="24"/>
          <w:lang w:eastAsia="bg-BG"/>
        </w:rPr>
        <w:t xml:space="preserve">подобряване качеството на въздуха и през 2024г. </w:t>
      </w:r>
      <w:r>
        <w:rPr>
          <w:rFonts w:ascii="Times New Roman" w:hAnsi="Times New Roman" w:cs="Times New Roman"/>
          <w:sz w:val="24"/>
          <w:szCs w:val="24"/>
          <w:lang w:val="en-US" w:eastAsia="bg-BG"/>
        </w:rPr>
        <w:t xml:space="preserve"> </w:t>
      </w:r>
      <w:r w:rsidRPr="005F49B3">
        <w:rPr>
          <w:rFonts w:ascii="Times New Roman" w:hAnsi="Times New Roman" w:cs="Times New Roman"/>
          <w:sz w:val="24"/>
          <w:szCs w:val="24"/>
          <w:lang w:eastAsia="bg-BG"/>
        </w:rPr>
        <w:t>продълж</w:t>
      </w:r>
      <w:r>
        <w:rPr>
          <w:rFonts w:ascii="Times New Roman" w:hAnsi="Times New Roman" w:cs="Times New Roman"/>
          <w:sz w:val="24"/>
          <w:szCs w:val="24"/>
          <w:lang w:eastAsia="bg-BG"/>
        </w:rPr>
        <w:t>ава</w:t>
      </w:r>
      <w:r w:rsidRPr="005F49B3">
        <w:rPr>
          <w:rFonts w:ascii="Times New Roman" w:hAnsi="Times New Roman" w:cs="Times New Roman"/>
          <w:sz w:val="24"/>
          <w:szCs w:val="24"/>
          <w:lang w:eastAsia="bg-BG"/>
        </w:rPr>
        <w:t xml:space="preserve"> прилагането на Националната програма за подобряване качеството на</w:t>
      </w:r>
      <w:r>
        <w:rPr>
          <w:rFonts w:ascii="Times New Roman" w:hAnsi="Times New Roman" w:cs="Times New Roman"/>
          <w:sz w:val="24"/>
          <w:szCs w:val="24"/>
          <w:lang w:eastAsia="bg-BG"/>
        </w:rPr>
        <w:t xml:space="preserve"> атмосферния въздух 2018-2024г. </w:t>
      </w:r>
      <w:r w:rsidRPr="005F49B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Р</w:t>
      </w:r>
      <w:r w:rsidRPr="005F49B3">
        <w:rPr>
          <w:rFonts w:ascii="Times New Roman" w:hAnsi="Times New Roman" w:cs="Times New Roman"/>
          <w:sz w:val="24"/>
          <w:szCs w:val="24"/>
          <w:lang w:eastAsia="bg-BG"/>
        </w:rPr>
        <w:t>еализирани</w:t>
      </w:r>
      <w:r>
        <w:rPr>
          <w:rFonts w:ascii="Times New Roman" w:hAnsi="Times New Roman" w:cs="Times New Roman"/>
          <w:sz w:val="24"/>
          <w:szCs w:val="24"/>
          <w:lang w:eastAsia="bg-BG"/>
        </w:rPr>
        <w:t xml:space="preserve"> са</w:t>
      </w:r>
      <w:r w:rsidRPr="005F49B3">
        <w:rPr>
          <w:rFonts w:ascii="Times New Roman" w:hAnsi="Times New Roman" w:cs="Times New Roman"/>
          <w:sz w:val="24"/>
          <w:szCs w:val="24"/>
          <w:lang w:eastAsia="bg-BG"/>
        </w:rPr>
        <w:t xml:space="preserve"> проекти за подмяна на уреди за битово отопление, като </w:t>
      </w:r>
      <w:r>
        <w:rPr>
          <w:rFonts w:ascii="Times New Roman" w:hAnsi="Times New Roman" w:cs="Times New Roman"/>
          <w:sz w:val="24"/>
          <w:szCs w:val="24"/>
          <w:lang w:eastAsia="bg-BG"/>
        </w:rPr>
        <w:t xml:space="preserve"> към края на</w:t>
      </w:r>
      <w:r w:rsidRPr="005F49B3">
        <w:rPr>
          <w:rFonts w:ascii="Times New Roman" w:hAnsi="Times New Roman" w:cs="Times New Roman"/>
          <w:sz w:val="24"/>
          <w:szCs w:val="24"/>
          <w:lang w:eastAsia="bg-BG"/>
        </w:rPr>
        <w:t xml:space="preserve"> 2024 г. над </w:t>
      </w:r>
      <w:r>
        <w:rPr>
          <w:rFonts w:ascii="Times New Roman" w:hAnsi="Times New Roman" w:cs="Times New Roman"/>
          <w:sz w:val="24"/>
          <w:szCs w:val="24"/>
          <w:lang w:eastAsia="bg-BG"/>
        </w:rPr>
        <w:t>36</w:t>
      </w:r>
      <w:r w:rsidRPr="005F49B3">
        <w:rPr>
          <w:rFonts w:ascii="Times New Roman" w:hAnsi="Times New Roman" w:cs="Times New Roman"/>
          <w:sz w:val="24"/>
          <w:szCs w:val="24"/>
          <w:lang w:eastAsia="bg-BG"/>
        </w:rPr>
        <w:t xml:space="preserve"> 000 </w:t>
      </w:r>
      <w:r>
        <w:rPr>
          <w:rFonts w:ascii="Times New Roman" w:hAnsi="Times New Roman" w:cs="Times New Roman"/>
          <w:sz w:val="24"/>
          <w:szCs w:val="24"/>
          <w:lang w:eastAsia="bg-BG"/>
        </w:rPr>
        <w:t>броя</w:t>
      </w:r>
      <w:r w:rsidRPr="00E600FB">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са </w:t>
      </w:r>
      <w:r w:rsidRPr="00E600FB">
        <w:rPr>
          <w:rFonts w:ascii="Times New Roman" w:hAnsi="Times New Roman" w:cs="Times New Roman"/>
          <w:sz w:val="24"/>
          <w:szCs w:val="24"/>
          <w:lang w:eastAsia="bg-BG"/>
        </w:rPr>
        <w:t>изведени</w:t>
      </w:r>
      <w:r>
        <w:rPr>
          <w:rFonts w:ascii="Times New Roman" w:hAnsi="Times New Roman" w:cs="Times New Roman"/>
          <w:sz w:val="24"/>
          <w:szCs w:val="24"/>
          <w:lang w:eastAsia="bg-BG"/>
        </w:rPr>
        <w:t xml:space="preserve">те </w:t>
      </w:r>
      <w:r w:rsidRPr="00E600FB">
        <w:rPr>
          <w:rFonts w:ascii="Times New Roman" w:hAnsi="Times New Roman" w:cs="Times New Roman"/>
          <w:sz w:val="24"/>
          <w:szCs w:val="24"/>
          <w:lang w:eastAsia="bg-BG"/>
        </w:rPr>
        <w:t>от употреба печки и котли</w:t>
      </w:r>
      <w:r w:rsidRPr="005F49B3">
        <w:rPr>
          <w:rFonts w:ascii="Times New Roman" w:hAnsi="Times New Roman" w:cs="Times New Roman"/>
          <w:sz w:val="24"/>
          <w:szCs w:val="24"/>
          <w:lang w:eastAsia="bg-BG"/>
        </w:rPr>
        <w:t xml:space="preserve">. Ефективният контрол върху големите горивни инсталации доведе до постигане на съответствие със стандартите за серен диоксид в рисковите райони. Допълнително, чрез нови проекти по ПОС </w:t>
      </w:r>
      <w:r>
        <w:rPr>
          <w:rFonts w:ascii="Times New Roman" w:hAnsi="Times New Roman" w:cs="Times New Roman"/>
          <w:sz w:val="24"/>
          <w:szCs w:val="24"/>
          <w:lang w:eastAsia="bg-BG"/>
        </w:rPr>
        <w:t xml:space="preserve">2021-2027г. </w:t>
      </w:r>
      <w:r w:rsidRPr="005F49B3">
        <w:rPr>
          <w:rFonts w:ascii="Times New Roman" w:hAnsi="Times New Roman" w:cs="Times New Roman"/>
          <w:sz w:val="24"/>
          <w:szCs w:val="24"/>
          <w:lang w:eastAsia="bg-BG"/>
        </w:rPr>
        <w:t>бе разширено техническото обезпечаване и капацитетът на Националната система за мониторинг на качеството на въздуха.</w:t>
      </w:r>
    </w:p>
    <w:p w14:paraId="3DB3378F" w14:textId="77777777" w:rsidR="000D4CFC" w:rsidRPr="005F49B3" w:rsidRDefault="000D4CFC" w:rsidP="000D4CFC">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областта на управлението на водите</w:t>
      </w:r>
      <w:r>
        <w:rPr>
          <w:rFonts w:ascii="Times New Roman" w:hAnsi="Times New Roman" w:cs="Times New Roman"/>
          <w:sz w:val="24"/>
          <w:szCs w:val="24"/>
          <w:lang w:eastAsia="bg-BG"/>
        </w:rPr>
        <w:t>, от началото на 2024 г. са в сила Плановете за управление на риска от наводнения за 4-те района за басейново управление, за периода 2022-2027. В края на същата година</w:t>
      </w:r>
      <w:r w:rsidRPr="005F49B3">
        <w:rPr>
          <w:rFonts w:ascii="Times New Roman" w:hAnsi="Times New Roman" w:cs="Times New Roman"/>
          <w:sz w:val="24"/>
          <w:szCs w:val="24"/>
          <w:lang w:eastAsia="bg-BG"/>
        </w:rPr>
        <w:t xml:space="preserve"> бяха</w:t>
      </w:r>
      <w:r>
        <w:rPr>
          <w:rFonts w:ascii="Times New Roman" w:hAnsi="Times New Roman" w:cs="Times New Roman"/>
          <w:sz w:val="24"/>
          <w:szCs w:val="24"/>
          <w:lang w:eastAsia="bg-BG"/>
        </w:rPr>
        <w:t xml:space="preserve"> приети от Министерския съвет</w:t>
      </w:r>
      <w:r w:rsidRPr="005F49B3">
        <w:rPr>
          <w:rFonts w:ascii="Times New Roman" w:hAnsi="Times New Roman" w:cs="Times New Roman"/>
          <w:sz w:val="24"/>
          <w:szCs w:val="24"/>
          <w:lang w:eastAsia="bg-BG"/>
        </w:rPr>
        <w:t xml:space="preserve"> </w:t>
      </w:r>
      <w:r>
        <w:rPr>
          <w:rFonts w:ascii="Times New Roman" w:hAnsi="Times New Roman" w:cs="Times New Roman"/>
          <w:sz w:val="24"/>
          <w:szCs w:val="24"/>
          <w:lang w:eastAsia="bg-BG"/>
        </w:rPr>
        <w:t xml:space="preserve">и другите стратегически документи - </w:t>
      </w:r>
      <w:r w:rsidRPr="005F49B3">
        <w:rPr>
          <w:rFonts w:ascii="Times New Roman" w:hAnsi="Times New Roman" w:cs="Times New Roman"/>
          <w:sz w:val="24"/>
          <w:szCs w:val="24"/>
          <w:lang w:eastAsia="bg-BG"/>
        </w:rPr>
        <w:t>Планове</w:t>
      </w:r>
      <w:r>
        <w:rPr>
          <w:rFonts w:ascii="Times New Roman" w:hAnsi="Times New Roman" w:cs="Times New Roman"/>
          <w:sz w:val="24"/>
          <w:szCs w:val="24"/>
          <w:lang w:eastAsia="bg-BG"/>
        </w:rPr>
        <w:t>те</w:t>
      </w:r>
      <w:r w:rsidRPr="005F49B3">
        <w:rPr>
          <w:rFonts w:ascii="Times New Roman" w:hAnsi="Times New Roman" w:cs="Times New Roman"/>
          <w:sz w:val="24"/>
          <w:szCs w:val="24"/>
          <w:lang w:eastAsia="bg-BG"/>
        </w:rPr>
        <w:t xml:space="preserve"> за управление на речните басейни за периода 2022–2027 г</w:t>
      </w:r>
      <w:r w:rsidRPr="00D262FE">
        <w:rPr>
          <w:rFonts w:ascii="Times New Roman" w:hAnsi="Times New Roman" w:cs="Times New Roman"/>
          <w:sz w:val="24"/>
          <w:szCs w:val="24"/>
          <w:lang w:eastAsia="bg-BG"/>
        </w:rPr>
        <w:t>.</w:t>
      </w:r>
      <w:r>
        <w:rPr>
          <w:rFonts w:ascii="Times New Roman" w:hAnsi="Times New Roman" w:cs="Times New Roman"/>
          <w:sz w:val="24"/>
          <w:szCs w:val="24"/>
          <w:lang w:eastAsia="bg-BG"/>
        </w:rPr>
        <w:t xml:space="preserve"> и </w:t>
      </w:r>
      <w:r w:rsidRPr="005F49B3">
        <w:rPr>
          <w:rFonts w:ascii="Times New Roman" w:hAnsi="Times New Roman" w:cs="Times New Roman"/>
          <w:sz w:val="24"/>
          <w:szCs w:val="24"/>
          <w:lang w:eastAsia="bg-BG"/>
        </w:rPr>
        <w:t>Морската стратегия</w:t>
      </w:r>
      <w:r>
        <w:rPr>
          <w:rFonts w:ascii="Times New Roman" w:hAnsi="Times New Roman" w:cs="Times New Roman"/>
          <w:sz w:val="24"/>
          <w:szCs w:val="24"/>
          <w:lang w:eastAsia="bg-BG"/>
        </w:rPr>
        <w:t xml:space="preserve"> </w:t>
      </w:r>
      <w:r w:rsidRPr="00D262FE">
        <w:rPr>
          <w:rFonts w:ascii="Times New Roman" w:hAnsi="Times New Roman" w:cs="Times New Roman"/>
          <w:sz w:val="24"/>
          <w:szCs w:val="24"/>
          <w:lang w:eastAsia="bg-BG"/>
        </w:rPr>
        <w:t>за опазване на околната среда в морски</w:t>
      </w:r>
      <w:r>
        <w:rPr>
          <w:rFonts w:ascii="Times New Roman" w:hAnsi="Times New Roman" w:cs="Times New Roman"/>
          <w:sz w:val="24"/>
          <w:szCs w:val="24"/>
          <w:lang w:eastAsia="bg-BG"/>
        </w:rPr>
        <w:t>те</w:t>
      </w:r>
      <w:r w:rsidRPr="00D262FE">
        <w:rPr>
          <w:rFonts w:ascii="Times New Roman" w:hAnsi="Times New Roman" w:cs="Times New Roman"/>
          <w:sz w:val="24"/>
          <w:szCs w:val="24"/>
          <w:lang w:eastAsia="bg-BG"/>
        </w:rPr>
        <w:t xml:space="preserve"> води на Република България за пер</w:t>
      </w:r>
      <w:r>
        <w:rPr>
          <w:rFonts w:ascii="Times New Roman" w:hAnsi="Times New Roman" w:cs="Times New Roman"/>
          <w:sz w:val="24"/>
          <w:szCs w:val="24"/>
          <w:lang w:eastAsia="bg-BG"/>
        </w:rPr>
        <w:t>иода 2022-2027 г</w:t>
      </w:r>
      <w:r w:rsidRPr="005F49B3">
        <w:rPr>
          <w:rFonts w:ascii="Times New Roman" w:hAnsi="Times New Roman" w:cs="Times New Roman"/>
          <w:sz w:val="24"/>
          <w:szCs w:val="24"/>
          <w:lang w:eastAsia="bg-BG"/>
        </w:rPr>
        <w:t>.</w:t>
      </w:r>
    </w:p>
    <w:p w14:paraId="1E75A94C" w14:textId="77777777"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отговор на повишената уязвимост към климатични промени, продължи прилагането на Стратегията за адаптация към изменението на климата и бяха финансирани местни проекти чрез Националния доверителен екофонд, насочени към изграждане на зелена инфраструктура, управление на риска от наводнения и устойчивост на общините. По линия на INTERREG VI-A (България–Сърбия и България–Турция) бяха подкрепени над 30 трансгранични проекта, свързани с енергийна ефективност, фотоволтаични инсталации и устойчиви производствени практики, както и обучение на професионални служби за реакция при бедствия.</w:t>
      </w:r>
    </w:p>
    <w:p w14:paraId="22EC8F1E" w14:textId="77777777"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В сектора „отпадъци“ бе осигурена рекултивация на всички стари депа, което позволи закриване на наказателната процедура от страна на ЕК. Успоредно с това, в периода 2023–2024 г. бяха изградени нови инсталации за компостиране, анаеробно третиране и разделно събиране на биоразградими отпадъци, както и реализирани инвестиции в инфраструктура чрез ОПОС, ПУДООС и Българския ВиК холдинг.</w:t>
      </w:r>
    </w:p>
    <w:p w14:paraId="683B48D0" w14:textId="77777777"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По отношение на биоразнообразието, в отговор на рисковете от бракониерство и пожари в защитени територии, бяха изградени специализирани системи за ранно предупреждение и идентифициране на изстрели в паркове като „Пирин“ и „Рила“. Тези системи функционират като част от по-широка стратегия за контрол и защита на видове в труднодостъпни територии.</w:t>
      </w:r>
    </w:p>
    <w:p w14:paraId="45654860" w14:textId="77777777"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За повишаване на устойчивостта на Република България спрямо нарастващите екологични и климатични рискове е необходимо да се надгради капацитетът на всички нива на управление чрез стратегическо планиране, координация и финансиране. Наложително е системно интегриране на оценките за екологичен и климатичен риск в устройствени и пространствени планове, както и в процесите по вземане на </w:t>
      </w:r>
      <w:r w:rsidRPr="005F49B3">
        <w:rPr>
          <w:rFonts w:ascii="Times New Roman" w:hAnsi="Times New Roman" w:cs="Times New Roman"/>
          <w:sz w:val="24"/>
          <w:szCs w:val="24"/>
          <w:lang w:eastAsia="bg-BG"/>
        </w:rPr>
        <w:lastRenderedPageBreak/>
        <w:t>инвестиционни решения, особено в чувствителните към климатични въздействия сектори – земеделие, води, здравеопазване, енергетика и инфраструктура.</w:t>
      </w:r>
    </w:p>
    <w:p w14:paraId="59966B88" w14:textId="5B5874A4"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Необходимо е устойчиво поддържане и развитие на техническия и институционален капацитет за наблюдение, контрол и ранно предупреждение, включително чрез дооборудване и модернизация на Националната система за мониторинг на въздуха и внедряване на интелигентни решения за управление на риска. Следва да се акцентира върху обучението и квалификацията на служителите в сектора на екологичната и климатична сигурност, особено в местните администрации и контролните звена.</w:t>
      </w:r>
    </w:p>
    <w:p w14:paraId="7AA82661" w14:textId="77777777"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Препоръчва се разширяване на публичните инвестиции в природно-базирани решения и „зелени“ инфраструктурни проекти, с оглед едновременно смекчаване и адаптация към климатичните промени. Следва да се осигури по-тясна координация между националните и местните власти, включително чрез регионални партньорства и трансгранично сътрудничество, особено в зони с уязвими екосистеми и гранични общности.</w:t>
      </w:r>
    </w:p>
    <w:p w14:paraId="1FD55F9C" w14:textId="77777777" w:rsidR="00754D18" w:rsidRPr="005F49B3" w:rsidRDefault="00754D18"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Необходимо е да се ускори преминаването към кръгова икономика, като се подкрепят технологични иновации, ефективно управление на отпадъци и ресурсна ефективност в малките и средни предприятия. За тази цел трябва да се гарантира пълно изпълнение на действащите стратегически документи – включително Националния план за управление на отпадъците и Стратегията за преход към кръгова икономика – както и да се разширят механизмите за разширена отговорност на производителите.</w:t>
      </w:r>
    </w:p>
    <w:p w14:paraId="3C2EB7AE" w14:textId="70806896" w:rsidR="00B720D9" w:rsidRPr="0041749A" w:rsidRDefault="00754D18" w:rsidP="0041749A">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Препоръчва се поддържане на последователна комуникация с обществото относно рисковете за околната среда и възможностите за тяхното ограничаване. Това включва не само осигуряване на достъп до актуална и разбираема информация, но и насърчаване на активното участие на гражданите в планирането, превенцията и управлението на екологични и климатични заплахи.</w:t>
      </w:r>
    </w:p>
    <w:p w14:paraId="67495EE8" w14:textId="77777777" w:rsidR="00787876" w:rsidRPr="00757AC6" w:rsidRDefault="005569D9" w:rsidP="00D6403A">
      <w:pPr>
        <w:pStyle w:val="Heading3"/>
        <w:numPr>
          <w:ilvl w:val="0"/>
          <w:numId w:val="14"/>
        </w:numPr>
        <w:spacing w:line="360" w:lineRule="auto"/>
        <w:rPr>
          <w:rFonts w:ascii="Times New Roman" w:hAnsi="Times New Roman" w:cs="Times New Roman"/>
          <w:b/>
          <w:bCs/>
          <w:iCs/>
          <w:color w:val="1F4E79" w:themeColor="accent1" w:themeShade="80"/>
          <w:lang w:eastAsia="bg-BG"/>
        </w:rPr>
      </w:pPr>
      <w:bookmarkStart w:id="62" w:name="_Toc136342511"/>
      <w:bookmarkStart w:id="63" w:name="_Toc208580395"/>
      <w:r w:rsidRPr="00757AC6">
        <w:rPr>
          <w:rFonts w:ascii="Times New Roman" w:hAnsi="Times New Roman" w:cs="Times New Roman"/>
          <w:b/>
          <w:bCs/>
          <w:iCs/>
          <w:color w:val="1F4E79" w:themeColor="accent1" w:themeShade="80"/>
          <w:lang w:eastAsia="bg-BG"/>
        </w:rPr>
        <w:t xml:space="preserve">Продоволствена </w:t>
      </w:r>
      <w:r w:rsidR="00787876" w:rsidRPr="00757AC6">
        <w:rPr>
          <w:rFonts w:ascii="Times New Roman" w:hAnsi="Times New Roman" w:cs="Times New Roman"/>
          <w:b/>
          <w:bCs/>
          <w:iCs/>
          <w:color w:val="1F4E79" w:themeColor="accent1" w:themeShade="80"/>
          <w:lang w:eastAsia="bg-BG"/>
        </w:rPr>
        <w:t xml:space="preserve">и аграрна </w:t>
      </w:r>
      <w:r w:rsidRPr="00757AC6">
        <w:rPr>
          <w:rFonts w:ascii="Times New Roman" w:hAnsi="Times New Roman" w:cs="Times New Roman"/>
          <w:b/>
          <w:bCs/>
          <w:iCs/>
          <w:color w:val="1F4E79" w:themeColor="accent1" w:themeShade="80"/>
          <w:lang w:eastAsia="bg-BG"/>
        </w:rPr>
        <w:t>сигурност</w:t>
      </w:r>
      <w:bookmarkEnd w:id="62"/>
      <w:bookmarkEnd w:id="63"/>
    </w:p>
    <w:p w14:paraId="04CADC2D" w14:textId="77777777" w:rsidR="00787876" w:rsidRPr="005F49B3" w:rsidRDefault="00787876" w:rsidP="00D6403A">
      <w:pPr>
        <w:pStyle w:val="ListParagraph"/>
        <w:numPr>
          <w:ilvl w:val="0"/>
          <w:numId w:val="41"/>
        </w:numPr>
        <w:jc w:val="both"/>
        <w:rPr>
          <w:rFonts w:ascii="Times New Roman" w:hAnsi="Times New Roman" w:cs="Times New Roman"/>
          <w:b/>
          <w:sz w:val="24"/>
          <w:szCs w:val="24"/>
        </w:rPr>
      </w:pPr>
      <w:r w:rsidRPr="005F49B3">
        <w:rPr>
          <w:rFonts w:ascii="Times New Roman" w:hAnsi="Times New Roman" w:cs="Times New Roman"/>
          <w:b/>
          <w:sz w:val="24"/>
          <w:szCs w:val="24"/>
        </w:rPr>
        <w:t xml:space="preserve">Българското селско стопанство остава ключов гарант за продоволствената сигурност на страната, осигурявайки над 90% от вътрешното потребление на редица основни хранителни продукти. </w:t>
      </w:r>
    </w:p>
    <w:p w14:paraId="756D616B" w14:textId="77777777" w:rsidR="00787876" w:rsidRPr="005F49B3" w:rsidRDefault="00787876" w:rsidP="00D6403A">
      <w:pPr>
        <w:pStyle w:val="ListParagraph"/>
        <w:numPr>
          <w:ilvl w:val="0"/>
          <w:numId w:val="41"/>
        </w:numPr>
        <w:jc w:val="both"/>
        <w:rPr>
          <w:rFonts w:ascii="Times New Roman" w:hAnsi="Times New Roman" w:cs="Times New Roman"/>
          <w:b/>
          <w:sz w:val="24"/>
          <w:szCs w:val="24"/>
        </w:rPr>
      </w:pPr>
      <w:r w:rsidRPr="005F49B3">
        <w:rPr>
          <w:rFonts w:ascii="Times New Roman" w:hAnsi="Times New Roman" w:cs="Times New Roman"/>
          <w:b/>
          <w:sz w:val="24"/>
          <w:szCs w:val="24"/>
        </w:rPr>
        <w:t>През 2024 г. аграрният сектор бе изправен пред редица външни и вътрешни предизвикателства, свързани с климатични аномалии, болести по животните, нестабилни пазари и пожари.</w:t>
      </w:r>
    </w:p>
    <w:p w14:paraId="003F331F" w14:textId="77777777" w:rsidR="00787876" w:rsidRPr="005F49B3" w:rsidRDefault="00787876" w:rsidP="00D6403A">
      <w:pPr>
        <w:pStyle w:val="ListParagraph"/>
        <w:numPr>
          <w:ilvl w:val="0"/>
          <w:numId w:val="41"/>
        </w:numPr>
        <w:spacing w:after="120"/>
        <w:ind w:left="714" w:hanging="357"/>
        <w:jc w:val="both"/>
        <w:rPr>
          <w:rFonts w:ascii="Times New Roman" w:hAnsi="Times New Roman" w:cs="Times New Roman"/>
          <w:b/>
          <w:sz w:val="24"/>
          <w:szCs w:val="24"/>
        </w:rPr>
      </w:pPr>
      <w:r w:rsidRPr="005F49B3">
        <w:rPr>
          <w:rFonts w:ascii="Times New Roman" w:hAnsi="Times New Roman" w:cs="Times New Roman"/>
          <w:b/>
          <w:sz w:val="24"/>
          <w:szCs w:val="24"/>
        </w:rPr>
        <w:t>Бяха отчетени сериозни щети върху земеделските култури, като пропадналите площи надхвърлиха 14 000 ха. България се нареди на второ място в ЕС по брой горски пожари, а в епизоотичен план бе регистрирано огнище на африканска чума по свинете при домашни животни, както и над 1000 огнища при диви свине.</w:t>
      </w:r>
    </w:p>
    <w:p w14:paraId="1398D972" w14:textId="77777777" w:rsidR="00787876" w:rsidRPr="005F49B3" w:rsidRDefault="00787876"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Основните рискове за аграрната сигурност през 2024 г. произтичат от повтарящи се екстремни климатични явления – градушки, суши, проливни дъждове и измръзвания – които водят до преки загуби в растениевъдството и животновъдството. Допълнително, повишените производствени разходи и намаляващата рентабилност поставят под риск устойчивостта на стопанствата, особено на дребните и средни производители, за които преустановяването на дейност е реална заплаха. Секторът остава чувствителен към </w:t>
      </w:r>
      <w:r w:rsidRPr="005F49B3">
        <w:rPr>
          <w:rFonts w:ascii="Times New Roman" w:hAnsi="Times New Roman" w:cs="Times New Roman"/>
          <w:sz w:val="24"/>
          <w:szCs w:val="24"/>
          <w:lang w:eastAsia="bg-BG"/>
        </w:rPr>
        <w:lastRenderedPageBreak/>
        <w:t xml:space="preserve">външнотърговски шокове, включително спад на износа към трети страни, което допринася за нестабилност на приходите. Уязвимостта от </w:t>
      </w:r>
      <w:proofErr w:type="spellStart"/>
      <w:r w:rsidRPr="005F49B3">
        <w:rPr>
          <w:rFonts w:ascii="Times New Roman" w:hAnsi="Times New Roman" w:cs="Times New Roman"/>
          <w:sz w:val="24"/>
          <w:szCs w:val="24"/>
          <w:lang w:eastAsia="bg-BG"/>
        </w:rPr>
        <w:t>епизоотии</w:t>
      </w:r>
      <w:proofErr w:type="spellEnd"/>
      <w:r w:rsidRPr="005F49B3">
        <w:rPr>
          <w:rFonts w:ascii="Times New Roman" w:hAnsi="Times New Roman" w:cs="Times New Roman"/>
          <w:sz w:val="24"/>
          <w:szCs w:val="24"/>
          <w:lang w:eastAsia="bg-BG"/>
        </w:rPr>
        <w:t xml:space="preserve"> и зоонози продължава да бъде значима, с потенциални последствия както за продоволствената сигурност, така и за икономическата стабилност на страната. Недостатъчно развитата инфраструктура за напояване и защита от наводнения допълнително влошава устойчивостта на земеделските системи. Към това се добавя и дългосрочната демографска тенденция на обезлюдяване на селските райони, която затруднява поддържането на жизнеспособна аграрна база. На системно равнище се открояват и проблеми, свързани с нелоялна конкуренция от трети страни, опити за нелегален внос и употреба на забранени в ЕС препарати за растителна защита, както и дефицити при изпълнението на държавната профилактична програма. Опасност за продоволствената сигурност представляват и опитите за разпространение на негодни за употреба или с изтекъл срок на годност хранителни продукти, включително в социално уязвими среди като детски заведения.</w:t>
      </w:r>
    </w:p>
    <w:p w14:paraId="69DAB232" w14:textId="77777777" w:rsidR="00787876" w:rsidRPr="005F49B3" w:rsidRDefault="00787876"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В отговор на комплексните предизвикателства, в сектора се прилагат редица мерки. Изпълнява се Програма за управление на рисковете и кризите в земеделието, както и национални програми за контрол на заболявания по животните, включително африканска чума по свинете и инфлуенца по птиците. Подкрепа за повишаване на ликвидността на земеделските стопанства се предоставя чрез инструментите на Общата селскостопанска политика и системата от държавни помощи. За адаптация към климатичните промени се предприемат действия за въвеждане на устойчиви сортове, модернизация на системите за напояване и съхранение на вода, както и обучения за земеделските производители. България участва активно в европейските механизми за взаимопомощ при бедствия, като EFFIS и Механизма за гражданска защита на ЕС. Засилва се контролът от страна на Българската агенция по безопасност на храните в сферата на безопасността на храните, здравето на животните, растителната защита и предотвратяването на измами. Поддържа се денонощен метеорологичен и </w:t>
      </w:r>
      <w:proofErr w:type="spellStart"/>
      <w:r w:rsidRPr="005F49B3">
        <w:rPr>
          <w:rFonts w:ascii="Times New Roman" w:hAnsi="Times New Roman" w:cs="Times New Roman"/>
          <w:sz w:val="24"/>
          <w:szCs w:val="24"/>
          <w:lang w:eastAsia="bg-BG"/>
        </w:rPr>
        <w:t>градозащитен</w:t>
      </w:r>
      <w:proofErr w:type="spellEnd"/>
      <w:r w:rsidRPr="005F49B3">
        <w:rPr>
          <w:rFonts w:ascii="Times New Roman" w:hAnsi="Times New Roman" w:cs="Times New Roman"/>
          <w:sz w:val="24"/>
          <w:szCs w:val="24"/>
          <w:lang w:eastAsia="bg-BG"/>
        </w:rPr>
        <w:t xml:space="preserve"> мониторинг чрез Изпълнителна агенция „Борба с градушките“, с цел ранно предупреждение и ограничаване на щетите от природни бедствия. Сред конкретните действия през 2024 г. могат да се посочат пресичането на опити за доставка на негодни за употреба храни в детски градини, образуване на прокурорски проверки и досъдебни производства по случаи на неправомерно изграждане и използване на </w:t>
      </w:r>
      <w:proofErr w:type="spellStart"/>
      <w:r w:rsidRPr="005F49B3">
        <w:rPr>
          <w:rFonts w:ascii="Times New Roman" w:hAnsi="Times New Roman" w:cs="Times New Roman"/>
          <w:sz w:val="24"/>
          <w:szCs w:val="24"/>
          <w:lang w:eastAsia="bg-BG"/>
        </w:rPr>
        <w:t>водовземни</w:t>
      </w:r>
      <w:proofErr w:type="spellEnd"/>
      <w:r w:rsidRPr="005F49B3">
        <w:rPr>
          <w:rFonts w:ascii="Times New Roman" w:hAnsi="Times New Roman" w:cs="Times New Roman"/>
          <w:sz w:val="24"/>
          <w:szCs w:val="24"/>
          <w:lang w:eastAsia="bg-BG"/>
        </w:rPr>
        <w:t xml:space="preserve"> съоръжения за напояване, както и действия за ограничаване на забавянията при доставка и прилагане на ветеринарни ваксини.</w:t>
      </w:r>
    </w:p>
    <w:p w14:paraId="05F310D3" w14:textId="77777777" w:rsidR="00787876" w:rsidRPr="005F49B3" w:rsidRDefault="00787876"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С цел преодоляване на натрупаните уязвимости в сектора и постигане на по-голяма устойчивост е необходимо ускорено внедряване на иновации и цифрови технологии в аграрния сектор. Това включва автоматизация на производствените процеси, развитие на генетична селекция, мониторинг на здравния статус на културите и животните, както и въвеждане на интелигентни системи за управление на ресурси. Успоредно с това следва да се ускори инвестиционният процес по изграждане и рехабилитация на хидромелиоративни съоръжения и да се подобри цялостното управление на водните ресурси. Разработването на дългосрочна стратегия за устойчиво земеделие и продоволствена сигурност, базирана на интердисциплинарен подход и съвместимост с Европейския зелен пакт, следва да бъде приоритет. От особено значение е и повишаването на капацитета за епизоотичен и фитосанитарен контрол чрез обучения, подобряване на лабораторната инфраструктура и ефективна координация между </w:t>
      </w:r>
      <w:r w:rsidRPr="005F49B3">
        <w:rPr>
          <w:rFonts w:ascii="Times New Roman" w:hAnsi="Times New Roman" w:cs="Times New Roman"/>
          <w:sz w:val="24"/>
          <w:szCs w:val="24"/>
          <w:lang w:eastAsia="bg-BG"/>
        </w:rPr>
        <w:lastRenderedPageBreak/>
        <w:t>институциите. Общият подход в сектора следва да бъде ориентиран към превенция, гъвкавост и интегрирано управление на риска по цялата агрохранителна верига.</w:t>
      </w:r>
    </w:p>
    <w:p w14:paraId="58D9207A" w14:textId="77777777" w:rsidR="004E3B8D" w:rsidRPr="00757AC6" w:rsidRDefault="00541C6A" w:rsidP="00D6403A">
      <w:pPr>
        <w:pStyle w:val="Heading3"/>
        <w:numPr>
          <w:ilvl w:val="0"/>
          <w:numId w:val="14"/>
        </w:numPr>
        <w:spacing w:after="60" w:line="360" w:lineRule="auto"/>
        <w:rPr>
          <w:rFonts w:ascii="Times New Roman" w:hAnsi="Times New Roman" w:cs="Times New Roman"/>
          <w:b/>
          <w:color w:val="1F4E79" w:themeColor="accent1" w:themeShade="80"/>
        </w:rPr>
      </w:pPr>
      <w:bookmarkStart w:id="64" w:name="_Toc136342514"/>
      <w:bookmarkStart w:id="65" w:name="_Toc208580396"/>
      <w:r w:rsidRPr="00757AC6">
        <w:rPr>
          <w:rFonts w:ascii="Times New Roman" w:hAnsi="Times New Roman" w:cs="Times New Roman"/>
          <w:b/>
          <w:color w:val="1F4E79" w:themeColor="accent1" w:themeShade="80"/>
        </w:rPr>
        <w:t>Движимо и недвижимо културно наследство</w:t>
      </w:r>
      <w:bookmarkEnd w:id="64"/>
      <w:bookmarkEnd w:id="65"/>
    </w:p>
    <w:p w14:paraId="76F76358" w14:textId="77777777" w:rsidR="0037041E" w:rsidRPr="0037041E" w:rsidRDefault="0037041E" w:rsidP="0037041E">
      <w:pPr>
        <w:pStyle w:val="ListParagraph"/>
        <w:numPr>
          <w:ilvl w:val="0"/>
          <w:numId w:val="3"/>
        </w:numPr>
        <w:jc w:val="both"/>
        <w:rPr>
          <w:rFonts w:ascii="Times New Roman" w:hAnsi="Times New Roman" w:cs="Times New Roman"/>
          <w:b/>
          <w:sz w:val="24"/>
          <w:szCs w:val="24"/>
          <w:lang w:eastAsia="bg-BG"/>
        </w:rPr>
      </w:pPr>
      <w:r w:rsidRPr="0037041E">
        <w:rPr>
          <w:rFonts w:ascii="Times New Roman" w:hAnsi="Times New Roman" w:cs="Times New Roman"/>
          <w:b/>
          <w:sz w:val="24"/>
          <w:szCs w:val="24"/>
          <w:lang w:eastAsia="bg-BG"/>
        </w:rPr>
        <w:t>През 2024 г. са предприети действия за дигитализация на музейни фондове и разработване на софтуер, улесняващ взаимодействието с МВР, Прокуратурата и Агенция „Митници“ за противодействие на нелегален трафик и иманярство.</w:t>
      </w:r>
    </w:p>
    <w:p w14:paraId="0BAB0BFA" w14:textId="77777777" w:rsidR="0037041E" w:rsidRPr="0037041E" w:rsidRDefault="0037041E" w:rsidP="0037041E">
      <w:pPr>
        <w:pStyle w:val="ListParagraph"/>
        <w:numPr>
          <w:ilvl w:val="0"/>
          <w:numId w:val="3"/>
        </w:numPr>
        <w:jc w:val="both"/>
        <w:rPr>
          <w:rFonts w:ascii="Times New Roman" w:hAnsi="Times New Roman" w:cs="Times New Roman"/>
          <w:b/>
          <w:sz w:val="24"/>
          <w:szCs w:val="24"/>
          <w:lang w:eastAsia="bg-BG"/>
        </w:rPr>
      </w:pPr>
      <w:r w:rsidRPr="0037041E">
        <w:rPr>
          <w:rFonts w:ascii="Times New Roman" w:hAnsi="Times New Roman" w:cs="Times New Roman"/>
          <w:b/>
          <w:sz w:val="24"/>
          <w:szCs w:val="24"/>
          <w:lang w:eastAsia="bg-BG"/>
        </w:rPr>
        <w:t>Основни рискове за движимото и недвижимото наследство са иманярството, незаконният трафик, онлайн търговията и вандализмът, задълбочени от недостиг на реставратори, липса на планове за управление и ограничен капацитет за съхранение и мониторинг.</w:t>
      </w:r>
    </w:p>
    <w:p w14:paraId="4F9B6F7D" w14:textId="554EF03E" w:rsidR="0037041E" w:rsidRPr="0037041E" w:rsidRDefault="0037041E" w:rsidP="0037041E">
      <w:pPr>
        <w:pStyle w:val="ListParagraph"/>
        <w:numPr>
          <w:ilvl w:val="0"/>
          <w:numId w:val="3"/>
        </w:numPr>
        <w:jc w:val="both"/>
        <w:rPr>
          <w:rFonts w:ascii="Times New Roman" w:hAnsi="Times New Roman" w:cs="Times New Roman"/>
          <w:b/>
          <w:sz w:val="24"/>
          <w:szCs w:val="24"/>
          <w:lang w:eastAsia="bg-BG"/>
        </w:rPr>
      </w:pPr>
      <w:r w:rsidRPr="0037041E">
        <w:rPr>
          <w:rFonts w:ascii="Times New Roman" w:hAnsi="Times New Roman" w:cs="Times New Roman"/>
          <w:b/>
          <w:sz w:val="24"/>
          <w:szCs w:val="24"/>
          <w:lang w:eastAsia="bg-BG"/>
        </w:rPr>
        <w:t>Стратегически приоритет е приемането на наредбата по чл. 5 от ЗКН и синхронизирането на задълженията между МК, МО и МВР, съчетано с повишаване на санкциите, учебни евакуации и укрепване на експертния капацитет.</w:t>
      </w:r>
    </w:p>
    <w:p w14:paraId="6BF8DE51" w14:textId="77777777" w:rsidR="0037041E" w:rsidRPr="0037041E" w:rsidRDefault="0037041E" w:rsidP="0037041E">
      <w:pPr>
        <w:spacing w:after="120"/>
        <w:ind w:firstLine="851"/>
        <w:jc w:val="both"/>
        <w:rPr>
          <w:rFonts w:ascii="Times New Roman" w:hAnsi="Times New Roman" w:cs="Times New Roman"/>
          <w:sz w:val="24"/>
          <w:szCs w:val="24"/>
          <w:lang w:eastAsia="bg-BG"/>
        </w:rPr>
      </w:pPr>
      <w:r w:rsidRPr="0037041E">
        <w:rPr>
          <w:rFonts w:ascii="Times New Roman" w:hAnsi="Times New Roman" w:cs="Times New Roman"/>
          <w:sz w:val="24"/>
          <w:szCs w:val="24"/>
          <w:lang w:eastAsia="bg-BG"/>
        </w:rPr>
        <w:t>Културното наследство на България представлява стратегически ресурс за националната идентичност и устойчивост. Основните заплахи са свързани с иманярство, незаконен трафик, кражби и вандализъм, както и с недостатъчен институционален капацитет за опазване и реставрация. През 2024 г. са предприети стъпки за ускорена дигитализация на музейни фондове и разработване на специализиран софтуер, както и за подготовка на наредба по чл. 5 от Закона за културното наследство (ЗКН) за опазване на културното наследство при бедствия и въоръжени конфликти. Секторът остава обект на международен мониторинг и е интегриран в рамката на европейските и световни конвенции.</w:t>
      </w:r>
    </w:p>
    <w:p w14:paraId="4575B1F3" w14:textId="77777777" w:rsidR="0037041E" w:rsidRPr="0037041E" w:rsidRDefault="0037041E" w:rsidP="0037041E">
      <w:pPr>
        <w:spacing w:after="120"/>
        <w:ind w:firstLine="851"/>
        <w:jc w:val="both"/>
        <w:rPr>
          <w:rFonts w:ascii="Times New Roman" w:hAnsi="Times New Roman" w:cs="Times New Roman"/>
          <w:sz w:val="24"/>
          <w:szCs w:val="24"/>
          <w:lang w:eastAsia="bg-BG"/>
        </w:rPr>
      </w:pPr>
      <w:r w:rsidRPr="0037041E">
        <w:rPr>
          <w:rFonts w:ascii="Times New Roman" w:hAnsi="Times New Roman" w:cs="Times New Roman"/>
          <w:sz w:val="24"/>
          <w:szCs w:val="24"/>
          <w:lang w:eastAsia="bg-BG"/>
        </w:rPr>
        <w:t xml:space="preserve">Рисковете за движимите културни ценности включват незаконни археологически разкопки, нерегламентирани сделки, кражби от музеи, храмове и частни колекции, нелегален износ и онлайн търговия. Допълнителна заплаха е разширяващият се пазар на фалшификати, както и проникването на престъпни групи в НПО и фондации, свързани с културното наследство. Недвижимите културни ценности са уязвими заради липса на охрана, </w:t>
      </w:r>
      <w:proofErr w:type="spellStart"/>
      <w:r w:rsidRPr="0037041E">
        <w:rPr>
          <w:rFonts w:ascii="Times New Roman" w:hAnsi="Times New Roman" w:cs="Times New Roman"/>
          <w:sz w:val="24"/>
          <w:szCs w:val="24"/>
          <w:lang w:eastAsia="bg-BG"/>
        </w:rPr>
        <w:t>неизвършвани</w:t>
      </w:r>
      <w:proofErr w:type="spellEnd"/>
      <w:r w:rsidRPr="0037041E">
        <w:rPr>
          <w:rFonts w:ascii="Times New Roman" w:hAnsi="Times New Roman" w:cs="Times New Roman"/>
          <w:sz w:val="24"/>
          <w:szCs w:val="24"/>
          <w:lang w:eastAsia="bg-BG"/>
        </w:rPr>
        <w:t xml:space="preserve"> </w:t>
      </w:r>
      <w:proofErr w:type="spellStart"/>
      <w:r w:rsidRPr="0037041E">
        <w:rPr>
          <w:rFonts w:ascii="Times New Roman" w:hAnsi="Times New Roman" w:cs="Times New Roman"/>
          <w:sz w:val="24"/>
          <w:szCs w:val="24"/>
          <w:lang w:eastAsia="bg-BG"/>
        </w:rPr>
        <w:t>консервационно</w:t>
      </w:r>
      <w:proofErr w:type="spellEnd"/>
      <w:r w:rsidRPr="0037041E">
        <w:rPr>
          <w:rFonts w:ascii="Times New Roman" w:hAnsi="Times New Roman" w:cs="Times New Roman"/>
          <w:sz w:val="24"/>
          <w:szCs w:val="24"/>
          <w:lang w:eastAsia="bg-BG"/>
        </w:rPr>
        <w:t xml:space="preserve">-реставрационни дейности, отсъствие на планове за управление и чести инвестиционни намеси без съгласуване с Министерството на културата. В институционален план съществуват проблеми с недостига на квалифицирани реставратори, липсата на съвременни </w:t>
      </w:r>
      <w:proofErr w:type="spellStart"/>
      <w:r w:rsidRPr="0037041E">
        <w:rPr>
          <w:rFonts w:ascii="Times New Roman" w:hAnsi="Times New Roman" w:cs="Times New Roman"/>
          <w:sz w:val="24"/>
          <w:szCs w:val="24"/>
          <w:lang w:eastAsia="bg-BG"/>
        </w:rPr>
        <w:t>консервационни</w:t>
      </w:r>
      <w:proofErr w:type="spellEnd"/>
      <w:r w:rsidRPr="0037041E">
        <w:rPr>
          <w:rFonts w:ascii="Times New Roman" w:hAnsi="Times New Roman" w:cs="Times New Roman"/>
          <w:sz w:val="24"/>
          <w:szCs w:val="24"/>
          <w:lang w:eastAsia="bg-BG"/>
        </w:rPr>
        <w:t xml:space="preserve"> методи, бавното внедряване на дигитални решения и ограничените ресурси за системен мониторинг. Риск се поражда и от бедствия и въоръжени конфликти, които могат да засегнат културното наследство при липса на цялостна координация.</w:t>
      </w:r>
    </w:p>
    <w:p w14:paraId="4F38A01A" w14:textId="77777777" w:rsidR="0037041E" w:rsidRPr="0037041E" w:rsidRDefault="0037041E" w:rsidP="0037041E">
      <w:pPr>
        <w:spacing w:after="120"/>
        <w:ind w:firstLine="851"/>
        <w:jc w:val="both"/>
        <w:rPr>
          <w:rFonts w:ascii="Times New Roman" w:hAnsi="Times New Roman" w:cs="Times New Roman"/>
          <w:sz w:val="24"/>
          <w:szCs w:val="24"/>
          <w:lang w:eastAsia="bg-BG"/>
        </w:rPr>
      </w:pPr>
      <w:r w:rsidRPr="0037041E">
        <w:rPr>
          <w:rFonts w:ascii="Times New Roman" w:hAnsi="Times New Roman" w:cs="Times New Roman"/>
          <w:sz w:val="24"/>
          <w:szCs w:val="24"/>
          <w:lang w:eastAsia="bg-BG"/>
        </w:rPr>
        <w:t xml:space="preserve">През 2024 г. са предприети действия за дигитализация на музейните фондове и разработване на софтуер за дигитализация на движимото културно наследство, който ще улесни взаимодействието между културните институции и органите на МВР, Прокуратурата и Агенция „Митници“ за превенция и борба с нелегалния трафик и иманярството. Създадена е междуведомствена работна група, която изготви проект на наредба по чл. 5 от ЗКН; след съгласуване с МВР предстои неговото доработване и финализиране. Проведени са обучения на музейни специалисти и реставратори, както и целенасочени проверки от Главна дирекция „Инспекторат за опазване на културното </w:t>
      </w:r>
      <w:r w:rsidRPr="0037041E">
        <w:rPr>
          <w:rFonts w:ascii="Times New Roman" w:hAnsi="Times New Roman" w:cs="Times New Roman"/>
          <w:sz w:val="24"/>
          <w:szCs w:val="24"/>
          <w:lang w:eastAsia="bg-BG"/>
        </w:rPr>
        <w:lastRenderedPageBreak/>
        <w:t>наследство“. В международен план е осигурено съответствие с конвенциите на Съвета на Европа и ЮНЕСКО, а в рамките на ЕС България е включена в обмен на добри практики за превенция на незаконния трафик.</w:t>
      </w:r>
    </w:p>
    <w:p w14:paraId="4A62E3B4" w14:textId="77777777" w:rsidR="0037041E" w:rsidRPr="0037041E" w:rsidRDefault="0037041E" w:rsidP="0037041E">
      <w:pPr>
        <w:spacing w:after="120"/>
        <w:ind w:firstLine="851"/>
        <w:jc w:val="both"/>
        <w:rPr>
          <w:rFonts w:ascii="Times New Roman" w:hAnsi="Times New Roman" w:cs="Times New Roman"/>
          <w:sz w:val="24"/>
          <w:szCs w:val="24"/>
          <w:lang w:eastAsia="bg-BG"/>
        </w:rPr>
      </w:pPr>
      <w:r w:rsidRPr="0037041E">
        <w:rPr>
          <w:rFonts w:ascii="Times New Roman" w:hAnsi="Times New Roman" w:cs="Times New Roman"/>
          <w:sz w:val="24"/>
          <w:szCs w:val="24"/>
          <w:lang w:eastAsia="bg-BG"/>
        </w:rPr>
        <w:t>От стратегическа гледна точка, за да се намали рискът за културното наследство, следва да бъде издадена предвидената в чл. 5 от ЗКН наредба между МК, МО и МВР за опазване на културното наследство при бедствия и въоръжени конфликти, както и въз основа на Конвенцията за защита на културните ценности в случай на въоръжен конфликт. След приемането на наредбата е необходима национална разяснителна кампания. Ангажираните министерства следва да предприемат мерки за синхронизиране на своите задължения и регулярното провеждане на учебни евакуации на културното наследство.</w:t>
      </w:r>
    </w:p>
    <w:p w14:paraId="3BAF5EB3" w14:textId="4EC65D90" w:rsidR="0037041E" w:rsidRPr="005F49B3" w:rsidRDefault="0037041E" w:rsidP="0037041E">
      <w:pPr>
        <w:spacing w:after="120"/>
        <w:ind w:firstLine="851"/>
        <w:jc w:val="both"/>
        <w:rPr>
          <w:rFonts w:ascii="Times New Roman" w:hAnsi="Times New Roman" w:cs="Times New Roman"/>
          <w:sz w:val="24"/>
          <w:szCs w:val="24"/>
          <w:lang w:eastAsia="bg-BG"/>
        </w:rPr>
      </w:pPr>
      <w:r w:rsidRPr="0037041E">
        <w:rPr>
          <w:rFonts w:ascii="Times New Roman" w:hAnsi="Times New Roman" w:cs="Times New Roman"/>
          <w:sz w:val="24"/>
          <w:szCs w:val="24"/>
          <w:lang w:eastAsia="bg-BG"/>
        </w:rPr>
        <w:t>Следва да се увеличат наказателните санкции и да се създадат специализирани звена за противодействие на иманярството, незаконния трафик и онлайн търговията. Важно е да се укрепи експертният капацитет чрез целенасочени обучения и адекватно финансиране, както и да се осигури материална база за евакуация на културни ценности (специализирани атрибути, техника и оборудване), в съчетание с регулярни учения.</w:t>
      </w:r>
    </w:p>
    <w:p w14:paraId="6FE786AD" w14:textId="77777777" w:rsidR="00DD22C8" w:rsidRPr="00757AC6" w:rsidRDefault="00DD22C8" w:rsidP="00D6403A">
      <w:pPr>
        <w:pStyle w:val="Heading3"/>
        <w:numPr>
          <w:ilvl w:val="0"/>
          <w:numId w:val="14"/>
        </w:numPr>
        <w:spacing w:before="0" w:after="120" w:line="360" w:lineRule="auto"/>
        <w:ind w:left="714" w:hanging="357"/>
        <w:rPr>
          <w:rFonts w:ascii="Times New Roman" w:hAnsi="Times New Roman" w:cs="Times New Roman"/>
          <w:b/>
          <w:color w:val="1F4E79" w:themeColor="accent1" w:themeShade="80"/>
        </w:rPr>
      </w:pPr>
      <w:bookmarkStart w:id="66" w:name="_Toc208580397"/>
      <w:r w:rsidRPr="00757AC6">
        <w:rPr>
          <w:rFonts w:ascii="Times New Roman" w:hAnsi="Times New Roman" w:cs="Times New Roman"/>
          <w:b/>
          <w:color w:val="1F4E79" w:themeColor="accent1" w:themeShade="80"/>
        </w:rPr>
        <w:t>Туризъм</w:t>
      </w:r>
      <w:bookmarkEnd w:id="66"/>
    </w:p>
    <w:p w14:paraId="20267CA2" w14:textId="77777777" w:rsidR="00AE3D51" w:rsidRPr="005F49B3" w:rsidRDefault="00AE3D51" w:rsidP="00D6403A">
      <w:pPr>
        <w:pStyle w:val="ListParagraph"/>
        <w:numPr>
          <w:ilvl w:val="0"/>
          <w:numId w:val="44"/>
        </w:numPr>
        <w:spacing w:after="120"/>
        <w:jc w:val="both"/>
        <w:rPr>
          <w:rFonts w:ascii="Times New Roman" w:hAnsi="Times New Roman" w:cs="Times New Roman"/>
          <w:b/>
          <w:sz w:val="24"/>
        </w:rPr>
      </w:pPr>
      <w:r w:rsidRPr="005F49B3">
        <w:rPr>
          <w:rFonts w:ascii="Times New Roman" w:hAnsi="Times New Roman" w:cs="Times New Roman"/>
          <w:b/>
          <w:sz w:val="24"/>
        </w:rPr>
        <w:t>Туризмът се утвърждава като отрасъл с нарастващо значение за националната сигурност, включително в аспекти като икономическа устойчивост, международен имидж, миграционен контрол и защита на цифровата инфраструктура.</w:t>
      </w:r>
    </w:p>
    <w:p w14:paraId="7F8807F9" w14:textId="77777777" w:rsidR="00AE3D51" w:rsidRPr="005F49B3" w:rsidRDefault="00AE3D51" w:rsidP="00D6403A">
      <w:pPr>
        <w:pStyle w:val="ListParagraph"/>
        <w:numPr>
          <w:ilvl w:val="0"/>
          <w:numId w:val="44"/>
        </w:numPr>
        <w:spacing w:after="120"/>
        <w:jc w:val="both"/>
        <w:rPr>
          <w:rFonts w:ascii="Times New Roman" w:hAnsi="Times New Roman" w:cs="Times New Roman"/>
          <w:b/>
          <w:sz w:val="24"/>
        </w:rPr>
      </w:pPr>
      <w:r w:rsidRPr="005F49B3">
        <w:rPr>
          <w:rFonts w:ascii="Times New Roman" w:hAnsi="Times New Roman" w:cs="Times New Roman"/>
          <w:b/>
          <w:sz w:val="24"/>
        </w:rPr>
        <w:t>Военните конфликти и геополитическата нестабилност доведоха до значими изменения в туристическите потоци.</w:t>
      </w:r>
    </w:p>
    <w:p w14:paraId="20A6D358" w14:textId="77777777" w:rsidR="00AE3D51" w:rsidRPr="005F49B3" w:rsidRDefault="00AE3D51" w:rsidP="00D6403A">
      <w:pPr>
        <w:pStyle w:val="ListParagraph"/>
        <w:numPr>
          <w:ilvl w:val="0"/>
          <w:numId w:val="44"/>
        </w:numPr>
        <w:spacing w:after="120"/>
        <w:jc w:val="both"/>
        <w:rPr>
          <w:rFonts w:ascii="Times New Roman" w:hAnsi="Times New Roman" w:cs="Times New Roman"/>
          <w:b/>
          <w:sz w:val="24"/>
        </w:rPr>
      </w:pPr>
      <w:r w:rsidRPr="005F49B3">
        <w:rPr>
          <w:rFonts w:ascii="Times New Roman" w:hAnsi="Times New Roman" w:cs="Times New Roman"/>
          <w:b/>
          <w:sz w:val="24"/>
        </w:rPr>
        <w:t>Нарастващият миграционен натиск и хетерогенната сезонна заетост засилиха риска от злоупотреби с визови и трудови режими.</w:t>
      </w:r>
    </w:p>
    <w:p w14:paraId="3B06A26C" w14:textId="1EF41149" w:rsidR="00AE3D51" w:rsidRPr="005F49B3" w:rsidRDefault="00AE3D51" w:rsidP="00AE3D51">
      <w:pPr>
        <w:spacing w:after="120"/>
        <w:ind w:firstLine="851"/>
        <w:jc w:val="both"/>
        <w:rPr>
          <w:rFonts w:ascii="Times New Roman" w:hAnsi="Times New Roman" w:cs="Times New Roman"/>
          <w:sz w:val="24"/>
        </w:rPr>
      </w:pPr>
      <w:r w:rsidRPr="005F49B3">
        <w:rPr>
          <w:rFonts w:ascii="Times New Roman" w:hAnsi="Times New Roman" w:cs="Times New Roman"/>
          <w:sz w:val="24"/>
        </w:rPr>
        <w:t xml:space="preserve">Международната обстановка през 2024 г. оказа пряко въздействие върху сигурността на туристическия сектор. Военните действия в Украйна и Близкия изток доведоха до рязък спад на туристическия поток от Русия, Украйна и Израел – общо над 1 милион посетители по-малко на годишна база. Допълнително, напрежението между Израел и Иран ограничи пътуванията от Близкия изток с над 20%, а нарастващият миграционен натиск и хетерогенната сезонна заетост засилиха риска от злоупотреби с визови и </w:t>
      </w:r>
      <w:r w:rsidR="00E4153D">
        <w:rPr>
          <w:rFonts w:ascii="Times New Roman" w:hAnsi="Times New Roman" w:cs="Times New Roman"/>
          <w:sz w:val="24"/>
        </w:rPr>
        <w:t>режими на достъп до пазара на труда</w:t>
      </w:r>
      <w:r w:rsidRPr="005F49B3">
        <w:rPr>
          <w:rFonts w:ascii="Times New Roman" w:hAnsi="Times New Roman" w:cs="Times New Roman"/>
          <w:sz w:val="24"/>
        </w:rPr>
        <w:t>. Вътрешната среда се характеризира със засилен приток на сезонни работници от държави с висока степен на социална уязвимост, посредничество с неясен произход и рискове от трудова експлоатация и криминализиране на заетостта. Паралелно с това, туристическият сектор стана обект на целенасочени киберзаплахи, които компрометират функционирането на дигиталната инфраструктура и обмена на чувствителна информация.</w:t>
      </w:r>
    </w:p>
    <w:p w14:paraId="0891DFB5" w14:textId="77777777" w:rsidR="00AE3D51" w:rsidRPr="005F49B3" w:rsidRDefault="00AE3D51" w:rsidP="00AE3D51">
      <w:pPr>
        <w:spacing w:after="120"/>
        <w:ind w:firstLine="851"/>
        <w:jc w:val="both"/>
        <w:rPr>
          <w:rFonts w:ascii="Times New Roman" w:hAnsi="Times New Roman" w:cs="Times New Roman"/>
          <w:sz w:val="24"/>
        </w:rPr>
      </w:pPr>
      <w:r w:rsidRPr="005F49B3">
        <w:rPr>
          <w:rFonts w:ascii="Times New Roman" w:hAnsi="Times New Roman" w:cs="Times New Roman"/>
          <w:sz w:val="24"/>
        </w:rPr>
        <w:t xml:space="preserve">Министерството на туризма адаптира своята международна комуникационна стратегия чрез целенасочено пренасочване на маркетинга към устойчиви европейски пазари и провеждане на 20 кампании чрез платформи като META, </w:t>
      </w:r>
      <w:proofErr w:type="spellStart"/>
      <w:r w:rsidRPr="005F49B3">
        <w:rPr>
          <w:rFonts w:ascii="Times New Roman" w:hAnsi="Times New Roman" w:cs="Times New Roman"/>
          <w:sz w:val="24"/>
        </w:rPr>
        <w:t>Google</w:t>
      </w:r>
      <w:proofErr w:type="spellEnd"/>
      <w:r w:rsidRPr="005F49B3">
        <w:rPr>
          <w:rFonts w:ascii="Times New Roman" w:hAnsi="Times New Roman" w:cs="Times New Roman"/>
          <w:sz w:val="24"/>
        </w:rPr>
        <w:t xml:space="preserve"> и </w:t>
      </w:r>
      <w:proofErr w:type="spellStart"/>
      <w:r w:rsidRPr="005F49B3">
        <w:rPr>
          <w:rFonts w:ascii="Times New Roman" w:hAnsi="Times New Roman" w:cs="Times New Roman"/>
          <w:sz w:val="24"/>
        </w:rPr>
        <w:t>eSky</w:t>
      </w:r>
      <w:proofErr w:type="spellEnd"/>
      <w:r w:rsidRPr="005F49B3">
        <w:rPr>
          <w:rFonts w:ascii="Times New Roman" w:hAnsi="Times New Roman" w:cs="Times New Roman"/>
          <w:sz w:val="24"/>
        </w:rPr>
        <w:t xml:space="preserve">. Участието в 24 международни изложения бе насочено към затвърждаване на имиджа на България като сигурна и стабилна дестинация. Засилено бе взаимодействието с Министерството на външните работи и консулските служби за оптимизация на визовия режим. Вътрешно, бяха разгледани над 15 000 заявления за сезонна заетост, с приоритет </w:t>
      </w:r>
      <w:r w:rsidRPr="005F49B3">
        <w:rPr>
          <w:rFonts w:ascii="Times New Roman" w:hAnsi="Times New Roman" w:cs="Times New Roman"/>
          <w:sz w:val="24"/>
        </w:rPr>
        <w:lastRenderedPageBreak/>
        <w:t xml:space="preserve">към държави с нисък миграционен риск. Въведени бяха процедури за подбор, предварително обучение и културна адаптация. Активирана бе междуведомствена работна група за контрол на трудовия достъп. В областта на киберсигурността бе реализирана цялостна модернизация, включваща защитни стени, </w:t>
      </w:r>
      <w:proofErr w:type="spellStart"/>
      <w:r w:rsidRPr="005F49B3">
        <w:rPr>
          <w:rFonts w:ascii="Times New Roman" w:hAnsi="Times New Roman" w:cs="Times New Roman"/>
          <w:sz w:val="24"/>
        </w:rPr>
        <w:t>SentinelOne</w:t>
      </w:r>
      <w:proofErr w:type="spellEnd"/>
      <w:r w:rsidRPr="005F49B3">
        <w:rPr>
          <w:rFonts w:ascii="Times New Roman" w:hAnsi="Times New Roman" w:cs="Times New Roman"/>
          <w:sz w:val="24"/>
        </w:rPr>
        <w:t>, архитектурна сегментация на критични системи и криптиране. Министерството организира 44 национални събития с повишени мерки за сигурност в координация с МВР и местните власти.</w:t>
      </w:r>
    </w:p>
    <w:p w14:paraId="5F3FC764" w14:textId="77777777" w:rsidR="00DD22C8" w:rsidRDefault="00AE3D51" w:rsidP="00AE3D51">
      <w:pPr>
        <w:spacing w:after="120"/>
        <w:ind w:firstLine="851"/>
        <w:jc w:val="both"/>
        <w:rPr>
          <w:rFonts w:ascii="Times New Roman" w:hAnsi="Times New Roman" w:cs="Times New Roman"/>
          <w:sz w:val="24"/>
        </w:rPr>
      </w:pPr>
      <w:r w:rsidRPr="005F49B3">
        <w:rPr>
          <w:rFonts w:ascii="Times New Roman" w:hAnsi="Times New Roman" w:cs="Times New Roman"/>
          <w:sz w:val="24"/>
        </w:rPr>
        <w:t xml:space="preserve">Необходимо е да се разшири междуведомственият механизъм за контрол върху визовия достъп чрез динамични аналитични модули за оценка на риска в реално време, особено в контекст на кризи и бързо променяща се обстановка. Следва да се разработи комуникационна рамка за реакция при дезинформационни кампании, засягащи имиджа на страната и туристическата ѝ привлекателност. Да </w:t>
      </w:r>
      <w:r w:rsidR="00E4153D">
        <w:rPr>
          <w:rFonts w:ascii="Times New Roman" w:hAnsi="Times New Roman" w:cs="Times New Roman"/>
          <w:sz w:val="24"/>
        </w:rPr>
        <w:t xml:space="preserve">се предвиди режим за регистрация на физическите и юридическите лица, осъществяващи посредническа дейност по наемане на граждани на трети държави. </w:t>
      </w:r>
      <w:r w:rsidRPr="005F49B3">
        <w:rPr>
          <w:rFonts w:ascii="Times New Roman" w:hAnsi="Times New Roman" w:cs="Times New Roman"/>
          <w:sz w:val="24"/>
        </w:rPr>
        <w:t>Препоръчва се устойчиво надграждане на цифровата инфраструктура и развитие на експертен капацитет за противодействие на киберзаплахи в сектора. Необходимо е също така да се усъвършенстват протоколите за сигурност при публични събития и да се въведе система за мониторинг на туристическите потоци в реално време.</w:t>
      </w:r>
    </w:p>
    <w:p w14:paraId="389CD62C" w14:textId="3948B93F" w:rsidR="00AF7C1D" w:rsidRPr="005F49B3" w:rsidRDefault="00AF7C1D" w:rsidP="00AF7C1D">
      <w:pPr>
        <w:rPr>
          <w:rFonts w:ascii="Times New Roman" w:hAnsi="Times New Roman" w:cs="Times New Roman"/>
          <w:sz w:val="24"/>
        </w:rPr>
      </w:pPr>
      <w:r>
        <w:rPr>
          <w:rFonts w:ascii="Times New Roman" w:hAnsi="Times New Roman" w:cs="Times New Roman"/>
          <w:sz w:val="24"/>
        </w:rPr>
        <w:br w:type="page"/>
      </w:r>
    </w:p>
    <w:p w14:paraId="2CD140B7" w14:textId="77777777" w:rsidR="00B92FB5" w:rsidRPr="00757AC6" w:rsidRDefault="00E440EA" w:rsidP="00D6403A">
      <w:pPr>
        <w:pStyle w:val="Heading1"/>
        <w:numPr>
          <w:ilvl w:val="0"/>
          <w:numId w:val="10"/>
        </w:numPr>
        <w:spacing w:line="360" w:lineRule="auto"/>
        <w:ind w:left="284" w:firstLine="0"/>
        <w:rPr>
          <w:rFonts w:ascii="Times New Roman" w:hAnsi="Times New Roman" w:cs="Times New Roman"/>
          <w:b/>
          <w:sz w:val="24"/>
          <w:szCs w:val="24"/>
        </w:rPr>
      </w:pPr>
      <w:bookmarkStart w:id="67" w:name="_Toc136342515"/>
      <w:r w:rsidRPr="00757AC6">
        <w:rPr>
          <w:rFonts w:ascii="Times New Roman" w:hAnsi="Times New Roman" w:cs="Times New Roman"/>
          <w:b/>
          <w:sz w:val="24"/>
          <w:szCs w:val="24"/>
        </w:rPr>
        <w:lastRenderedPageBreak/>
        <w:t xml:space="preserve"> </w:t>
      </w:r>
      <w:bookmarkStart w:id="68" w:name="_Toc208580398"/>
      <w:r w:rsidR="00DC3926" w:rsidRPr="00757AC6">
        <w:rPr>
          <w:rFonts w:ascii="Times New Roman" w:hAnsi="Times New Roman" w:cs="Times New Roman"/>
          <w:b/>
          <w:sz w:val="24"/>
          <w:szCs w:val="24"/>
        </w:rPr>
        <w:t>ЗАКЛЮЧЕНИ</w:t>
      </w:r>
      <w:bookmarkEnd w:id="67"/>
      <w:r w:rsidR="00B720D9" w:rsidRPr="00757AC6">
        <w:rPr>
          <w:rFonts w:ascii="Times New Roman" w:hAnsi="Times New Roman" w:cs="Times New Roman"/>
          <w:b/>
          <w:sz w:val="24"/>
          <w:szCs w:val="24"/>
        </w:rPr>
        <w:t>Е</w:t>
      </w:r>
      <w:bookmarkEnd w:id="68"/>
    </w:p>
    <w:p w14:paraId="72AC69D8" w14:textId="264BDE70" w:rsidR="00C2611E" w:rsidRPr="005F49B3" w:rsidRDefault="00C2611E" w:rsidP="006B237A">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През 2024 г. Република България функционира в условия на нарастваща комплексност на средата за сигурност, характеризираща се с припокриващи се и взаимно усилващи се кризи. Войната в Украйна, глобалните геоикономически трансформации, интензифицирането на хибридни заплахи, както и нестабилността в съседни региони като Западните Балкани и БИСА, оказаха пряко и косвено въздействие върху националната сигурност на страната. Във вътрешен план предизвикателства създават демографските дисбаланси, високата степен на социално-икономическа уязвимост, натоварването на системите за обществен ред и контрол, както и необходимостта от повишаване на устойчивостта на критичната инфраструктура.</w:t>
      </w:r>
    </w:p>
    <w:p w14:paraId="5B657A9A" w14:textId="6556DC3F" w:rsidR="00C2611E" w:rsidRDefault="00C2611E"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Институциите на Република България предприеха редица действия за ограничаване на въздействието на рисковете, като в някои направления бе отчетен напредък – особено в сферата на съюзническата интеграция, подобряването на киберустойчивостта, инфраструктурната свързаност и реформите в сектора на отбраната. Въпреки това в редица области – включително кадровата обезпеченост, стратегическото управление на риска, енергийната сигурност и демографията – остават структурни дефицити. Липсата на дългосрочна визия и системна координация продължава да ограничава ефективността на политиките </w:t>
      </w:r>
      <w:r w:rsidR="00FF3C04">
        <w:rPr>
          <w:rFonts w:ascii="Times New Roman" w:hAnsi="Times New Roman" w:cs="Times New Roman"/>
          <w:sz w:val="24"/>
          <w:szCs w:val="24"/>
          <w:lang w:eastAsia="bg-BG"/>
        </w:rPr>
        <w:t>за</w:t>
      </w:r>
      <w:r w:rsidRPr="005F49B3">
        <w:rPr>
          <w:rFonts w:ascii="Times New Roman" w:hAnsi="Times New Roman" w:cs="Times New Roman"/>
          <w:sz w:val="24"/>
          <w:szCs w:val="24"/>
          <w:lang w:eastAsia="bg-BG"/>
        </w:rPr>
        <w:t xml:space="preserve"> сигурност</w:t>
      </w:r>
      <w:r w:rsidR="00FF3C04">
        <w:rPr>
          <w:rFonts w:ascii="Times New Roman" w:hAnsi="Times New Roman" w:cs="Times New Roman"/>
          <w:sz w:val="24"/>
          <w:szCs w:val="24"/>
          <w:lang w:eastAsia="bg-BG"/>
        </w:rPr>
        <w:t xml:space="preserve"> и устойчивост</w:t>
      </w:r>
      <w:r w:rsidRPr="005F49B3">
        <w:rPr>
          <w:rFonts w:ascii="Times New Roman" w:hAnsi="Times New Roman" w:cs="Times New Roman"/>
          <w:sz w:val="24"/>
          <w:szCs w:val="24"/>
          <w:lang w:eastAsia="bg-BG"/>
        </w:rPr>
        <w:t>.</w:t>
      </w:r>
      <w:r w:rsidR="00C2336B">
        <w:rPr>
          <w:rFonts w:ascii="Times New Roman" w:hAnsi="Times New Roman" w:cs="Times New Roman"/>
          <w:sz w:val="24"/>
          <w:szCs w:val="24"/>
          <w:lang w:eastAsia="bg-BG"/>
        </w:rPr>
        <w:t xml:space="preserve"> </w:t>
      </w:r>
    </w:p>
    <w:p w14:paraId="5A12FFF3" w14:textId="020AC84B" w:rsidR="006B237A" w:rsidRPr="005F49B3" w:rsidRDefault="006B237A" w:rsidP="00891E30">
      <w:pPr>
        <w:spacing w:after="120"/>
        <w:ind w:firstLine="851"/>
        <w:jc w:val="both"/>
        <w:rPr>
          <w:rFonts w:ascii="Times New Roman" w:hAnsi="Times New Roman" w:cs="Times New Roman"/>
          <w:sz w:val="24"/>
          <w:szCs w:val="24"/>
          <w:lang w:eastAsia="bg-BG"/>
        </w:rPr>
      </w:pPr>
      <w:r w:rsidRPr="006B237A">
        <w:rPr>
          <w:rFonts w:ascii="Times New Roman" w:hAnsi="Times New Roman" w:cs="Times New Roman"/>
          <w:sz w:val="24"/>
          <w:szCs w:val="24"/>
          <w:lang w:eastAsia="bg-BG"/>
        </w:rPr>
        <w:t>Като общ извод се очертава необходимостта от кадрово и ресурсно укрепване на институциите и структурите, имащи отношение към националната сигурност. Устойчивостта на системата в условията на изключително сложна среда зависи не само от стратегическите политики и технологичната модернизация, но и от наличието на достатъчен човешки капацитет и адекватно ресурсно обезпечаване.</w:t>
      </w:r>
    </w:p>
    <w:p w14:paraId="6DDE6E02" w14:textId="1AB86B90" w:rsidR="004557FA" w:rsidRDefault="00C2611E" w:rsidP="004557FA">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Докладът потвърждава, че приоритет за изпълнителната власт следва да бъде укрепването на координацията между институциите, натоварени с функции по сигурността, както и гарантиране на устойчива кадрова, технологична и организационна основа за действия при кризи. Необходим</w:t>
      </w:r>
      <w:r w:rsidR="004557FA">
        <w:rPr>
          <w:rFonts w:ascii="Times New Roman" w:hAnsi="Times New Roman" w:cs="Times New Roman"/>
          <w:sz w:val="24"/>
          <w:szCs w:val="24"/>
          <w:lang w:eastAsia="bg-BG"/>
        </w:rPr>
        <w:t xml:space="preserve">а е нова система за военновременно планиране и реагиране в условия, различни от мирните – военно положение и положение на война, и цялостен, нов подход при разработване на нормативната уредба в областта на военновременното планиране, с ясно разписани отговорности, задължения и контрол в национален и съюзен формат. Ролята на </w:t>
      </w:r>
      <w:r w:rsidR="00353A86">
        <w:rPr>
          <w:rFonts w:ascii="Times New Roman" w:hAnsi="Times New Roman" w:cs="Times New Roman"/>
          <w:sz w:val="24"/>
          <w:szCs w:val="24"/>
          <w:lang w:eastAsia="bg-BG"/>
        </w:rPr>
        <w:t>Съвета по сигурността</w:t>
      </w:r>
      <w:r w:rsidR="00FD2C57">
        <w:rPr>
          <w:rFonts w:ascii="Times New Roman" w:hAnsi="Times New Roman" w:cs="Times New Roman"/>
          <w:sz w:val="24"/>
          <w:szCs w:val="24"/>
          <w:lang w:eastAsia="bg-BG"/>
        </w:rPr>
        <w:t xml:space="preserve"> към МС</w:t>
      </w:r>
      <w:r w:rsidR="00353A86">
        <w:rPr>
          <w:rFonts w:ascii="Times New Roman" w:hAnsi="Times New Roman" w:cs="Times New Roman"/>
          <w:sz w:val="24"/>
          <w:szCs w:val="24"/>
          <w:lang w:eastAsia="bg-BG"/>
        </w:rPr>
        <w:t xml:space="preserve"> и неговия с</w:t>
      </w:r>
      <w:r w:rsidR="004557FA">
        <w:rPr>
          <w:rFonts w:ascii="Times New Roman" w:hAnsi="Times New Roman" w:cs="Times New Roman"/>
          <w:sz w:val="24"/>
          <w:szCs w:val="24"/>
          <w:lang w:eastAsia="bg-BG"/>
        </w:rPr>
        <w:t>екретариат остава ключова за постигането на консолидация в оценките, политиките и мерките на държавната власт, както и за надграждане на аналитичния и стратегическия капацитет на националната система за сигурност.</w:t>
      </w:r>
      <w:r w:rsidRPr="005F49B3">
        <w:rPr>
          <w:rFonts w:ascii="Times New Roman" w:hAnsi="Times New Roman" w:cs="Times New Roman"/>
          <w:sz w:val="24"/>
          <w:szCs w:val="24"/>
          <w:lang w:eastAsia="bg-BG"/>
        </w:rPr>
        <w:t xml:space="preserve"> </w:t>
      </w:r>
    </w:p>
    <w:p w14:paraId="04D09DE5" w14:textId="77777777" w:rsidR="00C2611E" w:rsidRPr="00757AC6" w:rsidRDefault="00C2611E" w:rsidP="00C2611E">
      <w:pPr>
        <w:pStyle w:val="Heading4"/>
        <w:spacing w:before="120" w:after="120"/>
        <w:jc w:val="center"/>
        <w:rPr>
          <w:rFonts w:ascii="Times New Roman" w:eastAsia="Times New Roman" w:hAnsi="Times New Roman" w:cs="Times New Roman"/>
          <w:b/>
          <w:color w:val="1F4E79" w:themeColor="accent1" w:themeShade="80"/>
          <w:sz w:val="24"/>
          <w:u w:val="single"/>
          <w:lang w:eastAsia="bg-BG"/>
        </w:rPr>
      </w:pPr>
      <w:r w:rsidRPr="00757AC6">
        <w:rPr>
          <w:rFonts w:ascii="Times New Roman" w:eastAsia="Times New Roman" w:hAnsi="Times New Roman" w:cs="Times New Roman"/>
          <w:b/>
          <w:color w:val="1F4E79" w:themeColor="accent1" w:themeShade="80"/>
          <w:sz w:val="24"/>
          <w:u w:val="single"/>
          <w:lang w:eastAsia="bg-BG"/>
        </w:rPr>
        <w:t>Необходимост от нова стратегическа рамка за националната сигурност</w:t>
      </w:r>
    </w:p>
    <w:p w14:paraId="52461935" w14:textId="77777777" w:rsidR="00C2611E" w:rsidRPr="005F49B3" w:rsidRDefault="00C2611E"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С оглед наближаващия край на стратегическия хоризонт на действащата Национална стратегия за национална сигурност на Република България (приета през 2011 г. и актуализирана през 2018 г., с времеви обхват до 2025 г.), настоящият Доклад следва да бъде разглеждан и като фактически преглед на изпълнението ѝ.</w:t>
      </w:r>
    </w:p>
    <w:p w14:paraId="6641D6E0" w14:textId="4A9D8D7A" w:rsidR="00C2611E" w:rsidRPr="005F49B3" w:rsidRDefault="00C2611E"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Годишният доклад, по силата на ЗУФСЗНС, има функцията да проследява динамиката в средата за сигурност и ефективността на институционалния отговор, което практически изпълнява ролята на </w:t>
      </w:r>
      <w:r w:rsidR="00614104">
        <w:rPr>
          <w:rFonts w:ascii="Times New Roman" w:hAnsi="Times New Roman" w:cs="Times New Roman"/>
          <w:sz w:val="24"/>
          <w:szCs w:val="24"/>
          <w:lang w:eastAsia="bg-BG"/>
        </w:rPr>
        <w:t>механизъм за наблюдение</w:t>
      </w:r>
      <w:r w:rsidRPr="005F49B3">
        <w:rPr>
          <w:rFonts w:ascii="Times New Roman" w:hAnsi="Times New Roman" w:cs="Times New Roman"/>
          <w:sz w:val="24"/>
          <w:szCs w:val="24"/>
          <w:lang w:eastAsia="bg-BG"/>
        </w:rPr>
        <w:t xml:space="preserve"> на прилагането на стратегически документи. Той съдържа:</w:t>
      </w:r>
    </w:p>
    <w:p w14:paraId="06DD3A4D" w14:textId="77777777" w:rsidR="00C2611E" w:rsidRPr="005F49B3" w:rsidRDefault="00C2611E" w:rsidP="00D6403A">
      <w:pPr>
        <w:pStyle w:val="ListParagraph"/>
        <w:numPr>
          <w:ilvl w:val="0"/>
          <w:numId w:val="43"/>
        </w:numPr>
        <w:spacing w:after="120"/>
        <w:jc w:val="both"/>
        <w:rPr>
          <w:rFonts w:ascii="Times New Roman" w:hAnsi="Times New Roman" w:cs="Times New Roman"/>
          <w:i/>
          <w:sz w:val="24"/>
          <w:szCs w:val="24"/>
          <w:lang w:eastAsia="bg-BG"/>
        </w:rPr>
      </w:pPr>
      <w:r w:rsidRPr="005F49B3">
        <w:rPr>
          <w:rFonts w:ascii="Times New Roman" w:hAnsi="Times New Roman" w:cs="Times New Roman"/>
          <w:i/>
          <w:sz w:val="24"/>
          <w:szCs w:val="24"/>
          <w:lang w:eastAsia="bg-BG"/>
        </w:rPr>
        <w:lastRenderedPageBreak/>
        <w:t>тенденции в рисковете;</w:t>
      </w:r>
    </w:p>
    <w:p w14:paraId="7012572A" w14:textId="77777777" w:rsidR="00C2611E" w:rsidRPr="005F49B3" w:rsidRDefault="00C2611E" w:rsidP="00D6403A">
      <w:pPr>
        <w:pStyle w:val="ListParagraph"/>
        <w:numPr>
          <w:ilvl w:val="0"/>
          <w:numId w:val="43"/>
        </w:numPr>
        <w:spacing w:after="120"/>
        <w:jc w:val="both"/>
        <w:rPr>
          <w:rFonts w:ascii="Times New Roman" w:hAnsi="Times New Roman" w:cs="Times New Roman"/>
          <w:i/>
          <w:sz w:val="24"/>
          <w:szCs w:val="24"/>
          <w:lang w:eastAsia="bg-BG"/>
        </w:rPr>
      </w:pPr>
      <w:r w:rsidRPr="005F49B3">
        <w:rPr>
          <w:rFonts w:ascii="Times New Roman" w:hAnsi="Times New Roman" w:cs="Times New Roman"/>
          <w:i/>
          <w:sz w:val="24"/>
          <w:szCs w:val="24"/>
          <w:lang w:eastAsia="bg-BG"/>
        </w:rPr>
        <w:t>промени във външната и вътрешната среда;</w:t>
      </w:r>
    </w:p>
    <w:p w14:paraId="0AA6D322" w14:textId="77777777" w:rsidR="00C2611E" w:rsidRPr="005F49B3" w:rsidRDefault="00C2611E" w:rsidP="00D6403A">
      <w:pPr>
        <w:pStyle w:val="ListParagraph"/>
        <w:numPr>
          <w:ilvl w:val="0"/>
          <w:numId w:val="43"/>
        </w:numPr>
        <w:spacing w:after="120"/>
        <w:jc w:val="both"/>
        <w:rPr>
          <w:rFonts w:ascii="Times New Roman" w:hAnsi="Times New Roman" w:cs="Times New Roman"/>
          <w:i/>
          <w:sz w:val="24"/>
          <w:szCs w:val="24"/>
          <w:lang w:eastAsia="bg-BG"/>
        </w:rPr>
      </w:pPr>
      <w:r w:rsidRPr="005F49B3">
        <w:rPr>
          <w:rFonts w:ascii="Times New Roman" w:hAnsi="Times New Roman" w:cs="Times New Roman"/>
          <w:i/>
          <w:sz w:val="24"/>
          <w:szCs w:val="24"/>
          <w:lang w:eastAsia="bg-BG"/>
        </w:rPr>
        <w:t>анализ на капацитетите и институционалната готовност;</w:t>
      </w:r>
    </w:p>
    <w:p w14:paraId="3CFE6FFB" w14:textId="77777777" w:rsidR="00C2611E" w:rsidRPr="005F49B3" w:rsidRDefault="00C2611E" w:rsidP="00D6403A">
      <w:pPr>
        <w:pStyle w:val="ListParagraph"/>
        <w:numPr>
          <w:ilvl w:val="0"/>
          <w:numId w:val="43"/>
        </w:numPr>
        <w:spacing w:after="120"/>
        <w:jc w:val="both"/>
        <w:rPr>
          <w:rFonts w:ascii="Times New Roman" w:hAnsi="Times New Roman" w:cs="Times New Roman"/>
          <w:i/>
          <w:sz w:val="24"/>
          <w:szCs w:val="24"/>
          <w:lang w:eastAsia="bg-BG"/>
        </w:rPr>
      </w:pPr>
      <w:r w:rsidRPr="005F49B3">
        <w:rPr>
          <w:rFonts w:ascii="Times New Roman" w:hAnsi="Times New Roman" w:cs="Times New Roman"/>
          <w:i/>
          <w:sz w:val="24"/>
          <w:szCs w:val="24"/>
          <w:lang w:eastAsia="bg-BG"/>
        </w:rPr>
        <w:t>преглед на политиките и предприетите мерки.</w:t>
      </w:r>
    </w:p>
    <w:p w14:paraId="081AC59B" w14:textId="77777777" w:rsidR="00C2611E" w:rsidRPr="005F49B3" w:rsidRDefault="00C2611E"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По този начин се предоставя емпирична и аналитична основа за оценка доколко целите и приоритетите на Стратегията са постигнати и доколко съответстват на актуалната среда.</w:t>
      </w:r>
    </w:p>
    <w:p w14:paraId="061B817C" w14:textId="6E9FC310" w:rsidR="00C2611E" w:rsidRPr="005F49B3" w:rsidRDefault="00C2611E" w:rsidP="00891E30">
      <w:pPr>
        <w:spacing w:after="120"/>
        <w:ind w:firstLine="851"/>
        <w:jc w:val="both"/>
        <w:rPr>
          <w:rFonts w:ascii="Times New Roman" w:hAnsi="Times New Roman" w:cs="Times New Roman"/>
          <w:sz w:val="24"/>
          <w:szCs w:val="24"/>
          <w:lang w:eastAsia="bg-BG"/>
        </w:rPr>
      </w:pPr>
      <w:r w:rsidRPr="005F49B3">
        <w:rPr>
          <w:rFonts w:ascii="Times New Roman" w:hAnsi="Times New Roman" w:cs="Times New Roman"/>
          <w:sz w:val="24"/>
          <w:szCs w:val="24"/>
          <w:lang w:eastAsia="bg-BG"/>
        </w:rPr>
        <w:t xml:space="preserve">Съпоставката между стратегическите направления, заложени в Стратегията, и обхвата на настоящия Доклад показва почти пълно покритие: отбрана, демография, енергетика, киберсигурност, икономика, обществен ред, инфраструктура, външна сигурност. Освен че </w:t>
      </w:r>
      <w:r w:rsidR="005C2B22">
        <w:rPr>
          <w:rFonts w:ascii="Times New Roman" w:hAnsi="Times New Roman" w:cs="Times New Roman"/>
          <w:sz w:val="24"/>
          <w:szCs w:val="24"/>
          <w:lang w:eastAsia="bg-BG"/>
        </w:rPr>
        <w:t>разглежда</w:t>
      </w:r>
      <w:r w:rsidRPr="005F49B3">
        <w:rPr>
          <w:rFonts w:ascii="Times New Roman" w:hAnsi="Times New Roman" w:cs="Times New Roman"/>
          <w:sz w:val="24"/>
          <w:szCs w:val="24"/>
          <w:lang w:eastAsia="bg-BG"/>
        </w:rPr>
        <w:t xml:space="preserve"> състоянието в тези области, Докладът предлага задълбочени оценки, идентифицира предизвикателства и формулира насоки за развитие – с което де факто изпълнява функциите на стратегически преглед.</w:t>
      </w:r>
    </w:p>
    <w:p w14:paraId="68433209" w14:textId="77777777" w:rsidR="00C2611E" w:rsidRPr="005F49B3" w:rsidRDefault="00C2611E" w:rsidP="00891E30">
      <w:pPr>
        <w:spacing w:after="120"/>
        <w:ind w:firstLine="851"/>
        <w:jc w:val="both"/>
        <w:rPr>
          <w:rFonts w:ascii="Times New Roman" w:hAnsi="Times New Roman" w:cs="Times New Roman"/>
          <w:b/>
          <w:sz w:val="24"/>
          <w:szCs w:val="24"/>
          <w:lang w:eastAsia="bg-BG"/>
        </w:rPr>
      </w:pPr>
      <w:r w:rsidRPr="005F49B3">
        <w:rPr>
          <w:rFonts w:ascii="Times New Roman" w:hAnsi="Times New Roman" w:cs="Times New Roman"/>
          <w:b/>
          <w:sz w:val="24"/>
          <w:szCs w:val="24"/>
          <w:lang w:eastAsia="bg-BG"/>
        </w:rPr>
        <w:t>В този контекст е целесъобразно стартирането на процедура по изработване на нова Стратегия за национална сигурност, като се използва вече наличната експертна и институционална база, отразена в Доклада. Това би позволило съкращаване на времевия хоризонт за стратегическо планиране, избягване на дублиране на усилия и по-бързо адаптиране на политиката към реалната и прогнозната среда за сигурност.</w:t>
      </w:r>
    </w:p>
    <w:p w14:paraId="74E361C0" w14:textId="77777777" w:rsidR="000F065C" w:rsidRPr="005F49B3" w:rsidRDefault="000F065C" w:rsidP="008D7C40">
      <w:pPr>
        <w:spacing w:line="360" w:lineRule="auto"/>
        <w:rPr>
          <w:rFonts w:ascii="Times New Roman" w:hAnsi="Times New Roman" w:cs="Times New Roman"/>
          <w:sz w:val="24"/>
          <w:szCs w:val="24"/>
        </w:rPr>
      </w:pPr>
    </w:p>
    <w:sectPr w:rsidR="000F065C" w:rsidRPr="005F49B3" w:rsidSect="008A3368">
      <w:type w:val="continuous"/>
      <w:pgSz w:w="11906" w:h="16838"/>
      <w:pgMar w:top="1417" w:right="1417" w:bottom="141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CCEC3" w14:textId="77777777" w:rsidR="00455809" w:rsidRDefault="00455809" w:rsidP="007955C4">
      <w:pPr>
        <w:spacing w:after="0" w:line="240" w:lineRule="auto"/>
      </w:pPr>
      <w:r>
        <w:separator/>
      </w:r>
    </w:p>
  </w:endnote>
  <w:endnote w:type="continuationSeparator" w:id="0">
    <w:p w14:paraId="64A2956F" w14:textId="77777777" w:rsidR="00455809" w:rsidRDefault="00455809" w:rsidP="0079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CyrNew">
    <w:altName w:val="Times New Roman"/>
    <w:charset w:val="00"/>
    <w:family w:val="roman"/>
    <w:pitch w:val="variable"/>
    <w:sig w:usb0="00000287" w:usb1="00000000" w:usb2="00000000" w:usb3="00000000" w:csb0="0000001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688A" w14:textId="77777777" w:rsidR="00FD5FD9" w:rsidRDefault="00FD5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092462"/>
      <w:docPartObj>
        <w:docPartGallery w:val="Page Numbers (Bottom of Page)"/>
        <w:docPartUnique/>
      </w:docPartObj>
    </w:sdtPr>
    <w:sdtEndPr>
      <w:rPr>
        <w:noProof/>
      </w:rPr>
    </w:sdtEndPr>
    <w:sdtContent>
      <w:p w14:paraId="6A94759E" w14:textId="5A2A2052" w:rsidR="00AF7C1D" w:rsidRDefault="00AF7C1D">
        <w:pPr>
          <w:pStyle w:val="Footer"/>
          <w:jc w:val="center"/>
        </w:pPr>
        <w:r w:rsidRPr="00D73C87">
          <w:rPr>
            <w:rFonts w:ascii="Times New Roman" w:hAnsi="Times New Roman" w:cs="Times New Roman"/>
            <w:i/>
          </w:rPr>
          <w:t>Доклад за състоянието на националната сигурност</w:t>
        </w:r>
        <w:r>
          <w:rPr>
            <w:rFonts w:ascii="Times New Roman" w:hAnsi="Times New Roman" w:cs="Times New Roman"/>
            <w:i/>
          </w:rPr>
          <w:t xml:space="preserve"> на Република България през 2024</w:t>
        </w:r>
        <w:r w:rsidRPr="00D73C87">
          <w:rPr>
            <w:rFonts w:ascii="Times New Roman" w:hAnsi="Times New Roman" w:cs="Times New Roman"/>
            <w:i/>
          </w:rPr>
          <w:t xml:space="preserve"> г</w:t>
        </w:r>
        <w:r>
          <w:rPr>
            <w:rFonts w:ascii="Times New Roman" w:hAnsi="Times New Roman" w:cs="Times New Roman"/>
            <w:i/>
            <w:lang w:val="en-US"/>
          </w:rPr>
          <w:t xml:space="preserve">. </w:t>
        </w:r>
        <w:r>
          <w:rPr>
            <w:noProof/>
          </w:rPr>
          <mc:AlternateContent>
            <mc:Choice Requires="wps">
              <w:drawing>
                <wp:inline distT="0" distB="0" distL="0" distR="0" wp14:anchorId="079C6C19" wp14:editId="374127A5">
                  <wp:extent cx="5467350" cy="54610"/>
                  <wp:effectExtent l="9525" t="19050" r="9525" b="12065"/>
                  <wp:docPr id="4"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C99EE59" id="_x0000_t110" coordsize="21600,21600" o:spt="110" path="m10800,l,10800,10800,21600,21600,10800xe">
                  <v:stroke joinstyle="miter"/>
                  <v:path gradientshapeok="t" o:connecttype="rect" textboxrect="5400,5400,16200,16200"/>
                </v:shapetype>
                <v:shape id="Flowchart: Decision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C712E26" w14:textId="2202DFE8" w:rsidR="00AF7C1D" w:rsidRDefault="00AF7C1D">
        <w:pPr>
          <w:pStyle w:val="Footer"/>
          <w:jc w:val="center"/>
        </w:pPr>
        <w:r w:rsidRPr="00EE02FC">
          <w:rPr>
            <w:rFonts w:ascii="Times New Roman" w:hAnsi="Times New Roman" w:cs="Times New Roman"/>
          </w:rPr>
          <w:fldChar w:fldCharType="begin"/>
        </w:r>
        <w:r w:rsidRPr="00EE02FC">
          <w:rPr>
            <w:rFonts w:ascii="Times New Roman" w:hAnsi="Times New Roman" w:cs="Times New Roman"/>
          </w:rPr>
          <w:instrText xml:space="preserve"> PAGE    \* MERGEFORMAT </w:instrText>
        </w:r>
        <w:r w:rsidRPr="00EE02FC">
          <w:rPr>
            <w:rFonts w:ascii="Times New Roman" w:hAnsi="Times New Roman" w:cs="Times New Roman"/>
          </w:rPr>
          <w:fldChar w:fldCharType="separate"/>
        </w:r>
        <w:r w:rsidRPr="00EE02FC">
          <w:rPr>
            <w:rFonts w:ascii="Times New Roman" w:hAnsi="Times New Roman" w:cs="Times New Roman"/>
            <w:noProof/>
          </w:rPr>
          <w:t>2</w:t>
        </w:r>
        <w:r w:rsidRPr="00EE02FC">
          <w:rPr>
            <w:rFonts w:ascii="Times New Roman" w:hAnsi="Times New Roman" w:cs="Times New Roman"/>
            <w:noProof/>
          </w:rPr>
          <w:fldChar w:fldCharType="end"/>
        </w:r>
      </w:p>
    </w:sdtContent>
  </w:sdt>
  <w:p w14:paraId="4006C73F" w14:textId="77777777" w:rsidR="005F49B3" w:rsidRDefault="005F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CDB2" w14:textId="77777777" w:rsidR="00FD5FD9" w:rsidRDefault="00FD5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2371" w14:textId="77777777" w:rsidR="00455809" w:rsidRDefault="00455809" w:rsidP="007955C4">
      <w:pPr>
        <w:spacing w:after="0" w:line="240" w:lineRule="auto"/>
      </w:pPr>
      <w:r>
        <w:separator/>
      </w:r>
    </w:p>
  </w:footnote>
  <w:footnote w:type="continuationSeparator" w:id="0">
    <w:p w14:paraId="7D300EC6" w14:textId="77777777" w:rsidR="00455809" w:rsidRDefault="00455809" w:rsidP="007955C4">
      <w:pPr>
        <w:spacing w:after="0" w:line="240" w:lineRule="auto"/>
      </w:pPr>
      <w:r>
        <w:continuationSeparator/>
      </w:r>
    </w:p>
  </w:footnote>
  <w:footnote w:id="1">
    <w:p w14:paraId="6195E012" w14:textId="547AD3BD" w:rsidR="0086182B" w:rsidRDefault="0086182B" w:rsidP="0086182B">
      <w:pPr>
        <w:pStyle w:val="FootnoteText"/>
        <w:spacing w:line="276" w:lineRule="auto"/>
        <w:jc w:val="both"/>
      </w:pPr>
      <w:r>
        <w:rPr>
          <w:rStyle w:val="FootnoteReference"/>
        </w:rPr>
        <w:footnoteRef/>
      </w:r>
      <w:r>
        <w:t xml:space="preserve"> </w:t>
      </w:r>
      <w:r w:rsidRPr="0086182B">
        <w:rPr>
          <w:rFonts w:ascii="Times New Roman" w:hAnsi="Times New Roman"/>
        </w:rPr>
        <w:t>С обнародването в ДВ, бр. 49 от 2025 г., Законът за мерките срещу финансирането на тероризма е преименуван на Закон за мерките срещу финансирането на тероризма и разпространението на оръжия за масово унищожение.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7393" w14:textId="77777777" w:rsidR="00FD5FD9" w:rsidRDefault="00FD5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7129" w14:textId="77777777" w:rsidR="005F49B3" w:rsidRDefault="005F4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EBD6" w14:textId="77777777" w:rsidR="00FD5FD9" w:rsidRDefault="00FD5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422"/>
    <w:multiLevelType w:val="hybridMultilevel"/>
    <w:tmpl w:val="06C863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045163"/>
    <w:multiLevelType w:val="hybridMultilevel"/>
    <w:tmpl w:val="297E3A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63E29AD"/>
    <w:multiLevelType w:val="hybridMultilevel"/>
    <w:tmpl w:val="374CE7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AB449D"/>
    <w:multiLevelType w:val="hybridMultilevel"/>
    <w:tmpl w:val="254C5CE4"/>
    <w:lvl w:ilvl="0" w:tplc="FD6A89F6">
      <w:start w:val="1"/>
      <mc:AlternateContent>
        <mc:Choice Requires="w14">
          <w:numFmt w:val="custom" w:format="а, й, к, ..."/>
        </mc:Choice>
        <mc:Fallback>
          <w:numFmt w:val="decimal"/>
        </mc:Fallback>
      </mc:AlternateContent>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E219B1"/>
    <w:multiLevelType w:val="hybridMultilevel"/>
    <w:tmpl w:val="887A30A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C6416DF"/>
    <w:multiLevelType w:val="multilevel"/>
    <w:tmpl w:val="5320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075B0"/>
    <w:multiLevelType w:val="hybridMultilevel"/>
    <w:tmpl w:val="657CDF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CF2456A"/>
    <w:multiLevelType w:val="hybridMultilevel"/>
    <w:tmpl w:val="658291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DED73BB"/>
    <w:multiLevelType w:val="hybridMultilevel"/>
    <w:tmpl w:val="1ECE0B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E766A28"/>
    <w:multiLevelType w:val="hybridMultilevel"/>
    <w:tmpl w:val="7CC0782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09852FD"/>
    <w:multiLevelType w:val="hybridMultilevel"/>
    <w:tmpl w:val="E34220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15F2C54"/>
    <w:multiLevelType w:val="hybridMultilevel"/>
    <w:tmpl w:val="A508C2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221399F"/>
    <w:multiLevelType w:val="hybridMultilevel"/>
    <w:tmpl w:val="7676EE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2A91E82"/>
    <w:multiLevelType w:val="multilevel"/>
    <w:tmpl w:val="2CC2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A060CA"/>
    <w:multiLevelType w:val="hybridMultilevel"/>
    <w:tmpl w:val="036A6C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162D7218"/>
    <w:multiLevelType w:val="hybridMultilevel"/>
    <w:tmpl w:val="29AAA2F2"/>
    <w:lvl w:ilvl="0" w:tplc="04020011">
      <w:start w:val="1"/>
      <w:numFmt w:val="decimal"/>
      <w:lvlText w:val="%1)"/>
      <w:lvlJc w:val="left"/>
      <w:pPr>
        <w:ind w:left="720" w:hanging="360"/>
      </w:pPr>
    </w:lvl>
    <w:lvl w:ilvl="1" w:tplc="04020011">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164750E2"/>
    <w:multiLevelType w:val="hybridMultilevel"/>
    <w:tmpl w:val="8BC44F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7013C4A"/>
    <w:multiLevelType w:val="hybridMultilevel"/>
    <w:tmpl w:val="3F5C40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174A1F34"/>
    <w:multiLevelType w:val="hybridMultilevel"/>
    <w:tmpl w:val="6CD80C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17D8007A"/>
    <w:multiLevelType w:val="hybridMultilevel"/>
    <w:tmpl w:val="FD58CC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1B84583D"/>
    <w:multiLevelType w:val="hybridMultilevel"/>
    <w:tmpl w:val="C5EA3F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1D5503DF"/>
    <w:multiLevelType w:val="hybridMultilevel"/>
    <w:tmpl w:val="423E8F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25281B72"/>
    <w:multiLevelType w:val="hybridMultilevel"/>
    <w:tmpl w:val="18FA7A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297D4BA7"/>
    <w:multiLevelType w:val="hybridMultilevel"/>
    <w:tmpl w:val="219E32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298B65D9"/>
    <w:multiLevelType w:val="hybridMultilevel"/>
    <w:tmpl w:val="E466D4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2A9F43D8"/>
    <w:multiLevelType w:val="hybridMultilevel"/>
    <w:tmpl w:val="C9BCEF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2EEC3F24"/>
    <w:multiLevelType w:val="hybridMultilevel"/>
    <w:tmpl w:val="F1E2F8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2F476523"/>
    <w:multiLevelType w:val="hybridMultilevel"/>
    <w:tmpl w:val="7AFA30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2FF87C5C"/>
    <w:multiLevelType w:val="hybridMultilevel"/>
    <w:tmpl w:val="5F8CEE48"/>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33255001"/>
    <w:multiLevelType w:val="hybridMultilevel"/>
    <w:tmpl w:val="125228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AC901EF"/>
    <w:multiLevelType w:val="hybridMultilevel"/>
    <w:tmpl w:val="B1B604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3FBE24C5"/>
    <w:multiLevelType w:val="hybridMultilevel"/>
    <w:tmpl w:val="8B4A1A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4393194D"/>
    <w:multiLevelType w:val="hybridMultilevel"/>
    <w:tmpl w:val="CBDE97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43FD0916"/>
    <w:multiLevelType w:val="hybridMultilevel"/>
    <w:tmpl w:val="60A61A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44E11E21"/>
    <w:multiLevelType w:val="hybridMultilevel"/>
    <w:tmpl w:val="309ACC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4709619E"/>
    <w:multiLevelType w:val="hybridMultilevel"/>
    <w:tmpl w:val="6A8634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483135A2"/>
    <w:multiLevelType w:val="hybridMultilevel"/>
    <w:tmpl w:val="933866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48900651"/>
    <w:multiLevelType w:val="hybridMultilevel"/>
    <w:tmpl w:val="E2B86D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4BDC0BD8"/>
    <w:multiLevelType w:val="hybridMultilevel"/>
    <w:tmpl w:val="147078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4FF47AF3"/>
    <w:multiLevelType w:val="hybridMultilevel"/>
    <w:tmpl w:val="FCB8E5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55DA4C95"/>
    <w:multiLevelType w:val="hybridMultilevel"/>
    <w:tmpl w:val="49F83C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5CD93014"/>
    <w:multiLevelType w:val="hybridMultilevel"/>
    <w:tmpl w:val="4D58BFB6"/>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D926A9"/>
    <w:multiLevelType w:val="hybridMultilevel"/>
    <w:tmpl w:val="C6AC70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5EC5029F"/>
    <w:multiLevelType w:val="hybridMultilevel"/>
    <w:tmpl w:val="01CADD48"/>
    <w:lvl w:ilvl="0" w:tplc="3E9EBF46">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CC88FF32">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5FBA283D"/>
    <w:multiLevelType w:val="hybridMultilevel"/>
    <w:tmpl w:val="CF2C8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60CD6E42"/>
    <w:multiLevelType w:val="hybridMultilevel"/>
    <w:tmpl w:val="4DFAF6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632E34EA"/>
    <w:multiLevelType w:val="hybridMultilevel"/>
    <w:tmpl w:val="0CF461E4"/>
    <w:lvl w:ilvl="0" w:tplc="04020013">
      <w:start w:val="1"/>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642F237D"/>
    <w:multiLevelType w:val="multilevel"/>
    <w:tmpl w:val="7A9E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BE4155"/>
    <w:multiLevelType w:val="hybridMultilevel"/>
    <w:tmpl w:val="BD6C608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6C096556"/>
    <w:multiLevelType w:val="hybridMultilevel"/>
    <w:tmpl w:val="26643D4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0" w15:restartNumberingAfterBreak="0">
    <w:nsid w:val="6E03377B"/>
    <w:multiLevelType w:val="hybridMultilevel"/>
    <w:tmpl w:val="5E6CDD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6E7A1A3D"/>
    <w:multiLevelType w:val="hybridMultilevel"/>
    <w:tmpl w:val="8AF44E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740D6949"/>
    <w:multiLevelType w:val="hybridMultilevel"/>
    <w:tmpl w:val="5CD854C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3" w15:restartNumberingAfterBreak="0">
    <w:nsid w:val="74F40CA8"/>
    <w:multiLevelType w:val="hybridMultilevel"/>
    <w:tmpl w:val="688427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785D6AB9"/>
    <w:multiLevelType w:val="hybridMultilevel"/>
    <w:tmpl w:val="7576C2B6"/>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7D2B341B"/>
    <w:multiLevelType w:val="hybridMultilevel"/>
    <w:tmpl w:val="553A13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7E931A53"/>
    <w:multiLevelType w:val="hybridMultilevel"/>
    <w:tmpl w:val="2820B4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506600135">
    <w:abstractNumId w:val="55"/>
  </w:num>
  <w:num w:numId="2" w16cid:durableId="1577932328">
    <w:abstractNumId w:val="22"/>
  </w:num>
  <w:num w:numId="3" w16cid:durableId="136190236">
    <w:abstractNumId w:val="7"/>
  </w:num>
  <w:num w:numId="4" w16cid:durableId="50815237">
    <w:abstractNumId w:val="39"/>
  </w:num>
  <w:num w:numId="5" w16cid:durableId="1531600315">
    <w:abstractNumId w:val="14"/>
  </w:num>
  <w:num w:numId="6" w16cid:durableId="1477064741">
    <w:abstractNumId w:val="27"/>
  </w:num>
  <w:num w:numId="7" w16cid:durableId="1724402183">
    <w:abstractNumId w:val="16"/>
  </w:num>
  <w:num w:numId="8" w16cid:durableId="1874229220">
    <w:abstractNumId w:val="34"/>
  </w:num>
  <w:num w:numId="9" w16cid:durableId="424346236">
    <w:abstractNumId w:val="11"/>
  </w:num>
  <w:num w:numId="10" w16cid:durableId="1854296593">
    <w:abstractNumId w:val="46"/>
  </w:num>
  <w:num w:numId="11" w16cid:durableId="2037458854">
    <w:abstractNumId w:val="52"/>
  </w:num>
  <w:num w:numId="12" w16cid:durableId="1733456645">
    <w:abstractNumId w:val="43"/>
  </w:num>
  <w:num w:numId="13" w16cid:durableId="1654218507">
    <w:abstractNumId w:val="49"/>
  </w:num>
  <w:num w:numId="14" w16cid:durableId="1419138173">
    <w:abstractNumId w:val="3"/>
  </w:num>
  <w:num w:numId="15" w16cid:durableId="965355577">
    <w:abstractNumId w:val="18"/>
  </w:num>
  <w:num w:numId="16" w16cid:durableId="1449355786">
    <w:abstractNumId w:val="31"/>
  </w:num>
  <w:num w:numId="17" w16cid:durableId="401298975">
    <w:abstractNumId w:val="54"/>
  </w:num>
  <w:num w:numId="18" w16cid:durableId="1334064315">
    <w:abstractNumId w:val="29"/>
  </w:num>
  <w:num w:numId="19" w16cid:durableId="405883160">
    <w:abstractNumId w:val="42"/>
  </w:num>
  <w:num w:numId="20" w16cid:durableId="1436973290">
    <w:abstractNumId w:val="0"/>
  </w:num>
  <w:num w:numId="21" w16cid:durableId="1376543065">
    <w:abstractNumId w:val="32"/>
  </w:num>
  <w:num w:numId="22" w16cid:durableId="59642798">
    <w:abstractNumId w:val="24"/>
  </w:num>
  <w:num w:numId="23" w16cid:durableId="1092509521">
    <w:abstractNumId w:val="15"/>
  </w:num>
  <w:num w:numId="24" w16cid:durableId="457643790">
    <w:abstractNumId w:val="50"/>
  </w:num>
  <w:num w:numId="25" w16cid:durableId="143471565">
    <w:abstractNumId w:val="17"/>
  </w:num>
  <w:num w:numId="26" w16cid:durableId="236983326">
    <w:abstractNumId w:val="35"/>
  </w:num>
  <w:num w:numId="27" w16cid:durableId="1115560069">
    <w:abstractNumId w:val="53"/>
  </w:num>
  <w:num w:numId="28" w16cid:durableId="1738046141">
    <w:abstractNumId w:val="23"/>
  </w:num>
  <w:num w:numId="29" w16cid:durableId="2060131404">
    <w:abstractNumId w:val="9"/>
  </w:num>
  <w:num w:numId="30" w16cid:durableId="86583645">
    <w:abstractNumId w:val="37"/>
  </w:num>
  <w:num w:numId="31" w16cid:durableId="1758868988">
    <w:abstractNumId w:val="10"/>
  </w:num>
  <w:num w:numId="32" w16cid:durableId="2069962241">
    <w:abstractNumId w:val="12"/>
  </w:num>
  <w:num w:numId="33" w16cid:durableId="211891880">
    <w:abstractNumId w:val="4"/>
  </w:num>
  <w:num w:numId="34" w16cid:durableId="1749186335">
    <w:abstractNumId w:val="25"/>
  </w:num>
  <w:num w:numId="35" w16cid:durableId="279529623">
    <w:abstractNumId w:val="1"/>
  </w:num>
  <w:num w:numId="36" w16cid:durableId="1949967096">
    <w:abstractNumId w:val="44"/>
  </w:num>
  <w:num w:numId="37" w16cid:durableId="629819897">
    <w:abstractNumId w:val="30"/>
  </w:num>
  <w:num w:numId="38" w16cid:durableId="395932710">
    <w:abstractNumId w:val="45"/>
  </w:num>
  <w:num w:numId="39" w16cid:durableId="2018773717">
    <w:abstractNumId w:val="51"/>
  </w:num>
  <w:num w:numId="40" w16cid:durableId="664627112">
    <w:abstractNumId w:val="28"/>
  </w:num>
  <w:num w:numId="41" w16cid:durableId="207188799">
    <w:abstractNumId w:val="33"/>
  </w:num>
  <w:num w:numId="42" w16cid:durableId="1534270159">
    <w:abstractNumId w:val="38"/>
  </w:num>
  <w:num w:numId="43" w16cid:durableId="1087271568">
    <w:abstractNumId w:val="2"/>
  </w:num>
  <w:num w:numId="44" w16cid:durableId="1016930720">
    <w:abstractNumId w:val="20"/>
  </w:num>
  <w:num w:numId="45" w16cid:durableId="740098787">
    <w:abstractNumId w:val="56"/>
  </w:num>
  <w:num w:numId="46" w16cid:durableId="1034233087">
    <w:abstractNumId w:val="5"/>
  </w:num>
  <w:num w:numId="47" w16cid:durableId="885143026">
    <w:abstractNumId w:val="13"/>
  </w:num>
  <w:num w:numId="48" w16cid:durableId="2021736049">
    <w:abstractNumId w:val="47"/>
  </w:num>
  <w:num w:numId="49" w16cid:durableId="989477612">
    <w:abstractNumId w:val="41"/>
  </w:num>
  <w:num w:numId="50" w16cid:durableId="1786539494">
    <w:abstractNumId w:val="48"/>
  </w:num>
  <w:num w:numId="51" w16cid:durableId="94520638">
    <w:abstractNumId w:val="21"/>
  </w:num>
  <w:num w:numId="52" w16cid:durableId="928779241">
    <w:abstractNumId w:val="6"/>
  </w:num>
  <w:num w:numId="53" w16cid:durableId="433671587">
    <w:abstractNumId w:val="26"/>
  </w:num>
  <w:num w:numId="54" w16cid:durableId="270863195">
    <w:abstractNumId w:val="36"/>
  </w:num>
  <w:num w:numId="55" w16cid:durableId="93479385">
    <w:abstractNumId w:val="19"/>
  </w:num>
  <w:num w:numId="56" w16cid:durableId="1848127858">
    <w:abstractNumId w:val="8"/>
  </w:num>
  <w:num w:numId="57" w16cid:durableId="1187209154">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88"/>
    <w:rsid w:val="00000131"/>
    <w:rsid w:val="00003748"/>
    <w:rsid w:val="00007D55"/>
    <w:rsid w:val="0002349A"/>
    <w:rsid w:val="000235DC"/>
    <w:rsid w:val="00024327"/>
    <w:rsid w:val="0002478F"/>
    <w:rsid w:val="00024FE7"/>
    <w:rsid w:val="00043CE6"/>
    <w:rsid w:val="000523DB"/>
    <w:rsid w:val="00052EDB"/>
    <w:rsid w:val="000544EC"/>
    <w:rsid w:val="0005507B"/>
    <w:rsid w:val="000569F6"/>
    <w:rsid w:val="00073DF5"/>
    <w:rsid w:val="00075681"/>
    <w:rsid w:val="00075702"/>
    <w:rsid w:val="00075D06"/>
    <w:rsid w:val="00075E76"/>
    <w:rsid w:val="0008645D"/>
    <w:rsid w:val="000878C6"/>
    <w:rsid w:val="0009050F"/>
    <w:rsid w:val="00094F7E"/>
    <w:rsid w:val="000A0D35"/>
    <w:rsid w:val="000A0E0A"/>
    <w:rsid w:val="000A0F44"/>
    <w:rsid w:val="000A2C7B"/>
    <w:rsid w:val="000A70E7"/>
    <w:rsid w:val="000B3D47"/>
    <w:rsid w:val="000C147D"/>
    <w:rsid w:val="000C190E"/>
    <w:rsid w:val="000C1C2D"/>
    <w:rsid w:val="000C4D2E"/>
    <w:rsid w:val="000C51BD"/>
    <w:rsid w:val="000C5948"/>
    <w:rsid w:val="000D4CFC"/>
    <w:rsid w:val="000D5A0F"/>
    <w:rsid w:val="000D7D13"/>
    <w:rsid w:val="000F065C"/>
    <w:rsid w:val="000F08C2"/>
    <w:rsid w:val="001034A4"/>
    <w:rsid w:val="00105B94"/>
    <w:rsid w:val="0011037F"/>
    <w:rsid w:val="00113DB3"/>
    <w:rsid w:val="0011510F"/>
    <w:rsid w:val="00117373"/>
    <w:rsid w:val="00120213"/>
    <w:rsid w:val="00124FD4"/>
    <w:rsid w:val="00134757"/>
    <w:rsid w:val="00136792"/>
    <w:rsid w:val="00136A7B"/>
    <w:rsid w:val="00142BCC"/>
    <w:rsid w:val="001441CA"/>
    <w:rsid w:val="0015204E"/>
    <w:rsid w:val="00154F40"/>
    <w:rsid w:val="00155069"/>
    <w:rsid w:val="001650FA"/>
    <w:rsid w:val="0017669C"/>
    <w:rsid w:val="001803FB"/>
    <w:rsid w:val="001824B9"/>
    <w:rsid w:val="0019184A"/>
    <w:rsid w:val="00195F58"/>
    <w:rsid w:val="00197072"/>
    <w:rsid w:val="001A21AC"/>
    <w:rsid w:val="001A4679"/>
    <w:rsid w:val="001C06B5"/>
    <w:rsid w:val="001C62F0"/>
    <w:rsid w:val="001D023B"/>
    <w:rsid w:val="001D3DDC"/>
    <w:rsid w:val="001E1716"/>
    <w:rsid w:val="001E40FE"/>
    <w:rsid w:val="001F0551"/>
    <w:rsid w:val="001F05A4"/>
    <w:rsid w:val="001F3514"/>
    <w:rsid w:val="001F5C34"/>
    <w:rsid w:val="001F68AD"/>
    <w:rsid w:val="00211D87"/>
    <w:rsid w:val="00211E8C"/>
    <w:rsid w:val="002206CD"/>
    <w:rsid w:val="0022459E"/>
    <w:rsid w:val="00232435"/>
    <w:rsid w:val="002426F3"/>
    <w:rsid w:val="00242DA0"/>
    <w:rsid w:val="0024758A"/>
    <w:rsid w:val="00252D8B"/>
    <w:rsid w:val="00253214"/>
    <w:rsid w:val="00266E46"/>
    <w:rsid w:val="00274586"/>
    <w:rsid w:val="00275BEB"/>
    <w:rsid w:val="0028111C"/>
    <w:rsid w:val="002816F7"/>
    <w:rsid w:val="00281910"/>
    <w:rsid w:val="00281C85"/>
    <w:rsid w:val="00284448"/>
    <w:rsid w:val="00285A47"/>
    <w:rsid w:val="00285BD4"/>
    <w:rsid w:val="00286FF1"/>
    <w:rsid w:val="00290D32"/>
    <w:rsid w:val="002A0CFA"/>
    <w:rsid w:val="002A7912"/>
    <w:rsid w:val="002B3683"/>
    <w:rsid w:val="002B47F1"/>
    <w:rsid w:val="002C3C36"/>
    <w:rsid w:val="002C3FB7"/>
    <w:rsid w:val="002C645B"/>
    <w:rsid w:val="002D4E70"/>
    <w:rsid w:val="002D6C25"/>
    <w:rsid w:val="002E19E7"/>
    <w:rsid w:val="002E3110"/>
    <w:rsid w:val="002E6E1A"/>
    <w:rsid w:val="002E7FBB"/>
    <w:rsid w:val="002F05FC"/>
    <w:rsid w:val="002F2E54"/>
    <w:rsid w:val="002F30F4"/>
    <w:rsid w:val="002F49D8"/>
    <w:rsid w:val="002F6553"/>
    <w:rsid w:val="002F7E39"/>
    <w:rsid w:val="00306BEF"/>
    <w:rsid w:val="00310D30"/>
    <w:rsid w:val="003114D7"/>
    <w:rsid w:val="0031480E"/>
    <w:rsid w:val="003304E9"/>
    <w:rsid w:val="00330FB1"/>
    <w:rsid w:val="00331096"/>
    <w:rsid w:val="00331D19"/>
    <w:rsid w:val="003377C1"/>
    <w:rsid w:val="00337912"/>
    <w:rsid w:val="00337D0D"/>
    <w:rsid w:val="00341F03"/>
    <w:rsid w:val="00343B75"/>
    <w:rsid w:val="003472CC"/>
    <w:rsid w:val="00353A86"/>
    <w:rsid w:val="00355785"/>
    <w:rsid w:val="00355D7C"/>
    <w:rsid w:val="00355F58"/>
    <w:rsid w:val="00357C1D"/>
    <w:rsid w:val="00360DE4"/>
    <w:rsid w:val="003635B7"/>
    <w:rsid w:val="00363B89"/>
    <w:rsid w:val="00364725"/>
    <w:rsid w:val="00367D38"/>
    <w:rsid w:val="0037041E"/>
    <w:rsid w:val="00370778"/>
    <w:rsid w:val="00371142"/>
    <w:rsid w:val="0037411D"/>
    <w:rsid w:val="00380CA2"/>
    <w:rsid w:val="003903CA"/>
    <w:rsid w:val="00397B52"/>
    <w:rsid w:val="003A3560"/>
    <w:rsid w:val="003A6BEF"/>
    <w:rsid w:val="003A6F49"/>
    <w:rsid w:val="003A7146"/>
    <w:rsid w:val="003B3689"/>
    <w:rsid w:val="003B4964"/>
    <w:rsid w:val="003C6AA8"/>
    <w:rsid w:val="003D38CE"/>
    <w:rsid w:val="003E0DD6"/>
    <w:rsid w:val="003E1DAB"/>
    <w:rsid w:val="003E3F4B"/>
    <w:rsid w:val="003E6201"/>
    <w:rsid w:val="003F59CB"/>
    <w:rsid w:val="00401C58"/>
    <w:rsid w:val="00403A86"/>
    <w:rsid w:val="00410070"/>
    <w:rsid w:val="0041749A"/>
    <w:rsid w:val="004306F7"/>
    <w:rsid w:val="00432075"/>
    <w:rsid w:val="004413F0"/>
    <w:rsid w:val="00444D2D"/>
    <w:rsid w:val="00445B0E"/>
    <w:rsid w:val="004535A7"/>
    <w:rsid w:val="004556F9"/>
    <w:rsid w:val="004557FA"/>
    <w:rsid w:val="00455809"/>
    <w:rsid w:val="00456768"/>
    <w:rsid w:val="00457C91"/>
    <w:rsid w:val="00464D51"/>
    <w:rsid w:val="004662CC"/>
    <w:rsid w:val="00466ED9"/>
    <w:rsid w:val="004712D6"/>
    <w:rsid w:val="00471963"/>
    <w:rsid w:val="00471C82"/>
    <w:rsid w:val="004724D1"/>
    <w:rsid w:val="0048497D"/>
    <w:rsid w:val="0048519E"/>
    <w:rsid w:val="00485448"/>
    <w:rsid w:val="00487B36"/>
    <w:rsid w:val="00490648"/>
    <w:rsid w:val="004937D5"/>
    <w:rsid w:val="00493F3A"/>
    <w:rsid w:val="00495F5C"/>
    <w:rsid w:val="00497EDE"/>
    <w:rsid w:val="004A1DA3"/>
    <w:rsid w:val="004A25BA"/>
    <w:rsid w:val="004A3C72"/>
    <w:rsid w:val="004A7EDD"/>
    <w:rsid w:val="004B16A5"/>
    <w:rsid w:val="004B6BE9"/>
    <w:rsid w:val="004C247A"/>
    <w:rsid w:val="004E3B8D"/>
    <w:rsid w:val="004E4C9A"/>
    <w:rsid w:val="004E5256"/>
    <w:rsid w:val="004F1808"/>
    <w:rsid w:val="004F2F76"/>
    <w:rsid w:val="004F4186"/>
    <w:rsid w:val="00503776"/>
    <w:rsid w:val="00506E2A"/>
    <w:rsid w:val="00521622"/>
    <w:rsid w:val="0052229B"/>
    <w:rsid w:val="00524AC0"/>
    <w:rsid w:val="00527911"/>
    <w:rsid w:val="00532844"/>
    <w:rsid w:val="00533567"/>
    <w:rsid w:val="005362E6"/>
    <w:rsid w:val="00537B55"/>
    <w:rsid w:val="00541C6A"/>
    <w:rsid w:val="00544BE7"/>
    <w:rsid w:val="00544DBA"/>
    <w:rsid w:val="005472A1"/>
    <w:rsid w:val="00551877"/>
    <w:rsid w:val="0055221A"/>
    <w:rsid w:val="00554134"/>
    <w:rsid w:val="00555ED5"/>
    <w:rsid w:val="005569D9"/>
    <w:rsid w:val="00561181"/>
    <w:rsid w:val="00564E69"/>
    <w:rsid w:val="00566C96"/>
    <w:rsid w:val="00571309"/>
    <w:rsid w:val="00572194"/>
    <w:rsid w:val="00574906"/>
    <w:rsid w:val="00576CCB"/>
    <w:rsid w:val="00580811"/>
    <w:rsid w:val="00581F4F"/>
    <w:rsid w:val="00584FC9"/>
    <w:rsid w:val="0058573B"/>
    <w:rsid w:val="00590C3C"/>
    <w:rsid w:val="0059548A"/>
    <w:rsid w:val="00597893"/>
    <w:rsid w:val="005A1F3B"/>
    <w:rsid w:val="005A3389"/>
    <w:rsid w:val="005B36BE"/>
    <w:rsid w:val="005C0FEC"/>
    <w:rsid w:val="005C2B22"/>
    <w:rsid w:val="005C57A1"/>
    <w:rsid w:val="005D08F8"/>
    <w:rsid w:val="005D4D6D"/>
    <w:rsid w:val="005D520C"/>
    <w:rsid w:val="005D6825"/>
    <w:rsid w:val="005D6905"/>
    <w:rsid w:val="005E3227"/>
    <w:rsid w:val="005E5623"/>
    <w:rsid w:val="005E7CBF"/>
    <w:rsid w:val="005F497D"/>
    <w:rsid w:val="005F49B3"/>
    <w:rsid w:val="005F4AA4"/>
    <w:rsid w:val="006006FB"/>
    <w:rsid w:val="00600A46"/>
    <w:rsid w:val="00602C95"/>
    <w:rsid w:val="00605844"/>
    <w:rsid w:val="00605872"/>
    <w:rsid w:val="00606613"/>
    <w:rsid w:val="00614104"/>
    <w:rsid w:val="00614A5F"/>
    <w:rsid w:val="0061604B"/>
    <w:rsid w:val="00620A43"/>
    <w:rsid w:val="006213BD"/>
    <w:rsid w:val="00622E60"/>
    <w:rsid w:val="00633444"/>
    <w:rsid w:val="00637AA3"/>
    <w:rsid w:val="00641E72"/>
    <w:rsid w:val="006455DD"/>
    <w:rsid w:val="006455E7"/>
    <w:rsid w:val="006518A4"/>
    <w:rsid w:val="006607DB"/>
    <w:rsid w:val="0066289F"/>
    <w:rsid w:val="00663BC9"/>
    <w:rsid w:val="00665F1B"/>
    <w:rsid w:val="00666D9F"/>
    <w:rsid w:val="00670965"/>
    <w:rsid w:val="006720F0"/>
    <w:rsid w:val="006730E8"/>
    <w:rsid w:val="006768A6"/>
    <w:rsid w:val="00690B7E"/>
    <w:rsid w:val="00690E61"/>
    <w:rsid w:val="00693604"/>
    <w:rsid w:val="0069386C"/>
    <w:rsid w:val="006A262B"/>
    <w:rsid w:val="006A77CD"/>
    <w:rsid w:val="006B237A"/>
    <w:rsid w:val="006B473C"/>
    <w:rsid w:val="006B510C"/>
    <w:rsid w:val="006C1933"/>
    <w:rsid w:val="006D1893"/>
    <w:rsid w:val="006D4006"/>
    <w:rsid w:val="006D4E92"/>
    <w:rsid w:val="006D7A22"/>
    <w:rsid w:val="006E0F90"/>
    <w:rsid w:val="006E608B"/>
    <w:rsid w:val="006F001C"/>
    <w:rsid w:val="006F312A"/>
    <w:rsid w:val="006F73BA"/>
    <w:rsid w:val="006F7773"/>
    <w:rsid w:val="007005E2"/>
    <w:rsid w:val="007008F7"/>
    <w:rsid w:val="00706330"/>
    <w:rsid w:val="00706B9F"/>
    <w:rsid w:val="00707AC5"/>
    <w:rsid w:val="00707E55"/>
    <w:rsid w:val="0072053D"/>
    <w:rsid w:val="00721690"/>
    <w:rsid w:val="007258DB"/>
    <w:rsid w:val="00731670"/>
    <w:rsid w:val="007335A5"/>
    <w:rsid w:val="00751858"/>
    <w:rsid w:val="00754D18"/>
    <w:rsid w:val="00757AC6"/>
    <w:rsid w:val="00757E08"/>
    <w:rsid w:val="00760AC0"/>
    <w:rsid w:val="00761882"/>
    <w:rsid w:val="00762E35"/>
    <w:rsid w:val="00766F62"/>
    <w:rsid w:val="00783194"/>
    <w:rsid w:val="00783460"/>
    <w:rsid w:val="00787876"/>
    <w:rsid w:val="0079084C"/>
    <w:rsid w:val="007955C4"/>
    <w:rsid w:val="00796203"/>
    <w:rsid w:val="007A7BCA"/>
    <w:rsid w:val="007B08E8"/>
    <w:rsid w:val="007B0CFB"/>
    <w:rsid w:val="007B12F3"/>
    <w:rsid w:val="007B5F94"/>
    <w:rsid w:val="007C16FD"/>
    <w:rsid w:val="007C3F8B"/>
    <w:rsid w:val="007D0369"/>
    <w:rsid w:val="007E046D"/>
    <w:rsid w:val="007E59DB"/>
    <w:rsid w:val="007F1F94"/>
    <w:rsid w:val="008009E4"/>
    <w:rsid w:val="00800E3E"/>
    <w:rsid w:val="008011F6"/>
    <w:rsid w:val="0080172E"/>
    <w:rsid w:val="00802233"/>
    <w:rsid w:val="008045C5"/>
    <w:rsid w:val="008067F6"/>
    <w:rsid w:val="00821D6A"/>
    <w:rsid w:val="00823E0A"/>
    <w:rsid w:val="0083554C"/>
    <w:rsid w:val="00835714"/>
    <w:rsid w:val="0083594E"/>
    <w:rsid w:val="00840045"/>
    <w:rsid w:val="00845FDD"/>
    <w:rsid w:val="00846C8A"/>
    <w:rsid w:val="0085291B"/>
    <w:rsid w:val="00853B8C"/>
    <w:rsid w:val="008549AF"/>
    <w:rsid w:val="0086182B"/>
    <w:rsid w:val="00870DDB"/>
    <w:rsid w:val="00876F0C"/>
    <w:rsid w:val="0087788E"/>
    <w:rsid w:val="00880B59"/>
    <w:rsid w:val="00885BBF"/>
    <w:rsid w:val="00890967"/>
    <w:rsid w:val="00891DFC"/>
    <w:rsid w:val="00891E30"/>
    <w:rsid w:val="008A3368"/>
    <w:rsid w:val="008A73A5"/>
    <w:rsid w:val="008B03F4"/>
    <w:rsid w:val="008B08D1"/>
    <w:rsid w:val="008B278D"/>
    <w:rsid w:val="008C2479"/>
    <w:rsid w:val="008C6002"/>
    <w:rsid w:val="008C7DCE"/>
    <w:rsid w:val="008D1097"/>
    <w:rsid w:val="008D65A9"/>
    <w:rsid w:val="008D7C40"/>
    <w:rsid w:val="008E2588"/>
    <w:rsid w:val="008E279B"/>
    <w:rsid w:val="008E4C63"/>
    <w:rsid w:val="008F28E7"/>
    <w:rsid w:val="008F5A4A"/>
    <w:rsid w:val="008F6DC3"/>
    <w:rsid w:val="00904CEE"/>
    <w:rsid w:val="00905283"/>
    <w:rsid w:val="009059B7"/>
    <w:rsid w:val="0091131A"/>
    <w:rsid w:val="00913BCF"/>
    <w:rsid w:val="00917121"/>
    <w:rsid w:val="00920A4C"/>
    <w:rsid w:val="00920D3D"/>
    <w:rsid w:val="00921825"/>
    <w:rsid w:val="00925589"/>
    <w:rsid w:val="00936719"/>
    <w:rsid w:val="00937C06"/>
    <w:rsid w:val="0094242D"/>
    <w:rsid w:val="00944AD4"/>
    <w:rsid w:val="009453E8"/>
    <w:rsid w:val="00952DDE"/>
    <w:rsid w:val="00953D5C"/>
    <w:rsid w:val="009566AA"/>
    <w:rsid w:val="00956C28"/>
    <w:rsid w:val="00957D3B"/>
    <w:rsid w:val="0096231A"/>
    <w:rsid w:val="009632FE"/>
    <w:rsid w:val="00964B18"/>
    <w:rsid w:val="0096659C"/>
    <w:rsid w:val="00966DE6"/>
    <w:rsid w:val="00970708"/>
    <w:rsid w:val="00986B4F"/>
    <w:rsid w:val="00996355"/>
    <w:rsid w:val="009A1572"/>
    <w:rsid w:val="009A2417"/>
    <w:rsid w:val="009A756A"/>
    <w:rsid w:val="009B09C3"/>
    <w:rsid w:val="009B36C1"/>
    <w:rsid w:val="009B3F5E"/>
    <w:rsid w:val="009B6BE8"/>
    <w:rsid w:val="009C3CD9"/>
    <w:rsid w:val="009C61AC"/>
    <w:rsid w:val="009D7B46"/>
    <w:rsid w:val="009E413E"/>
    <w:rsid w:val="009E7D15"/>
    <w:rsid w:val="009F3085"/>
    <w:rsid w:val="009F3AE0"/>
    <w:rsid w:val="00A01DCF"/>
    <w:rsid w:val="00A02C1D"/>
    <w:rsid w:val="00A06220"/>
    <w:rsid w:val="00A077B4"/>
    <w:rsid w:val="00A11689"/>
    <w:rsid w:val="00A12AD6"/>
    <w:rsid w:val="00A20132"/>
    <w:rsid w:val="00A31560"/>
    <w:rsid w:val="00A34096"/>
    <w:rsid w:val="00A42D15"/>
    <w:rsid w:val="00A43D98"/>
    <w:rsid w:val="00A457E8"/>
    <w:rsid w:val="00A46165"/>
    <w:rsid w:val="00A463B0"/>
    <w:rsid w:val="00A47641"/>
    <w:rsid w:val="00A478AC"/>
    <w:rsid w:val="00A503BF"/>
    <w:rsid w:val="00A52DA3"/>
    <w:rsid w:val="00A52DC6"/>
    <w:rsid w:val="00A53041"/>
    <w:rsid w:val="00A5441C"/>
    <w:rsid w:val="00A63138"/>
    <w:rsid w:val="00A638F6"/>
    <w:rsid w:val="00A67263"/>
    <w:rsid w:val="00A73C43"/>
    <w:rsid w:val="00A75466"/>
    <w:rsid w:val="00A93812"/>
    <w:rsid w:val="00A94AA7"/>
    <w:rsid w:val="00A9736D"/>
    <w:rsid w:val="00AA573D"/>
    <w:rsid w:val="00AA7BB8"/>
    <w:rsid w:val="00AB1F1A"/>
    <w:rsid w:val="00AB3EB8"/>
    <w:rsid w:val="00AB44B6"/>
    <w:rsid w:val="00AB486D"/>
    <w:rsid w:val="00AB5BAF"/>
    <w:rsid w:val="00AC0E6B"/>
    <w:rsid w:val="00AD41C5"/>
    <w:rsid w:val="00AE33D1"/>
    <w:rsid w:val="00AE3D51"/>
    <w:rsid w:val="00AE4A91"/>
    <w:rsid w:val="00AF278F"/>
    <w:rsid w:val="00AF6777"/>
    <w:rsid w:val="00AF6AEB"/>
    <w:rsid w:val="00AF7C1D"/>
    <w:rsid w:val="00B01CA9"/>
    <w:rsid w:val="00B030D8"/>
    <w:rsid w:val="00B03D96"/>
    <w:rsid w:val="00B105A1"/>
    <w:rsid w:val="00B11B84"/>
    <w:rsid w:val="00B11B95"/>
    <w:rsid w:val="00B209D0"/>
    <w:rsid w:val="00B21F81"/>
    <w:rsid w:val="00B26684"/>
    <w:rsid w:val="00B27365"/>
    <w:rsid w:val="00B329DA"/>
    <w:rsid w:val="00B34C8E"/>
    <w:rsid w:val="00B36B88"/>
    <w:rsid w:val="00B375B6"/>
    <w:rsid w:val="00B40759"/>
    <w:rsid w:val="00B42987"/>
    <w:rsid w:val="00B4375C"/>
    <w:rsid w:val="00B458FC"/>
    <w:rsid w:val="00B528E8"/>
    <w:rsid w:val="00B6303C"/>
    <w:rsid w:val="00B63DB0"/>
    <w:rsid w:val="00B6484A"/>
    <w:rsid w:val="00B67A1E"/>
    <w:rsid w:val="00B720D9"/>
    <w:rsid w:val="00B72C46"/>
    <w:rsid w:val="00B85E7A"/>
    <w:rsid w:val="00B8671E"/>
    <w:rsid w:val="00B90C55"/>
    <w:rsid w:val="00B92FB5"/>
    <w:rsid w:val="00B94003"/>
    <w:rsid w:val="00BA1C1B"/>
    <w:rsid w:val="00BA489B"/>
    <w:rsid w:val="00BA66B0"/>
    <w:rsid w:val="00BB376F"/>
    <w:rsid w:val="00BC0DB5"/>
    <w:rsid w:val="00BC7E09"/>
    <w:rsid w:val="00BE0110"/>
    <w:rsid w:val="00BE1887"/>
    <w:rsid w:val="00BE2598"/>
    <w:rsid w:val="00BE3A5E"/>
    <w:rsid w:val="00BE6888"/>
    <w:rsid w:val="00BF044C"/>
    <w:rsid w:val="00BF0C07"/>
    <w:rsid w:val="00BF178F"/>
    <w:rsid w:val="00BF4143"/>
    <w:rsid w:val="00BF531B"/>
    <w:rsid w:val="00BF63EE"/>
    <w:rsid w:val="00C005EF"/>
    <w:rsid w:val="00C01842"/>
    <w:rsid w:val="00C052D8"/>
    <w:rsid w:val="00C10DF4"/>
    <w:rsid w:val="00C13342"/>
    <w:rsid w:val="00C135B8"/>
    <w:rsid w:val="00C147F3"/>
    <w:rsid w:val="00C1574F"/>
    <w:rsid w:val="00C21A37"/>
    <w:rsid w:val="00C2336B"/>
    <w:rsid w:val="00C2611E"/>
    <w:rsid w:val="00C3790E"/>
    <w:rsid w:val="00C41A31"/>
    <w:rsid w:val="00C42B76"/>
    <w:rsid w:val="00C460E1"/>
    <w:rsid w:val="00C474E9"/>
    <w:rsid w:val="00C51BDF"/>
    <w:rsid w:val="00C54489"/>
    <w:rsid w:val="00C65284"/>
    <w:rsid w:val="00C81A75"/>
    <w:rsid w:val="00C90111"/>
    <w:rsid w:val="00C92DDE"/>
    <w:rsid w:val="00C97C65"/>
    <w:rsid w:val="00CA0D51"/>
    <w:rsid w:val="00CA1F8E"/>
    <w:rsid w:val="00CA2F2D"/>
    <w:rsid w:val="00CB4CBC"/>
    <w:rsid w:val="00CB6003"/>
    <w:rsid w:val="00CC12BF"/>
    <w:rsid w:val="00CC1F36"/>
    <w:rsid w:val="00CD0915"/>
    <w:rsid w:val="00CD190F"/>
    <w:rsid w:val="00CD2196"/>
    <w:rsid w:val="00CD6FE6"/>
    <w:rsid w:val="00CE08A6"/>
    <w:rsid w:val="00CE46F2"/>
    <w:rsid w:val="00CE5949"/>
    <w:rsid w:val="00CE7219"/>
    <w:rsid w:val="00CF3630"/>
    <w:rsid w:val="00CF4E6D"/>
    <w:rsid w:val="00D03F40"/>
    <w:rsid w:val="00D04225"/>
    <w:rsid w:val="00D05EA3"/>
    <w:rsid w:val="00D076F6"/>
    <w:rsid w:val="00D11BB1"/>
    <w:rsid w:val="00D128C6"/>
    <w:rsid w:val="00D24FE9"/>
    <w:rsid w:val="00D256F2"/>
    <w:rsid w:val="00D27F4D"/>
    <w:rsid w:val="00D31ADF"/>
    <w:rsid w:val="00D40FC7"/>
    <w:rsid w:val="00D57E3F"/>
    <w:rsid w:val="00D6017C"/>
    <w:rsid w:val="00D603FA"/>
    <w:rsid w:val="00D60666"/>
    <w:rsid w:val="00D6403A"/>
    <w:rsid w:val="00D74B55"/>
    <w:rsid w:val="00D760DB"/>
    <w:rsid w:val="00D901A9"/>
    <w:rsid w:val="00D9593B"/>
    <w:rsid w:val="00D95F3F"/>
    <w:rsid w:val="00D9739D"/>
    <w:rsid w:val="00DA4547"/>
    <w:rsid w:val="00DA70D1"/>
    <w:rsid w:val="00DB2230"/>
    <w:rsid w:val="00DB748C"/>
    <w:rsid w:val="00DC14E8"/>
    <w:rsid w:val="00DC3926"/>
    <w:rsid w:val="00DC3969"/>
    <w:rsid w:val="00DD034A"/>
    <w:rsid w:val="00DD0462"/>
    <w:rsid w:val="00DD118A"/>
    <w:rsid w:val="00DD22C8"/>
    <w:rsid w:val="00DD3356"/>
    <w:rsid w:val="00DD3A21"/>
    <w:rsid w:val="00DE33FA"/>
    <w:rsid w:val="00DE423E"/>
    <w:rsid w:val="00DE7D81"/>
    <w:rsid w:val="00DF1EE5"/>
    <w:rsid w:val="00DF275B"/>
    <w:rsid w:val="00DF4427"/>
    <w:rsid w:val="00E00D49"/>
    <w:rsid w:val="00E0395C"/>
    <w:rsid w:val="00E12811"/>
    <w:rsid w:val="00E240E9"/>
    <w:rsid w:val="00E249DE"/>
    <w:rsid w:val="00E26189"/>
    <w:rsid w:val="00E34F9B"/>
    <w:rsid w:val="00E4153D"/>
    <w:rsid w:val="00E41D88"/>
    <w:rsid w:val="00E43840"/>
    <w:rsid w:val="00E43CDA"/>
    <w:rsid w:val="00E440EA"/>
    <w:rsid w:val="00E47387"/>
    <w:rsid w:val="00E52B82"/>
    <w:rsid w:val="00E71B9D"/>
    <w:rsid w:val="00E805BD"/>
    <w:rsid w:val="00E82D72"/>
    <w:rsid w:val="00E82E59"/>
    <w:rsid w:val="00E855B2"/>
    <w:rsid w:val="00E8735E"/>
    <w:rsid w:val="00E94179"/>
    <w:rsid w:val="00E955D1"/>
    <w:rsid w:val="00E96574"/>
    <w:rsid w:val="00EA0A82"/>
    <w:rsid w:val="00EA3464"/>
    <w:rsid w:val="00EA38B0"/>
    <w:rsid w:val="00EA7EE4"/>
    <w:rsid w:val="00EB23CD"/>
    <w:rsid w:val="00EB4472"/>
    <w:rsid w:val="00EC2215"/>
    <w:rsid w:val="00EC2972"/>
    <w:rsid w:val="00EC2A91"/>
    <w:rsid w:val="00ED1AB2"/>
    <w:rsid w:val="00ED2FE3"/>
    <w:rsid w:val="00ED3849"/>
    <w:rsid w:val="00ED63C7"/>
    <w:rsid w:val="00ED65A1"/>
    <w:rsid w:val="00EE02FC"/>
    <w:rsid w:val="00EE6AC0"/>
    <w:rsid w:val="00EF7920"/>
    <w:rsid w:val="00F03351"/>
    <w:rsid w:val="00F10162"/>
    <w:rsid w:val="00F10E7D"/>
    <w:rsid w:val="00F133B4"/>
    <w:rsid w:val="00F171BC"/>
    <w:rsid w:val="00F23765"/>
    <w:rsid w:val="00F2476E"/>
    <w:rsid w:val="00F25937"/>
    <w:rsid w:val="00F30BFE"/>
    <w:rsid w:val="00F34426"/>
    <w:rsid w:val="00F36958"/>
    <w:rsid w:val="00F37103"/>
    <w:rsid w:val="00F3722F"/>
    <w:rsid w:val="00F54117"/>
    <w:rsid w:val="00F54D33"/>
    <w:rsid w:val="00F66B1A"/>
    <w:rsid w:val="00F6771A"/>
    <w:rsid w:val="00F71372"/>
    <w:rsid w:val="00F74162"/>
    <w:rsid w:val="00F7480D"/>
    <w:rsid w:val="00F7565F"/>
    <w:rsid w:val="00F76587"/>
    <w:rsid w:val="00F77588"/>
    <w:rsid w:val="00F827B6"/>
    <w:rsid w:val="00F85651"/>
    <w:rsid w:val="00F9436A"/>
    <w:rsid w:val="00F9637C"/>
    <w:rsid w:val="00F9667E"/>
    <w:rsid w:val="00F96F06"/>
    <w:rsid w:val="00F97E7C"/>
    <w:rsid w:val="00FA196A"/>
    <w:rsid w:val="00FA369E"/>
    <w:rsid w:val="00FA5F6A"/>
    <w:rsid w:val="00FB108D"/>
    <w:rsid w:val="00FB6B40"/>
    <w:rsid w:val="00FC0C01"/>
    <w:rsid w:val="00FC410D"/>
    <w:rsid w:val="00FC5B2F"/>
    <w:rsid w:val="00FC5E62"/>
    <w:rsid w:val="00FD2C57"/>
    <w:rsid w:val="00FD3CB9"/>
    <w:rsid w:val="00FD42D5"/>
    <w:rsid w:val="00FD5396"/>
    <w:rsid w:val="00FD5FD9"/>
    <w:rsid w:val="00FE192F"/>
    <w:rsid w:val="00FE3CDC"/>
    <w:rsid w:val="00FE51B0"/>
    <w:rsid w:val="00FE7555"/>
    <w:rsid w:val="00FF3C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76A6"/>
  <w15:docId w15:val="{5E0DEB4B-7281-44BF-B054-51855B42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3B"/>
  </w:style>
  <w:style w:type="paragraph" w:styleId="Heading1">
    <w:name w:val="heading 1"/>
    <w:basedOn w:val="Normal"/>
    <w:next w:val="Normal"/>
    <w:link w:val="Heading1Char"/>
    <w:uiPriority w:val="9"/>
    <w:qFormat/>
    <w:rsid w:val="00957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7D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38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86F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D3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57D3B"/>
    <w:pPr>
      <w:outlineLvl w:val="9"/>
    </w:pPr>
    <w:rPr>
      <w:lang w:val="en-US"/>
    </w:rPr>
  </w:style>
  <w:style w:type="paragraph" w:styleId="TOC1">
    <w:name w:val="toc 1"/>
    <w:basedOn w:val="Normal"/>
    <w:next w:val="Normal"/>
    <w:autoRedefine/>
    <w:uiPriority w:val="39"/>
    <w:unhideWhenUsed/>
    <w:rsid w:val="00E96574"/>
    <w:pPr>
      <w:tabs>
        <w:tab w:val="left" w:pos="720"/>
        <w:tab w:val="right" w:leader="dot" w:pos="9062"/>
      </w:tabs>
      <w:spacing w:after="0" w:line="240" w:lineRule="auto"/>
      <w:ind w:left="425" w:hanging="425"/>
    </w:pPr>
    <w:rPr>
      <w:rFonts w:ascii="Times New Roman" w:hAnsi="Times New Roman" w:cs="Times New Roman"/>
      <w:b/>
      <w:bCs/>
      <w:noProof/>
    </w:rPr>
  </w:style>
  <w:style w:type="paragraph" w:styleId="TOC2">
    <w:name w:val="toc 2"/>
    <w:basedOn w:val="Normal"/>
    <w:next w:val="Normal"/>
    <w:autoRedefine/>
    <w:uiPriority w:val="39"/>
    <w:unhideWhenUsed/>
    <w:rsid w:val="00957D3B"/>
    <w:pPr>
      <w:spacing w:after="100"/>
      <w:ind w:left="220"/>
    </w:pPr>
  </w:style>
  <w:style w:type="character" w:styleId="Hyperlink">
    <w:name w:val="Hyperlink"/>
    <w:basedOn w:val="DefaultParagraphFont"/>
    <w:uiPriority w:val="99"/>
    <w:unhideWhenUsed/>
    <w:rsid w:val="00957D3B"/>
    <w:rPr>
      <w:color w:val="0563C1" w:themeColor="hyperlink"/>
      <w:u w:val="single"/>
    </w:rPr>
  </w:style>
  <w:style w:type="paragraph" w:styleId="TOC3">
    <w:name w:val="toc 3"/>
    <w:basedOn w:val="Normal"/>
    <w:next w:val="Normal"/>
    <w:autoRedefine/>
    <w:uiPriority w:val="39"/>
    <w:unhideWhenUsed/>
    <w:rsid w:val="003E3F4B"/>
    <w:pPr>
      <w:tabs>
        <w:tab w:val="left" w:pos="720"/>
        <w:tab w:val="right" w:leader="dot" w:pos="9205"/>
      </w:tabs>
      <w:spacing w:after="100"/>
      <w:ind w:left="142"/>
    </w:pPr>
    <w:rPr>
      <w:rFonts w:ascii="Times New Roman" w:hAnsi="Times New Roman" w:cs="Times New Roman"/>
      <w:i/>
      <w:iCs/>
      <w:noProof/>
      <w:sz w:val="24"/>
      <w:szCs w:val="24"/>
      <w:lang w:eastAsia="bg-BG"/>
    </w:rPr>
  </w:style>
  <w:style w:type="paragraph" w:styleId="ListParagraph">
    <w:name w:val="List Paragraph"/>
    <w:aliases w:val="ПАРАГРАФ,bullet2,Гл точки,Style 1,C 1,Normal List,Endnote,Indent,List Paragraph1,List1,List Paragraph11,Colorful List - Accent 11,List Paragraph111,List Paragraph1111,Medium Grid 1 - Accent 21,Numbered list,List Paragraph3"/>
    <w:basedOn w:val="Normal"/>
    <w:link w:val="ListParagraphChar"/>
    <w:uiPriority w:val="34"/>
    <w:qFormat/>
    <w:rsid w:val="00957D3B"/>
    <w:pPr>
      <w:ind w:left="720"/>
      <w:contextualSpacing/>
    </w:pPr>
  </w:style>
  <w:style w:type="character" w:customStyle="1" w:styleId="jlqj4b">
    <w:name w:val="jlqj4b"/>
    <w:basedOn w:val="DefaultParagraphFont"/>
    <w:rsid w:val="00957D3B"/>
  </w:style>
  <w:style w:type="character" w:customStyle="1" w:styleId="rynqvb">
    <w:name w:val="rynqvb"/>
    <w:basedOn w:val="DefaultParagraphFont"/>
    <w:rsid w:val="00957D3B"/>
  </w:style>
  <w:style w:type="character" w:customStyle="1" w:styleId="Heading2Char">
    <w:name w:val="Heading 2 Char"/>
    <w:basedOn w:val="DefaultParagraphFont"/>
    <w:link w:val="Heading2"/>
    <w:uiPriority w:val="9"/>
    <w:rsid w:val="00957D3B"/>
    <w:rPr>
      <w:rFonts w:asciiTheme="majorHAnsi" w:eastAsiaTheme="majorEastAsia" w:hAnsiTheme="majorHAnsi" w:cstheme="majorBidi"/>
      <w:color w:val="2E74B5" w:themeColor="accent1" w:themeShade="BF"/>
      <w:sz w:val="26"/>
      <w:szCs w:val="26"/>
    </w:rPr>
  </w:style>
  <w:style w:type="character" w:styleId="FootnoteReference">
    <w:name w:val="footnote reference"/>
    <w:uiPriority w:val="99"/>
    <w:rsid w:val="007955C4"/>
    <w:rPr>
      <w:vertAlign w:val="superscript"/>
    </w:rPr>
  </w:style>
  <w:style w:type="paragraph" w:styleId="FootnoteText">
    <w:name w:val="footnote text"/>
    <w:basedOn w:val="Normal"/>
    <w:link w:val="FootnoteTextChar"/>
    <w:uiPriority w:val="99"/>
    <w:qFormat/>
    <w:rsid w:val="007955C4"/>
    <w:pPr>
      <w:spacing w:after="0" w:line="360" w:lineRule="exact"/>
    </w:pPr>
    <w:rPr>
      <w:rFonts w:ascii="TmsCyrNew" w:eastAsia="Times New Roman" w:hAnsi="TmsCyrNew" w:cs="Times New Roman"/>
      <w:sz w:val="20"/>
      <w:szCs w:val="20"/>
    </w:rPr>
  </w:style>
  <w:style w:type="character" w:customStyle="1" w:styleId="FootnoteTextChar">
    <w:name w:val="Footnote Text Char"/>
    <w:basedOn w:val="DefaultParagraphFont"/>
    <w:link w:val="FootnoteText"/>
    <w:uiPriority w:val="99"/>
    <w:rsid w:val="007955C4"/>
    <w:rPr>
      <w:rFonts w:ascii="TmsCyrNew" w:eastAsia="Times New Roman" w:hAnsi="TmsCyrNew" w:cs="Times New Roman"/>
      <w:sz w:val="20"/>
      <w:szCs w:val="20"/>
    </w:rPr>
  </w:style>
  <w:style w:type="paragraph" w:styleId="NoSpacing">
    <w:name w:val="No Spacing"/>
    <w:link w:val="NoSpacingChar"/>
    <w:qFormat/>
    <w:rsid w:val="00C005EF"/>
    <w:pPr>
      <w:spacing w:after="0" w:line="240" w:lineRule="auto"/>
    </w:pPr>
    <w:rPr>
      <w:rFonts w:eastAsiaTheme="minorEastAsia"/>
      <w:lang w:val="en-US"/>
    </w:rPr>
  </w:style>
  <w:style w:type="character" w:customStyle="1" w:styleId="NoSpacingChar">
    <w:name w:val="No Spacing Char"/>
    <w:basedOn w:val="DefaultParagraphFont"/>
    <w:link w:val="NoSpacing"/>
    <w:rsid w:val="00C005EF"/>
    <w:rPr>
      <w:rFonts w:eastAsiaTheme="minorEastAsia"/>
      <w:lang w:val="en-US"/>
    </w:rPr>
  </w:style>
  <w:style w:type="paragraph" w:styleId="Header">
    <w:name w:val="header"/>
    <w:basedOn w:val="Normal"/>
    <w:link w:val="HeaderChar"/>
    <w:uiPriority w:val="99"/>
    <w:unhideWhenUsed/>
    <w:rsid w:val="000A0F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0F44"/>
  </w:style>
  <w:style w:type="paragraph" w:styleId="Footer">
    <w:name w:val="footer"/>
    <w:basedOn w:val="Normal"/>
    <w:link w:val="FooterChar"/>
    <w:uiPriority w:val="99"/>
    <w:unhideWhenUsed/>
    <w:rsid w:val="000A0F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0F44"/>
  </w:style>
  <w:style w:type="character" w:customStyle="1" w:styleId="Heading3Char">
    <w:name w:val="Heading 3 Char"/>
    <w:basedOn w:val="DefaultParagraphFont"/>
    <w:link w:val="Heading3"/>
    <w:uiPriority w:val="9"/>
    <w:rsid w:val="003D38CE"/>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5472A1"/>
    <w:pPr>
      <w:spacing w:after="0" w:line="240" w:lineRule="auto"/>
    </w:pPr>
    <w:rPr>
      <w:rFonts w:ascii="Calibri" w:hAnsi="Calibri"/>
      <w:kern w:val="2"/>
      <w:szCs w:val="21"/>
      <w:lang w:val="en-US"/>
      <w14:ligatures w14:val="standardContextual"/>
    </w:rPr>
  </w:style>
  <w:style w:type="character" w:customStyle="1" w:styleId="PlainTextChar">
    <w:name w:val="Plain Text Char"/>
    <w:basedOn w:val="DefaultParagraphFont"/>
    <w:link w:val="PlainText"/>
    <w:uiPriority w:val="99"/>
    <w:rsid w:val="005472A1"/>
    <w:rPr>
      <w:rFonts w:ascii="Calibri" w:hAnsi="Calibri"/>
      <w:kern w:val="2"/>
      <w:szCs w:val="21"/>
      <w:lang w:val="en-US"/>
      <w14:ligatures w14:val="standardContextual"/>
    </w:rPr>
  </w:style>
  <w:style w:type="paragraph" w:styleId="NormalWeb">
    <w:name w:val="Normal (Web)"/>
    <w:basedOn w:val="Normal"/>
    <w:uiPriority w:val="99"/>
    <w:unhideWhenUsed/>
    <w:rsid w:val="0057490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541C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C6A"/>
    <w:rPr>
      <w:sz w:val="20"/>
      <w:szCs w:val="20"/>
    </w:rPr>
  </w:style>
  <w:style w:type="character" w:styleId="EndnoteReference">
    <w:name w:val="endnote reference"/>
    <w:basedOn w:val="DefaultParagraphFont"/>
    <w:uiPriority w:val="99"/>
    <w:semiHidden/>
    <w:unhideWhenUsed/>
    <w:rsid w:val="00541C6A"/>
    <w:rPr>
      <w:vertAlign w:val="superscript"/>
    </w:rPr>
  </w:style>
  <w:style w:type="character" w:customStyle="1" w:styleId="ListParagraphChar">
    <w:name w:val="List Paragraph Char"/>
    <w:aliases w:val="ПАРАГРАФ Char,bullet2 Char,Гл точки Char,Style 1 Char,C 1 Char,Normal List Char,Endnote Char,Indent Char,List Paragraph1 Char,List1 Char,List Paragraph11 Char,Colorful List - Accent 11 Char,List Paragraph111 Char,Numbered list Char"/>
    <w:basedOn w:val="DefaultParagraphFont"/>
    <w:link w:val="ListParagraph"/>
    <w:uiPriority w:val="34"/>
    <w:qFormat/>
    <w:locked/>
    <w:rsid w:val="00024327"/>
  </w:style>
  <w:style w:type="character" w:customStyle="1" w:styleId="Bodytext1">
    <w:name w:val="Body text|1_"/>
    <w:basedOn w:val="DefaultParagraphFont"/>
    <w:link w:val="Bodytext10"/>
    <w:locked/>
    <w:rsid w:val="00024327"/>
  </w:style>
  <w:style w:type="paragraph" w:customStyle="1" w:styleId="Bodytext10">
    <w:name w:val="Body text|1"/>
    <w:basedOn w:val="Normal"/>
    <w:link w:val="Bodytext1"/>
    <w:rsid w:val="00024327"/>
    <w:pPr>
      <w:widowControl w:val="0"/>
      <w:spacing w:after="140" w:line="393" w:lineRule="auto"/>
    </w:pPr>
  </w:style>
  <w:style w:type="paragraph" w:styleId="BalloonText">
    <w:name w:val="Balloon Text"/>
    <w:basedOn w:val="Normal"/>
    <w:link w:val="BalloonTextChar"/>
    <w:uiPriority w:val="99"/>
    <w:semiHidden/>
    <w:unhideWhenUsed/>
    <w:rsid w:val="00AF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777"/>
    <w:rPr>
      <w:rFonts w:ascii="Segoe UI" w:hAnsi="Segoe UI" w:cs="Segoe UI"/>
      <w:sz w:val="18"/>
      <w:szCs w:val="18"/>
    </w:rPr>
  </w:style>
  <w:style w:type="character" w:styleId="CommentReference">
    <w:name w:val="annotation reference"/>
    <w:basedOn w:val="DefaultParagraphFont"/>
    <w:uiPriority w:val="99"/>
    <w:semiHidden/>
    <w:unhideWhenUsed/>
    <w:rsid w:val="007B0CFB"/>
    <w:rPr>
      <w:sz w:val="16"/>
      <w:szCs w:val="16"/>
    </w:rPr>
  </w:style>
  <w:style w:type="paragraph" w:styleId="CommentText">
    <w:name w:val="annotation text"/>
    <w:basedOn w:val="Normal"/>
    <w:link w:val="CommentTextChar"/>
    <w:uiPriority w:val="99"/>
    <w:semiHidden/>
    <w:unhideWhenUsed/>
    <w:rsid w:val="007B0CFB"/>
    <w:pPr>
      <w:spacing w:line="240" w:lineRule="auto"/>
    </w:pPr>
    <w:rPr>
      <w:sz w:val="20"/>
      <w:szCs w:val="20"/>
    </w:rPr>
  </w:style>
  <w:style w:type="character" w:customStyle="1" w:styleId="CommentTextChar">
    <w:name w:val="Comment Text Char"/>
    <w:basedOn w:val="DefaultParagraphFont"/>
    <w:link w:val="CommentText"/>
    <w:uiPriority w:val="99"/>
    <w:semiHidden/>
    <w:rsid w:val="007B0CFB"/>
    <w:rPr>
      <w:sz w:val="20"/>
      <w:szCs w:val="20"/>
    </w:rPr>
  </w:style>
  <w:style w:type="paragraph" w:styleId="CommentSubject">
    <w:name w:val="annotation subject"/>
    <w:basedOn w:val="CommentText"/>
    <w:next w:val="CommentText"/>
    <w:link w:val="CommentSubjectChar"/>
    <w:uiPriority w:val="99"/>
    <w:semiHidden/>
    <w:unhideWhenUsed/>
    <w:rsid w:val="007B0CFB"/>
    <w:rPr>
      <w:b/>
      <w:bCs/>
    </w:rPr>
  </w:style>
  <w:style w:type="character" w:customStyle="1" w:styleId="CommentSubjectChar">
    <w:name w:val="Comment Subject Char"/>
    <w:basedOn w:val="CommentTextChar"/>
    <w:link w:val="CommentSubject"/>
    <w:uiPriority w:val="99"/>
    <w:semiHidden/>
    <w:rsid w:val="007B0CFB"/>
    <w:rPr>
      <w:b/>
      <w:bCs/>
      <w:sz w:val="20"/>
      <w:szCs w:val="20"/>
    </w:rPr>
  </w:style>
  <w:style w:type="paragraph" w:styleId="Revision">
    <w:name w:val="Revision"/>
    <w:hidden/>
    <w:uiPriority w:val="99"/>
    <w:semiHidden/>
    <w:rsid w:val="007B0CFB"/>
    <w:pPr>
      <w:spacing w:after="0" w:line="240" w:lineRule="auto"/>
    </w:pPr>
  </w:style>
  <w:style w:type="character" w:styleId="FollowedHyperlink">
    <w:name w:val="FollowedHyperlink"/>
    <w:basedOn w:val="DefaultParagraphFont"/>
    <w:uiPriority w:val="99"/>
    <w:semiHidden/>
    <w:unhideWhenUsed/>
    <w:rsid w:val="00EB4472"/>
    <w:rPr>
      <w:color w:val="954F72" w:themeColor="followedHyperlink"/>
      <w:u w:val="single"/>
    </w:rPr>
  </w:style>
  <w:style w:type="character" w:customStyle="1" w:styleId="Heading4Char">
    <w:name w:val="Heading 4 Char"/>
    <w:basedOn w:val="DefaultParagraphFont"/>
    <w:link w:val="Heading4"/>
    <w:uiPriority w:val="9"/>
    <w:rsid w:val="00286FF1"/>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F34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245">
      <w:bodyDiv w:val="1"/>
      <w:marLeft w:val="0"/>
      <w:marRight w:val="0"/>
      <w:marTop w:val="0"/>
      <w:marBottom w:val="0"/>
      <w:divBdr>
        <w:top w:val="none" w:sz="0" w:space="0" w:color="auto"/>
        <w:left w:val="none" w:sz="0" w:space="0" w:color="auto"/>
        <w:bottom w:val="none" w:sz="0" w:space="0" w:color="auto"/>
        <w:right w:val="none" w:sz="0" w:space="0" w:color="auto"/>
      </w:divBdr>
    </w:div>
    <w:div w:id="78064086">
      <w:bodyDiv w:val="1"/>
      <w:marLeft w:val="0"/>
      <w:marRight w:val="0"/>
      <w:marTop w:val="0"/>
      <w:marBottom w:val="0"/>
      <w:divBdr>
        <w:top w:val="none" w:sz="0" w:space="0" w:color="auto"/>
        <w:left w:val="none" w:sz="0" w:space="0" w:color="auto"/>
        <w:bottom w:val="none" w:sz="0" w:space="0" w:color="auto"/>
        <w:right w:val="none" w:sz="0" w:space="0" w:color="auto"/>
      </w:divBdr>
    </w:div>
    <w:div w:id="89665371">
      <w:bodyDiv w:val="1"/>
      <w:marLeft w:val="0"/>
      <w:marRight w:val="0"/>
      <w:marTop w:val="0"/>
      <w:marBottom w:val="0"/>
      <w:divBdr>
        <w:top w:val="none" w:sz="0" w:space="0" w:color="auto"/>
        <w:left w:val="none" w:sz="0" w:space="0" w:color="auto"/>
        <w:bottom w:val="none" w:sz="0" w:space="0" w:color="auto"/>
        <w:right w:val="none" w:sz="0" w:space="0" w:color="auto"/>
      </w:divBdr>
    </w:div>
    <w:div w:id="96878094">
      <w:bodyDiv w:val="1"/>
      <w:marLeft w:val="0"/>
      <w:marRight w:val="0"/>
      <w:marTop w:val="0"/>
      <w:marBottom w:val="0"/>
      <w:divBdr>
        <w:top w:val="none" w:sz="0" w:space="0" w:color="auto"/>
        <w:left w:val="none" w:sz="0" w:space="0" w:color="auto"/>
        <w:bottom w:val="none" w:sz="0" w:space="0" w:color="auto"/>
        <w:right w:val="none" w:sz="0" w:space="0" w:color="auto"/>
      </w:divBdr>
    </w:div>
    <w:div w:id="104544024">
      <w:bodyDiv w:val="1"/>
      <w:marLeft w:val="0"/>
      <w:marRight w:val="0"/>
      <w:marTop w:val="0"/>
      <w:marBottom w:val="0"/>
      <w:divBdr>
        <w:top w:val="none" w:sz="0" w:space="0" w:color="auto"/>
        <w:left w:val="none" w:sz="0" w:space="0" w:color="auto"/>
        <w:bottom w:val="none" w:sz="0" w:space="0" w:color="auto"/>
        <w:right w:val="none" w:sz="0" w:space="0" w:color="auto"/>
      </w:divBdr>
    </w:div>
    <w:div w:id="132913466">
      <w:bodyDiv w:val="1"/>
      <w:marLeft w:val="0"/>
      <w:marRight w:val="0"/>
      <w:marTop w:val="0"/>
      <w:marBottom w:val="0"/>
      <w:divBdr>
        <w:top w:val="none" w:sz="0" w:space="0" w:color="auto"/>
        <w:left w:val="none" w:sz="0" w:space="0" w:color="auto"/>
        <w:bottom w:val="none" w:sz="0" w:space="0" w:color="auto"/>
        <w:right w:val="none" w:sz="0" w:space="0" w:color="auto"/>
      </w:divBdr>
    </w:div>
    <w:div w:id="232744759">
      <w:bodyDiv w:val="1"/>
      <w:marLeft w:val="0"/>
      <w:marRight w:val="0"/>
      <w:marTop w:val="0"/>
      <w:marBottom w:val="0"/>
      <w:divBdr>
        <w:top w:val="none" w:sz="0" w:space="0" w:color="auto"/>
        <w:left w:val="none" w:sz="0" w:space="0" w:color="auto"/>
        <w:bottom w:val="none" w:sz="0" w:space="0" w:color="auto"/>
        <w:right w:val="none" w:sz="0" w:space="0" w:color="auto"/>
      </w:divBdr>
    </w:div>
    <w:div w:id="246840629">
      <w:bodyDiv w:val="1"/>
      <w:marLeft w:val="0"/>
      <w:marRight w:val="0"/>
      <w:marTop w:val="0"/>
      <w:marBottom w:val="0"/>
      <w:divBdr>
        <w:top w:val="none" w:sz="0" w:space="0" w:color="auto"/>
        <w:left w:val="none" w:sz="0" w:space="0" w:color="auto"/>
        <w:bottom w:val="none" w:sz="0" w:space="0" w:color="auto"/>
        <w:right w:val="none" w:sz="0" w:space="0" w:color="auto"/>
      </w:divBdr>
    </w:div>
    <w:div w:id="258761262">
      <w:bodyDiv w:val="1"/>
      <w:marLeft w:val="0"/>
      <w:marRight w:val="0"/>
      <w:marTop w:val="0"/>
      <w:marBottom w:val="0"/>
      <w:divBdr>
        <w:top w:val="none" w:sz="0" w:space="0" w:color="auto"/>
        <w:left w:val="none" w:sz="0" w:space="0" w:color="auto"/>
        <w:bottom w:val="none" w:sz="0" w:space="0" w:color="auto"/>
        <w:right w:val="none" w:sz="0" w:space="0" w:color="auto"/>
      </w:divBdr>
    </w:div>
    <w:div w:id="301859186">
      <w:bodyDiv w:val="1"/>
      <w:marLeft w:val="0"/>
      <w:marRight w:val="0"/>
      <w:marTop w:val="0"/>
      <w:marBottom w:val="0"/>
      <w:divBdr>
        <w:top w:val="none" w:sz="0" w:space="0" w:color="auto"/>
        <w:left w:val="none" w:sz="0" w:space="0" w:color="auto"/>
        <w:bottom w:val="none" w:sz="0" w:space="0" w:color="auto"/>
        <w:right w:val="none" w:sz="0" w:space="0" w:color="auto"/>
      </w:divBdr>
    </w:div>
    <w:div w:id="353305877">
      <w:bodyDiv w:val="1"/>
      <w:marLeft w:val="0"/>
      <w:marRight w:val="0"/>
      <w:marTop w:val="0"/>
      <w:marBottom w:val="0"/>
      <w:divBdr>
        <w:top w:val="none" w:sz="0" w:space="0" w:color="auto"/>
        <w:left w:val="none" w:sz="0" w:space="0" w:color="auto"/>
        <w:bottom w:val="none" w:sz="0" w:space="0" w:color="auto"/>
        <w:right w:val="none" w:sz="0" w:space="0" w:color="auto"/>
      </w:divBdr>
    </w:div>
    <w:div w:id="360862633">
      <w:bodyDiv w:val="1"/>
      <w:marLeft w:val="0"/>
      <w:marRight w:val="0"/>
      <w:marTop w:val="0"/>
      <w:marBottom w:val="0"/>
      <w:divBdr>
        <w:top w:val="none" w:sz="0" w:space="0" w:color="auto"/>
        <w:left w:val="none" w:sz="0" w:space="0" w:color="auto"/>
        <w:bottom w:val="none" w:sz="0" w:space="0" w:color="auto"/>
        <w:right w:val="none" w:sz="0" w:space="0" w:color="auto"/>
      </w:divBdr>
    </w:div>
    <w:div w:id="387264606">
      <w:bodyDiv w:val="1"/>
      <w:marLeft w:val="0"/>
      <w:marRight w:val="0"/>
      <w:marTop w:val="0"/>
      <w:marBottom w:val="0"/>
      <w:divBdr>
        <w:top w:val="none" w:sz="0" w:space="0" w:color="auto"/>
        <w:left w:val="none" w:sz="0" w:space="0" w:color="auto"/>
        <w:bottom w:val="none" w:sz="0" w:space="0" w:color="auto"/>
        <w:right w:val="none" w:sz="0" w:space="0" w:color="auto"/>
      </w:divBdr>
    </w:div>
    <w:div w:id="393314290">
      <w:bodyDiv w:val="1"/>
      <w:marLeft w:val="0"/>
      <w:marRight w:val="0"/>
      <w:marTop w:val="0"/>
      <w:marBottom w:val="0"/>
      <w:divBdr>
        <w:top w:val="none" w:sz="0" w:space="0" w:color="auto"/>
        <w:left w:val="none" w:sz="0" w:space="0" w:color="auto"/>
        <w:bottom w:val="none" w:sz="0" w:space="0" w:color="auto"/>
        <w:right w:val="none" w:sz="0" w:space="0" w:color="auto"/>
      </w:divBdr>
    </w:div>
    <w:div w:id="450246388">
      <w:bodyDiv w:val="1"/>
      <w:marLeft w:val="0"/>
      <w:marRight w:val="0"/>
      <w:marTop w:val="0"/>
      <w:marBottom w:val="0"/>
      <w:divBdr>
        <w:top w:val="none" w:sz="0" w:space="0" w:color="auto"/>
        <w:left w:val="none" w:sz="0" w:space="0" w:color="auto"/>
        <w:bottom w:val="none" w:sz="0" w:space="0" w:color="auto"/>
        <w:right w:val="none" w:sz="0" w:space="0" w:color="auto"/>
      </w:divBdr>
    </w:div>
    <w:div w:id="473260734">
      <w:bodyDiv w:val="1"/>
      <w:marLeft w:val="0"/>
      <w:marRight w:val="0"/>
      <w:marTop w:val="0"/>
      <w:marBottom w:val="0"/>
      <w:divBdr>
        <w:top w:val="none" w:sz="0" w:space="0" w:color="auto"/>
        <w:left w:val="none" w:sz="0" w:space="0" w:color="auto"/>
        <w:bottom w:val="none" w:sz="0" w:space="0" w:color="auto"/>
        <w:right w:val="none" w:sz="0" w:space="0" w:color="auto"/>
      </w:divBdr>
    </w:div>
    <w:div w:id="486482441">
      <w:bodyDiv w:val="1"/>
      <w:marLeft w:val="0"/>
      <w:marRight w:val="0"/>
      <w:marTop w:val="0"/>
      <w:marBottom w:val="0"/>
      <w:divBdr>
        <w:top w:val="none" w:sz="0" w:space="0" w:color="auto"/>
        <w:left w:val="none" w:sz="0" w:space="0" w:color="auto"/>
        <w:bottom w:val="none" w:sz="0" w:space="0" w:color="auto"/>
        <w:right w:val="none" w:sz="0" w:space="0" w:color="auto"/>
      </w:divBdr>
      <w:divsChild>
        <w:div w:id="1577521176">
          <w:marLeft w:val="0"/>
          <w:marRight w:val="0"/>
          <w:marTop w:val="0"/>
          <w:marBottom w:val="0"/>
          <w:divBdr>
            <w:top w:val="none" w:sz="0" w:space="0" w:color="auto"/>
            <w:left w:val="none" w:sz="0" w:space="0" w:color="auto"/>
            <w:bottom w:val="none" w:sz="0" w:space="0" w:color="auto"/>
            <w:right w:val="none" w:sz="0" w:space="0" w:color="auto"/>
          </w:divBdr>
        </w:div>
        <w:div w:id="1994672436">
          <w:marLeft w:val="0"/>
          <w:marRight w:val="0"/>
          <w:marTop w:val="0"/>
          <w:marBottom w:val="0"/>
          <w:divBdr>
            <w:top w:val="none" w:sz="0" w:space="0" w:color="auto"/>
            <w:left w:val="none" w:sz="0" w:space="0" w:color="auto"/>
            <w:bottom w:val="none" w:sz="0" w:space="0" w:color="auto"/>
            <w:right w:val="none" w:sz="0" w:space="0" w:color="auto"/>
          </w:divBdr>
        </w:div>
        <w:div w:id="1659110628">
          <w:marLeft w:val="0"/>
          <w:marRight w:val="0"/>
          <w:marTop w:val="0"/>
          <w:marBottom w:val="0"/>
          <w:divBdr>
            <w:top w:val="none" w:sz="0" w:space="0" w:color="auto"/>
            <w:left w:val="none" w:sz="0" w:space="0" w:color="auto"/>
            <w:bottom w:val="none" w:sz="0" w:space="0" w:color="auto"/>
            <w:right w:val="none" w:sz="0" w:space="0" w:color="auto"/>
          </w:divBdr>
        </w:div>
        <w:div w:id="471678253">
          <w:marLeft w:val="0"/>
          <w:marRight w:val="0"/>
          <w:marTop w:val="0"/>
          <w:marBottom w:val="0"/>
          <w:divBdr>
            <w:top w:val="none" w:sz="0" w:space="0" w:color="auto"/>
            <w:left w:val="none" w:sz="0" w:space="0" w:color="auto"/>
            <w:bottom w:val="none" w:sz="0" w:space="0" w:color="auto"/>
            <w:right w:val="none" w:sz="0" w:space="0" w:color="auto"/>
          </w:divBdr>
        </w:div>
        <w:div w:id="114832855">
          <w:marLeft w:val="0"/>
          <w:marRight w:val="0"/>
          <w:marTop w:val="0"/>
          <w:marBottom w:val="0"/>
          <w:divBdr>
            <w:top w:val="none" w:sz="0" w:space="0" w:color="auto"/>
            <w:left w:val="none" w:sz="0" w:space="0" w:color="auto"/>
            <w:bottom w:val="none" w:sz="0" w:space="0" w:color="auto"/>
            <w:right w:val="none" w:sz="0" w:space="0" w:color="auto"/>
          </w:divBdr>
        </w:div>
        <w:div w:id="522133483">
          <w:marLeft w:val="0"/>
          <w:marRight w:val="0"/>
          <w:marTop w:val="0"/>
          <w:marBottom w:val="0"/>
          <w:divBdr>
            <w:top w:val="none" w:sz="0" w:space="0" w:color="auto"/>
            <w:left w:val="none" w:sz="0" w:space="0" w:color="auto"/>
            <w:bottom w:val="none" w:sz="0" w:space="0" w:color="auto"/>
            <w:right w:val="none" w:sz="0" w:space="0" w:color="auto"/>
          </w:divBdr>
        </w:div>
        <w:div w:id="170876018">
          <w:marLeft w:val="0"/>
          <w:marRight w:val="0"/>
          <w:marTop w:val="0"/>
          <w:marBottom w:val="0"/>
          <w:divBdr>
            <w:top w:val="none" w:sz="0" w:space="0" w:color="auto"/>
            <w:left w:val="none" w:sz="0" w:space="0" w:color="auto"/>
            <w:bottom w:val="none" w:sz="0" w:space="0" w:color="auto"/>
            <w:right w:val="none" w:sz="0" w:space="0" w:color="auto"/>
          </w:divBdr>
        </w:div>
        <w:div w:id="726686529">
          <w:marLeft w:val="0"/>
          <w:marRight w:val="0"/>
          <w:marTop w:val="0"/>
          <w:marBottom w:val="0"/>
          <w:divBdr>
            <w:top w:val="none" w:sz="0" w:space="0" w:color="auto"/>
            <w:left w:val="none" w:sz="0" w:space="0" w:color="auto"/>
            <w:bottom w:val="none" w:sz="0" w:space="0" w:color="auto"/>
            <w:right w:val="none" w:sz="0" w:space="0" w:color="auto"/>
          </w:divBdr>
        </w:div>
        <w:div w:id="1886259108">
          <w:marLeft w:val="0"/>
          <w:marRight w:val="0"/>
          <w:marTop w:val="0"/>
          <w:marBottom w:val="0"/>
          <w:divBdr>
            <w:top w:val="none" w:sz="0" w:space="0" w:color="auto"/>
            <w:left w:val="none" w:sz="0" w:space="0" w:color="auto"/>
            <w:bottom w:val="none" w:sz="0" w:space="0" w:color="auto"/>
            <w:right w:val="none" w:sz="0" w:space="0" w:color="auto"/>
          </w:divBdr>
        </w:div>
        <w:div w:id="369456527">
          <w:marLeft w:val="0"/>
          <w:marRight w:val="0"/>
          <w:marTop w:val="0"/>
          <w:marBottom w:val="0"/>
          <w:divBdr>
            <w:top w:val="none" w:sz="0" w:space="0" w:color="auto"/>
            <w:left w:val="none" w:sz="0" w:space="0" w:color="auto"/>
            <w:bottom w:val="none" w:sz="0" w:space="0" w:color="auto"/>
            <w:right w:val="none" w:sz="0" w:space="0" w:color="auto"/>
          </w:divBdr>
        </w:div>
      </w:divsChild>
    </w:div>
    <w:div w:id="486702626">
      <w:bodyDiv w:val="1"/>
      <w:marLeft w:val="0"/>
      <w:marRight w:val="0"/>
      <w:marTop w:val="0"/>
      <w:marBottom w:val="0"/>
      <w:divBdr>
        <w:top w:val="none" w:sz="0" w:space="0" w:color="auto"/>
        <w:left w:val="none" w:sz="0" w:space="0" w:color="auto"/>
        <w:bottom w:val="none" w:sz="0" w:space="0" w:color="auto"/>
        <w:right w:val="none" w:sz="0" w:space="0" w:color="auto"/>
      </w:divBdr>
    </w:div>
    <w:div w:id="501353872">
      <w:bodyDiv w:val="1"/>
      <w:marLeft w:val="0"/>
      <w:marRight w:val="0"/>
      <w:marTop w:val="0"/>
      <w:marBottom w:val="0"/>
      <w:divBdr>
        <w:top w:val="none" w:sz="0" w:space="0" w:color="auto"/>
        <w:left w:val="none" w:sz="0" w:space="0" w:color="auto"/>
        <w:bottom w:val="none" w:sz="0" w:space="0" w:color="auto"/>
        <w:right w:val="none" w:sz="0" w:space="0" w:color="auto"/>
      </w:divBdr>
    </w:div>
    <w:div w:id="509104333">
      <w:bodyDiv w:val="1"/>
      <w:marLeft w:val="0"/>
      <w:marRight w:val="0"/>
      <w:marTop w:val="0"/>
      <w:marBottom w:val="0"/>
      <w:divBdr>
        <w:top w:val="none" w:sz="0" w:space="0" w:color="auto"/>
        <w:left w:val="none" w:sz="0" w:space="0" w:color="auto"/>
        <w:bottom w:val="none" w:sz="0" w:space="0" w:color="auto"/>
        <w:right w:val="none" w:sz="0" w:space="0" w:color="auto"/>
      </w:divBdr>
    </w:div>
    <w:div w:id="556669831">
      <w:bodyDiv w:val="1"/>
      <w:marLeft w:val="0"/>
      <w:marRight w:val="0"/>
      <w:marTop w:val="0"/>
      <w:marBottom w:val="0"/>
      <w:divBdr>
        <w:top w:val="none" w:sz="0" w:space="0" w:color="auto"/>
        <w:left w:val="none" w:sz="0" w:space="0" w:color="auto"/>
        <w:bottom w:val="none" w:sz="0" w:space="0" w:color="auto"/>
        <w:right w:val="none" w:sz="0" w:space="0" w:color="auto"/>
      </w:divBdr>
    </w:div>
    <w:div w:id="593514356">
      <w:bodyDiv w:val="1"/>
      <w:marLeft w:val="0"/>
      <w:marRight w:val="0"/>
      <w:marTop w:val="0"/>
      <w:marBottom w:val="0"/>
      <w:divBdr>
        <w:top w:val="none" w:sz="0" w:space="0" w:color="auto"/>
        <w:left w:val="none" w:sz="0" w:space="0" w:color="auto"/>
        <w:bottom w:val="none" w:sz="0" w:space="0" w:color="auto"/>
        <w:right w:val="none" w:sz="0" w:space="0" w:color="auto"/>
      </w:divBdr>
    </w:div>
    <w:div w:id="649293033">
      <w:bodyDiv w:val="1"/>
      <w:marLeft w:val="0"/>
      <w:marRight w:val="0"/>
      <w:marTop w:val="0"/>
      <w:marBottom w:val="0"/>
      <w:divBdr>
        <w:top w:val="none" w:sz="0" w:space="0" w:color="auto"/>
        <w:left w:val="none" w:sz="0" w:space="0" w:color="auto"/>
        <w:bottom w:val="none" w:sz="0" w:space="0" w:color="auto"/>
        <w:right w:val="none" w:sz="0" w:space="0" w:color="auto"/>
      </w:divBdr>
    </w:div>
    <w:div w:id="659969386">
      <w:bodyDiv w:val="1"/>
      <w:marLeft w:val="0"/>
      <w:marRight w:val="0"/>
      <w:marTop w:val="0"/>
      <w:marBottom w:val="0"/>
      <w:divBdr>
        <w:top w:val="none" w:sz="0" w:space="0" w:color="auto"/>
        <w:left w:val="none" w:sz="0" w:space="0" w:color="auto"/>
        <w:bottom w:val="none" w:sz="0" w:space="0" w:color="auto"/>
        <w:right w:val="none" w:sz="0" w:space="0" w:color="auto"/>
      </w:divBdr>
    </w:div>
    <w:div w:id="670372505">
      <w:bodyDiv w:val="1"/>
      <w:marLeft w:val="0"/>
      <w:marRight w:val="0"/>
      <w:marTop w:val="0"/>
      <w:marBottom w:val="0"/>
      <w:divBdr>
        <w:top w:val="none" w:sz="0" w:space="0" w:color="auto"/>
        <w:left w:val="none" w:sz="0" w:space="0" w:color="auto"/>
        <w:bottom w:val="none" w:sz="0" w:space="0" w:color="auto"/>
        <w:right w:val="none" w:sz="0" w:space="0" w:color="auto"/>
      </w:divBdr>
    </w:div>
    <w:div w:id="672756383">
      <w:bodyDiv w:val="1"/>
      <w:marLeft w:val="0"/>
      <w:marRight w:val="0"/>
      <w:marTop w:val="0"/>
      <w:marBottom w:val="0"/>
      <w:divBdr>
        <w:top w:val="none" w:sz="0" w:space="0" w:color="auto"/>
        <w:left w:val="none" w:sz="0" w:space="0" w:color="auto"/>
        <w:bottom w:val="none" w:sz="0" w:space="0" w:color="auto"/>
        <w:right w:val="none" w:sz="0" w:space="0" w:color="auto"/>
      </w:divBdr>
    </w:div>
    <w:div w:id="703603708">
      <w:bodyDiv w:val="1"/>
      <w:marLeft w:val="0"/>
      <w:marRight w:val="0"/>
      <w:marTop w:val="0"/>
      <w:marBottom w:val="0"/>
      <w:divBdr>
        <w:top w:val="none" w:sz="0" w:space="0" w:color="auto"/>
        <w:left w:val="none" w:sz="0" w:space="0" w:color="auto"/>
        <w:bottom w:val="none" w:sz="0" w:space="0" w:color="auto"/>
        <w:right w:val="none" w:sz="0" w:space="0" w:color="auto"/>
      </w:divBdr>
    </w:div>
    <w:div w:id="709840705">
      <w:bodyDiv w:val="1"/>
      <w:marLeft w:val="0"/>
      <w:marRight w:val="0"/>
      <w:marTop w:val="0"/>
      <w:marBottom w:val="0"/>
      <w:divBdr>
        <w:top w:val="none" w:sz="0" w:space="0" w:color="auto"/>
        <w:left w:val="none" w:sz="0" w:space="0" w:color="auto"/>
        <w:bottom w:val="none" w:sz="0" w:space="0" w:color="auto"/>
        <w:right w:val="none" w:sz="0" w:space="0" w:color="auto"/>
      </w:divBdr>
    </w:div>
    <w:div w:id="734669292">
      <w:bodyDiv w:val="1"/>
      <w:marLeft w:val="0"/>
      <w:marRight w:val="0"/>
      <w:marTop w:val="0"/>
      <w:marBottom w:val="0"/>
      <w:divBdr>
        <w:top w:val="none" w:sz="0" w:space="0" w:color="auto"/>
        <w:left w:val="none" w:sz="0" w:space="0" w:color="auto"/>
        <w:bottom w:val="none" w:sz="0" w:space="0" w:color="auto"/>
        <w:right w:val="none" w:sz="0" w:space="0" w:color="auto"/>
      </w:divBdr>
    </w:div>
    <w:div w:id="743331649">
      <w:bodyDiv w:val="1"/>
      <w:marLeft w:val="0"/>
      <w:marRight w:val="0"/>
      <w:marTop w:val="0"/>
      <w:marBottom w:val="0"/>
      <w:divBdr>
        <w:top w:val="none" w:sz="0" w:space="0" w:color="auto"/>
        <w:left w:val="none" w:sz="0" w:space="0" w:color="auto"/>
        <w:bottom w:val="none" w:sz="0" w:space="0" w:color="auto"/>
        <w:right w:val="none" w:sz="0" w:space="0" w:color="auto"/>
      </w:divBdr>
    </w:div>
    <w:div w:id="761998310">
      <w:bodyDiv w:val="1"/>
      <w:marLeft w:val="0"/>
      <w:marRight w:val="0"/>
      <w:marTop w:val="0"/>
      <w:marBottom w:val="0"/>
      <w:divBdr>
        <w:top w:val="none" w:sz="0" w:space="0" w:color="auto"/>
        <w:left w:val="none" w:sz="0" w:space="0" w:color="auto"/>
        <w:bottom w:val="none" w:sz="0" w:space="0" w:color="auto"/>
        <w:right w:val="none" w:sz="0" w:space="0" w:color="auto"/>
      </w:divBdr>
    </w:div>
    <w:div w:id="774524561">
      <w:bodyDiv w:val="1"/>
      <w:marLeft w:val="0"/>
      <w:marRight w:val="0"/>
      <w:marTop w:val="0"/>
      <w:marBottom w:val="0"/>
      <w:divBdr>
        <w:top w:val="none" w:sz="0" w:space="0" w:color="auto"/>
        <w:left w:val="none" w:sz="0" w:space="0" w:color="auto"/>
        <w:bottom w:val="none" w:sz="0" w:space="0" w:color="auto"/>
        <w:right w:val="none" w:sz="0" w:space="0" w:color="auto"/>
      </w:divBdr>
    </w:div>
    <w:div w:id="787431249">
      <w:bodyDiv w:val="1"/>
      <w:marLeft w:val="0"/>
      <w:marRight w:val="0"/>
      <w:marTop w:val="0"/>
      <w:marBottom w:val="0"/>
      <w:divBdr>
        <w:top w:val="none" w:sz="0" w:space="0" w:color="auto"/>
        <w:left w:val="none" w:sz="0" w:space="0" w:color="auto"/>
        <w:bottom w:val="none" w:sz="0" w:space="0" w:color="auto"/>
        <w:right w:val="none" w:sz="0" w:space="0" w:color="auto"/>
      </w:divBdr>
    </w:div>
    <w:div w:id="801117884">
      <w:bodyDiv w:val="1"/>
      <w:marLeft w:val="0"/>
      <w:marRight w:val="0"/>
      <w:marTop w:val="0"/>
      <w:marBottom w:val="0"/>
      <w:divBdr>
        <w:top w:val="none" w:sz="0" w:space="0" w:color="auto"/>
        <w:left w:val="none" w:sz="0" w:space="0" w:color="auto"/>
        <w:bottom w:val="none" w:sz="0" w:space="0" w:color="auto"/>
        <w:right w:val="none" w:sz="0" w:space="0" w:color="auto"/>
      </w:divBdr>
    </w:div>
    <w:div w:id="812403445">
      <w:bodyDiv w:val="1"/>
      <w:marLeft w:val="0"/>
      <w:marRight w:val="0"/>
      <w:marTop w:val="0"/>
      <w:marBottom w:val="0"/>
      <w:divBdr>
        <w:top w:val="none" w:sz="0" w:space="0" w:color="auto"/>
        <w:left w:val="none" w:sz="0" w:space="0" w:color="auto"/>
        <w:bottom w:val="none" w:sz="0" w:space="0" w:color="auto"/>
        <w:right w:val="none" w:sz="0" w:space="0" w:color="auto"/>
      </w:divBdr>
    </w:div>
    <w:div w:id="817771785">
      <w:bodyDiv w:val="1"/>
      <w:marLeft w:val="0"/>
      <w:marRight w:val="0"/>
      <w:marTop w:val="0"/>
      <w:marBottom w:val="0"/>
      <w:divBdr>
        <w:top w:val="none" w:sz="0" w:space="0" w:color="auto"/>
        <w:left w:val="none" w:sz="0" w:space="0" w:color="auto"/>
        <w:bottom w:val="none" w:sz="0" w:space="0" w:color="auto"/>
        <w:right w:val="none" w:sz="0" w:space="0" w:color="auto"/>
      </w:divBdr>
    </w:div>
    <w:div w:id="878786597">
      <w:bodyDiv w:val="1"/>
      <w:marLeft w:val="0"/>
      <w:marRight w:val="0"/>
      <w:marTop w:val="0"/>
      <w:marBottom w:val="0"/>
      <w:divBdr>
        <w:top w:val="none" w:sz="0" w:space="0" w:color="auto"/>
        <w:left w:val="none" w:sz="0" w:space="0" w:color="auto"/>
        <w:bottom w:val="none" w:sz="0" w:space="0" w:color="auto"/>
        <w:right w:val="none" w:sz="0" w:space="0" w:color="auto"/>
      </w:divBdr>
    </w:div>
    <w:div w:id="885026569">
      <w:bodyDiv w:val="1"/>
      <w:marLeft w:val="0"/>
      <w:marRight w:val="0"/>
      <w:marTop w:val="0"/>
      <w:marBottom w:val="0"/>
      <w:divBdr>
        <w:top w:val="none" w:sz="0" w:space="0" w:color="auto"/>
        <w:left w:val="none" w:sz="0" w:space="0" w:color="auto"/>
        <w:bottom w:val="none" w:sz="0" w:space="0" w:color="auto"/>
        <w:right w:val="none" w:sz="0" w:space="0" w:color="auto"/>
      </w:divBdr>
    </w:div>
    <w:div w:id="971636933">
      <w:bodyDiv w:val="1"/>
      <w:marLeft w:val="0"/>
      <w:marRight w:val="0"/>
      <w:marTop w:val="0"/>
      <w:marBottom w:val="0"/>
      <w:divBdr>
        <w:top w:val="none" w:sz="0" w:space="0" w:color="auto"/>
        <w:left w:val="none" w:sz="0" w:space="0" w:color="auto"/>
        <w:bottom w:val="none" w:sz="0" w:space="0" w:color="auto"/>
        <w:right w:val="none" w:sz="0" w:space="0" w:color="auto"/>
      </w:divBdr>
    </w:div>
    <w:div w:id="977606226">
      <w:bodyDiv w:val="1"/>
      <w:marLeft w:val="0"/>
      <w:marRight w:val="0"/>
      <w:marTop w:val="0"/>
      <w:marBottom w:val="0"/>
      <w:divBdr>
        <w:top w:val="none" w:sz="0" w:space="0" w:color="auto"/>
        <w:left w:val="none" w:sz="0" w:space="0" w:color="auto"/>
        <w:bottom w:val="none" w:sz="0" w:space="0" w:color="auto"/>
        <w:right w:val="none" w:sz="0" w:space="0" w:color="auto"/>
      </w:divBdr>
    </w:div>
    <w:div w:id="980577457">
      <w:bodyDiv w:val="1"/>
      <w:marLeft w:val="0"/>
      <w:marRight w:val="0"/>
      <w:marTop w:val="0"/>
      <w:marBottom w:val="0"/>
      <w:divBdr>
        <w:top w:val="none" w:sz="0" w:space="0" w:color="auto"/>
        <w:left w:val="none" w:sz="0" w:space="0" w:color="auto"/>
        <w:bottom w:val="none" w:sz="0" w:space="0" w:color="auto"/>
        <w:right w:val="none" w:sz="0" w:space="0" w:color="auto"/>
      </w:divBdr>
    </w:div>
    <w:div w:id="1004824636">
      <w:bodyDiv w:val="1"/>
      <w:marLeft w:val="0"/>
      <w:marRight w:val="0"/>
      <w:marTop w:val="0"/>
      <w:marBottom w:val="0"/>
      <w:divBdr>
        <w:top w:val="none" w:sz="0" w:space="0" w:color="auto"/>
        <w:left w:val="none" w:sz="0" w:space="0" w:color="auto"/>
        <w:bottom w:val="none" w:sz="0" w:space="0" w:color="auto"/>
        <w:right w:val="none" w:sz="0" w:space="0" w:color="auto"/>
      </w:divBdr>
    </w:div>
    <w:div w:id="1037705605">
      <w:bodyDiv w:val="1"/>
      <w:marLeft w:val="0"/>
      <w:marRight w:val="0"/>
      <w:marTop w:val="0"/>
      <w:marBottom w:val="0"/>
      <w:divBdr>
        <w:top w:val="none" w:sz="0" w:space="0" w:color="auto"/>
        <w:left w:val="none" w:sz="0" w:space="0" w:color="auto"/>
        <w:bottom w:val="none" w:sz="0" w:space="0" w:color="auto"/>
        <w:right w:val="none" w:sz="0" w:space="0" w:color="auto"/>
      </w:divBdr>
    </w:div>
    <w:div w:id="1052919439">
      <w:bodyDiv w:val="1"/>
      <w:marLeft w:val="0"/>
      <w:marRight w:val="0"/>
      <w:marTop w:val="0"/>
      <w:marBottom w:val="0"/>
      <w:divBdr>
        <w:top w:val="none" w:sz="0" w:space="0" w:color="auto"/>
        <w:left w:val="none" w:sz="0" w:space="0" w:color="auto"/>
        <w:bottom w:val="none" w:sz="0" w:space="0" w:color="auto"/>
        <w:right w:val="none" w:sz="0" w:space="0" w:color="auto"/>
      </w:divBdr>
    </w:div>
    <w:div w:id="1061825690">
      <w:bodyDiv w:val="1"/>
      <w:marLeft w:val="0"/>
      <w:marRight w:val="0"/>
      <w:marTop w:val="0"/>
      <w:marBottom w:val="0"/>
      <w:divBdr>
        <w:top w:val="none" w:sz="0" w:space="0" w:color="auto"/>
        <w:left w:val="none" w:sz="0" w:space="0" w:color="auto"/>
        <w:bottom w:val="none" w:sz="0" w:space="0" w:color="auto"/>
        <w:right w:val="none" w:sz="0" w:space="0" w:color="auto"/>
      </w:divBdr>
    </w:div>
    <w:div w:id="1100294088">
      <w:bodyDiv w:val="1"/>
      <w:marLeft w:val="0"/>
      <w:marRight w:val="0"/>
      <w:marTop w:val="0"/>
      <w:marBottom w:val="0"/>
      <w:divBdr>
        <w:top w:val="none" w:sz="0" w:space="0" w:color="auto"/>
        <w:left w:val="none" w:sz="0" w:space="0" w:color="auto"/>
        <w:bottom w:val="none" w:sz="0" w:space="0" w:color="auto"/>
        <w:right w:val="none" w:sz="0" w:space="0" w:color="auto"/>
      </w:divBdr>
    </w:div>
    <w:div w:id="1117991572">
      <w:bodyDiv w:val="1"/>
      <w:marLeft w:val="0"/>
      <w:marRight w:val="0"/>
      <w:marTop w:val="0"/>
      <w:marBottom w:val="0"/>
      <w:divBdr>
        <w:top w:val="none" w:sz="0" w:space="0" w:color="auto"/>
        <w:left w:val="none" w:sz="0" w:space="0" w:color="auto"/>
        <w:bottom w:val="none" w:sz="0" w:space="0" w:color="auto"/>
        <w:right w:val="none" w:sz="0" w:space="0" w:color="auto"/>
      </w:divBdr>
      <w:divsChild>
        <w:div w:id="236522324">
          <w:marLeft w:val="0"/>
          <w:marRight w:val="0"/>
          <w:marTop w:val="0"/>
          <w:marBottom w:val="0"/>
          <w:divBdr>
            <w:top w:val="none" w:sz="0" w:space="0" w:color="auto"/>
            <w:left w:val="none" w:sz="0" w:space="0" w:color="auto"/>
            <w:bottom w:val="none" w:sz="0" w:space="0" w:color="auto"/>
            <w:right w:val="none" w:sz="0" w:space="0" w:color="auto"/>
          </w:divBdr>
        </w:div>
        <w:div w:id="665015608">
          <w:marLeft w:val="0"/>
          <w:marRight w:val="0"/>
          <w:marTop w:val="0"/>
          <w:marBottom w:val="0"/>
          <w:divBdr>
            <w:top w:val="none" w:sz="0" w:space="0" w:color="auto"/>
            <w:left w:val="none" w:sz="0" w:space="0" w:color="auto"/>
            <w:bottom w:val="none" w:sz="0" w:space="0" w:color="auto"/>
            <w:right w:val="none" w:sz="0" w:space="0" w:color="auto"/>
          </w:divBdr>
        </w:div>
        <w:div w:id="1994019901">
          <w:marLeft w:val="0"/>
          <w:marRight w:val="0"/>
          <w:marTop w:val="0"/>
          <w:marBottom w:val="0"/>
          <w:divBdr>
            <w:top w:val="none" w:sz="0" w:space="0" w:color="auto"/>
            <w:left w:val="none" w:sz="0" w:space="0" w:color="auto"/>
            <w:bottom w:val="none" w:sz="0" w:space="0" w:color="auto"/>
            <w:right w:val="none" w:sz="0" w:space="0" w:color="auto"/>
          </w:divBdr>
        </w:div>
        <w:div w:id="1340932266">
          <w:marLeft w:val="0"/>
          <w:marRight w:val="0"/>
          <w:marTop w:val="0"/>
          <w:marBottom w:val="0"/>
          <w:divBdr>
            <w:top w:val="none" w:sz="0" w:space="0" w:color="auto"/>
            <w:left w:val="none" w:sz="0" w:space="0" w:color="auto"/>
            <w:bottom w:val="none" w:sz="0" w:space="0" w:color="auto"/>
            <w:right w:val="none" w:sz="0" w:space="0" w:color="auto"/>
          </w:divBdr>
        </w:div>
        <w:div w:id="127288380">
          <w:marLeft w:val="0"/>
          <w:marRight w:val="0"/>
          <w:marTop w:val="0"/>
          <w:marBottom w:val="0"/>
          <w:divBdr>
            <w:top w:val="none" w:sz="0" w:space="0" w:color="auto"/>
            <w:left w:val="none" w:sz="0" w:space="0" w:color="auto"/>
            <w:bottom w:val="none" w:sz="0" w:space="0" w:color="auto"/>
            <w:right w:val="none" w:sz="0" w:space="0" w:color="auto"/>
          </w:divBdr>
        </w:div>
        <w:div w:id="1611813862">
          <w:marLeft w:val="0"/>
          <w:marRight w:val="0"/>
          <w:marTop w:val="0"/>
          <w:marBottom w:val="0"/>
          <w:divBdr>
            <w:top w:val="none" w:sz="0" w:space="0" w:color="auto"/>
            <w:left w:val="none" w:sz="0" w:space="0" w:color="auto"/>
            <w:bottom w:val="none" w:sz="0" w:space="0" w:color="auto"/>
            <w:right w:val="none" w:sz="0" w:space="0" w:color="auto"/>
          </w:divBdr>
        </w:div>
        <w:div w:id="1178156376">
          <w:marLeft w:val="0"/>
          <w:marRight w:val="0"/>
          <w:marTop w:val="0"/>
          <w:marBottom w:val="0"/>
          <w:divBdr>
            <w:top w:val="none" w:sz="0" w:space="0" w:color="auto"/>
            <w:left w:val="none" w:sz="0" w:space="0" w:color="auto"/>
            <w:bottom w:val="none" w:sz="0" w:space="0" w:color="auto"/>
            <w:right w:val="none" w:sz="0" w:space="0" w:color="auto"/>
          </w:divBdr>
        </w:div>
        <w:div w:id="1802922300">
          <w:marLeft w:val="0"/>
          <w:marRight w:val="0"/>
          <w:marTop w:val="0"/>
          <w:marBottom w:val="0"/>
          <w:divBdr>
            <w:top w:val="none" w:sz="0" w:space="0" w:color="auto"/>
            <w:left w:val="none" w:sz="0" w:space="0" w:color="auto"/>
            <w:bottom w:val="none" w:sz="0" w:space="0" w:color="auto"/>
            <w:right w:val="none" w:sz="0" w:space="0" w:color="auto"/>
          </w:divBdr>
        </w:div>
      </w:divsChild>
    </w:div>
    <w:div w:id="1140726724">
      <w:bodyDiv w:val="1"/>
      <w:marLeft w:val="0"/>
      <w:marRight w:val="0"/>
      <w:marTop w:val="0"/>
      <w:marBottom w:val="0"/>
      <w:divBdr>
        <w:top w:val="none" w:sz="0" w:space="0" w:color="auto"/>
        <w:left w:val="none" w:sz="0" w:space="0" w:color="auto"/>
        <w:bottom w:val="none" w:sz="0" w:space="0" w:color="auto"/>
        <w:right w:val="none" w:sz="0" w:space="0" w:color="auto"/>
      </w:divBdr>
      <w:divsChild>
        <w:div w:id="1793599157">
          <w:marLeft w:val="0"/>
          <w:marRight w:val="0"/>
          <w:marTop w:val="0"/>
          <w:marBottom w:val="0"/>
          <w:divBdr>
            <w:top w:val="none" w:sz="0" w:space="0" w:color="auto"/>
            <w:left w:val="none" w:sz="0" w:space="0" w:color="auto"/>
            <w:bottom w:val="none" w:sz="0" w:space="0" w:color="auto"/>
            <w:right w:val="none" w:sz="0" w:space="0" w:color="auto"/>
          </w:divBdr>
        </w:div>
        <w:div w:id="1877036637">
          <w:marLeft w:val="0"/>
          <w:marRight w:val="0"/>
          <w:marTop w:val="0"/>
          <w:marBottom w:val="0"/>
          <w:divBdr>
            <w:top w:val="none" w:sz="0" w:space="0" w:color="auto"/>
            <w:left w:val="none" w:sz="0" w:space="0" w:color="auto"/>
            <w:bottom w:val="none" w:sz="0" w:space="0" w:color="auto"/>
            <w:right w:val="none" w:sz="0" w:space="0" w:color="auto"/>
          </w:divBdr>
        </w:div>
        <w:div w:id="1536770130">
          <w:marLeft w:val="0"/>
          <w:marRight w:val="0"/>
          <w:marTop w:val="0"/>
          <w:marBottom w:val="0"/>
          <w:divBdr>
            <w:top w:val="none" w:sz="0" w:space="0" w:color="auto"/>
            <w:left w:val="none" w:sz="0" w:space="0" w:color="auto"/>
            <w:bottom w:val="none" w:sz="0" w:space="0" w:color="auto"/>
            <w:right w:val="none" w:sz="0" w:space="0" w:color="auto"/>
          </w:divBdr>
        </w:div>
        <w:div w:id="838154536">
          <w:marLeft w:val="0"/>
          <w:marRight w:val="0"/>
          <w:marTop w:val="0"/>
          <w:marBottom w:val="0"/>
          <w:divBdr>
            <w:top w:val="none" w:sz="0" w:space="0" w:color="auto"/>
            <w:left w:val="none" w:sz="0" w:space="0" w:color="auto"/>
            <w:bottom w:val="none" w:sz="0" w:space="0" w:color="auto"/>
            <w:right w:val="none" w:sz="0" w:space="0" w:color="auto"/>
          </w:divBdr>
        </w:div>
        <w:div w:id="1508983395">
          <w:marLeft w:val="0"/>
          <w:marRight w:val="0"/>
          <w:marTop w:val="0"/>
          <w:marBottom w:val="0"/>
          <w:divBdr>
            <w:top w:val="none" w:sz="0" w:space="0" w:color="auto"/>
            <w:left w:val="none" w:sz="0" w:space="0" w:color="auto"/>
            <w:bottom w:val="none" w:sz="0" w:space="0" w:color="auto"/>
            <w:right w:val="none" w:sz="0" w:space="0" w:color="auto"/>
          </w:divBdr>
        </w:div>
        <w:div w:id="1501697900">
          <w:marLeft w:val="0"/>
          <w:marRight w:val="0"/>
          <w:marTop w:val="0"/>
          <w:marBottom w:val="0"/>
          <w:divBdr>
            <w:top w:val="none" w:sz="0" w:space="0" w:color="auto"/>
            <w:left w:val="none" w:sz="0" w:space="0" w:color="auto"/>
            <w:bottom w:val="none" w:sz="0" w:space="0" w:color="auto"/>
            <w:right w:val="none" w:sz="0" w:space="0" w:color="auto"/>
          </w:divBdr>
        </w:div>
        <w:div w:id="488979996">
          <w:marLeft w:val="0"/>
          <w:marRight w:val="0"/>
          <w:marTop w:val="0"/>
          <w:marBottom w:val="0"/>
          <w:divBdr>
            <w:top w:val="none" w:sz="0" w:space="0" w:color="auto"/>
            <w:left w:val="none" w:sz="0" w:space="0" w:color="auto"/>
            <w:bottom w:val="none" w:sz="0" w:space="0" w:color="auto"/>
            <w:right w:val="none" w:sz="0" w:space="0" w:color="auto"/>
          </w:divBdr>
        </w:div>
        <w:div w:id="1350831434">
          <w:marLeft w:val="0"/>
          <w:marRight w:val="0"/>
          <w:marTop w:val="0"/>
          <w:marBottom w:val="0"/>
          <w:divBdr>
            <w:top w:val="none" w:sz="0" w:space="0" w:color="auto"/>
            <w:left w:val="none" w:sz="0" w:space="0" w:color="auto"/>
            <w:bottom w:val="none" w:sz="0" w:space="0" w:color="auto"/>
            <w:right w:val="none" w:sz="0" w:space="0" w:color="auto"/>
          </w:divBdr>
        </w:div>
        <w:div w:id="1340350093">
          <w:marLeft w:val="0"/>
          <w:marRight w:val="0"/>
          <w:marTop w:val="0"/>
          <w:marBottom w:val="0"/>
          <w:divBdr>
            <w:top w:val="none" w:sz="0" w:space="0" w:color="auto"/>
            <w:left w:val="none" w:sz="0" w:space="0" w:color="auto"/>
            <w:bottom w:val="none" w:sz="0" w:space="0" w:color="auto"/>
            <w:right w:val="none" w:sz="0" w:space="0" w:color="auto"/>
          </w:divBdr>
        </w:div>
        <w:div w:id="242682696">
          <w:marLeft w:val="0"/>
          <w:marRight w:val="0"/>
          <w:marTop w:val="0"/>
          <w:marBottom w:val="0"/>
          <w:divBdr>
            <w:top w:val="none" w:sz="0" w:space="0" w:color="auto"/>
            <w:left w:val="none" w:sz="0" w:space="0" w:color="auto"/>
            <w:bottom w:val="none" w:sz="0" w:space="0" w:color="auto"/>
            <w:right w:val="none" w:sz="0" w:space="0" w:color="auto"/>
          </w:divBdr>
        </w:div>
      </w:divsChild>
    </w:div>
    <w:div w:id="1156801616">
      <w:bodyDiv w:val="1"/>
      <w:marLeft w:val="0"/>
      <w:marRight w:val="0"/>
      <w:marTop w:val="0"/>
      <w:marBottom w:val="0"/>
      <w:divBdr>
        <w:top w:val="none" w:sz="0" w:space="0" w:color="auto"/>
        <w:left w:val="none" w:sz="0" w:space="0" w:color="auto"/>
        <w:bottom w:val="none" w:sz="0" w:space="0" w:color="auto"/>
        <w:right w:val="none" w:sz="0" w:space="0" w:color="auto"/>
      </w:divBdr>
    </w:div>
    <w:div w:id="1279872575">
      <w:bodyDiv w:val="1"/>
      <w:marLeft w:val="0"/>
      <w:marRight w:val="0"/>
      <w:marTop w:val="0"/>
      <w:marBottom w:val="0"/>
      <w:divBdr>
        <w:top w:val="none" w:sz="0" w:space="0" w:color="auto"/>
        <w:left w:val="none" w:sz="0" w:space="0" w:color="auto"/>
        <w:bottom w:val="none" w:sz="0" w:space="0" w:color="auto"/>
        <w:right w:val="none" w:sz="0" w:space="0" w:color="auto"/>
      </w:divBdr>
    </w:div>
    <w:div w:id="1397898271">
      <w:bodyDiv w:val="1"/>
      <w:marLeft w:val="0"/>
      <w:marRight w:val="0"/>
      <w:marTop w:val="0"/>
      <w:marBottom w:val="0"/>
      <w:divBdr>
        <w:top w:val="none" w:sz="0" w:space="0" w:color="auto"/>
        <w:left w:val="none" w:sz="0" w:space="0" w:color="auto"/>
        <w:bottom w:val="none" w:sz="0" w:space="0" w:color="auto"/>
        <w:right w:val="none" w:sz="0" w:space="0" w:color="auto"/>
      </w:divBdr>
    </w:div>
    <w:div w:id="1413965501">
      <w:bodyDiv w:val="1"/>
      <w:marLeft w:val="0"/>
      <w:marRight w:val="0"/>
      <w:marTop w:val="0"/>
      <w:marBottom w:val="0"/>
      <w:divBdr>
        <w:top w:val="none" w:sz="0" w:space="0" w:color="auto"/>
        <w:left w:val="none" w:sz="0" w:space="0" w:color="auto"/>
        <w:bottom w:val="none" w:sz="0" w:space="0" w:color="auto"/>
        <w:right w:val="none" w:sz="0" w:space="0" w:color="auto"/>
      </w:divBdr>
    </w:div>
    <w:div w:id="1434668790">
      <w:bodyDiv w:val="1"/>
      <w:marLeft w:val="0"/>
      <w:marRight w:val="0"/>
      <w:marTop w:val="0"/>
      <w:marBottom w:val="0"/>
      <w:divBdr>
        <w:top w:val="none" w:sz="0" w:space="0" w:color="auto"/>
        <w:left w:val="none" w:sz="0" w:space="0" w:color="auto"/>
        <w:bottom w:val="none" w:sz="0" w:space="0" w:color="auto"/>
        <w:right w:val="none" w:sz="0" w:space="0" w:color="auto"/>
      </w:divBdr>
    </w:div>
    <w:div w:id="1474709540">
      <w:bodyDiv w:val="1"/>
      <w:marLeft w:val="0"/>
      <w:marRight w:val="0"/>
      <w:marTop w:val="0"/>
      <w:marBottom w:val="0"/>
      <w:divBdr>
        <w:top w:val="none" w:sz="0" w:space="0" w:color="auto"/>
        <w:left w:val="none" w:sz="0" w:space="0" w:color="auto"/>
        <w:bottom w:val="none" w:sz="0" w:space="0" w:color="auto"/>
        <w:right w:val="none" w:sz="0" w:space="0" w:color="auto"/>
      </w:divBdr>
    </w:div>
    <w:div w:id="1514957384">
      <w:bodyDiv w:val="1"/>
      <w:marLeft w:val="0"/>
      <w:marRight w:val="0"/>
      <w:marTop w:val="0"/>
      <w:marBottom w:val="0"/>
      <w:divBdr>
        <w:top w:val="none" w:sz="0" w:space="0" w:color="auto"/>
        <w:left w:val="none" w:sz="0" w:space="0" w:color="auto"/>
        <w:bottom w:val="none" w:sz="0" w:space="0" w:color="auto"/>
        <w:right w:val="none" w:sz="0" w:space="0" w:color="auto"/>
      </w:divBdr>
      <w:divsChild>
        <w:div w:id="454182603">
          <w:marLeft w:val="0"/>
          <w:marRight w:val="0"/>
          <w:marTop w:val="0"/>
          <w:marBottom w:val="0"/>
          <w:divBdr>
            <w:top w:val="none" w:sz="0" w:space="0" w:color="auto"/>
            <w:left w:val="none" w:sz="0" w:space="0" w:color="auto"/>
            <w:bottom w:val="none" w:sz="0" w:space="0" w:color="auto"/>
            <w:right w:val="none" w:sz="0" w:space="0" w:color="auto"/>
          </w:divBdr>
        </w:div>
        <w:div w:id="1715933056">
          <w:marLeft w:val="0"/>
          <w:marRight w:val="0"/>
          <w:marTop w:val="0"/>
          <w:marBottom w:val="0"/>
          <w:divBdr>
            <w:top w:val="none" w:sz="0" w:space="0" w:color="auto"/>
            <w:left w:val="none" w:sz="0" w:space="0" w:color="auto"/>
            <w:bottom w:val="none" w:sz="0" w:space="0" w:color="auto"/>
            <w:right w:val="none" w:sz="0" w:space="0" w:color="auto"/>
          </w:divBdr>
        </w:div>
        <w:div w:id="622350651">
          <w:marLeft w:val="0"/>
          <w:marRight w:val="0"/>
          <w:marTop w:val="0"/>
          <w:marBottom w:val="0"/>
          <w:divBdr>
            <w:top w:val="none" w:sz="0" w:space="0" w:color="auto"/>
            <w:left w:val="none" w:sz="0" w:space="0" w:color="auto"/>
            <w:bottom w:val="none" w:sz="0" w:space="0" w:color="auto"/>
            <w:right w:val="none" w:sz="0" w:space="0" w:color="auto"/>
          </w:divBdr>
        </w:div>
        <w:div w:id="1739865192">
          <w:marLeft w:val="0"/>
          <w:marRight w:val="0"/>
          <w:marTop w:val="0"/>
          <w:marBottom w:val="0"/>
          <w:divBdr>
            <w:top w:val="none" w:sz="0" w:space="0" w:color="auto"/>
            <w:left w:val="none" w:sz="0" w:space="0" w:color="auto"/>
            <w:bottom w:val="none" w:sz="0" w:space="0" w:color="auto"/>
            <w:right w:val="none" w:sz="0" w:space="0" w:color="auto"/>
          </w:divBdr>
        </w:div>
        <w:div w:id="27873702">
          <w:marLeft w:val="0"/>
          <w:marRight w:val="0"/>
          <w:marTop w:val="0"/>
          <w:marBottom w:val="0"/>
          <w:divBdr>
            <w:top w:val="none" w:sz="0" w:space="0" w:color="auto"/>
            <w:left w:val="none" w:sz="0" w:space="0" w:color="auto"/>
            <w:bottom w:val="none" w:sz="0" w:space="0" w:color="auto"/>
            <w:right w:val="none" w:sz="0" w:space="0" w:color="auto"/>
          </w:divBdr>
        </w:div>
        <w:div w:id="2074808342">
          <w:marLeft w:val="0"/>
          <w:marRight w:val="0"/>
          <w:marTop w:val="0"/>
          <w:marBottom w:val="0"/>
          <w:divBdr>
            <w:top w:val="none" w:sz="0" w:space="0" w:color="auto"/>
            <w:left w:val="none" w:sz="0" w:space="0" w:color="auto"/>
            <w:bottom w:val="none" w:sz="0" w:space="0" w:color="auto"/>
            <w:right w:val="none" w:sz="0" w:space="0" w:color="auto"/>
          </w:divBdr>
        </w:div>
        <w:div w:id="846870005">
          <w:marLeft w:val="0"/>
          <w:marRight w:val="0"/>
          <w:marTop w:val="0"/>
          <w:marBottom w:val="0"/>
          <w:divBdr>
            <w:top w:val="none" w:sz="0" w:space="0" w:color="auto"/>
            <w:left w:val="none" w:sz="0" w:space="0" w:color="auto"/>
            <w:bottom w:val="none" w:sz="0" w:space="0" w:color="auto"/>
            <w:right w:val="none" w:sz="0" w:space="0" w:color="auto"/>
          </w:divBdr>
        </w:div>
        <w:div w:id="142938818">
          <w:marLeft w:val="0"/>
          <w:marRight w:val="0"/>
          <w:marTop w:val="0"/>
          <w:marBottom w:val="0"/>
          <w:divBdr>
            <w:top w:val="none" w:sz="0" w:space="0" w:color="auto"/>
            <w:left w:val="none" w:sz="0" w:space="0" w:color="auto"/>
            <w:bottom w:val="none" w:sz="0" w:space="0" w:color="auto"/>
            <w:right w:val="none" w:sz="0" w:space="0" w:color="auto"/>
          </w:divBdr>
        </w:div>
        <w:div w:id="1008755094">
          <w:marLeft w:val="0"/>
          <w:marRight w:val="0"/>
          <w:marTop w:val="0"/>
          <w:marBottom w:val="0"/>
          <w:divBdr>
            <w:top w:val="none" w:sz="0" w:space="0" w:color="auto"/>
            <w:left w:val="none" w:sz="0" w:space="0" w:color="auto"/>
            <w:bottom w:val="none" w:sz="0" w:space="0" w:color="auto"/>
            <w:right w:val="none" w:sz="0" w:space="0" w:color="auto"/>
          </w:divBdr>
        </w:div>
        <w:div w:id="1871216054">
          <w:marLeft w:val="0"/>
          <w:marRight w:val="0"/>
          <w:marTop w:val="0"/>
          <w:marBottom w:val="0"/>
          <w:divBdr>
            <w:top w:val="none" w:sz="0" w:space="0" w:color="auto"/>
            <w:left w:val="none" w:sz="0" w:space="0" w:color="auto"/>
            <w:bottom w:val="none" w:sz="0" w:space="0" w:color="auto"/>
            <w:right w:val="none" w:sz="0" w:space="0" w:color="auto"/>
          </w:divBdr>
        </w:div>
      </w:divsChild>
    </w:div>
    <w:div w:id="1521314441">
      <w:bodyDiv w:val="1"/>
      <w:marLeft w:val="0"/>
      <w:marRight w:val="0"/>
      <w:marTop w:val="0"/>
      <w:marBottom w:val="0"/>
      <w:divBdr>
        <w:top w:val="none" w:sz="0" w:space="0" w:color="auto"/>
        <w:left w:val="none" w:sz="0" w:space="0" w:color="auto"/>
        <w:bottom w:val="none" w:sz="0" w:space="0" w:color="auto"/>
        <w:right w:val="none" w:sz="0" w:space="0" w:color="auto"/>
      </w:divBdr>
    </w:div>
    <w:div w:id="1530416896">
      <w:bodyDiv w:val="1"/>
      <w:marLeft w:val="0"/>
      <w:marRight w:val="0"/>
      <w:marTop w:val="0"/>
      <w:marBottom w:val="0"/>
      <w:divBdr>
        <w:top w:val="none" w:sz="0" w:space="0" w:color="auto"/>
        <w:left w:val="none" w:sz="0" w:space="0" w:color="auto"/>
        <w:bottom w:val="none" w:sz="0" w:space="0" w:color="auto"/>
        <w:right w:val="none" w:sz="0" w:space="0" w:color="auto"/>
      </w:divBdr>
    </w:div>
    <w:div w:id="1551459464">
      <w:bodyDiv w:val="1"/>
      <w:marLeft w:val="0"/>
      <w:marRight w:val="0"/>
      <w:marTop w:val="0"/>
      <w:marBottom w:val="0"/>
      <w:divBdr>
        <w:top w:val="none" w:sz="0" w:space="0" w:color="auto"/>
        <w:left w:val="none" w:sz="0" w:space="0" w:color="auto"/>
        <w:bottom w:val="none" w:sz="0" w:space="0" w:color="auto"/>
        <w:right w:val="none" w:sz="0" w:space="0" w:color="auto"/>
      </w:divBdr>
      <w:divsChild>
        <w:div w:id="1703434414">
          <w:marLeft w:val="0"/>
          <w:marRight w:val="0"/>
          <w:marTop w:val="0"/>
          <w:marBottom w:val="0"/>
          <w:divBdr>
            <w:top w:val="none" w:sz="0" w:space="0" w:color="auto"/>
            <w:left w:val="none" w:sz="0" w:space="0" w:color="auto"/>
            <w:bottom w:val="none" w:sz="0" w:space="0" w:color="auto"/>
            <w:right w:val="none" w:sz="0" w:space="0" w:color="auto"/>
          </w:divBdr>
        </w:div>
        <w:div w:id="1084884523">
          <w:marLeft w:val="0"/>
          <w:marRight w:val="0"/>
          <w:marTop w:val="0"/>
          <w:marBottom w:val="0"/>
          <w:divBdr>
            <w:top w:val="none" w:sz="0" w:space="0" w:color="auto"/>
            <w:left w:val="none" w:sz="0" w:space="0" w:color="auto"/>
            <w:bottom w:val="none" w:sz="0" w:space="0" w:color="auto"/>
            <w:right w:val="none" w:sz="0" w:space="0" w:color="auto"/>
          </w:divBdr>
        </w:div>
        <w:div w:id="993871757">
          <w:marLeft w:val="0"/>
          <w:marRight w:val="0"/>
          <w:marTop w:val="0"/>
          <w:marBottom w:val="0"/>
          <w:divBdr>
            <w:top w:val="none" w:sz="0" w:space="0" w:color="auto"/>
            <w:left w:val="none" w:sz="0" w:space="0" w:color="auto"/>
            <w:bottom w:val="none" w:sz="0" w:space="0" w:color="auto"/>
            <w:right w:val="none" w:sz="0" w:space="0" w:color="auto"/>
          </w:divBdr>
        </w:div>
        <w:div w:id="1998220723">
          <w:marLeft w:val="0"/>
          <w:marRight w:val="0"/>
          <w:marTop w:val="0"/>
          <w:marBottom w:val="0"/>
          <w:divBdr>
            <w:top w:val="none" w:sz="0" w:space="0" w:color="auto"/>
            <w:left w:val="none" w:sz="0" w:space="0" w:color="auto"/>
            <w:bottom w:val="none" w:sz="0" w:space="0" w:color="auto"/>
            <w:right w:val="none" w:sz="0" w:space="0" w:color="auto"/>
          </w:divBdr>
        </w:div>
        <w:div w:id="182978809">
          <w:marLeft w:val="0"/>
          <w:marRight w:val="0"/>
          <w:marTop w:val="0"/>
          <w:marBottom w:val="0"/>
          <w:divBdr>
            <w:top w:val="none" w:sz="0" w:space="0" w:color="auto"/>
            <w:left w:val="none" w:sz="0" w:space="0" w:color="auto"/>
            <w:bottom w:val="none" w:sz="0" w:space="0" w:color="auto"/>
            <w:right w:val="none" w:sz="0" w:space="0" w:color="auto"/>
          </w:divBdr>
        </w:div>
        <w:div w:id="1107576226">
          <w:marLeft w:val="0"/>
          <w:marRight w:val="0"/>
          <w:marTop w:val="0"/>
          <w:marBottom w:val="0"/>
          <w:divBdr>
            <w:top w:val="none" w:sz="0" w:space="0" w:color="auto"/>
            <w:left w:val="none" w:sz="0" w:space="0" w:color="auto"/>
            <w:bottom w:val="none" w:sz="0" w:space="0" w:color="auto"/>
            <w:right w:val="none" w:sz="0" w:space="0" w:color="auto"/>
          </w:divBdr>
        </w:div>
        <w:div w:id="72625573">
          <w:marLeft w:val="0"/>
          <w:marRight w:val="0"/>
          <w:marTop w:val="0"/>
          <w:marBottom w:val="0"/>
          <w:divBdr>
            <w:top w:val="none" w:sz="0" w:space="0" w:color="auto"/>
            <w:left w:val="none" w:sz="0" w:space="0" w:color="auto"/>
            <w:bottom w:val="none" w:sz="0" w:space="0" w:color="auto"/>
            <w:right w:val="none" w:sz="0" w:space="0" w:color="auto"/>
          </w:divBdr>
        </w:div>
        <w:div w:id="906301836">
          <w:marLeft w:val="0"/>
          <w:marRight w:val="0"/>
          <w:marTop w:val="0"/>
          <w:marBottom w:val="0"/>
          <w:divBdr>
            <w:top w:val="none" w:sz="0" w:space="0" w:color="auto"/>
            <w:left w:val="none" w:sz="0" w:space="0" w:color="auto"/>
            <w:bottom w:val="none" w:sz="0" w:space="0" w:color="auto"/>
            <w:right w:val="none" w:sz="0" w:space="0" w:color="auto"/>
          </w:divBdr>
        </w:div>
        <w:div w:id="1094940190">
          <w:marLeft w:val="0"/>
          <w:marRight w:val="0"/>
          <w:marTop w:val="0"/>
          <w:marBottom w:val="0"/>
          <w:divBdr>
            <w:top w:val="none" w:sz="0" w:space="0" w:color="auto"/>
            <w:left w:val="none" w:sz="0" w:space="0" w:color="auto"/>
            <w:bottom w:val="none" w:sz="0" w:space="0" w:color="auto"/>
            <w:right w:val="none" w:sz="0" w:space="0" w:color="auto"/>
          </w:divBdr>
        </w:div>
        <w:div w:id="367266012">
          <w:marLeft w:val="0"/>
          <w:marRight w:val="0"/>
          <w:marTop w:val="0"/>
          <w:marBottom w:val="0"/>
          <w:divBdr>
            <w:top w:val="none" w:sz="0" w:space="0" w:color="auto"/>
            <w:left w:val="none" w:sz="0" w:space="0" w:color="auto"/>
            <w:bottom w:val="none" w:sz="0" w:space="0" w:color="auto"/>
            <w:right w:val="none" w:sz="0" w:space="0" w:color="auto"/>
          </w:divBdr>
        </w:div>
      </w:divsChild>
    </w:div>
    <w:div w:id="1566839549">
      <w:bodyDiv w:val="1"/>
      <w:marLeft w:val="0"/>
      <w:marRight w:val="0"/>
      <w:marTop w:val="0"/>
      <w:marBottom w:val="0"/>
      <w:divBdr>
        <w:top w:val="none" w:sz="0" w:space="0" w:color="auto"/>
        <w:left w:val="none" w:sz="0" w:space="0" w:color="auto"/>
        <w:bottom w:val="none" w:sz="0" w:space="0" w:color="auto"/>
        <w:right w:val="none" w:sz="0" w:space="0" w:color="auto"/>
      </w:divBdr>
    </w:div>
    <w:div w:id="1587300430">
      <w:bodyDiv w:val="1"/>
      <w:marLeft w:val="0"/>
      <w:marRight w:val="0"/>
      <w:marTop w:val="0"/>
      <w:marBottom w:val="0"/>
      <w:divBdr>
        <w:top w:val="none" w:sz="0" w:space="0" w:color="auto"/>
        <w:left w:val="none" w:sz="0" w:space="0" w:color="auto"/>
        <w:bottom w:val="none" w:sz="0" w:space="0" w:color="auto"/>
        <w:right w:val="none" w:sz="0" w:space="0" w:color="auto"/>
      </w:divBdr>
    </w:div>
    <w:div w:id="1589146723">
      <w:bodyDiv w:val="1"/>
      <w:marLeft w:val="0"/>
      <w:marRight w:val="0"/>
      <w:marTop w:val="0"/>
      <w:marBottom w:val="0"/>
      <w:divBdr>
        <w:top w:val="none" w:sz="0" w:space="0" w:color="auto"/>
        <w:left w:val="none" w:sz="0" w:space="0" w:color="auto"/>
        <w:bottom w:val="none" w:sz="0" w:space="0" w:color="auto"/>
        <w:right w:val="none" w:sz="0" w:space="0" w:color="auto"/>
      </w:divBdr>
    </w:div>
    <w:div w:id="1607158329">
      <w:bodyDiv w:val="1"/>
      <w:marLeft w:val="0"/>
      <w:marRight w:val="0"/>
      <w:marTop w:val="0"/>
      <w:marBottom w:val="0"/>
      <w:divBdr>
        <w:top w:val="none" w:sz="0" w:space="0" w:color="auto"/>
        <w:left w:val="none" w:sz="0" w:space="0" w:color="auto"/>
        <w:bottom w:val="none" w:sz="0" w:space="0" w:color="auto"/>
        <w:right w:val="none" w:sz="0" w:space="0" w:color="auto"/>
      </w:divBdr>
    </w:div>
    <w:div w:id="1660763427">
      <w:bodyDiv w:val="1"/>
      <w:marLeft w:val="0"/>
      <w:marRight w:val="0"/>
      <w:marTop w:val="0"/>
      <w:marBottom w:val="0"/>
      <w:divBdr>
        <w:top w:val="none" w:sz="0" w:space="0" w:color="auto"/>
        <w:left w:val="none" w:sz="0" w:space="0" w:color="auto"/>
        <w:bottom w:val="none" w:sz="0" w:space="0" w:color="auto"/>
        <w:right w:val="none" w:sz="0" w:space="0" w:color="auto"/>
      </w:divBdr>
    </w:div>
    <w:div w:id="1675373873">
      <w:bodyDiv w:val="1"/>
      <w:marLeft w:val="0"/>
      <w:marRight w:val="0"/>
      <w:marTop w:val="0"/>
      <w:marBottom w:val="0"/>
      <w:divBdr>
        <w:top w:val="none" w:sz="0" w:space="0" w:color="auto"/>
        <w:left w:val="none" w:sz="0" w:space="0" w:color="auto"/>
        <w:bottom w:val="none" w:sz="0" w:space="0" w:color="auto"/>
        <w:right w:val="none" w:sz="0" w:space="0" w:color="auto"/>
      </w:divBdr>
    </w:div>
    <w:div w:id="1686981805">
      <w:bodyDiv w:val="1"/>
      <w:marLeft w:val="0"/>
      <w:marRight w:val="0"/>
      <w:marTop w:val="0"/>
      <w:marBottom w:val="0"/>
      <w:divBdr>
        <w:top w:val="none" w:sz="0" w:space="0" w:color="auto"/>
        <w:left w:val="none" w:sz="0" w:space="0" w:color="auto"/>
        <w:bottom w:val="none" w:sz="0" w:space="0" w:color="auto"/>
        <w:right w:val="none" w:sz="0" w:space="0" w:color="auto"/>
      </w:divBdr>
    </w:div>
    <w:div w:id="1816028553">
      <w:bodyDiv w:val="1"/>
      <w:marLeft w:val="0"/>
      <w:marRight w:val="0"/>
      <w:marTop w:val="0"/>
      <w:marBottom w:val="0"/>
      <w:divBdr>
        <w:top w:val="none" w:sz="0" w:space="0" w:color="auto"/>
        <w:left w:val="none" w:sz="0" w:space="0" w:color="auto"/>
        <w:bottom w:val="none" w:sz="0" w:space="0" w:color="auto"/>
        <w:right w:val="none" w:sz="0" w:space="0" w:color="auto"/>
      </w:divBdr>
    </w:div>
    <w:div w:id="1848250499">
      <w:bodyDiv w:val="1"/>
      <w:marLeft w:val="0"/>
      <w:marRight w:val="0"/>
      <w:marTop w:val="0"/>
      <w:marBottom w:val="0"/>
      <w:divBdr>
        <w:top w:val="none" w:sz="0" w:space="0" w:color="auto"/>
        <w:left w:val="none" w:sz="0" w:space="0" w:color="auto"/>
        <w:bottom w:val="none" w:sz="0" w:space="0" w:color="auto"/>
        <w:right w:val="none" w:sz="0" w:space="0" w:color="auto"/>
      </w:divBdr>
    </w:div>
    <w:div w:id="1897622901">
      <w:bodyDiv w:val="1"/>
      <w:marLeft w:val="0"/>
      <w:marRight w:val="0"/>
      <w:marTop w:val="0"/>
      <w:marBottom w:val="0"/>
      <w:divBdr>
        <w:top w:val="none" w:sz="0" w:space="0" w:color="auto"/>
        <w:left w:val="none" w:sz="0" w:space="0" w:color="auto"/>
        <w:bottom w:val="none" w:sz="0" w:space="0" w:color="auto"/>
        <w:right w:val="none" w:sz="0" w:space="0" w:color="auto"/>
      </w:divBdr>
      <w:divsChild>
        <w:div w:id="1194002774">
          <w:marLeft w:val="0"/>
          <w:marRight w:val="0"/>
          <w:marTop w:val="0"/>
          <w:marBottom w:val="0"/>
          <w:divBdr>
            <w:top w:val="none" w:sz="0" w:space="0" w:color="auto"/>
            <w:left w:val="none" w:sz="0" w:space="0" w:color="auto"/>
            <w:bottom w:val="none" w:sz="0" w:space="0" w:color="auto"/>
            <w:right w:val="none" w:sz="0" w:space="0" w:color="auto"/>
          </w:divBdr>
        </w:div>
        <w:div w:id="764769454">
          <w:marLeft w:val="0"/>
          <w:marRight w:val="0"/>
          <w:marTop w:val="0"/>
          <w:marBottom w:val="0"/>
          <w:divBdr>
            <w:top w:val="none" w:sz="0" w:space="0" w:color="auto"/>
            <w:left w:val="none" w:sz="0" w:space="0" w:color="auto"/>
            <w:bottom w:val="none" w:sz="0" w:space="0" w:color="auto"/>
            <w:right w:val="none" w:sz="0" w:space="0" w:color="auto"/>
          </w:divBdr>
        </w:div>
        <w:div w:id="1825854913">
          <w:marLeft w:val="0"/>
          <w:marRight w:val="0"/>
          <w:marTop w:val="0"/>
          <w:marBottom w:val="0"/>
          <w:divBdr>
            <w:top w:val="none" w:sz="0" w:space="0" w:color="auto"/>
            <w:left w:val="none" w:sz="0" w:space="0" w:color="auto"/>
            <w:bottom w:val="none" w:sz="0" w:space="0" w:color="auto"/>
            <w:right w:val="none" w:sz="0" w:space="0" w:color="auto"/>
          </w:divBdr>
        </w:div>
        <w:div w:id="1923568719">
          <w:marLeft w:val="0"/>
          <w:marRight w:val="0"/>
          <w:marTop w:val="0"/>
          <w:marBottom w:val="0"/>
          <w:divBdr>
            <w:top w:val="none" w:sz="0" w:space="0" w:color="auto"/>
            <w:left w:val="none" w:sz="0" w:space="0" w:color="auto"/>
            <w:bottom w:val="none" w:sz="0" w:space="0" w:color="auto"/>
            <w:right w:val="none" w:sz="0" w:space="0" w:color="auto"/>
          </w:divBdr>
        </w:div>
        <w:div w:id="1846508827">
          <w:marLeft w:val="0"/>
          <w:marRight w:val="0"/>
          <w:marTop w:val="0"/>
          <w:marBottom w:val="0"/>
          <w:divBdr>
            <w:top w:val="none" w:sz="0" w:space="0" w:color="auto"/>
            <w:left w:val="none" w:sz="0" w:space="0" w:color="auto"/>
            <w:bottom w:val="none" w:sz="0" w:space="0" w:color="auto"/>
            <w:right w:val="none" w:sz="0" w:space="0" w:color="auto"/>
          </w:divBdr>
        </w:div>
        <w:div w:id="646278542">
          <w:marLeft w:val="0"/>
          <w:marRight w:val="0"/>
          <w:marTop w:val="0"/>
          <w:marBottom w:val="0"/>
          <w:divBdr>
            <w:top w:val="none" w:sz="0" w:space="0" w:color="auto"/>
            <w:left w:val="none" w:sz="0" w:space="0" w:color="auto"/>
            <w:bottom w:val="none" w:sz="0" w:space="0" w:color="auto"/>
            <w:right w:val="none" w:sz="0" w:space="0" w:color="auto"/>
          </w:divBdr>
        </w:div>
        <w:div w:id="1513305">
          <w:marLeft w:val="0"/>
          <w:marRight w:val="0"/>
          <w:marTop w:val="0"/>
          <w:marBottom w:val="0"/>
          <w:divBdr>
            <w:top w:val="none" w:sz="0" w:space="0" w:color="auto"/>
            <w:left w:val="none" w:sz="0" w:space="0" w:color="auto"/>
            <w:bottom w:val="none" w:sz="0" w:space="0" w:color="auto"/>
            <w:right w:val="none" w:sz="0" w:space="0" w:color="auto"/>
          </w:divBdr>
        </w:div>
        <w:div w:id="1060439120">
          <w:marLeft w:val="0"/>
          <w:marRight w:val="0"/>
          <w:marTop w:val="0"/>
          <w:marBottom w:val="0"/>
          <w:divBdr>
            <w:top w:val="none" w:sz="0" w:space="0" w:color="auto"/>
            <w:left w:val="none" w:sz="0" w:space="0" w:color="auto"/>
            <w:bottom w:val="none" w:sz="0" w:space="0" w:color="auto"/>
            <w:right w:val="none" w:sz="0" w:space="0" w:color="auto"/>
          </w:divBdr>
        </w:div>
        <w:div w:id="1789663875">
          <w:marLeft w:val="0"/>
          <w:marRight w:val="0"/>
          <w:marTop w:val="0"/>
          <w:marBottom w:val="0"/>
          <w:divBdr>
            <w:top w:val="none" w:sz="0" w:space="0" w:color="auto"/>
            <w:left w:val="none" w:sz="0" w:space="0" w:color="auto"/>
            <w:bottom w:val="none" w:sz="0" w:space="0" w:color="auto"/>
            <w:right w:val="none" w:sz="0" w:space="0" w:color="auto"/>
          </w:divBdr>
        </w:div>
        <w:div w:id="869536031">
          <w:marLeft w:val="0"/>
          <w:marRight w:val="0"/>
          <w:marTop w:val="0"/>
          <w:marBottom w:val="0"/>
          <w:divBdr>
            <w:top w:val="none" w:sz="0" w:space="0" w:color="auto"/>
            <w:left w:val="none" w:sz="0" w:space="0" w:color="auto"/>
            <w:bottom w:val="none" w:sz="0" w:space="0" w:color="auto"/>
            <w:right w:val="none" w:sz="0" w:space="0" w:color="auto"/>
          </w:divBdr>
        </w:div>
      </w:divsChild>
    </w:div>
    <w:div w:id="1998804028">
      <w:bodyDiv w:val="1"/>
      <w:marLeft w:val="0"/>
      <w:marRight w:val="0"/>
      <w:marTop w:val="0"/>
      <w:marBottom w:val="0"/>
      <w:divBdr>
        <w:top w:val="none" w:sz="0" w:space="0" w:color="auto"/>
        <w:left w:val="none" w:sz="0" w:space="0" w:color="auto"/>
        <w:bottom w:val="none" w:sz="0" w:space="0" w:color="auto"/>
        <w:right w:val="none" w:sz="0" w:space="0" w:color="auto"/>
      </w:divBdr>
    </w:div>
    <w:div w:id="2010283502">
      <w:bodyDiv w:val="1"/>
      <w:marLeft w:val="0"/>
      <w:marRight w:val="0"/>
      <w:marTop w:val="0"/>
      <w:marBottom w:val="0"/>
      <w:divBdr>
        <w:top w:val="none" w:sz="0" w:space="0" w:color="auto"/>
        <w:left w:val="none" w:sz="0" w:space="0" w:color="auto"/>
        <w:bottom w:val="none" w:sz="0" w:space="0" w:color="auto"/>
        <w:right w:val="none" w:sz="0" w:space="0" w:color="auto"/>
      </w:divBdr>
      <w:divsChild>
        <w:div w:id="923805088">
          <w:marLeft w:val="0"/>
          <w:marRight w:val="0"/>
          <w:marTop w:val="0"/>
          <w:marBottom w:val="0"/>
          <w:divBdr>
            <w:top w:val="none" w:sz="0" w:space="0" w:color="auto"/>
            <w:left w:val="none" w:sz="0" w:space="0" w:color="auto"/>
            <w:bottom w:val="none" w:sz="0" w:space="0" w:color="auto"/>
            <w:right w:val="none" w:sz="0" w:space="0" w:color="auto"/>
          </w:divBdr>
        </w:div>
        <w:div w:id="1936477773">
          <w:marLeft w:val="0"/>
          <w:marRight w:val="0"/>
          <w:marTop w:val="0"/>
          <w:marBottom w:val="0"/>
          <w:divBdr>
            <w:top w:val="none" w:sz="0" w:space="0" w:color="auto"/>
            <w:left w:val="none" w:sz="0" w:space="0" w:color="auto"/>
            <w:bottom w:val="none" w:sz="0" w:space="0" w:color="auto"/>
            <w:right w:val="none" w:sz="0" w:space="0" w:color="auto"/>
          </w:divBdr>
        </w:div>
        <w:div w:id="1900630599">
          <w:marLeft w:val="0"/>
          <w:marRight w:val="0"/>
          <w:marTop w:val="0"/>
          <w:marBottom w:val="0"/>
          <w:divBdr>
            <w:top w:val="none" w:sz="0" w:space="0" w:color="auto"/>
            <w:left w:val="none" w:sz="0" w:space="0" w:color="auto"/>
            <w:bottom w:val="none" w:sz="0" w:space="0" w:color="auto"/>
            <w:right w:val="none" w:sz="0" w:space="0" w:color="auto"/>
          </w:divBdr>
        </w:div>
        <w:div w:id="98793939">
          <w:marLeft w:val="0"/>
          <w:marRight w:val="0"/>
          <w:marTop w:val="0"/>
          <w:marBottom w:val="0"/>
          <w:divBdr>
            <w:top w:val="none" w:sz="0" w:space="0" w:color="auto"/>
            <w:left w:val="none" w:sz="0" w:space="0" w:color="auto"/>
            <w:bottom w:val="none" w:sz="0" w:space="0" w:color="auto"/>
            <w:right w:val="none" w:sz="0" w:space="0" w:color="auto"/>
          </w:divBdr>
        </w:div>
        <w:div w:id="958879501">
          <w:marLeft w:val="0"/>
          <w:marRight w:val="0"/>
          <w:marTop w:val="0"/>
          <w:marBottom w:val="0"/>
          <w:divBdr>
            <w:top w:val="none" w:sz="0" w:space="0" w:color="auto"/>
            <w:left w:val="none" w:sz="0" w:space="0" w:color="auto"/>
            <w:bottom w:val="none" w:sz="0" w:space="0" w:color="auto"/>
            <w:right w:val="none" w:sz="0" w:space="0" w:color="auto"/>
          </w:divBdr>
        </w:div>
        <w:div w:id="503014245">
          <w:marLeft w:val="0"/>
          <w:marRight w:val="0"/>
          <w:marTop w:val="0"/>
          <w:marBottom w:val="0"/>
          <w:divBdr>
            <w:top w:val="none" w:sz="0" w:space="0" w:color="auto"/>
            <w:left w:val="none" w:sz="0" w:space="0" w:color="auto"/>
            <w:bottom w:val="none" w:sz="0" w:space="0" w:color="auto"/>
            <w:right w:val="none" w:sz="0" w:space="0" w:color="auto"/>
          </w:divBdr>
        </w:div>
        <w:div w:id="1126847914">
          <w:marLeft w:val="0"/>
          <w:marRight w:val="0"/>
          <w:marTop w:val="0"/>
          <w:marBottom w:val="0"/>
          <w:divBdr>
            <w:top w:val="none" w:sz="0" w:space="0" w:color="auto"/>
            <w:left w:val="none" w:sz="0" w:space="0" w:color="auto"/>
            <w:bottom w:val="none" w:sz="0" w:space="0" w:color="auto"/>
            <w:right w:val="none" w:sz="0" w:space="0" w:color="auto"/>
          </w:divBdr>
        </w:div>
        <w:div w:id="1056857">
          <w:marLeft w:val="0"/>
          <w:marRight w:val="0"/>
          <w:marTop w:val="0"/>
          <w:marBottom w:val="0"/>
          <w:divBdr>
            <w:top w:val="none" w:sz="0" w:space="0" w:color="auto"/>
            <w:left w:val="none" w:sz="0" w:space="0" w:color="auto"/>
            <w:bottom w:val="none" w:sz="0" w:space="0" w:color="auto"/>
            <w:right w:val="none" w:sz="0" w:space="0" w:color="auto"/>
          </w:divBdr>
        </w:div>
      </w:divsChild>
    </w:div>
    <w:div w:id="2033722080">
      <w:bodyDiv w:val="1"/>
      <w:marLeft w:val="0"/>
      <w:marRight w:val="0"/>
      <w:marTop w:val="0"/>
      <w:marBottom w:val="0"/>
      <w:divBdr>
        <w:top w:val="none" w:sz="0" w:space="0" w:color="auto"/>
        <w:left w:val="none" w:sz="0" w:space="0" w:color="auto"/>
        <w:bottom w:val="none" w:sz="0" w:space="0" w:color="auto"/>
        <w:right w:val="none" w:sz="0" w:space="0" w:color="auto"/>
      </w:divBdr>
    </w:div>
    <w:div w:id="2060129979">
      <w:bodyDiv w:val="1"/>
      <w:marLeft w:val="0"/>
      <w:marRight w:val="0"/>
      <w:marTop w:val="0"/>
      <w:marBottom w:val="0"/>
      <w:divBdr>
        <w:top w:val="none" w:sz="0" w:space="0" w:color="auto"/>
        <w:left w:val="none" w:sz="0" w:space="0" w:color="auto"/>
        <w:bottom w:val="none" w:sz="0" w:space="0" w:color="auto"/>
        <w:right w:val="none" w:sz="0" w:space="0" w:color="auto"/>
      </w:divBdr>
    </w:div>
    <w:div w:id="2063482844">
      <w:bodyDiv w:val="1"/>
      <w:marLeft w:val="0"/>
      <w:marRight w:val="0"/>
      <w:marTop w:val="0"/>
      <w:marBottom w:val="0"/>
      <w:divBdr>
        <w:top w:val="none" w:sz="0" w:space="0" w:color="auto"/>
        <w:left w:val="none" w:sz="0" w:space="0" w:color="auto"/>
        <w:bottom w:val="none" w:sz="0" w:space="0" w:color="auto"/>
        <w:right w:val="none" w:sz="0" w:space="0" w:color="auto"/>
      </w:divBdr>
    </w:div>
    <w:div w:id="2107577577">
      <w:bodyDiv w:val="1"/>
      <w:marLeft w:val="0"/>
      <w:marRight w:val="0"/>
      <w:marTop w:val="0"/>
      <w:marBottom w:val="0"/>
      <w:divBdr>
        <w:top w:val="none" w:sz="0" w:space="0" w:color="auto"/>
        <w:left w:val="none" w:sz="0" w:space="0" w:color="auto"/>
        <w:bottom w:val="none" w:sz="0" w:space="0" w:color="auto"/>
        <w:right w:val="none" w:sz="0" w:space="0" w:color="auto"/>
      </w:divBdr>
    </w:div>
    <w:div w:id="21258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B298A-17E5-4A37-B319-5A124FB1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33475</Words>
  <Characters>190812</Characters>
  <Application>Microsoft Office Word</Application>
  <DocSecurity>0</DocSecurity>
  <Lines>1590</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Атанасова</dc:creator>
  <cp:keywords/>
  <dc:description/>
  <cp:lastModifiedBy>Галина Смелова</cp:lastModifiedBy>
  <cp:revision>2</cp:revision>
  <dcterms:created xsi:type="dcterms:W3CDTF">2026-01-19T12:38:00Z</dcterms:created>
  <dcterms:modified xsi:type="dcterms:W3CDTF">2026-01-19T12:38:00Z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