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26CF" w14:textId="77777777" w:rsidR="00EE37D8" w:rsidRPr="00614738" w:rsidRDefault="00EE37D8" w:rsidP="00E843C8">
      <w:pPr>
        <w:pBdr>
          <w:bottom w:val="single" w:sz="8" w:space="4" w:color="4F81BD"/>
        </w:pBdr>
        <w:spacing w:after="0" w:line="360" w:lineRule="auto"/>
        <w:contextualSpacing/>
        <w:jc w:val="center"/>
        <w:rPr>
          <w:rFonts w:ascii="Times New Roman" w:hAnsi="Times New Roman" w:cs="Times New Roman"/>
          <w:spacing w:val="5"/>
          <w:kern w:val="28"/>
          <w:sz w:val="24"/>
          <w:szCs w:val="24"/>
          <w:lang w:val="en-US"/>
        </w:rPr>
      </w:pPr>
    </w:p>
    <w:p w14:paraId="0C75A4F3" w14:textId="77777777" w:rsidR="00EE37D8" w:rsidRPr="00EE37D8" w:rsidRDefault="00EE37D8" w:rsidP="00E843C8">
      <w:pPr>
        <w:pBdr>
          <w:bottom w:val="single" w:sz="8" w:space="4" w:color="4F81BD"/>
        </w:pBdr>
        <w:spacing w:after="0" w:line="360" w:lineRule="auto"/>
        <w:contextualSpacing/>
        <w:jc w:val="center"/>
        <w:rPr>
          <w:rFonts w:ascii="Times New Roman" w:hAnsi="Times New Roman" w:cs="Times New Roman"/>
          <w:spacing w:val="5"/>
          <w:kern w:val="28"/>
          <w:sz w:val="24"/>
          <w:szCs w:val="24"/>
        </w:rPr>
      </w:pPr>
    </w:p>
    <w:p w14:paraId="1845B846" w14:textId="77777777" w:rsidR="00101A9D" w:rsidRPr="00EE37D8" w:rsidRDefault="00101A9D" w:rsidP="00E843C8">
      <w:pPr>
        <w:pBdr>
          <w:bottom w:val="single" w:sz="8" w:space="4" w:color="4F81BD"/>
        </w:pBdr>
        <w:spacing w:after="0" w:line="360" w:lineRule="auto"/>
        <w:contextualSpacing/>
        <w:jc w:val="center"/>
        <w:rPr>
          <w:rFonts w:ascii="Times New Roman" w:hAnsi="Times New Roman" w:cs="Times New Roman"/>
          <w:b/>
          <w:spacing w:val="5"/>
          <w:kern w:val="28"/>
          <w:sz w:val="24"/>
          <w:szCs w:val="24"/>
        </w:rPr>
      </w:pPr>
      <w:r w:rsidRPr="00EE37D8">
        <w:rPr>
          <w:rFonts w:ascii="Times New Roman" w:hAnsi="Times New Roman" w:cs="Times New Roman"/>
          <w:b/>
          <w:spacing w:val="5"/>
          <w:kern w:val="28"/>
          <w:sz w:val="24"/>
          <w:szCs w:val="24"/>
        </w:rPr>
        <w:t>НАЦИОНАЛ</w:t>
      </w:r>
      <w:r w:rsidR="00823901" w:rsidRPr="00EE37D8">
        <w:rPr>
          <w:rFonts w:ascii="Times New Roman" w:hAnsi="Times New Roman" w:cs="Times New Roman"/>
          <w:b/>
          <w:spacing w:val="5"/>
          <w:kern w:val="28"/>
          <w:sz w:val="24"/>
          <w:szCs w:val="24"/>
        </w:rPr>
        <w:t>НА</w:t>
      </w:r>
      <w:r w:rsidRPr="00EE37D8">
        <w:rPr>
          <w:rFonts w:ascii="Times New Roman" w:hAnsi="Times New Roman" w:cs="Times New Roman"/>
          <w:b/>
          <w:spacing w:val="5"/>
          <w:kern w:val="28"/>
          <w:sz w:val="24"/>
          <w:szCs w:val="24"/>
        </w:rPr>
        <w:t xml:space="preserve"> </w:t>
      </w:r>
      <w:r w:rsidR="00823901" w:rsidRPr="00EE37D8">
        <w:rPr>
          <w:rFonts w:ascii="Times New Roman" w:hAnsi="Times New Roman" w:cs="Times New Roman"/>
          <w:b/>
          <w:spacing w:val="5"/>
          <w:kern w:val="28"/>
          <w:sz w:val="24"/>
          <w:szCs w:val="24"/>
        </w:rPr>
        <w:t>ПРОГРАМА</w:t>
      </w:r>
      <w:r w:rsidRPr="00EE37D8">
        <w:rPr>
          <w:rFonts w:ascii="Times New Roman" w:hAnsi="Times New Roman" w:cs="Times New Roman"/>
          <w:b/>
          <w:spacing w:val="5"/>
          <w:kern w:val="28"/>
          <w:sz w:val="24"/>
          <w:szCs w:val="24"/>
        </w:rPr>
        <w:t xml:space="preserve"> ЗА </w:t>
      </w:r>
      <w:r w:rsidR="003D4B17" w:rsidRPr="00EE37D8">
        <w:rPr>
          <w:rFonts w:ascii="Times New Roman" w:hAnsi="Times New Roman" w:cs="Times New Roman"/>
          <w:b/>
          <w:sz w:val="24"/>
          <w:szCs w:val="24"/>
          <w:lang w:eastAsia="bg-BG"/>
        </w:rPr>
        <w:t xml:space="preserve">ДЕЙСТВИЕ </w:t>
      </w:r>
      <w:r w:rsidR="000B50C4" w:rsidRPr="00EE37D8">
        <w:rPr>
          <w:rFonts w:ascii="Times New Roman" w:hAnsi="Times New Roman" w:cs="Times New Roman"/>
          <w:b/>
          <w:sz w:val="24"/>
          <w:szCs w:val="24"/>
          <w:lang w:eastAsia="bg-BG"/>
        </w:rPr>
        <w:t>С</w:t>
      </w:r>
      <w:r w:rsidR="003D4B17" w:rsidRPr="00EE37D8">
        <w:rPr>
          <w:rFonts w:ascii="Times New Roman" w:hAnsi="Times New Roman" w:cs="Times New Roman"/>
          <w:b/>
          <w:sz w:val="24"/>
          <w:szCs w:val="24"/>
          <w:lang w:eastAsia="bg-BG"/>
        </w:rPr>
        <w:t>РЕЩУ</w:t>
      </w:r>
      <w:r w:rsidRPr="00EE37D8">
        <w:rPr>
          <w:rFonts w:ascii="Times New Roman" w:hAnsi="Times New Roman" w:cs="Times New Roman"/>
          <w:b/>
          <w:spacing w:val="5"/>
          <w:kern w:val="28"/>
          <w:sz w:val="24"/>
          <w:szCs w:val="24"/>
          <w:lang w:val="en-US"/>
        </w:rPr>
        <w:t xml:space="preserve"> </w:t>
      </w:r>
      <w:r w:rsidRPr="00EE37D8">
        <w:rPr>
          <w:rFonts w:ascii="Times New Roman" w:hAnsi="Times New Roman" w:cs="Times New Roman"/>
          <w:b/>
          <w:spacing w:val="5"/>
          <w:kern w:val="28"/>
          <w:sz w:val="24"/>
          <w:szCs w:val="24"/>
        </w:rPr>
        <w:t>АНТИМИКРОБНАТА РЕЗИСТЕНТНОСТ</w:t>
      </w:r>
      <w:r w:rsidR="00C50862" w:rsidRPr="00EE37D8">
        <w:rPr>
          <w:rFonts w:ascii="Times New Roman" w:hAnsi="Times New Roman" w:cs="Times New Roman"/>
          <w:b/>
          <w:spacing w:val="5"/>
          <w:kern w:val="28"/>
          <w:sz w:val="24"/>
          <w:szCs w:val="24"/>
          <w:lang w:val="en-US"/>
        </w:rPr>
        <w:t xml:space="preserve"> </w:t>
      </w:r>
      <w:r w:rsidRPr="00EE37D8">
        <w:rPr>
          <w:rFonts w:ascii="Times New Roman" w:hAnsi="Times New Roman" w:cs="Times New Roman"/>
          <w:b/>
          <w:spacing w:val="5"/>
          <w:kern w:val="28"/>
          <w:sz w:val="24"/>
          <w:szCs w:val="24"/>
        </w:rPr>
        <w:t>202</w:t>
      </w:r>
      <w:r w:rsidR="0086625B">
        <w:rPr>
          <w:rFonts w:ascii="Times New Roman" w:hAnsi="Times New Roman" w:cs="Times New Roman"/>
          <w:b/>
          <w:spacing w:val="5"/>
          <w:kern w:val="28"/>
          <w:sz w:val="24"/>
          <w:szCs w:val="24"/>
        </w:rPr>
        <w:t>6</w:t>
      </w:r>
      <w:r w:rsidR="00752F8D" w:rsidRPr="00EE37D8">
        <w:rPr>
          <w:rFonts w:ascii="Times New Roman" w:hAnsi="Times New Roman" w:cs="Times New Roman"/>
          <w:b/>
          <w:spacing w:val="5"/>
          <w:kern w:val="28"/>
          <w:sz w:val="24"/>
          <w:szCs w:val="24"/>
        </w:rPr>
        <w:t xml:space="preserve"> – </w:t>
      </w:r>
      <w:r w:rsidRPr="00EE37D8">
        <w:rPr>
          <w:rFonts w:ascii="Times New Roman" w:hAnsi="Times New Roman" w:cs="Times New Roman"/>
          <w:b/>
          <w:spacing w:val="5"/>
          <w:kern w:val="28"/>
          <w:sz w:val="24"/>
          <w:szCs w:val="24"/>
        </w:rPr>
        <w:t>202</w:t>
      </w:r>
      <w:r w:rsidR="0086625B">
        <w:rPr>
          <w:rFonts w:ascii="Times New Roman" w:hAnsi="Times New Roman" w:cs="Times New Roman"/>
          <w:b/>
          <w:spacing w:val="5"/>
          <w:kern w:val="28"/>
          <w:sz w:val="24"/>
          <w:szCs w:val="24"/>
        </w:rPr>
        <w:t>9</w:t>
      </w:r>
    </w:p>
    <w:p w14:paraId="45BB1F89" w14:textId="77777777" w:rsidR="00B342EC" w:rsidRDefault="00B342EC" w:rsidP="00E843C8">
      <w:pPr>
        <w:spacing w:after="0" w:line="360" w:lineRule="auto"/>
        <w:rPr>
          <w:rFonts w:ascii="Times New Roman" w:hAnsi="Times New Roman" w:cs="Times New Roman"/>
          <w:sz w:val="24"/>
          <w:szCs w:val="24"/>
        </w:rPr>
      </w:pPr>
    </w:p>
    <w:p w14:paraId="36B596E6" w14:textId="77777777" w:rsidR="00C50862" w:rsidRPr="001A763F" w:rsidRDefault="00C50862" w:rsidP="001A763F">
      <w:pPr>
        <w:spacing w:after="0" w:line="360" w:lineRule="auto"/>
        <w:contextualSpacing/>
        <w:jc w:val="right"/>
        <w:rPr>
          <w:rFonts w:ascii="Times New Roman" w:hAnsi="Times New Roman" w:cs="Times New Roman"/>
          <w:spacing w:val="5"/>
          <w:kern w:val="28"/>
          <w:sz w:val="24"/>
          <w:szCs w:val="24"/>
        </w:rPr>
      </w:pPr>
    </w:p>
    <w:p w14:paraId="6F6ABE02" w14:textId="77777777" w:rsidR="00EE37D8" w:rsidRDefault="00EE37D8" w:rsidP="00E843C8">
      <w:pPr>
        <w:spacing w:after="0" w:line="360" w:lineRule="auto"/>
        <w:rPr>
          <w:rFonts w:ascii="Times New Roman" w:hAnsi="Times New Roman" w:cs="Times New Roman"/>
          <w:sz w:val="24"/>
          <w:szCs w:val="24"/>
        </w:rPr>
      </w:pPr>
    </w:p>
    <w:p w14:paraId="6D08455D" w14:textId="77777777" w:rsidR="00E9421C" w:rsidRPr="00997C23" w:rsidRDefault="00E9421C" w:rsidP="00E843C8">
      <w:pPr>
        <w:spacing w:after="0" w:line="360" w:lineRule="auto"/>
        <w:rPr>
          <w:rFonts w:ascii="Times New Roman" w:hAnsi="Times New Roman" w:cs="Times New Roman"/>
          <w:sz w:val="24"/>
          <w:szCs w:val="24"/>
        </w:rPr>
      </w:pPr>
    </w:p>
    <w:sdt>
      <w:sdtPr>
        <w:rPr>
          <w:rFonts w:ascii="Times New Roman" w:hAnsi="Times New Roman" w:cs="Times New Roman"/>
          <w:sz w:val="24"/>
          <w:szCs w:val="24"/>
        </w:rPr>
        <w:id w:val="1907876071"/>
        <w:docPartObj>
          <w:docPartGallery w:val="Table of Contents"/>
          <w:docPartUnique/>
        </w:docPartObj>
      </w:sdtPr>
      <w:sdtEndPr/>
      <w:sdtContent>
        <w:p w14:paraId="7159FDB0" w14:textId="77777777" w:rsidR="0003639A" w:rsidRPr="00E5705B" w:rsidRDefault="00B56AE7" w:rsidP="00E843C8">
          <w:pPr>
            <w:keepNext/>
            <w:keepLines/>
            <w:spacing w:after="0" w:line="360" w:lineRule="auto"/>
            <w:rPr>
              <w:rFonts w:ascii="Times New Roman" w:eastAsia="SimSun" w:hAnsi="Times New Roman" w:cs="Times New Roman"/>
              <w:b/>
              <w:bCs/>
              <w:sz w:val="24"/>
              <w:szCs w:val="24"/>
              <w:lang w:eastAsia="ja-JP"/>
            </w:rPr>
          </w:pPr>
          <w:r w:rsidRPr="00E5705B">
            <w:rPr>
              <w:rFonts w:ascii="Times New Roman" w:hAnsi="Times New Roman" w:cs="Times New Roman"/>
              <w:b/>
              <w:sz w:val="24"/>
              <w:szCs w:val="24"/>
            </w:rPr>
            <w:t>СЪДЪРЖАНИЕ</w:t>
          </w:r>
          <w:r w:rsidR="008A38E5" w:rsidRPr="00E5705B">
            <w:rPr>
              <w:rFonts w:ascii="Times New Roman" w:eastAsia="SimSun" w:hAnsi="Times New Roman" w:cs="Times New Roman"/>
              <w:b/>
              <w:bCs/>
              <w:sz w:val="24"/>
              <w:szCs w:val="24"/>
              <w:lang w:val="en-US" w:eastAsia="ja-JP"/>
            </w:rPr>
            <w:t xml:space="preserve"> </w:t>
          </w:r>
        </w:p>
        <w:p w14:paraId="24664159" w14:textId="77777777" w:rsidR="00DA4A1B" w:rsidRPr="00E5705B" w:rsidRDefault="00DA4A1B" w:rsidP="00E843C8">
          <w:pPr>
            <w:pStyle w:val="TOC1"/>
            <w:tabs>
              <w:tab w:val="right" w:leader="dot" w:pos="9062"/>
            </w:tabs>
            <w:spacing w:after="0" w:line="360" w:lineRule="auto"/>
            <w:rPr>
              <w:b/>
              <w:szCs w:val="24"/>
            </w:rPr>
          </w:pPr>
        </w:p>
        <w:p w14:paraId="01E5C947" w14:textId="77777777" w:rsidR="00F40A84" w:rsidRPr="00502390" w:rsidRDefault="0003639A">
          <w:pPr>
            <w:pStyle w:val="TOC1"/>
            <w:tabs>
              <w:tab w:val="right" w:leader="dot" w:pos="9061"/>
            </w:tabs>
            <w:rPr>
              <w:rFonts w:asciiTheme="minorHAnsi" w:eastAsiaTheme="minorEastAsia" w:hAnsiTheme="minorHAnsi" w:cstheme="minorBidi"/>
              <w:noProof/>
              <w:sz w:val="22"/>
              <w:lang w:val="bg-BG" w:eastAsia="bg-BG"/>
            </w:rPr>
          </w:pPr>
          <w:r w:rsidRPr="00E5705B">
            <w:rPr>
              <w:b/>
              <w:szCs w:val="24"/>
            </w:rPr>
            <w:fldChar w:fldCharType="begin"/>
          </w:r>
          <w:r w:rsidRPr="00E5705B">
            <w:rPr>
              <w:b/>
              <w:szCs w:val="24"/>
            </w:rPr>
            <w:instrText xml:space="preserve"> TOC \o "1-3" \h \z \u </w:instrText>
          </w:r>
          <w:r w:rsidRPr="00E5705B">
            <w:rPr>
              <w:b/>
              <w:szCs w:val="24"/>
            </w:rPr>
            <w:fldChar w:fldCharType="separate"/>
          </w:r>
          <w:hyperlink w:anchor="_Toc200721730" w:history="1">
            <w:r w:rsidR="00F40A84" w:rsidRPr="00502390">
              <w:rPr>
                <w:rStyle w:val="Hyperlink"/>
                <w:noProof/>
              </w:rPr>
              <w:t>ИЗПОЛЗВАНИ СЪКРАЩЕНИЯ И АКРОНИМИ</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_Toc200721730 \h </w:instrText>
            </w:r>
            <w:r w:rsidR="00F40A84" w:rsidRPr="00502390">
              <w:rPr>
                <w:noProof/>
                <w:webHidden/>
              </w:rPr>
            </w:r>
            <w:r w:rsidR="00F40A84" w:rsidRPr="00502390">
              <w:rPr>
                <w:noProof/>
                <w:webHidden/>
              </w:rPr>
              <w:fldChar w:fldCharType="separate"/>
            </w:r>
            <w:r w:rsidR="00B3267D">
              <w:rPr>
                <w:noProof/>
                <w:webHidden/>
              </w:rPr>
              <w:t>2</w:t>
            </w:r>
            <w:r w:rsidR="00F40A84" w:rsidRPr="00502390">
              <w:rPr>
                <w:noProof/>
                <w:webHidden/>
              </w:rPr>
              <w:fldChar w:fldCharType="end"/>
            </w:r>
          </w:hyperlink>
        </w:p>
        <w:p w14:paraId="67676961" w14:textId="77777777" w:rsidR="00F40A84" w:rsidRPr="00502390" w:rsidRDefault="004758B3">
          <w:pPr>
            <w:pStyle w:val="TOC1"/>
            <w:tabs>
              <w:tab w:val="right" w:leader="dot" w:pos="9061"/>
            </w:tabs>
            <w:rPr>
              <w:rFonts w:asciiTheme="minorHAnsi" w:eastAsiaTheme="minorEastAsia" w:hAnsiTheme="minorHAnsi" w:cstheme="minorBidi"/>
              <w:noProof/>
              <w:sz w:val="22"/>
              <w:lang w:val="bg-BG" w:eastAsia="bg-BG"/>
            </w:rPr>
          </w:pPr>
          <w:hyperlink w:anchor="_Toc200721731" w:history="1">
            <w:r w:rsidR="00F40A84" w:rsidRPr="00502390">
              <w:rPr>
                <w:rStyle w:val="Hyperlink"/>
                <w:noProof/>
              </w:rPr>
              <w:t>РЕЗЮМЕ</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_Toc200721731 \h </w:instrText>
            </w:r>
            <w:r w:rsidR="00F40A84" w:rsidRPr="00502390">
              <w:rPr>
                <w:noProof/>
                <w:webHidden/>
              </w:rPr>
            </w:r>
            <w:r w:rsidR="00F40A84" w:rsidRPr="00502390">
              <w:rPr>
                <w:noProof/>
                <w:webHidden/>
              </w:rPr>
              <w:fldChar w:fldCharType="separate"/>
            </w:r>
            <w:r w:rsidR="00B3267D">
              <w:rPr>
                <w:noProof/>
                <w:webHidden/>
              </w:rPr>
              <w:t>4</w:t>
            </w:r>
            <w:r w:rsidR="00F40A84" w:rsidRPr="00502390">
              <w:rPr>
                <w:noProof/>
                <w:webHidden/>
              </w:rPr>
              <w:fldChar w:fldCharType="end"/>
            </w:r>
          </w:hyperlink>
        </w:p>
        <w:p w14:paraId="05429E1D" w14:textId="77777777" w:rsidR="00F40A84" w:rsidRPr="00502390" w:rsidRDefault="004758B3">
          <w:pPr>
            <w:pStyle w:val="TOC1"/>
            <w:tabs>
              <w:tab w:val="right" w:leader="dot" w:pos="9061"/>
            </w:tabs>
            <w:rPr>
              <w:rFonts w:asciiTheme="minorHAnsi" w:eastAsiaTheme="minorEastAsia" w:hAnsiTheme="minorHAnsi" w:cstheme="minorBidi"/>
              <w:noProof/>
              <w:sz w:val="22"/>
              <w:lang w:val="bg-BG" w:eastAsia="bg-BG"/>
            </w:rPr>
          </w:pPr>
          <w:hyperlink w:anchor="_Toc200721732" w:history="1">
            <w:r w:rsidR="00F40A84" w:rsidRPr="00502390">
              <w:rPr>
                <w:rStyle w:val="Hyperlink"/>
                <w:noProof/>
              </w:rPr>
              <w:t>ВЪВЕДЕНИЕ</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_Toc200721732 \h </w:instrText>
            </w:r>
            <w:r w:rsidR="00F40A84" w:rsidRPr="00502390">
              <w:rPr>
                <w:noProof/>
                <w:webHidden/>
              </w:rPr>
            </w:r>
            <w:r w:rsidR="00F40A84" w:rsidRPr="00502390">
              <w:rPr>
                <w:noProof/>
                <w:webHidden/>
              </w:rPr>
              <w:fldChar w:fldCharType="separate"/>
            </w:r>
            <w:r w:rsidR="00B3267D">
              <w:rPr>
                <w:noProof/>
                <w:webHidden/>
              </w:rPr>
              <w:t>6</w:t>
            </w:r>
            <w:r w:rsidR="00F40A84" w:rsidRPr="00502390">
              <w:rPr>
                <w:noProof/>
                <w:webHidden/>
              </w:rPr>
              <w:fldChar w:fldCharType="end"/>
            </w:r>
          </w:hyperlink>
        </w:p>
        <w:p w14:paraId="67B869EB" w14:textId="77777777" w:rsidR="00F40A84" w:rsidRPr="00502390" w:rsidRDefault="004758B3">
          <w:pPr>
            <w:pStyle w:val="TOC1"/>
            <w:tabs>
              <w:tab w:val="right" w:leader="dot" w:pos="9061"/>
            </w:tabs>
            <w:rPr>
              <w:rFonts w:asciiTheme="minorHAnsi" w:eastAsiaTheme="minorEastAsia" w:hAnsiTheme="minorHAnsi" w:cstheme="minorBidi"/>
              <w:noProof/>
              <w:sz w:val="22"/>
              <w:lang w:val="bg-BG" w:eastAsia="bg-BG"/>
            </w:rPr>
          </w:pPr>
          <w:hyperlink w:anchor="_Toc200721733" w:history="1">
            <w:r w:rsidR="00F40A84" w:rsidRPr="00502390">
              <w:rPr>
                <w:rStyle w:val="Hyperlink"/>
                <w:rFonts w:eastAsia="Calibri"/>
                <w:noProof/>
                <w:lang w:eastAsia="bg-BG"/>
              </w:rPr>
              <w:t>АНАЛИЗ И ОЦЕНКА НА СИТУАЦИЯТА В СТРАНАТА СЪОБРАЗНО СТРАТЕГИЧЕСКИТЕ ЦЕЛИ НА ГЛОБАЛНИЯ И ЕВРОПЕЙСКИ ПЛАН ЗА ДЕЙСТВИЕ СРЕЩУ АМР И МЕРКИТЕ, КОИТО СЛЕДВА ДА БЪДАТ ПРЕДПРИЕТИ.</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_Toc200721733 \h </w:instrText>
            </w:r>
            <w:r w:rsidR="00F40A84" w:rsidRPr="00502390">
              <w:rPr>
                <w:noProof/>
                <w:webHidden/>
              </w:rPr>
            </w:r>
            <w:r w:rsidR="00F40A84" w:rsidRPr="00502390">
              <w:rPr>
                <w:noProof/>
                <w:webHidden/>
              </w:rPr>
              <w:fldChar w:fldCharType="separate"/>
            </w:r>
            <w:r w:rsidR="00B3267D">
              <w:rPr>
                <w:noProof/>
                <w:webHidden/>
              </w:rPr>
              <w:t>10</w:t>
            </w:r>
            <w:r w:rsidR="00F40A84" w:rsidRPr="00502390">
              <w:rPr>
                <w:noProof/>
                <w:webHidden/>
              </w:rPr>
              <w:fldChar w:fldCharType="end"/>
            </w:r>
          </w:hyperlink>
        </w:p>
        <w:p w14:paraId="28C43CBB" w14:textId="77777777" w:rsidR="00F40A84" w:rsidRPr="00502390" w:rsidRDefault="004758B3" w:rsidP="0082372A">
          <w:pPr>
            <w:pStyle w:val="TOC2"/>
            <w:rPr>
              <w:rFonts w:asciiTheme="minorHAnsi" w:eastAsiaTheme="minorEastAsia" w:hAnsiTheme="minorHAnsi"/>
              <w:noProof/>
              <w:sz w:val="22"/>
              <w:lang w:eastAsia="bg-BG"/>
            </w:rPr>
          </w:pPr>
          <w:hyperlink w:anchor="_Toc200721734" w:history="1">
            <w:r w:rsidR="00F40A84" w:rsidRPr="00502390">
              <w:rPr>
                <w:rStyle w:val="Hyperlink"/>
                <w:noProof/>
              </w:rPr>
              <w:t>КРАТКА ИСТОРИЧЕСКА СПРАВКА.</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_Toc200721734 \h </w:instrText>
            </w:r>
            <w:r w:rsidR="00F40A84" w:rsidRPr="00502390">
              <w:rPr>
                <w:noProof/>
                <w:webHidden/>
              </w:rPr>
            </w:r>
            <w:r w:rsidR="00F40A84" w:rsidRPr="00502390">
              <w:rPr>
                <w:noProof/>
                <w:webHidden/>
              </w:rPr>
              <w:fldChar w:fldCharType="separate"/>
            </w:r>
            <w:r w:rsidR="00B3267D">
              <w:rPr>
                <w:noProof/>
                <w:webHidden/>
              </w:rPr>
              <w:t>10</w:t>
            </w:r>
            <w:r w:rsidR="00F40A84" w:rsidRPr="00502390">
              <w:rPr>
                <w:noProof/>
                <w:webHidden/>
              </w:rPr>
              <w:fldChar w:fldCharType="end"/>
            </w:r>
          </w:hyperlink>
        </w:p>
        <w:p w14:paraId="0B5A9C0B" w14:textId="77777777" w:rsidR="00F40A84" w:rsidRPr="00502390" w:rsidRDefault="004758B3" w:rsidP="0082372A">
          <w:pPr>
            <w:pStyle w:val="TOC2"/>
            <w:rPr>
              <w:rFonts w:asciiTheme="minorHAnsi" w:eastAsiaTheme="minorEastAsia" w:hAnsiTheme="minorHAnsi"/>
              <w:noProof/>
              <w:sz w:val="22"/>
              <w:lang w:eastAsia="bg-BG"/>
            </w:rPr>
          </w:pPr>
          <w:hyperlink w:anchor="_Toc200721735" w:history="1">
            <w:r w:rsidR="00F40A84" w:rsidRPr="00502390">
              <w:rPr>
                <w:rStyle w:val="Hyperlink"/>
                <w:rFonts w:eastAsiaTheme="majorEastAsia"/>
                <w:noProof/>
                <w:lang w:eastAsia="bg-BG"/>
              </w:rPr>
              <w:t>ОСНОВНА ЦЕЛ 1.</w:t>
            </w:r>
            <w:r w:rsidR="00F40A84" w:rsidRPr="00502390">
              <w:rPr>
                <w:rStyle w:val="Hyperlink"/>
                <w:noProof/>
              </w:rPr>
              <w:t xml:space="preserve"> Повишаване на обществената и професионална осведоменост и знания за рисковете от развитие на АМР чрез ефективна комуникация, образование и обучение.</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_Toc200721735 \h </w:instrText>
            </w:r>
            <w:r w:rsidR="00F40A84" w:rsidRPr="00502390">
              <w:rPr>
                <w:noProof/>
                <w:webHidden/>
              </w:rPr>
            </w:r>
            <w:r w:rsidR="00F40A84" w:rsidRPr="00502390">
              <w:rPr>
                <w:noProof/>
                <w:webHidden/>
              </w:rPr>
              <w:fldChar w:fldCharType="separate"/>
            </w:r>
            <w:r w:rsidR="00B3267D">
              <w:rPr>
                <w:noProof/>
                <w:webHidden/>
              </w:rPr>
              <w:t>11</w:t>
            </w:r>
            <w:r w:rsidR="00F40A84" w:rsidRPr="00502390">
              <w:rPr>
                <w:noProof/>
                <w:webHidden/>
              </w:rPr>
              <w:fldChar w:fldCharType="end"/>
            </w:r>
          </w:hyperlink>
        </w:p>
        <w:p w14:paraId="2E20F7C3" w14:textId="77777777" w:rsidR="00F40A84" w:rsidRPr="00502390" w:rsidRDefault="004758B3" w:rsidP="0082372A">
          <w:pPr>
            <w:pStyle w:val="TOC2"/>
            <w:rPr>
              <w:rFonts w:asciiTheme="minorHAnsi" w:eastAsiaTheme="minorEastAsia" w:hAnsiTheme="minorHAnsi"/>
              <w:noProof/>
              <w:sz w:val="22"/>
              <w:lang w:eastAsia="bg-BG"/>
            </w:rPr>
          </w:pPr>
          <w:hyperlink w:anchor="_Toc200721736" w:history="1">
            <w:r w:rsidR="00F40A84" w:rsidRPr="00502390">
              <w:rPr>
                <w:rStyle w:val="Hyperlink"/>
                <w:rFonts w:eastAsiaTheme="majorEastAsia"/>
                <w:noProof/>
                <w:lang w:eastAsia="bg-BG"/>
              </w:rPr>
              <w:t>ОСНОВНА ЦЕЛ 2. Повишаване и укрепване на базата от данни, знания и доказателства за АМР в страната, получени чрез наблюдение и изследване.</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_Toc200721736 \h </w:instrText>
            </w:r>
            <w:r w:rsidR="00F40A84" w:rsidRPr="00502390">
              <w:rPr>
                <w:noProof/>
                <w:webHidden/>
              </w:rPr>
            </w:r>
            <w:r w:rsidR="00F40A84" w:rsidRPr="00502390">
              <w:rPr>
                <w:noProof/>
                <w:webHidden/>
              </w:rPr>
              <w:fldChar w:fldCharType="separate"/>
            </w:r>
            <w:r w:rsidR="00B3267D">
              <w:rPr>
                <w:noProof/>
                <w:webHidden/>
              </w:rPr>
              <w:t>12</w:t>
            </w:r>
            <w:r w:rsidR="00F40A84" w:rsidRPr="00502390">
              <w:rPr>
                <w:noProof/>
                <w:webHidden/>
              </w:rPr>
              <w:fldChar w:fldCharType="end"/>
            </w:r>
          </w:hyperlink>
        </w:p>
        <w:p w14:paraId="41CDBC4C" w14:textId="77777777" w:rsidR="00F40A84" w:rsidRPr="00502390" w:rsidRDefault="004758B3" w:rsidP="0082372A">
          <w:pPr>
            <w:pStyle w:val="TOC2"/>
            <w:rPr>
              <w:rFonts w:asciiTheme="minorHAnsi" w:eastAsiaTheme="minorEastAsia" w:hAnsiTheme="minorHAnsi"/>
              <w:noProof/>
              <w:sz w:val="22"/>
              <w:lang w:eastAsia="bg-BG"/>
            </w:rPr>
          </w:pPr>
          <w:hyperlink w:anchor="_Toc200721737" w:history="1">
            <w:r w:rsidR="00F40A84" w:rsidRPr="00502390">
              <w:rPr>
                <w:rStyle w:val="Hyperlink"/>
                <w:rFonts w:eastAsiaTheme="majorEastAsia"/>
                <w:noProof/>
                <w:lang w:eastAsia="bg-BG"/>
              </w:rPr>
              <w:t>ОСНОВНА ЦЕЛ 3. Засилване на мерките по контрола и превенцията на инфекциите и намаляване на случаите на инфекции чрез превантивни действия, добри хигиенни практики и ефективни противоепидемични мерки.</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_Toc200721737 \h </w:instrText>
            </w:r>
            <w:r w:rsidR="00F40A84" w:rsidRPr="00502390">
              <w:rPr>
                <w:noProof/>
                <w:webHidden/>
              </w:rPr>
            </w:r>
            <w:r w:rsidR="00F40A84" w:rsidRPr="00502390">
              <w:rPr>
                <w:noProof/>
                <w:webHidden/>
              </w:rPr>
              <w:fldChar w:fldCharType="separate"/>
            </w:r>
            <w:r w:rsidR="00B3267D">
              <w:rPr>
                <w:noProof/>
                <w:webHidden/>
              </w:rPr>
              <w:t>18</w:t>
            </w:r>
            <w:r w:rsidR="00F40A84" w:rsidRPr="00502390">
              <w:rPr>
                <w:noProof/>
                <w:webHidden/>
              </w:rPr>
              <w:fldChar w:fldCharType="end"/>
            </w:r>
          </w:hyperlink>
        </w:p>
        <w:p w14:paraId="0CBD7BE4" w14:textId="77777777" w:rsidR="00F40A84" w:rsidRPr="00502390" w:rsidRDefault="004758B3" w:rsidP="0082372A">
          <w:pPr>
            <w:pStyle w:val="TOC2"/>
            <w:rPr>
              <w:rFonts w:asciiTheme="minorHAnsi" w:eastAsiaTheme="minorEastAsia" w:hAnsiTheme="minorHAnsi"/>
              <w:noProof/>
              <w:sz w:val="22"/>
              <w:lang w:eastAsia="bg-BG"/>
            </w:rPr>
          </w:pPr>
          <w:hyperlink w:anchor="_Toc200721738" w:history="1">
            <w:r w:rsidR="00F40A84" w:rsidRPr="00502390">
              <w:rPr>
                <w:rStyle w:val="Hyperlink"/>
                <w:rFonts w:eastAsiaTheme="majorEastAsia"/>
                <w:noProof/>
                <w:lang w:eastAsia="bg-BG"/>
              </w:rPr>
              <w:t>ОСНОВНА ЦЕЛ 4. Оптимизиране прилагането на антибиотици при хора и животни</w:t>
            </w:r>
            <w:r w:rsidR="0082372A">
              <w:rPr>
                <w:rStyle w:val="Hyperlink"/>
                <w:rFonts w:eastAsiaTheme="majorEastAsia"/>
                <w:noProof/>
                <w:lang w:eastAsia="bg-BG"/>
              </w:rPr>
              <w:t>..</w:t>
            </w:r>
            <w:r w:rsidR="0082372A">
              <w:rPr>
                <w:rStyle w:val="Hyperlink"/>
                <w:rFonts w:eastAsiaTheme="majorEastAsia"/>
                <w:noProof/>
                <w:lang w:val="en-US" w:eastAsia="bg-BG"/>
              </w:rPr>
              <w:t xml:space="preserve"> </w:t>
            </w:r>
            <w:r w:rsidR="00F40A84" w:rsidRPr="00502390">
              <w:rPr>
                <w:noProof/>
                <w:webHidden/>
              </w:rPr>
              <w:fldChar w:fldCharType="begin"/>
            </w:r>
            <w:r w:rsidR="00F40A84" w:rsidRPr="00502390">
              <w:rPr>
                <w:noProof/>
                <w:webHidden/>
              </w:rPr>
              <w:instrText xml:space="preserve"> PAGEREF _Toc200721738 \h </w:instrText>
            </w:r>
            <w:r w:rsidR="00F40A84" w:rsidRPr="00502390">
              <w:rPr>
                <w:noProof/>
                <w:webHidden/>
              </w:rPr>
            </w:r>
            <w:r w:rsidR="00F40A84" w:rsidRPr="00502390">
              <w:rPr>
                <w:noProof/>
                <w:webHidden/>
              </w:rPr>
              <w:fldChar w:fldCharType="separate"/>
            </w:r>
            <w:r w:rsidR="00B3267D">
              <w:rPr>
                <w:noProof/>
                <w:webHidden/>
              </w:rPr>
              <w:t>20</w:t>
            </w:r>
            <w:r w:rsidR="00F40A84" w:rsidRPr="00502390">
              <w:rPr>
                <w:noProof/>
                <w:webHidden/>
              </w:rPr>
              <w:fldChar w:fldCharType="end"/>
            </w:r>
          </w:hyperlink>
        </w:p>
        <w:p w14:paraId="5C4689DB" w14:textId="77777777" w:rsidR="00F40A84" w:rsidRPr="00502390" w:rsidRDefault="004758B3" w:rsidP="0082372A">
          <w:pPr>
            <w:pStyle w:val="TOC2"/>
            <w:rPr>
              <w:rFonts w:asciiTheme="minorHAnsi" w:eastAsiaTheme="minorEastAsia" w:hAnsiTheme="minorHAnsi"/>
              <w:noProof/>
              <w:sz w:val="22"/>
              <w:lang w:eastAsia="bg-BG"/>
            </w:rPr>
          </w:pPr>
          <w:hyperlink w:anchor="_Toc200721739" w:history="1">
            <w:r w:rsidR="00F40A84" w:rsidRPr="00502390">
              <w:rPr>
                <w:rStyle w:val="Hyperlink"/>
                <w:rFonts w:eastAsiaTheme="majorEastAsia"/>
                <w:noProof/>
                <w:lang w:eastAsia="bg-BG"/>
              </w:rPr>
              <w:t>ОСНОВНА ЦЕЛ 5. Осигуряване на ефективно управление и координация, мониторинг и оценка на Националната Програма за действие срещу АМР</w:t>
            </w:r>
            <w:r w:rsidR="0082372A">
              <w:rPr>
                <w:rStyle w:val="Hyperlink"/>
                <w:rFonts w:eastAsiaTheme="majorEastAsia"/>
                <w:noProof/>
                <w:lang w:eastAsia="bg-BG"/>
              </w:rPr>
              <w:t>…………………………</w:t>
            </w:r>
            <w:r w:rsidR="00AE490C">
              <w:rPr>
                <w:rStyle w:val="Hyperlink"/>
                <w:rFonts w:eastAsiaTheme="majorEastAsia"/>
                <w:noProof/>
                <w:lang w:eastAsia="bg-BG"/>
              </w:rPr>
              <w:t>…</w:t>
            </w:r>
            <w:r w:rsidR="0082372A">
              <w:rPr>
                <w:rStyle w:val="Hyperlink"/>
                <w:rFonts w:eastAsiaTheme="majorEastAsia"/>
                <w:noProof/>
                <w:lang w:eastAsia="bg-BG"/>
              </w:rPr>
              <w:t>..</w:t>
            </w:r>
            <w:r w:rsidR="00F40A84" w:rsidRPr="00502390">
              <w:rPr>
                <w:noProof/>
                <w:webHidden/>
              </w:rPr>
              <w:fldChar w:fldCharType="begin"/>
            </w:r>
            <w:r w:rsidR="00F40A84" w:rsidRPr="00502390">
              <w:rPr>
                <w:noProof/>
                <w:webHidden/>
              </w:rPr>
              <w:instrText xml:space="preserve"> PAGEREF _Toc200721739 \h </w:instrText>
            </w:r>
            <w:r w:rsidR="00F40A84" w:rsidRPr="00502390">
              <w:rPr>
                <w:noProof/>
                <w:webHidden/>
              </w:rPr>
            </w:r>
            <w:r w:rsidR="00F40A84" w:rsidRPr="00502390">
              <w:rPr>
                <w:noProof/>
                <w:webHidden/>
              </w:rPr>
              <w:fldChar w:fldCharType="separate"/>
            </w:r>
            <w:r w:rsidR="00B3267D">
              <w:rPr>
                <w:noProof/>
                <w:webHidden/>
              </w:rPr>
              <w:t>29</w:t>
            </w:r>
            <w:r w:rsidR="00F40A84" w:rsidRPr="00502390">
              <w:rPr>
                <w:noProof/>
                <w:webHidden/>
              </w:rPr>
              <w:fldChar w:fldCharType="end"/>
            </w:r>
          </w:hyperlink>
        </w:p>
        <w:p w14:paraId="192380F6" w14:textId="77777777" w:rsidR="00F40A84" w:rsidRPr="00502390" w:rsidRDefault="004758B3" w:rsidP="0082372A">
          <w:pPr>
            <w:pStyle w:val="TOC2"/>
            <w:rPr>
              <w:rFonts w:asciiTheme="minorHAnsi" w:eastAsiaTheme="minorEastAsia" w:hAnsiTheme="minorHAnsi"/>
              <w:noProof/>
              <w:sz w:val="22"/>
              <w:lang w:eastAsia="bg-BG"/>
            </w:rPr>
          </w:pPr>
          <w:hyperlink w:anchor="_Toc200721740" w:history="1">
            <w:r w:rsidR="00F40A84" w:rsidRPr="00502390">
              <w:rPr>
                <w:rStyle w:val="Hyperlink"/>
                <w:rFonts w:eastAsiaTheme="majorEastAsia"/>
                <w:noProof/>
                <w:lang w:eastAsia="bg-BG"/>
              </w:rPr>
              <w:t>РАБОТНА ПРОГРАМА</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_Toc200721740 \h </w:instrText>
            </w:r>
            <w:r w:rsidR="00F40A84" w:rsidRPr="00502390">
              <w:rPr>
                <w:noProof/>
                <w:webHidden/>
              </w:rPr>
            </w:r>
            <w:r w:rsidR="00F40A84" w:rsidRPr="00502390">
              <w:rPr>
                <w:noProof/>
                <w:webHidden/>
              </w:rPr>
              <w:fldChar w:fldCharType="separate"/>
            </w:r>
            <w:r w:rsidR="00B3267D">
              <w:rPr>
                <w:noProof/>
                <w:webHidden/>
              </w:rPr>
              <w:t>31</w:t>
            </w:r>
            <w:r w:rsidR="00F40A84" w:rsidRPr="00502390">
              <w:rPr>
                <w:noProof/>
                <w:webHidden/>
              </w:rPr>
              <w:fldChar w:fldCharType="end"/>
            </w:r>
          </w:hyperlink>
        </w:p>
        <w:p w14:paraId="02170E26" w14:textId="77777777" w:rsidR="00F40A84" w:rsidRPr="00502390" w:rsidRDefault="004758B3" w:rsidP="0082372A">
          <w:pPr>
            <w:pStyle w:val="TOC2"/>
            <w:rPr>
              <w:rFonts w:asciiTheme="minorHAnsi" w:eastAsiaTheme="minorEastAsia" w:hAnsiTheme="minorHAnsi"/>
              <w:noProof/>
              <w:sz w:val="22"/>
              <w:lang w:eastAsia="bg-BG"/>
            </w:rPr>
          </w:pPr>
          <w:hyperlink w:anchor="_Toc200721741" w:history="1">
            <w:r w:rsidR="00F40A84" w:rsidRPr="00502390">
              <w:rPr>
                <w:rStyle w:val="Hyperlink"/>
                <w:rFonts w:eastAsiaTheme="majorEastAsia"/>
                <w:noProof/>
                <w:lang w:eastAsia="bg-BG"/>
              </w:rPr>
              <w:t>ФИНАНСОВ ПЛАН</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_Toc200721741 \h </w:instrText>
            </w:r>
            <w:r w:rsidR="00F40A84" w:rsidRPr="00502390">
              <w:rPr>
                <w:noProof/>
                <w:webHidden/>
              </w:rPr>
            </w:r>
            <w:r w:rsidR="00F40A84" w:rsidRPr="00502390">
              <w:rPr>
                <w:noProof/>
                <w:webHidden/>
              </w:rPr>
              <w:fldChar w:fldCharType="separate"/>
            </w:r>
            <w:r w:rsidR="00B3267D">
              <w:rPr>
                <w:noProof/>
                <w:webHidden/>
              </w:rPr>
              <w:t>45</w:t>
            </w:r>
            <w:r w:rsidR="00F40A84" w:rsidRPr="00502390">
              <w:rPr>
                <w:noProof/>
                <w:webHidden/>
              </w:rPr>
              <w:fldChar w:fldCharType="end"/>
            </w:r>
          </w:hyperlink>
        </w:p>
        <w:p w14:paraId="498684CC" w14:textId="77777777" w:rsidR="00F40A84" w:rsidRPr="00E5705B" w:rsidRDefault="004758B3" w:rsidP="0082372A">
          <w:pPr>
            <w:pStyle w:val="TOC2"/>
            <w:rPr>
              <w:rFonts w:asciiTheme="minorHAnsi" w:eastAsiaTheme="minorEastAsia" w:hAnsiTheme="minorHAnsi"/>
              <w:b/>
              <w:noProof/>
              <w:sz w:val="22"/>
              <w:lang w:eastAsia="bg-BG"/>
            </w:rPr>
          </w:pPr>
          <w:hyperlink w:anchor="_Toc200721742" w:history="1">
            <w:r w:rsidR="00F40A84" w:rsidRPr="00502390">
              <w:rPr>
                <w:rStyle w:val="Hyperlink"/>
                <w:noProof/>
              </w:rPr>
              <w:t>ИЗПОЛЗВАНА ЛИТЕРАТУРА</w:t>
            </w:r>
            <w:r w:rsidR="00F40A84" w:rsidRPr="00502390">
              <w:rPr>
                <w:noProof/>
                <w:webHidden/>
              </w:rPr>
              <w:tab/>
            </w:r>
            <w:r w:rsidR="00F40A84" w:rsidRPr="00502390">
              <w:rPr>
                <w:noProof/>
                <w:webHidden/>
              </w:rPr>
              <w:fldChar w:fldCharType="begin"/>
            </w:r>
            <w:r w:rsidR="00F40A84" w:rsidRPr="00502390">
              <w:rPr>
                <w:noProof/>
                <w:webHidden/>
              </w:rPr>
              <w:instrText xml:space="preserve"> PAGEREF _Toc200721742 \h </w:instrText>
            </w:r>
            <w:r w:rsidR="00F40A84" w:rsidRPr="00502390">
              <w:rPr>
                <w:noProof/>
                <w:webHidden/>
              </w:rPr>
            </w:r>
            <w:r w:rsidR="00F40A84" w:rsidRPr="00502390">
              <w:rPr>
                <w:noProof/>
                <w:webHidden/>
              </w:rPr>
              <w:fldChar w:fldCharType="separate"/>
            </w:r>
            <w:r w:rsidR="00B3267D">
              <w:rPr>
                <w:noProof/>
                <w:webHidden/>
              </w:rPr>
              <w:t>55</w:t>
            </w:r>
            <w:r w:rsidR="00F40A84" w:rsidRPr="00502390">
              <w:rPr>
                <w:noProof/>
                <w:webHidden/>
              </w:rPr>
              <w:fldChar w:fldCharType="end"/>
            </w:r>
          </w:hyperlink>
        </w:p>
        <w:p w14:paraId="48A15A68" w14:textId="77777777" w:rsidR="00E9421C" w:rsidRDefault="0003639A" w:rsidP="00E9421C">
          <w:pPr>
            <w:spacing w:after="0" w:line="360" w:lineRule="auto"/>
            <w:rPr>
              <w:rFonts w:ascii="Times New Roman" w:hAnsi="Times New Roman" w:cs="Times New Roman"/>
              <w:b/>
              <w:sz w:val="24"/>
              <w:szCs w:val="24"/>
            </w:rPr>
          </w:pPr>
          <w:r w:rsidRPr="00E5705B">
            <w:rPr>
              <w:rFonts w:ascii="Times New Roman" w:hAnsi="Times New Roman" w:cs="Times New Roman"/>
              <w:b/>
              <w:sz w:val="24"/>
              <w:szCs w:val="24"/>
            </w:rPr>
            <w:fldChar w:fldCharType="end"/>
          </w:r>
        </w:p>
        <w:p w14:paraId="71161F85" w14:textId="77777777" w:rsidR="00E9421C" w:rsidRDefault="00E9421C" w:rsidP="00E9421C">
          <w:pPr>
            <w:spacing w:after="0" w:line="360" w:lineRule="auto"/>
            <w:rPr>
              <w:rFonts w:ascii="Times New Roman" w:hAnsi="Times New Roman" w:cs="Times New Roman"/>
              <w:b/>
              <w:sz w:val="24"/>
              <w:szCs w:val="24"/>
            </w:rPr>
          </w:pPr>
        </w:p>
        <w:p w14:paraId="78C4260D" w14:textId="77777777" w:rsidR="00E9421C" w:rsidRDefault="00E9421C" w:rsidP="00E9421C">
          <w:pPr>
            <w:spacing w:after="0" w:line="360" w:lineRule="auto"/>
            <w:rPr>
              <w:rFonts w:ascii="Times New Roman" w:hAnsi="Times New Roman" w:cs="Times New Roman"/>
              <w:b/>
              <w:sz w:val="24"/>
              <w:szCs w:val="24"/>
            </w:rPr>
          </w:pPr>
        </w:p>
        <w:p w14:paraId="17F4C0EE" w14:textId="77777777" w:rsidR="00E9421C" w:rsidRDefault="00E9421C" w:rsidP="00E9421C">
          <w:pPr>
            <w:spacing w:after="0" w:line="360" w:lineRule="auto"/>
            <w:rPr>
              <w:rFonts w:ascii="Times New Roman" w:hAnsi="Times New Roman" w:cs="Times New Roman"/>
              <w:b/>
              <w:sz w:val="24"/>
              <w:szCs w:val="24"/>
            </w:rPr>
          </w:pPr>
        </w:p>
        <w:p w14:paraId="239A15D9" w14:textId="77777777" w:rsidR="00F40A84" w:rsidRDefault="00F40A84" w:rsidP="00E9421C">
          <w:pPr>
            <w:spacing w:after="0" w:line="360" w:lineRule="auto"/>
            <w:rPr>
              <w:rFonts w:ascii="Times New Roman" w:hAnsi="Times New Roman" w:cs="Times New Roman"/>
              <w:sz w:val="24"/>
              <w:szCs w:val="24"/>
            </w:rPr>
          </w:pPr>
        </w:p>
        <w:p w14:paraId="6944DFD3" w14:textId="77777777" w:rsidR="00E9421C" w:rsidRPr="00E9421C" w:rsidRDefault="004758B3" w:rsidP="00E9421C">
          <w:pPr>
            <w:spacing w:after="0" w:line="360" w:lineRule="auto"/>
            <w:rPr>
              <w:rFonts w:ascii="Times New Roman" w:hAnsi="Times New Roman" w:cs="Times New Roman"/>
              <w:sz w:val="24"/>
              <w:szCs w:val="24"/>
            </w:rPr>
          </w:pPr>
        </w:p>
      </w:sdtContent>
    </w:sdt>
    <w:p w14:paraId="124B921F" w14:textId="77777777" w:rsidR="00A02220" w:rsidRPr="003967C6" w:rsidRDefault="009947B3" w:rsidP="00E63DA6">
      <w:pPr>
        <w:pStyle w:val="Heading1"/>
        <w:spacing w:before="0" w:line="360" w:lineRule="auto"/>
        <w:rPr>
          <w:rFonts w:ascii="Times New Roman" w:hAnsi="Times New Roman" w:cs="Times New Roman"/>
          <w:b/>
          <w:color w:val="auto"/>
          <w:sz w:val="24"/>
          <w:szCs w:val="24"/>
          <w:lang w:val="en-US"/>
        </w:rPr>
      </w:pPr>
      <w:bookmarkStart w:id="0" w:name="_Toc200721730"/>
      <w:r w:rsidRPr="003967C6">
        <w:rPr>
          <w:rFonts w:ascii="Times New Roman" w:hAnsi="Times New Roman" w:cs="Times New Roman"/>
          <w:b/>
          <w:color w:val="auto"/>
          <w:sz w:val="24"/>
          <w:szCs w:val="24"/>
        </w:rPr>
        <w:lastRenderedPageBreak/>
        <w:t>ИЗПОЛЗВАНИ СЪКРАЩЕНИЯ И АКРОНИМИ</w:t>
      </w:r>
      <w:bookmarkEnd w:id="0"/>
    </w:p>
    <w:p w14:paraId="78317B63" w14:textId="77777777" w:rsidR="00D73E7E" w:rsidRPr="00997C23" w:rsidRDefault="00D73E7E" w:rsidP="00E63DA6">
      <w:pPr>
        <w:spacing w:after="0" w:line="360" w:lineRule="auto"/>
        <w:rPr>
          <w:rFonts w:ascii="Times New Roman" w:hAnsi="Times New Roman" w:cs="Times New Roman"/>
          <w:i/>
          <w:sz w:val="24"/>
          <w:szCs w:val="24"/>
          <w:lang w:val="en-US"/>
        </w:rPr>
      </w:pPr>
    </w:p>
    <w:tbl>
      <w:tblPr>
        <w:tblW w:w="9526" w:type="dxa"/>
        <w:tblLook w:val="04A0" w:firstRow="1" w:lastRow="0" w:firstColumn="1" w:lastColumn="0" w:noHBand="0" w:noVBand="1"/>
      </w:tblPr>
      <w:tblGrid>
        <w:gridCol w:w="2049"/>
        <w:gridCol w:w="7477"/>
      </w:tblGrid>
      <w:tr w:rsidR="00A13346" w:rsidRPr="00997C23" w14:paraId="0FC57667" w14:textId="77777777" w:rsidTr="008E612B">
        <w:tc>
          <w:tcPr>
            <w:tcW w:w="2049" w:type="dxa"/>
          </w:tcPr>
          <w:p w14:paraId="1D5773C9" w14:textId="77777777" w:rsidR="00A13346" w:rsidRDefault="00A13346" w:rsidP="00E63DA6">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АМР</w:t>
            </w:r>
          </w:p>
          <w:p w14:paraId="3F01B25F" w14:textId="77777777" w:rsidR="004227CC" w:rsidRPr="00997C23" w:rsidRDefault="004227CC" w:rsidP="00E63DA6">
            <w:pPr>
              <w:spacing w:after="0" w:line="360" w:lineRule="auto"/>
              <w:rPr>
                <w:rFonts w:ascii="Times New Roman" w:hAnsi="Times New Roman" w:cs="Times New Roman"/>
                <w:sz w:val="24"/>
                <w:szCs w:val="24"/>
              </w:rPr>
            </w:pPr>
            <w:r>
              <w:rPr>
                <w:rFonts w:ascii="Times New Roman" w:hAnsi="Times New Roman" w:cs="Times New Roman"/>
                <w:sz w:val="24"/>
                <w:szCs w:val="24"/>
              </w:rPr>
              <w:t>АХ</w:t>
            </w:r>
          </w:p>
        </w:tc>
        <w:tc>
          <w:tcPr>
            <w:tcW w:w="7477" w:type="dxa"/>
          </w:tcPr>
          <w:p w14:paraId="3F24C3DF" w14:textId="77777777" w:rsidR="00A13346" w:rsidRDefault="00A13346" w:rsidP="00E63DA6">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Антимикробна резистентност</w:t>
            </w:r>
          </w:p>
          <w:p w14:paraId="007B284B" w14:textId="77777777" w:rsidR="004227CC" w:rsidRPr="00997C23" w:rsidRDefault="004227CC" w:rsidP="00E63DA6">
            <w:pPr>
              <w:spacing w:after="0" w:line="360" w:lineRule="auto"/>
              <w:rPr>
                <w:rFonts w:ascii="Times New Roman" w:hAnsi="Times New Roman" w:cs="Times New Roman"/>
                <w:sz w:val="24"/>
                <w:szCs w:val="24"/>
              </w:rPr>
            </w:pPr>
            <w:r>
              <w:rPr>
                <w:rFonts w:ascii="Times New Roman" w:hAnsi="Times New Roman" w:cs="Times New Roman"/>
                <w:sz w:val="24"/>
                <w:szCs w:val="24"/>
              </w:rPr>
              <w:t>Антимикробна химиотерапия</w:t>
            </w:r>
          </w:p>
        </w:tc>
      </w:tr>
      <w:tr w:rsidR="00846694" w:rsidRPr="00997C23" w14:paraId="334FA514" w14:textId="77777777" w:rsidTr="008E612B">
        <w:tc>
          <w:tcPr>
            <w:tcW w:w="2049" w:type="dxa"/>
          </w:tcPr>
          <w:p w14:paraId="255C06E4" w14:textId="77777777" w:rsidR="00846694" w:rsidRPr="00997C23" w:rsidRDefault="00846694" w:rsidP="00846694">
            <w:pPr>
              <w:spacing w:after="0" w:line="360" w:lineRule="auto"/>
              <w:rPr>
                <w:rFonts w:ascii="Times New Roman" w:hAnsi="Times New Roman" w:cs="Times New Roman"/>
                <w:sz w:val="24"/>
                <w:szCs w:val="24"/>
              </w:rPr>
            </w:pPr>
            <w:r>
              <w:rPr>
                <w:rFonts w:ascii="Times New Roman" w:hAnsi="Times New Roman" w:cs="Times New Roman"/>
                <w:sz w:val="24"/>
                <w:szCs w:val="24"/>
              </w:rPr>
              <w:t>БАБХ</w:t>
            </w:r>
          </w:p>
        </w:tc>
        <w:tc>
          <w:tcPr>
            <w:tcW w:w="7477" w:type="dxa"/>
          </w:tcPr>
          <w:p w14:paraId="56812405" w14:textId="77777777" w:rsidR="00846694" w:rsidRPr="00997C23" w:rsidRDefault="00846694" w:rsidP="00846694">
            <w:pPr>
              <w:spacing w:after="0" w:line="360" w:lineRule="auto"/>
              <w:rPr>
                <w:rFonts w:ascii="Times New Roman" w:hAnsi="Times New Roman" w:cs="Times New Roman"/>
                <w:sz w:val="24"/>
                <w:szCs w:val="24"/>
              </w:rPr>
            </w:pPr>
            <w:r w:rsidRPr="00BF26C8">
              <w:rPr>
                <w:rStyle w:val="acopre1"/>
                <w:rFonts w:ascii="Times New Roman" w:hAnsi="Times New Roman" w:cs="Times New Roman"/>
                <w:bCs/>
                <w:sz w:val="24"/>
                <w:szCs w:val="24"/>
              </w:rPr>
              <w:t>Българска агенция по безопасност на храните</w:t>
            </w:r>
          </w:p>
        </w:tc>
      </w:tr>
      <w:tr w:rsidR="00846694" w:rsidRPr="00997C23" w14:paraId="1560359D" w14:textId="77777777" w:rsidTr="008E612B">
        <w:tc>
          <w:tcPr>
            <w:tcW w:w="2049" w:type="dxa"/>
          </w:tcPr>
          <w:p w14:paraId="117CB68D" w14:textId="77777777" w:rsidR="00846694" w:rsidRPr="00997C23" w:rsidRDefault="00846694" w:rsidP="00846694">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БАМ</w:t>
            </w:r>
          </w:p>
        </w:tc>
        <w:tc>
          <w:tcPr>
            <w:tcW w:w="7477" w:type="dxa"/>
          </w:tcPr>
          <w:p w14:paraId="7874013B" w14:textId="77777777" w:rsidR="00846694" w:rsidRPr="00997C23" w:rsidRDefault="00846694" w:rsidP="00846694">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Българска асоциация на микробиолозите</w:t>
            </w:r>
          </w:p>
        </w:tc>
      </w:tr>
      <w:tr w:rsidR="004227CC" w:rsidRPr="00997C23" w14:paraId="1B66AD6C" w14:textId="77777777" w:rsidTr="008E612B">
        <w:tc>
          <w:tcPr>
            <w:tcW w:w="2049" w:type="dxa"/>
          </w:tcPr>
          <w:p w14:paraId="26F58135" w14:textId="77777777" w:rsidR="004227CC" w:rsidRPr="00997C23" w:rsidRDefault="004227CC" w:rsidP="00846694">
            <w:pPr>
              <w:spacing w:after="0" w:line="360" w:lineRule="auto"/>
              <w:rPr>
                <w:rFonts w:ascii="Times New Roman" w:hAnsi="Times New Roman" w:cs="Times New Roman"/>
                <w:sz w:val="24"/>
                <w:szCs w:val="24"/>
              </w:rPr>
            </w:pPr>
            <w:r>
              <w:rPr>
                <w:rFonts w:ascii="Times New Roman" w:hAnsi="Times New Roman" w:cs="Times New Roman"/>
                <w:sz w:val="24"/>
                <w:szCs w:val="24"/>
              </w:rPr>
              <w:t>БАН</w:t>
            </w:r>
          </w:p>
        </w:tc>
        <w:tc>
          <w:tcPr>
            <w:tcW w:w="7477" w:type="dxa"/>
          </w:tcPr>
          <w:p w14:paraId="336A986F" w14:textId="77777777" w:rsidR="004227CC" w:rsidRPr="00997C23" w:rsidRDefault="004227CC" w:rsidP="00846694">
            <w:pPr>
              <w:spacing w:after="0" w:line="360" w:lineRule="auto"/>
              <w:rPr>
                <w:rFonts w:ascii="Times New Roman" w:hAnsi="Times New Roman" w:cs="Times New Roman"/>
                <w:sz w:val="24"/>
                <w:szCs w:val="24"/>
              </w:rPr>
            </w:pPr>
            <w:r>
              <w:rPr>
                <w:rFonts w:ascii="Times New Roman" w:hAnsi="Times New Roman" w:cs="Times New Roman"/>
                <w:sz w:val="24"/>
                <w:szCs w:val="24"/>
              </w:rPr>
              <w:t>Българска академия на науките</w:t>
            </w:r>
          </w:p>
        </w:tc>
      </w:tr>
      <w:tr w:rsidR="00846694" w:rsidRPr="00997C23" w14:paraId="075E93C8" w14:textId="77777777" w:rsidTr="008E612B">
        <w:tc>
          <w:tcPr>
            <w:tcW w:w="2049" w:type="dxa"/>
          </w:tcPr>
          <w:p w14:paraId="4D17CC92" w14:textId="77777777" w:rsidR="00846694" w:rsidRDefault="00846694" w:rsidP="00846694">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БулНозо</w:t>
            </w:r>
          </w:p>
          <w:p w14:paraId="250FC9B1" w14:textId="77777777" w:rsidR="004227CC" w:rsidRPr="00A13346" w:rsidRDefault="004227CC" w:rsidP="00846694">
            <w:pPr>
              <w:spacing w:after="0" w:line="360" w:lineRule="auto"/>
              <w:rPr>
                <w:rFonts w:ascii="Times New Roman" w:hAnsi="Times New Roman" w:cs="Times New Roman"/>
                <w:sz w:val="24"/>
                <w:szCs w:val="24"/>
                <w:lang w:val="en-US"/>
              </w:rPr>
            </w:pPr>
          </w:p>
        </w:tc>
        <w:tc>
          <w:tcPr>
            <w:tcW w:w="7477" w:type="dxa"/>
          </w:tcPr>
          <w:p w14:paraId="69B95E2B" w14:textId="77777777" w:rsidR="00846694" w:rsidRPr="00A13346" w:rsidRDefault="00846694" w:rsidP="00846694">
            <w:pPr>
              <w:spacing w:after="0" w:line="360" w:lineRule="auto"/>
              <w:rPr>
                <w:rFonts w:ascii="Times New Roman" w:eastAsia="Times New Roman" w:hAnsi="Times New Roman" w:cs="Times New Roman"/>
                <w:bCs/>
                <w:iCs/>
                <w:sz w:val="24"/>
                <w:szCs w:val="24"/>
              </w:rPr>
            </w:pPr>
            <w:r w:rsidRPr="00997C23">
              <w:rPr>
                <w:rFonts w:ascii="Times New Roman" w:eastAsia="Times New Roman" w:hAnsi="Times New Roman" w:cs="Times New Roman"/>
                <w:bCs/>
                <w:iCs/>
                <w:sz w:val="24"/>
                <w:szCs w:val="24"/>
              </w:rPr>
              <w:t>Българска асоциация за превенция и контрол на нозокомиалните (вътреболнични) инфекции</w:t>
            </w:r>
          </w:p>
        </w:tc>
      </w:tr>
      <w:tr w:rsidR="004227CC" w:rsidRPr="00997C23" w14:paraId="36731FC6" w14:textId="77777777" w:rsidTr="008E612B">
        <w:tc>
          <w:tcPr>
            <w:tcW w:w="2049" w:type="dxa"/>
          </w:tcPr>
          <w:p w14:paraId="5258124F" w14:textId="77777777" w:rsidR="004227CC" w:rsidRPr="001A763F"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BulSTAR</w:t>
            </w:r>
          </w:p>
        </w:tc>
        <w:tc>
          <w:tcPr>
            <w:tcW w:w="7477" w:type="dxa"/>
          </w:tcPr>
          <w:p w14:paraId="17C33273" w14:textId="77777777" w:rsidR="004227CC" w:rsidRPr="00997C23" w:rsidRDefault="004227CC" w:rsidP="004227CC">
            <w:pPr>
              <w:spacing w:after="0" w:line="360" w:lineRule="auto"/>
              <w:rPr>
                <w:rFonts w:ascii="Times New Roman" w:eastAsia="Times New Roman" w:hAnsi="Times New Roman" w:cs="Times New Roman"/>
                <w:bCs/>
                <w:iCs/>
                <w:sz w:val="24"/>
                <w:szCs w:val="24"/>
              </w:rPr>
            </w:pPr>
            <w:r w:rsidRPr="003E74B4">
              <w:rPr>
                <w:rFonts w:ascii="Times New Roman" w:hAnsi="Times New Roman" w:cs="Times New Roman"/>
                <w:sz w:val="24"/>
                <w:szCs w:val="24"/>
              </w:rPr>
              <w:t>Националната система за надзор над антимикробната резистентност</w:t>
            </w:r>
          </w:p>
        </w:tc>
      </w:tr>
      <w:tr w:rsidR="004227CC" w:rsidRPr="00997C23" w14:paraId="4DA9C383" w14:textId="77777777" w:rsidTr="008E612B">
        <w:tc>
          <w:tcPr>
            <w:tcW w:w="2049" w:type="dxa"/>
          </w:tcPr>
          <w:p w14:paraId="7996B908" w14:textId="77777777" w:rsidR="004227CC" w:rsidRDefault="004227CC" w:rsidP="004227CC">
            <w:pPr>
              <w:spacing w:after="0" w:line="360" w:lineRule="auto"/>
              <w:rPr>
                <w:rFonts w:ascii="Times New Roman" w:hAnsi="Times New Roman" w:cs="Times New Roman"/>
                <w:sz w:val="24"/>
                <w:szCs w:val="24"/>
              </w:rPr>
            </w:pPr>
            <w:r w:rsidRPr="00997C23">
              <w:rPr>
                <w:rStyle w:val="acopre1"/>
                <w:rFonts w:ascii="Times New Roman" w:hAnsi="Times New Roman" w:cs="Times New Roman"/>
                <w:bCs/>
                <w:sz w:val="24"/>
                <w:szCs w:val="24"/>
              </w:rPr>
              <w:t>БАПЗГ</w:t>
            </w:r>
          </w:p>
        </w:tc>
        <w:tc>
          <w:tcPr>
            <w:tcW w:w="7477" w:type="dxa"/>
          </w:tcPr>
          <w:p w14:paraId="26455A66" w14:textId="77777777" w:rsidR="004227CC" w:rsidRDefault="004227CC" w:rsidP="004227CC">
            <w:pPr>
              <w:spacing w:after="0" w:line="360" w:lineRule="auto"/>
              <w:rPr>
                <w:rFonts w:ascii="Times New Roman" w:hAnsi="Times New Roman" w:cs="Times New Roman"/>
                <w:sz w:val="24"/>
                <w:szCs w:val="24"/>
              </w:rPr>
            </w:pPr>
            <w:r w:rsidRPr="00997C23">
              <w:rPr>
                <w:rStyle w:val="acopre1"/>
                <w:rFonts w:ascii="Times New Roman" w:hAnsi="Times New Roman" w:cs="Times New Roman"/>
                <w:sz w:val="24"/>
                <w:szCs w:val="24"/>
              </w:rPr>
              <w:t>Българска асоциация на професионалистите по здравни грижи</w:t>
            </w:r>
          </w:p>
        </w:tc>
      </w:tr>
      <w:tr w:rsidR="004227CC" w:rsidRPr="00997C23" w14:paraId="40679D08" w14:textId="77777777" w:rsidTr="008E612B">
        <w:tc>
          <w:tcPr>
            <w:tcW w:w="2049" w:type="dxa"/>
          </w:tcPr>
          <w:p w14:paraId="04BE44DF"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БАПФ</w:t>
            </w:r>
          </w:p>
        </w:tc>
        <w:tc>
          <w:tcPr>
            <w:tcW w:w="7477" w:type="dxa"/>
          </w:tcPr>
          <w:p w14:paraId="1264CF0B" w14:textId="77777777" w:rsidR="004227CC" w:rsidRDefault="004227CC" w:rsidP="004227CC">
            <w:pPr>
              <w:spacing w:after="0" w:line="360" w:lineRule="auto"/>
              <w:rPr>
                <w:rStyle w:val="acopre1"/>
                <w:rFonts w:ascii="Times New Roman" w:hAnsi="Times New Roman" w:cs="Times New Roman"/>
                <w:sz w:val="24"/>
                <w:szCs w:val="24"/>
              </w:rPr>
            </w:pPr>
            <w:r>
              <w:rPr>
                <w:rStyle w:val="acopre1"/>
                <w:rFonts w:ascii="Times New Roman" w:hAnsi="Times New Roman" w:cs="Times New Roman"/>
                <w:sz w:val="24"/>
                <w:szCs w:val="24"/>
              </w:rPr>
              <w:t xml:space="preserve">Българска асоциация на помощник-фармацевтите </w:t>
            </w:r>
          </w:p>
        </w:tc>
      </w:tr>
      <w:tr w:rsidR="004227CC" w:rsidRPr="00997C23" w14:paraId="3BE79F59" w14:textId="77777777" w:rsidTr="008E612B">
        <w:tc>
          <w:tcPr>
            <w:tcW w:w="2049" w:type="dxa"/>
          </w:tcPr>
          <w:p w14:paraId="6200130C" w14:textId="77777777" w:rsidR="004227CC"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БВС</w:t>
            </w:r>
          </w:p>
          <w:p w14:paraId="37E796B7" w14:textId="77777777" w:rsidR="00CB4091" w:rsidRPr="00CB4091" w:rsidRDefault="00CB4091"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БЗС</w:t>
            </w:r>
          </w:p>
        </w:tc>
        <w:tc>
          <w:tcPr>
            <w:tcW w:w="7477" w:type="dxa"/>
          </w:tcPr>
          <w:p w14:paraId="4A8DBEC6" w14:textId="77777777" w:rsidR="004227CC" w:rsidRDefault="004227CC" w:rsidP="004227CC">
            <w:pPr>
              <w:spacing w:after="0" w:line="360" w:lineRule="auto"/>
              <w:rPr>
                <w:rStyle w:val="acopre1"/>
                <w:rFonts w:ascii="Times New Roman" w:hAnsi="Times New Roman" w:cs="Times New Roman"/>
                <w:bCs/>
                <w:sz w:val="24"/>
                <w:szCs w:val="24"/>
              </w:rPr>
            </w:pPr>
            <w:r w:rsidRPr="00997C23">
              <w:rPr>
                <w:rStyle w:val="acopre1"/>
                <w:rFonts w:ascii="Times New Roman" w:hAnsi="Times New Roman" w:cs="Times New Roman"/>
                <w:bCs/>
                <w:sz w:val="24"/>
                <w:szCs w:val="24"/>
              </w:rPr>
              <w:t>Български ветеринарен съюз</w:t>
            </w:r>
          </w:p>
          <w:p w14:paraId="3ADC9908" w14:textId="77777777" w:rsidR="00CB4091" w:rsidRPr="00A13346" w:rsidRDefault="00CB4091" w:rsidP="004227CC">
            <w:pPr>
              <w:spacing w:after="0" w:line="360" w:lineRule="auto"/>
              <w:rPr>
                <w:rStyle w:val="acopre1"/>
                <w:rFonts w:ascii="Times New Roman" w:hAnsi="Times New Roman" w:cs="Times New Roman"/>
                <w:bCs/>
                <w:sz w:val="24"/>
                <w:szCs w:val="24"/>
              </w:rPr>
            </w:pPr>
            <w:r>
              <w:rPr>
                <w:rStyle w:val="acopre1"/>
                <w:rFonts w:ascii="Times New Roman" w:hAnsi="Times New Roman" w:cs="Times New Roman"/>
                <w:bCs/>
                <w:sz w:val="24"/>
                <w:szCs w:val="24"/>
              </w:rPr>
              <w:t>Български зъболекарски съюз</w:t>
            </w:r>
          </w:p>
        </w:tc>
      </w:tr>
      <w:tr w:rsidR="004227CC" w:rsidRPr="00997C23" w14:paraId="4F9EA549" w14:textId="77777777" w:rsidTr="008E612B">
        <w:tc>
          <w:tcPr>
            <w:tcW w:w="2049" w:type="dxa"/>
          </w:tcPr>
          <w:p w14:paraId="3FD8F233"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БЛС</w:t>
            </w:r>
          </w:p>
          <w:p w14:paraId="00D05257"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БФС</w:t>
            </w:r>
          </w:p>
        </w:tc>
        <w:tc>
          <w:tcPr>
            <w:tcW w:w="7477" w:type="dxa"/>
          </w:tcPr>
          <w:p w14:paraId="52F395D7" w14:textId="77777777" w:rsidR="004227CC" w:rsidRDefault="004227CC" w:rsidP="004227CC">
            <w:pPr>
              <w:spacing w:after="0" w:line="360" w:lineRule="auto"/>
              <w:rPr>
                <w:rStyle w:val="acopre1"/>
                <w:rFonts w:ascii="Times New Roman" w:hAnsi="Times New Roman" w:cs="Times New Roman"/>
                <w:sz w:val="24"/>
                <w:szCs w:val="24"/>
              </w:rPr>
            </w:pPr>
            <w:r w:rsidRPr="00BF26C8">
              <w:rPr>
                <w:rStyle w:val="acopre1"/>
                <w:rFonts w:ascii="Times New Roman" w:hAnsi="Times New Roman" w:cs="Times New Roman"/>
                <w:sz w:val="24"/>
                <w:szCs w:val="24"/>
              </w:rPr>
              <w:t>Български лекарски съюз</w:t>
            </w:r>
          </w:p>
          <w:p w14:paraId="65C848D3" w14:textId="77777777" w:rsidR="004227CC" w:rsidRDefault="004227CC" w:rsidP="004227CC">
            <w:pPr>
              <w:spacing w:after="0" w:line="360" w:lineRule="auto"/>
              <w:rPr>
                <w:rStyle w:val="acopre1"/>
                <w:rFonts w:ascii="Times New Roman" w:hAnsi="Times New Roman" w:cs="Times New Roman"/>
                <w:bCs/>
                <w:sz w:val="24"/>
                <w:szCs w:val="24"/>
              </w:rPr>
            </w:pPr>
            <w:r>
              <w:rPr>
                <w:rStyle w:val="acopre1"/>
                <w:rFonts w:ascii="Times New Roman" w:hAnsi="Times New Roman" w:cs="Times New Roman"/>
                <w:bCs/>
                <w:sz w:val="24"/>
                <w:szCs w:val="24"/>
              </w:rPr>
              <w:t>Български фармацевтичен съюз</w:t>
            </w:r>
          </w:p>
        </w:tc>
      </w:tr>
      <w:tr w:rsidR="004227CC" w:rsidRPr="00997C23" w14:paraId="5496DB0A" w14:textId="77777777" w:rsidTr="008E612B">
        <w:tc>
          <w:tcPr>
            <w:tcW w:w="2049" w:type="dxa"/>
          </w:tcPr>
          <w:p w14:paraId="1437CB2C"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ВБИ</w:t>
            </w:r>
          </w:p>
        </w:tc>
        <w:tc>
          <w:tcPr>
            <w:tcW w:w="7477" w:type="dxa"/>
          </w:tcPr>
          <w:p w14:paraId="3B7A0ECE" w14:textId="77777777" w:rsidR="004227CC" w:rsidRPr="00A13346" w:rsidRDefault="004227CC" w:rsidP="004227CC">
            <w:pPr>
              <w:spacing w:after="0" w:line="360" w:lineRule="auto"/>
              <w:rPr>
                <w:rStyle w:val="acopre1"/>
                <w:bCs/>
              </w:rPr>
            </w:pPr>
            <w:r>
              <w:rPr>
                <w:rStyle w:val="acopre1"/>
                <w:rFonts w:ascii="Times New Roman" w:hAnsi="Times New Roman" w:cs="Times New Roman"/>
                <w:bCs/>
                <w:sz w:val="24"/>
                <w:szCs w:val="24"/>
              </w:rPr>
              <w:t>Вътреболнични инфекции</w:t>
            </w:r>
          </w:p>
        </w:tc>
      </w:tr>
      <w:tr w:rsidR="004227CC" w:rsidRPr="00997C23" w14:paraId="635D1E6F" w14:textId="77777777" w:rsidTr="008E612B">
        <w:tc>
          <w:tcPr>
            <w:tcW w:w="2049" w:type="dxa"/>
          </w:tcPr>
          <w:p w14:paraId="3A5DDF2E"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В</w:t>
            </w:r>
            <w:r>
              <w:rPr>
                <w:rFonts w:ascii="Times New Roman" w:hAnsi="Times New Roman" w:cs="Times New Roman"/>
                <w:sz w:val="24"/>
                <w:szCs w:val="24"/>
              </w:rPr>
              <w:t>Л</w:t>
            </w:r>
            <w:r w:rsidRPr="00997C23">
              <w:rPr>
                <w:rFonts w:ascii="Times New Roman" w:hAnsi="Times New Roman" w:cs="Times New Roman"/>
                <w:sz w:val="24"/>
                <w:szCs w:val="24"/>
              </w:rPr>
              <w:t>П</w:t>
            </w:r>
          </w:p>
        </w:tc>
        <w:tc>
          <w:tcPr>
            <w:tcW w:w="7477" w:type="dxa"/>
          </w:tcPr>
          <w:p w14:paraId="3E47CBAA" w14:textId="77777777" w:rsidR="004227CC" w:rsidRPr="00A13346" w:rsidRDefault="004227CC" w:rsidP="004227CC">
            <w:pPr>
              <w:spacing w:after="0" w:line="360" w:lineRule="auto"/>
              <w:rPr>
                <w:rStyle w:val="acopre1"/>
                <w:rFonts w:ascii="Times New Roman" w:hAnsi="Times New Roman" w:cs="Times New Roman"/>
                <w:sz w:val="24"/>
                <w:szCs w:val="24"/>
                <w:lang w:val="en-US"/>
              </w:rPr>
            </w:pPr>
            <w:r w:rsidRPr="00997C23">
              <w:rPr>
                <w:rFonts w:ascii="Times New Roman" w:hAnsi="Times New Roman" w:cs="Times New Roman"/>
                <w:sz w:val="24"/>
                <w:szCs w:val="24"/>
              </w:rPr>
              <w:t>Ветеринар</w:t>
            </w:r>
            <w:r>
              <w:rPr>
                <w:rFonts w:ascii="Times New Roman" w:hAnsi="Times New Roman" w:cs="Times New Roman"/>
                <w:sz w:val="24"/>
                <w:szCs w:val="24"/>
              </w:rPr>
              <w:t>ен лекарствен</w:t>
            </w:r>
            <w:r w:rsidRPr="00997C23">
              <w:rPr>
                <w:rFonts w:ascii="Times New Roman" w:hAnsi="Times New Roman" w:cs="Times New Roman"/>
                <w:sz w:val="24"/>
                <w:szCs w:val="24"/>
              </w:rPr>
              <w:t xml:space="preserve"> продукт</w:t>
            </w:r>
          </w:p>
        </w:tc>
      </w:tr>
      <w:tr w:rsidR="004227CC" w:rsidRPr="00997C23" w14:paraId="06BAA0A1" w14:textId="77777777" w:rsidTr="008E612B">
        <w:tc>
          <w:tcPr>
            <w:tcW w:w="2049" w:type="dxa"/>
          </w:tcPr>
          <w:p w14:paraId="066574D3" w14:textId="77777777" w:rsidR="004227CC" w:rsidRPr="00997C23"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ВМФ</w:t>
            </w:r>
          </w:p>
        </w:tc>
        <w:tc>
          <w:tcPr>
            <w:tcW w:w="7477" w:type="dxa"/>
          </w:tcPr>
          <w:p w14:paraId="7D3F76B9"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Ветеринарномедицински факултет</w:t>
            </w:r>
          </w:p>
        </w:tc>
      </w:tr>
      <w:tr w:rsidR="004227CC" w:rsidRPr="00997C23" w14:paraId="67DE955F" w14:textId="77777777" w:rsidTr="008E612B">
        <w:tc>
          <w:tcPr>
            <w:tcW w:w="2049" w:type="dxa"/>
          </w:tcPr>
          <w:p w14:paraId="40B0F90F" w14:textId="77777777" w:rsidR="004227CC" w:rsidRPr="00997C23"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ВУ</w:t>
            </w:r>
          </w:p>
        </w:tc>
        <w:tc>
          <w:tcPr>
            <w:tcW w:w="7477" w:type="dxa"/>
          </w:tcPr>
          <w:p w14:paraId="604F939B"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Висши училища</w:t>
            </w:r>
          </w:p>
        </w:tc>
      </w:tr>
      <w:tr w:rsidR="004227CC" w:rsidRPr="00997C23" w14:paraId="7862FA4F" w14:textId="77777777" w:rsidTr="008E612B">
        <w:tc>
          <w:tcPr>
            <w:tcW w:w="2049" w:type="dxa"/>
          </w:tcPr>
          <w:p w14:paraId="61154536" w14:textId="77777777" w:rsidR="004227CC" w:rsidRPr="00997C23"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lang w:val="en-US"/>
              </w:rPr>
              <w:t>EARS-NET</w:t>
            </w:r>
          </w:p>
        </w:tc>
        <w:tc>
          <w:tcPr>
            <w:tcW w:w="7477" w:type="dxa"/>
          </w:tcPr>
          <w:p w14:paraId="080D1172"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European Antimicrobial Resistance Surveillance Network</w:t>
            </w:r>
            <w:r>
              <w:rPr>
                <w:rFonts w:ascii="Times New Roman" w:hAnsi="Times New Roman" w:cs="Times New Roman"/>
                <w:sz w:val="24"/>
                <w:szCs w:val="24"/>
              </w:rPr>
              <w:t xml:space="preserve"> (Европейска система за надзор на резистентностат на причинители на инвазивни инфекции)</w:t>
            </w:r>
          </w:p>
        </w:tc>
      </w:tr>
      <w:tr w:rsidR="004227CC" w:rsidRPr="00997C23" w14:paraId="1DBB84E4" w14:textId="77777777" w:rsidTr="008E612B">
        <w:tc>
          <w:tcPr>
            <w:tcW w:w="2049" w:type="dxa"/>
          </w:tcPr>
          <w:p w14:paraId="082995E0" w14:textId="77777777" w:rsidR="004227CC" w:rsidRPr="00997C23"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ЕАЛ</w:t>
            </w:r>
            <w:r w:rsidRPr="00997C23">
              <w:rPr>
                <w:rFonts w:ascii="Times New Roman" w:hAnsi="Times New Roman" w:cs="Times New Roman"/>
                <w:sz w:val="24"/>
                <w:szCs w:val="24"/>
                <w:lang w:val="en-US"/>
              </w:rPr>
              <w:t xml:space="preserve"> /EMA</w:t>
            </w:r>
          </w:p>
        </w:tc>
        <w:tc>
          <w:tcPr>
            <w:tcW w:w="7477" w:type="dxa"/>
          </w:tcPr>
          <w:p w14:paraId="3E675884"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Европейска агенция по лекарствата</w:t>
            </w:r>
          </w:p>
        </w:tc>
      </w:tr>
      <w:tr w:rsidR="004227CC" w:rsidRPr="00997C23" w14:paraId="29236BFF" w14:textId="77777777" w:rsidTr="008E612B">
        <w:tc>
          <w:tcPr>
            <w:tcW w:w="2049" w:type="dxa"/>
          </w:tcPr>
          <w:p w14:paraId="3DE5D680"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ЕК</w:t>
            </w:r>
          </w:p>
        </w:tc>
        <w:tc>
          <w:tcPr>
            <w:tcW w:w="7477" w:type="dxa"/>
          </w:tcPr>
          <w:p w14:paraId="3562C4C4"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Европейска комисия</w:t>
            </w:r>
          </w:p>
        </w:tc>
      </w:tr>
      <w:tr w:rsidR="004227CC" w:rsidRPr="00997C23" w14:paraId="06F391FB" w14:textId="77777777" w:rsidTr="008E612B">
        <w:tc>
          <w:tcPr>
            <w:tcW w:w="2049" w:type="dxa"/>
          </w:tcPr>
          <w:p w14:paraId="4EF2D27A"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ЕИП</w:t>
            </w:r>
          </w:p>
        </w:tc>
        <w:tc>
          <w:tcPr>
            <w:tcW w:w="7477" w:type="dxa"/>
          </w:tcPr>
          <w:p w14:paraId="54817F0A"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Европейско икономическо пространство</w:t>
            </w:r>
          </w:p>
        </w:tc>
      </w:tr>
      <w:tr w:rsidR="004227CC" w:rsidRPr="00997C23" w14:paraId="28761C29" w14:textId="77777777" w:rsidTr="008E612B">
        <w:tc>
          <w:tcPr>
            <w:tcW w:w="2049" w:type="dxa"/>
          </w:tcPr>
          <w:p w14:paraId="4933FA83"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ЕОБХ/</w:t>
            </w:r>
            <w:r w:rsidRPr="00997C23">
              <w:rPr>
                <w:rFonts w:ascii="Times New Roman" w:hAnsi="Times New Roman" w:cs="Times New Roman"/>
                <w:sz w:val="24"/>
                <w:szCs w:val="24"/>
                <w:lang w:val="en-US"/>
              </w:rPr>
              <w:t xml:space="preserve"> EFSA</w:t>
            </w:r>
          </w:p>
        </w:tc>
        <w:tc>
          <w:tcPr>
            <w:tcW w:w="7477" w:type="dxa"/>
          </w:tcPr>
          <w:p w14:paraId="6A1E537F"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Европейски орган за безопасност на храните</w:t>
            </w:r>
          </w:p>
        </w:tc>
      </w:tr>
      <w:tr w:rsidR="004227CC" w:rsidRPr="00997C23" w14:paraId="41DCEC64" w14:textId="77777777" w:rsidTr="008E612B">
        <w:tc>
          <w:tcPr>
            <w:tcW w:w="2049" w:type="dxa"/>
          </w:tcPr>
          <w:p w14:paraId="56230F62"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ЕС</w:t>
            </w:r>
          </w:p>
        </w:tc>
        <w:tc>
          <w:tcPr>
            <w:tcW w:w="7477" w:type="dxa"/>
          </w:tcPr>
          <w:p w14:paraId="1A120F2D"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Европейски съюз</w:t>
            </w:r>
          </w:p>
        </w:tc>
      </w:tr>
      <w:tr w:rsidR="004227CC" w:rsidRPr="00997C23" w14:paraId="7D473032" w14:textId="77777777" w:rsidTr="008E612B">
        <w:tc>
          <w:tcPr>
            <w:tcW w:w="2049" w:type="dxa"/>
          </w:tcPr>
          <w:p w14:paraId="53659743"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ESBL</w:t>
            </w:r>
          </w:p>
        </w:tc>
        <w:tc>
          <w:tcPr>
            <w:tcW w:w="7477" w:type="dxa"/>
          </w:tcPr>
          <w:p w14:paraId="7B68C47F"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Широкоспектърна β–лактамаза</w:t>
            </w:r>
          </w:p>
        </w:tc>
      </w:tr>
      <w:tr w:rsidR="004227CC" w:rsidRPr="00997C23" w14:paraId="1768EA37" w14:textId="77777777" w:rsidTr="008E612B">
        <w:tc>
          <w:tcPr>
            <w:tcW w:w="2049" w:type="dxa"/>
          </w:tcPr>
          <w:p w14:paraId="2F10FC4E"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lang w:val="en-US"/>
              </w:rPr>
              <w:t>ESAC-NET</w:t>
            </w:r>
          </w:p>
        </w:tc>
        <w:tc>
          <w:tcPr>
            <w:tcW w:w="7477" w:type="dxa"/>
          </w:tcPr>
          <w:p w14:paraId="39AC05D7"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lang w:val="en-US"/>
              </w:rPr>
              <w:t>European Surveillance of Antimicrobial Consumption Network</w:t>
            </w:r>
            <w:r>
              <w:rPr>
                <w:rFonts w:ascii="Times New Roman" w:hAnsi="Times New Roman" w:cs="Times New Roman"/>
                <w:sz w:val="24"/>
                <w:szCs w:val="24"/>
              </w:rPr>
              <w:t xml:space="preserve"> (Европейска мрежа за надзор на консумацията на антибиотици)</w:t>
            </w:r>
          </w:p>
        </w:tc>
      </w:tr>
      <w:tr w:rsidR="004227CC" w:rsidRPr="00997C23" w14:paraId="61E71DFE" w14:textId="77777777" w:rsidTr="008E612B">
        <w:tc>
          <w:tcPr>
            <w:tcW w:w="2049" w:type="dxa"/>
          </w:tcPr>
          <w:p w14:paraId="2EEE030B" w14:textId="77777777" w:rsidR="004227CC" w:rsidRPr="00A13346"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ЗЛПХМ</w:t>
            </w:r>
          </w:p>
        </w:tc>
        <w:tc>
          <w:tcPr>
            <w:tcW w:w="7477" w:type="dxa"/>
          </w:tcPr>
          <w:p w14:paraId="7BF78646" w14:textId="77777777" w:rsidR="004227CC" w:rsidRPr="00997C23"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Закон за лекарствените продукти в хуманната медицина</w:t>
            </w:r>
          </w:p>
        </w:tc>
      </w:tr>
      <w:tr w:rsidR="004227CC" w:rsidRPr="00997C23" w14:paraId="7E530ABF" w14:textId="77777777" w:rsidTr="008E612B">
        <w:tc>
          <w:tcPr>
            <w:tcW w:w="2049" w:type="dxa"/>
          </w:tcPr>
          <w:p w14:paraId="7A768F22" w14:textId="77777777" w:rsidR="004227CC" w:rsidRPr="00A1334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ЗВД</w:t>
            </w:r>
          </w:p>
        </w:tc>
        <w:tc>
          <w:tcPr>
            <w:tcW w:w="7477" w:type="dxa"/>
          </w:tcPr>
          <w:p w14:paraId="315E00D7"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Закон за ветеринарномедицинската дейност</w:t>
            </w:r>
          </w:p>
        </w:tc>
      </w:tr>
      <w:tr w:rsidR="004227CC" w:rsidRPr="00997C23" w14:paraId="19AF519B" w14:textId="77777777" w:rsidTr="008E612B">
        <w:tc>
          <w:tcPr>
            <w:tcW w:w="2049" w:type="dxa"/>
          </w:tcPr>
          <w:p w14:paraId="52D04F00" w14:textId="77777777" w:rsidR="004227CC"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ЗФ</w:t>
            </w:r>
          </w:p>
        </w:tc>
        <w:tc>
          <w:tcPr>
            <w:tcW w:w="7477" w:type="dxa"/>
          </w:tcPr>
          <w:p w14:paraId="1C739888" w14:textId="77777777" w:rsidR="004227CC" w:rsidRPr="00997C23"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Закон за фуражите</w:t>
            </w:r>
          </w:p>
        </w:tc>
      </w:tr>
      <w:tr w:rsidR="004227CC" w:rsidRPr="00997C23" w14:paraId="10B808CB" w14:textId="77777777" w:rsidTr="008E612B">
        <w:tc>
          <w:tcPr>
            <w:tcW w:w="2049" w:type="dxa"/>
          </w:tcPr>
          <w:p w14:paraId="75DA639F" w14:textId="77777777" w:rsidR="004227CC" w:rsidRPr="00A1334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ИАЛ</w:t>
            </w:r>
          </w:p>
        </w:tc>
        <w:tc>
          <w:tcPr>
            <w:tcW w:w="7477" w:type="dxa"/>
          </w:tcPr>
          <w:p w14:paraId="562CD36E" w14:textId="77777777" w:rsidR="004227CC" w:rsidRPr="00A1334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Изпълнителна агенция по лекарствата</w:t>
            </w:r>
          </w:p>
        </w:tc>
      </w:tr>
      <w:tr w:rsidR="004227CC" w:rsidRPr="00997C23" w14:paraId="6FEE741E" w14:textId="77777777" w:rsidTr="008E612B">
        <w:tc>
          <w:tcPr>
            <w:tcW w:w="2049" w:type="dxa"/>
          </w:tcPr>
          <w:p w14:paraId="7F360173" w14:textId="77777777" w:rsidR="004227CC" w:rsidRPr="00A13346"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ИАОС</w:t>
            </w:r>
          </w:p>
        </w:tc>
        <w:tc>
          <w:tcPr>
            <w:tcW w:w="7477" w:type="dxa"/>
          </w:tcPr>
          <w:p w14:paraId="55E29156" w14:textId="77777777" w:rsidR="004227CC" w:rsidRPr="00A13346"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Изпълнителна агенция по околна среда</w:t>
            </w:r>
          </w:p>
        </w:tc>
      </w:tr>
      <w:tr w:rsidR="004227CC" w:rsidRPr="00997C23" w14:paraId="6DF6B12E" w14:textId="77777777" w:rsidTr="008E612B">
        <w:tc>
          <w:tcPr>
            <w:tcW w:w="2049" w:type="dxa"/>
          </w:tcPr>
          <w:p w14:paraId="29E9A7F9" w14:textId="77777777" w:rsidR="004227CC" w:rsidRPr="00A1334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ИСМО</w:t>
            </w:r>
          </w:p>
        </w:tc>
        <w:tc>
          <w:tcPr>
            <w:tcW w:w="7477" w:type="dxa"/>
          </w:tcPr>
          <w:p w14:paraId="03DDC5B7"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Инфекция/и свързана/и с медицинското обслужване</w:t>
            </w:r>
          </w:p>
        </w:tc>
      </w:tr>
      <w:tr w:rsidR="004227CC" w:rsidRPr="00997C23" w14:paraId="1614E8DE" w14:textId="77777777" w:rsidTr="008E612B">
        <w:tc>
          <w:tcPr>
            <w:tcW w:w="2049" w:type="dxa"/>
          </w:tcPr>
          <w:p w14:paraId="2BF8184A" w14:textId="77777777" w:rsidR="004227CC" w:rsidRPr="00A13346" w:rsidRDefault="004227CC" w:rsidP="004227CC">
            <w:pPr>
              <w:spacing w:after="0" w:line="360" w:lineRule="auto"/>
              <w:rPr>
                <w:rFonts w:ascii="Times New Roman" w:hAnsi="Times New Roman" w:cs="Times New Roman"/>
                <w:sz w:val="24"/>
                <w:szCs w:val="24"/>
              </w:rPr>
            </w:pPr>
            <w:r w:rsidRPr="007D11F9">
              <w:rPr>
                <w:rFonts w:ascii="Times New Roman" w:hAnsi="Times New Roman" w:cs="Times New Roman"/>
                <w:sz w:val="24"/>
                <w:szCs w:val="24"/>
              </w:rPr>
              <w:t>IMAB</w:t>
            </w:r>
          </w:p>
        </w:tc>
        <w:tc>
          <w:tcPr>
            <w:tcW w:w="7477" w:type="dxa"/>
          </w:tcPr>
          <w:p w14:paraId="67C89BFB" w14:textId="77777777" w:rsidR="004227CC" w:rsidRPr="00997C23" w:rsidRDefault="004227CC" w:rsidP="004227CC">
            <w:pPr>
              <w:spacing w:after="0" w:line="360" w:lineRule="auto"/>
              <w:rPr>
                <w:rFonts w:ascii="Times New Roman" w:hAnsi="Times New Roman" w:cs="Times New Roman"/>
                <w:sz w:val="24"/>
                <w:szCs w:val="24"/>
                <w:lang w:val="en-US"/>
              </w:rPr>
            </w:pPr>
            <w:r w:rsidRPr="007D11F9">
              <w:rPr>
                <w:rFonts w:ascii="Times New Roman" w:hAnsi="Times New Roman" w:cs="Times New Roman"/>
                <w:sz w:val="24"/>
                <w:szCs w:val="24"/>
              </w:rPr>
              <w:t>Международната медицинска асоциация България</w:t>
            </w:r>
          </w:p>
        </w:tc>
      </w:tr>
      <w:tr w:rsidR="004227CC" w:rsidRPr="00997C23" w14:paraId="7BD97800" w14:textId="77777777" w:rsidTr="008E612B">
        <w:tc>
          <w:tcPr>
            <w:tcW w:w="2049" w:type="dxa"/>
          </w:tcPr>
          <w:p w14:paraId="3B3649B7" w14:textId="77777777" w:rsidR="004227CC" w:rsidRPr="00A1334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КХП</w:t>
            </w:r>
          </w:p>
        </w:tc>
        <w:tc>
          <w:tcPr>
            <w:tcW w:w="7477" w:type="dxa"/>
          </w:tcPr>
          <w:p w14:paraId="2CB6CCBF"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Кр</w:t>
            </w:r>
            <w:r>
              <w:rPr>
                <w:rFonts w:ascii="Times New Roman" w:hAnsi="Times New Roman" w:cs="Times New Roman"/>
                <w:sz w:val="24"/>
                <w:szCs w:val="24"/>
              </w:rPr>
              <w:t>атка характеристика на продукта</w:t>
            </w:r>
          </w:p>
        </w:tc>
      </w:tr>
      <w:tr w:rsidR="004227CC" w:rsidRPr="00997C23" w14:paraId="6E8E46A7" w14:textId="77777777" w:rsidTr="008E612B">
        <w:tc>
          <w:tcPr>
            <w:tcW w:w="2049" w:type="dxa"/>
          </w:tcPr>
          <w:p w14:paraId="60DD962D" w14:textId="77777777" w:rsidR="004227CC"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ЛТУ</w:t>
            </w:r>
          </w:p>
        </w:tc>
        <w:tc>
          <w:tcPr>
            <w:tcW w:w="7477" w:type="dxa"/>
          </w:tcPr>
          <w:p w14:paraId="2FD7380E" w14:textId="77777777" w:rsidR="004227CC" w:rsidRPr="00997C23" w:rsidRDefault="004227CC" w:rsidP="004227CC">
            <w:pPr>
              <w:spacing w:after="0" w:line="360" w:lineRule="auto"/>
              <w:rPr>
                <w:rFonts w:ascii="Times New Roman" w:hAnsi="Times New Roman" w:cs="Times New Roman"/>
                <w:sz w:val="24"/>
                <w:szCs w:val="24"/>
                <w:lang w:val="en-US"/>
              </w:rPr>
            </w:pPr>
            <w:r w:rsidRPr="00997C23">
              <w:rPr>
                <w:rStyle w:val="acopre1"/>
                <w:rFonts w:ascii="Times New Roman" w:hAnsi="Times New Roman" w:cs="Times New Roman"/>
                <w:sz w:val="24"/>
                <w:szCs w:val="24"/>
              </w:rPr>
              <w:t xml:space="preserve">Лесотехнически университет </w:t>
            </w:r>
            <w:r>
              <w:rPr>
                <w:rStyle w:val="acopre1"/>
                <w:rFonts w:ascii="Times New Roman" w:hAnsi="Times New Roman" w:cs="Times New Roman"/>
                <w:sz w:val="24"/>
                <w:szCs w:val="24"/>
              </w:rPr>
              <w:t>–</w:t>
            </w:r>
            <w:r w:rsidRPr="00997C23">
              <w:rPr>
                <w:rStyle w:val="acopre1"/>
                <w:rFonts w:ascii="Times New Roman" w:hAnsi="Times New Roman" w:cs="Times New Roman"/>
                <w:sz w:val="24"/>
                <w:szCs w:val="24"/>
              </w:rPr>
              <w:t xml:space="preserve"> гр. София</w:t>
            </w:r>
          </w:p>
        </w:tc>
      </w:tr>
      <w:tr w:rsidR="004227CC" w:rsidRPr="00997C23" w14:paraId="4AD9DE8B" w14:textId="77777777" w:rsidTr="008E612B">
        <w:tc>
          <w:tcPr>
            <w:tcW w:w="2049" w:type="dxa"/>
          </w:tcPr>
          <w:p w14:paraId="63395F24" w14:textId="77777777" w:rsidR="004227CC" w:rsidRPr="00A1334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МЗ</w:t>
            </w:r>
          </w:p>
        </w:tc>
        <w:tc>
          <w:tcPr>
            <w:tcW w:w="7477" w:type="dxa"/>
          </w:tcPr>
          <w:p w14:paraId="2B03C644"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Министерство на здравеопазването</w:t>
            </w:r>
          </w:p>
        </w:tc>
      </w:tr>
      <w:tr w:rsidR="004227CC" w:rsidRPr="00997C23" w14:paraId="7CBBF7F4" w14:textId="77777777" w:rsidTr="008E612B">
        <w:tc>
          <w:tcPr>
            <w:tcW w:w="2049" w:type="dxa"/>
          </w:tcPr>
          <w:p w14:paraId="233B4B0C" w14:textId="77777777" w:rsidR="004227CC" w:rsidRPr="00E63DA6"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МЗХ</w:t>
            </w:r>
          </w:p>
        </w:tc>
        <w:tc>
          <w:tcPr>
            <w:tcW w:w="7477" w:type="dxa"/>
          </w:tcPr>
          <w:p w14:paraId="34BAC8F4" w14:textId="77777777" w:rsidR="004227CC" w:rsidRPr="00997C23"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Министерство на земеделието и храните</w:t>
            </w:r>
          </w:p>
        </w:tc>
      </w:tr>
      <w:tr w:rsidR="004227CC" w:rsidRPr="00997C23" w14:paraId="2423C83A" w14:textId="77777777" w:rsidTr="008E612B">
        <w:tc>
          <w:tcPr>
            <w:tcW w:w="2049" w:type="dxa"/>
          </w:tcPr>
          <w:p w14:paraId="52243823" w14:textId="77777777" w:rsidR="004227CC"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МОН</w:t>
            </w:r>
          </w:p>
        </w:tc>
        <w:tc>
          <w:tcPr>
            <w:tcW w:w="7477" w:type="dxa"/>
          </w:tcPr>
          <w:p w14:paraId="528A7127" w14:textId="77777777" w:rsidR="004227CC" w:rsidRPr="00997C23"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Министерство на образованието и науката</w:t>
            </w:r>
          </w:p>
        </w:tc>
      </w:tr>
      <w:tr w:rsidR="004227CC" w:rsidRPr="00997C23" w14:paraId="146A0F95" w14:textId="77777777" w:rsidTr="008E612B">
        <w:tc>
          <w:tcPr>
            <w:tcW w:w="2049" w:type="dxa"/>
          </w:tcPr>
          <w:p w14:paraId="0BC5117F"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MиО</w:t>
            </w:r>
          </w:p>
        </w:tc>
        <w:tc>
          <w:tcPr>
            <w:tcW w:w="7477" w:type="dxa"/>
          </w:tcPr>
          <w:p w14:paraId="223CDFFF"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Мониторинг и оценка</w:t>
            </w:r>
          </w:p>
        </w:tc>
      </w:tr>
      <w:tr w:rsidR="004227CC" w:rsidRPr="00997C23" w14:paraId="3584A271" w14:textId="77777777" w:rsidTr="008E612B">
        <w:tc>
          <w:tcPr>
            <w:tcW w:w="2049" w:type="dxa"/>
          </w:tcPr>
          <w:p w14:paraId="43E487B8" w14:textId="77777777" w:rsidR="004227CC" w:rsidRDefault="004227CC" w:rsidP="004227CC">
            <w:pPr>
              <w:spacing w:after="0" w:line="360" w:lineRule="auto"/>
              <w:rPr>
                <w:rFonts w:ascii="Times New Roman" w:hAnsi="Times New Roman" w:cs="Times New Roman"/>
                <w:sz w:val="24"/>
                <w:szCs w:val="24"/>
                <w:lang w:val="en-US"/>
              </w:rPr>
            </w:pPr>
            <w:r w:rsidRPr="00B936E8">
              <w:rPr>
                <w:rFonts w:ascii="Times New Roman" w:hAnsi="Times New Roman" w:cs="Times New Roman"/>
                <w:sz w:val="24"/>
                <w:szCs w:val="24"/>
                <w:lang w:val="en-US"/>
              </w:rPr>
              <w:t>МКС</w:t>
            </w:r>
          </w:p>
        </w:tc>
        <w:tc>
          <w:tcPr>
            <w:tcW w:w="7477" w:type="dxa"/>
          </w:tcPr>
          <w:p w14:paraId="3137675A" w14:textId="77777777" w:rsidR="004227CC" w:rsidRPr="00997C23" w:rsidRDefault="004227CC" w:rsidP="004227CC">
            <w:pPr>
              <w:spacing w:after="0" w:line="360" w:lineRule="auto"/>
              <w:rPr>
                <w:rFonts w:ascii="Times New Roman" w:hAnsi="Times New Roman" w:cs="Times New Roman"/>
                <w:sz w:val="24"/>
                <w:szCs w:val="24"/>
                <w:lang w:val="en-US"/>
              </w:rPr>
            </w:pPr>
            <w:r w:rsidRPr="00B936E8">
              <w:rPr>
                <w:rFonts w:ascii="Times New Roman" w:hAnsi="Times New Roman" w:cs="Times New Roman"/>
                <w:sz w:val="24"/>
                <w:szCs w:val="24"/>
                <w:lang w:val="en-US"/>
              </w:rPr>
              <w:t>Междуведомствен координационен съвет</w:t>
            </w:r>
          </w:p>
        </w:tc>
      </w:tr>
      <w:tr w:rsidR="004227CC" w:rsidRPr="00997C23" w14:paraId="302D0721" w14:textId="77777777" w:rsidTr="008E612B">
        <w:tc>
          <w:tcPr>
            <w:tcW w:w="2049" w:type="dxa"/>
          </w:tcPr>
          <w:p w14:paraId="3C588C1D"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МОСВ</w:t>
            </w:r>
          </w:p>
        </w:tc>
        <w:tc>
          <w:tcPr>
            <w:tcW w:w="7477" w:type="dxa"/>
          </w:tcPr>
          <w:p w14:paraId="2C03FDD1" w14:textId="77777777" w:rsidR="004227CC" w:rsidRPr="00E63DA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Министерство на околната среда и водите</w:t>
            </w:r>
          </w:p>
        </w:tc>
      </w:tr>
      <w:tr w:rsidR="004227CC" w:rsidRPr="00997C23" w14:paraId="7492BE86" w14:textId="77777777" w:rsidTr="008E612B">
        <w:tc>
          <w:tcPr>
            <w:tcW w:w="2049" w:type="dxa"/>
          </w:tcPr>
          <w:p w14:paraId="4A774C69" w14:textId="77777777" w:rsidR="004227CC"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MDR</w:t>
            </w:r>
          </w:p>
        </w:tc>
        <w:tc>
          <w:tcPr>
            <w:tcW w:w="7477" w:type="dxa"/>
          </w:tcPr>
          <w:p w14:paraId="5DBB46AA"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Multi drug resistant </w:t>
            </w:r>
            <w:r>
              <w:rPr>
                <w:rFonts w:ascii="Times New Roman" w:hAnsi="Times New Roman" w:cs="Times New Roman"/>
                <w:sz w:val="24"/>
                <w:szCs w:val="24"/>
              </w:rPr>
              <w:t>(мулти-резистентен)</w:t>
            </w:r>
          </w:p>
        </w:tc>
      </w:tr>
      <w:tr w:rsidR="004227CC" w:rsidRPr="00997C23" w14:paraId="7A2F9324" w14:textId="77777777" w:rsidTr="008E612B">
        <w:tc>
          <w:tcPr>
            <w:tcW w:w="2049" w:type="dxa"/>
          </w:tcPr>
          <w:p w14:paraId="3CA4018F" w14:textId="77777777" w:rsidR="004227CC" w:rsidRPr="00E63DA6"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MRSA</w:t>
            </w:r>
          </w:p>
        </w:tc>
        <w:tc>
          <w:tcPr>
            <w:tcW w:w="7477" w:type="dxa"/>
          </w:tcPr>
          <w:p w14:paraId="7ADC8D8F" w14:textId="77777777" w:rsidR="004227CC" w:rsidRDefault="004227CC" w:rsidP="004227CC">
            <w:pPr>
              <w:spacing w:after="0" w:line="360" w:lineRule="auto"/>
              <w:rPr>
                <w:rFonts w:ascii="Times New Roman" w:hAnsi="Times New Roman" w:cs="Times New Roman"/>
                <w:sz w:val="24"/>
                <w:szCs w:val="24"/>
              </w:rPr>
            </w:pPr>
            <w:r w:rsidRPr="00DA6688">
              <w:rPr>
                <w:rFonts w:ascii="Times New Roman" w:hAnsi="Times New Roman" w:cs="Times New Roman"/>
                <w:sz w:val="24"/>
                <w:szCs w:val="24"/>
              </w:rPr>
              <w:t>Methicillin-resistant staphylococcus aureus</w:t>
            </w:r>
          </w:p>
        </w:tc>
      </w:tr>
      <w:tr w:rsidR="004227CC" w:rsidRPr="00997C23" w14:paraId="1C423119" w14:textId="77777777" w:rsidTr="008E612B">
        <w:tc>
          <w:tcPr>
            <w:tcW w:w="2049" w:type="dxa"/>
          </w:tcPr>
          <w:p w14:paraId="0E2CD760" w14:textId="77777777" w:rsidR="004227CC"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НСОПЛБ</w:t>
            </w:r>
          </w:p>
        </w:tc>
        <w:tc>
          <w:tcPr>
            <w:tcW w:w="7477" w:type="dxa"/>
          </w:tcPr>
          <w:p w14:paraId="694F24C3" w14:textId="77777777" w:rsidR="004227CC" w:rsidRPr="00E63DA6"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Национално сдружение на общопрактикуващите лакари в България</w:t>
            </w:r>
          </w:p>
        </w:tc>
      </w:tr>
      <w:tr w:rsidR="004227CC" w:rsidRPr="00997C23" w14:paraId="6589792E" w14:textId="77777777" w:rsidTr="008E612B">
        <w:tc>
          <w:tcPr>
            <w:tcW w:w="2049" w:type="dxa"/>
          </w:tcPr>
          <w:p w14:paraId="326240E8" w14:textId="77777777" w:rsidR="004227CC" w:rsidRPr="00E63DA6"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НДНИВМИ </w:t>
            </w:r>
          </w:p>
        </w:tc>
        <w:tc>
          <w:tcPr>
            <w:tcW w:w="7477" w:type="dxa"/>
          </w:tcPr>
          <w:p w14:paraId="7E60E04A" w14:textId="77777777" w:rsidR="004227CC" w:rsidRPr="00E63DA6" w:rsidRDefault="004227CC" w:rsidP="004227CC">
            <w:pPr>
              <w:spacing w:after="0" w:line="360" w:lineRule="auto"/>
              <w:rPr>
                <w:rFonts w:ascii="Times New Roman" w:hAnsi="Times New Roman" w:cs="Times New Roman"/>
                <w:sz w:val="24"/>
                <w:szCs w:val="24"/>
                <w:lang w:val="en-US"/>
              </w:rPr>
            </w:pPr>
            <w:r w:rsidRPr="00997C23">
              <w:rPr>
                <w:rFonts w:ascii="Times New Roman" w:hAnsi="Times New Roman" w:cs="Times New Roman"/>
                <w:sz w:val="24"/>
                <w:szCs w:val="24"/>
              </w:rPr>
              <w:t>Национален диагностичен научноизследователски ветеринарномедицински институт</w:t>
            </w:r>
          </w:p>
        </w:tc>
      </w:tr>
      <w:tr w:rsidR="004227CC" w:rsidRPr="00997C23" w14:paraId="30A6EE99" w14:textId="77777777" w:rsidTr="008E612B">
        <w:tc>
          <w:tcPr>
            <w:tcW w:w="2049" w:type="dxa"/>
          </w:tcPr>
          <w:p w14:paraId="65FAD51E" w14:textId="77777777" w:rsidR="004227CC"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НЗОК</w:t>
            </w:r>
          </w:p>
        </w:tc>
        <w:tc>
          <w:tcPr>
            <w:tcW w:w="7477" w:type="dxa"/>
          </w:tcPr>
          <w:p w14:paraId="62CEBFF4" w14:textId="77777777" w:rsidR="004227CC" w:rsidRPr="00E63DA6" w:rsidRDefault="004227CC" w:rsidP="004227CC">
            <w:pPr>
              <w:spacing w:after="0" w:line="360" w:lineRule="auto"/>
              <w:rPr>
                <w:rFonts w:ascii="Times New Roman" w:hAnsi="Times New Roman" w:cs="Times New Roman"/>
                <w:sz w:val="24"/>
                <w:szCs w:val="24"/>
                <w:lang w:val="en-US"/>
              </w:rPr>
            </w:pPr>
            <w:r>
              <w:rPr>
                <w:rFonts w:ascii="Times New Roman" w:hAnsi="Times New Roman" w:cs="Times New Roman"/>
                <w:sz w:val="24"/>
                <w:szCs w:val="24"/>
              </w:rPr>
              <w:t>Национална здравноосигуртелна каса</w:t>
            </w:r>
          </w:p>
        </w:tc>
      </w:tr>
      <w:tr w:rsidR="004227CC" w:rsidRPr="00997C23" w14:paraId="6C1AD09F" w14:textId="77777777" w:rsidTr="008E612B">
        <w:tc>
          <w:tcPr>
            <w:tcW w:w="2049" w:type="dxa"/>
          </w:tcPr>
          <w:p w14:paraId="0F1C4032" w14:textId="77777777" w:rsidR="004227CC"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НРЛ</w:t>
            </w:r>
          </w:p>
        </w:tc>
        <w:tc>
          <w:tcPr>
            <w:tcW w:w="7477" w:type="dxa"/>
          </w:tcPr>
          <w:p w14:paraId="49D7851F" w14:textId="77777777" w:rsidR="004227CC"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Национална референтна лаборатория</w:t>
            </w:r>
          </w:p>
        </w:tc>
      </w:tr>
      <w:tr w:rsidR="004227CC" w:rsidRPr="00997C23" w14:paraId="39CEAD66" w14:textId="77777777" w:rsidTr="008E612B">
        <w:tc>
          <w:tcPr>
            <w:tcW w:w="2049" w:type="dxa"/>
          </w:tcPr>
          <w:p w14:paraId="5BC26636"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НСЦРЛП</w:t>
            </w:r>
          </w:p>
        </w:tc>
        <w:tc>
          <w:tcPr>
            <w:tcW w:w="7477" w:type="dxa"/>
          </w:tcPr>
          <w:p w14:paraId="4BD80899"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Национален съвет по цени и реимбурсиране на лекарствените продукти</w:t>
            </w:r>
          </w:p>
        </w:tc>
      </w:tr>
      <w:tr w:rsidR="004227CC" w:rsidRPr="00997C23" w14:paraId="3D3A933C" w14:textId="77777777" w:rsidTr="008E612B">
        <w:tc>
          <w:tcPr>
            <w:tcW w:w="2049" w:type="dxa"/>
          </w:tcPr>
          <w:p w14:paraId="48DEF766"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НЦЗПБ</w:t>
            </w:r>
          </w:p>
        </w:tc>
        <w:tc>
          <w:tcPr>
            <w:tcW w:w="7477" w:type="dxa"/>
          </w:tcPr>
          <w:p w14:paraId="2CC5D9A0"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Национален център по заразни и паразитни болести</w:t>
            </w:r>
          </w:p>
        </w:tc>
      </w:tr>
      <w:tr w:rsidR="004227CC" w:rsidRPr="00997C23" w14:paraId="7775A59E" w14:textId="77777777" w:rsidTr="008E612B">
        <w:tc>
          <w:tcPr>
            <w:tcW w:w="2049" w:type="dxa"/>
          </w:tcPr>
          <w:p w14:paraId="0B2F42E9" w14:textId="77777777" w:rsidR="004227CC" w:rsidRPr="00E63DA6" w:rsidRDefault="004227CC" w:rsidP="004227CC">
            <w:pPr>
              <w:spacing w:after="0" w:line="360" w:lineRule="auto"/>
              <w:rPr>
                <w:rFonts w:ascii="Times New Roman" w:hAnsi="Times New Roman" w:cs="Times New Roman"/>
                <w:bCs/>
                <w:sz w:val="24"/>
                <w:szCs w:val="24"/>
              </w:rPr>
            </w:pPr>
            <w:r>
              <w:rPr>
                <w:rStyle w:val="acopre1"/>
                <w:rFonts w:ascii="Times New Roman" w:hAnsi="Times New Roman" w:cs="Times New Roman"/>
                <w:bCs/>
                <w:sz w:val="24"/>
                <w:szCs w:val="24"/>
              </w:rPr>
              <w:t>НЦОЗА</w:t>
            </w:r>
          </w:p>
        </w:tc>
        <w:tc>
          <w:tcPr>
            <w:tcW w:w="7477" w:type="dxa"/>
          </w:tcPr>
          <w:p w14:paraId="2F269D84"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Национален център по обществено здраве и анализи</w:t>
            </w:r>
          </w:p>
        </w:tc>
      </w:tr>
      <w:tr w:rsidR="004227CC" w:rsidRPr="00997C23" w14:paraId="7EAA6B84" w14:textId="77777777" w:rsidTr="008E612B">
        <w:tc>
          <w:tcPr>
            <w:tcW w:w="2049" w:type="dxa"/>
          </w:tcPr>
          <w:p w14:paraId="775FA857" w14:textId="77777777" w:rsidR="004227CC" w:rsidRPr="00E63DA6" w:rsidRDefault="004227CC" w:rsidP="004227CC">
            <w:pPr>
              <w:spacing w:after="0" w:line="360" w:lineRule="auto"/>
              <w:rPr>
                <w:rFonts w:ascii="Times New Roman" w:hAnsi="Times New Roman" w:cs="Times New Roman"/>
                <w:bCs/>
                <w:sz w:val="24"/>
                <w:szCs w:val="24"/>
              </w:rPr>
            </w:pPr>
            <w:r>
              <w:rPr>
                <w:rStyle w:val="acopre1"/>
                <w:rFonts w:ascii="Times New Roman" w:hAnsi="Times New Roman" w:cs="Times New Roman"/>
                <w:bCs/>
                <w:sz w:val="24"/>
                <w:szCs w:val="24"/>
              </w:rPr>
              <w:t>НПО</w:t>
            </w:r>
          </w:p>
        </w:tc>
        <w:tc>
          <w:tcPr>
            <w:tcW w:w="7477" w:type="dxa"/>
          </w:tcPr>
          <w:p w14:paraId="2BC9FAE2" w14:textId="77777777" w:rsidR="004227CC" w:rsidRDefault="004227CC" w:rsidP="004227CC">
            <w:pPr>
              <w:spacing w:after="0" w:line="360" w:lineRule="auto"/>
              <w:rPr>
                <w:rFonts w:ascii="Times New Roman" w:hAnsi="Times New Roman" w:cs="Times New Roman"/>
                <w:sz w:val="24"/>
                <w:szCs w:val="24"/>
              </w:rPr>
            </w:pPr>
            <w:r>
              <w:rPr>
                <w:rFonts w:ascii="Times New Roman" w:hAnsi="Times New Roman" w:cs="Times New Roman"/>
                <w:sz w:val="24"/>
                <w:szCs w:val="24"/>
              </w:rPr>
              <w:t>Неправителствена организация</w:t>
            </w:r>
          </w:p>
        </w:tc>
      </w:tr>
      <w:tr w:rsidR="004227CC" w:rsidRPr="00997C23" w14:paraId="4DE2030F" w14:textId="77777777" w:rsidTr="008E612B">
        <w:tc>
          <w:tcPr>
            <w:tcW w:w="2049" w:type="dxa"/>
          </w:tcPr>
          <w:p w14:paraId="6AEBA8BA" w14:textId="77777777" w:rsidR="004227CC" w:rsidRPr="00E63DA6" w:rsidRDefault="004227CC" w:rsidP="004227CC">
            <w:pPr>
              <w:spacing w:after="0" w:line="360" w:lineRule="auto"/>
              <w:rPr>
                <w:rStyle w:val="acopre1"/>
                <w:rFonts w:ascii="Times New Roman" w:hAnsi="Times New Roman" w:cs="Times New Roman"/>
                <w:sz w:val="24"/>
                <w:szCs w:val="24"/>
              </w:rPr>
            </w:pPr>
            <w:r w:rsidRPr="00997C23">
              <w:rPr>
                <w:rStyle w:val="acopre1"/>
                <w:rFonts w:ascii="Times New Roman" w:hAnsi="Times New Roman" w:cs="Times New Roman"/>
                <w:bCs/>
                <w:sz w:val="24"/>
                <w:szCs w:val="24"/>
              </w:rPr>
              <w:t>ПОБФБ</w:t>
            </w:r>
          </w:p>
        </w:tc>
        <w:tc>
          <w:tcPr>
            <w:tcW w:w="7477" w:type="dxa"/>
          </w:tcPr>
          <w:p w14:paraId="6DB4D87C" w14:textId="77777777" w:rsidR="004227CC" w:rsidRPr="00E63DA6" w:rsidRDefault="004227CC" w:rsidP="004227CC">
            <w:pPr>
              <w:spacing w:after="0" w:line="360" w:lineRule="auto"/>
              <w:rPr>
                <w:rStyle w:val="acopre1"/>
                <w:rFonts w:ascii="Times New Roman" w:hAnsi="Times New Roman" w:cs="Times New Roman"/>
                <w:sz w:val="24"/>
                <w:szCs w:val="24"/>
                <w:lang w:val="en-US"/>
              </w:rPr>
            </w:pPr>
            <w:r w:rsidRPr="00997C23">
              <w:rPr>
                <w:rStyle w:val="acopre1"/>
                <w:rFonts w:ascii="Times New Roman" w:hAnsi="Times New Roman" w:cs="Times New Roman"/>
                <w:sz w:val="24"/>
                <w:szCs w:val="24"/>
              </w:rPr>
              <w:t xml:space="preserve">Професионална организация на болничните фармацевти в България </w:t>
            </w:r>
          </w:p>
        </w:tc>
      </w:tr>
      <w:tr w:rsidR="004227CC" w:rsidRPr="00997C23" w14:paraId="0F6D4C51" w14:textId="77777777" w:rsidTr="008E612B">
        <w:tc>
          <w:tcPr>
            <w:tcW w:w="2049" w:type="dxa"/>
          </w:tcPr>
          <w:p w14:paraId="729C3395" w14:textId="77777777" w:rsidR="004227CC" w:rsidRPr="00E63DA6" w:rsidRDefault="004227CC" w:rsidP="004227CC">
            <w:pPr>
              <w:spacing w:after="0" w:line="360" w:lineRule="auto"/>
              <w:rPr>
                <w:rStyle w:val="acopre1"/>
                <w:rFonts w:ascii="Times New Roman" w:hAnsi="Times New Roman" w:cs="Times New Roman"/>
                <w:sz w:val="24"/>
                <w:szCs w:val="24"/>
              </w:rPr>
            </w:pPr>
            <w:r>
              <w:rPr>
                <w:rFonts w:ascii="Times New Roman" w:hAnsi="Times New Roman" w:cs="Times New Roman"/>
                <w:sz w:val="24"/>
                <w:szCs w:val="24"/>
              </w:rPr>
              <w:t>РЗИ</w:t>
            </w:r>
          </w:p>
        </w:tc>
        <w:tc>
          <w:tcPr>
            <w:tcW w:w="7477" w:type="dxa"/>
          </w:tcPr>
          <w:p w14:paraId="6D73D2DD" w14:textId="77777777" w:rsidR="004227CC" w:rsidRPr="00997C23" w:rsidRDefault="004227CC" w:rsidP="004227CC">
            <w:pPr>
              <w:spacing w:after="0" w:line="360" w:lineRule="auto"/>
              <w:rPr>
                <w:rStyle w:val="acopre1"/>
                <w:rFonts w:ascii="Times New Roman" w:hAnsi="Times New Roman" w:cs="Times New Roman"/>
                <w:sz w:val="24"/>
                <w:szCs w:val="24"/>
              </w:rPr>
            </w:pPr>
            <w:r>
              <w:rPr>
                <w:rFonts w:ascii="Times New Roman" w:hAnsi="Times New Roman" w:cs="Times New Roman"/>
                <w:sz w:val="24"/>
                <w:szCs w:val="24"/>
              </w:rPr>
              <w:t>Регионална здравна инспекция</w:t>
            </w:r>
          </w:p>
        </w:tc>
      </w:tr>
      <w:tr w:rsidR="004227CC" w:rsidRPr="00997C23" w14:paraId="2E298BD8" w14:textId="77777777" w:rsidTr="008E612B">
        <w:tc>
          <w:tcPr>
            <w:tcW w:w="2049" w:type="dxa"/>
          </w:tcPr>
          <w:p w14:paraId="6F1585C8" w14:textId="77777777" w:rsidR="004227CC" w:rsidRPr="00E63DA6" w:rsidRDefault="004227CC" w:rsidP="004227CC">
            <w:pPr>
              <w:spacing w:after="0" w:line="360" w:lineRule="auto"/>
              <w:rPr>
                <w:rStyle w:val="acopre1"/>
                <w:rFonts w:ascii="Times New Roman" w:hAnsi="Times New Roman" w:cs="Times New Roman"/>
                <w:sz w:val="24"/>
                <w:szCs w:val="24"/>
                <w:lang w:val="en-US"/>
              </w:rPr>
            </w:pPr>
            <w:r w:rsidRPr="00997C23">
              <w:rPr>
                <w:rFonts w:ascii="Times New Roman" w:hAnsi="Times New Roman" w:cs="Times New Roman"/>
                <w:sz w:val="24"/>
                <w:szCs w:val="24"/>
              </w:rPr>
              <w:t>СЗО</w:t>
            </w:r>
          </w:p>
        </w:tc>
        <w:tc>
          <w:tcPr>
            <w:tcW w:w="7477" w:type="dxa"/>
          </w:tcPr>
          <w:p w14:paraId="27BA3900" w14:textId="77777777" w:rsidR="004227CC" w:rsidRPr="00E63DA6" w:rsidRDefault="004227CC" w:rsidP="004227CC">
            <w:pPr>
              <w:spacing w:after="0" w:line="360" w:lineRule="auto"/>
              <w:rPr>
                <w:rStyle w:val="acopre1"/>
                <w:rFonts w:ascii="Times New Roman" w:hAnsi="Times New Roman" w:cs="Times New Roman"/>
                <w:sz w:val="24"/>
                <w:szCs w:val="24"/>
                <w:lang w:val="en-US"/>
              </w:rPr>
            </w:pPr>
            <w:r w:rsidRPr="00997C23">
              <w:rPr>
                <w:rFonts w:ascii="Times New Roman" w:hAnsi="Times New Roman" w:cs="Times New Roman"/>
                <w:sz w:val="24"/>
                <w:szCs w:val="24"/>
              </w:rPr>
              <w:t>Световна здравна организация</w:t>
            </w:r>
          </w:p>
        </w:tc>
      </w:tr>
      <w:tr w:rsidR="004227CC" w:rsidRPr="00997C23" w14:paraId="7FDD75AF" w14:textId="77777777" w:rsidTr="008E612B">
        <w:tc>
          <w:tcPr>
            <w:tcW w:w="2049" w:type="dxa"/>
          </w:tcPr>
          <w:p w14:paraId="0AE6A4F4" w14:textId="77777777" w:rsidR="004227CC" w:rsidRPr="00E63DA6" w:rsidRDefault="004227CC" w:rsidP="004227CC">
            <w:pPr>
              <w:spacing w:after="0" w:line="360" w:lineRule="auto"/>
              <w:rPr>
                <w:rStyle w:val="acopre1"/>
                <w:rFonts w:ascii="Times New Roman" w:hAnsi="Times New Roman" w:cs="Times New Roman"/>
                <w:sz w:val="24"/>
                <w:szCs w:val="24"/>
                <w:lang w:val="en-US"/>
              </w:rPr>
            </w:pPr>
            <w:r w:rsidRPr="00997C23">
              <w:rPr>
                <w:rFonts w:ascii="Times New Roman" w:hAnsi="Times New Roman" w:cs="Times New Roman"/>
                <w:sz w:val="24"/>
                <w:szCs w:val="24"/>
              </w:rPr>
              <w:t>СОЗЖ/</w:t>
            </w:r>
            <w:r>
              <w:rPr>
                <w:rFonts w:ascii="Times New Roman" w:hAnsi="Times New Roman" w:cs="Times New Roman"/>
                <w:sz w:val="24"/>
                <w:szCs w:val="24"/>
                <w:lang w:val="en-US"/>
              </w:rPr>
              <w:t>WOAH</w:t>
            </w:r>
          </w:p>
        </w:tc>
        <w:tc>
          <w:tcPr>
            <w:tcW w:w="7477" w:type="dxa"/>
          </w:tcPr>
          <w:p w14:paraId="4D52E30E" w14:textId="77777777" w:rsidR="004227CC" w:rsidRPr="00E63DA6" w:rsidRDefault="004227CC" w:rsidP="004227CC">
            <w:pPr>
              <w:spacing w:after="0" w:line="360" w:lineRule="auto"/>
              <w:rPr>
                <w:rStyle w:val="acopre1"/>
                <w:rFonts w:ascii="Times New Roman" w:hAnsi="Times New Roman" w:cs="Times New Roman"/>
                <w:sz w:val="24"/>
                <w:szCs w:val="24"/>
                <w:lang w:val="en-US"/>
              </w:rPr>
            </w:pPr>
            <w:r w:rsidRPr="00997C23">
              <w:rPr>
                <w:rFonts w:ascii="Times New Roman" w:hAnsi="Times New Roman" w:cs="Times New Roman"/>
                <w:sz w:val="24"/>
                <w:szCs w:val="24"/>
              </w:rPr>
              <w:t>Световна организация по здравеопазване на животните</w:t>
            </w:r>
            <w:r>
              <w:rPr>
                <w:rFonts w:ascii="Times New Roman" w:hAnsi="Times New Roman" w:cs="Times New Roman"/>
                <w:sz w:val="24"/>
                <w:szCs w:val="24"/>
                <w:lang w:val="en-US"/>
              </w:rPr>
              <w:t xml:space="preserve">/World Organization for Animal Health </w:t>
            </w:r>
          </w:p>
        </w:tc>
      </w:tr>
      <w:tr w:rsidR="004227CC" w:rsidRPr="00997C23" w14:paraId="40688502" w14:textId="77777777" w:rsidTr="008E612B">
        <w:tc>
          <w:tcPr>
            <w:tcW w:w="2049" w:type="dxa"/>
          </w:tcPr>
          <w:p w14:paraId="6DF8C676" w14:textId="77777777" w:rsidR="004227CC" w:rsidRPr="00E63DA6" w:rsidRDefault="004227CC" w:rsidP="004227CC">
            <w:pPr>
              <w:spacing w:after="0" w:line="360" w:lineRule="auto"/>
              <w:rPr>
                <w:rStyle w:val="acopre1"/>
                <w:rFonts w:ascii="Times New Roman" w:hAnsi="Times New Roman" w:cs="Times New Roman"/>
                <w:sz w:val="24"/>
                <w:szCs w:val="24"/>
              </w:rPr>
            </w:pPr>
            <w:r>
              <w:rPr>
                <w:rFonts w:ascii="Times New Roman" w:hAnsi="Times New Roman" w:cs="Times New Roman"/>
                <w:sz w:val="24"/>
                <w:szCs w:val="24"/>
              </w:rPr>
              <w:t>СПИН</w:t>
            </w:r>
          </w:p>
        </w:tc>
        <w:tc>
          <w:tcPr>
            <w:tcW w:w="7477" w:type="dxa"/>
          </w:tcPr>
          <w:p w14:paraId="7BE2A1DD" w14:textId="77777777" w:rsidR="004227CC" w:rsidRPr="00997C23" w:rsidRDefault="004227CC" w:rsidP="004227CC">
            <w:pPr>
              <w:spacing w:after="0" w:line="360" w:lineRule="auto"/>
              <w:rPr>
                <w:rStyle w:val="acopre1"/>
                <w:rFonts w:ascii="Times New Roman" w:hAnsi="Times New Roman" w:cs="Times New Roman"/>
                <w:sz w:val="24"/>
                <w:szCs w:val="24"/>
              </w:rPr>
            </w:pPr>
            <w:r>
              <w:rPr>
                <w:rFonts w:ascii="Times New Roman" w:hAnsi="Times New Roman" w:cs="Times New Roman"/>
                <w:sz w:val="24"/>
                <w:szCs w:val="24"/>
              </w:rPr>
              <w:t>Синдром на придобита имунна недостатъчност</w:t>
            </w:r>
          </w:p>
        </w:tc>
      </w:tr>
      <w:tr w:rsidR="004227CC" w:rsidRPr="00997C23" w14:paraId="66915A1A" w14:textId="77777777" w:rsidTr="008E612B">
        <w:tc>
          <w:tcPr>
            <w:tcW w:w="2049" w:type="dxa"/>
          </w:tcPr>
          <w:p w14:paraId="04C382F5"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ТРУ</w:t>
            </w:r>
          </w:p>
        </w:tc>
        <w:tc>
          <w:tcPr>
            <w:tcW w:w="7477" w:type="dxa"/>
          </w:tcPr>
          <w:p w14:paraId="5B83B3B0" w14:textId="77777777" w:rsidR="004227CC" w:rsidRPr="00E63DA6" w:rsidRDefault="004227CC" w:rsidP="004227CC">
            <w:pPr>
              <w:spacing w:after="0" w:line="360" w:lineRule="auto"/>
              <w:rPr>
                <w:rFonts w:ascii="Times New Roman" w:hAnsi="Times New Roman" w:cs="Times New Roman"/>
                <w:bCs/>
                <w:sz w:val="24"/>
                <w:szCs w:val="24"/>
              </w:rPr>
            </w:pPr>
            <w:r w:rsidRPr="00997C23">
              <w:rPr>
                <w:rStyle w:val="acopre1"/>
                <w:rFonts w:ascii="Times New Roman" w:hAnsi="Times New Roman" w:cs="Times New Roman"/>
                <w:bCs/>
                <w:sz w:val="24"/>
                <w:szCs w:val="24"/>
              </w:rPr>
              <w:t>Тракийски университет – гр. Стара Загора</w:t>
            </w:r>
          </w:p>
        </w:tc>
      </w:tr>
      <w:tr w:rsidR="004227CC" w:rsidRPr="00997C23" w14:paraId="6465DC18" w14:textId="77777777" w:rsidTr="008E612B">
        <w:tc>
          <w:tcPr>
            <w:tcW w:w="2049" w:type="dxa"/>
          </w:tcPr>
          <w:p w14:paraId="713A7840"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ФАО</w:t>
            </w:r>
          </w:p>
        </w:tc>
        <w:tc>
          <w:tcPr>
            <w:tcW w:w="7477" w:type="dxa"/>
          </w:tcPr>
          <w:p w14:paraId="6B242329" w14:textId="77777777" w:rsidR="004227CC" w:rsidRPr="00FB4BD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 xml:space="preserve">Организация по прехрана и </w:t>
            </w:r>
            <w:r>
              <w:rPr>
                <w:rFonts w:ascii="Times New Roman" w:hAnsi="Times New Roman" w:cs="Times New Roman"/>
                <w:sz w:val="24"/>
                <w:szCs w:val="24"/>
              </w:rPr>
              <w:t>земеделие</w:t>
            </w:r>
            <w:r w:rsidRPr="00997C23">
              <w:rPr>
                <w:rFonts w:ascii="Times New Roman" w:hAnsi="Times New Roman" w:cs="Times New Roman"/>
                <w:sz w:val="24"/>
                <w:szCs w:val="24"/>
              </w:rPr>
              <w:t xml:space="preserve"> на ООН</w:t>
            </w:r>
          </w:p>
        </w:tc>
      </w:tr>
      <w:tr w:rsidR="004227CC" w:rsidRPr="00997C23" w14:paraId="62FF79FA" w14:textId="77777777" w:rsidTr="008E612B">
        <w:tc>
          <w:tcPr>
            <w:tcW w:w="2049" w:type="dxa"/>
          </w:tcPr>
          <w:p w14:paraId="32B97CD4" w14:textId="77777777" w:rsidR="004227CC" w:rsidRPr="00997C23"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ЦОРХВ</w:t>
            </w:r>
          </w:p>
        </w:tc>
        <w:tc>
          <w:tcPr>
            <w:tcW w:w="7477" w:type="dxa"/>
          </w:tcPr>
          <w:p w14:paraId="10F6B160" w14:textId="77777777" w:rsidR="004227CC" w:rsidRPr="00FB4BD6" w:rsidRDefault="004227CC" w:rsidP="004227CC">
            <w:pPr>
              <w:spacing w:after="0" w:line="360" w:lineRule="auto"/>
              <w:rPr>
                <w:rFonts w:ascii="Times New Roman" w:hAnsi="Times New Roman" w:cs="Times New Roman"/>
                <w:sz w:val="24"/>
                <w:szCs w:val="24"/>
              </w:rPr>
            </w:pPr>
            <w:r w:rsidRPr="00997C23">
              <w:rPr>
                <w:rFonts w:ascii="Times New Roman" w:hAnsi="Times New Roman" w:cs="Times New Roman"/>
                <w:sz w:val="24"/>
                <w:szCs w:val="24"/>
              </w:rPr>
              <w:t>Център за оценка на риска по хранителната верига</w:t>
            </w:r>
          </w:p>
        </w:tc>
      </w:tr>
    </w:tbl>
    <w:p w14:paraId="7DF75E4F" w14:textId="77777777" w:rsidR="000C06AB" w:rsidRPr="00531F9A" w:rsidRDefault="003B4FB2" w:rsidP="00531F9A">
      <w:pPr>
        <w:pStyle w:val="Heading1"/>
        <w:spacing w:before="0" w:line="360" w:lineRule="auto"/>
        <w:ind w:firstLine="709"/>
        <w:rPr>
          <w:rFonts w:ascii="Times New Roman" w:hAnsi="Times New Roman" w:cs="Times New Roman"/>
          <w:b/>
          <w:color w:val="auto"/>
          <w:sz w:val="24"/>
          <w:szCs w:val="24"/>
        </w:rPr>
      </w:pPr>
      <w:r w:rsidRPr="00997C23">
        <w:rPr>
          <w:rFonts w:ascii="Times New Roman" w:hAnsi="Times New Roman" w:cs="Times New Roman"/>
          <w:sz w:val="24"/>
          <w:szCs w:val="24"/>
        </w:rPr>
        <w:br w:type="page"/>
      </w:r>
      <w:bookmarkStart w:id="1" w:name="_Toc200721731"/>
      <w:r w:rsidR="00A02220" w:rsidRPr="00D511B2">
        <w:rPr>
          <w:rFonts w:ascii="Times New Roman" w:hAnsi="Times New Roman" w:cs="Times New Roman"/>
          <w:b/>
          <w:color w:val="auto"/>
          <w:sz w:val="24"/>
          <w:szCs w:val="24"/>
        </w:rPr>
        <w:lastRenderedPageBreak/>
        <w:t>РЕЗЮМЕ</w:t>
      </w:r>
      <w:bookmarkEnd w:id="1"/>
    </w:p>
    <w:p w14:paraId="15E9EB85" w14:textId="77777777" w:rsidR="00B80F2C" w:rsidRPr="00997C23" w:rsidRDefault="001D1E4A" w:rsidP="00E843C8">
      <w:pPr>
        <w:spacing w:after="0" w:line="360" w:lineRule="auto"/>
        <w:ind w:firstLine="708"/>
        <w:jc w:val="both"/>
        <w:rPr>
          <w:rFonts w:ascii="Times New Roman" w:eastAsia="Times New Roman" w:hAnsi="Times New Roman" w:cs="Times New Roman"/>
          <w:sz w:val="24"/>
          <w:szCs w:val="24"/>
          <w:lang w:eastAsia="bg-BG"/>
        </w:rPr>
      </w:pPr>
      <w:r>
        <w:rPr>
          <w:rFonts w:ascii="Times New Roman" w:hAnsi="Times New Roman" w:cs="Times New Roman"/>
          <w:sz w:val="24"/>
          <w:szCs w:val="24"/>
        </w:rPr>
        <w:t>Антиинфекциозните</w:t>
      </w:r>
      <w:r w:rsidRPr="00997C23">
        <w:rPr>
          <w:rFonts w:ascii="Times New Roman" w:hAnsi="Times New Roman" w:cs="Times New Roman"/>
          <w:sz w:val="24"/>
          <w:szCs w:val="24"/>
        </w:rPr>
        <w:t xml:space="preserve"> </w:t>
      </w:r>
      <w:r w:rsidR="00B9319A">
        <w:rPr>
          <w:rFonts w:ascii="Times New Roman" w:hAnsi="Times New Roman" w:cs="Times New Roman"/>
          <w:sz w:val="24"/>
          <w:szCs w:val="24"/>
        </w:rPr>
        <w:t>лекарства</w:t>
      </w:r>
      <w:r w:rsidR="00B9319A" w:rsidRPr="00997C23">
        <w:rPr>
          <w:rFonts w:ascii="Times New Roman" w:hAnsi="Times New Roman" w:cs="Times New Roman"/>
          <w:sz w:val="24"/>
          <w:szCs w:val="24"/>
        </w:rPr>
        <w:t xml:space="preserve"> </w:t>
      </w:r>
      <w:r w:rsidR="00B9319A">
        <w:rPr>
          <w:rFonts w:ascii="Times New Roman" w:hAnsi="Times New Roman" w:cs="Times New Roman"/>
          <w:sz w:val="24"/>
          <w:szCs w:val="24"/>
        </w:rPr>
        <w:t>поставят</w:t>
      </w:r>
      <w:r w:rsidR="00B80F2C" w:rsidRPr="00997C23">
        <w:rPr>
          <w:rFonts w:ascii="Times New Roman" w:hAnsi="Times New Roman" w:cs="Times New Roman"/>
          <w:sz w:val="24"/>
          <w:szCs w:val="24"/>
        </w:rPr>
        <w:t xml:space="preserve"> начало</w:t>
      </w:r>
      <w:r w:rsidR="0037406D" w:rsidRPr="00997C23">
        <w:rPr>
          <w:rFonts w:ascii="Times New Roman" w:hAnsi="Times New Roman" w:cs="Times New Roman"/>
          <w:sz w:val="24"/>
          <w:szCs w:val="24"/>
        </w:rPr>
        <w:t>то</w:t>
      </w:r>
      <w:r w:rsidR="00B80F2C" w:rsidRPr="00997C23">
        <w:rPr>
          <w:rFonts w:ascii="Times New Roman" w:hAnsi="Times New Roman" w:cs="Times New Roman"/>
          <w:sz w:val="24"/>
          <w:szCs w:val="24"/>
        </w:rPr>
        <w:t xml:space="preserve"> на нова</w:t>
      </w:r>
      <w:r w:rsidR="00B80F2C" w:rsidRPr="00997C23">
        <w:rPr>
          <w:rFonts w:ascii="Times New Roman" w:hAnsi="Times New Roman" w:cs="Times New Roman"/>
          <w:sz w:val="24"/>
          <w:szCs w:val="24"/>
          <w:lang w:val="en-US"/>
        </w:rPr>
        <w:t xml:space="preserve"> </w:t>
      </w:r>
      <w:r w:rsidR="00B80F2C" w:rsidRPr="00997C23">
        <w:rPr>
          <w:rFonts w:ascii="Times New Roman" w:hAnsi="Times New Roman" w:cs="Times New Roman"/>
          <w:sz w:val="24"/>
          <w:szCs w:val="24"/>
        </w:rPr>
        <w:t xml:space="preserve">ера в здравеопазването. </w:t>
      </w:r>
      <w:r w:rsidR="0037406D" w:rsidRPr="00997C23">
        <w:rPr>
          <w:rFonts w:ascii="Times New Roman" w:eastAsia="Times New Roman" w:hAnsi="Times New Roman" w:cs="Times New Roman"/>
          <w:sz w:val="24"/>
          <w:szCs w:val="24"/>
          <w:lang w:eastAsia="bg-BG"/>
        </w:rPr>
        <w:t>Д</w:t>
      </w:r>
      <w:r w:rsidR="00B80F2C" w:rsidRPr="00997C23">
        <w:rPr>
          <w:rFonts w:ascii="Times New Roman" w:eastAsia="Times New Roman" w:hAnsi="Times New Roman" w:cs="Times New Roman"/>
          <w:sz w:val="24"/>
          <w:szCs w:val="24"/>
          <w:lang w:eastAsia="bg-BG"/>
        </w:rPr>
        <w:t xml:space="preserve">нес е невъзможно да си представим извършването на хирургичните интервенции, </w:t>
      </w:r>
      <w:r w:rsidR="0037406D" w:rsidRPr="00997C23">
        <w:rPr>
          <w:rFonts w:ascii="Times New Roman" w:eastAsia="Times New Roman" w:hAnsi="Times New Roman" w:cs="Times New Roman"/>
          <w:sz w:val="24"/>
          <w:szCs w:val="24"/>
          <w:lang w:eastAsia="bg-BG"/>
        </w:rPr>
        <w:t xml:space="preserve">на </w:t>
      </w:r>
      <w:r w:rsidR="00AA4BF2" w:rsidRPr="00997C23">
        <w:rPr>
          <w:rFonts w:ascii="Times New Roman" w:eastAsia="Times New Roman" w:hAnsi="Times New Roman" w:cs="Times New Roman"/>
          <w:sz w:val="24"/>
          <w:szCs w:val="24"/>
          <w:lang w:eastAsia="bg-BG"/>
        </w:rPr>
        <w:t>транс</w:t>
      </w:r>
      <w:r w:rsidR="00AA4BF2">
        <w:rPr>
          <w:rFonts w:ascii="Times New Roman" w:eastAsia="Times New Roman" w:hAnsi="Times New Roman" w:cs="Times New Roman"/>
          <w:sz w:val="24"/>
          <w:szCs w:val="24"/>
          <w:lang w:eastAsia="bg-BG"/>
        </w:rPr>
        <w:t>плантациите</w:t>
      </w:r>
      <w:r w:rsidR="0037406D" w:rsidRPr="00997C23">
        <w:rPr>
          <w:rFonts w:ascii="Times New Roman" w:eastAsia="Times New Roman" w:hAnsi="Times New Roman" w:cs="Times New Roman"/>
          <w:sz w:val="24"/>
          <w:szCs w:val="24"/>
          <w:lang w:eastAsia="bg-BG"/>
        </w:rPr>
        <w:t xml:space="preserve">, </w:t>
      </w:r>
      <w:r w:rsidR="00B80F2C" w:rsidRPr="00997C23">
        <w:rPr>
          <w:rFonts w:ascii="Times New Roman" w:eastAsia="Times New Roman" w:hAnsi="Times New Roman" w:cs="Times New Roman"/>
          <w:sz w:val="24"/>
          <w:szCs w:val="24"/>
          <w:lang w:eastAsia="bg-BG"/>
        </w:rPr>
        <w:t>лечението на хематологични и онкологични заболявания</w:t>
      </w:r>
      <w:r w:rsidR="0037406D" w:rsidRPr="00997C23">
        <w:rPr>
          <w:rFonts w:ascii="Times New Roman" w:eastAsia="Times New Roman" w:hAnsi="Times New Roman" w:cs="Times New Roman"/>
          <w:sz w:val="24"/>
          <w:szCs w:val="24"/>
          <w:lang w:eastAsia="bg-BG"/>
        </w:rPr>
        <w:t xml:space="preserve"> без антибиотици.</w:t>
      </w:r>
    </w:p>
    <w:p w14:paraId="49FD19AB" w14:textId="77777777" w:rsidR="00F94694" w:rsidRDefault="00A02220" w:rsidP="00E843C8">
      <w:pPr>
        <w:spacing w:after="0" w:line="360" w:lineRule="auto"/>
        <w:ind w:firstLine="567"/>
        <w:jc w:val="both"/>
        <w:rPr>
          <w:rFonts w:ascii="Times New Roman" w:hAnsi="Times New Roman" w:cs="Times New Roman"/>
          <w:sz w:val="24"/>
          <w:szCs w:val="24"/>
        </w:rPr>
      </w:pPr>
      <w:r w:rsidRPr="00997C23">
        <w:rPr>
          <w:rFonts w:ascii="Times New Roman" w:hAnsi="Times New Roman" w:cs="Times New Roman"/>
          <w:sz w:val="24"/>
          <w:szCs w:val="24"/>
        </w:rPr>
        <w:t xml:space="preserve">Антимикробната резистентност (АМР) </w:t>
      </w:r>
      <w:r w:rsidR="0034017B" w:rsidRPr="00997C23">
        <w:rPr>
          <w:rFonts w:ascii="Times New Roman" w:hAnsi="Times New Roman" w:cs="Times New Roman"/>
          <w:sz w:val="24"/>
          <w:szCs w:val="24"/>
        </w:rPr>
        <w:t>представлява огромно</w:t>
      </w:r>
      <w:r w:rsidRPr="00997C23">
        <w:rPr>
          <w:rFonts w:ascii="Times New Roman" w:hAnsi="Times New Roman" w:cs="Times New Roman"/>
          <w:sz w:val="24"/>
          <w:szCs w:val="24"/>
        </w:rPr>
        <w:t xml:space="preserve"> предизвикателство </w:t>
      </w:r>
      <w:r w:rsidR="0034017B" w:rsidRPr="00997C23">
        <w:rPr>
          <w:rFonts w:ascii="Times New Roman" w:hAnsi="Times New Roman" w:cs="Times New Roman"/>
          <w:sz w:val="24"/>
          <w:szCs w:val="24"/>
        </w:rPr>
        <w:t>пред</w:t>
      </w:r>
      <w:r w:rsidRPr="00997C23">
        <w:rPr>
          <w:rFonts w:ascii="Times New Roman" w:hAnsi="Times New Roman" w:cs="Times New Roman"/>
          <w:sz w:val="24"/>
          <w:szCs w:val="24"/>
        </w:rPr>
        <w:t xml:space="preserve"> човечеството, засягащо</w:t>
      </w:r>
      <w:r w:rsidR="00C87AB3"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rPr>
        <w:t xml:space="preserve">пряко здравето на човека и </w:t>
      </w:r>
      <w:r w:rsidR="0037406D" w:rsidRPr="00997C23">
        <w:rPr>
          <w:rFonts w:ascii="Times New Roman" w:hAnsi="Times New Roman" w:cs="Times New Roman"/>
          <w:sz w:val="24"/>
          <w:szCs w:val="24"/>
        </w:rPr>
        <w:t xml:space="preserve">на </w:t>
      </w:r>
      <w:r w:rsidRPr="00997C23">
        <w:rPr>
          <w:rFonts w:ascii="Times New Roman" w:hAnsi="Times New Roman" w:cs="Times New Roman"/>
          <w:sz w:val="24"/>
          <w:szCs w:val="24"/>
        </w:rPr>
        <w:t xml:space="preserve">животните. </w:t>
      </w:r>
      <w:r w:rsidR="00CF0BBC" w:rsidRPr="00997C23">
        <w:rPr>
          <w:rFonts w:ascii="Times New Roman" w:eastAsia="Times New Roman" w:hAnsi="Times New Roman" w:cs="Times New Roman"/>
          <w:sz w:val="24"/>
          <w:szCs w:val="24"/>
          <w:lang w:eastAsia="bg-BG"/>
        </w:rPr>
        <w:t>В резултат на нейното разрастване и появата на микроорганизми, резистентни на всички</w:t>
      </w:r>
      <w:r w:rsidR="00AA4BF2">
        <w:rPr>
          <w:rFonts w:ascii="Times New Roman" w:eastAsia="Times New Roman" w:hAnsi="Times New Roman" w:cs="Times New Roman"/>
          <w:sz w:val="24"/>
          <w:szCs w:val="24"/>
          <w:lang w:eastAsia="bg-BG"/>
        </w:rPr>
        <w:t xml:space="preserve"> </w:t>
      </w:r>
      <w:r w:rsidR="00CF0BBC" w:rsidRPr="00997C23">
        <w:rPr>
          <w:rFonts w:ascii="Times New Roman" w:eastAsia="Times New Roman" w:hAnsi="Times New Roman" w:cs="Times New Roman"/>
          <w:sz w:val="24"/>
          <w:szCs w:val="24"/>
          <w:lang w:eastAsia="bg-BG"/>
        </w:rPr>
        <w:t xml:space="preserve">или почти всички антибиотици, АМР бе обявена от Световната здравна организация (СЗО) за глобална заплаха. Проблемът е изключително голям, тъй като </w:t>
      </w:r>
      <w:r w:rsidR="0037406D" w:rsidRPr="00997C23">
        <w:rPr>
          <w:rFonts w:ascii="Times New Roman" w:eastAsia="Times New Roman" w:hAnsi="Times New Roman" w:cs="Times New Roman"/>
          <w:sz w:val="24"/>
          <w:szCs w:val="24"/>
          <w:lang w:eastAsia="bg-BG"/>
        </w:rPr>
        <w:t xml:space="preserve">в близките 10-15 години </w:t>
      </w:r>
      <w:r w:rsidR="00CF0BBC" w:rsidRPr="00997C23">
        <w:rPr>
          <w:rFonts w:ascii="Times New Roman" w:eastAsia="Times New Roman" w:hAnsi="Times New Roman" w:cs="Times New Roman"/>
          <w:sz w:val="24"/>
          <w:szCs w:val="24"/>
          <w:lang w:eastAsia="bg-BG"/>
        </w:rPr>
        <w:t xml:space="preserve">не се очаква въвеждане на нови ефективни антибиотици. В случай, че развитието и разпространението на АМР не бъде ограничено, активността на антибиотиците </w:t>
      </w:r>
      <w:r w:rsidR="0037406D" w:rsidRPr="00997C23">
        <w:rPr>
          <w:rFonts w:ascii="Times New Roman" w:eastAsia="Times New Roman" w:hAnsi="Times New Roman" w:cs="Times New Roman"/>
          <w:sz w:val="24"/>
          <w:szCs w:val="24"/>
          <w:lang w:eastAsia="bg-BG"/>
        </w:rPr>
        <w:t xml:space="preserve">ще бъде загубена </w:t>
      </w:r>
      <w:r w:rsidR="00CF0BBC" w:rsidRPr="00997C23">
        <w:rPr>
          <w:rFonts w:ascii="Times New Roman" w:eastAsia="Times New Roman" w:hAnsi="Times New Roman" w:cs="Times New Roman"/>
          <w:sz w:val="24"/>
          <w:szCs w:val="24"/>
          <w:lang w:eastAsia="bg-BG"/>
        </w:rPr>
        <w:t>за бъдещите поколения</w:t>
      </w:r>
      <w:r w:rsidR="00AD22F1" w:rsidRPr="00997C23">
        <w:rPr>
          <w:rFonts w:ascii="Times New Roman" w:hAnsi="Times New Roman" w:cs="Times New Roman"/>
          <w:sz w:val="24"/>
          <w:szCs w:val="24"/>
        </w:rPr>
        <w:t>.</w:t>
      </w:r>
    </w:p>
    <w:p w14:paraId="0DCE927C" w14:textId="77777777" w:rsidR="00CF0BBC" w:rsidRPr="00997C23" w:rsidRDefault="00A02220" w:rsidP="00E843C8">
      <w:pPr>
        <w:spacing w:after="0" w:line="360" w:lineRule="auto"/>
        <w:ind w:firstLine="567"/>
        <w:jc w:val="both"/>
        <w:rPr>
          <w:rFonts w:ascii="Times New Roman" w:eastAsia="Times New Roman" w:hAnsi="Times New Roman" w:cs="Times New Roman"/>
          <w:sz w:val="24"/>
          <w:szCs w:val="24"/>
          <w:lang w:val="en-US" w:eastAsia="bg-BG"/>
        </w:rPr>
      </w:pPr>
      <w:r w:rsidRPr="00997C23">
        <w:rPr>
          <w:rFonts w:ascii="Times New Roman" w:hAnsi="Times New Roman" w:cs="Times New Roman"/>
          <w:sz w:val="24"/>
          <w:szCs w:val="24"/>
        </w:rPr>
        <w:t xml:space="preserve">Причините за появата </w:t>
      </w:r>
      <w:r w:rsidR="00CF0BBC" w:rsidRPr="00997C23">
        <w:rPr>
          <w:rFonts w:ascii="Times New Roman" w:eastAsia="Times New Roman" w:hAnsi="Times New Roman" w:cs="Times New Roman"/>
          <w:sz w:val="24"/>
          <w:szCs w:val="24"/>
          <w:lang w:eastAsia="bg-BG"/>
        </w:rPr>
        <w:t>и разпространението на микробната</w:t>
      </w:r>
      <w:r w:rsidRPr="00997C23">
        <w:rPr>
          <w:rFonts w:ascii="Times New Roman" w:hAnsi="Times New Roman" w:cs="Times New Roman"/>
          <w:sz w:val="24"/>
          <w:szCs w:val="24"/>
        </w:rPr>
        <w:t xml:space="preserve"> устойчивост са</w:t>
      </w:r>
      <w:r w:rsidR="00C87AB3"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rPr>
        <w:t>многобройни,</w:t>
      </w:r>
      <w:r w:rsidR="008D583E" w:rsidRPr="00997C23">
        <w:rPr>
          <w:rFonts w:ascii="Times New Roman" w:hAnsi="Times New Roman" w:cs="Times New Roman"/>
          <w:sz w:val="24"/>
          <w:szCs w:val="24"/>
          <w:lang w:val="en-US"/>
        </w:rPr>
        <w:t xml:space="preserve"> </w:t>
      </w:r>
      <w:r w:rsidR="00CF0BBC" w:rsidRPr="00997C23">
        <w:rPr>
          <w:rFonts w:ascii="Times New Roman" w:eastAsia="Times New Roman" w:hAnsi="Times New Roman" w:cs="Times New Roman"/>
          <w:sz w:val="24"/>
          <w:szCs w:val="24"/>
          <w:lang w:eastAsia="bg-BG"/>
        </w:rPr>
        <w:t xml:space="preserve">като водещо значение имат излишната, нерационална употреба на антибиотици, организацията на здравеопазването, социално-икономическите условия, културата </w:t>
      </w:r>
      <w:r w:rsidR="002E5BAA" w:rsidRPr="00997C23">
        <w:rPr>
          <w:rFonts w:ascii="Times New Roman" w:eastAsia="Times New Roman" w:hAnsi="Times New Roman" w:cs="Times New Roman"/>
          <w:sz w:val="24"/>
          <w:szCs w:val="24"/>
          <w:lang w:eastAsia="bg-BG"/>
        </w:rPr>
        <w:t xml:space="preserve">на населението </w:t>
      </w:r>
      <w:r w:rsidR="00CF0BBC" w:rsidRPr="00997C23">
        <w:rPr>
          <w:rFonts w:ascii="Times New Roman" w:eastAsia="Times New Roman" w:hAnsi="Times New Roman" w:cs="Times New Roman"/>
          <w:sz w:val="24"/>
          <w:szCs w:val="24"/>
          <w:lang w:eastAsia="bg-BG"/>
        </w:rPr>
        <w:t>и осведомеността по проблема</w:t>
      </w:r>
      <w:r w:rsidRPr="00997C23">
        <w:rPr>
          <w:rFonts w:ascii="Times New Roman" w:hAnsi="Times New Roman" w:cs="Times New Roman"/>
          <w:sz w:val="24"/>
          <w:szCs w:val="24"/>
        </w:rPr>
        <w:t xml:space="preserve">. </w:t>
      </w:r>
      <w:r w:rsidR="00CF0BBC" w:rsidRPr="00997C23">
        <w:rPr>
          <w:rFonts w:ascii="Times New Roman" w:eastAsia="Times New Roman" w:hAnsi="Times New Roman" w:cs="Times New Roman"/>
          <w:sz w:val="24"/>
          <w:szCs w:val="24"/>
          <w:lang w:eastAsia="bg-BG"/>
        </w:rPr>
        <w:t>Документирани са фрапиращи данни</w:t>
      </w:r>
      <w:r w:rsidRPr="00997C23">
        <w:rPr>
          <w:rFonts w:ascii="Times New Roman" w:hAnsi="Times New Roman" w:cs="Times New Roman"/>
          <w:sz w:val="24"/>
          <w:szCs w:val="24"/>
        </w:rPr>
        <w:t xml:space="preserve"> за </w:t>
      </w:r>
      <w:r w:rsidR="00CF0BBC" w:rsidRPr="00997C23">
        <w:rPr>
          <w:rFonts w:ascii="Times New Roman" w:eastAsia="Times New Roman" w:hAnsi="Times New Roman" w:cs="Times New Roman"/>
          <w:sz w:val="24"/>
          <w:szCs w:val="24"/>
          <w:lang w:eastAsia="bg-BG"/>
        </w:rPr>
        <w:t xml:space="preserve">високо ниво на смъртност, заболяемост, загубени години живот </w:t>
      </w:r>
      <w:r w:rsidR="00CF0BBC" w:rsidRPr="00997C23">
        <w:rPr>
          <w:rFonts w:ascii="Times New Roman" w:eastAsia="Times New Roman" w:hAnsi="Times New Roman" w:cs="Times New Roman"/>
          <w:sz w:val="24"/>
          <w:szCs w:val="24"/>
          <w:lang w:val="en-US" w:eastAsia="bg-BG"/>
        </w:rPr>
        <w:t>(</w:t>
      </w:r>
      <w:r w:rsidR="00CF0BBC" w:rsidRPr="00FB4BD6">
        <w:rPr>
          <w:rFonts w:ascii="Times New Roman" w:eastAsia="Times New Roman" w:hAnsi="Times New Roman" w:cs="Times New Roman"/>
          <w:sz w:val="24"/>
          <w:szCs w:val="24"/>
          <w:lang w:val="en-US" w:eastAsia="bg-BG"/>
        </w:rPr>
        <w:t>DALY)</w:t>
      </w:r>
      <w:r w:rsidR="00CF0BBC" w:rsidRPr="00997C23">
        <w:rPr>
          <w:rFonts w:ascii="Times New Roman" w:eastAsia="Times New Roman" w:hAnsi="Times New Roman" w:cs="Times New Roman"/>
          <w:sz w:val="24"/>
          <w:szCs w:val="24"/>
          <w:lang w:eastAsia="bg-BG"/>
        </w:rPr>
        <w:t xml:space="preserve"> и високи финансови разходи </w:t>
      </w:r>
      <w:r w:rsidR="000A60FB" w:rsidRPr="00997C23">
        <w:rPr>
          <w:rFonts w:ascii="Times New Roman" w:eastAsia="Times New Roman" w:hAnsi="Times New Roman" w:cs="Times New Roman"/>
          <w:sz w:val="24"/>
          <w:szCs w:val="24"/>
          <w:lang w:eastAsia="bg-BG"/>
        </w:rPr>
        <w:t xml:space="preserve">поради </w:t>
      </w:r>
      <w:r w:rsidR="00CF0BBC" w:rsidRPr="00997C23">
        <w:rPr>
          <w:rFonts w:ascii="Times New Roman" w:eastAsia="Times New Roman" w:hAnsi="Times New Roman" w:cs="Times New Roman"/>
          <w:sz w:val="24"/>
          <w:szCs w:val="24"/>
          <w:lang w:eastAsia="bg-BG"/>
        </w:rPr>
        <w:t>инфекции с полирезистентни микроорганизми.</w:t>
      </w:r>
      <w:r w:rsidRPr="00997C23">
        <w:rPr>
          <w:rFonts w:ascii="Times New Roman" w:hAnsi="Times New Roman" w:cs="Times New Roman"/>
          <w:sz w:val="24"/>
          <w:szCs w:val="24"/>
        </w:rPr>
        <w:t xml:space="preserve"> </w:t>
      </w:r>
      <w:r w:rsidR="00DF6261" w:rsidRPr="00997C23">
        <w:rPr>
          <w:rFonts w:ascii="Times New Roman" w:eastAsia="Times New Roman" w:hAnsi="Times New Roman" w:cs="Times New Roman"/>
          <w:sz w:val="24"/>
          <w:szCs w:val="24"/>
          <w:lang w:eastAsia="bg-BG"/>
        </w:rPr>
        <w:t>О</w:t>
      </w:r>
      <w:r w:rsidR="00CF0BBC" w:rsidRPr="00997C23">
        <w:rPr>
          <w:rFonts w:ascii="Times New Roman" w:eastAsia="Times New Roman" w:hAnsi="Times New Roman" w:cs="Times New Roman"/>
          <w:sz w:val="24"/>
          <w:szCs w:val="24"/>
          <w:lang w:eastAsia="bg-BG"/>
        </w:rPr>
        <w:t>ще към началото на 2017 г</w:t>
      </w:r>
      <w:r w:rsidR="003E7D1C" w:rsidRPr="00997C23">
        <w:rPr>
          <w:rFonts w:ascii="Times New Roman" w:eastAsia="Times New Roman" w:hAnsi="Times New Roman" w:cs="Times New Roman"/>
          <w:sz w:val="24"/>
          <w:szCs w:val="24"/>
          <w:lang w:val="en-US" w:eastAsia="bg-BG"/>
        </w:rPr>
        <w:t>.</w:t>
      </w:r>
      <w:r w:rsidR="00CF0BBC" w:rsidRPr="00997C23">
        <w:rPr>
          <w:rFonts w:ascii="Times New Roman" w:eastAsia="Times New Roman" w:hAnsi="Times New Roman" w:cs="Times New Roman"/>
          <w:sz w:val="24"/>
          <w:szCs w:val="24"/>
          <w:lang w:eastAsia="bg-BG"/>
        </w:rPr>
        <w:t xml:space="preserve"> 14 държави </w:t>
      </w:r>
      <w:r w:rsidR="002E5BAA" w:rsidRPr="00997C23">
        <w:rPr>
          <w:rFonts w:ascii="Times New Roman" w:eastAsia="Times New Roman" w:hAnsi="Times New Roman" w:cs="Times New Roman"/>
          <w:sz w:val="24"/>
          <w:szCs w:val="24"/>
          <w:lang w:eastAsia="bg-BG"/>
        </w:rPr>
        <w:t xml:space="preserve">от Европейския съюз </w:t>
      </w:r>
      <w:r w:rsidR="00CF0BBC" w:rsidRPr="00997C23">
        <w:rPr>
          <w:rFonts w:ascii="Times New Roman" w:eastAsia="Times New Roman" w:hAnsi="Times New Roman" w:cs="Times New Roman"/>
          <w:sz w:val="24"/>
          <w:szCs w:val="24"/>
          <w:lang w:eastAsia="bg-BG"/>
        </w:rPr>
        <w:t>имат изработен</w:t>
      </w:r>
      <w:r w:rsidR="00C80064" w:rsidRPr="00997C23">
        <w:rPr>
          <w:rFonts w:ascii="Times New Roman" w:eastAsia="Times New Roman" w:hAnsi="Times New Roman" w:cs="Times New Roman"/>
          <w:sz w:val="24"/>
          <w:szCs w:val="24"/>
          <w:lang w:eastAsia="bg-BG"/>
        </w:rPr>
        <w:t>и</w:t>
      </w:r>
      <w:r w:rsidR="00CF0BBC" w:rsidRPr="00997C23">
        <w:rPr>
          <w:rFonts w:ascii="Times New Roman" w:eastAsia="Times New Roman" w:hAnsi="Times New Roman" w:cs="Times New Roman"/>
          <w:sz w:val="24"/>
          <w:szCs w:val="24"/>
          <w:lang w:eastAsia="bg-BG"/>
        </w:rPr>
        <w:t xml:space="preserve"> </w:t>
      </w:r>
      <w:r w:rsidR="00AA4BF2">
        <w:rPr>
          <w:rFonts w:ascii="Times New Roman" w:eastAsia="Times New Roman" w:hAnsi="Times New Roman" w:cs="Times New Roman"/>
          <w:sz w:val="24"/>
          <w:szCs w:val="24"/>
          <w:lang w:eastAsia="bg-BG"/>
        </w:rPr>
        <w:t xml:space="preserve">планове </w:t>
      </w:r>
      <w:r w:rsidR="00882F2E">
        <w:rPr>
          <w:rFonts w:ascii="Times New Roman" w:eastAsia="Times New Roman" w:hAnsi="Times New Roman" w:cs="Times New Roman"/>
          <w:sz w:val="24"/>
          <w:szCs w:val="24"/>
          <w:lang w:eastAsia="bg-BG"/>
        </w:rPr>
        <w:t>или програми</w:t>
      </w:r>
      <w:r w:rsidR="002E5BAA" w:rsidRPr="00997C23">
        <w:rPr>
          <w:rFonts w:ascii="Times New Roman" w:eastAsia="Times New Roman" w:hAnsi="Times New Roman" w:cs="Times New Roman"/>
          <w:sz w:val="24"/>
          <w:szCs w:val="24"/>
          <w:lang w:eastAsia="bg-BG"/>
        </w:rPr>
        <w:t xml:space="preserve"> за действие срещу АМР</w:t>
      </w:r>
      <w:r w:rsidR="00CF0BBC" w:rsidRPr="00997C23">
        <w:rPr>
          <w:rFonts w:ascii="Times New Roman" w:eastAsia="Times New Roman" w:hAnsi="Times New Roman" w:cs="Times New Roman"/>
          <w:sz w:val="24"/>
          <w:szCs w:val="24"/>
          <w:lang w:eastAsia="bg-BG"/>
        </w:rPr>
        <w:t xml:space="preserve">. В основата на </w:t>
      </w:r>
      <w:r w:rsidR="00882F2E">
        <w:rPr>
          <w:rFonts w:ascii="Times New Roman" w:eastAsia="Times New Roman" w:hAnsi="Times New Roman" w:cs="Times New Roman"/>
          <w:sz w:val="24"/>
          <w:szCs w:val="24"/>
          <w:lang w:eastAsia="bg-BG"/>
        </w:rPr>
        <w:t xml:space="preserve">документите </w:t>
      </w:r>
      <w:r w:rsidR="00CF0BBC" w:rsidRPr="00997C23">
        <w:rPr>
          <w:rFonts w:ascii="Times New Roman" w:eastAsia="Times New Roman" w:hAnsi="Times New Roman" w:cs="Times New Roman"/>
          <w:sz w:val="24"/>
          <w:szCs w:val="24"/>
          <w:lang w:eastAsia="bg-BG"/>
        </w:rPr>
        <w:t xml:space="preserve">по правило стои въпросът за рационално прилагане на антибиотиците като държавна политика и включва задължително </w:t>
      </w:r>
      <w:r w:rsidR="00DF6261" w:rsidRPr="00997C23">
        <w:rPr>
          <w:rFonts w:ascii="Times New Roman" w:eastAsia="Times New Roman" w:hAnsi="Times New Roman" w:cs="Times New Roman"/>
          <w:sz w:val="24"/>
          <w:szCs w:val="24"/>
          <w:lang w:eastAsia="bg-BG"/>
        </w:rPr>
        <w:t xml:space="preserve">контрол </w:t>
      </w:r>
      <w:r w:rsidR="00CF0BBC" w:rsidRPr="00997C23">
        <w:rPr>
          <w:rFonts w:ascii="Times New Roman" w:eastAsia="Times New Roman" w:hAnsi="Times New Roman" w:cs="Times New Roman"/>
          <w:sz w:val="24"/>
          <w:szCs w:val="24"/>
          <w:lang w:eastAsia="bg-BG"/>
        </w:rPr>
        <w:t>на инфекциите, обучение</w:t>
      </w:r>
      <w:r w:rsidR="00DF6261" w:rsidRPr="00997C23">
        <w:rPr>
          <w:rFonts w:ascii="Times New Roman" w:eastAsia="Times New Roman" w:hAnsi="Times New Roman" w:cs="Times New Roman"/>
          <w:sz w:val="24"/>
          <w:szCs w:val="24"/>
          <w:lang w:eastAsia="bg-BG"/>
        </w:rPr>
        <w:t xml:space="preserve"> и</w:t>
      </w:r>
      <w:r w:rsidR="00CF0BBC" w:rsidRPr="00997C23">
        <w:rPr>
          <w:rFonts w:ascii="Times New Roman" w:eastAsia="Times New Roman" w:hAnsi="Times New Roman" w:cs="Times New Roman"/>
          <w:sz w:val="24"/>
          <w:szCs w:val="24"/>
          <w:lang w:eastAsia="bg-BG"/>
        </w:rPr>
        <w:t xml:space="preserve"> научни разработки</w:t>
      </w:r>
      <w:r w:rsidR="00CF0BBC" w:rsidRPr="00997C23">
        <w:rPr>
          <w:rFonts w:ascii="Times New Roman" w:eastAsia="Times New Roman" w:hAnsi="Times New Roman" w:cs="Times New Roman"/>
          <w:sz w:val="24"/>
          <w:szCs w:val="24"/>
          <w:lang w:val="en-US" w:eastAsia="bg-BG"/>
        </w:rPr>
        <w:t>.</w:t>
      </w:r>
    </w:p>
    <w:p w14:paraId="48D65EF6" w14:textId="77777777" w:rsidR="00CF0BBC" w:rsidRPr="00997C23" w:rsidRDefault="00CF0BBC" w:rsidP="00E843C8">
      <w:pPr>
        <w:spacing w:after="0" w:line="360" w:lineRule="auto"/>
        <w:ind w:firstLine="708"/>
        <w:jc w:val="both"/>
        <w:rPr>
          <w:rFonts w:ascii="Times New Roman" w:eastAsia="Times New Roman" w:hAnsi="Times New Roman" w:cs="Times New Roman"/>
          <w:sz w:val="24"/>
          <w:szCs w:val="24"/>
          <w:lang w:eastAsia="bg-BG"/>
        </w:rPr>
      </w:pPr>
      <w:r w:rsidRPr="00997C23">
        <w:rPr>
          <w:rFonts w:ascii="Times New Roman" w:eastAsia="Times New Roman" w:hAnsi="Times New Roman" w:cs="Times New Roman"/>
          <w:sz w:val="24"/>
          <w:szCs w:val="24"/>
          <w:lang w:eastAsia="bg-BG"/>
        </w:rPr>
        <w:t>Целта на настоящ</w:t>
      </w:r>
      <w:r w:rsidR="00882F2E">
        <w:rPr>
          <w:rFonts w:ascii="Times New Roman" w:eastAsia="Times New Roman" w:hAnsi="Times New Roman" w:cs="Times New Roman"/>
          <w:sz w:val="24"/>
          <w:szCs w:val="24"/>
          <w:lang w:eastAsia="bg-BG"/>
        </w:rPr>
        <w:t>ата Програма</w:t>
      </w:r>
      <w:r w:rsidRPr="00997C23">
        <w:rPr>
          <w:rFonts w:ascii="Times New Roman" w:eastAsia="Times New Roman" w:hAnsi="Times New Roman" w:cs="Times New Roman"/>
          <w:sz w:val="24"/>
          <w:szCs w:val="24"/>
          <w:lang w:eastAsia="bg-BG"/>
        </w:rPr>
        <w:t xml:space="preserve"> е ограничаване на </w:t>
      </w:r>
      <w:r w:rsidR="005A47D8">
        <w:rPr>
          <w:rFonts w:ascii="Times New Roman" w:eastAsia="Times New Roman" w:hAnsi="Times New Roman" w:cs="Times New Roman"/>
          <w:sz w:val="24"/>
          <w:szCs w:val="24"/>
          <w:lang w:eastAsia="bg-BG"/>
        </w:rPr>
        <w:t>АМР</w:t>
      </w:r>
      <w:r w:rsidRPr="00997C23">
        <w:rPr>
          <w:rFonts w:ascii="Times New Roman" w:eastAsia="Times New Roman" w:hAnsi="Times New Roman" w:cs="Times New Roman"/>
          <w:sz w:val="24"/>
          <w:szCs w:val="24"/>
          <w:lang w:eastAsia="bg-BG"/>
        </w:rPr>
        <w:t xml:space="preserve"> </w:t>
      </w:r>
      <w:r w:rsidR="00A02220" w:rsidRPr="00997C23">
        <w:rPr>
          <w:rFonts w:ascii="Times New Roman" w:hAnsi="Times New Roman" w:cs="Times New Roman"/>
          <w:sz w:val="24"/>
          <w:szCs w:val="24"/>
        </w:rPr>
        <w:t>в</w:t>
      </w:r>
      <w:r w:rsidR="00560BD6" w:rsidRPr="00997C23">
        <w:rPr>
          <w:rFonts w:ascii="Times New Roman" w:hAnsi="Times New Roman" w:cs="Times New Roman"/>
          <w:sz w:val="24"/>
          <w:szCs w:val="24"/>
        </w:rPr>
        <w:t xml:space="preserve"> </w:t>
      </w:r>
      <w:r w:rsidRPr="00997C23">
        <w:rPr>
          <w:rFonts w:ascii="Times New Roman" w:eastAsia="Times New Roman" w:hAnsi="Times New Roman" w:cs="Times New Roman"/>
          <w:sz w:val="24"/>
          <w:szCs w:val="24"/>
          <w:lang w:eastAsia="bg-BG"/>
        </w:rPr>
        <w:t xml:space="preserve">контекста на концепцията на СЗО </w:t>
      </w:r>
      <w:r w:rsidR="00DF6261" w:rsidRPr="00997C23">
        <w:rPr>
          <w:rFonts w:ascii="Times New Roman" w:eastAsia="Times New Roman" w:hAnsi="Times New Roman" w:cs="Times New Roman"/>
          <w:sz w:val="24"/>
          <w:szCs w:val="24"/>
          <w:lang w:eastAsia="bg-BG"/>
        </w:rPr>
        <w:t>„Е</w:t>
      </w:r>
      <w:r w:rsidRPr="00997C23">
        <w:rPr>
          <w:rFonts w:ascii="Times New Roman" w:eastAsia="Times New Roman" w:hAnsi="Times New Roman" w:cs="Times New Roman"/>
          <w:sz w:val="24"/>
          <w:szCs w:val="24"/>
          <w:lang w:eastAsia="bg-BG"/>
        </w:rPr>
        <w:t>дно здраве</w:t>
      </w:r>
      <w:r w:rsidR="006B7747">
        <w:rPr>
          <w:rFonts w:ascii="Times New Roman" w:eastAsia="Times New Roman" w:hAnsi="Times New Roman" w:cs="Times New Roman"/>
          <w:sz w:val="24"/>
          <w:szCs w:val="24"/>
          <w:lang w:eastAsia="bg-BG"/>
        </w:rPr>
        <w:t>“</w:t>
      </w:r>
      <w:r w:rsidRPr="00997C23">
        <w:rPr>
          <w:rFonts w:ascii="Times New Roman" w:eastAsia="Times New Roman" w:hAnsi="Times New Roman" w:cs="Times New Roman"/>
          <w:sz w:val="24"/>
          <w:szCs w:val="24"/>
          <w:lang w:eastAsia="bg-BG"/>
        </w:rPr>
        <w:t xml:space="preserve">, визирайки взаимосвързаните проблеми в хуманната, ветеринарната медицина и околната среда. В </w:t>
      </w:r>
      <w:r w:rsidR="00882F2E">
        <w:rPr>
          <w:rFonts w:ascii="Times New Roman" w:eastAsia="Times New Roman" w:hAnsi="Times New Roman" w:cs="Times New Roman"/>
          <w:sz w:val="24"/>
          <w:szCs w:val="24"/>
          <w:lang w:eastAsia="bg-BG"/>
        </w:rPr>
        <w:t>Програмат</w:t>
      </w:r>
      <w:r w:rsidR="002E5BAA" w:rsidRPr="00997C23">
        <w:rPr>
          <w:rFonts w:ascii="Times New Roman" w:eastAsia="Times New Roman" w:hAnsi="Times New Roman" w:cs="Times New Roman"/>
          <w:sz w:val="24"/>
          <w:szCs w:val="24"/>
          <w:lang w:eastAsia="bg-BG"/>
        </w:rPr>
        <w:t xml:space="preserve">а </w:t>
      </w:r>
      <w:r w:rsidRPr="00997C23">
        <w:rPr>
          <w:rFonts w:ascii="Times New Roman" w:eastAsia="Times New Roman" w:hAnsi="Times New Roman" w:cs="Times New Roman"/>
          <w:sz w:val="24"/>
          <w:szCs w:val="24"/>
          <w:lang w:eastAsia="bg-BG"/>
        </w:rPr>
        <w:t>на базата на досегашния национален опит и на проучване на световната експертна литература са поставени следните</w:t>
      </w:r>
      <w:r w:rsidR="00294484" w:rsidRPr="00997C23">
        <w:rPr>
          <w:rFonts w:ascii="Times New Roman" w:eastAsia="Times New Roman" w:hAnsi="Times New Roman" w:cs="Times New Roman"/>
          <w:sz w:val="24"/>
          <w:szCs w:val="24"/>
          <w:lang w:eastAsia="bg-BG"/>
        </w:rPr>
        <w:t xml:space="preserve"> </w:t>
      </w:r>
      <w:r w:rsidR="00C27996">
        <w:rPr>
          <w:rFonts w:ascii="Times New Roman" w:eastAsia="Times New Roman" w:hAnsi="Times New Roman" w:cs="Times New Roman"/>
          <w:sz w:val="24"/>
          <w:szCs w:val="24"/>
          <w:lang w:eastAsia="bg-BG"/>
        </w:rPr>
        <w:t>основни</w:t>
      </w:r>
      <w:r w:rsidR="00C27996" w:rsidRPr="00997C23">
        <w:rPr>
          <w:rFonts w:ascii="Times New Roman" w:eastAsia="Times New Roman" w:hAnsi="Times New Roman" w:cs="Times New Roman"/>
          <w:sz w:val="24"/>
          <w:szCs w:val="24"/>
          <w:lang w:eastAsia="bg-BG"/>
        </w:rPr>
        <w:t xml:space="preserve"> </w:t>
      </w:r>
      <w:r w:rsidR="00294484" w:rsidRPr="00997C23">
        <w:rPr>
          <w:rFonts w:ascii="Times New Roman" w:eastAsia="Times New Roman" w:hAnsi="Times New Roman" w:cs="Times New Roman"/>
          <w:sz w:val="24"/>
          <w:szCs w:val="24"/>
          <w:lang w:eastAsia="bg-BG"/>
        </w:rPr>
        <w:t>цели</w:t>
      </w:r>
      <w:r w:rsidRPr="00997C23">
        <w:rPr>
          <w:rFonts w:ascii="Times New Roman" w:eastAsia="Times New Roman" w:hAnsi="Times New Roman" w:cs="Times New Roman"/>
          <w:sz w:val="24"/>
          <w:szCs w:val="24"/>
          <w:lang w:eastAsia="bg-BG"/>
        </w:rPr>
        <w:t xml:space="preserve">: </w:t>
      </w:r>
    </w:p>
    <w:p w14:paraId="6305DAE2" w14:textId="77777777" w:rsidR="00294484" w:rsidRPr="00E63DA6" w:rsidRDefault="00294484" w:rsidP="00E63DA6">
      <w:pPr>
        <w:pStyle w:val="ListParagraph"/>
        <w:numPr>
          <w:ilvl w:val="0"/>
          <w:numId w:val="8"/>
        </w:numPr>
        <w:spacing w:after="0" w:line="360" w:lineRule="auto"/>
        <w:jc w:val="both"/>
        <w:rPr>
          <w:rFonts w:ascii="Times New Roman" w:hAnsi="Times New Roman"/>
          <w:b/>
          <w:kern w:val="24"/>
          <w:szCs w:val="24"/>
          <w:lang w:val="en-US"/>
        </w:rPr>
      </w:pPr>
      <w:r w:rsidRPr="00E63DA6">
        <w:rPr>
          <w:rFonts w:ascii="Times New Roman" w:hAnsi="Times New Roman"/>
          <w:b/>
          <w:kern w:val="24"/>
          <w:szCs w:val="24"/>
        </w:rPr>
        <w:t xml:space="preserve">Повишаване на обществената </w:t>
      </w:r>
      <w:r w:rsidR="00C825A2" w:rsidRPr="00E63DA6">
        <w:rPr>
          <w:rFonts w:ascii="Times New Roman" w:hAnsi="Times New Roman"/>
          <w:b/>
          <w:kern w:val="24"/>
          <w:szCs w:val="24"/>
        </w:rPr>
        <w:t xml:space="preserve">и професионална </w:t>
      </w:r>
      <w:r w:rsidRPr="00E63DA6">
        <w:rPr>
          <w:rFonts w:ascii="Times New Roman" w:hAnsi="Times New Roman"/>
          <w:b/>
          <w:kern w:val="24"/>
          <w:szCs w:val="24"/>
        </w:rPr>
        <w:t xml:space="preserve">осведоменост и знания за рисковете от развитие на </w:t>
      </w:r>
      <w:r w:rsidR="005A47D8" w:rsidRPr="00E63DA6">
        <w:rPr>
          <w:rFonts w:ascii="Times New Roman" w:hAnsi="Times New Roman"/>
          <w:b/>
          <w:kern w:val="24"/>
          <w:szCs w:val="24"/>
        </w:rPr>
        <w:t>АМР</w:t>
      </w:r>
      <w:r w:rsidRPr="00E63DA6">
        <w:rPr>
          <w:rFonts w:ascii="Times New Roman" w:hAnsi="Times New Roman"/>
          <w:b/>
          <w:kern w:val="24"/>
          <w:szCs w:val="24"/>
        </w:rPr>
        <w:t xml:space="preserve"> чрез ефективна комуникация, образование и обучение</w:t>
      </w:r>
      <w:r w:rsidR="005A47D8" w:rsidRPr="00E63DA6">
        <w:rPr>
          <w:rFonts w:ascii="Times New Roman" w:hAnsi="Times New Roman"/>
          <w:b/>
          <w:kern w:val="24"/>
          <w:szCs w:val="24"/>
        </w:rPr>
        <w:t>;</w:t>
      </w:r>
    </w:p>
    <w:p w14:paraId="72AAEFEF" w14:textId="77777777" w:rsidR="00294484" w:rsidRPr="00021BE3" w:rsidRDefault="00294484" w:rsidP="00021BE3">
      <w:pPr>
        <w:pStyle w:val="ListParagraph"/>
        <w:numPr>
          <w:ilvl w:val="0"/>
          <w:numId w:val="8"/>
        </w:numPr>
        <w:spacing w:after="0" w:line="360" w:lineRule="auto"/>
        <w:jc w:val="both"/>
        <w:rPr>
          <w:rFonts w:ascii="Times New Roman" w:hAnsi="Times New Roman"/>
          <w:b/>
          <w:kern w:val="24"/>
          <w:szCs w:val="24"/>
        </w:rPr>
      </w:pPr>
      <w:r w:rsidRPr="0061777D">
        <w:rPr>
          <w:rFonts w:ascii="Times New Roman" w:hAnsi="Times New Roman"/>
          <w:b/>
          <w:kern w:val="24"/>
          <w:szCs w:val="24"/>
        </w:rPr>
        <w:t>Повишаване и укрепване на базата от данни, знания и доказателства</w:t>
      </w:r>
      <w:r w:rsidR="002E5BAA" w:rsidRPr="0061777D">
        <w:rPr>
          <w:rFonts w:ascii="Times New Roman" w:hAnsi="Times New Roman"/>
          <w:b/>
          <w:kern w:val="24"/>
          <w:szCs w:val="24"/>
        </w:rPr>
        <w:t xml:space="preserve"> за АМР в страната,</w:t>
      </w:r>
      <w:r w:rsidRPr="0061777D">
        <w:rPr>
          <w:rFonts w:ascii="Times New Roman" w:hAnsi="Times New Roman"/>
          <w:b/>
          <w:kern w:val="24"/>
          <w:szCs w:val="24"/>
        </w:rPr>
        <w:t xml:space="preserve"> получени чрез наблюдение и изследване</w:t>
      </w:r>
      <w:r w:rsidR="005A47D8" w:rsidRPr="0061777D">
        <w:rPr>
          <w:rFonts w:ascii="Times New Roman" w:hAnsi="Times New Roman"/>
          <w:b/>
          <w:kern w:val="24"/>
          <w:szCs w:val="24"/>
        </w:rPr>
        <w:t>;</w:t>
      </w:r>
    </w:p>
    <w:p w14:paraId="22C389E1" w14:textId="77777777" w:rsidR="00294484" w:rsidRPr="00021BE3" w:rsidRDefault="00294484" w:rsidP="00021BE3">
      <w:pPr>
        <w:pStyle w:val="ListParagraph"/>
        <w:numPr>
          <w:ilvl w:val="0"/>
          <w:numId w:val="8"/>
        </w:numPr>
        <w:spacing w:after="0" w:line="360" w:lineRule="auto"/>
        <w:jc w:val="both"/>
        <w:rPr>
          <w:rFonts w:ascii="Times New Roman" w:hAnsi="Times New Roman"/>
          <w:b/>
          <w:kern w:val="24"/>
          <w:szCs w:val="24"/>
        </w:rPr>
      </w:pPr>
      <w:r w:rsidRPr="00021BE3">
        <w:rPr>
          <w:rFonts w:ascii="Times New Roman" w:hAnsi="Times New Roman"/>
          <w:b/>
          <w:kern w:val="24"/>
          <w:szCs w:val="24"/>
        </w:rPr>
        <w:t>Засилване на мерките</w:t>
      </w:r>
      <w:r w:rsidR="002E5BAA" w:rsidRPr="00021BE3">
        <w:rPr>
          <w:rFonts w:ascii="Times New Roman" w:hAnsi="Times New Roman"/>
          <w:b/>
          <w:kern w:val="24"/>
          <w:szCs w:val="24"/>
        </w:rPr>
        <w:t xml:space="preserve"> по к</w:t>
      </w:r>
      <w:r w:rsidRPr="00021BE3">
        <w:rPr>
          <w:rFonts w:ascii="Times New Roman" w:hAnsi="Times New Roman"/>
          <w:b/>
          <w:kern w:val="24"/>
          <w:szCs w:val="24"/>
        </w:rPr>
        <w:t>онтрола и превенцията на инфекциите</w:t>
      </w:r>
      <w:r w:rsidR="00882F2E" w:rsidRPr="00021BE3">
        <w:rPr>
          <w:rFonts w:ascii="Times New Roman" w:hAnsi="Times New Roman"/>
          <w:b/>
          <w:kern w:val="24"/>
          <w:szCs w:val="24"/>
        </w:rPr>
        <w:t xml:space="preserve"> и н</w:t>
      </w:r>
      <w:r w:rsidRPr="00021BE3">
        <w:rPr>
          <w:rFonts w:ascii="Times New Roman" w:hAnsi="Times New Roman"/>
          <w:b/>
          <w:kern w:val="24"/>
          <w:szCs w:val="24"/>
        </w:rPr>
        <w:t xml:space="preserve">амаляване на случаите на инфекции чрез </w:t>
      </w:r>
      <w:r w:rsidR="005C44A8" w:rsidRPr="00021BE3">
        <w:rPr>
          <w:rFonts w:ascii="Times New Roman" w:hAnsi="Times New Roman"/>
          <w:b/>
          <w:kern w:val="24"/>
          <w:szCs w:val="24"/>
        </w:rPr>
        <w:t>превантивни действия</w:t>
      </w:r>
      <w:r w:rsidR="005C44A8" w:rsidRPr="0061777D">
        <w:rPr>
          <w:rFonts w:ascii="Times New Roman" w:hAnsi="Times New Roman"/>
          <w:b/>
          <w:kern w:val="24"/>
          <w:szCs w:val="24"/>
        </w:rPr>
        <w:t>,</w:t>
      </w:r>
      <w:r w:rsidR="005C44A8" w:rsidRPr="00021BE3">
        <w:rPr>
          <w:rFonts w:ascii="Times New Roman" w:hAnsi="Times New Roman"/>
          <w:b/>
          <w:kern w:val="24"/>
          <w:szCs w:val="24"/>
        </w:rPr>
        <w:t xml:space="preserve"> добри хигиенни практики </w:t>
      </w:r>
      <w:r w:rsidR="005C44A8" w:rsidRPr="0061777D">
        <w:rPr>
          <w:rFonts w:ascii="Times New Roman" w:hAnsi="Times New Roman"/>
          <w:b/>
          <w:kern w:val="24"/>
          <w:szCs w:val="24"/>
        </w:rPr>
        <w:t xml:space="preserve">и </w:t>
      </w:r>
      <w:r w:rsidRPr="00021BE3">
        <w:rPr>
          <w:rFonts w:ascii="Times New Roman" w:hAnsi="Times New Roman"/>
          <w:b/>
          <w:kern w:val="24"/>
          <w:szCs w:val="24"/>
        </w:rPr>
        <w:t xml:space="preserve">ефективни </w:t>
      </w:r>
      <w:r w:rsidR="005C44A8" w:rsidRPr="0061777D">
        <w:rPr>
          <w:rFonts w:ascii="Times New Roman" w:hAnsi="Times New Roman"/>
          <w:b/>
          <w:kern w:val="24"/>
          <w:szCs w:val="24"/>
        </w:rPr>
        <w:t xml:space="preserve">противоепидемични </w:t>
      </w:r>
      <w:r w:rsidRPr="00021BE3">
        <w:rPr>
          <w:rFonts w:ascii="Times New Roman" w:hAnsi="Times New Roman"/>
          <w:b/>
          <w:kern w:val="24"/>
          <w:szCs w:val="24"/>
        </w:rPr>
        <w:t>мерки</w:t>
      </w:r>
      <w:r w:rsidR="005A47D8" w:rsidRPr="0061777D">
        <w:rPr>
          <w:rFonts w:ascii="Times New Roman" w:hAnsi="Times New Roman"/>
          <w:b/>
          <w:kern w:val="24"/>
          <w:szCs w:val="24"/>
        </w:rPr>
        <w:t>;</w:t>
      </w:r>
    </w:p>
    <w:p w14:paraId="428D3F80" w14:textId="77777777" w:rsidR="00294484" w:rsidRPr="00021BE3" w:rsidRDefault="00294484" w:rsidP="00021BE3">
      <w:pPr>
        <w:pStyle w:val="ListParagraph"/>
        <w:numPr>
          <w:ilvl w:val="0"/>
          <w:numId w:val="8"/>
        </w:numPr>
        <w:spacing w:after="0" w:line="360" w:lineRule="auto"/>
        <w:jc w:val="both"/>
        <w:rPr>
          <w:rFonts w:ascii="Times New Roman" w:hAnsi="Times New Roman"/>
          <w:b/>
          <w:kern w:val="24"/>
          <w:szCs w:val="24"/>
        </w:rPr>
      </w:pPr>
      <w:r w:rsidRPr="00021BE3">
        <w:rPr>
          <w:rFonts w:ascii="Times New Roman" w:hAnsi="Times New Roman"/>
          <w:b/>
          <w:kern w:val="24"/>
          <w:szCs w:val="24"/>
        </w:rPr>
        <w:lastRenderedPageBreak/>
        <w:t xml:space="preserve">Оптимизиране </w:t>
      </w:r>
      <w:r w:rsidR="00EC3F2D" w:rsidRPr="0061777D">
        <w:rPr>
          <w:rFonts w:ascii="Times New Roman" w:hAnsi="Times New Roman"/>
          <w:b/>
          <w:kern w:val="24"/>
          <w:szCs w:val="24"/>
        </w:rPr>
        <w:t xml:space="preserve">на </w:t>
      </w:r>
      <w:r w:rsidRPr="0061777D">
        <w:rPr>
          <w:rFonts w:ascii="Times New Roman" w:hAnsi="Times New Roman"/>
          <w:b/>
          <w:kern w:val="24"/>
          <w:szCs w:val="24"/>
        </w:rPr>
        <w:t>прил</w:t>
      </w:r>
      <w:r w:rsidR="005C44A8" w:rsidRPr="0061777D">
        <w:rPr>
          <w:rFonts w:ascii="Times New Roman" w:hAnsi="Times New Roman"/>
          <w:b/>
          <w:kern w:val="24"/>
          <w:szCs w:val="24"/>
        </w:rPr>
        <w:t>агането</w:t>
      </w:r>
      <w:r w:rsidRPr="00021BE3">
        <w:rPr>
          <w:rFonts w:ascii="Times New Roman" w:hAnsi="Times New Roman"/>
          <w:b/>
          <w:kern w:val="24"/>
          <w:szCs w:val="24"/>
        </w:rPr>
        <w:t xml:space="preserve"> на </w:t>
      </w:r>
      <w:r w:rsidRPr="0061777D">
        <w:rPr>
          <w:rFonts w:ascii="Times New Roman" w:hAnsi="Times New Roman"/>
          <w:b/>
          <w:kern w:val="24"/>
          <w:szCs w:val="24"/>
        </w:rPr>
        <w:t>антибиотици при хора и животни</w:t>
      </w:r>
      <w:r w:rsidR="00882F2E" w:rsidRPr="0061777D">
        <w:rPr>
          <w:rFonts w:ascii="Times New Roman" w:hAnsi="Times New Roman"/>
          <w:b/>
          <w:kern w:val="24"/>
          <w:szCs w:val="24"/>
        </w:rPr>
        <w:t>;</w:t>
      </w:r>
    </w:p>
    <w:p w14:paraId="3FC9E545" w14:textId="77777777" w:rsidR="00294484" w:rsidRPr="00021BE3" w:rsidRDefault="00EC3F2D" w:rsidP="00021BE3">
      <w:pPr>
        <w:pStyle w:val="ListParagraph"/>
        <w:numPr>
          <w:ilvl w:val="0"/>
          <w:numId w:val="8"/>
        </w:numPr>
        <w:spacing w:after="0" w:line="360" w:lineRule="auto"/>
        <w:jc w:val="both"/>
        <w:rPr>
          <w:rFonts w:ascii="Times New Roman" w:hAnsi="Times New Roman"/>
          <w:b/>
          <w:kern w:val="24"/>
          <w:szCs w:val="24"/>
        </w:rPr>
      </w:pPr>
      <w:r w:rsidRPr="0061777D">
        <w:rPr>
          <w:rFonts w:ascii="Times New Roman" w:hAnsi="Times New Roman"/>
          <w:b/>
          <w:kern w:val="24"/>
          <w:szCs w:val="24"/>
        </w:rPr>
        <w:t xml:space="preserve">Осигуряване на ефективно управление и координация, мониторинг и оценка </w:t>
      </w:r>
      <w:r w:rsidR="0032787D" w:rsidRPr="0061777D">
        <w:rPr>
          <w:rFonts w:ascii="Times New Roman" w:hAnsi="Times New Roman"/>
          <w:b/>
          <w:kern w:val="24"/>
          <w:szCs w:val="24"/>
        </w:rPr>
        <w:t xml:space="preserve">(МиО) </w:t>
      </w:r>
      <w:r w:rsidRPr="0061777D">
        <w:rPr>
          <w:rFonts w:ascii="Times New Roman" w:hAnsi="Times New Roman"/>
          <w:b/>
          <w:kern w:val="24"/>
          <w:szCs w:val="24"/>
        </w:rPr>
        <w:t>на Националн</w:t>
      </w:r>
      <w:r w:rsidR="00882F2E" w:rsidRPr="0061777D">
        <w:rPr>
          <w:rFonts w:ascii="Times New Roman" w:hAnsi="Times New Roman"/>
          <w:b/>
          <w:kern w:val="24"/>
          <w:szCs w:val="24"/>
        </w:rPr>
        <w:t>ата</w:t>
      </w:r>
      <w:r w:rsidRPr="0061777D">
        <w:rPr>
          <w:rFonts w:ascii="Times New Roman" w:hAnsi="Times New Roman"/>
          <w:b/>
          <w:kern w:val="24"/>
          <w:szCs w:val="24"/>
        </w:rPr>
        <w:t xml:space="preserve"> </w:t>
      </w:r>
      <w:r w:rsidR="008B5626">
        <w:rPr>
          <w:rFonts w:ascii="Times New Roman" w:hAnsi="Times New Roman"/>
          <w:b/>
          <w:kern w:val="24"/>
          <w:szCs w:val="24"/>
        </w:rPr>
        <w:t>п</w:t>
      </w:r>
      <w:r w:rsidR="00882F2E" w:rsidRPr="0061777D">
        <w:rPr>
          <w:rFonts w:ascii="Times New Roman" w:hAnsi="Times New Roman"/>
          <w:b/>
          <w:kern w:val="24"/>
          <w:szCs w:val="24"/>
        </w:rPr>
        <w:t>рограма</w:t>
      </w:r>
      <w:r w:rsidRPr="0061777D">
        <w:rPr>
          <w:rFonts w:ascii="Times New Roman" w:hAnsi="Times New Roman"/>
          <w:b/>
          <w:kern w:val="24"/>
          <w:szCs w:val="24"/>
        </w:rPr>
        <w:t xml:space="preserve"> за действие срещу АМР</w:t>
      </w:r>
      <w:r w:rsidR="005A47D8" w:rsidRPr="0061777D">
        <w:rPr>
          <w:rFonts w:ascii="Times New Roman" w:hAnsi="Times New Roman"/>
          <w:b/>
          <w:kern w:val="24"/>
          <w:szCs w:val="24"/>
        </w:rPr>
        <w:t>.</w:t>
      </w:r>
    </w:p>
    <w:p w14:paraId="3F6D64C1" w14:textId="77777777" w:rsidR="008B5626" w:rsidRDefault="00CF0BBC" w:rsidP="00E843C8">
      <w:pPr>
        <w:spacing w:after="0" w:line="360" w:lineRule="auto"/>
        <w:ind w:firstLine="709"/>
        <w:jc w:val="both"/>
        <w:rPr>
          <w:rFonts w:ascii="Times New Roman" w:eastAsia="Calibri" w:hAnsi="Times New Roman" w:cs="Times New Roman"/>
          <w:sz w:val="24"/>
          <w:szCs w:val="24"/>
          <w:lang w:eastAsia="bg-BG"/>
        </w:rPr>
      </w:pPr>
      <w:r w:rsidRPr="00997C23">
        <w:rPr>
          <w:rFonts w:ascii="Times New Roman" w:eastAsia="Calibri" w:hAnsi="Times New Roman" w:cs="Times New Roman"/>
          <w:sz w:val="24"/>
          <w:szCs w:val="24"/>
          <w:lang w:eastAsia="bg-BG"/>
        </w:rPr>
        <w:t>Осъществяването на Националн</w:t>
      </w:r>
      <w:r w:rsidR="00882F2E">
        <w:rPr>
          <w:rFonts w:ascii="Times New Roman" w:eastAsia="Calibri" w:hAnsi="Times New Roman" w:cs="Times New Roman"/>
          <w:sz w:val="24"/>
          <w:szCs w:val="24"/>
          <w:lang w:eastAsia="bg-BG"/>
        </w:rPr>
        <w:t>ата</w:t>
      </w:r>
      <w:r w:rsidRPr="00997C23">
        <w:rPr>
          <w:rFonts w:ascii="Times New Roman" w:eastAsia="Calibri" w:hAnsi="Times New Roman" w:cs="Times New Roman"/>
          <w:sz w:val="24"/>
          <w:szCs w:val="24"/>
          <w:lang w:eastAsia="bg-BG"/>
        </w:rPr>
        <w:t xml:space="preserve"> </w:t>
      </w:r>
      <w:r w:rsidR="008B5626">
        <w:rPr>
          <w:rFonts w:ascii="Times New Roman" w:eastAsia="Calibri" w:hAnsi="Times New Roman" w:cs="Times New Roman"/>
          <w:sz w:val="24"/>
          <w:szCs w:val="24"/>
          <w:lang w:eastAsia="bg-BG"/>
        </w:rPr>
        <w:t>п</w:t>
      </w:r>
      <w:r w:rsidR="00882F2E">
        <w:rPr>
          <w:rFonts w:ascii="Times New Roman" w:eastAsia="Calibri" w:hAnsi="Times New Roman" w:cs="Times New Roman"/>
          <w:sz w:val="24"/>
          <w:szCs w:val="24"/>
          <w:lang w:eastAsia="bg-BG"/>
        </w:rPr>
        <w:t>рограма</w:t>
      </w:r>
      <w:r w:rsidRPr="00997C23">
        <w:rPr>
          <w:rFonts w:ascii="Times New Roman" w:eastAsia="Calibri" w:hAnsi="Times New Roman" w:cs="Times New Roman"/>
          <w:sz w:val="24"/>
          <w:szCs w:val="24"/>
          <w:lang w:eastAsia="bg-BG"/>
        </w:rPr>
        <w:t xml:space="preserve"> изисква координирани действия </w:t>
      </w:r>
      <w:r w:rsidR="003E7D1C" w:rsidRPr="00997C23">
        <w:rPr>
          <w:rFonts w:ascii="Times New Roman" w:eastAsia="Calibri" w:hAnsi="Times New Roman" w:cs="Times New Roman"/>
          <w:sz w:val="24"/>
          <w:szCs w:val="24"/>
          <w:lang w:eastAsia="bg-BG"/>
        </w:rPr>
        <w:t>в областта на</w:t>
      </w:r>
      <w:r w:rsidRPr="00997C23">
        <w:rPr>
          <w:rFonts w:ascii="Times New Roman" w:eastAsia="Calibri" w:hAnsi="Times New Roman" w:cs="Times New Roman"/>
          <w:sz w:val="24"/>
          <w:szCs w:val="24"/>
          <w:lang w:eastAsia="bg-BG"/>
        </w:rPr>
        <w:t xml:space="preserve"> хуманната и ветеринарна медицина, хигиената на храненето, на опазването на околната среда и водите, но също и достатъчни човешки и финансови ресурси, дефинирани в </w:t>
      </w:r>
      <w:r w:rsidR="00C27996">
        <w:rPr>
          <w:rFonts w:ascii="Times New Roman" w:eastAsia="Calibri" w:hAnsi="Times New Roman" w:cs="Times New Roman"/>
          <w:sz w:val="24"/>
          <w:szCs w:val="24"/>
          <w:lang w:eastAsia="bg-BG"/>
        </w:rPr>
        <w:t xml:space="preserve">Основните </w:t>
      </w:r>
      <w:r w:rsidR="00A56361">
        <w:rPr>
          <w:rFonts w:ascii="Times New Roman" w:eastAsia="Calibri" w:hAnsi="Times New Roman" w:cs="Times New Roman"/>
          <w:sz w:val="24"/>
          <w:szCs w:val="24"/>
          <w:lang w:eastAsia="bg-BG"/>
        </w:rPr>
        <w:t xml:space="preserve">цели и Работната </w:t>
      </w:r>
      <w:r w:rsidR="00882F2E">
        <w:rPr>
          <w:rFonts w:ascii="Times New Roman" w:eastAsia="Calibri" w:hAnsi="Times New Roman" w:cs="Times New Roman"/>
          <w:sz w:val="24"/>
          <w:szCs w:val="24"/>
          <w:lang w:eastAsia="bg-BG"/>
        </w:rPr>
        <w:t>Програма</w:t>
      </w:r>
      <w:r w:rsidR="00A56361">
        <w:rPr>
          <w:rFonts w:ascii="Times New Roman" w:eastAsia="Calibri" w:hAnsi="Times New Roman" w:cs="Times New Roman"/>
          <w:sz w:val="24"/>
          <w:szCs w:val="24"/>
          <w:lang w:eastAsia="bg-BG"/>
        </w:rPr>
        <w:t xml:space="preserve"> към Националната програма</w:t>
      </w:r>
      <w:r w:rsidRPr="00997C23">
        <w:rPr>
          <w:rFonts w:ascii="Times New Roman" w:eastAsia="Calibri" w:hAnsi="Times New Roman" w:cs="Times New Roman"/>
          <w:sz w:val="24"/>
          <w:szCs w:val="24"/>
          <w:lang w:eastAsia="bg-BG"/>
        </w:rPr>
        <w:t>.</w:t>
      </w:r>
      <w:r w:rsidR="00A56361">
        <w:rPr>
          <w:rFonts w:ascii="Times New Roman" w:eastAsia="Calibri" w:hAnsi="Times New Roman" w:cs="Times New Roman"/>
          <w:sz w:val="24"/>
          <w:szCs w:val="24"/>
          <w:lang w:eastAsia="bg-BG"/>
        </w:rPr>
        <w:t xml:space="preserve"> </w:t>
      </w:r>
    </w:p>
    <w:p w14:paraId="62BF0E09" w14:textId="77777777" w:rsidR="00CF0BBC" w:rsidRPr="00997C23" w:rsidRDefault="00A56361" w:rsidP="00E843C8">
      <w:pPr>
        <w:spacing w:after="0" w:line="360" w:lineRule="auto"/>
        <w:ind w:firstLine="709"/>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В з</w:t>
      </w:r>
      <w:r w:rsidR="00CF0BBC" w:rsidRPr="00997C23">
        <w:rPr>
          <w:rFonts w:ascii="Times New Roman" w:eastAsia="Calibri" w:hAnsi="Times New Roman" w:cs="Times New Roman"/>
          <w:sz w:val="24"/>
          <w:szCs w:val="24"/>
          <w:lang w:eastAsia="bg-BG"/>
        </w:rPr>
        <w:t>аключение</w:t>
      </w:r>
      <w:r>
        <w:rPr>
          <w:rFonts w:ascii="Times New Roman" w:eastAsia="Calibri" w:hAnsi="Times New Roman" w:cs="Times New Roman"/>
          <w:sz w:val="24"/>
          <w:szCs w:val="24"/>
          <w:lang w:eastAsia="bg-BG"/>
        </w:rPr>
        <w:t>: и</w:t>
      </w:r>
      <w:r w:rsidR="00CF0BBC" w:rsidRPr="00997C23">
        <w:rPr>
          <w:rFonts w:ascii="Times New Roman" w:eastAsia="Calibri" w:hAnsi="Times New Roman" w:cs="Times New Roman"/>
          <w:sz w:val="24"/>
          <w:szCs w:val="24"/>
          <w:lang w:eastAsia="bg-BG"/>
        </w:rPr>
        <w:t>зпълнението на Националн</w:t>
      </w:r>
      <w:r>
        <w:rPr>
          <w:rFonts w:ascii="Times New Roman" w:eastAsia="Calibri" w:hAnsi="Times New Roman" w:cs="Times New Roman"/>
          <w:sz w:val="24"/>
          <w:szCs w:val="24"/>
          <w:lang w:eastAsia="bg-BG"/>
        </w:rPr>
        <w:t xml:space="preserve">ата </w:t>
      </w:r>
      <w:r w:rsidR="008B5626">
        <w:rPr>
          <w:rFonts w:ascii="Times New Roman" w:eastAsia="Calibri" w:hAnsi="Times New Roman" w:cs="Times New Roman"/>
          <w:sz w:val="24"/>
          <w:szCs w:val="24"/>
          <w:lang w:eastAsia="bg-BG"/>
        </w:rPr>
        <w:t>п</w:t>
      </w:r>
      <w:r w:rsidR="00882F2E">
        <w:rPr>
          <w:rFonts w:ascii="Times New Roman" w:eastAsia="Calibri" w:hAnsi="Times New Roman" w:cs="Times New Roman"/>
          <w:sz w:val="24"/>
          <w:szCs w:val="24"/>
          <w:lang w:eastAsia="bg-BG"/>
        </w:rPr>
        <w:t>рограма</w:t>
      </w:r>
      <w:r w:rsidR="00CF0BBC" w:rsidRPr="00997C23">
        <w:rPr>
          <w:rFonts w:ascii="Times New Roman" w:eastAsia="Calibri" w:hAnsi="Times New Roman" w:cs="Times New Roman"/>
          <w:sz w:val="24"/>
          <w:szCs w:val="24"/>
          <w:lang w:eastAsia="bg-BG"/>
        </w:rPr>
        <w:t xml:space="preserve"> ще позволи ограничаване на </w:t>
      </w:r>
      <w:r w:rsidR="007B62BD">
        <w:rPr>
          <w:rFonts w:ascii="Times New Roman" w:eastAsia="Calibri" w:hAnsi="Times New Roman" w:cs="Times New Roman"/>
          <w:sz w:val="24"/>
          <w:szCs w:val="24"/>
          <w:lang w:eastAsia="bg-BG"/>
        </w:rPr>
        <w:t>АМР</w:t>
      </w:r>
      <w:r w:rsidR="00CF0BBC" w:rsidRPr="00997C23">
        <w:rPr>
          <w:rFonts w:ascii="Times New Roman" w:eastAsia="Calibri" w:hAnsi="Times New Roman" w:cs="Times New Roman"/>
          <w:sz w:val="24"/>
          <w:szCs w:val="24"/>
          <w:lang w:eastAsia="bg-BG"/>
        </w:rPr>
        <w:t>, оптимално прилагане на антибиотиците при хора и животни и трайно подобряване на здравните показатели.</w:t>
      </w:r>
    </w:p>
    <w:p w14:paraId="568A6BE0" w14:textId="77777777" w:rsidR="00CF0BBC" w:rsidRPr="00EE37D8" w:rsidRDefault="00CF0BBC" w:rsidP="00E843C8">
      <w:pPr>
        <w:spacing w:after="0" w:line="360" w:lineRule="auto"/>
        <w:ind w:firstLine="708"/>
        <w:jc w:val="both"/>
        <w:rPr>
          <w:rFonts w:ascii="Times New Roman" w:eastAsia="Times New Roman" w:hAnsi="Times New Roman" w:cs="Times New Roman"/>
          <w:sz w:val="24"/>
          <w:szCs w:val="24"/>
          <w:u w:val="single"/>
          <w:lang w:eastAsia="bg-BG"/>
        </w:rPr>
      </w:pPr>
    </w:p>
    <w:p w14:paraId="17594CD7" w14:textId="77777777" w:rsidR="005C44A8" w:rsidRPr="00997C23" w:rsidRDefault="00CF0BBC" w:rsidP="00E843C8">
      <w:pPr>
        <w:spacing w:after="0" w:line="360" w:lineRule="auto"/>
        <w:ind w:firstLine="708"/>
        <w:jc w:val="both"/>
        <w:rPr>
          <w:rFonts w:ascii="Times New Roman" w:hAnsi="Times New Roman" w:cs="Times New Roman"/>
          <w:b/>
          <w:sz w:val="24"/>
          <w:szCs w:val="24"/>
          <w:u w:val="single"/>
          <w:lang w:val="en-US"/>
        </w:rPr>
      </w:pPr>
      <w:r w:rsidRPr="00997C23">
        <w:rPr>
          <w:rFonts w:ascii="Times New Roman" w:eastAsia="Times New Roman" w:hAnsi="Times New Roman" w:cs="Times New Roman"/>
          <w:b/>
          <w:sz w:val="24"/>
          <w:szCs w:val="24"/>
          <w:u w:val="single"/>
          <w:lang w:val="en-US" w:eastAsia="bg-BG"/>
        </w:rPr>
        <w:t>Очаквани резултати:</w:t>
      </w:r>
      <w:r w:rsidR="00A45D7F" w:rsidRPr="00997C23">
        <w:rPr>
          <w:rFonts w:ascii="Times New Roman" w:hAnsi="Times New Roman" w:cs="Times New Roman"/>
          <w:b/>
          <w:sz w:val="24"/>
          <w:szCs w:val="24"/>
          <w:u w:val="single"/>
          <w:lang w:val="en-US"/>
        </w:rPr>
        <w:t xml:space="preserve"> </w:t>
      </w:r>
    </w:p>
    <w:p w14:paraId="57E58D20" w14:textId="77777777" w:rsidR="00DF7F13" w:rsidRPr="00997C23" w:rsidRDefault="002B4A8B" w:rsidP="00E843C8">
      <w:pPr>
        <w:spacing w:after="0" w:line="360" w:lineRule="auto"/>
        <w:ind w:firstLine="708"/>
        <w:jc w:val="both"/>
        <w:rPr>
          <w:rFonts w:ascii="Times New Roman" w:hAnsi="Times New Roman" w:cs="Times New Roman"/>
          <w:b/>
          <w:sz w:val="24"/>
          <w:szCs w:val="24"/>
          <w:u w:val="single"/>
        </w:rPr>
      </w:pPr>
      <w:r w:rsidRPr="00997C23">
        <w:rPr>
          <w:rFonts w:ascii="Times New Roman" w:hAnsi="Times New Roman" w:cs="Times New Roman"/>
          <w:b/>
          <w:sz w:val="24"/>
          <w:szCs w:val="24"/>
          <w:u w:val="single"/>
        </w:rPr>
        <w:t xml:space="preserve">В </w:t>
      </w:r>
      <w:r w:rsidR="00A45D7F" w:rsidRPr="00997C23">
        <w:rPr>
          <w:rFonts w:ascii="Times New Roman" w:hAnsi="Times New Roman" w:cs="Times New Roman"/>
          <w:b/>
          <w:sz w:val="24"/>
          <w:szCs w:val="24"/>
          <w:u w:val="single"/>
        </w:rPr>
        <w:t xml:space="preserve">рамките на </w:t>
      </w:r>
      <w:r w:rsidR="00E66061">
        <w:rPr>
          <w:rFonts w:ascii="Times New Roman" w:hAnsi="Times New Roman" w:cs="Times New Roman"/>
          <w:b/>
          <w:sz w:val="24"/>
          <w:szCs w:val="24"/>
          <w:u w:val="single"/>
        </w:rPr>
        <w:t>четиригодишния</w:t>
      </w:r>
      <w:r w:rsidR="00E66061" w:rsidRPr="00997C23">
        <w:rPr>
          <w:rFonts w:ascii="Times New Roman" w:hAnsi="Times New Roman" w:cs="Times New Roman"/>
          <w:b/>
          <w:sz w:val="24"/>
          <w:szCs w:val="24"/>
          <w:u w:val="single"/>
        </w:rPr>
        <w:t xml:space="preserve"> </w:t>
      </w:r>
      <w:r w:rsidR="005C44A8" w:rsidRPr="00997C23">
        <w:rPr>
          <w:rFonts w:ascii="Times New Roman" w:hAnsi="Times New Roman" w:cs="Times New Roman"/>
          <w:b/>
          <w:sz w:val="24"/>
          <w:szCs w:val="24"/>
          <w:u w:val="single"/>
        </w:rPr>
        <w:t xml:space="preserve">период на </w:t>
      </w:r>
      <w:r w:rsidR="00882F2E">
        <w:rPr>
          <w:rFonts w:ascii="Times New Roman" w:hAnsi="Times New Roman" w:cs="Times New Roman"/>
          <w:b/>
          <w:sz w:val="24"/>
          <w:szCs w:val="24"/>
          <w:u w:val="single"/>
        </w:rPr>
        <w:t>Програма</w:t>
      </w:r>
      <w:r w:rsidR="00A56361">
        <w:rPr>
          <w:rFonts w:ascii="Times New Roman" w:hAnsi="Times New Roman" w:cs="Times New Roman"/>
          <w:b/>
          <w:sz w:val="24"/>
          <w:szCs w:val="24"/>
          <w:u w:val="single"/>
        </w:rPr>
        <w:t>т</w:t>
      </w:r>
      <w:r w:rsidR="005C44A8" w:rsidRPr="00997C23">
        <w:rPr>
          <w:rFonts w:ascii="Times New Roman" w:hAnsi="Times New Roman" w:cs="Times New Roman"/>
          <w:b/>
          <w:sz w:val="24"/>
          <w:szCs w:val="24"/>
          <w:u w:val="single"/>
        </w:rPr>
        <w:t>а</w:t>
      </w:r>
      <w:r w:rsidR="00CF0BBC" w:rsidRPr="00997C23">
        <w:rPr>
          <w:rFonts w:ascii="Times New Roman" w:eastAsia="Times New Roman" w:hAnsi="Times New Roman" w:cs="Times New Roman"/>
          <w:b/>
          <w:sz w:val="24"/>
          <w:szCs w:val="24"/>
          <w:u w:val="single"/>
          <w:lang w:eastAsia="bg-BG"/>
        </w:rPr>
        <w:t xml:space="preserve"> </w:t>
      </w:r>
      <w:r w:rsidR="00CF0BBC" w:rsidRPr="00997C23">
        <w:rPr>
          <w:rFonts w:ascii="Times New Roman" w:eastAsia="Times New Roman" w:hAnsi="Times New Roman" w:cs="Times New Roman"/>
          <w:b/>
          <w:sz w:val="24"/>
          <w:szCs w:val="24"/>
          <w:u w:val="single"/>
          <w:lang w:val="en-US" w:eastAsia="bg-BG"/>
        </w:rPr>
        <w:t>(202</w:t>
      </w:r>
      <w:r w:rsidR="00914333">
        <w:rPr>
          <w:rFonts w:ascii="Times New Roman" w:eastAsia="Times New Roman" w:hAnsi="Times New Roman" w:cs="Times New Roman"/>
          <w:b/>
          <w:sz w:val="24"/>
          <w:szCs w:val="24"/>
          <w:u w:val="single"/>
          <w:lang w:eastAsia="bg-BG"/>
        </w:rPr>
        <w:t>6</w:t>
      </w:r>
      <w:r w:rsidR="00AC3CFB">
        <w:rPr>
          <w:rFonts w:ascii="Times New Roman" w:eastAsia="Times New Roman" w:hAnsi="Times New Roman" w:cs="Times New Roman"/>
          <w:b/>
          <w:sz w:val="24"/>
          <w:szCs w:val="24"/>
          <w:u w:val="single"/>
          <w:lang w:eastAsia="bg-BG"/>
        </w:rPr>
        <w:t xml:space="preserve"> </w:t>
      </w:r>
      <w:r w:rsidR="00AC3CFB">
        <w:rPr>
          <w:rFonts w:ascii="Times New Roman" w:eastAsia="Times New Roman" w:hAnsi="Times New Roman" w:cs="Times New Roman"/>
          <w:b/>
          <w:sz w:val="24"/>
          <w:szCs w:val="24"/>
          <w:u w:val="single"/>
          <w:lang w:val="en-US" w:eastAsia="bg-BG"/>
        </w:rPr>
        <w:t>–</w:t>
      </w:r>
      <w:r w:rsidR="00AC3CFB">
        <w:rPr>
          <w:rFonts w:ascii="Times New Roman" w:eastAsia="Times New Roman" w:hAnsi="Times New Roman" w:cs="Times New Roman"/>
          <w:b/>
          <w:sz w:val="24"/>
          <w:szCs w:val="24"/>
          <w:u w:val="single"/>
          <w:lang w:eastAsia="bg-BG"/>
        </w:rPr>
        <w:t xml:space="preserve"> </w:t>
      </w:r>
      <w:r w:rsidR="00CF0BBC" w:rsidRPr="00997C23">
        <w:rPr>
          <w:rFonts w:ascii="Times New Roman" w:eastAsia="Times New Roman" w:hAnsi="Times New Roman" w:cs="Times New Roman"/>
          <w:b/>
          <w:sz w:val="24"/>
          <w:szCs w:val="24"/>
          <w:u w:val="single"/>
          <w:lang w:val="en-US" w:eastAsia="bg-BG"/>
        </w:rPr>
        <w:t>202</w:t>
      </w:r>
      <w:r w:rsidR="00914333">
        <w:rPr>
          <w:rFonts w:ascii="Times New Roman" w:eastAsia="Times New Roman" w:hAnsi="Times New Roman" w:cs="Times New Roman"/>
          <w:b/>
          <w:sz w:val="24"/>
          <w:szCs w:val="24"/>
          <w:u w:val="single"/>
          <w:lang w:eastAsia="bg-BG"/>
        </w:rPr>
        <w:t>9</w:t>
      </w:r>
      <w:r w:rsidR="00CF0BBC" w:rsidRPr="00997C23">
        <w:rPr>
          <w:rFonts w:ascii="Times New Roman" w:eastAsia="Times New Roman" w:hAnsi="Times New Roman" w:cs="Times New Roman"/>
          <w:b/>
          <w:sz w:val="24"/>
          <w:szCs w:val="24"/>
          <w:u w:val="single"/>
          <w:lang w:eastAsia="bg-BG"/>
        </w:rPr>
        <w:t xml:space="preserve"> г</w:t>
      </w:r>
      <w:r w:rsidR="00A56361">
        <w:rPr>
          <w:rFonts w:ascii="Times New Roman" w:eastAsia="Times New Roman" w:hAnsi="Times New Roman" w:cs="Times New Roman"/>
          <w:b/>
          <w:sz w:val="24"/>
          <w:szCs w:val="24"/>
          <w:u w:val="single"/>
          <w:lang w:eastAsia="bg-BG"/>
        </w:rPr>
        <w:t>.</w:t>
      </w:r>
      <w:r w:rsidR="00CF0BBC" w:rsidRPr="00997C23">
        <w:rPr>
          <w:rFonts w:ascii="Times New Roman" w:eastAsia="Times New Roman" w:hAnsi="Times New Roman" w:cs="Times New Roman"/>
          <w:b/>
          <w:sz w:val="24"/>
          <w:szCs w:val="24"/>
          <w:u w:val="single"/>
          <w:lang w:val="en-US" w:eastAsia="bg-BG"/>
        </w:rPr>
        <w:t>)</w:t>
      </w:r>
      <w:r w:rsidR="00DF7F13" w:rsidRPr="00997C23">
        <w:rPr>
          <w:rFonts w:ascii="Times New Roman" w:hAnsi="Times New Roman" w:cs="Times New Roman"/>
          <w:b/>
          <w:sz w:val="24"/>
          <w:szCs w:val="24"/>
          <w:u w:val="single"/>
        </w:rPr>
        <w:t xml:space="preserve"> се очаква да </w:t>
      </w:r>
      <w:r w:rsidR="00A45D7F" w:rsidRPr="00997C23">
        <w:rPr>
          <w:rFonts w:ascii="Times New Roman" w:hAnsi="Times New Roman" w:cs="Times New Roman"/>
          <w:b/>
          <w:sz w:val="24"/>
          <w:szCs w:val="24"/>
          <w:u w:val="single"/>
        </w:rPr>
        <w:t>бъд</w:t>
      </w:r>
      <w:r w:rsidR="00DC4EAD" w:rsidRPr="00997C23">
        <w:rPr>
          <w:rFonts w:ascii="Times New Roman" w:hAnsi="Times New Roman" w:cs="Times New Roman"/>
          <w:b/>
          <w:sz w:val="24"/>
          <w:szCs w:val="24"/>
          <w:u w:val="single"/>
        </w:rPr>
        <w:t>е</w:t>
      </w:r>
      <w:r w:rsidR="00DF7F13" w:rsidRPr="00997C23">
        <w:rPr>
          <w:rFonts w:ascii="Times New Roman" w:hAnsi="Times New Roman" w:cs="Times New Roman"/>
          <w:b/>
          <w:sz w:val="24"/>
          <w:szCs w:val="24"/>
          <w:u w:val="single"/>
        </w:rPr>
        <w:t xml:space="preserve"> </w:t>
      </w:r>
      <w:r w:rsidR="00CF0BBC" w:rsidRPr="00997C23">
        <w:rPr>
          <w:rFonts w:ascii="Times New Roman" w:eastAsia="Times New Roman" w:hAnsi="Times New Roman" w:cs="Times New Roman"/>
          <w:b/>
          <w:sz w:val="24"/>
          <w:szCs w:val="24"/>
          <w:u w:val="single"/>
          <w:lang w:eastAsia="bg-BG"/>
        </w:rPr>
        <w:t>постигнат</w:t>
      </w:r>
      <w:r w:rsidR="00DC4EAD" w:rsidRPr="00997C23">
        <w:rPr>
          <w:rFonts w:ascii="Times New Roman" w:eastAsia="Times New Roman" w:hAnsi="Times New Roman" w:cs="Times New Roman"/>
          <w:b/>
          <w:sz w:val="24"/>
          <w:szCs w:val="24"/>
          <w:u w:val="single"/>
          <w:lang w:eastAsia="bg-BG"/>
        </w:rPr>
        <w:t>о</w:t>
      </w:r>
      <w:r w:rsidR="00DF7F13" w:rsidRPr="00997C23">
        <w:rPr>
          <w:rFonts w:ascii="Times New Roman" w:hAnsi="Times New Roman" w:cs="Times New Roman"/>
          <w:b/>
          <w:sz w:val="24"/>
          <w:szCs w:val="24"/>
          <w:u w:val="single"/>
        </w:rPr>
        <w:t>:</w:t>
      </w:r>
    </w:p>
    <w:p w14:paraId="1C63E73C" w14:textId="77777777" w:rsidR="001577E2" w:rsidRDefault="00146F95"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1577E2">
        <w:rPr>
          <w:rFonts w:ascii="Times New Roman" w:hAnsi="Times New Roman"/>
          <w:b/>
          <w:szCs w:val="24"/>
        </w:rPr>
        <w:t xml:space="preserve">Увеличаване </w:t>
      </w:r>
      <w:r w:rsidR="00CF0BBC" w:rsidRPr="001577E2">
        <w:rPr>
          <w:rFonts w:ascii="Times New Roman" w:hAnsi="Times New Roman"/>
          <w:b/>
          <w:szCs w:val="24"/>
          <w:lang w:eastAsia="bg-BG"/>
        </w:rPr>
        <w:t xml:space="preserve">на </w:t>
      </w:r>
      <w:r w:rsidRPr="001577E2">
        <w:rPr>
          <w:rFonts w:ascii="Times New Roman" w:hAnsi="Times New Roman"/>
          <w:b/>
          <w:szCs w:val="24"/>
        </w:rPr>
        <w:t>общата осведоменост на населението по въпросите</w:t>
      </w:r>
      <w:r w:rsidR="00A56361" w:rsidRPr="001577E2">
        <w:rPr>
          <w:rFonts w:ascii="Times New Roman" w:hAnsi="Times New Roman"/>
          <w:b/>
          <w:szCs w:val="24"/>
        </w:rPr>
        <w:t>,</w:t>
      </w:r>
      <w:r w:rsidRPr="001577E2">
        <w:rPr>
          <w:rFonts w:ascii="Times New Roman" w:hAnsi="Times New Roman"/>
          <w:b/>
          <w:szCs w:val="24"/>
        </w:rPr>
        <w:t xml:space="preserve"> свързани с АМР и употребата на антибиотици</w:t>
      </w:r>
      <w:r w:rsidR="003066B1" w:rsidRPr="001577E2">
        <w:rPr>
          <w:rFonts w:ascii="Times New Roman" w:hAnsi="Times New Roman"/>
          <w:b/>
          <w:szCs w:val="24"/>
        </w:rPr>
        <w:t xml:space="preserve"> - </w:t>
      </w:r>
      <w:r w:rsidRPr="001577E2">
        <w:rPr>
          <w:rFonts w:ascii="Times New Roman" w:hAnsi="Times New Roman"/>
          <w:b/>
          <w:szCs w:val="24"/>
        </w:rPr>
        <w:t>с</w:t>
      </w:r>
      <w:r w:rsidR="00450AE6" w:rsidRPr="001577E2">
        <w:rPr>
          <w:rFonts w:ascii="Times New Roman" w:hAnsi="Times New Roman"/>
          <w:b/>
          <w:szCs w:val="24"/>
          <w:lang w:eastAsia="bg-BG"/>
        </w:rPr>
        <w:t xml:space="preserve"> </w:t>
      </w:r>
      <w:r w:rsidR="00EA2C7C" w:rsidRPr="001577E2">
        <w:rPr>
          <w:rFonts w:ascii="Times New Roman" w:hAnsi="Times New Roman"/>
          <w:b/>
          <w:szCs w:val="24"/>
          <w:lang w:eastAsia="bg-BG"/>
        </w:rPr>
        <w:t>не по-малко от</w:t>
      </w:r>
      <w:r w:rsidR="00EA2C7C" w:rsidRPr="001577E2">
        <w:rPr>
          <w:rFonts w:ascii="Times New Roman" w:hAnsi="Times New Roman"/>
          <w:b/>
          <w:szCs w:val="24"/>
          <w:lang w:val="en-US" w:eastAsia="bg-BG"/>
        </w:rPr>
        <w:t xml:space="preserve"> </w:t>
      </w:r>
      <w:r w:rsidR="004512F3" w:rsidRPr="001577E2">
        <w:rPr>
          <w:rFonts w:ascii="Times New Roman" w:hAnsi="Times New Roman"/>
          <w:b/>
          <w:szCs w:val="24"/>
          <w:lang w:eastAsia="bg-BG"/>
        </w:rPr>
        <w:t>3</w:t>
      </w:r>
      <w:r w:rsidR="0070798F" w:rsidRPr="001577E2">
        <w:rPr>
          <w:rFonts w:ascii="Times New Roman" w:hAnsi="Times New Roman"/>
          <w:b/>
          <w:szCs w:val="24"/>
          <w:lang w:eastAsia="bg-BG"/>
        </w:rPr>
        <w:t>0</w:t>
      </w:r>
      <w:r w:rsidRPr="001577E2">
        <w:rPr>
          <w:rFonts w:ascii="Times New Roman" w:hAnsi="Times New Roman"/>
          <w:b/>
          <w:szCs w:val="24"/>
        </w:rPr>
        <w:t>%</w:t>
      </w:r>
      <w:r w:rsidR="003066B1" w:rsidRPr="001577E2">
        <w:rPr>
          <w:rFonts w:ascii="Times New Roman" w:hAnsi="Times New Roman"/>
          <w:b/>
          <w:szCs w:val="24"/>
        </w:rPr>
        <w:t>;</w:t>
      </w:r>
    </w:p>
    <w:p w14:paraId="3FAA9DC6" w14:textId="77777777" w:rsidR="00CA07D3" w:rsidRPr="001577E2" w:rsidRDefault="00DD23DD"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1577E2">
        <w:rPr>
          <w:rFonts w:ascii="Times New Roman" w:hAnsi="Times New Roman"/>
          <w:b/>
          <w:szCs w:val="24"/>
        </w:rPr>
        <w:t xml:space="preserve">Намаляване на </w:t>
      </w:r>
      <w:r w:rsidR="00D84393" w:rsidRPr="001577E2">
        <w:rPr>
          <w:rFonts w:ascii="Times New Roman" w:hAnsi="Times New Roman"/>
          <w:b/>
          <w:szCs w:val="24"/>
        </w:rPr>
        <w:t>заболяемостта</w:t>
      </w:r>
      <w:r w:rsidR="002D0EBA" w:rsidRPr="001577E2">
        <w:rPr>
          <w:rFonts w:ascii="Times New Roman" w:hAnsi="Times New Roman"/>
          <w:b/>
          <w:szCs w:val="24"/>
        </w:rPr>
        <w:t xml:space="preserve"> (на 100 000 души)</w:t>
      </w:r>
      <w:r w:rsidR="00D84393" w:rsidRPr="001577E2">
        <w:rPr>
          <w:rFonts w:ascii="Times New Roman" w:hAnsi="Times New Roman"/>
          <w:b/>
          <w:szCs w:val="24"/>
        </w:rPr>
        <w:t xml:space="preserve"> </w:t>
      </w:r>
      <w:r w:rsidRPr="001577E2">
        <w:rPr>
          <w:rFonts w:ascii="Times New Roman" w:hAnsi="Times New Roman"/>
          <w:b/>
          <w:szCs w:val="24"/>
        </w:rPr>
        <w:t>от инфекции</w:t>
      </w:r>
      <w:r w:rsidR="00286B2A" w:rsidRPr="001577E2">
        <w:rPr>
          <w:rFonts w:ascii="Times New Roman" w:hAnsi="Times New Roman"/>
          <w:b/>
          <w:szCs w:val="24"/>
        </w:rPr>
        <w:t xml:space="preserve"> на кръвта</w:t>
      </w:r>
      <w:r w:rsidR="00DC4EAD" w:rsidRPr="001577E2">
        <w:rPr>
          <w:rFonts w:ascii="Times New Roman" w:hAnsi="Times New Roman"/>
          <w:b/>
          <w:szCs w:val="24"/>
        </w:rPr>
        <w:t>,</w:t>
      </w:r>
      <w:r w:rsidRPr="001577E2">
        <w:rPr>
          <w:rFonts w:ascii="Times New Roman" w:hAnsi="Times New Roman"/>
          <w:b/>
          <w:szCs w:val="24"/>
        </w:rPr>
        <w:t xml:space="preserve"> причинени от резистентни бактерии </w:t>
      </w:r>
      <w:r w:rsidR="002D0EBA" w:rsidRPr="001577E2">
        <w:rPr>
          <w:rFonts w:ascii="Times New Roman" w:hAnsi="Times New Roman"/>
          <w:b/>
          <w:szCs w:val="24"/>
        </w:rPr>
        <w:t>в сравнение с нивата регистрирани през 2019</w:t>
      </w:r>
      <w:r w:rsidR="002C16F6">
        <w:rPr>
          <w:rFonts w:ascii="Times New Roman" w:hAnsi="Times New Roman"/>
          <w:b/>
          <w:szCs w:val="24"/>
        </w:rPr>
        <w:t xml:space="preserve"> </w:t>
      </w:r>
      <w:r w:rsidR="002D0EBA" w:rsidRPr="001577E2">
        <w:rPr>
          <w:rFonts w:ascii="Times New Roman" w:hAnsi="Times New Roman"/>
          <w:b/>
          <w:szCs w:val="24"/>
        </w:rPr>
        <w:t>г.</w:t>
      </w:r>
      <w:r w:rsidR="002C16F6">
        <w:rPr>
          <w:rFonts w:ascii="Times New Roman" w:hAnsi="Times New Roman"/>
          <w:b/>
          <w:szCs w:val="24"/>
        </w:rPr>
        <w:t>,</w:t>
      </w:r>
      <w:r w:rsidR="002D0EBA" w:rsidRPr="001577E2">
        <w:rPr>
          <w:rFonts w:ascii="Times New Roman" w:hAnsi="Times New Roman"/>
          <w:b/>
          <w:szCs w:val="24"/>
        </w:rPr>
        <w:t xml:space="preserve"> </w:t>
      </w:r>
      <w:r w:rsidR="00CA07D3" w:rsidRPr="001577E2">
        <w:rPr>
          <w:rFonts w:ascii="Times New Roman" w:hAnsi="Times New Roman"/>
          <w:b/>
          <w:szCs w:val="24"/>
        </w:rPr>
        <w:t>както следва:</w:t>
      </w:r>
    </w:p>
    <w:p w14:paraId="0F737885" w14:textId="77777777" w:rsidR="001577E2" w:rsidRDefault="00CA07D3" w:rsidP="007E21F1">
      <w:pPr>
        <w:pStyle w:val="ListParagraph"/>
        <w:numPr>
          <w:ilvl w:val="0"/>
          <w:numId w:val="19"/>
        </w:numPr>
        <w:tabs>
          <w:tab w:val="left" w:pos="993"/>
        </w:tabs>
        <w:spacing w:after="0" w:line="360" w:lineRule="auto"/>
        <w:ind w:left="0" w:firstLine="709"/>
        <w:jc w:val="both"/>
        <w:rPr>
          <w:rFonts w:ascii="Times New Roman" w:hAnsi="Times New Roman"/>
          <w:b/>
          <w:szCs w:val="24"/>
        </w:rPr>
      </w:pPr>
      <w:r w:rsidRPr="001577E2">
        <w:rPr>
          <w:rFonts w:ascii="Times New Roman" w:hAnsi="Times New Roman"/>
          <w:b/>
          <w:szCs w:val="24"/>
        </w:rPr>
        <w:t xml:space="preserve">метицилин резистентни </w:t>
      </w:r>
      <w:r w:rsidR="007A3A61" w:rsidRPr="001577E2">
        <w:rPr>
          <w:rFonts w:ascii="Times New Roman" w:hAnsi="Times New Roman"/>
          <w:b/>
          <w:i/>
          <w:szCs w:val="24"/>
          <w:lang w:val="en-US"/>
        </w:rPr>
        <w:t>Staphylococcus aureus</w:t>
      </w:r>
      <w:r w:rsidR="002D0EBA" w:rsidRPr="001577E2">
        <w:rPr>
          <w:rFonts w:ascii="Times New Roman" w:hAnsi="Times New Roman"/>
          <w:b/>
          <w:i/>
          <w:szCs w:val="24"/>
        </w:rPr>
        <w:t xml:space="preserve"> (</w:t>
      </w:r>
      <w:r w:rsidR="002D0EBA" w:rsidRPr="001577E2">
        <w:rPr>
          <w:rFonts w:ascii="Times New Roman" w:hAnsi="Times New Roman"/>
          <w:b/>
          <w:i/>
          <w:szCs w:val="24"/>
          <w:lang w:val="en-US"/>
        </w:rPr>
        <w:t>MRSA)</w:t>
      </w:r>
      <w:r w:rsidR="004E1F75" w:rsidRPr="001577E2">
        <w:rPr>
          <w:rFonts w:ascii="Times New Roman" w:hAnsi="Times New Roman"/>
          <w:b/>
          <w:szCs w:val="24"/>
        </w:rPr>
        <w:t xml:space="preserve"> –</w:t>
      </w:r>
      <w:r w:rsidR="00286B2A" w:rsidRPr="001577E2">
        <w:rPr>
          <w:rFonts w:ascii="Times New Roman" w:hAnsi="Times New Roman"/>
          <w:b/>
          <w:szCs w:val="24"/>
        </w:rPr>
        <w:t xml:space="preserve"> с не по-малко от 3</w:t>
      </w:r>
      <w:r w:rsidR="004E1F75" w:rsidRPr="001577E2">
        <w:rPr>
          <w:rFonts w:ascii="Times New Roman" w:hAnsi="Times New Roman"/>
          <w:b/>
          <w:szCs w:val="24"/>
        </w:rPr>
        <w:t>%</w:t>
      </w:r>
      <w:r w:rsidR="003066B1" w:rsidRPr="001577E2">
        <w:rPr>
          <w:rFonts w:ascii="Times New Roman" w:hAnsi="Times New Roman"/>
          <w:b/>
          <w:szCs w:val="24"/>
        </w:rPr>
        <w:t>;</w:t>
      </w:r>
    </w:p>
    <w:p w14:paraId="5BE333A6" w14:textId="77777777" w:rsidR="00286B2A" w:rsidRPr="001577E2" w:rsidRDefault="004E1F75" w:rsidP="007E21F1">
      <w:pPr>
        <w:pStyle w:val="ListParagraph"/>
        <w:numPr>
          <w:ilvl w:val="0"/>
          <w:numId w:val="19"/>
        </w:numPr>
        <w:tabs>
          <w:tab w:val="left" w:pos="993"/>
        </w:tabs>
        <w:spacing w:after="0" w:line="360" w:lineRule="auto"/>
        <w:ind w:left="0" w:firstLine="709"/>
        <w:jc w:val="both"/>
        <w:rPr>
          <w:rFonts w:ascii="Times New Roman" w:hAnsi="Times New Roman"/>
          <w:b/>
          <w:szCs w:val="24"/>
        </w:rPr>
      </w:pPr>
      <w:r w:rsidRPr="001577E2">
        <w:rPr>
          <w:rFonts w:ascii="Times New Roman" w:hAnsi="Times New Roman"/>
          <w:b/>
          <w:szCs w:val="24"/>
        </w:rPr>
        <w:t xml:space="preserve">карбапенем-резистентни </w:t>
      </w:r>
      <w:r w:rsidRPr="001577E2">
        <w:rPr>
          <w:rFonts w:ascii="Times New Roman" w:hAnsi="Times New Roman"/>
          <w:b/>
          <w:i/>
          <w:szCs w:val="24"/>
          <w:lang w:val="en-US"/>
        </w:rPr>
        <w:t>Klebsiella pneumoniae</w:t>
      </w:r>
      <w:r w:rsidRPr="001577E2">
        <w:rPr>
          <w:rFonts w:ascii="Times New Roman" w:hAnsi="Times New Roman"/>
          <w:b/>
          <w:i/>
          <w:szCs w:val="24"/>
        </w:rPr>
        <w:t xml:space="preserve"> </w:t>
      </w:r>
      <w:r w:rsidRPr="001577E2">
        <w:rPr>
          <w:rFonts w:ascii="Times New Roman" w:hAnsi="Times New Roman"/>
          <w:b/>
          <w:szCs w:val="24"/>
        </w:rPr>
        <w:t>– с не по-малко от 4%</w:t>
      </w:r>
      <w:r w:rsidR="008B5626" w:rsidRPr="001577E2">
        <w:rPr>
          <w:rFonts w:ascii="Times New Roman" w:hAnsi="Times New Roman"/>
          <w:b/>
          <w:szCs w:val="24"/>
        </w:rPr>
        <w:t>;</w:t>
      </w:r>
    </w:p>
    <w:p w14:paraId="36413D06" w14:textId="77777777" w:rsidR="00F22B54" w:rsidRDefault="00DD23DD"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F22B54">
        <w:rPr>
          <w:rFonts w:ascii="Times New Roman" w:hAnsi="Times New Roman"/>
          <w:b/>
          <w:szCs w:val="24"/>
        </w:rPr>
        <w:t>Намаляване</w:t>
      </w:r>
      <w:r w:rsidR="001F19BE" w:rsidRPr="00F22B54">
        <w:rPr>
          <w:rFonts w:ascii="Times New Roman" w:hAnsi="Times New Roman"/>
          <w:b/>
          <w:szCs w:val="24"/>
        </w:rPr>
        <w:t xml:space="preserve"> на</w:t>
      </w:r>
      <w:r w:rsidRPr="00F22B54">
        <w:rPr>
          <w:rFonts w:ascii="Times New Roman" w:hAnsi="Times New Roman"/>
          <w:b/>
          <w:szCs w:val="24"/>
        </w:rPr>
        <w:t xml:space="preserve"> </w:t>
      </w:r>
      <w:r w:rsidR="001F19BE" w:rsidRPr="00F22B54">
        <w:rPr>
          <w:rFonts w:ascii="Times New Roman" w:hAnsi="Times New Roman"/>
          <w:b/>
          <w:szCs w:val="24"/>
        </w:rPr>
        <w:t>oбщото потребление на антибиотици</w:t>
      </w:r>
      <w:r w:rsidR="00431C11" w:rsidRPr="00F22B54">
        <w:rPr>
          <w:rFonts w:ascii="Times New Roman" w:hAnsi="Times New Roman"/>
          <w:b/>
          <w:szCs w:val="24"/>
        </w:rPr>
        <w:t xml:space="preserve"> и конкретно</w:t>
      </w:r>
      <w:r w:rsidR="001F19BE" w:rsidRPr="00F22B54">
        <w:rPr>
          <w:rFonts w:ascii="Times New Roman" w:hAnsi="Times New Roman"/>
          <w:b/>
          <w:szCs w:val="24"/>
        </w:rPr>
        <w:t xml:space="preserve"> </w:t>
      </w:r>
      <w:r w:rsidR="00D07E7E" w:rsidRPr="00F22B54">
        <w:rPr>
          <w:rFonts w:ascii="Times New Roman" w:hAnsi="Times New Roman"/>
          <w:b/>
          <w:szCs w:val="24"/>
        </w:rPr>
        <w:t xml:space="preserve">на </w:t>
      </w:r>
      <w:r w:rsidR="00CD0540" w:rsidRPr="00F22B54">
        <w:rPr>
          <w:rFonts w:ascii="Times New Roman" w:hAnsi="Times New Roman"/>
          <w:b/>
          <w:szCs w:val="24"/>
        </w:rPr>
        <w:t>цефалоспорини от трета генераци</w:t>
      </w:r>
      <w:r w:rsidR="00431C11" w:rsidRPr="00F22B54">
        <w:rPr>
          <w:rFonts w:ascii="Times New Roman" w:hAnsi="Times New Roman"/>
          <w:b/>
          <w:szCs w:val="24"/>
        </w:rPr>
        <w:t xml:space="preserve">я </w:t>
      </w:r>
      <w:r w:rsidR="00A10F2F" w:rsidRPr="00F22B54">
        <w:rPr>
          <w:rFonts w:ascii="Times New Roman" w:hAnsi="Times New Roman"/>
          <w:b/>
          <w:szCs w:val="24"/>
        </w:rPr>
        <w:t xml:space="preserve">в обществения, </w:t>
      </w:r>
      <w:r w:rsidR="001F19BE" w:rsidRPr="00F22B54">
        <w:rPr>
          <w:rFonts w:ascii="Times New Roman" w:hAnsi="Times New Roman"/>
          <w:b/>
          <w:szCs w:val="24"/>
        </w:rPr>
        <w:t xml:space="preserve">болничния сектор </w:t>
      </w:r>
      <w:r w:rsidR="00A10F2F" w:rsidRPr="00F22B54">
        <w:rPr>
          <w:rFonts w:ascii="Times New Roman" w:hAnsi="Times New Roman"/>
          <w:b/>
          <w:szCs w:val="24"/>
        </w:rPr>
        <w:t>и</w:t>
      </w:r>
      <w:r w:rsidR="001F19BE" w:rsidRPr="00F22B54">
        <w:rPr>
          <w:rFonts w:ascii="Times New Roman" w:hAnsi="Times New Roman"/>
          <w:b/>
          <w:szCs w:val="24"/>
        </w:rPr>
        <w:t xml:space="preserve"> заведенията за дългосрочни грижи</w:t>
      </w:r>
      <w:r w:rsidR="008B5626" w:rsidRPr="00F22B54">
        <w:rPr>
          <w:rFonts w:ascii="Times New Roman" w:hAnsi="Times New Roman"/>
          <w:b/>
          <w:szCs w:val="24"/>
        </w:rPr>
        <w:t xml:space="preserve"> </w:t>
      </w:r>
      <w:r w:rsidR="00AC3CFB" w:rsidRPr="00F22B54">
        <w:rPr>
          <w:rFonts w:ascii="Times New Roman" w:hAnsi="Times New Roman"/>
          <w:b/>
          <w:szCs w:val="24"/>
        </w:rPr>
        <w:t>–</w:t>
      </w:r>
      <w:r w:rsidR="001F19BE" w:rsidRPr="00F22B54">
        <w:rPr>
          <w:rFonts w:ascii="Times New Roman" w:hAnsi="Times New Roman"/>
          <w:b/>
          <w:szCs w:val="24"/>
        </w:rPr>
        <w:t xml:space="preserve"> </w:t>
      </w:r>
      <w:r w:rsidR="00DC4EAD" w:rsidRPr="00F22B54">
        <w:rPr>
          <w:rFonts w:ascii="Times New Roman" w:hAnsi="Times New Roman"/>
          <w:b/>
          <w:szCs w:val="24"/>
        </w:rPr>
        <w:t xml:space="preserve">с </w:t>
      </w:r>
      <w:r w:rsidR="001F19BE" w:rsidRPr="00F22B54">
        <w:rPr>
          <w:rFonts w:ascii="Times New Roman" w:hAnsi="Times New Roman"/>
          <w:b/>
          <w:szCs w:val="24"/>
        </w:rPr>
        <w:t>не по-малко от 18</w:t>
      </w:r>
      <w:r w:rsidR="00E64DBA" w:rsidRPr="00F22B54">
        <w:rPr>
          <w:rFonts w:ascii="Times New Roman" w:hAnsi="Times New Roman"/>
          <w:b/>
          <w:szCs w:val="24"/>
        </w:rPr>
        <w:t>%</w:t>
      </w:r>
      <w:r w:rsidR="006B7747" w:rsidRPr="00F22B54">
        <w:rPr>
          <w:rFonts w:ascii="Times New Roman" w:hAnsi="Times New Roman"/>
          <w:b/>
          <w:szCs w:val="24"/>
        </w:rPr>
        <w:t>;</w:t>
      </w:r>
      <w:r w:rsidR="00CD0540" w:rsidRPr="00F22B54">
        <w:rPr>
          <w:rFonts w:ascii="Times New Roman" w:hAnsi="Times New Roman"/>
          <w:b/>
          <w:szCs w:val="24"/>
        </w:rPr>
        <w:t xml:space="preserve"> </w:t>
      </w:r>
    </w:p>
    <w:p w14:paraId="7FCEE139" w14:textId="77777777" w:rsidR="00F22B54" w:rsidRDefault="007A3A61"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F22B54">
        <w:rPr>
          <w:rFonts w:ascii="Times New Roman" w:hAnsi="Times New Roman"/>
          <w:b/>
          <w:szCs w:val="24"/>
        </w:rPr>
        <w:t xml:space="preserve">Не по-малко от </w:t>
      </w:r>
      <w:r w:rsidR="008B5626" w:rsidRPr="00F22B54">
        <w:rPr>
          <w:rFonts w:ascii="Times New Roman" w:hAnsi="Times New Roman"/>
          <w:b/>
          <w:szCs w:val="24"/>
        </w:rPr>
        <w:t>65</w:t>
      </w:r>
      <w:r w:rsidRPr="00F22B54">
        <w:rPr>
          <w:rFonts w:ascii="Times New Roman" w:hAnsi="Times New Roman"/>
          <w:b/>
          <w:szCs w:val="24"/>
        </w:rPr>
        <w:t xml:space="preserve">% от общото потребление на антибиотици при хората да бъде потребление на антибиотици от групата Access, както е определено в AWaRe </w:t>
      </w:r>
      <w:r w:rsidR="00DE457B" w:rsidRPr="00F22B54">
        <w:rPr>
          <w:rFonts w:ascii="Times New Roman" w:hAnsi="Times New Roman"/>
          <w:b/>
          <w:szCs w:val="24"/>
          <w:lang w:val="en-US"/>
        </w:rPr>
        <w:t xml:space="preserve">(Access, Watch, Reserve) </w:t>
      </w:r>
      <w:r w:rsidRPr="00F22B54">
        <w:rPr>
          <w:rFonts w:ascii="Times New Roman" w:hAnsi="Times New Roman"/>
          <w:b/>
          <w:szCs w:val="24"/>
        </w:rPr>
        <w:t>класификацията на СЗО</w:t>
      </w:r>
      <w:r w:rsidR="003066B1" w:rsidRPr="00F22B54">
        <w:rPr>
          <w:rFonts w:ascii="Times New Roman" w:hAnsi="Times New Roman"/>
          <w:b/>
          <w:szCs w:val="24"/>
        </w:rPr>
        <w:t>;</w:t>
      </w:r>
    </w:p>
    <w:p w14:paraId="3EA343F0" w14:textId="77777777" w:rsidR="00F22B54" w:rsidRDefault="00146F95"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F22B54">
        <w:rPr>
          <w:rFonts w:ascii="Times New Roman" w:hAnsi="Times New Roman"/>
          <w:b/>
          <w:szCs w:val="24"/>
        </w:rPr>
        <w:t xml:space="preserve">Увеличаване </w:t>
      </w:r>
      <w:r w:rsidR="00CF0BBC" w:rsidRPr="00F22B54">
        <w:rPr>
          <w:rFonts w:ascii="Times New Roman" w:hAnsi="Times New Roman"/>
          <w:b/>
          <w:szCs w:val="24"/>
        </w:rPr>
        <w:t xml:space="preserve">на </w:t>
      </w:r>
      <w:r w:rsidRPr="00F22B54">
        <w:rPr>
          <w:rFonts w:ascii="Times New Roman" w:hAnsi="Times New Roman"/>
          <w:b/>
          <w:szCs w:val="24"/>
        </w:rPr>
        <w:t>броя на п</w:t>
      </w:r>
      <w:r w:rsidR="002B4A8B" w:rsidRPr="00F22B54">
        <w:rPr>
          <w:rFonts w:ascii="Times New Roman" w:hAnsi="Times New Roman"/>
          <w:b/>
          <w:szCs w:val="24"/>
        </w:rPr>
        <w:t>р</w:t>
      </w:r>
      <w:r w:rsidRPr="00F22B54">
        <w:rPr>
          <w:rFonts w:ascii="Times New Roman" w:hAnsi="Times New Roman"/>
          <w:b/>
          <w:szCs w:val="24"/>
        </w:rPr>
        <w:t xml:space="preserve">овежданите изследвания за </w:t>
      </w:r>
      <w:r w:rsidR="00CF0BBC" w:rsidRPr="00F22B54">
        <w:rPr>
          <w:rFonts w:ascii="Times New Roman" w:hAnsi="Times New Roman"/>
          <w:b/>
          <w:szCs w:val="24"/>
        </w:rPr>
        <w:t xml:space="preserve">определяне на </w:t>
      </w:r>
      <w:r w:rsidRPr="00F22B54">
        <w:rPr>
          <w:rFonts w:ascii="Times New Roman" w:hAnsi="Times New Roman"/>
          <w:b/>
          <w:szCs w:val="24"/>
        </w:rPr>
        <w:t xml:space="preserve">антимикробна чувствителност с </w:t>
      </w:r>
      <w:r w:rsidR="00CF0BBC" w:rsidRPr="00F22B54">
        <w:rPr>
          <w:rFonts w:ascii="Times New Roman" w:hAnsi="Times New Roman"/>
          <w:b/>
          <w:szCs w:val="24"/>
        </w:rPr>
        <w:t>2</w:t>
      </w:r>
      <w:r w:rsidR="004512F3" w:rsidRPr="00F22B54">
        <w:rPr>
          <w:rFonts w:ascii="Times New Roman" w:hAnsi="Times New Roman"/>
          <w:b/>
          <w:szCs w:val="24"/>
        </w:rPr>
        <w:t>0</w:t>
      </w:r>
      <w:r w:rsidRPr="00F22B54">
        <w:rPr>
          <w:rFonts w:ascii="Times New Roman" w:hAnsi="Times New Roman"/>
          <w:b/>
          <w:szCs w:val="24"/>
        </w:rPr>
        <w:t>%</w:t>
      </w:r>
      <w:r w:rsidR="003066B1" w:rsidRPr="00F22B54">
        <w:rPr>
          <w:rFonts w:ascii="Times New Roman" w:hAnsi="Times New Roman"/>
          <w:b/>
          <w:szCs w:val="24"/>
        </w:rPr>
        <w:t>;</w:t>
      </w:r>
    </w:p>
    <w:p w14:paraId="18722E53" w14:textId="77777777" w:rsidR="00E64DBA" w:rsidRPr="00F22B54" w:rsidRDefault="00A45D7F" w:rsidP="007E21F1">
      <w:pPr>
        <w:pStyle w:val="ListParagraph"/>
        <w:numPr>
          <w:ilvl w:val="0"/>
          <w:numId w:val="18"/>
        </w:numPr>
        <w:tabs>
          <w:tab w:val="left" w:pos="851"/>
        </w:tabs>
        <w:spacing w:after="0" w:line="360" w:lineRule="auto"/>
        <w:ind w:left="0" w:firstLine="709"/>
        <w:jc w:val="both"/>
        <w:rPr>
          <w:rFonts w:ascii="Times New Roman" w:hAnsi="Times New Roman"/>
          <w:b/>
          <w:szCs w:val="24"/>
        </w:rPr>
      </w:pPr>
      <w:r w:rsidRPr="00F22B54">
        <w:rPr>
          <w:rFonts w:ascii="Times New Roman" w:hAnsi="Times New Roman"/>
          <w:b/>
          <w:szCs w:val="24"/>
        </w:rPr>
        <w:t>Н</w:t>
      </w:r>
      <w:r w:rsidR="00E64DBA" w:rsidRPr="00F22B54">
        <w:rPr>
          <w:rFonts w:ascii="Times New Roman" w:hAnsi="Times New Roman"/>
          <w:b/>
          <w:szCs w:val="24"/>
        </w:rPr>
        <w:t>амаляване</w:t>
      </w:r>
      <w:r w:rsidR="00CF0BBC" w:rsidRPr="00F22B54">
        <w:rPr>
          <w:rFonts w:ascii="Times New Roman" w:hAnsi="Times New Roman"/>
          <w:b/>
          <w:szCs w:val="24"/>
        </w:rPr>
        <w:t xml:space="preserve"> на</w:t>
      </w:r>
      <w:r w:rsidR="00E64DBA" w:rsidRPr="00F22B54">
        <w:rPr>
          <w:rFonts w:ascii="Times New Roman" w:hAnsi="Times New Roman"/>
          <w:b/>
          <w:szCs w:val="24"/>
        </w:rPr>
        <w:t xml:space="preserve"> </w:t>
      </w:r>
      <w:r w:rsidR="00202488" w:rsidRPr="00F22B54">
        <w:rPr>
          <w:rFonts w:ascii="Times New Roman" w:hAnsi="Times New Roman"/>
          <w:b/>
          <w:szCs w:val="24"/>
        </w:rPr>
        <w:t>общите продажби</w:t>
      </w:r>
      <w:r w:rsidR="00E64DBA" w:rsidRPr="00F22B54">
        <w:rPr>
          <w:rFonts w:ascii="Times New Roman" w:hAnsi="Times New Roman"/>
          <w:b/>
          <w:szCs w:val="24"/>
        </w:rPr>
        <w:t xml:space="preserve"> на антимикробни </w:t>
      </w:r>
      <w:r w:rsidR="000177A5" w:rsidRPr="00F22B54">
        <w:rPr>
          <w:rFonts w:ascii="Times New Roman" w:hAnsi="Times New Roman"/>
          <w:b/>
          <w:szCs w:val="24"/>
        </w:rPr>
        <w:t xml:space="preserve">лекарства </w:t>
      </w:r>
      <w:r w:rsidR="00E64DBA" w:rsidRPr="00F22B54">
        <w:rPr>
          <w:rFonts w:ascii="Times New Roman" w:hAnsi="Times New Roman"/>
          <w:b/>
          <w:szCs w:val="24"/>
        </w:rPr>
        <w:t xml:space="preserve">в </w:t>
      </w:r>
      <w:r w:rsidRPr="00F22B54">
        <w:rPr>
          <w:rFonts w:ascii="Times New Roman" w:hAnsi="Times New Roman"/>
          <w:b/>
          <w:szCs w:val="24"/>
        </w:rPr>
        <w:t>животновъдството</w:t>
      </w:r>
      <w:r w:rsidR="00E64DBA" w:rsidRPr="00F22B54">
        <w:rPr>
          <w:rFonts w:ascii="Times New Roman" w:hAnsi="Times New Roman"/>
          <w:b/>
          <w:szCs w:val="24"/>
        </w:rPr>
        <w:t xml:space="preserve"> с </w:t>
      </w:r>
      <w:r w:rsidR="00202488" w:rsidRPr="00F22B54">
        <w:rPr>
          <w:rFonts w:ascii="Times New Roman" w:hAnsi="Times New Roman"/>
          <w:b/>
          <w:szCs w:val="24"/>
        </w:rPr>
        <w:t>2</w:t>
      </w:r>
      <w:r w:rsidR="00E64DBA" w:rsidRPr="00F22B54">
        <w:rPr>
          <w:rFonts w:ascii="Times New Roman" w:hAnsi="Times New Roman"/>
          <w:b/>
          <w:szCs w:val="24"/>
        </w:rPr>
        <w:t>5%</w:t>
      </w:r>
      <w:r w:rsidR="003066B1" w:rsidRPr="00F22B54">
        <w:rPr>
          <w:rFonts w:ascii="Times New Roman" w:hAnsi="Times New Roman"/>
          <w:b/>
          <w:szCs w:val="24"/>
        </w:rPr>
        <w:t>.</w:t>
      </w:r>
    </w:p>
    <w:p w14:paraId="6F67DB59" w14:textId="77777777" w:rsidR="00A56361" w:rsidRDefault="00A56361" w:rsidP="00E843C8">
      <w:pPr>
        <w:spacing w:after="0" w:line="360" w:lineRule="auto"/>
        <w:contextualSpacing/>
        <w:jc w:val="both"/>
        <w:rPr>
          <w:rFonts w:ascii="Times New Roman" w:hAnsi="Times New Roman" w:cs="Times New Roman"/>
          <w:b/>
          <w:color w:val="000000"/>
          <w:sz w:val="24"/>
          <w:szCs w:val="24"/>
        </w:rPr>
      </w:pPr>
    </w:p>
    <w:p w14:paraId="7E56E42F" w14:textId="77777777" w:rsidR="008B5626" w:rsidRPr="00503C65" w:rsidRDefault="00431C11" w:rsidP="00503C65">
      <w:pPr>
        <w:spacing w:after="0" w:line="360" w:lineRule="auto"/>
        <w:ind w:firstLine="709"/>
        <w:jc w:val="both"/>
        <w:rPr>
          <w:rFonts w:ascii="Times New Roman" w:eastAsia="Calibri" w:hAnsi="Times New Roman" w:cs="Times New Roman"/>
          <w:sz w:val="24"/>
          <w:szCs w:val="24"/>
          <w:lang w:eastAsia="bg-BG"/>
        </w:rPr>
      </w:pPr>
      <w:r w:rsidRPr="001A763F">
        <w:rPr>
          <w:rFonts w:ascii="Times New Roman" w:eastAsia="Calibri" w:hAnsi="Times New Roman" w:cs="Times New Roman"/>
          <w:sz w:val="24"/>
          <w:szCs w:val="24"/>
          <w:lang w:eastAsia="bg-BG"/>
        </w:rPr>
        <w:t xml:space="preserve">Посочените </w:t>
      </w:r>
      <w:r w:rsidR="00D07E7E" w:rsidRPr="001A763F">
        <w:rPr>
          <w:rFonts w:ascii="Times New Roman" w:eastAsia="Calibri" w:hAnsi="Times New Roman" w:cs="Times New Roman"/>
          <w:sz w:val="24"/>
          <w:szCs w:val="24"/>
          <w:lang w:eastAsia="bg-BG"/>
        </w:rPr>
        <w:t>целеви стойности са в съответствие с „</w:t>
      </w:r>
      <w:r w:rsidR="008B5626" w:rsidRPr="001A763F">
        <w:rPr>
          <w:rFonts w:ascii="Times New Roman" w:eastAsia="Calibri" w:hAnsi="Times New Roman" w:cs="Times New Roman"/>
          <w:sz w:val="24"/>
          <w:szCs w:val="24"/>
          <w:lang w:eastAsia="bg-BG"/>
        </w:rPr>
        <w:t xml:space="preserve">Препоръка на Съвета </w:t>
      </w:r>
      <w:r w:rsidR="003066B1" w:rsidRPr="001A763F">
        <w:rPr>
          <w:rFonts w:ascii="Times New Roman" w:eastAsia="Calibri" w:hAnsi="Times New Roman" w:cs="Times New Roman"/>
          <w:sz w:val="24"/>
          <w:szCs w:val="24"/>
          <w:lang w:eastAsia="bg-BG"/>
        </w:rPr>
        <w:t>за засилване на действията на ЕС за борба с антимикробната резистентност съгласно подхода „Едно здраве“ (2023/C 220/01)“.</w:t>
      </w:r>
    </w:p>
    <w:p w14:paraId="667CCCD8" w14:textId="77777777" w:rsidR="00C80064" w:rsidRPr="00531F9A" w:rsidRDefault="00A02220" w:rsidP="00531F9A">
      <w:pPr>
        <w:pStyle w:val="Heading1"/>
        <w:spacing w:before="0" w:line="360" w:lineRule="auto"/>
        <w:ind w:firstLine="709"/>
        <w:rPr>
          <w:rFonts w:ascii="Times New Roman" w:hAnsi="Times New Roman" w:cs="Times New Roman"/>
          <w:b/>
          <w:color w:val="auto"/>
          <w:sz w:val="24"/>
          <w:szCs w:val="24"/>
        </w:rPr>
      </w:pPr>
      <w:bookmarkStart w:id="2" w:name="_Toc200721732"/>
      <w:r w:rsidRPr="00D511B2">
        <w:rPr>
          <w:rFonts w:ascii="Times New Roman" w:hAnsi="Times New Roman" w:cs="Times New Roman"/>
          <w:b/>
          <w:color w:val="auto"/>
          <w:sz w:val="24"/>
          <w:szCs w:val="24"/>
        </w:rPr>
        <w:lastRenderedPageBreak/>
        <w:t>ВЪВЕДЕНИЕ</w:t>
      </w:r>
      <w:bookmarkEnd w:id="2"/>
    </w:p>
    <w:p w14:paraId="5CCB585A" w14:textId="77777777" w:rsidR="00CF0BBC" w:rsidRPr="00997C23" w:rsidRDefault="007A46CB" w:rsidP="00E843C8">
      <w:pPr>
        <w:spacing w:after="0" w:line="360" w:lineRule="auto"/>
        <w:ind w:firstLine="708"/>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Антиинфекциозни</w:t>
      </w:r>
      <w:r w:rsidR="002E2C88">
        <w:rPr>
          <w:rFonts w:ascii="Times New Roman" w:eastAsia="Times New Roman" w:hAnsi="Times New Roman" w:cs="Times New Roman"/>
          <w:b/>
          <w:color w:val="000000"/>
          <w:sz w:val="24"/>
          <w:szCs w:val="24"/>
          <w:lang w:eastAsia="bg-BG"/>
        </w:rPr>
        <w:t xml:space="preserve"> лекарства</w:t>
      </w:r>
      <w:r w:rsidR="00CF0BBC" w:rsidRPr="00997C23">
        <w:rPr>
          <w:rFonts w:ascii="Times New Roman" w:eastAsia="Times New Roman" w:hAnsi="Times New Roman" w:cs="Times New Roman"/>
          <w:b/>
          <w:color w:val="000000"/>
          <w:sz w:val="24"/>
          <w:szCs w:val="24"/>
          <w:lang w:eastAsia="bg-BG"/>
        </w:rPr>
        <w:t>. Антибиотици</w:t>
      </w:r>
      <w:r w:rsidR="00BB343F">
        <w:rPr>
          <w:rFonts w:ascii="Times New Roman" w:eastAsia="Times New Roman" w:hAnsi="Times New Roman" w:cs="Times New Roman"/>
          <w:b/>
          <w:color w:val="000000"/>
          <w:sz w:val="24"/>
          <w:szCs w:val="24"/>
          <w:lang w:eastAsia="bg-BG"/>
        </w:rPr>
        <w:t>.</w:t>
      </w:r>
    </w:p>
    <w:p w14:paraId="00096564" w14:textId="77777777" w:rsidR="009947B3" w:rsidRPr="00997C23" w:rsidRDefault="00A02220" w:rsidP="00E843C8">
      <w:pPr>
        <w:spacing w:after="0" w:line="360" w:lineRule="auto"/>
        <w:ind w:firstLine="708"/>
        <w:jc w:val="both"/>
        <w:rPr>
          <w:rFonts w:ascii="Times New Roman" w:hAnsi="Times New Roman" w:cs="Times New Roman"/>
          <w:sz w:val="24"/>
          <w:szCs w:val="24"/>
          <w:lang w:val="en-US"/>
        </w:rPr>
      </w:pPr>
      <w:r w:rsidRPr="00997C23">
        <w:rPr>
          <w:rFonts w:ascii="Times New Roman" w:hAnsi="Times New Roman" w:cs="Times New Roman"/>
          <w:color w:val="000000"/>
          <w:sz w:val="24"/>
          <w:szCs w:val="24"/>
        </w:rPr>
        <w:t xml:space="preserve">Антимикробните </w:t>
      </w:r>
      <w:r w:rsidR="00F15C41">
        <w:rPr>
          <w:rFonts w:ascii="Times New Roman" w:hAnsi="Times New Roman" w:cs="Times New Roman"/>
          <w:color w:val="000000"/>
          <w:sz w:val="24"/>
          <w:szCs w:val="24"/>
        </w:rPr>
        <w:t>лекарства</w:t>
      </w:r>
      <w:r w:rsidR="00F15C41"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включват антибиотици (антибактериални), антивирусни,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противогъбични и антипротозойни </w:t>
      </w:r>
      <w:r w:rsidR="007A46CB">
        <w:rPr>
          <w:rFonts w:ascii="Times New Roman" w:hAnsi="Times New Roman" w:cs="Times New Roman"/>
          <w:color w:val="000000"/>
          <w:sz w:val="24"/>
          <w:szCs w:val="24"/>
        </w:rPr>
        <w:t>продукти</w:t>
      </w:r>
      <w:r w:rsidRPr="00997C23">
        <w:rPr>
          <w:rFonts w:ascii="Times New Roman" w:hAnsi="Times New Roman" w:cs="Times New Roman"/>
          <w:color w:val="000000"/>
          <w:sz w:val="24"/>
          <w:szCs w:val="24"/>
        </w:rPr>
        <w:t>. Те представляват активни субстанции със</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синтетичен </w:t>
      </w:r>
      <w:r w:rsidR="00DC4EAD" w:rsidRPr="00997C23">
        <w:rPr>
          <w:rFonts w:ascii="Times New Roman" w:hAnsi="Times New Roman" w:cs="Times New Roman"/>
          <w:color w:val="000000"/>
          <w:sz w:val="24"/>
          <w:szCs w:val="24"/>
        </w:rPr>
        <w:t>(</w:t>
      </w:r>
      <w:r w:rsidR="00CF0BBC" w:rsidRPr="00997C23">
        <w:rPr>
          <w:rFonts w:ascii="Times New Roman" w:eastAsia="Times New Roman" w:hAnsi="Times New Roman" w:cs="Times New Roman"/>
          <w:color w:val="000000"/>
          <w:sz w:val="24"/>
          <w:szCs w:val="24"/>
          <w:lang w:eastAsia="bg-BG"/>
        </w:rPr>
        <w:t>химиотерапевтици</w:t>
      </w:r>
      <w:r w:rsidR="00DC4EAD" w:rsidRPr="00997C23">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eastAsia="bg-BG"/>
        </w:rPr>
        <w:t xml:space="preserve"> </w:t>
      </w:r>
      <w:r w:rsidRPr="00997C23">
        <w:rPr>
          <w:rFonts w:ascii="Times New Roman" w:hAnsi="Times New Roman" w:cs="Times New Roman"/>
          <w:color w:val="000000"/>
          <w:sz w:val="24"/>
          <w:szCs w:val="24"/>
        </w:rPr>
        <w:t>или естествен произход</w:t>
      </w:r>
      <w:r w:rsidR="00CF0BBC" w:rsidRPr="00997C23">
        <w:rPr>
          <w:rFonts w:ascii="Times New Roman" w:eastAsia="Times New Roman" w:hAnsi="Times New Roman" w:cs="Times New Roman"/>
          <w:color w:val="000000"/>
          <w:sz w:val="24"/>
          <w:szCs w:val="24"/>
          <w:lang w:eastAsia="bg-BG"/>
        </w:rPr>
        <w:t xml:space="preserve"> </w:t>
      </w:r>
      <w:r w:rsidR="00DC4EAD" w:rsidRPr="00997C23">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eastAsia="bg-BG"/>
        </w:rPr>
        <w:t>антибиотици</w:t>
      </w:r>
      <w:r w:rsidR="00DC4EAD" w:rsidRPr="00997C23">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eastAsia="bg-BG"/>
        </w:rPr>
        <w:t>,</w:t>
      </w:r>
      <w:r w:rsidRPr="00997C23">
        <w:rPr>
          <w:rFonts w:ascii="Times New Roman" w:hAnsi="Times New Roman" w:cs="Times New Roman"/>
          <w:color w:val="000000"/>
          <w:sz w:val="24"/>
          <w:szCs w:val="24"/>
        </w:rPr>
        <w:t xml:space="preserve"> които </w:t>
      </w:r>
      <w:r w:rsidR="00CF0BBC" w:rsidRPr="00997C23">
        <w:rPr>
          <w:rFonts w:ascii="Times New Roman" w:eastAsia="Times New Roman" w:hAnsi="Times New Roman" w:cs="Times New Roman"/>
          <w:color w:val="000000"/>
          <w:sz w:val="24"/>
          <w:szCs w:val="24"/>
          <w:lang w:eastAsia="bg-BG"/>
        </w:rPr>
        <w:t xml:space="preserve">избирателно </w:t>
      </w:r>
      <w:r w:rsidRPr="00997C23">
        <w:rPr>
          <w:rFonts w:ascii="Times New Roman" w:hAnsi="Times New Roman" w:cs="Times New Roman"/>
          <w:color w:val="000000"/>
          <w:sz w:val="24"/>
          <w:szCs w:val="24"/>
        </w:rPr>
        <w:t>убиват или възпрепятстват растежа 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развитието на микроорганизмите. </w:t>
      </w:r>
      <w:r w:rsidR="00CF0BBC" w:rsidRPr="00997C23">
        <w:rPr>
          <w:rFonts w:ascii="Times New Roman" w:eastAsia="Times New Roman" w:hAnsi="Times New Roman" w:cs="Times New Roman"/>
          <w:color w:val="000000"/>
          <w:sz w:val="24"/>
          <w:szCs w:val="24"/>
          <w:lang w:eastAsia="bg-BG"/>
        </w:rPr>
        <w:t>Те</w:t>
      </w:r>
      <w:r w:rsidRPr="00997C23">
        <w:rPr>
          <w:rFonts w:ascii="Times New Roman" w:hAnsi="Times New Roman" w:cs="Times New Roman"/>
          <w:color w:val="000000"/>
          <w:sz w:val="24"/>
          <w:szCs w:val="24"/>
        </w:rPr>
        <w:t xml:space="preserve"> са от</w:t>
      </w:r>
      <w:r w:rsidR="00560BD6" w:rsidRPr="00997C23">
        <w:rPr>
          <w:rFonts w:ascii="Times New Roman" w:hAnsi="Times New Roman" w:cs="Times New Roman"/>
          <w:color w:val="000000"/>
          <w:sz w:val="24"/>
          <w:szCs w:val="24"/>
        </w:rPr>
        <w:t xml:space="preserve"> </w:t>
      </w:r>
      <w:r w:rsidR="00CF0BBC" w:rsidRPr="00997C23">
        <w:rPr>
          <w:rFonts w:ascii="Times New Roman" w:eastAsia="Times New Roman" w:hAnsi="Times New Roman" w:cs="Times New Roman"/>
          <w:color w:val="000000"/>
          <w:sz w:val="24"/>
          <w:szCs w:val="24"/>
          <w:lang w:eastAsia="bg-BG"/>
        </w:rPr>
        <w:t>жизнено важно</w:t>
      </w:r>
      <w:r w:rsidR="006848F9" w:rsidRPr="00997C23">
        <w:rPr>
          <w:rFonts w:ascii="Times New Roman" w:eastAsia="Times New Roman" w:hAnsi="Times New Roman" w:cs="Times New Roman"/>
          <w:color w:val="000000"/>
          <w:sz w:val="24"/>
          <w:szCs w:val="24"/>
          <w:lang w:eastAsia="bg-BG"/>
        </w:rPr>
        <w:t xml:space="preserve"> </w:t>
      </w:r>
      <w:r w:rsidRPr="00997C23">
        <w:rPr>
          <w:rFonts w:ascii="Times New Roman" w:hAnsi="Times New Roman" w:cs="Times New Roman"/>
          <w:color w:val="000000"/>
          <w:sz w:val="24"/>
          <w:szCs w:val="24"/>
        </w:rPr>
        <w:t xml:space="preserve">значение за </w:t>
      </w:r>
      <w:r w:rsidR="00CF0BBC" w:rsidRPr="00997C23">
        <w:rPr>
          <w:rFonts w:ascii="Times New Roman" w:eastAsia="Times New Roman" w:hAnsi="Times New Roman" w:cs="Times New Roman"/>
          <w:color w:val="000000"/>
          <w:sz w:val="24"/>
          <w:szCs w:val="24"/>
          <w:lang w:eastAsia="bg-BG"/>
        </w:rPr>
        <w:t xml:space="preserve">лечението и </w:t>
      </w:r>
      <w:r w:rsidRPr="00997C23">
        <w:rPr>
          <w:rFonts w:ascii="Times New Roman" w:hAnsi="Times New Roman" w:cs="Times New Roman"/>
          <w:color w:val="000000"/>
          <w:sz w:val="24"/>
          <w:szCs w:val="24"/>
        </w:rPr>
        <w:t>предотвратяването на инфекции при хората 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животните</w:t>
      </w:r>
      <w:r w:rsidR="0063020C" w:rsidRPr="00997C23">
        <w:rPr>
          <w:rFonts w:ascii="Times New Roman" w:hAnsi="Times New Roman" w:cs="Times New Roman"/>
          <w:color w:val="000000"/>
          <w:sz w:val="24"/>
          <w:szCs w:val="24"/>
          <w:lang w:val="en-US"/>
        </w:rPr>
        <w:t xml:space="preserve"> </w:t>
      </w:r>
      <w:r w:rsidR="0063020C" w:rsidRPr="00997C23">
        <w:rPr>
          <w:rFonts w:ascii="Times New Roman" w:hAnsi="Times New Roman" w:cs="Times New Roman"/>
          <w:color w:val="000000"/>
          <w:sz w:val="24"/>
          <w:szCs w:val="24"/>
          <w:lang w:val="en-US"/>
        </w:rPr>
        <w:fldChar w:fldCharType="begin" w:fldLock="1"/>
      </w:r>
      <w:r w:rsidR="009D0134" w:rsidRPr="00997C23">
        <w:rPr>
          <w:rFonts w:ascii="Times New Roman" w:hAnsi="Times New Roman" w:cs="Times New Roman"/>
          <w:color w:val="000000"/>
          <w:sz w:val="24"/>
          <w:szCs w:val="24"/>
          <w:lang w:val="en-US"/>
        </w:rPr>
        <w:instrText>ADDIN CSL_CITATION {"citationItems":[{"id":"ITEM-1","itemData":{"DOI":"10.1016/b978-0-12-810477-4.09988-8","ISBN":"9780128104774","author":[{"dropping-particle":"","family":"Beović","given":"Bojana","non-dropping-particle":"","parse-names":false,"suffix":""},{"dropping-particle":"","family":"Ergönül","given":"Önder","non-dropping-particle":"","parse-names":false,"suffix":""},{"dropping-particle":"","family":"Can","given":"Füsun","non-dropping-particle":"","parse-names":false,"suffix":""},{"dropping-particle":"","family":"Pulcini","given":"Céline","non-dropping-particle":"","parse-names":false,"suffix":""}],"container-title":"Antimicrobial Stewardship","id":"ITEM-1","issued":{"date-parts":[["2017"]]},"page":"xxiii-xxiv","publisher":"Elsevier","title":"Preface","type":"article"},"uris":["http://www.mendeley.com/documents/?uuid=0b0440da-a1c2-4383-8998-4e09c52bf2ae"]}],"mendeley":{"formattedCitation":"[1]","plainTextFormattedCitation":"[1]","previouslyFormattedCitation":"(Beović, Ergönül, Can, &amp; Pulcini, 2017)"},"properties":{"noteIndex":0},"schema":"https://github.com/citation-style-language/schema/raw/master/csl-citation.json"}</w:instrText>
      </w:r>
      <w:r w:rsidR="0063020C" w:rsidRPr="00997C23">
        <w:rPr>
          <w:rFonts w:ascii="Times New Roman" w:hAnsi="Times New Roman" w:cs="Times New Roman"/>
          <w:color w:val="000000"/>
          <w:sz w:val="24"/>
          <w:szCs w:val="24"/>
          <w:lang w:val="en-US"/>
        </w:rPr>
        <w:fldChar w:fldCharType="separate"/>
      </w:r>
      <w:r w:rsidR="009D0134" w:rsidRPr="00997C23">
        <w:rPr>
          <w:rFonts w:ascii="Times New Roman" w:hAnsi="Times New Roman" w:cs="Times New Roman"/>
          <w:noProof/>
          <w:color w:val="000000"/>
          <w:sz w:val="24"/>
          <w:szCs w:val="24"/>
          <w:lang w:val="en-US"/>
        </w:rPr>
        <w:t>[1]</w:t>
      </w:r>
      <w:r w:rsidR="0063020C" w:rsidRPr="00997C23">
        <w:rPr>
          <w:rFonts w:ascii="Times New Roman" w:hAnsi="Times New Roman" w:cs="Times New Roman"/>
          <w:color w:val="000000"/>
          <w:sz w:val="24"/>
          <w:szCs w:val="24"/>
          <w:lang w:val="en-US"/>
        </w:rPr>
        <w:fldChar w:fldCharType="end"/>
      </w:r>
      <w:r w:rsidR="00CF0BBC" w:rsidRPr="00997C23">
        <w:rPr>
          <w:rFonts w:ascii="Times New Roman" w:eastAsia="Times New Roman" w:hAnsi="Times New Roman" w:cs="Times New Roman"/>
          <w:color w:val="000000"/>
          <w:sz w:val="24"/>
          <w:szCs w:val="24"/>
          <w:lang w:eastAsia="bg-BG"/>
        </w:rPr>
        <w:t xml:space="preserve">. </w:t>
      </w:r>
      <w:r w:rsidR="00CF0BBC" w:rsidRPr="00997C23">
        <w:rPr>
          <w:rFonts w:ascii="Times New Roman" w:eastAsia="Times New Roman" w:hAnsi="Times New Roman" w:cs="Times New Roman"/>
          <w:sz w:val="24"/>
          <w:szCs w:val="24"/>
          <w:lang w:eastAsia="bg-BG"/>
        </w:rPr>
        <w:t xml:space="preserve">Освен спасяването на живот и излекуване от сериозни инфекции, без антибиотици днес е невъзможно да си представим извършването на хирургичните интервенции, лечението на пациенти с имунен дефицит, особено с хематологични и онкологични заболявания, осъществяването на </w:t>
      </w:r>
      <w:r w:rsidR="00AA4BF2" w:rsidRPr="00997C23">
        <w:rPr>
          <w:rFonts w:ascii="Times New Roman" w:eastAsia="Times New Roman" w:hAnsi="Times New Roman" w:cs="Times New Roman"/>
          <w:sz w:val="24"/>
          <w:szCs w:val="24"/>
          <w:lang w:eastAsia="bg-BG"/>
        </w:rPr>
        <w:t>транс</w:t>
      </w:r>
      <w:r w:rsidR="00AA4BF2">
        <w:rPr>
          <w:rFonts w:ascii="Times New Roman" w:eastAsia="Times New Roman" w:hAnsi="Times New Roman" w:cs="Times New Roman"/>
          <w:sz w:val="24"/>
          <w:szCs w:val="24"/>
          <w:lang w:eastAsia="bg-BG"/>
        </w:rPr>
        <w:t>плантациите</w:t>
      </w:r>
      <w:r w:rsidR="00AA4BF2" w:rsidRPr="00997C23">
        <w:rPr>
          <w:rFonts w:ascii="Times New Roman" w:eastAsia="Times New Roman" w:hAnsi="Times New Roman" w:cs="Times New Roman"/>
          <w:sz w:val="24"/>
          <w:szCs w:val="24"/>
          <w:lang w:val="en-US" w:eastAsia="bg-BG"/>
        </w:rPr>
        <w:t xml:space="preserve"> </w:t>
      </w:r>
      <w:r w:rsidR="00601179" w:rsidRPr="00997C23">
        <w:rPr>
          <w:rFonts w:ascii="Times New Roman" w:eastAsia="Times New Roman" w:hAnsi="Times New Roman" w:cs="Times New Roman"/>
          <w:sz w:val="24"/>
          <w:szCs w:val="24"/>
          <w:lang w:val="en-US" w:eastAsia="bg-BG"/>
        </w:rPr>
        <w:fldChar w:fldCharType="begin" w:fldLock="1"/>
      </w:r>
      <w:r w:rsidR="009D0134" w:rsidRPr="00997C23">
        <w:rPr>
          <w:rFonts w:ascii="Times New Roman" w:eastAsia="Times New Roman" w:hAnsi="Times New Roman" w:cs="Times New Roman"/>
          <w:sz w:val="24"/>
          <w:szCs w:val="24"/>
          <w:lang w:val="en-US" w:eastAsia="bg-BG"/>
        </w:rPr>
        <w:instrText>ADDIN CSL_CITATION {"citationItems":[{"id":"ITEM-1","itemData":{"author":[{"dropping-particle":"","family":"Савов","given":"Е","non-dropping-particle":"","parse-names":false,"suffix":""}],"id":"ITEM-1","issued":{"date-parts":[["2015"]]},"page":"175","publisher":"Военно издателство ЕООД","publisher-place":"София","title":"Bad bugs no drugs. На прага ли сме на пост-антибиотичния апокалипсис ?","type":"chapter"},"uris":["http://www.mendeley.com/documents/?uuid=0cf49395-d7ff-45f4-b28f-a49449e358a8"]},{"id":"ITEM-2","itemData":{"author":[{"dropping-particle":"","family":"Кьолеян","given":"Е.","non-dropping-particle":"","parse-names":false,"suffix":""}],"container-title":"Съвременни медицински проблеми.","id":"ITEM-2","issue":"1","issued":{"date-parts":[["2014"]]},"page":"53-62","title":"Антибиотичната резистентност – световен здравен проблем.","type":"article-journal"},"uris":["http://www.mendeley.com/documents/?uuid=42839e58-f394-4349-b100-c7452731f0c8"]},{"id":"ITEM-3","itemData":{"author":[{"dropping-particle":"","family":"WHO","given":"","non-dropping-particle":"","parse-names":false,"suffix":""}],"container-title":"WHO","id":"ITEM-3","issued":{"date-parts":[["2016"]]},"publisher":"World Health Organization","title":"WHO - Global action plan on AMR","type":"article"},"uris":["http://www.mendeley.com/documents/?uuid=2a3cbd79-11dd-3599-8d4d-1c0ed73eec7a"]}],"mendeley":{"formattedCitation":"[2]–[4]","plainTextFormattedCitation":"[2]–[4]","previouslyFormattedCitation":"(WHO, 2016; Кьолеян, 2014; Савов, 2015)"},"properties":{"noteIndex":0},"schema":"https://github.com/citation-style-language/schema/raw/master/csl-citation.json"}</w:instrText>
      </w:r>
      <w:r w:rsidR="00601179" w:rsidRPr="00997C23">
        <w:rPr>
          <w:rFonts w:ascii="Times New Roman" w:eastAsia="Times New Roman" w:hAnsi="Times New Roman" w:cs="Times New Roman"/>
          <w:sz w:val="24"/>
          <w:szCs w:val="24"/>
          <w:lang w:val="en-US" w:eastAsia="bg-BG"/>
        </w:rPr>
        <w:fldChar w:fldCharType="separate"/>
      </w:r>
      <w:r w:rsidR="009D0134" w:rsidRPr="00997C23">
        <w:rPr>
          <w:rFonts w:ascii="Times New Roman" w:eastAsia="Times New Roman" w:hAnsi="Times New Roman" w:cs="Times New Roman"/>
          <w:noProof/>
          <w:sz w:val="24"/>
          <w:szCs w:val="24"/>
          <w:lang w:val="en-US" w:eastAsia="bg-BG"/>
        </w:rPr>
        <w:t>[2]–[4]</w:t>
      </w:r>
      <w:r w:rsidR="00601179" w:rsidRPr="00997C23">
        <w:rPr>
          <w:rFonts w:ascii="Times New Roman" w:eastAsia="Times New Roman" w:hAnsi="Times New Roman" w:cs="Times New Roman"/>
          <w:sz w:val="24"/>
          <w:szCs w:val="24"/>
          <w:lang w:val="en-US" w:eastAsia="bg-BG"/>
        </w:rPr>
        <w:fldChar w:fldCharType="end"/>
      </w:r>
      <w:r w:rsidR="00CF0BBC" w:rsidRPr="00997C23">
        <w:rPr>
          <w:rFonts w:ascii="Times New Roman" w:eastAsia="Times New Roman" w:hAnsi="Times New Roman" w:cs="Times New Roman"/>
          <w:sz w:val="24"/>
          <w:szCs w:val="24"/>
          <w:lang w:eastAsia="bg-BG"/>
        </w:rPr>
        <w:t>.</w:t>
      </w:r>
    </w:p>
    <w:p w14:paraId="03836800" w14:textId="77777777" w:rsidR="004D32F5" w:rsidRPr="00997C23" w:rsidRDefault="00A02220" w:rsidP="00E843C8">
      <w:pPr>
        <w:spacing w:after="0" w:line="360" w:lineRule="auto"/>
        <w:ind w:firstLine="708"/>
        <w:jc w:val="both"/>
        <w:rPr>
          <w:rFonts w:ascii="Times New Roman" w:eastAsia="Times New Roman" w:hAnsi="Times New Roman" w:cs="Times New Roman"/>
          <w:b/>
          <w:color w:val="000000"/>
          <w:sz w:val="24"/>
          <w:szCs w:val="24"/>
          <w:lang w:val="en-US" w:eastAsia="bg-BG"/>
        </w:rPr>
      </w:pPr>
      <w:r w:rsidRPr="00997C23">
        <w:rPr>
          <w:rFonts w:ascii="Times New Roman" w:hAnsi="Times New Roman" w:cs="Times New Roman"/>
          <w:color w:val="000000"/>
          <w:sz w:val="24"/>
          <w:szCs w:val="24"/>
        </w:rPr>
        <w:t xml:space="preserve">Антибиотиците и химиотерапевтиците </w:t>
      </w:r>
      <w:r w:rsidR="008040B9" w:rsidRPr="00997C23">
        <w:rPr>
          <w:rFonts w:ascii="Times New Roman" w:hAnsi="Times New Roman" w:cs="Times New Roman"/>
          <w:color w:val="000000"/>
          <w:sz w:val="24"/>
          <w:szCs w:val="24"/>
        </w:rPr>
        <w:t>(</w:t>
      </w:r>
      <w:r w:rsidR="00CF0BBC" w:rsidRPr="00997C23">
        <w:rPr>
          <w:rFonts w:ascii="Times New Roman" w:eastAsia="Times New Roman" w:hAnsi="Times New Roman" w:cs="Times New Roman"/>
          <w:color w:val="000000"/>
          <w:sz w:val="24"/>
          <w:szCs w:val="24"/>
          <w:lang w:eastAsia="bg-BG"/>
        </w:rPr>
        <w:t>по-нататък в текста ще фигурират като „антибиотици“</w:t>
      </w:r>
      <w:r w:rsidR="008040B9" w:rsidRPr="00997C23">
        <w:rPr>
          <w:rFonts w:ascii="Times New Roman" w:eastAsia="Times New Roman" w:hAnsi="Times New Roman" w:cs="Times New Roman"/>
          <w:color w:val="000000"/>
          <w:sz w:val="24"/>
          <w:szCs w:val="24"/>
          <w:lang w:eastAsia="bg-BG"/>
        </w:rPr>
        <w:t xml:space="preserve">) </w:t>
      </w:r>
      <w:r w:rsidRPr="00997C23">
        <w:rPr>
          <w:rFonts w:ascii="Times New Roman" w:hAnsi="Times New Roman" w:cs="Times New Roman"/>
          <w:color w:val="000000"/>
          <w:sz w:val="24"/>
          <w:szCs w:val="24"/>
        </w:rPr>
        <w:t>вече повече от седем десетилетия са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използвани успешно за лечение и профилактика на</w:t>
      </w:r>
      <w:r w:rsidR="00CF0BBC" w:rsidRPr="00997C23">
        <w:rPr>
          <w:rFonts w:ascii="Times New Roman" w:eastAsia="Times New Roman" w:hAnsi="Times New Roman" w:cs="Times New Roman"/>
          <w:color w:val="000000"/>
          <w:sz w:val="24"/>
          <w:szCs w:val="24"/>
          <w:lang w:eastAsia="bg-BG"/>
        </w:rPr>
        <w:t xml:space="preserve"> инфекциите и</w:t>
      </w:r>
      <w:r w:rsidRPr="00997C23">
        <w:rPr>
          <w:rFonts w:ascii="Times New Roman" w:hAnsi="Times New Roman" w:cs="Times New Roman"/>
          <w:color w:val="000000"/>
          <w:sz w:val="24"/>
          <w:szCs w:val="24"/>
        </w:rPr>
        <w:t xml:space="preserve"> инфекциозните болести, като</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революционно променят прогнозата при тежките инфекции и способстват за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подоб</w:t>
      </w:r>
      <w:r w:rsidR="00656C0C">
        <w:rPr>
          <w:rFonts w:ascii="Times New Roman" w:hAnsi="Times New Roman" w:cs="Times New Roman"/>
          <w:color w:val="000000"/>
          <w:sz w:val="24"/>
          <w:szCs w:val="24"/>
        </w:rPr>
        <w:t>ряването на качеството на живот</w:t>
      </w:r>
      <w:r w:rsidRPr="00997C23">
        <w:rPr>
          <w:rFonts w:ascii="Times New Roman" w:hAnsi="Times New Roman" w:cs="Times New Roman"/>
          <w:color w:val="000000"/>
          <w:sz w:val="24"/>
          <w:szCs w:val="24"/>
        </w:rPr>
        <w:t xml:space="preserve">. </w:t>
      </w:r>
      <w:r w:rsidR="00CF0BBC" w:rsidRPr="00997C23">
        <w:rPr>
          <w:rFonts w:ascii="Times New Roman" w:eastAsia="Times New Roman" w:hAnsi="Times New Roman" w:cs="Times New Roman"/>
          <w:color w:val="000000"/>
          <w:sz w:val="24"/>
          <w:szCs w:val="24"/>
          <w:lang w:eastAsia="bg-BG"/>
        </w:rPr>
        <w:t>Антибиотиците</w:t>
      </w:r>
      <w:r w:rsidRPr="00997C23">
        <w:rPr>
          <w:rFonts w:ascii="Times New Roman" w:hAnsi="Times New Roman" w:cs="Times New Roman"/>
          <w:color w:val="000000"/>
          <w:sz w:val="24"/>
          <w:szCs w:val="24"/>
        </w:rPr>
        <w:t xml:space="preserve"> се използват във ветеринарната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медицина за лечение на инфекции при животните</w:t>
      </w:r>
      <w:r w:rsidR="008040B9" w:rsidRPr="00997C23">
        <w:rPr>
          <w:rFonts w:ascii="Times New Roman" w:hAnsi="Times New Roman" w:cs="Times New Roman"/>
          <w:color w:val="000000"/>
          <w:sz w:val="24"/>
          <w:szCs w:val="24"/>
        </w:rPr>
        <w:t xml:space="preserve">, </w:t>
      </w:r>
      <w:r w:rsidR="00CF0BBC" w:rsidRPr="00997C23">
        <w:rPr>
          <w:rFonts w:ascii="Times New Roman" w:eastAsia="Times New Roman" w:hAnsi="Times New Roman" w:cs="Times New Roman"/>
          <w:color w:val="000000"/>
          <w:sz w:val="24"/>
          <w:szCs w:val="24"/>
          <w:lang w:eastAsia="bg-BG"/>
        </w:rPr>
        <w:t xml:space="preserve">но в близкото минало </w:t>
      </w:r>
      <w:r w:rsidR="004445AA" w:rsidRPr="00997C23">
        <w:rPr>
          <w:rFonts w:ascii="Times New Roman" w:eastAsia="Times New Roman" w:hAnsi="Times New Roman" w:cs="Times New Roman"/>
          <w:color w:val="000000"/>
          <w:sz w:val="24"/>
          <w:szCs w:val="24"/>
          <w:lang w:eastAsia="bg-BG"/>
        </w:rPr>
        <w:t xml:space="preserve">неправилно </w:t>
      </w:r>
      <w:r w:rsidR="00CF0BBC" w:rsidRPr="00997C23">
        <w:rPr>
          <w:rFonts w:ascii="Times New Roman" w:eastAsia="Times New Roman" w:hAnsi="Times New Roman" w:cs="Times New Roman"/>
          <w:color w:val="000000"/>
          <w:sz w:val="24"/>
          <w:szCs w:val="24"/>
          <w:lang w:eastAsia="bg-BG"/>
        </w:rPr>
        <w:t xml:space="preserve">са прилагани и като стимуланти на растежа </w:t>
      </w:r>
      <w:r w:rsidR="004D32F5" w:rsidRPr="00997C23">
        <w:rPr>
          <w:rFonts w:ascii="Times New Roman" w:eastAsia="Times New Roman" w:hAnsi="Times New Roman" w:cs="Times New Roman"/>
          <w:color w:val="000000"/>
          <w:sz w:val="24"/>
          <w:szCs w:val="24"/>
          <w:lang w:eastAsia="bg-BG"/>
        </w:rPr>
        <w:fldChar w:fldCharType="begin" w:fldLock="1"/>
      </w:r>
      <w:r w:rsidR="009D0134" w:rsidRPr="00997C23">
        <w:rPr>
          <w:rFonts w:ascii="Times New Roman" w:eastAsia="Times New Roman" w:hAnsi="Times New Roman" w:cs="Times New Roman"/>
          <w:color w:val="000000"/>
          <w:sz w:val="24"/>
          <w:szCs w:val="24"/>
          <w:lang w:eastAsia="bg-BG"/>
        </w:rPr>
        <w:instrText>ADDIN CSL_CITATION {"citationItems":[{"id":"ITEM-1","itemData":{"author":[{"dropping-particle":"","family":"EC","given":"","non-dropping-particle":"","parse-names":false,"suffix":""}],"id":"ITEM-1","issued":{"date-parts":[["2017"]]},"title":"COMMUNICATION FROM THE COMMISSION TO THE COUNCIL AND THE EUROPEAN PARLIAMENT A European One Health Action Plan against Antimicrobial Resistance (AMR)- COM/2017/0339 final","type":"article"},"uris":["http://www.mendeley.com/documents/?uuid=a8e43cae-81ee-4ad5-928a-df10e3b95798"]}],"mendeley":{"formattedCitation":"[5]","plainTextFormattedCitation":"[5]","previouslyFormattedCitation":"(EC, 2017)"},"properties":{"noteIndex":0},"schema":"https://github.com/citation-style-language/schema/raw/master/csl-citation.json"}</w:instrText>
      </w:r>
      <w:r w:rsidR="004D32F5" w:rsidRPr="00997C23">
        <w:rPr>
          <w:rFonts w:ascii="Times New Roman" w:eastAsia="Times New Roman" w:hAnsi="Times New Roman" w:cs="Times New Roman"/>
          <w:color w:val="000000"/>
          <w:sz w:val="24"/>
          <w:szCs w:val="24"/>
          <w:lang w:eastAsia="bg-BG"/>
        </w:rPr>
        <w:fldChar w:fldCharType="separate"/>
      </w:r>
      <w:r w:rsidR="009D0134" w:rsidRPr="00997C23">
        <w:rPr>
          <w:rFonts w:ascii="Times New Roman" w:eastAsia="Times New Roman" w:hAnsi="Times New Roman" w:cs="Times New Roman"/>
          <w:noProof/>
          <w:color w:val="000000"/>
          <w:sz w:val="24"/>
          <w:szCs w:val="24"/>
          <w:lang w:eastAsia="bg-BG"/>
        </w:rPr>
        <w:t>[5]</w:t>
      </w:r>
      <w:r w:rsidR="004D32F5" w:rsidRPr="00997C23">
        <w:rPr>
          <w:rFonts w:ascii="Times New Roman" w:eastAsia="Times New Roman" w:hAnsi="Times New Roman" w:cs="Times New Roman"/>
          <w:color w:val="000000"/>
          <w:sz w:val="24"/>
          <w:szCs w:val="24"/>
          <w:lang w:eastAsia="bg-BG"/>
        </w:rPr>
        <w:fldChar w:fldCharType="end"/>
      </w:r>
      <w:r w:rsidR="004D32F5" w:rsidRPr="00997C23">
        <w:rPr>
          <w:rFonts w:ascii="Times New Roman" w:eastAsia="Times New Roman" w:hAnsi="Times New Roman" w:cs="Times New Roman"/>
          <w:color w:val="000000"/>
          <w:sz w:val="24"/>
          <w:szCs w:val="24"/>
          <w:lang w:val="en-US" w:eastAsia="bg-BG"/>
        </w:rPr>
        <w:t>.</w:t>
      </w:r>
    </w:p>
    <w:p w14:paraId="63398418" w14:textId="77777777" w:rsidR="00CF0BBC" w:rsidRPr="00997C23" w:rsidRDefault="00CF0BBC" w:rsidP="00E843C8">
      <w:pPr>
        <w:spacing w:after="0" w:line="360" w:lineRule="auto"/>
        <w:ind w:firstLine="708"/>
        <w:jc w:val="both"/>
        <w:rPr>
          <w:rFonts w:ascii="Times New Roman" w:eastAsia="Times New Roman" w:hAnsi="Times New Roman" w:cs="Times New Roman"/>
          <w:b/>
          <w:color w:val="000000"/>
          <w:sz w:val="24"/>
          <w:szCs w:val="24"/>
          <w:lang w:eastAsia="bg-BG"/>
        </w:rPr>
      </w:pPr>
      <w:r w:rsidRPr="00997C23">
        <w:rPr>
          <w:rFonts w:ascii="Times New Roman" w:eastAsia="Times New Roman" w:hAnsi="Times New Roman" w:cs="Times New Roman"/>
          <w:b/>
          <w:color w:val="000000"/>
          <w:sz w:val="24"/>
          <w:szCs w:val="24"/>
          <w:lang w:eastAsia="bg-BG"/>
        </w:rPr>
        <w:t>Антимикробна резистентност – дефиниция, видове, механизми на развитие и разпространение. Здравни и социални ефекти</w:t>
      </w:r>
      <w:r w:rsidR="00656C0C">
        <w:rPr>
          <w:rFonts w:ascii="Times New Roman" w:eastAsia="Times New Roman" w:hAnsi="Times New Roman" w:cs="Times New Roman"/>
          <w:b/>
          <w:color w:val="000000"/>
          <w:sz w:val="24"/>
          <w:szCs w:val="24"/>
          <w:lang w:eastAsia="bg-BG"/>
        </w:rPr>
        <w:t>.</w:t>
      </w:r>
    </w:p>
    <w:p w14:paraId="308D67C7" w14:textId="77777777" w:rsidR="00E81104" w:rsidRPr="00997C23" w:rsidRDefault="00A02220" w:rsidP="00E843C8">
      <w:pPr>
        <w:spacing w:after="0" w:line="360" w:lineRule="auto"/>
        <w:ind w:firstLine="708"/>
        <w:jc w:val="both"/>
        <w:rPr>
          <w:rFonts w:ascii="Times New Roman" w:eastAsia="Times New Roman" w:hAnsi="Times New Roman" w:cs="Times New Roman"/>
          <w:sz w:val="24"/>
          <w:szCs w:val="24"/>
          <w:lang w:eastAsia="bg-BG"/>
        </w:rPr>
      </w:pPr>
      <w:r w:rsidRPr="00997C23">
        <w:rPr>
          <w:rFonts w:ascii="Times New Roman" w:hAnsi="Times New Roman" w:cs="Times New Roman"/>
          <w:color w:val="000000"/>
          <w:sz w:val="24"/>
          <w:szCs w:val="24"/>
        </w:rPr>
        <w:t>Много скоро след навлизането на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антибиотиците в практиката </w:t>
      </w:r>
      <w:r w:rsidR="00CF0BBC" w:rsidRPr="00997C23">
        <w:rPr>
          <w:rFonts w:ascii="Times New Roman" w:eastAsia="Times New Roman" w:hAnsi="Times New Roman" w:cs="Times New Roman"/>
          <w:color w:val="000000"/>
          <w:sz w:val="24"/>
          <w:szCs w:val="24"/>
          <w:lang w:eastAsia="bg-BG"/>
        </w:rPr>
        <w:t>е</w:t>
      </w:r>
      <w:r w:rsidRPr="00997C23">
        <w:rPr>
          <w:rFonts w:ascii="Times New Roman" w:hAnsi="Times New Roman" w:cs="Times New Roman"/>
          <w:color w:val="000000"/>
          <w:sz w:val="24"/>
          <w:szCs w:val="24"/>
        </w:rPr>
        <w:t xml:space="preserve"> установено, че чрез </w:t>
      </w:r>
      <w:r w:rsidR="00CF0BBC" w:rsidRPr="00997C23">
        <w:rPr>
          <w:rFonts w:ascii="Times New Roman" w:eastAsia="Times New Roman" w:hAnsi="Times New Roman" w:cs="Times New Roman"/>
          <w:color w:val="000000"/>
          <w:sz w:val="24"/>
          <w:szCs w:val="24"/>
          <w:lang w:eastAsia="bg-BG"/>
        </w:rPr>
        <w:t xml:space="preserve">процеси, познати като генетична мутация и генетичен пренос, </w:t>
      </w:r>
      <w:r w:rsidRPr="00997C23">
        <w:rPr>
          <w:rFonts w:ascii="Times New Roman" w:hAnsi="Times New Roman" w:cs="Times New Roman"/>
          <w:color w:val="000000"/>
          <w:sz w:val="24"/>
          <w:szCs w:val="24"/>
        </w:rPr>
        <w:t>селекция 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адаптация, микроо</w:t>
      </w:r>
      <w:r w:rsidR="002F050F">
        <w:rPr>
          <w:rFonts w:ascii="Times New Roman" w:hAnsi="Times New Roman" w:cs="Times New Roman"/>
          <w:color w:val="000000"/>
          <w:sz w:val="24"/>
          <w:szCs w:val="24"/>
        </w:rPr>
        <w:t>рганизмите</w:t>
      </w:r>
      <w:r w:rsidR="00BB343F">
        <w:rPr>
          <w:rFonts w:ascii="Times New Roman" w:hAnsi="Times New Roman" w:cs="Times New Roman"/>
          <w:color w:val="000000"/>
          <w:sz w:val="24"/>
          <w:szCs w:val="24"/>
        </w:rPr>
        <w:t xml:space="preserve"> </w:t>
      </w:r>
      <w:r w:rsidR="002F050F">
        <w:rPr>
          <w:rFonts w:ascii="Times New Roman" w:hAnsi="Times New Roman" w:cs="Times New Roman"/>
          <w:color w:val="000000"/>
          <w:sz w:val="24"/>
          <w:szCs w:val="24"/>
        </w:rPr>
        <w:t>развиват свойството „</w:t>
      </w:r>
      <w:r w:rsidRPr="00997C23">
        <w:rPr>
          <w:rFonts w:ascii="Times New Roman" w:hAnsi="Times New Roman" w:cs="Times New Roman"/>
          <w:color w:val="000000"/>
          <w:sz w:val="24"/>
          <w:szCs w:val="24"/>
        </w:rPr>
        <w:t>резистентност”.</w:t>
      </w:r>
      <w:r w:rsidR="006B4FC6" w:rsidRPr="00997C23">
        <w:rPr>
          <w:rFonts w:ascii="Times New Roman" w:hAnsi="Times New Roman" w:cs="Times New Roman"/>
          <w:color w:val="000000"/>
          <w:sz w:val="24"/>
          <w:szCs w:val="24"/>
          <w:lang w:val="en-US"/>
        </w:rPr>
        <w:t xml:space="preserve"> </w:t>
      </w:r>
      <w:r w:rsidR="00133E55">
        <w:rPr>
          <w:rFonts w:ascii="Times New Roman" w:hAnsi="Times New Roman" w:cs="Times New Roman"/>
          <w:color w:val="000000"/>
          <w:sz w:val="24"/>
          <w:szCs w:val="24"/>
        </w:rPr>
        <w:t>АМР</w:t>
      </w:r>
      <w:r w:rsidR="00133E55"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представлява способността на </w:t>
      </w:r>
      <w:r w:rsidR="00133E55">
        <w:rPr>
          <w:rFonts w:ascii="Times New Roman" w:hAnsi="Times New Roman" w:cs="Times New Roman"/>
          <w:color w:val="000000"/>
          <w:sz w:val="24"/>
          <w:szCs w:val="24"/>
        </w:rPr>
        <w:t>микроорганизмите</w:t>
      </w:r>
      <w:r w:rsidR="00133E55"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да устояват </w:t>
      </w:r>
      <w:r w:rsidR="00CF0BBC" w:rsidRPr="00997C23">
        <w:rPr>
          <w:rFonts w:ascii="Times New Roman" w:eastAsia="Times New Roman" w:hAnsi="Times New Roman" w:cs="Times New Roman"/>
          <w:color w:val="000000"/>
          <w:sz w:val="24"/>
          <w:szCs w:val="24"/>
          <w:lang w:eastAsia="bg-BG"/>
        </w:rPr>
        <w:t>на</w:t>
      </w:r>
      <w:r w:rsidRPr="00997C23">
        <w:rPr>
          <w:rFonts w:ascii="Times New Roman" w:hAnsi="Times New Roman" w:cs="Times New Roman"/>
          <w:color w:val="000000"/>
          <w:sz w:val="24"/>
          <w:szCs w:val="24"/>
        </w:rPr>
        <w:t xml:space="preserve"> действието на антибиотика. Голяма част от бактериите са естествено</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резистентни към определени антибиотици </w:t>
      </w:r>
      <w:r w:rsidR="008D1A64">
        <w:rPr>
          <w:rFonts w:ascii="Times New Roman" w:hAnsi="Times New Roman" w:cs="Times New Roman"/>
          <w:color w:val="000000"/>
          <w:sz w:val="24"/>
          <w:szCs w:val="24"/>
        </w:rPr>
        <w:t>–</w:t>
      </w:r>
      <w:r w:rsidRPr="00997C23">
        <w:rPr>
          <w:rFonts w:ascii="Times New Roman" w:hAnsi="Times New Roman" w:cs="Times New Roman"/>
          <w:color w:val="000000"/>
          <w:sz w:val="24"/>
          <w:szCs w:val="24"/>
        </w:rPr>
        <w:t xml:space="preserve"> вродена</w:t>
      </w:r>
      <w:r w:rsidR="008D1A64">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или наследствена резистентност. По</w:t>
      </w:r>
      <w:r w:rsidR="00AD22F1" w:rsidRPr="00997C23">
        <w:rPr>
          <w:rFonts w:ascii="Times New Roman" w:hAnsi="Times New Roman" w:cs="Times New Roman"/>
          <w:color w:val="000000"/>
          <w:sz w:val="24"/>
          <w:szCs w:val="24"/>
        </w:rPr>
        <w:t>-</w:t>
      </w:r>
      <w:r w:rsidRPr="00997C23">
        <w:rPr>
          <w:rFonts w:ascii="Times New Roman" w:hAnsi="Times New Roman" w:cs="Times New Roman"/>
          <w:color w:val="000000"/>
          <w:sz w:val="24"/>
          <w:szCs w:val="24"/>
        </w:rPr>
        <w:t>големият проблем се появява когато бактерии, нормално чувствителни към</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антибиотици, се превръщат в резистентни в резултат на адаптация чрез генетична промяна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(придобита или вторична резистентност). Когато микробна популация бъде изложена на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действието на даден антибиотик, чувствителните микроорганизми загиват, оставяйки след</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себе си само тези, които са резистентни на селективния антибиотичен</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натиск. Тези нечувствителни бактерии могат да предадат своите гени за резистентност на</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поколение</w:t>
      </w:r>
      <w:r w:rsidR="004D32F5" w:rsidRPr="00997C23">
        <w:rPr>
          <w:rFonts w:ascii="Times New Roman" w:hAnsi="Times New Roman" w:cs="Times New Roman"/>
          <w:color w:val="000000"/>
          <w:sz w:val="24"/>
          <w:szCs w:val="24"/>
        </w:rPr>
        <w:t>то</w:t>
      </w:r>
      <w:r w:rsidRPr="00997C23">
        <w:rPr>
          <w:rFonts w:ascii="Times New Roman" w:hAnsi="Times New Roman" w:cs="Times New Roman"/>
          <w:color w:val="000000"/>
          <w:sz w:val="24"/>
          <w:szCs w:val="24"/>
        </w:rPr>
        <w:t xml:space="preserve"> </w:t>
      </w:r>
      <w:r w:rsidR="00CF0BBC" w:rsidRPr="00997C23">
        <w:rPr>
          <w:rFonts w:ascii="Times New Roman" w:eastAsia="Times New Roman" w:hAnsi="Times New Roman" w:cs="Times New Roman"/>
          <w:color w:val="000000"/>
          <w:sz w:val="24"/>
          <w:szCs w:val="24"/>
          <w:lang w:eastAsia="bg-BG"/>
        </w:rPr>
        <w:t xml:space="preserve">си в процеса на размножаване (увеличават се в </w:t>
      </w:r>
      <w:r w:rsidR="00556446">
        <w:rPr>
          <w:rFonts w:ascii="Times New Roman" w:eastAsia="Times New Roman" w:hAnsi="Times New Roman" w:cs="Times New Roman"/>
          <w:color w:val="000000"/>
          <w:sz w:val="24"/>
          <w:szCs w:val="24"/>
          <w:lang w:eastAsia="bg-BG"/>
        </w:rPr>
        <w:t>геометрична</w:t>
      </w:r>
      <w:r w:rsidR="00556446" w:rsidRPr="00997C23">
        <w:rPr>
          <w:rFonts w:ascii="Times New Roman" w:eastAsia="Times New Roman" w:hAnsi="Times New Roman" w:cs="Times New Roman"/>
          <w:color w:val="000000"/>
          <w:sz w:val="24"/>
          <w:szCs w:val="24"/>
          <w:lang w:eastAsia="bg-BG"/>
        </w:rPr>
        <w:t xml:space="preserve"> </w:t>
      </w:r>
      <w:r w:rsidR="00CF0BBC" w:rsidRPr="00997C23">
        <w:rPr>
          <w:rFonts w:ascii="Times New Roman" w:eastAsia="Times New Roman" w:hAnsi="Times New Roman" w:cs="Times New Roman"/>
          <w:color w:val="000000"/>
          <w:sz w:val="24"/>
          <w:szCs w:val="24"/>
          <w:lang w:eastAsia="bg-BG"/>
        </w:rPr>
        <w:t>прогресия на всеки 20 минути</w:t>
      </w:r>
      <w:r w:rsidRPr="00997C23">
        <w:rPr>
          <w:rFonts w:ascii="Times New Roman" w:hAnsi="Times New Roman" w:cs="Times New Roman"/>
          <w:color w:val="000000"/>
          <w:sz w:val="24"/>
          <w:szCs w:val="24"/>
        </w:rPr>
        <w:t>) или на други бактерии чрез различни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генетични механизми за пренос на ДНК (главно чрез конюгация</w:t>
      </w:r>
      <w:r w:rsidR="00CF0BBC" w:rsidRPr="00997C23">
        <w:rPr>
          <w:rFonts w:ascii="Times New Roman" w:eastAsia="Times New Roman" w:hAnsi="Times New Roman" w:cs="Times New Roman"/>
          <w:color w:val="000000"/>
          <w:sz w:val="24"/>
          <w:szCs w:val="24"/>
          <w:lang w:eastAsia="bg-BG"/>
        </w:rPr>
        <w:t>), когато гените са разположени на извънхромозомни генетични елементи: пл</w:t>
      </w:r>
      <w:r w:rsidR="00C80064" w:rsidRPr="00997C23">
        <w:rPr>
          <w:rFonts w:ascii="Times New Roman" w:eastAsia="Times New Roman" w:hAnsi="Times New Roman" w:cs="Times New Roman"/>
          <w:color w:val="000000"/>
          <w:sz w:val="24"/>
          <w:szCs w:val="24"/>
          <w:lang w:eastAsia="bg-BG"/>
        </w:rPr>
        <w:t>азмиди,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транспозони, </w:t>
      </w:r>
      <w:r w:rsidRPr="00997C23">
        <w:rPr>
          <w:rFonts w:ascii="Times New Roman" w:hAnsi="Times New Roman" w:cs="Times New Roman"/>
          <w:color w:val="000000"/>
          <w:sz w:val="24"/>
          <w:szCs w:val="24"/>
        </w:rPr>
        <w:lastRenderedPageBreak/>
        <w:t>интегрони</w:t>
      </w:r>
      <w:r w:rsidR="00CF0BBC" w:rsidRPr="00997C23">
        <w:rPr>
          <w:rFonts w:ascii="Times New Roman" w:eastAsia="Times New Roman" w:hAnsi="Times New Roman" w:cs="Times New Roman"/>
          <w:color w:val="000000"/>
          <w:sz w:val="24"/>
          <w:szCs w:val="24"/>
          <w:lang w:eastAsia="bg-BG"/>
        </w:rPr>
        <w:t>. В този случай най-често се придобива множес</w:t>
      </w:r>
      <w:r w:rsidR="002F050F">
        <w:rPr>
          <w:rFonts w:ascii="Times New Roman" w:eastAsia="Times New Roman" w:hAnsi="Times New Roman" w:cs="Times New Roman"/>
          <w:color w:val="000000"/>
          <w:sz w:val="24"/>
          <w:szCs w:val="24"/>
          <w:lang w:eastAsia="bg-BG"/>
        </w:rPr>
        <w:t xml:space="preserve">твена лекарствена устойчивост </w:t>
      </w:r>
      <w:r w:rsidR="00CF0BBC" w:rsidRPr="00997C23">
        <w:rPr>
          <w:rFonts w:ascii="Times New Roman" w:eastAsia="Times New Roman" w:hAnsi="Times New Roman" w:cs="Times New Roman"/>
          <w:color w:val="000000"/>
          <w:sz w:val="24"/>
          <w:szCs w:val="24"/>
          <w:lang w:eastAsia="bg-BG"/>
        </w:rPr>
        <w:t>към няколко или дори почти всички антибиотици.</w:t>
      </w:r>
      <w:r w:rsidRPr="00997C23">
        <w:rPr>
          <w:rFonts w:ascii="Times New Roman" w:hAnsi="Times New Roman" w:cs="Times New Roman"/>
          <w:color w:val="000000"/>
          <w:sz w:val="24"/>
          <w:szCs w:val="24"/>
        </w:rPr>
        <w:t xml:space="preserve"> Полирезистентността може да се дължи също на други механизми</w:t>
      </w:r>
      <w:r w:rsidR="00CF0BBC" w:rsidRPr="00997C23">
        <w:rPr>
          <w:rFonts w:ascii="Times New Roman" w:eastAsia="Times New Roman" w:hAnsi="Times New Roman" w:cs="Times New Roman"/>
          <w:color w:val="000000"/>
          <w:sz w:val="24"/>
          <w:szCs w:val="24"/>
          <w:lang w:eastAsia="bg-BG"/>
        </w:rPr>
        <w:t>: непропускливост на клетъчната обвивка,</w:t>
      </w:r>
      <w:r w:rsidR="00CF0BBC" w:rsidRPr="00997C23">
        <w:rPr>
          <w:rFonts w:ascii="Times New Roman" w:eastAsia="Times New Roman" w:hAnsi="Times New Roman" w:cs="Times New Roman"/>
          <w:sz w:val="24"/>
          <w:szCs w:val="24"/>
          <w:lang w:eastAsia="bg-BG"/>
        </w:rPr>
        <w:t xml:space="preserve"> </w:t>
      </w:r>
      <w:r w:rsidRPr="00997C23">
        <w:rPr>
          <w:rFonts w:ascii="Times New Roman" w:hAnsi="Times New Roman" w:cs="Times New Roman"/>
          <w:sz w:val="24"/>
          <w:szCs w:val="24"/>
        </w:rPr>
        <w:t>активиране на ендогенни системи</w:t>
      </w:r>
      <w:r w:rsidR="00CF0BBC" w:rsidRPr="00997C23">
        <w:rPr>
          <w:rFonts w:ascii="Times New Roman" w:eastAsia="Times New Roman" w:hAnsi="Times New Roman" w:cs="Times New Roman"/>
          <w:sz w:val="24"/>
          <w:szCs w:val="24"/>
          <w:lang w:eastAsia="bg-BG"/>
        </w:rPr>
        <w:t xml:space="preserve">, </w:t>
      </w:r>
      <w:r w:rsidRPr="00997C23">
        <w:rPr>
          <w:rFonts w:ascii="Times New Roman" w:hAnsi="Times New Roman" w:cs="Times New Roman"/>
          <w:sz w:val="24"/>
          <w:szCs w:val="24"/>
        </w:rPr>
        <w:t>ефлукс</w:t>
      </w:r>
      <w:r w:rsidR="00CF0BBC" w:rsidRPr="00997C23">
        <w:rPr>
          <w:rFonts w:ascii="Times New Roman" w:eastAsia="Times New Roman" w:hAnsi="Times New Roman" w:cs="Times New Roman"/>
          <w:sz w:val="24"/>
          <w:szCs w:val="24"/>
          <w:lang w:eastAsia="bg-BG"/>
        </w:rPr>
        <w:t xml:space="preserve"> и др</w:t>
      </w:r>
      <w:r w:rsidRPr="00997C23">
        <w:rPr>
          <w:rFonts w:ascii="Times New Roman" w:hAnsi="Times New Roman" w:cs="Times New Roman"/>
          <w:sz w:val="24"/>
          <w:szCs w:val="24"/>
        </w:rPr>
        <w:t>.</w:t>
      </w:r>
      <w:r w:rsidR="00560BD6" w:rsidRPr="00997C23">
        <w:rPr>
          <w:rFonts w:ascii="Times New Roman" w:hAnsi="Times New Roman" w:cs="Times New Roman"/>
          <w:sz w:val="24"/>
          <w:szCs w:val="24"/>
        </w:rPr>
        <w:t xml:space="preserve"> </w:t>
      </w:r>
      <w:r w:rsidRPr="00997C23">
        <w:rPr>
          <w:rFonts w:ascii="Times New Roman" w:hAnsi="Times New Roman" w:cs="Times New Roman"/>
          <w:sz w:val="24"/>
          <w:szCs w:val="24"/>
        </w:rPr>
        <w:t>Веднъж селек</w:t>
      </w:r>
      <w:r w:rsidR="00393E70">
        <w:rPr>
          <w:rFonts w:ascii="Times New Roman" w:hAnsi="Times New Roman" w:cs="Times New Roman"/>
          <w:sz w:val="24"/>
          <w:szCs w:val="24"/>
        </w:rPr>
        <w:t>т</w:t>
      </w:r>
      <w:r w:rsidRPr="00997C23">
        <w:rPr>
          <w:rFonts w:ascii="Times New Roman" w:hAnsi="Times New Roman" w:cs="Times New Roman"/>
          <w:sz w:val="24"/>
          <w:szCs w:val="24"/>
        </w:rPr>
        <w:t xml:space="preserve">ирани, устойчивите бактерии </w:t>
      </w:r>
      <w:r w:rsidR="00CF0BBC" w:rsidRPr="00997C23">
        <w:rPr>
          <w:rFonts w:ascii="Times New Roman" w:eastAsia="Times New Roman" w:hAnsi="Times New Roman" w:cs="Times New Roman"/>
          <w:sz w:val="24"/>
          <w:szCs w:val="24"/>
          <w:lang w:eastAsia="bg-BG"/>
        </w:rPr>
        <w:t>и гените за резистентност продължават</w:t>
      </w:r>
      <w:r w:rsidR="00E81104" w:rsidRPr="00997C23">
        <w:rPr>
          <w:rFonts w:ascii="Times New Roman" w:eastAsia="Times New Roman" w:hAnsi="Times New Roman" w:cs="Times New Roman"/>
          <w:sz w:val="24"/>
          <w:szCs w:val="24"/>
          <w:lang w:eastAsia="bg-BG"/>
        </w:rPr>
        <w:t xml:space="preserve"> </w:t>
      </w:r>
      <w:r w:rsidRPr="00997C23">
        <w:rPr>
          <w:rFonts w:ascii="Times New Roman" w:hAnsi="Times New Roman" w:cs="Times New Roman"/>
          <w:sz w:val="24"/>
          <w:szCs w:val="24"/>
        </w:rPr>
        <w:t>да се разпространяват</w:t>
      </w:r>
      <w:r w:rsidR="00CF0BBC" w:rsidRPr="00997C23">
        <w:rPr>
          <w:rFonts w:ascii="Times New Roman" w:eastAsia="Times New Roman" w:hAnsi="Times New Roman" w:cs="Times New Roman"/>
          <w:sz w:val="24"/>
          <w:szCs w:val="24"/>
          <w:lang w:eastAsia="bg-BG"/>
        </w:rPr>
        <w:t xml:space="preserve"> епидемично</w:t>
      </w:r>
      <w:r w:rsidRPr="00997C23">
        <w:rPr>
          <w:rFonts w:ascii="Times New Roman" w:hAnsi="Times New Roman" w:cs="Times New Roman"/>
          <w:sz w:val="24"/>
          <w:szCs w:val="24"/>
        </w:rPr>
        <w:t>, като</w:t>
      </w:r>
      <w:r w:rsidR="00560BD6" w:rsidRPr="00997C23">
        <w:rPr>
          <w:rFonts w:ascii="Times New Roman" w:hAnsi="Times New Roman" w:cs="Times New Roman"/>
          <w:sz w:val="24"/>
          <w:szCs w:val="24"/>
        </w:rPr>
        <w:t xml:space="preserve"> </w:t>
      </w:r>
      <w:r w:rsidRPr="00997C23">
        <w:rPr>
          <w:rFonts w:ascii="Times New Roman" w:hAnsi="Times New Roman" w:cs="Times New Roman"/>
          <w:sz w:val="24"/>
          <w:szCs w:val="24"/>
        </w:rPr>
        <w:t>особено интензивен е процесът на разпространение в големите</w:t>
      </w:r>
      <w:r w:rsidR="008B5508" w:rsidRPr="00997C23">
        <w:rPr>
          <w:rFonts w:ascii="Times New Roman" w:hAnsi="Times New Roman" w:cs="Times New Roman"/>
          <w:sz w:val="24"/>
          <w:szCs w:val="24"/>
        </w:rPr>
        <w:t xml:space="preserve"> болници и</w:t>
      </w:r>
      <w:r w:rsidRPr="00997C23">
        <w:rPr>
          <w:rFonts w:ascii="Times New Roman" w:hAnsi="Times New Roman" w:cs="Times New Roman"/>
          <w:sz w:val="24"/>
          <w:szCs w:val="24"/>
        </w:rPr>
        <w:t xml:space="preserve"> животновъдни </w:t>
      </w:r>
      <w:r w:rsidR="00CF0BBC" w:rsidRPr="00997C23">
        <w:rPr>
          <w:rFonts w:ascii="Times New Roman" w:eastAsia="Times New Roman" w:hAnsi="Times New Roman" w:cs="Times New Roman"/>
          <w:sz w:val="24"/>
          <w:szCs w:val="24"/>
          <w:lang w:eastAsia="bg-BG"/>
        </w:rPr>
        <w:t>ферми</w:t>
      </w:r>
      <w:r w:rsidR="00183BA1" w:rsidRPr="00997C23">
        <w:rPr>
          <w:rFonts w:ascii="Times New Roman" w:eastAsia="Times New Roman" w:hAnsi="Times New Roman" w:cs="Times New Roman"/>
          <w:sz w:val="24"/>
          <w:szCs w:val="24"/>
          <w:lang w:eastAsia="bg-BG"/>
        </w:rPr>
        <w:t>.</w:t>
      </w:r>
      <w:r w:rsidR="00E81104" w:rsidRPr="00997C23">
        <w:rPr>
          <w:rFonts w:ascii="Times New Roman" w:eastAsia="Times New Roman" w:hAnsi="Times New Roman" w:cs="Times New Roman"/>
          <w:sz w:val="24"/>
          <w:szCs w:val="24"/>
          <w:lang w:eastAsia="bg-BG"/>
        </w:rPr>
        <w:t xml:space="preserve"> </w:t>
      </w:r>
      <w:r w:rsidR="00CC33CA" w:rsidRPr="00997C23">
        <w:rPr>
          <w:rFonts w:ascii="Times New Roman" w:hAnsi="Times New Roman" w:cs="Times New Roman"/>
          <w:sz w:val="24"/>
          <w:szCs w:val="24"/>
        </w:rPr>
        <w:t xml:space="preserve">Резистентните бактерии </w:t>
      </w:r>
      <w:r w:rsidR="00CF0BBC" w:rsidRPr="00997C23">
        <w:rPr>
          <w:rFonts w:ascii="Times New Roman" w:eastAsia="Times New Roman" w:hAnsi="Times New Roman" w:cs="Times New Roman"/>
          <w:sz w:val="24"/>
          <w:szCs w:val="24"/>
          <w:lang w:eastAsia="bg-BG"/>
        </w:rPr>
        <w:t>обичайно</w:t>
      </w:r>
      <w:r w:rsidR="00CC33CA" w:rsidRPr="00997C23">
        <w:rPr>
          <w:rFonts w:ascii="Times New Roman" w:hAnsi="Times New Roman" w:cs="Times New Roman"/>
          <w:sz w:val="24"/>
          <w:szCs w:val="24"/>
        </w:rPr>
        <w:t xml:space="preserve"> попадат в индивида </w:t>
      </w:r>
      <w:r w:rsidR="00EC7946" w:rsidRPr="00997C23">
        <w:rPr>
          <w:rFonts w:ascii="Times New Roman" w:hAnsi="Times New Roman" w:cs="Times New Roman"/>
          <w:sz w:val="24"/>
          <w:szCs w:val="24"/>
        </w:rPr>
        <w:t>при директен контакт от контаминирана</w:t>
      </w:r>
      <w:r w:rsidR="00CC33CA" w:rsidRPr="00997C23">
        <w:rPr>
          <w:rFonts w:ascii="Times New Roman" w:hAnsi="Times New Roman" w:cs="Times New Roman"/>
          <w:sz w:val="24"/>
          <w:szCs w:val="24"/>
        </w:rPr>
        <w:t xml:space="preserve"> външна среда, </w:t>
      </w:r>
      <w:r w:rsidR="00EC7946" w:rsidRPr="00997C23">
        <w:rPr>
          <w:rFonts w:ascii="Times New Roman" w:hAnsi="Times New Roman" w:cs="Times New Roman"/>
          <w:sz w:val="24"/>
          <w:szCs w:val="24"/>
        </w:rPr>
        <w:t xml:space="preserve">пациенти, </w:t>
      </w:r>
      <w:r w:rsidR="00CC33CA" w:rsidRPr="00997C23">
        <w:rPr>
          <w:rFonts w:ascii="Times New Roman" w:hAnsi="Times New Roman" w:cs="Times New Roman"/>
          <w:sz w:val="24"/>
          <w:szCs w:val="24"/>
        </w:rPr>
        <w:t>медицински персонал</w:t>
      </w:r>
      <w:r w:rsidR="00CF0BBC" w:rsidRPr="00997C23">
        <w:rPr>
          <w:rFonts w:ascii="Times New Roman" w:eastAsia="Times New Roman" w:hAnsi="Times New Roman" w:cs="Times New Roman"/>
          <w:sz w:val="24"/>
          <w:szCs w:val="24"/>
          <w:lang w:eastAsia="bg-BG"/>
        </w:rPr>
        <w:t>, при инвазивни медицински процедури</w:t>
      </w:r>
      <w:r w:rsidR="00CC33CA" w:rsidRPr="00997C23">
        <w:rPr>
          <w:rFonts w:ascii="Times New Roman" w:hAnsi="Times New Roman" w:cs="Times New Roman"/>
          <w:sz w:val="24"/>
          <w:szCs w:val="24"/>
        </w:rPr>
        <w:t xml:space="preserve"> или чрез храната</w:t>
      </w:r>
      <w:r w:rsidR="00CF0BBC" w:rsidRPr="00997C23">
        <w:rPr>
          <w:rFonts w:ascii="Times New Roman" w:eastAsia="Times New Roman" w:hAnsi="Times New Roman" w:cs="Times New Roman"/>
          <w:sz w:val="24"/>
          <w:szCs w:val="24"/>
          <w:lang w:eastAsia="bg-BG"/>
        </w:rPr>
        <w:t xml:space="preserve"> </w:t>
      </w:r>
      <w:r w:rsidR="00CF0BBC" w:rsidRPr="00997C23">
        <w:rPr>
          <w:rFonts w:ascii="Times New Roman" w:eastAsia="Times New Roman" w:hAnsi="Times New Roman" w:cs="Times New Roman"/>
          <w:sz w:val="24"/>
          <w:szCs w:val="24"/>
          <w:lang w:val="en-US" w:eastAsia="bg-BG"/>
        </w:rPr>
        <w:t>(</w:t>
      </w:r>
      <w:r w:rsidR="00CF0BBC" w:rsidRPr="00997C23">
        <w:rPr>
          <w:rFonts w:ascii="Times New Roman" w:eastAsia="Times New Roman" w:hAnsi="Times New Roman" w:cs="Times New Roman"/>
          <w:sz w:val="24"/>
          <w:szCs w:val="24"/>
          <w:lang w:eastAsia="bg-BG"/>
        </w:rPr>
        <w:t>по същите механизми на предаване на инфекциозните причинители: въздушно-капков, контактен, фекално-орален, трансмисивен</w:t>
      </w:r>
      <w:r w:rsidR="00CF0BBC" w:rsidRPr="00997C23">
        <w:rPr>
          <w:rFonts w:ascii="Times New Roman" w:eastAsia="Times New Roman" w:hAnsi="Times New Roman" w:cs="Times New Roman"/>
          <w:sz w:val="24"/>
          <w:szCs w:val="24"/>
          <w:lang w:val="en-US" w:eastAsia="bg-BG"/>
        </w:rPr>
        <w:t>)</w:t>
      </w:r>
      <w:r w:rsidR="00CF0BBC" w:rsidRPr="00997C23">
        <w:rPr>
          <w:rFonts w:ascii="Times New Roman" w:eastAsia="Times New Roman" w:hAnsi="Times New Roman" w:cs="Times New Roman"/>
          <w:sz w:val="24"/>
          <w:szCs w:val="24"/>
          <w:lang w:eastAsia="bg-BG"/>
        </w:rPr>
        <w:t>, или могат да се развият в хода на антибиотичната терапия</w:t>
      </w:r>
      <w:r w:rsidR="005D4394" w:rsidRPr="00997C23">
        <w:rPr>
          <w:rFonts w:ascii="Times New Roman" w:eastAsia="Times New Roman" w:hAnsi="Times New Roman" w:cs="Times New Roman"/>
          <w:sz w:val="24"/>
          <w:szCs w:val="24"/>
          <w:lang w:eastAsia="bg-BG"/>
        </w:rPr>
        <w:t xml:space="preserve"> </w:t>
      </w:r>
      <w:r w:rsidR="005D4394" w:rsidRPr="00997C23">
        <w:rPr>
          <w:rFonts w:ascii="Times New Roman" w:eastAsia="Times New Roman" w:hAnsi="Times New Roman" w:cs="Times New Roman"/>
          <w:sz w:val="24"/>
          <w:szCs w:val="24"/>
          <w:lang w:eastAsia="bg-BG"/>
        </w:rPr>
        <w:fldChar w:fldCharType="begin" w:fldLock="1"/>
      </w:r>
      <w:r w:rsidR="009D0134" w:rsidRPr="00997C23">
        <w:rPr>
          <w:rFonts w:ascii="Times New Roman" w:eastAsia="Times New Roman" w:hAnsi="Times New Roman" w:cs="Times New Roman"/>
          <w:sz w:val="24"/>
          <w:szCs w:val="24"/>
          <w:lang w:eastAsia="bg-BG"/>
        </w:rPr>
        <w:instrText>ADDIN CSL_CITATION {"citationItems":[{"id":"ITEM-1","itemData":{"author":[{"dropping-particle":"","family":"Кьолеян","given":"Е.","non-dropping-particle":"","parse-names":false,"suffix":""}],"container-title":"Съвременни медицински проблеми.","id":"ITEM-1","issue":"1","issued":{"date-parts":[["2014"]]},"page":"53-62","title":"Антибиотичната резистентност – световен здравен проблем.","type":"article-journal"},"uris":["http://www.mendeley.com/documents/?uuid=42839e58-f394-4349-b100-c7452731f0c8"]},{"id":"ITEM-2","itemData":{"author":[{"dropping-particle":"","family":"Савов","given":"Е","non-dropping-particle":"","parse-names":false,"suffix":""}],"id":"ITEM-2","issued":{"date-parts":[["2015"]]},"page":"175","publisher":"Военно издателство ЕООД","publisher-place":"София","title":"Bad bugs no drugs. На прага ли сме на пост-антибиотичния апокалипсис ?","type":"chapter"},"uris":["http://www.mendeley.com/documents/?uuid=0cf49395-d7ff-45f4-b28f-a49449e358a8"]},{"id":"ITEM-3","itemData":{"DOI":"10.1016/b978-0-12-810477-4.09988-8","ISBN":"9780128104774","author":[{"dropping-particle":"","family":"Beović","given":"Bojana","non-dropping-particle":"","parse-names":false,"suffix":""},{"dropping-particle":"","family":"Ergönül","given":"Önder","non-dropping-particle":"","parse-names":false,"suffix":""},{"dropping-particle":"","family":"Can","given":"Füsun","non-dropping-particle":"","parse-names":false,"suffix":""},{"dropping-particle":"","family":"Pulcini","given":"Céline","non-dropping-particle":"","parse-names":false,"suffix":""}],"container-title":"Antimicrobial Stewardship","id":"ITEM-3","issued":{"date-parts":[["2017"]]},"page":"xxiii-xxiv","publisher":"Elsevier","title":"Preface","type":"article"},"uris":["http://www.mendeley.com/documents/?uuid=0b0440da-a1c2-4383-8998-4e09c52bf2ae"]},{"id":"ITEM-4","itemData":{"author":[{"dropping-particle":"","family":"EC","given":"","non-dropping-particle":"","parse-names":false,"suffix":""}],"id":"ITEM-4","issued":{"date-parts":[["2018"]]},"title":"Special eurobarometer 478. Report. Antibiotic resistance","type":"article-journal"},"uris":["http://www.mendeley.com/documents/?uuid=8f391651-9091-4876-be04-26bea29f5887"]}],"mendeley":{"formattedCitation":"[1]–[3], [6]","plainTextFormattedCitation":"[1]–[3], [6]","previouslyFormattedCitation":"(Beović et al., 2017; EC, 2018; Кьолеян, 2014; Савов, 2015)"},"properties":{"noteIndex":0},"schema":"https://github.com/citation-style-language/schema/raw/master/csl-citation.json"}</w:instrText>
      </w:r>
      <w:r w:rsidR="005D4394" w:rsidRPr="00997C23">
        <w:rPr>
          <w:rFonts w:ascii="Times New Roman" w:eastAsia="Times New Roman" w:hAnsi="Times New Roman" w:cs="Times New Roman"/>
          <w:sz w:val="24"/>
          <w:szCs w:val="24"/>
          <w:lang w:eastAsia="bg-BG"/>
        </w:rPr>
        <w:fldChar w:fldCharType="separate"/>
      </w:r>
      <w:r w:rsidR="009D0134" w:rsidRPr="00997C23">
        <w:rPr>
          <w:rFonts w:ascii="Times New Roman" w:eastAsia="Times New Roman" w:hAnsi="Times New Roman" w:cs="Times New Roman"/>
          <w:noProof/>
          <w:sz w:val="24"/>
          <w:szCs w:val="24"/>
          <w:lang w:eastAsia="bg-BG"/>
        </w:rPr>
        <w:t>[1]–[3], [6]</w:t>
      </w:r>
      <w:r w:rsidR="005D4394" w:rsidRPr="00997C23">
        <w:rPr>
          <w:rFonts w:ascii="Times New Roman" w:eastAsia="Times New Roman" w:hAnsi="Times New Roman" w:cs="Times New Roman"/>
          <w:sz w:val="24"/>
          <w:szCs w:val="24"/>
          <w:lang w:eastAsia="bg-BG"/>
        </w:rPr>
        <w:fldChar w:fldCharType="end"/>
      </w:r>
      <w:r w:rsidR="00CF0BBC" w:rsidRPr="00997C23">
        <w:rPr>
          <w:rFonts w:ascii="Times New Roman" w:eastAsia="Times New Roman" w:hAnsi="Times New Roman" w:cs="Times New Roman"/>
          <w:sz w:val="24"/>
          <w:szCs w:val="24"/>
          <w:lang w:eastAsia="bg-BG"/>
        </w:rPr>
        <w:t xml:space="preserve">. </w:t>
      </w:r>
    </w:p>
    <w:p w14:paraId="3BD30380" w14:textId="77777777" w:rsidR="008040B9" w:rsidRPr="00997C23" w:rsidRDefault="00CF0BBC" w:rsidP="00E843C8">
      <w:pPr>
        <w:spacing w:after="0" w:line="360" w:lineRule="auto"/>
        <w:ind w:firstLine="708"/>
        <w:jc w:val="both"/>
        <w:rPr>
          <w:rFonts w:ascii="Times New Roman" w:eastAsia="Times New Roman" w:hAnsi="Times New Roman" w:cs="Times New Roman"/>
          <w:sz w:val="24"/>
          <w:szCs w:val="24"/>
          <w:lang w:eastAsia="bg-BG"/>
        </w:rPr>
      </w:pPr>
      <w:r w:rsidRPr="00997C23">
        <w:rPr>
          <w:rFonts w:ascii="Times New Roman" w:eastAsia="Times New Roman" w:hAnsi="Times New Roman" w:cs="Times New Roman"/>
          <w:b/>
          <w:sz w:val="24"/>
          <w:szCs w:val="24"/>
          <w:lang w:eastAsia="bg-BG"/>
        </w:rPr>
        <w:t>Рисковите условия</w:t>
      </w:r>
      <w:r w:rsidR="00EC7946" w:rsidRPr="00997C23">
        <w:rPr>
          <w:rFonts w:ascii="Times New Roman" w:hAnsi="Times New Roman" w:cs="Times New Roman"/>
          <w:b/>
          <w:sz w:val="24"/>
          <w:szCs w:val="24"/>
        </w:rPr>
        <w:t xml:space="preserve"> и факторите</w:t>
      </w:r>
      <w:r w:rsidR="00A02220" w:rsidRPr="00997C23">
        <w:rPr>
          <w:rFonts w:ascii="Times New Roman" w:hAnsi="Times New Roman" w:cs="Times New Roman"/>
          <w:b/>
          <w:sz w:val="24"/>
          <w:szCs w:val="24"/>
        </w:rPr>
        <w:t xml:space="preserve">, които </w:t>
      </w:r>
      <w:r w:rsidRPr="00997C23">
        <w:rPr>
          <w:rFonts w:ascii="Times New Roman" w:eastAsia="Times New Roman" w:hAnsi="Times New Roman" w:cs="Times New Roman"/>
          <w:b/>
          <w:sz w:val="24"/>
          <w:szCs w:val="24"/>
          <w:lang w:eastAsia="bg-BG"/>
        </w:rPr>
        <w:t xml:space="preserve">най-често </w:t>
      </w:r>
      <w:r w:rsidR="00A02220" w:rsidRPr="00997C23">
        <w:rPr>
          <w:rFonts w:ascii="Times New Roman" w:hAnsi="Times New Roman" w:cs="Times New Roman"/>
          <w:b/>
          <w:sz w:val="24"/>
          <w:szCs w:val="24"/>
        </w:rPr>
        <w:t>способстват за епидемичното разпространение на микроорганизмите</w:t>
      </w:r>
      <w:r w:rsidR="002D74E6" w:rsidRPr="00997C23">
        <w:rPr>
          <w:rFonts w:ascii="Times New Roman" w:hAnsi="Times New Roman" w:cs="Times New Roman"/>
          <w:b/>
          <w:sz w:val="24"/>
          <w:szCs w:val="24"/>
        </w:rPr>
        <w:t xml:space="preserve"> при хората</w:t>
      </w:r>
      <w:r w:rsidR="00B13B40">
        <w:rPr>
          <w:rFonts w:ascii="Times New Roman" w:hAnsi="Times New Roman" w:cs="Times New Roman"/>
          <w:b/>
          <w:sz w:val="24"/>
          <w:szCs w:val="24"/>
        </w:rPr>
        <w:t>,</w:t>
      </w:r>
      <w:r w:rsidR="00CC33CA" w:rsidRPr="00997C23">
        <w:rPr>
          <w:rFonts w:ascii="Times New Roman" w:hAnsi="Times New Roman" w:cs="Times New Roman"/>
          <w:sz w:val="24"/>
          <w:szCs w:val="24"/>
        </w:rPr>
        <w:t xml:space="preserve"> </w:t>
      </w:r>
      <w:r w:rsidR="00CC33CA" w:rsidRPr="00997C23">
        <w:rPr>
          <w:rFonts w:ascii="Times New Roman" w:hAnsi="Times New Roman" w:cs="Times New Roman"/>
          <w:b/>
          <w:sz w:val="24"/>
          <w:szCs w:val="24"/>
        </w:rPr>
        <w:t>са</w:t>
      </w:r>
      <w:r w:rsidR="008040B9" w:rsidRPr="00997C23">
        <w:rPr>
          <w:rFonts w:ascii="Times New Roman" w:hAnsi="Times New Roman" w:cs="Times New Roman"/>
          <w:sz w:val="24"/>
          <w:szCs w:val="24"/>
        </w:rPr>
        <w:t>:</w:t>
      </w:r>
      <w:r w:rsidR="00CC33CA" w:rsidRPr="00997C23">
        <w:rPr>
          <w:rFonts w:ascii="Times New Roman" w:hAnsi="Times New Roman" w:cs="Times New Roman"/>
          <w:sz w:val="24"/>
          <w:szCs w:val="24"/>
        </w:rPr>
        <w:t xml:space="preserve"> </w:t>
      </w:r>
      <w:r w:rsidRPr="00997C23">
        <w:rPr>
          <w:rFonts w:ascii="Times New Roman" w:eastAsia="Times New Roman" w:hAnsi="Times New Roman" w:cs="Times New Roman"/>
          <w:sz w:val="24"/>
          <w:szCs w:val="24"/>
          <w:lang w:eastAsia="bg-BG"/>
        </w:rPr>
        <w:t xml:space="preserve">пребиваването в </w:t>
      </w:r>
      <w:r w:rsidR="00CC33CA" w:rsidRPr="00997C23">
        <w:rPr>
          <w:rFonts w:ascii="Times New Roman" w:hAnsi="Times New Roman" w:cs="Times New Roman"/>
          <w:sz w:val="24"/>
          <w:szCs w:val="24"/>
        </w:rPr>
        <w:t>твърде натоварени и интензивни болнични отделения</w:t>
      </w:r>
      <w:r w:rsidRPr="00997C23">
        <w:rPr>
          <w:rFonts w:ascii="Times New Roman" w:eastAsia="Times New Roman" w:hAnsi="Times New Roman" w:cs="Times New Roman"/>
          <w:sz w:val="24"/>
          <w:szCs w:val="24"/>
          <w:lang w:eastAsia="bg-BG"/>
        </w:rPr>
        <w:t>, където антибиотичният натиск е висок поради концентрацията на пациенти в тежко състояние, с животозастрашаващи инфекции</w:t>
      </w:r>
      <w:r w:rsidR="00CC33CA" w:rsidRPr="00997C23">
        <w:rPr>
          <w:rFonts w:ascii="Times New Roman" w:hAnsi="Times New Roman" w:cs="Times New Roman"/>
          <w:sz w:val="24"/>
          <w:szCs w:val="24"/>
        </w:rPr>
        <w:t xml:space="preserve">, честото превеждане на пациентите в друго отделение или болница, недостатъчен медицински персонал и неспазване на хигиенните и противоепидемични правила за контрол на инфекциите. </w:t>
      </w:r>
      <w:r w:rsidR="004445AA" w:rsidRPr="00997C23">
        <w:rPr>
          <w:rFonts w:ascii="Times New Roman" w:hAnsi="Times New Roman" w:cs="Times New Roman"/>
          <w:sz w:val="24"/>
          <w:szCs w:val="24"/>
        </w:rPr>
        <w:t>Изписани от болниците п</w:t>
      </w:r>
      <w:r w:rsidR="00CC33CA" w:rsidRPr="00997C23">
        <w:rPr>
          <w:rFonts w:ascii="Times New Roman" w:hAnsi="Times New Roman" w:cs="Times New Roman"/>
          <w:sz w:val="24"/>
          <w:szCs w:val="24"/>
        </w:rPr>
        <w:t xml:space="preserve">ациенти </w:t>
      </w:r>
      <w:r w:rsidRPr="00997C23">
        <w:rPr>
          <w:rFonts w:ascii="Times New Roman" w:eastAsia="Times New Roman" w:hAnsi="Times New Roman" w:cs="Times New Roman"/>
          <w:sz w:val="24"/>
          <w:szCs w:val="24"/>
          <w:lang w:eastAsia="bg-BG"/>
        </w:rPr>
        <w:t>не рядко</w:t>
      </w:r>
      <w:r w:rsidR="00CC33CA" w:rsidRPr="00997C23">
        <w:rPr>
          <w:rFonts w:ascii="Times New Roman" w:hAnsi="Times New Roman" w:cs="Times New Roman"/>
          <w:sz w:val="24"/>
          <w:szCs w:val="24"/>
        </w:rPr>
        <w:t xml:space="preserve"> са носители на резистентни микроорганизми, които могат да разпространят в обществото и в други болници</w:t>
      </w:r>
      <w:r w:rsidRPr="00997C23">
        <w:rPr>
          <w:rFonts w:ascii="Times New Roman" w:eastAsia="Times New Roman" w:hAnsi="Times New Roman" w:cs="Times New Roman"/>
          <w:sz w:val="24"/>
          <w:szCs w:val="24"/>
          <w:lang w:val="en-US" w:eastAsia="bg-BG"/>
        </w:rPr>
        <w:t xml:space="preserve"> </w:t>
      </w:r>
      <w:r w:rsidR="006B181C" w:rsidRPr="00997C23">
        <w:rPr>
          <w:rFonts w:ascii="Times New Roman" w:eastAsia="Times New Roman" w:hAnsi="Times New Roman" w:cs="Times New Roman"/>
          <w:sz w:val="24"/>
          <w:szCs w:val="24"/>
          <w:lang w:val="en-US" w:eastAsia="bg-BG"/>
        </w:rPr>
        <w:fldChar w:fldCharType="begin" w:fldLock="1"/>
      </w:r>
      <w:r w:rsidR="009D0134" w:rsidRPr="00997C23">
        <w:rPr>
          <w:rFonts w:ascii="Times New Roman" w:eastAsia="Times New Roman" w:hAnsi="Times New Roman" w:cs="Times New Roman"/>
          <w:sz w:val="24"/>
          <w:szCs w:val="24"/>
          <w:lang w:val="en-US" w:eastAsia="bg-BG"/>
        </w:rPr>
        <w:instrText>ADDIN CSL_CITATION {"citationItems":[{"id":"ITEM-1","itemData":{"author":[{"dropping-particle":"","family":"CDC","given":"","non-dropping-particle":"","parse-names":false,"suffix":""}],"id":"ITEM-1","issued":{"date-parts":[["2015"]]},"title":"Facility Guidance for Control of Carbapenem-resistant Enterobacteriaceae (CRE) – November 2015 Update CRE Toolkittle","type":"article"},"uris":["http://www.mendeley.com/documents/?uuid=47cc9806-96bd-47a3-9601-923eace86220"]},{"id":"ITEM-2","itemData":{"DOI":"10.1093/cid/ciw118","ISSN":"1058-4838","author":[{"dropping-particle":"","family":"Barlam","given":"Tamar F","non-dropping-particle":"","parse-names":false,"suffix":""},{"dropping-particle":"","family":"Cosgrove","given":"Sara E","non-dropping-particle":"","parse-names":false,"suffix":""},{"dropping-particle":"","family":"Abbo","given":"Lilian M","non-dropping-particle":"","parse-names":false,"suffix":""},{"dropping-particle":"","family":"MacDougall","given":"Conan","non-dropping-particle":"","parse-names":false,"suffix":""},{"dropping-particle":"","family":"Schuetz","given":"Audrey N","non-dropping-particle":"","parse-names":false,"suffix":""},{"dropping-particle":"","family":"Septimus","given":"Edward J","non-dropping-particle":"","parse-names":false,"suffix":""},{"dropping-particle":"","family":"Srinivasan","given":"Arjun","non-dropping-particle":"","parse-names":false,"suffix":""},{"dropping-particle":"","family":"Dellit","given":"Timothy H","non-dropping-particle":"","parse-names":false,"suffix":""},{"dropping-particle":"","family":"Falck-Ytter","given":"Yngve T","non-dropping-particle":"","parse-names":false,"suffix":""},{"dropping-particle":"","family":"Fishman","given":"Neil O","non-dropping-particle":"","parse-names":false,"suffix":""},{"dropping-particle":"","family":"Hamilton","given":"Cindy W","non-dropping-particle":"","parse-names":false,"suffix":""},{"dropping-particle":"","family":"Jenkins","given":"Timothy C","non-dropping-particle":"","parse-names":false,"suffix":""},{"dropping-particle":"","family":"Lipsett","given":"Pamela A","non-dropping-particle":"","parse-names":false,"suffix":""},{"dropping-particle":"","family":"Malani","given":"Preeti N","non-dropping-particle":"","parse-names":false,"suffix":""},{"dropping-particle":"","family":"May","given":"Larissa S","non-dropping-particle":"","parse-names":false,"suffix":""},{"dropping-particle":"","family":"Moran","given":"Gregory J","non-dropping-particle":"","parse-names":false,"suffix":""},{"dropping-particle":"","family":"Neuhauser","given":"Melinda M","non-dropping-particle":"","parse-names":false,"suffix":""},{"dropping-particle":"","family":"Newland","given":"Jason G","non-dropping-particle":"","parse-names":false,"suffix":""},{"dropping-particle":"","family":"Ohl","given":"Christopher A","non-dropping-particle":"","parse-names":false,"suffix":""},{"dropping-particle":"","family":"Samore","given":"Matthew H","non-dropping-particle":"","parse-names":false,"suffix":""},{"dropping-particle":"","family":"Seo","given":"Susan K","non-dropping-particle":"","parse-names":false,"suffix":""},{"dropping-particle":"","family":"Trivedi","given":"Kavita K","non-dropping-particle":"","parse-names":false,"suffix":""}],"container-title":"Clinical Infectious Diseases","id":"ITEM-2","issue":"10","issued":{"date-parts":[["2016"]]},"page":"e51-e77","publisher":"Oxford University Press (OUP)","title":"Implementing an Antibiotic Stewardship Program: Guidelines by the Infectious Diseases Society of America and the Society for Healthcare Epidemiology of America","type":"article-journal","volume":"62"},"uris":["http://www.mendeley.com/documents/?uuid=9b01f1ec-06a3-4610-98f8-5b4ae4d9357a"]},{"id":"ITEM-3","itemData":{"DOI":"10.1186/s13756-017-0259-z","ISSN":"2047-2994","author":[{"dropping-particle":"","family":"Magiorakos","given":"A P","non-dropping-particle":"","parse-names":false,"suffix":""},{"dropping-particle":"","family":"Burns","given":"K","non-dropping-particle":"","parse-names":false,"suffix":""},{"dropping-particle":"","family":"Rodríguez Baño","given":"J","non-dropping-particle":"","parse-names":false,"suffix":""},{"dropping-particle":"","family":"Borg","given":"M","non-dropping-particle":"","parse-names":false,"suffix":""},{"dropping-particle":"","family":"Daikos","given":"G","non-dropping-particle":"","parse-names":false,"suffix":""},{"dropping-particle":"","family":"Dumpis","given":"U","non-dropping-particle":"","parse-names":false,"suffix":""},{"dropping-particle":"","family":"Lucet","given":"J C","non-dropping-particle":"","parse-names":false,"suffix":""},{"dropping-particle":"","family":"Moro","given":"M L","non-dropping-particle":"","parse-names":false,"suffix":""},{"dropping-particle":"","family":"Tacconelli","given":"E","non-dropping-particle":"","parse-names":false,"suffix":""},{"dropping-particle":"","family":"Simonsen","given":"G Skov","non-dropping-particle":"","parse-names":false,"suffix":""},{"dropping-particle":"","family":"Szilágyi","given":"E","non-dropping-particle":"","parse-names":false,"suffix":""},{"dropping-particle":"","family":"Voss","given":"A","non-dropping-particle":"","parse-names":false,"suffix":""},{"dropping-particle":"","family":"Weber","given":"J T","non-dropping-particle":"","parse-names":false,"suffix":""}],"container-title":"Antimicrobial Resistance &amp; Infection Control","id":"ITEM-3","issue":"1","issued":{"date-parts":[["2017"]]},"publisher":"Springer Science and Business Media LLC","title":"Infection prevention and control measures and tools for the prevention of entry of carbapenem-resistant Enterobacteriaceae into healthcare settings: guidance from the European Centre for Disease Prevention and Control","type":"article-journal","volume":"6"},"uris":["http://www.mendeley.com/documents/?uuid=fe828ab5-6113-4cbd-bf3e-209ef5d960cb"]},{"id":"ITEM-4","itemData":{"DOI":"10.1007/s10096-019-03648-2","ISSN":"0934-9723","author":[{"dropping-particle":"","family":"Maraolo","given":"Alberto Enrico","non-dropping-particle":"","parse-names":false,"suffix":""},{"dropping-particle":"","family":"Ong","given":"David S Y","non-dropping-particle":"","parse-names":false,"suffix":""},{"dropping-particle":"","family":"Cimen","given":"Cansu","non-dropping-particle":"","parse-names":false,"suffix":""},{"dropping-particle":"","family":"Howard","given":"Philip","non-dropping-particle":"","parse-names":false,"suffix":""},{"dropping-particle":"","family":"Kofteridis","given":"Diamantis P","non-dropping-particle":"","parse-names":false,"suffix":""},{"dropping-particle":"","family":"Schouten","given":"Jeroen","non-dropping-particle":"","parse-names":false,"suffix":""},{"dropping-particle":"","family":"Mutters","given":"Nico T","non-dropping-particle":"","parse-names":false,"suffix":""},{"dropping-particle":"","family":"Pulcini","given":"Céline","non-dropping-particle":"","parse-names":false,"suffix":""}],"container-title":"European Journal of Clinical Microbiology &amp; Infectious Diseases","id":"ITEM-4","issued":{"date-parts":[["2019"]]},"publisher":"Springer Science and Business Media LLC","title":"Organization and training at national level of antimicrobial stewardship and infection control activities in Europe: an ESCMID cross-sectional survey","type":"article-journal"},"uris":["http://www.mendeley.com/documents/?uuid=fe8664ba-9083-441c-9068-ba64d0d9c43b"]},{"id":"ITEM-5","itemData":{"DOI":"10.1111/1469-0691.12427","ISSN":"1198-743X","author":[{"dropping-particle":"","family":"Tacconelli","given":"E","non-dropping-particle":"","parse-names":false,"suffix":""},{"dropping-particle":"","family":"Cataldo","given":"M A","non-dropping-particle":"","parse-names":false,"suffix":""},{"dropping-particle":"","family":"Dancer","given":"S J","non-dropping-particle":"","parse-names":false,"suffix":""},{"dropping-particle":"","family":"Angelis","given":"G","non-dropping-particle":"De","parse-names":false,"suffix":""},{"dropping-particle":"","family":"Falcone","given":"M","non-dropping-particle":"","parse-names":false,"suffix":""},{"dropping-particle":"","family":"Frank","given":"U","non-dropping-particle":"","parse-names":false,"suffix":""},{"dropping-particle":"","family":"Kahlmeter","given":"G","non-dropping-particle":"","parse-names":false,"suffix":""},{"dropping-particle":"","family":"Pan","given":"A","non-dropping-particle":"","parse-names":false,"suffix":""},{"dropping-particle":"","family":"Petrosillo","given":"N","non-dropping-particle":"","parse-names":false,"suffix":""},{"dropping-particle":"","family":"Rodríguez-Baño","given":"J","non-dropping-particle":"","parse-names":false,"suffix":""},{"dropping-particle":"","family":"Singh","given":"N","non-dropping-particle":"","parse-names":false,"suffix":""},{"dropping-particle":"","family":"Venditti","given":"M","non-dropping-particle":"","parse-names":false,"suffix":""},{"dropping-particle":"","family":"Yokoe","given":"D S","non-dropping-particle":"","parse-names":false,"suffix":""},{"dropping-particle":"","family":"Cookson","given":"B","non-dropping-particle":"","parse-names":false,"suffix":""}],"container-title":"Clinical Microbiology and Infection","id":"ITEM-5","issued":{"date-parts":[["2014"]]},"page":"1-55","publisher":"Elsevier BV","title":"ESCMID guidelines for the management of the infection control measures to reduce transmission of multidrug-resistant Gram-negative bacteria in hospitalized patients","type":"article-journal","volume":"20"},"uris":["http://www.mendeley.com/documents/?uuid=a7fb1721-805c-4f0a-a2d8-0e30b9a5d0a3"]},{"id":"ITEM-6","itemData":{"DOI":"10.1016/s1473-3099(18)30648-0","ISSN":"1473-3099","author":[{"dropping-particle":"","family":"Tacconelli","given":"E.","non-dropping-particle":"","parse-names":false,"suffix":""},{"dropping-particle":"","family":"Pezzani","given":"M.","non-dropping-particle":"","parse-names":false,"suffix":""}],"container-title":"The Lancet Infectious Diseases","id":"ITEM-6","issue":"1","issued":{"date-parts":[["2019"]]},"page":"4-6","publisher":"Elsevier BV","title":"Public health burden of antimicrobial resistance in Europe","type":"article-journal","volume":"19"},"uris":["http://www.mendeley.com/documents/?uuid=f6fa8685-e893-4b63-8da4-557345e0a7bd"]}],"mendeley":{"formattedCitation":"[7]–[12]","plainTextFormattedCitation":"[7]–[12]","previouslyFormattedCitation":"(Barlam et al., 2016; CDC, 2015; Magiorakos et al., 2017; Maraolo et al., 2019; Tacconelli et al., 2014; Tacconelli &amp; Pezzani, 2019)"},"properties":{"noteIndex":0},"schema":"https://github.com/citation-style-language/schema/raw/master/csl-citation.json"}</w:instrText>
      </w:r>
      <w:r w:rsidR="006B181C" w:rsidRPr="00997C23">
        <w:rPr>
          <w:rFonts w:ascii="Times New Roman" w:eastAsia="Times New Roman" w:hAnsi="Times New Roman" w:cs="Times New Roman"/>
          <w:sz w:val="24"/>
          <w:szCs w:val="24"/>
          <w:lang w:val="en-US" w:eastAsia="bg-BG"/>
        </w:rPr>
        <w:fldChar w:fldCharType="separate"/>
      </w:r>
      <w:r w:rsidR="009D0134" w:rsidRPr="00997C23">
        <w:rPr>
          <w:rFonts w:ascii="Times New Roman" w:eastAsia="Times New Roman" w:hAnsi="Times New Roman" w:cs="Times New Roman"/>
          <w:noProof/>
          <w:sz w:val="24"/>
          <w:szCs w:val="24"/>
          <w:lang w:val="en-US" w:eastAsia="bg-BG"/>
        </w:rPr>
        <w:t>[7]–[12]</w:t>
      </w:r>
      <w:r w:rsidR="006B181C" w:rsidRPr="00997C23">
        <w:rPr>
          <w:rFonts w:ascii="Times New Roman" w:eastAsia="Times New Roman" w:hAnsi="Times New Roman" w:cs="Times New Roman"/>
          <w:sz w:val="24"/>
          <w:szCs w:val="24"/>
          <w:lang w:val="en-US" w:eastAsia="bg-BG"/>
        </w:rPr>
        <w:fldChar w:fldCharType="end"/>
      </w:r>
      <w:r w:rsidR="00F15E33" w:rsidRPr="00997C23">
        <w:rPr>
          <w:rFonts w:ascii="Times New Roman" w:eastAsia="Times New Roman" w:hAnsi="Times New Roman" w:cs="Times New Roman"/>
          <w:sz w:val="24"/>
          <w:szCs w:val="24"/>
          <w:lang w:eastAsia="bg-BG"/>
        </w:rPr>
        <w:t>.</w:t>
      </w:r>
      <w:r w:rsidRPr="00997C23">
        <w:rPr>
          <w:rFonts w:ascii="Times New Roman" w:eastAsia="Times New Roman" w:hAnsi="Times New Roman" w:cs="Times New Roman"/>
          <w:sz w:val="24"/>
          <w:szCs w:val="24"/>
          <w:lang w:eastAsia="bg-BG"/>
        </w:rPr>
        <w:t xml:space="preserve"> </w:t>
      </w:r>
    </w:p>
    <w:p w14:paraId="293A26E9" w14:textId="77777777" w:rsidR="008040B9" w:rsidRPr="00997C23" w:rsidRDefault="00CF0BBC" w:rsidP="00E843C8">
      <w:pPr>
        <w:spacing w:after="0" w:line="360" w:lineRule="auto"/>
        <w:ind w:firstLine="709"/>
        <w:jc w:val="both"/>
        <w:rPr>
          <w:rFonts w:ascii="Times New Roman" w:hAnsi="Times New Roman" w:cs="Times New Roman"/>
          <w:sz w:val="24"/>
          <w:szCs w:val="24"/>
        </w:rPr>
      </w:pPr>
      <w:r w:rsidRPr="00997C23">
        <w:rPr>
          <w:rFonts w:ascii="Times New Roman" w:eastAsia="Times New Roman" w:hAnsi="Times New Roman" w:cs="Times New Roman"/>
          <w:b/>
          <w:sz w:val="24"/>
          <w:szCs w:val="24"/>
          <w:lang w:eastAsia="bg-BG"/>
        </w:rPr>
        <w:t>В</w:t>
      </w:r>
      <w:r w:rsidR="00EC7946" w:rsidRPr="00997C23">
        <w:rPr>
          <w:rFonts w:ascii="Times New Roman" w:hAnsi="Times New Roman" w:cs="Times New Roman"/>
          <w:b/>
          <w:sz w:val="24"/>
          <w:szCs w:val="24"/>
        </w:rPr>
        <w:t xml:space="preserve"> </w:t>
      </w:r>
      <w:r w:rsidR="004D3C2D" w:rsidRPr="00997C23">
        <w:rPr>
          <w:rFonts w:ascii="Times New Roman" w:hAnsi="Times New Roman" w:cs="Times New Roman"/>
          <w:b/>
          <w:sz w:val="24"/>
          <w:szCs w:val="24"/>
        </w:rPr>
        <w:t>животновъдството</w:t>
      </w:r>
      <w:r w:rsidR="00EC7946" w:rsidRPr="00997C23">
        <w:rPr>
          <w:rFonts w:ascii="Times New Roman" w:hAnsi="Times New Roman" w:cs="Times New Roman"/>
          <w:b/>
          <w:sz w:val="24"/>
          <w:szCs w:val="24"/>
        </w:rPr>
        <w:t xml:space="preserve"> </w:t>
      </w:r>
      <w:r w:rsidRPr="00997C23">
        <w:rPr>
          <w:rFonts w:ascii="Times New Roman" w:eastAsia="Times New Roman" w:hAnsi="Times New Roman" w:cs="Times New Roman"/>
          <w:b/>
          <w:sz w:val="24"/>
          <w:szCs w:val="24"/>
          <w:lang w:eastAsia="bg-BG"/>
        </w:rPr>
        <w:t xml:space="preserve">аналогични рискови </w:t>
      </w:r>
      <w:r w:rsidR="004837AA" w:rsidRPr="00997C23">
        <w:rPr>
          <w:rFonts w:ascii="Times New Roman" w:eastAsia="Times New Roman" w:hAnsi="Times New Roman" w:cs="Times New Roman"/>
          <w:b/>
          <w:sz w:val="24"/>
          <w:szCs w:val="24"/>
          <w:lang w:eastAsia="bg-BG"/>
        </w:rPr>
        <w:t>епизоотични</w:t>
      </w:r>
      <w:r w:rsidR="004837AA" w:rsidRPr="00997C23">
        <w:rPr>
          <w:rFonts w:ascii="Times New Roman" w:hAnsi="Times New Roman" w:cs="Times New Roman"/>
          <w:b/>
          <w:sz w:val="24"/>
          <w:szCs w:val="24"/>
        </w:rPr>
        <w:t xml:space="preserve"> </w:t>
      </w:r>
      <w:r w:rsidR="00EC7946" w:rsidRPr="00997C23">
        <w:rPr>
          <w:rFonts w:ascii="Times New Roman" w:hAnsi="Times New Roman" w:cs="Times New Roman"/>
          <w:b/>
          <w:sz w:val="24"/>
          <w:szCs w:val="24"/>
        </w:rPr>
        <w:t>фактори са</w:t>
      </w:r>
      <w:r w:rsidRPr="00997C23">
        <w:rPr>
          <w:rFonts w:ascii="Times New Roman" w:eastAsia="Times New Roman" w:hAnsi="Times New Roman" w:cs="Times New Roman"/>
          <w:b/>
          <w:sz w:val="24"/>
          <w:szCs w:val="24"/>
          <w:lang w:eastAsia="bg-BG"/>
        </w:rPr>
        <w:t>:</w:t>
      </w:r>
      <w:r w:rsidR="00A02220" w:rsidRPr="00997C23">
        <w:rPr>
          <w:rFonts w:ascii="Times New Roman" w:hAnsi="Times New Roman" w:cs="Times New Roman"/>
          <w:sz w:val="24"/>
          <w:szCs w:val="24"/>
        </w:rPr>
        <w:t xml:space="preserve"> голямата концентрация на животни, масови третирания</w:t>
      </w:r>
      <w:r w:rsidRPr="00997C23">
        <w:rPr>
          <w:rFonts w:ascii="Times New Roman" w:eastAsia="Times New Roman" w:hAnsi="Times New Roman" w:cs="Times New Roman"/>
          <w:sz w:val="24"/>
          <w:szCs w:val="24"/>
          <w:lang w:eastAsia="bg-BG"/>
        </w:rPr>
        <w:t xml:space="preserve"> с антибиотик, добавен в храната или водата</w:t>
      </w:r>
      <w:r w:rsidR="00A02220" w:rsidRPr="00997C23">
        <w:rPr>
          <w:rFonts w:ascii="Times New Roman" w:hAnsi="Times New Roman" w:cs="Times New Roman"/>
          <w:sz w:val="24"/>
          <w:szCs w:val="24"/>
        </w:rPr>
        <w:t xml:space="preserve">, продължително </w:t>
      </w:r>
      <w:r w:rsidR="00FD3F57">
        <w:rPr>
          <w:rFonts w:ascii="Times New Roman" w:hAnsi="Times New Roman" w:cs="Times New Roman"/>
          <w:sz w:val="24"/>
          <w:szCs w:val="24"/>
        </w:rPr>
        <w:t>из</w:t>
      </w:r>
      <w:r w:rsidR="00A02220" w:rsidRPr="00997C23">
        <w:rPr>
          <w:rFonts w:ascii="Times New Roman" w:hAnsi="Times New Roman" w:cs="Times New Roman"/>
          <w:sz w:val="24"/>
          <w:szCs w:val="24"/>
        </w:rPr>
        <w:t>ползване</w:t>
      </w:r>
      <w:r w:rsidR="00560BD6" w:rsidRPr="00997C23">
        <w:rPr>
          <w:rFonts w:ascii="Times New Roman" w:hAnsi="Times New Roman" w:cs="Times New Roman"/>
          <w:sz w:val="24"/>
          <w:szCs w:val="24"/>
        </w:rPr>
        <w:t xml:space="preserve"> </w:t>
      </w:r>
      <w:r w:rsidR="00A02220" w:rsidRPr="00997C23">
        <w:rPr>
          <w:rFonts w:ascii="Times New Roman" w:hAnsi="Times New Roman" w:cs="Times New Roman"/>
          <w:sz w:val="24"/>
          <w:szCs w:val="24"/>
        </w:rPr>
        <w:t xml:space="preserve">на едни и същи </w:t>
      </w:r>
      <w:r w:rsidRPr="00997C23">
        <w:rPr>
          <w:rFonts w:ascii="Times New Roman" w:eastAsia="Times New Roman" w:hAnsi="Times New Roman" w:cs="Times New Roman"/>
          <w:sz w:val="24"/>
          <w:szCs w:val="24"/>
          <w:lang w:eastAsia="bg-BG"/>
        </w:rPr>
        <w:t>антибиотици</w:t>
      </w:r>
      <w:r w:rsidR="00A02220" w:rsidRPr="00997C23">
        <w:rPr>
          <w:rFonts w:ascii="Times New Roman" w:hAnsi="Times New Roman" w:cs="Times New Roman"/>
          <w:sz w:val="24"/>
          <w:szCs w:val="24"/>
        </w:rPr>
        <w:t>, непълно излекуване на животните, носителство на резистентни</w:t>
      </w:r>
      <w:r w:rsidR="00560BD6" w:rsidRPr="00997C23">
        <w:rPr>
          <w:rFonts w:ascii="Times New Roman" w:hAnsi="Times New Roman" w:cs="Times New Roman"/>
          <w:sz w:val="24"/>
          <w:szCs w:val="24"/>
        </w:rPr>
        <w:t xml:space="preserve"> </w:t>
      </w:r>
      <w:r w:rsidR="00A02220" w:rsidRPr="00997C23">
        <w:rPr>
          <w:rFonts w:ascii="Times New Roman" w:hAnsi="Times New Roman" w:cs="Times New Roman"/>
          <w:sz w:val="24"/>
          <w:szCs w:val="24"/>
        </w:rPr>
        <w:t>щамове и възможности за предаването им, неправомерно лечение</w:t>
      </w:r>
      <w:r w:rsidRPr="00997C23">
        <w:rPr>
          <w:rFonts w:ascii="Times New Roman" w:eastAsia="Times New Roman" w:hAnsi="Times New Roman" w:cs="Times New Roman"/>
          <w:sz w:val="24"/>
          <w:szCs w:val="24"/>
          <w:lang w:eastAsia="bg-BG"/>
        </w:rPr>
        <w:t>,</w:t>
      </w:r>
      <w:r w:rsidR="00A02220" w:rsidRPr="00997C23">
        <w:rPr>
          <w:rFonts w:ascii="Times New Roman" w:hAnsi="Times New Roman" w:cs="Times New Roman"/>
          <w:sz w:val="24"/>
          <w:szCs w:val="24"/>
        </w:rPr>
        <w:t xml:space="preserve"> извършвано от страна</w:t>
      </w:r>
      <w:r w:rsidR="00560BD6" w:rsidRPr="00997C23">
        <w:rPr>
          <w:rFonts w:ascii="Times New Roman" w:hAnsi="Times New Roman" w:cs="Times New Roman"/>
          <w:sz w:val="24"/>
          <w:szCs w:val="24"/>
        </w:rPr>
        <w:t xml:space="preserve"> </w:t>
      </w:r>
      <w:r w:rsidR="00A02220" w:rsidRPr="00997C23">
        <w:rPr>
          <w:rFonts w:ascii="Times New Roman" w:hAnsi="Times New Roman" w:cs="Times New Roman"/>
          <w:sz w:val="24"/>
          <w:szCs w:val="24"/>
        </w:rPr>
        <w:t>на стопаните на животни</w:t>
      </w:r>
      <w:r w:rsidR="008156C0">
        <w:rPr>
          <w:rFonts w:ascii="Times New Roman" w:hAnsi="Times New Roman" w:cs="Times New Roman"/>
          <w:sz w:val="24"/>
          <w:szCs w:val="24"/>
        </w:rPr>
        <w:t xml:space="preserve"> и</w:t>
      </w:r>
      <w:r w:rsidR="00A02220" w:rsidRPr="00997C23">
        <w:rPr>
          <w:rFonts w:ascii="Times New Roman" w:hAnsi="Times New Roman" w:cs="Times New Roman"/>
          <w:sz w:val="24"/>
          <w:szCs w:val="24"/>
        </w:rPr>
        <w:t xml:space="preserve"> </w:t>
      </w:r>
      <w:r w:rsidR="00E9013F" w:rsidRPr="00997C23">
        <w:rPr>
          <w:rFonts w:ascii="Times New Roman" w:hAnsi="Times New Roman" w:cs="Times New Roman"/>
          <w:sz w:val="24"/>
          <w:szCs w:val="24"/>
        </w:rPr>
        <w:t>др</w:t>
      </w:r>
      <w:r w:rsidR="00A02220" w:rsidRPr="00997C23">
        <w:rPr>
          <w:rFonts w:ascii="Times New Roman" w:hAnsi="Times New Roman" w:cs="Times New Roman"/>
          <w:sz w:val="24"/>
          <w:szCs w:val="24"/>
        </w:rPr>
        <w:t>.</w:t>
      </w:r>
      <w:r w:rsidR="00560BD6" w:rsidRPr="00997C23">
        <w:rPr>
          <w:rFonts w:ascii="Times New Roman" w:hAnsi="Times New Roman" w:cs="Times New Roman"/>
          <w:sz w:val="24"/>
          <w:szCs w:val="24"/>
        </w:rPr>
        <w:t xml:space="preserve"> </w:t>
      </w:r>
    </w:p>
    <w:p w14:paraId="36F37137" w14:textId="77777777" w:rsidR="002D74E6" w:rsidRPr="00997C23" w:rsidRDefault="008A7FEE" w:rsidP="00E843C8">
      <w:pPr>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b/>
          <w:sz w:val="24"/>
          <w:szCs w:val="24"/>
        </w:rPr>
        <w:t>Значението на околната среда като резервоар за резистентни щамове</w:t>
      </w:r>
      <w:r w:rsidRPr="00997C23">
        <w:rPr>
          <w:rFonts w:ascii="Times New Roman" w:hAnsi="Times New Roman" w:cs="Times New Roman"/>
          <w:sz w:val="24"/>
          <w:szCs w:val="24"/>
        </w:rPr>
        <w:t xml:space="preserve"> е широко признато. Използването на антимикробни продукти при животни, включително в аквакултурите, води до замърсяване на околната среда както с антимикробни субстанции, така и с резистентни бактерии. Наличието на антимикробни субстанции в околната среда оказва селективен натиск за поява на резистентни бактерии в различни екосистеми, включително животни, хора и растения. </w:t>
      </w:r>
      <w:r w:rsidR="00D066A4" w:rsidRPr="00997C23">
        <w:rPr>
          <w:rFonts w:ascii="Times New Roman" w:hAnsi="Times New Roman" w:cs="Times New Roman"/>
          <w:sz w:val="24"/>
          <w:szCs w:val="24"/>
        </w:rPr>
        <w:t>В</w:t>
      </w:r>
      <w:r w:rsidR="002D74E6" w:rsidRPr="00997C23">
        <w:rPr>
          <w:rFonts w:ascii="Times New Roman" w:hAnsi="Times New Roman" w:cs="Times New Roman"/>
          <w:sz w:val="24"/>
          <w:szCs w:val="24"/>
        </w:rPr>
        <w:t xml:space="preserve">ече е </w:t>
      </w:r>
      <w:r w:rsidR="00AC019E" w:rsidRPr="00997C23">
        <w:rPr>
          <w:rFonts w:ascii="Times New Roman" w:hAnsi="Times New Roman" w:cs="Times New Roman"/>
          <w:sz w:val="24"/>
          <w:szCs w:val="24"/>
        </w:rPr>
        <w:t>проучена и доказана</w:t>
      </w:r>
      <w:r w:rsidR="002D74E6" w:rsidRPr="00997C23">
        <w:rPr>
          <w:rFonts w:ascii="Times New Roman" w:hAnsi="Times New Roman" w:cs="Times New Roman"/>
          <w:sz w:val="24"/>
          <w:szCs w:val="24"/>
        </w:rPr>
        <w:t xml:space="preserve"> ролята на </w:t>
      </w:r>
      <w:r w:rsidR="005E0C96" w:rsidRPr="00997C23">
        <w:rPr>
          <w:rFonts w:ascii="Times New Roman" w:hAnsi="Times New Roman" w:cs="Times New Roman"/>
          <w:sz w:val="24"/>
          <w:szCs w:val="24"/>
        </w:rPr>
        <w:t>остатъчните</w:t>
      </w:r>
      <w:r w:rsidR="002D74E6" w:rsidRPr="00997C23">
        <w:rPr>
          <w:rFonts w:ascii="Times New Roman" w:hAnsi="Times New Roman" w:cs="Times New Roman"/>
          <w:sz w:val="24"/>
          <w:szCs w:val="24"/>
        </w:rPr>
        <w:t xml:space="preserve"> антибиотици</w:t>
      </w:r>
      <w:r w:rsidR="005E0C96" w:rsidRPr="00997C23">
        <w:rPr>
          <w:rFonts w:ascii="Times New Roman" w:hAnsi="Times New Roman" w:cs="Times New Roman"/>
          <w:sz w:val="24"/>
          <w:szCs w:val="24"/>
        </w:rPr>
        <w:t xml:space="preserve"> и пула от гени за резистентност</w:t>
      </w:r>
      <w:r w:rsidR="00AC019E" w:rsidRPr="00997C23">
        <w:rPr>
          <w:rFonts w:ascii="Times New Roman" w:hAnsi="Times New Roman" w:cs="Times New Roman"/>
          <w:sz w:val="24"/>
          <w:szCs w:val="24"/>
        </w:rPr>
        <w:t>,</w:t>
      </w:r>
      <w:r w:rsidR="005E0C96" w:rsidRPr="00997C23">
        <w:rPr>
          <w:rFonts w:ascii="Times New Roman" w:hAnsi="Times New Roman" w:cs="Times New Roman"/>
          <w:sz w:val="24"/>
          <w:szCs w:val="24"/>
        </w:rPr>
        <w:t xml:space="preserve"> </w:t>
      </w:r>
      <w:r w:rsidR="00B25A38" w:rsidRPr="00997C23">
        <w:rPr>
          <w:rFonts w:ascii="Times New Roman" w:hAnsi="Times New Roman" w:cs="Times New Roman"/>
          <w:sz w:val="24"/>
          <w:szCs w:val="24"/>
        </w:rPr>
        <w:t>отделян със</w:t>
      </w:r>
      <w:r w:rsidR="005E0C96" w:rsidRPr="00997C23">
        <w:rPr>
          <w:rFonts w:ascii="Times New Roman" w:hAnsi="Times New Roman" w:cs="Times New Roman"/>
          <w:sz w:val="24"/>
          <w:szCs w:val="24"/>
        </w:rPr>
        <w:t xml:space="preserve"> селскостопански</w:t>
      </w:r>
      <w:r w:rsidR="00AC019E" w:rsidRPr="00997C23">
        <w:rPr>
          <w:rFonts w:ascii="Times New Roman" w:hAnsi="Times New Roman" w:cs="Times New Roman"/>
          <w:sz w:val="24"/>
          <w:szCs w:val="24"/>
        </w:rPr>
        <w:t>те</w:t>
      </w:r>
      <w:r w:rsidR="005E0C96" w:rsidRPr="00997C23">
        <w:rPr>
          <w:rFonts w:ascii="Times New Roman" w:hAnsi="Times New Roman" w:cs="Times New Roman"/>
          <w:sz w:val="24"/>
          <w:szCs w:val="24"/>
        </w:rPr>
        <w:t>, индустриални</w:t>
      </w:r>
      <w:r w:rsidR="00597C4C" w:rsidRPr="00997C23">
        <w:rPr>
          <w:rFonts w:ascii="Times New Roman" w:hAnsi="Times New Roman" w:cs="Times New Roman"/>
          <w:sz w:val="24"/>
          <w:szCs w:val="24"/>
        </w:rPr>
        <w:t>те</w:t>
      </w:r>
      <w:r w:rsidR="005E0C96" w:rsidRPr="00997C23">
        <w:rPr>
          <w:rFonts w:ascii="Times New Roman" w:hAnsi="Times New Roman" w:cs="Times New Roman"/>
          <w:sz w:val="24"/>
          <w:szCs w:val="24"/>
        </w:rPr>
        <w:t xml:space="preserve"> и битови</w:t>
      </w:r>
      <w:r w:rsidR="00597C4C" w:rsidRPr="00997C23">
        <w:rPr>
          <w:rFonts w:ascii="Times New Roman" w:hAnsi="Times New Roman" w:cs="Times New Roman"/>
          <w:sz w:val="24"/>
          <w:szCs w:val="24"/>
        </w:rPr>
        <w:t>те</w:t>
      </w:r>
      <w:r w:rsidR="005E0C96" w:rsidRPr="00997C23">
        <w:rPr>
          <w:rFonts w:ascii="Times New Roman" w:hAnsi="Times New Roman" w:cs="Times New Roman"/>
          <w:sz w:val="24"/>
          <w:szCs w:val="24"/>
        </w:rPr>
        <w:t xml:space="preserve"> отпадъци, </w:t>
      </w:r>
      <w:r w:rsidR="00D066A4" w:rsidRPr="00997C23">
        <w:rPr>
          <w:rFonts w:ascii="Times New Roman" w:hAnsi="Times New Roman" w:cs="Times New Roman"/>
          <w:sz w:val="24"/>
          <w:szCs w:val="24"/>
        </w:rPr>
        <w:t>за</w:t>
      </w:r>
      <w:r w:rsidR="005E0C96" w:rsidRPr="00997C23">
        <w:rPr>
          <w:rFonts w:ascii="Times New Roman" w:hAnsi="Times New Roman" w:cs="Times New Roman"/>
          <w:sz w:val="24"/>
          <w:szCs w:val="24"/>
        </w:rPr>
        <w:t xml:space="preserve"> </w:t>
      </w:r>
      <w:r w:rsidR="00B25A38" w:rsidRPr="00997C23">
        <w:rPr>
          <w:rFonts w:ascii="Times New Roman" w:hAnsi="Times New Roman" w:cs="Times New Roman"/>
          <w:sz w:val="24"/>
          <w:szCs w:val="24"/>
        </w:rPr>
        <w:t>увеличаване на</w:t>
      </w:r>
      <w:r w:rsidR="00D066A4" w:rsidRPr="00997C23">
        <w:rPr>
          <w:rFonts w:ascii="Times New Roman" w:hAnsi="Times New Roman" w:cs="Times New Roman"/>
          <w:sz w:val="24"/>
          <w:szCs w:val="24"/>
        </w:rPr>
        <w:t xml:space="preserve"> резистентните бактерии (</w:t>
      </w:r>
      <w:r w:rsidR="00B25A38" w:rsidRPr="00997C23">
        <w:rPr>
          <w:rFonts w:ascii="Times New Roman" w:hAnsi="Times New Roman" w:cs="Times New Roman"/>
          <w:sz w:val="24"/>
          <w:szCs w:val="24"/>
        </w:rPr>
        <w:t>т.</w:t>
      </w:r>
      <w:r w:rsidR="00597C4C" w:rsidRPr="00997C23">
        <w:rPr>
          <w:rFonts w:ascii="Times New Roman" w:hAnsi="Times New Roman" w:cs="Times New Roman"/>
          <w:sz w:val="24"/>
          <w:szCs w:val="24"/>
        </w:rPr>
        <w:t xml:space="preserve"> </w:t>
      </w:r>
      <w:r w:rsidR="00B25A38" w:rsidRPr="00997C23">
        <w:rPr>
          <w:rFonts w:ascii="Times New Roman" w:hAnsi="Times New Roman" w:cs="Times New Roman"/>
          <w:sz w:val="24"/>
          <w:szCs w:val="24"/>
        </w:rPr>
        <w:t>нар</w:t>
      </w:r>
      <w:r w:rsidR="00597C4C" w:rsidRPr="00997C23">
        <w:rPr>
          <w:rFonts w:ascii="Times New Roman" w:hAnsi="Times New Roman" w:cs="Times New Roman"/>
          <w:sz w:val="24"/>
          <w:szCs w:val="24"/>
        </w:rPr>
        <w:t>.</w:t>
      </w:r>
      <w:r w:rsidR="00B25A38" w:rsidRPr="00997C23">
        <w:rPr>
          <w:rFonts w:ascii="Times New Roman" w:hAnsi="Times New Roman" w:cs="Times New Roman"/>
          <w:sz w:val="24"/>
          <w:szCs w:val="24"/>
        </w:rPr>
        <w:t xml:space="preserve"> </w:t>
      </w:r>
      <w:r w:rsidR="005E0C96" w:rsidRPr="00997C23">
        <w:rPr>
          <w:rFonts w:ascii="Times New Roman" w:hAnsi="Times New Roman" w:cs="Times New Roman"/>
          <w:sz w:val="24"/>
          <w:szCs w:val="24"/>
        </w:rPr>
        <w:t>резистом</w:t>
      </w:r>
      <w:r w:rsidR="00D066A4" w:rsidRPr="00997C23">
        <w:rPr>
          <w:rFonts w:ascii="Times New Roman" w:hAnsi="Times New Roman" w:cs="Times New Roman"/>
          <w:sz w:val="24"/>
          <w:szCs w:val="24"/>
        </w:rPr>
        <w:t>)</w:t>
      </w:r>
      <w:r w:rsidR="005E0C96" w:rsidRPr="00997C23">
        <w:rPr>
          <w:rFonts w:ascii="Times New Roman" w:hAnsi="Times New Roman" w:cs="Times New Roman"/>
          <w:sz w:val="24"/>
          <w:szCs w:val="24"/>
        </w:rPr>
        <w:t xml:space="preserve"> в околната среда</w:t>
      </w:r>
      <w:r w:rsidR="00D066A4" w:rsidRPr="00997C23">
        <w:rPr>
          <w:rFonts w:ascii="Times New Roman" w:hAnsi="Times New Roman" w:cs="Times New Roman"/>
          <w:b/>
          <w:sz w:val="24"/>
          <w:szCs w:val="24"/>
        </w:rPr>
        <w:t xml:space="preserve"> </w:t>
      </w:r>
      <w:r w:rsidR="009B5E75" w:rsidRPr="00997C23">
        <w:rPr>
          <w:rFonts w:ascii="Times New Roman" w:hAnsi="Times New Roman" w:cs="Times New Roman"/>
          <w:b/>
          <w:sz w:val="24"/>
          <w:szCs w:val="24"/>
        </w:rPr>
        <w:fldChar w:fldCharType="begin" w:fldLock="1"/>
      </w:r>
      <w:r w:rsidR="009D0134" w:rsidRPr="00997C23">
        <w:rPr>
          <w:rFonts w:ascii="Times New Roman" w:eastAsia="Times New Roman" w:hAnsi="Times New Roman" w:cs="Times New Roman"/>
          <w:b/>
          <w:sz w:val="24"/>
          <w:szCs w:val="24"/>
          <w:lang w:eastAsia="bg-BG"/>
        </w:rPr>
        <w:instrText>ADDIN CSL_CITATION {"citationItems":[{"id":"ITEM-1","itemData":{"DOI":"10.3390/tropicalmed4010022","ISSN":"2414-6366","PMID":"30700019","abstract":"&lt;p&gt;Approaching any issue from a One Health perspective necessitates looking at the interactions of people, domestic animals, wildlife, plants, and our environment. For antimicrobial resistance this includes antimicrobial use (and abuse) in the human, animal and environmental sectors. More importantly, the spread of resistant bacteria and resistance determinants within and between these sectors and globally must be addressed. Better managing this problem includes taking steps to preserve the continued effectiveness of existing antimicrobials such as trying to eliminate their inappropriate use, particularly where they are used in high volumes. Examples are the mass medication of animals with critically important antimicrobials for humans, such as third generation cephalosporins and fluoroquinolones, and the long term, in-feed use of antimicrobials, such colistin, tetracyclines and macrolides, for growth promotion. In people it is essential to better prevent infections, reduce over-prescribing and over-use of antimicrobials and stop resistant bacteria from spreading by improving hygiene and infection control, drinking water and sanitation. Pollution from inadequate treatment of industrial, residential and farm waste is expanding the resistome in the environment. Numerous countries and several international agencies have now included a One Health Approach within their action plans to address antimicrobial resistance. Necessary actions include improvements in antimicrobial use, better regulation and policy, as well as improved surveillance, stewardship, infection control, sanitation, animal husbandry, and finding alternatives to antimicrobials.&lt;/p&gt;","author":[{"dropping-particle":"","family":"Collignon","given":"Peter","non-dropping-particle":"","parse-names":false,"suffix":""},{"dropping-particle":"","family":"McEwen","given":"Scott","non-dropping-particle":"","parse-names":false,"suffix":""}],"container-title":"Tropical Medicine and Infectious Disease","id":"ITEM-1","issue":"1","issued":{"date-parts":[["2019","1","29"]]},"page":"22","title":"One Health—Its Importance in Helping to Better Control Antimicrobial Resistance","type":"article-journal","volume":"4"},"uris":["http://www.mendeley.com/documents/?uuid=9c382e70-2b86-3d21-82d5-0a36dbdc0077"]},{"id":"ITEM-2","itemData":{"DOI":"10.3389/fmicb.2016.01728","ISSN":"1664-302X","PMID":"27847505","abstract":"The environment is increasingly being recognized for the role it might play in the global spread of clinically relevant antibiotic resistance. Environmental regulators monitor and control many of the pathways responsible for the release of resistance-driving chemicals into the environment (e.g., antimicrobials, metals, and biocides). Hence, environmental regulators should be contributing significantly to the development of global and national antimicrobial resistance (AMR) action plans. It is argued that the lack of environment-facing mitigation actions included in existing AMR action plans is likely a function of our poor fundamental understanding of many of the key issues. Here, we aim to present the problem with AMR in the environment through the lens of an environmental regulator, using the Environment Agency (England's regulator) as an example from which parallels can be drawn globally. The issues that are pertinent to environmental regulators are drawn out to answer: What are the drivers and pathways of AMR? How do these relate to the normal work, powers and duties of environmental regulators? What are the knowledge gaps that hinder the delivery of environmental protection from AMR? We offer several thought experiments for how different mitigation strategies might proceed. We conclude that: (1) AMR Action Plans do not tackle all the potentially relevant pathways and drivers of AMR in the environment; and (2) AMR Action Plans are deficient partly because the science to inform policy is lacking and this needs to be addressed.","author":[{"dropping-particle":"","family":"Singer","given":"Andrew C","non-dropping-particle":"","parse-names":false,"suffix":""},{"dropping-particle":"","family":"Shaw","given":"Helen","non-dropping-particle":"","parse-names":false,"suffix":""},{"dropping-particle":"","family":"Rhodes","given":"Vicki","non-dropping-particle":"","parse-names":false,"suffix":""},{"dropping-particle":"","family":"Hart","given":"Alwyn","non-dropping-particle":"","parse-names":false,"suffix":""}],"container-title":"Frontiers in microbiology","id":"ITEM-2","issued":{"date-parts":[["2016"]]},"page":"1728","publisher":"Frontiers Media SA","title":"Review of Antimicrobial Resistance in the Environment and Its Relevance to Environmental Regulators.","type":"article-journal","volume":"7"},"uris":["http://www.mendeley.com/documents/?uuid=78075c73-4b0a-34e3-8a8d-81ed5047e60c"]}],"mendeley":{"formattedCitation":"[13], [14]","plainTextFormattedCitation":"[13], [14]","previouslyFormattedCitation":"(P. Collignon &amp; McEwen, 2019; Singer, Shaw, Rhodes, &amp; Hart, 2016)"},"properties":{"noteIndex":0},"schema":"https://github.com/citation-style-language/schema/raw/master/csl-citation.json"}</w:instrText>
      </w:r>
      <w:r w:rsidR="009B5E75" w:rsidRPr="00997C23">
        <w:rPr>
          <w:rFonts w:ascii="Times New Roman" w:hAnsi="Times New Roman" w:cs="Times New Roman"/>
          <w:b/>
          <w:sz w:val="24"/>
          <w:szCs w:val="24"/>
        </w:rPr>
        <w:fldChar w:fldCharType="separate"/>
      </w:r>
      <w:r w:rsidR="009D0134" w:rsidRPr="00997C23">
        <w:rPr>
          <w:rFonts w:ascii="Times New Roman" w:eastAsia="Times New Roman" w:hAnsi="Times New Roman" w:cs="Times New Roman"/>
          <w:noProof/>
          <w:sz w:val="24"/>
          <w:szCs w:val="24"/>
          <w:lang w:eastAsia="bg-BG"/>
        </w:rPr>
        <w:t>[13], [14]</w:t>
      </w:r>
      <w:r w:rsidR="009B5E75" w:rsidRPr="00997C23">
        <w:rPr>
          <w:rFonts w:ascii="Times New Roman" w:hAnsi="Times New Roman" w:cs="Times New Roman"/>
          <w:b/>
          <w:sz w:val="24"/>
          <w:szCs w:val="24"/>
        </w:rPr>
        <w:fldChar w:fldCharType="end"/>
      </w:r>
      <w:r w:rsidR="00D066A4" w:rsidRPr="00997C23">
        <w:rPr>
          <w:rFonts w:ascii="Times New Roman" w:hAnsi="Times New Roman" w:cs="Times New Roman"/>
          <w:sz w:val="24"/>
          <w:szCs w:val="24"/>
        </w:rPr>
        <w:t>.</w:t>
      </w:r>
    </w:p>
    <w:p w14:paraId="344B2A24" w14:textId="77777777" w:rsidR="008205CE" w:rsidRPr="00997C23" w:rsidRDefault="00A02220" w:rsidP="00E843C8">
      <w:pPr>
        <w:spacing w:after="0" w:line="360" w:lineRule="auto"/>
        <w:ind w:firstLine="567"/>
        <w:jc w:val="both"/>
        <w:rPr>
          <w:rFonts w:ascii="Times New Roman" w:hAnsi="Times New Roman" w:cs="Times New Roman"/>
          <w:color w:val="000000"/>
          <w:sz w:val="24"/>
          <w:szCs w:val="24"/>
        </w:rPr>
      </w:pPr>
      <w:r w:rsidRPr="00997C23">
        <w:rPr>
          <w:rFonts w:ascii="Times New Roman" w:hAnsi="Times New Roman" w:cs="Times New Roman"/>
          <w:color w:val="000000"/>
          <w:sz w:val="24"/>
          <w:szCs w:val="24"/>
        </w:rPr>
        <w:t>Антибиотиците не атакуват избирателно патогенните бактерии. Те оказват ефект и</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върху нормалната микрофлора и могат да доведат до екологичен дисбаланс</w:t>
      </w:r>
      <w:r w:rsidR="00560BD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lastRenderedPageBreak/>
        <w:t>(дисбактериоза</w:t>
      </w:r>
      <w:r w:rsidR="00CF0BBC" w:rsidRPr="00997C23">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val="en-US" w:eastAsia="bg-BG"/>
        </w:rPr>
        <w:t xml:space="preserve">, </w:t>
      </w:r>
      <w:r w:rsidR="00CF0BBC" w:rsidRPr="00997C23">
        <w:rPr>
          <w:rFonts w:ascii="Times New Roman" w:eastAsia="Times New Roman" w:hAnsi="Times New Roman" w:cs="Times New Roman"/>
          <w:i/>
          <w:color w:val="000000"/>
          <w:sz w:val="24"/>
          <w:szCs w:val="24"/>
          <w:lang w:val="en-US" w:eastAsia="bg-BG"/>
        </w:rPr>
        <w:t>Clostridium difficile</w:t>
      </w:r>
      <w:r w:rsidR="00CF0BBC" w:rsidRPr="00997C23">
        <w:rPr>
          <w:rFonts w:ascii="Times New Roman" w:eastAsia="Times New Roman" w:hAnsi="Times New Roman" w:cs="Times New Roman"/>
          <w:color w:val="000000"/>
          <w:sz w:val="24"/>
          <w:szCs w:val="24"/>
          <w:lang w:val="en-US" w:eastAsia="bg-BG"/>
        </w:rPr>
        <w:t xml:space="preserve"> </w:t>
      </w:r>
      <w:r w:rsidR="00CF0BBC" w:rsidRPr="00AE490C">
        <w:rPr>
          <w:rFonts w:ascii="Times New Roman" w:eastAsia="Times New Roman" w:hAnsi="Times New Roman" w:cs="Times New Roman"/>
          <w:color w:val="000000"/>
          <w:sz w:val="24"/>
          <w:szCs w:val="24"/>
          <w:lang w:val="en-US" w:eastAsia="bg-BG"/>
        </w:rPr>
        <w:t xml:space="preserve">– </w:t>
      </w:r>
      <w:r w:rsidR="00BB343F" w:rsidRPr="00AE490C">
        <w:rPr>
          <w:rFonts w:ascii="Times New Roman" w:eastAsia="Times New Roman" w:hAnsi="Times New Roman" w:cs="Times New Roman"/>
          <w:color w:val="000000"/>
          <w:sz w:val="24"/>
          <w:szCs w:val="24"/>
          <w:lang w:eastAsia="bg-BG"/>
        </w:rPr>
        <w:t xml:space="preserve">до </w:t>
      </w:r>
      <w:r w:rsidR="00CF0BBC" w:rsidRPr="00AE490C">
        <w:rPr>
          <w:rFonts w:ascii="Times New Roman" w:eastAsia="Times New Roman" w:hAnsi="Times New Roman" w:cs="Times New Roman"/>
          <w:color w:val="000000"/>
          <w:sz w:val="24"/>
          <w:szCs w:val="24"/>
          <w:lang w:eastAsia="bg-BG"/>
        </w:rPr>
        <w:t>асоциирана</w:t>
      </w:r>
      <w:r w:rsidR="00CF0BBC" w:rsidRPr="00997C23">
        <w:rPr>
          <w:rFonts w:ascii="Times New Roman" w:eastAsia="Times New Roman" w:hAnsi="Times New Roman" w:cs="Times New Roman"/>
          <w:color w:val="000000"/>
          <w:sz w:val="24"/>
          <w:szCs w:val="24"/>
          <w:lang w:eastAsia="bg-BG"/>
        </w:rPr>
        <w:t xml:space="preserve"> диария</w:t>
      </w:r>
      <w:r w:rsidR="00CF0BBC" w:rsidRPr="00997C23">
        <w:rPr>
          <w:rFonts w:ascii="Times New Roman" w:eastAsia="Times New Roman" w:hAnsi="Times New Roman" w:cs="Times New Roman"/>
          <w:color w:val="000000"/>
          <w:sz w:val="24"/>
          <w:szCs w:val="24"/>
          <w:lang w:val="en-US" w:eastAsia="bg-BG"/>
        </w:rPr>
        <w:t xml:space="preserve"> </w:t>
      </w:r>
      <w:r w:rsidRPr="00997C23">
        <w:rPr>
          <w:rFonts w:ascii="Times New Roman" w:hAnsi="Times New Roman" w:cs="Times New Roman"/>
          <w:color w:val="000000"/>
          <w:sz w:val="24"/>
          <w:szCs w:val="24"/>
        </w:rPr>
        <w:t>и развитие на вторични инфекции</w:t>
      </w:r>
      <w:r w:rsidR="00CF0BBC" w:rsidRPr="00997C23">
        <w:rPr>
          <w:rFonts w:ascii="Times New Roman" w:eastAsia="Times New Roman" w:hAnsi="Times New Roman" w:cs="Times New Roman"/>
          <w:color w:val="000000"/>
          <w:sz w:val="24"/>
          <w:szCs w:val="24"/>
          <w:lang w:eastAsia="bg-BG"/>
        </w:rPr>
        <w:t>,</w:t>
      </w:r>
      <w:r w:rsidR="009B5E75" w:rsidRPr="00997C23">
        <w:rPr>
          <w:rFonts w:ascii="Times New Roman" w:hAnsi="Times New Roman" w:cs="Times New Roman"/>
          <w:color w:val="000000"/>
          <w:sz w:val="24"/>
          <w:szCs w:val="24"/>
        </w:rPr>
        <w:t xml:space="preserve"> и имуномодулаторно въздействие</w:t>
      </w:r>
      <w:r w:rsidRPr="00997C23">
        <w:rPr>
          <w:rFonts w:ascii="Times New Roman" w:hAnsi="Times New Roman" w:cs="Times New Roman"/>
          <w:color w:val="000000"/>
          <w:sz w:val="24"/>
          <w:szCs w:val="24"/>
        </w:rPr>
        <w:t>. Поради по-честия селективен натиск,</w:t>
      </w:r>
      <w:r w:rsidR="00560BD6" w:rsidRPr="00997C23">
        <w:rPr>
          <w:rFonts w:ascii="Times New Roman" w:hAnsi="Times New Roman" w:cs="Times New Roman"/>
          <w:sz w:val="24"/>
          <w:szCs w:val="24"/>
        </w:rPr>
        <w:t xml:space="preserve"> </w:t>
      </w:r>
      <w:r w:rsidRPr="00997C23">
        <w:rPr>
          <w:rFonts w:ascii="Times New Roman" w:hAnsi="Times New Roman" w:cs="Times New Roman"/>
          <w:color w:val="000000"/>
          <w:sz w:val="24"/>
          <w:szCs w:val="24"/>
        </w:rPr>
        <w:t xml:space="preserve">бактериите от нормалната флора развиват по-бързо резистентност, която </w:t>
      </w:r>
      <w:r w:rsidR="00CF0BBC" w:rsidRPr="00997C23">
        <w:rPr>
          <w:rFonts w:ascii="Times New Roman" w:eastAsia="Times New Roman" w:hAnsi="Times New Roman" w:cs="Times New Roman"/>
          <w:color w:val="000000"/>
          <w:sz w:val="24"/>
          <w:szCs w:val="24"/>
          <w:lang w:eastAsia="bg-BG"/>
        </w:rPr>
        <w:t>в</w:t>
      </w:r>
      <w:r w:rsidR="000E7A3E">
        <w:rPr>
          <w:rFonts w:ascii="Times New Roman" w:eastAsia="Times New Roman" w:hAnsi="Times New Roman" w:cs="Times New Roman"/>
          <w:color w:val="000000"/>
          <w:sz w:val="24"/>
          <w:szCs w:val="24"/>
          <w:lang w:eastAsia="bg-BG"/>
        </w:rPr>
        <w:t xml:space="preserve"> </w:t>
      </w:r>
      <w:r w:rsidR="00CF0BBC" w:rsidRPr="00997C23">
        <w:rPr>
          <w:rFonts w:ascii="Times New Roman" w:eastAsia="Times New Roman" w:hAnsi="Times New Roman" w:cs="Times New Roman"/>
          <w:color w:val="000000"/>
          <w:sz w:val="24"/>
          <w:szCs w:val="24"/>
          <w:lang w:eastAsia="bg-BG"/>
        </w:rPr>
        <w:t>последствие</w:t>
      </w:r>
      <w:r w:rsidR="006B4FC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могат да предадат и на облигатно патогенни видове.</w:t>
      </w:r>
    </w:p>
    <w:p w14:paraId="429C74C7" w14:textId="77777777" w:rsidR="00CF0BBC" w:rsidRPr="006B6C98" w:rsidRDefault="00A02220" w:rsidP="00E843C8">
      <w:pPr>
        <w:spacing w:after="0" w:line="360" w:lineRule="auto"/>
        <w:ind w:firstLine="567"/>
        <w:jc w:val="both"/>
        <w:rPr>
          <w:rFonts w:ascii="Times New Roman" w:eastAsia="Times New Roman" w:hAnsi="Times New Roman" w:cs="Times New Roman"/>
          <w:sz w:val="24"/>
          <w:szCs w:val="24"/>
          <w:lang w:eastAsia="bg-BG"/>
        </w:rPr>
      </w:pPr>
      <w:r w:rsidRPr="00997C23">
        <w:rPr>
          <w:rFonts w:ascii="Times New Roman" w:hAnsi="Times New Roman" w:cs="Times New Roman"/>
          <w:color w:val="000000"/>
          <w:sz w:val="24"/>
          <w:szCs w:val="24"/>
        </w:rPr>
        <w:t xml:space="preserve">Антибиотиците </w:t>
      </w:r>
      <w:r w:rsidR="00CF0BBC" w:rsidRPr="00997C23">
        <w:rPr>
          <w:rFonts w:ascii="Times New Roman" w:eastAsia="Times New Roman" w:hAnsi="Times New Roman" w:cs="Times New Roman"/>
          <w:color w:val="000000"/>
          <w:sz w:val="24"/>
          <w:szCs w:val="24"/>
          <w:lang w:eastAsia="bg-BG"/>
        </w:rPr>
        <w:t xml:space="preserve">са </w:t>
      </w:r>
      <w:r w:rsidR="009645CC" w:rsidRPr="00997C23">
        <w:rPr>
          <w:rFonts w:ascii="Times New Roman" w:eastAsia="Times New Roman" w:hAnsi="Times New Roman" w:cs="Times New Roman"/>
          <w:color w:val="000000"/>
          <w:sz w:val="24"/>
          <w:szCs w:val="24"/>
          <w:lang w:eastAsia="bg-BG"/>
        </w:rPr>
        <w:t>лекарствени</w:t>
      </w:r>
      <w:r w:rsidRPr="00997C23">
        <w:rPr>
          <w:rFonts w:ascii="Times New Roman" w:hAnsi="Times New Roman" w:cs="Times New Roman"/>
          <w:color w:val="000000"/>
          <w:sz w:val="24"/>
          <w:szCs w:val="24"/>
        </w:rPr>
        <w:t xml:space="preserve"> продукти с голям социален ефект. Предписването</w:t>
      </w:r>
      <w:r w:rsidR="006B4FC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 xml:space="preserve">на антибиотик не действа само на конкретния пациент. Възникването и </w:t>
      </w:r>
      <w:r w:rsidRPr="00997C23">
        <w:rPr>
          <w:rFonts w:ascii="Times New Roman" w:hAnsi="Times New Roman" w:cs="Times New Roman"/>
          <w:sz w:val="24"/>
          <w:szCs w:val="24"/>
        </w:rPr>
        <w:t>разпространението</w:t>
      </w:r>
      <w:r w:rsidR="006B4FC6" w:rsidRPr="00997C23">
        <w:rPr>
          <w:rFonts w:ascii="Times New Roman" w:hAnsi="Times New Roman" w:cs="Times New Roman"/>
          <w:sz w:val="24"/>
          <w:szCs w:val="24"/>
        </w:rPr>
        <w:t xml:space="preserve"> </w:t>
      </w:r>
      <w:r w:rsidRPr="00997C23">
        <w:rPr>
          <w:rFonts w:ascii="Times New Roman" w:hAnsi="Times New Roman" w:cs="Times New Roman"/>
          <w:sz w:val="24"/>
          <w:szCs w:val="24"/>
        </w:rPr>
        <w:t xml:space="preserve">на резистентни бактериални щамове </w:t>
      </w:r>
      <w:r w:rsidR="00597C4C" w:rsidRPr="00997C23">
        <w:rPr>
          <w:rFonts w:ascii="Times New Roman" w:hAnsi="Times New Roman" w:cs="Times New Roman"/>
          <w:sz w:val="24"/>
          <w:szCs w:val="24"/>
        </w:rPr>
        <w:t>(</w:t>
      </w:r>
      <w:r w:rsidR="00CF0BBC" w:rsidRPr="00997C23">
        <w:rPr>
          <w:rFonts w:ascii="Times New Roman" w:eastAsia="Times New Roman" w:hAnsi="Times New Roman" w:cs="Times New Roman"/>
          <w:sz w:val="24"/>
          <w:szCs w:val="24"/>
          <w:lang w:eastAsia="bg-BG"/>
        </w:rPr>
        <w:t>особено на тези с разширен спектър на устойчивост, или пан-антибиотично резистентни</w:t>
      </w:r>
      <w:r w:rsidR="00597C4C" w:rsidRPr="00997C23">
        <w:rPr>
          <w:rFonts w:ascii="Times New Roman" w:eastAsia="Times New Roman" w:hAnsi="Times New Roman" w:cs="Times New Roman"/>
          <w:sz w:val="24"/>
          <w:szCs w:val="24"/>
          <w:lang w:eastAsia="bg-BG"/>
        </w:rPr>
        <w:t>)</w:t>
      </w:r>
      <w:r w:rsidR="00CF0BBC" w:rsidRPr="00997C23">
        <w:rPr>
          <w:rFonts w:ascii="Times New Roman" w:eastAsia="Times New Roman" w:hAnsi="Times New Roman" w:cs="Times New Roman"/>
          <w:sz w:val="24"/>
          <w:szCs w:val="24"/>
          <w:lang w:eastAsia="bg-BG"/>
        </w:rPr>
        <w:t xml:space="preserve"> </w:t>
      </w:r>
      <w:r w:rsidRPr="00997C23">
        <w:rPr>
          <w:rFonts w:ascii="Times New Roman" w:hAnsi="Times New Roman" w:cs="Times New Roman"/>
          <w:sz w:val="24"/>
          <w:szCs w:val="24"/>
        </w:rPr>
        <w:t xml:space="preserve">може да има тежки </w:t>
      </w:r>
      <w:r w:rsidR="00CF0BBC" w:rsidRPr="00997C23">
        <w:rPr>
          <w:rFonts w:ascii="Times New Roman" w:eastAsia="Times New Roman" w:hAnsi="Times New Roman" w:cs="Times New Roman"/>
          <w:sz w:val="24"/>
          <w:szCs w:val="24"/>
          <w:lang w:eastAsia="bg-BG"/>
        </w:rPr>
        <w:t>и непредвидими</w:t>
      </w:r>
      <w:r w:rsidRPr="00997C23">
        <w:rPr>
          <w:rFonts w:ascii="Times New Roman" w:hAnsi="Times New Roman" w:cs="Times New Roman"/>
          <w:sz w:val="24"/>
          <w:szCs w:val="24"/>
        </w:rPr>
        <w:t xml:space="preserve"> последици за други</w:t>
      </w:r>
      <w:r w:rsidR="006B4FC6" w:rsidRPr="00997C23">
        <w:rPr>
          <w:rFonts w:ascii="Times New Roman" w:hAnsi="Times New Roman" w:cs="Times New Roman"/>
          <w:sz w:val="24"/>
          <w:szCs w:val="24"/>
        </w:rPr>
        <w:t xml:space="preserve"> </w:t>
      </w:r>
      <w:r w:rsidR="00CF0BBC" w:rsidRPr="00997C23">
        <w:rPr>
          <w:rFonts w:ascii="Times New Roman" w:eastAsia="Times New Roman" w:hAnsi="Times New Roman" w:cs="Times New Roman"/>
          <w:sz w:val="24"/>
          <w:szCs w:val="24"/>
          <w:lang w:eastAsia="bg-BG"/>
        </w:rPr>
        <w:t xml:space="preserve">хора и различни </w:t>
      </w:r>
      <w:r w:rsidRPr="00997C23">
        <w:rPr>
          <w:rFonts w:ascii="Times New Roman" w:hAnsi="Times New Roman" w:cs="Times New Roman"/>
          <w:sz w:val="24"/>
          <w:szCs w:val="24"/>
        </w:rPr>
        <w:t xml:space="preserve">видове животни </w:t>
      </w:r>
      <w:r w:rsidR="00597C4C" w:rsidRPr="00997C23">
        <w:rPr>
          <w:rFonts w:ascii="Times New Roman" w:hAnsi="Times New Roman" w:cs="Times New Roman"/>
          <w:sz w:val="24"/>
          <w:szCs w:val="24"/>
        </w:rPr>
        <w:t>(</w:t>
      </w:r>
      <w:r w:rsidR="00CF0BBC" w:rsidRPr="00997C23">
        <w:rPr>
          <w:rFonts w:ascii="Times New Roman" w:eastAsia="Times New Roman" w:hAnsi="Times New Roman" w:cs="Times New Roman"/>
          <w:sz w:val="24"/>
          <w:szCs w:val="24"/>
          <w:lang w:eastAsia="bg-BG"/>
        </w:rPr>
        <w:t>селскостопански, домашни любимци, диви</w:t>
      </w:r>
      <w:r w:rsidR="00597C4C" w:rsidRPr="00997C23">
        <w:rPr>
          <w:rFonts w:ascii="Times New Roman" w:eastAsia="Times New Roman" w:hAnsi="Times New Roman" w:cs="Times New Roman"/>
          <w:sz w:val="24"/>
          <w:szCs w:val="24"/>
          <w:lang w:eastAsia="bg-BG"/>
        </w:rPr>
        <w:t>)</w:t>
      </w:r>
      <w:r w:rsidR="00183BA1" w:rsidRPr="00997C23">
        <w:rPr>
          <w:rFonts w:ascii="Times New Roman" w:eastAsia="Times New Roman" w:hAnsi="Times New Roman" w:cs="Times New Roman"/>
          <w:sz w:val="24"/>
          <w:szCs w:val="24"/>
          <w:lang w:eastAsia="bg-BG"/>
        </w:rPr>
        <w:t>.</w:t>
      </w:r>
      <w:r w:rsidR="006B4FC6" w:rsidRPr="00997C23">
        <w:rPr>
          <w:rFonts w:ascii="Times New Roman" w:hAnsi="Times New Roman" w:cs="Times New Roman"/>
          <w:sz w:val="24"/>
          <w:szCs w:val="24"/>
        </w:rPr>
        <w:t xml:space="preserve"> </w:t>
      </w:r>
      <w:r w:rsidR="00731667">
        <w:rPr>
          <w:rFonts w:ascii="Times New Roman" w:hAnsi="Times New Roman" w:cs="Times New Roman"/>
          <w:sz w:val="24"/>
          <w:szCs w:val="24"/>
        </w:rPr>
        <w:t>Според последните данни</w:t>
      </w:r>
      <w:r w:rsidR="00731667" w:rsidRPr="00997C23">
        <w:rPr>
          <w:rFonts w:ascii="Times New Roman" w:hAnsi="Times New Roman" w:cs="Times New Roman"/>
          <w:sz w:val="24"/>
          <w:szCs w:val="24"/>
        </w:rPr>
        <w:t xml:space="preserve"> </w:t>
      </w:r>
      <w:r w:rsidR="00750EC9" w:rsidRPr="00997C23">
        <w:rPr>
          <w:rFonts w:ascii="Times New Roman" w:hAnsi="Times New Roman" w:cs="Times New Roman"/>
          <w:sz w:val="24"/>
          <w:szCs w:val="24"/>
        </w:rPr>
        <w:t>в свето</w:t>
      </w:r>
      <w:r w:rsidR="00CB0786" w:rsidRPr="00997C23">
        <w:rPr>
          <w:rFonts w:ascii="Times New Roman" w:hAnsi="Times New Roman" w:cs="Times New Roman"/>
          <w:sz w:val="24"/>
          <w:szCs w:val="24"/>
        </w:rPr>
        <w:t>в</w:t>
      </w:r>
      <w:r w:rsidR="00750EC9" w:rsidRPr="00997C23">
        <w:rPr>
          <w:rFonts w:ascii="Times New Roman" w:hAnsi="Times New Roman" w:cs="Times New Roman"/>
          <w:sz w:val="24"/>
          <w:szCs w:val="24"/>
        </w:rPr>
        <w:t xml:space="preserve">ен мащаб </w:t>
      </w:r>
      <w:r w:rsidR="001351DC" w:rsidRPr="00997C23">
        <w:rPr>
          <w:rFonts w:ascii="Times New Roman" w:hAnsi="Times New Roman" w:cs="Times New Roman"/>
          <w:sz w:val="24"/>
          <w:szCs w:val="24"/>
        </w:rPr>
        <w:t xml:space="preserve">смъртността </w:t>
      </w:r>
      <w:r w:rsidR="00731667">
        <w:rPr>
          <w:rFonts w:ascii="Times New Roman" w:eastAsia="Times New Roman" w:hAnsi="Times New Roman" w:cs="Times New Roman"/>
          <w:sz w:val="24"/>
          <w:szCs w:val="24"/>
          <w:lang w:eastAsia="bg-BG"/>
        </w:rPr>
        <w:t>от</w:t>
      </w:r>
      <w:r w:rsidR="001351DC" w:rsidRPr="00997C23">
        <w:rPr>
          <w:rFonts w:ascii="Times New Roman" w:hAnsi="Times New Roman" w:cs="Times New Roman"/>
          <w:sz w:val="24"/>
          <w:szCs w:val="24"/>
        </w:rPr>
        <w:t xml:space="preserve"> инфекции</w:t>
      </w:r>
      <w:r w:rsidR="00183BA1" w:rsidRPr="00997C23">
        <w:rPr>
          <w:rFonts w:ascii="Times New Roman" w:eastAsia="Times New Roman" w:hAnsi="Times New Roman" w:cs="Times New Roman"/>
          <w:sz w:val="24"/>
          <w:szCs w:val="24"/>
          <w:lang w:eastAsia="bg-BG"/>
        </w:rPr>
        <w:t>,</w:t>
      </w:r>
      <w:r w:rsidR="001351DC" w:rsidRPr="00997C23">
        <w:rPr>
          <w:rFonts w:ascii="Times New Roman" w:hAnsi="Times New Roman" w:cs="Times New Roman"/>
          <w:sz w:val="24"/>
          <w:szCs w:val="24"/>
        </w:rPr>
        <w:t xml:space="preserve"> </w:t>
      </w:r>
      <w:r w:rsidR="006F3BC8">
        <w:rPr>
          <w:rFonts w:ascii="Times New Roman" w:hAnsi="Times New Roman" w:cs="Times New Roman"/>
          <w:sz w:val="24"/>
          <w:szCs w:val="24"/>
        </w:rPr>
        <w:t>асоциирани с АМР</w:t>
      </w:r>
      <w:r w:rsidR="006F3BC8" w:rsidRPr="00997C23">
        <w:rPr>
          <w:rFonts w:ascii="Times New Roman" w:hAnsi="Times New Roman" w:cs="Times New Roman"/>
          <w:sz w:val="24"/>
          <w:szCs w:val="24"/>
        </w:rPr>
        <w:t xml:space="preserve">, възлиза на </w:t>
      </w:r>
      <w:r w:rsidR="002B6C41">
        <w:rPr>
          <w:rFonts w:ascii="Times New Roman" w:hAnsi="Times New Roman" w:cs="Times New Roman"/>
          <w:sz w:val="24"/>
          <w:szCs w:val="24"/>
        </w:rPr>
        <w:t>4,71 млн.</w:t>
      </w:r>
      <w:r w:rsidR="006F3BC8" w:rsidRPr="00997C23">
        <w:rPr>
          <w:rFonts w:ascii="Times New Roman" w:hAnsi="Times New Roman" w:cs="Times New Roman"/>
          <w:sz w:val="24"/>
          <w:szCs w:val="24"/>
        </w:rPr>
        <w:t xml:space="preserve"> случая </w:t>
      </w:r>
      <w:r w:rsidR="006F3BC8">
        <w:rPr>
          <w:rFonts w:ascii="Times New Roman" w:hAnsi="Times New Roman" w:cs="Times New Roman"/>
          <w:sz w:val="24"/>
          <w:szCs w:val="24"/>
        </w:rPr>
        <w:t xml:space="preserve">годишно, като </w:t>
      </w:r>
      <w:r w:rsidR="002B6C41">
        <w:rPr>
          <w:rFonts w:ascii="Times New Roman" w:hAnsi="Times New Roman" w:cs="Times New Roman"/>
          <w:sz w:val="24"/>
          <w:szCs w:val="24"/>
        </w:rPr>
        <w:t xml:space="preserve">1,14 млн. </w:t>
      </w:r>
      <w:r w:rsidR="00731667">
        <w:rPr>
          <w:rFonts w:ascii="Times New Roman" w:hAnsi="Times New Roman" w:cs="Times New Roman"/>
          <w:sz w:val="24"/>
          <w:szCs w:val="24"/>
        </w:rPr>
        <w:t xml:space="preserve">биват директно </w:t>
      </w:r>
      <w:r w:rsidR="001351DC" w:rsidRPr="00997C23">
        <w:rPr>
          <w:rFonts w:ascii="Times New Roman" w:hAnsi="Times New Roman" w:cs="Times New Roman"/>
          <w:sz w:val="24"/>
          <w:szCs w:val="24"/>
        </w:rPr>
        <w:t xml:space="preserve">причинени от </w:t>
      </w:r>
      <w:r w:rsidR="00CF0BBC" w:rsidRPr="00997C23">
        <w:rPr>
          <w:rFonts w:ascii="Times New Roman" w:eastAsia="Times New Roman" w:hAnsi="Times New Roman" w:cs="Times New Roman"/>
          <w:sz w:val="24"/>
          <w:szCs w:val="24"/>
          <w:lang w:eastAsia="bg-BG"/>
        </w:rPr>
        <w:t>полирезистентни</w:t>
      </w:r>
      <w:r w:rsidR="001351DC" w:rsidRPr="00997C23">
        <w:rPr>
          <w:rFonts w:ascii="Times New Roman" w:hAnsi="Times New Roman" w:cs="Times New Roman"/>
          <w:sz w:val="24"/>
          <w:szCs w:val="24"/>
        </w:rPr>
        <w:t xml:space="preserve"> микроорганизми</w:t>
      </w:r>
      <w:r w:rsidR="00A931B9">
        <w:rPr>
          <w:rFonts w:ascii="Times New Roman" w:hAnsi="Times New Roman" w:cs="Times New Roman"/>
          <w:sz w:val="24"/>
          <w:szCs w:val="24"/>
        </w:rPr>
        <w:t xml:space="preserve"> </w:t>
      </w:r>
      <w:r w:rsidR="00F53F6C" w:rsidRPr="00997C23">
        <w:rPr>
          <w:rFonts w:ascii="Times New Roman" w:eastAsia="Times New Roman" w:hAnsi="Times New Roman" w:cs="Times New Roman"/>
          <w:noProof/>
          <w:sz w:val="24"/>
          <w:szCs w:val="24"/>
          <w:lang w:eastAsia="bg-BG"/>
        </w:rPr>
        <w:t>[12]</w:t>
      </w:r>
      <w:r w:rsidR="00731667">
        <w:rPr>
          <w:rFonts w:ascii="Times New Roman" w:hAnsi="Times New Roman" w:cs="Times New Roman"/>
          <w:sz w:val="24"/>
          <w:szCs w:val="24"/>
        </w:rPr>
        <w:t>. За ЕС</w:t>
      </w:r>
      <w:r w:rsidR="00750EC9" w:rsidRPr="00997C23">
        <w:rPr>
          <w:rFonts w:ascii="Times New Roman" w:hAnsi="Times New Roman" w:cs="Times New Roman"/>
          <w:sz w:val="24"/>
          <w:szCs w:val="24"/>
        </w:rPr>
        <w:t xml:space="preserve"> </w:t>
      </w:r>
      <w:r w:rsidR="001501C2">
        <w:rPr>
          <w:rFonts w:ascii="Times New Roman" w:hAnsi="Times New Roman" w:cs="Times New Roman"/>
          <w:sz w:val="24"/>
          <w:szCs w:val="24"/>
        </w:rPr>
        <w:t>смъртността възлиза на над</w:t>
      </w:r>
      <w:r w:rsidR="00CF0BBC" w:rsidRPr="00997C23">
        <w:rPr>
          <w:rFonts w:ascii="Times New Roman" w:eastAsia="Times New Roman" w:hAnsi="Times New Roman" w:cs="Times New Roman"/>
          <w:sz w:val="24"/>
          <w:szCs w:val="24"/>
          <w:lang w:eastAsia="bg-BG"/>
        </w:rPr>
        <w:t xml:space="preserve"> </w:t>
      </w:r>
      <w:r w:rsidR="00750EC9" w:rsidRPr="00997C23">
        <w:rPr>
          <w:rFonts w:ascii="Times New Roman" w:hAnsi="Times New Roman" w:cs="Times New Roman"/>
          <w:sz w:val="24"/>
          <w:szCs w:val="24"/>
        </w:rPr>
        <w:t>3</w:t>
      </w:r>
      <w:r w:rsidR="001501C2">
        <w:rPr>
          <w:rFonts w:ascii="Times New Roman" w:hAnsi="Times New Roman" w:cs="Times New Roman"/>
          <w:sz w:val="24"/>
          <w:szCs w:val="24"/>
        </w:rPr>
        <w:t>5</w:t>
      </w:r>
      <w:r w:rsidR="00750EC9" w:rsidRPr="00997C23">
        <w:rPr>
          <w:rFonts w:ascii="Times New Roman" w:hAnsi="Times New Roman" w:cs="Times New Roman"/>
          <w:sz w:val="24"/>
          <w:szCs w:val="24"/>
        </w:rPr>
        <w:t xml:space="preserve"> 000 </w:t>
      </w:r>
      <w:r w:rsidR="001501C2">
        <w:rPr>
          <w:rFonts w:ascii="Times New Roman" w:hAnsi="Times New Roman" w:cs="Times New Roman"/>
          <w:sz w:val="24"/>
          <w:szCs w:val="24"/>
        </w:rPr>
        <w:t>годишно</w:t>
      </w:r>
      <w:r w:rsidR="00057678">
        <w:rPr>
          <w:rFonts w:ascii="Times New Roman" w:hAnsi="Times New Roman" w:cs="Times New Roman"/>
          <w:sz w:val="24"/>
          <w:szCs w:val="24"/>
        </w:rPr>
        <w:t xml:space="preserve">, </w:t>
      </w:r>
      <w:r w:rsidR="001501C2">
        <w:rPr>
          <w:rFonts w:ascii="Times New Roman" w:hAnsi="Times New Roman" w:cs="Times New Roman"/>
          <w:sz w:val="24"/>
          <w:szCs w:val="24"/>
        </w:rPr>
        <w:t>а</w:t>
      </w:r>
      <w:r w:rsidR="00750EC9" w:rsidRPr="00997C23">
        <w:rPr>
          <w:rFonts w:ascii="Times New Roman" w:hAnsi="Times New Roman" w:cs="Times New Roman"/>
          <w:sz w:val="24"/>
          <w:szCs w:val="24"/>
        </w:rPr>
        <w:t xml:space="preserve"> </w:t>
      </w:r>
      <w:r w:rsidR="001501C2">
        <w:rPr>
          <w:rFonts w:ascii="Times New Roman" w:hAnsi="Times New Roman" w:cs="Times New Roman"/>
          <w:sz w:val="24"/>
          <w:szCs w:val="24"/>
        </w:rPr>
        <w:t>с</w:t>
      </w:r>
      <w:r w:rsidR="00750EC9" w:rsidRPr="00997C23">
        <w:rPr>
          <w:rFonts w:ascii="Times New Roman" w:hAnsi="Times New Roman" w:cs="Times New Roman"/>
          <w:sz w:val="24"/>
          <w:szCs w:val="24"/>
        </w:rPr>
        <w:t xml:space="preserve">оциалната </w:t>
      </w:r>
      <w:r w:rsidR="00A253C4" w:rsidRPr="00997C23">
        <w:rPr>
          <w:rFonts w:ascii="Times New Roman" w:hAnsi="Times New Roman" w:cs="Times New Roman"/>
          <w:sz w:val="24"/>
          <w:szCs w:val="24"/>
        </w:rPr>
        <w:t xml:space="preserve">тежест върху здравеопазването се е удвоила след </w:t>
      </w:r>
      <w:r w:rsidR="00CF0BBC" w:rsidRPr="00997C23">
        <w:rPr>
          <w:rFonts w:ascii="Times New Roman" w:eastAsia="Times New Roman" w:hAnsi="Times New Roman" w:cs="Times New Roman"/>
          <w:sz w:val="24"/>
          <w:szCs w:val="24"/>
          <w:lang w:eastAsia="bg-BG"/>
        </w:rPr>
        <w:t>2007</w:t>
      </w:r>
      <w:r w:rsidR="00183BA1" w:rsidRPr="00997C23">
        <w:rPr>
          <w:rFonts w:ascii="Times New Roman" w:eastAsia="Times New Roman" w:hAnsi="Times New Roman" w:cs="Times New Roman"/>
          <w:sz w:val="24"/>
          <w:szCs w:val="24"/>
          <w:lang w:eastAsia="bg-BG"/>
        </w:rPr>
        <w:t xml:space="preserve"> </w:t>
      </w:r>
      <w:r w:rsidR="00CF0BBC" w:rsidRPr="00997C23">
        <w:rPr>
          <w:rFonts w:ascii="Times New Roman" w:eastAsia="Times New Roman" w:hAnsi="Times New Roman" w:cs="Times New Roman"/>
          <w:sz w:val="24"/>
          <w:szCs w:val="24"/>
          <w:lang w:eastAsia="bg-BG"/>
        </w:rPr>
        <w:t>г</w:t>
      </w:r>
      <w:r w:rsidR="004445AA" w:rsidRPr="00997C23">
        <w:rPr>
          <w:rFonts w:ascii="Times New Roman" w:eastAsia="Times New Roman" w:hAnsi="Times New Roman" w:cs="Times New Roman"/>
          <w:sz w:val="24"/>
          <w:szCs w:val="24"/>
          <w:lang w:eastAsia="bg-BG"/>
        </w:rPr>
        <w:t>.</w:t>
      </w:r>
      <w:r w:rsidR="000E7A3E">
        <w:rPr>
          <w:rFonts w:ascii="Times New Roman" w:eastAsia="Times New Roman" w:hAnsi="Times New Roman" w:cs="Times New Roman"/>
          <w:sz w:val="24"/>
          <w:szCs w:val="24"/>
          <w:lang w:eastAsia="bg-BG"/>
        </w:rPr>
        <w:t>,</w:t>
      </w:r>
      <w:r w:rsidR="00A253C4" w:rsidRPr="00997C23">
        <w:rPr>
          <w:rFonts w:ascii="Times New Roman" w:hAnsi="Times New Roman" w:cs="Times New Roman"/>
          <w:sz w:val="24"/>
          <w:szCs w:val="24"/>
        </w:rPr>
        <w:t xml:space="preserve"> </w:t>
      </w:r>
      <w:r w:rsidR="006B503D">
        <w:rPr>
          <w:rFonts w:ascii="Times New Roman" w:hAnsi="Times New Roman" w:cs="Times New Roman"/>
          <w:sz w:val="24"/>
          <w:szCs w:val="24"/>
        </w:rPr>
        <w:t>като</w:t>
      </w:r>
      <w:r w:rsidR="001501C2">
        <w:rPr>
          <w:rFonts w:ascii="Times New Roman" w:hAnsi="Times New Roman" w:cs="Times New Roman"/>
          <w:sz w:val="24"/>
          <w:szCs w:val="24"/>
        </w:rPr>
        <w:t xml:space="preserve"> </w:t>
      </w:r>
      <w:r w:rsidR="002D270E" w:rsidRPr="00997C23">
        <w:rPr>
          <w:rFonts w:ascii="Times New Roman" w:hAnsi="Times New Roman" w:cs="Times New Roman"/>
          <w:sz w:val="24"/>
          <w:szCs w:val="24"/>
        </w:rPr>
        <w:t>тя</w:t>
      </w:r>
      <w:r w:rsidR="006B503D">
        <w:rPr>
          <w:rFonts w:ascii="Times New Roman" w:hAnsi="Times New Roman" w:cs="Times New Roman"/>
          <w:sz w:val="24"/>
          <w:szCs w:val="24"/>
        </w:rPr>
        <w:t xml:space="preserve"> значително</w:t>
      </w:r>
      <w:r w:rsidR="002D270E" w:rsidRPr="00997C23">
        <w:rPr>
          <w:rFonts w:ascii="Times New Roman" w:hAnsi="Times New Roman" w:cs="Times New Roman"/>
          <w:sz w:val="24"/>
          <w:szCs w:val="24"/>
        </w:rPr>
        <w:t xml:space="preserve"> </w:t>
      </w:r>
      <w:r w:rsidR="001501C2">
        <w:rPr>
          <w:rFonts w:ascii="Times New Roman" w:hAnsi="Times New Roman" w:cs="Times New Roman"/>
          <w:sz w:val="24"/>
          <w:szCs w:val="24"/>
        </w:rPr>
        <w:t>превишава</w:t>
      </w:r>
      <w:r w:rsidR="002D270E" w:rsidRPr="00997C23">
        <w:rPr>
          <w:rFonts w:ascii="Times New Roman" w:hAnsi="Times New Roman" w:cs="Times New Roman"/>
          <w:sz w:val="24"/>
          <w:szCs w:val="24"/>
        </w:rPr>
        <w:t xml:space="preserve"> комбинираната тежест на социално значими заболявания като СПИН, туберкулоза и грип</w:t>
      </w:r>
      <w:r w:rsidR="006B503D">
        <w:rPr>
          <w:rFonts w:ascii="Times New Roman" w:hAnsi="Times New Roman" w:cs="Times New Roman"/>
          <w:sz w:val="24"/>
          <w:szCs w:val="24"/>
        </w:rPr>
        <w:t xml:space="preserve"> </w:t>
      </w:r>
      <w:r w:rsidR="006B503D" w:rsidRPr="00997C23">
        <w:rPr>
          <w:rFonts w:ascii="Times New Roman" w:eastAsia="Times New Roman" w:hAnsi="Times New Roman" w:cs="Times New Roman"/>
          <w:noProof/>
          <w:sz w:val="24"/>
          <w:szCs w:val="24"/>
          <w:lang w:eastAsia="bg-BG"/>
        </w:rPr>
        <w:t>[12]</w:t>
      </w:r>
      <w:r w:rsidR="002D270E" w:rsidRPr="00997C23">
        <w:rPr>
          <w:rFonts w:ascii="Times New Roman" w:eastAsia="Times New Roman" w:hAnsi="Times New Roman" w:cs="Times New Roman"/>
          <w:sz w:val="24"/>
          <w:szCs w:val="24"/>
          <w:lang w:eastAsia="bg-BG"/>
        </w:rPr>
        <w:fldChar w:fldCharType="begin" w:fldLock="1"/>
      </w:r>
      <w:r w:rsidR="009D0134" w:rsidRPr="00997C23">
        <w:rPr>
          <w:rFonts w:ascii="Times New Roman" w:eastAsia="Times New Roman" w:hAnsi="Times New Roman" w:cs="Times New Roman"/>
          <w:sz w:val="24"/>
          <w:szCs w:val="24"/>
          <w:lang w:eastAsia="bg-BG"/>
        </w:rPr>
        <w:instrText>ADDIN CSL_CITATION {"citationItems":[{"id":"ITEM-1","itemData":{"DOI":"10.1016/S1473-3099(18)30605-4","ISSN":"1474-4457","PMID":"30409683","abstract":"BACKGROUND Infections due to antibiotic-resistant bacteria are threatening modern health care. However, estimating their incidence, complications, and attributable mortality is challenging. We aimed to estimate the burden of infections caused by antibiotic-resistant bacteria of public health concern in countries of the EU and European Economic Area (EEA) in 2015, measured in number of cases, attributable deaths, and disability-adjusted life-years (DALYs). METHODS We estimated the incidence of infections with 16 antibiotic resistance-bacterium combinations from European Antimicrobial Resistance Surveillance Network (EARS-Net) 2015 data that was country-corrected for population coverage. We multiplied the number of bloodstream infections (BSIs) by a conversion factor derived from the European Centre for Disease Prevention and Control point prevalence survey of health-care-associated infections in European acute care hospitals in 2011-12 to estimate the number of non-BSIs. We developed disease outcome models for five types of infection on the basis of systematic reviews of the literature. FINDINGS From EARS-Net data collected between Jan 1, 2015, and Dec 31, 2015, we estimated 671 689 (95% uncertainty interval [UI] 583 148-763 966) infections with antibiotic-resistant bacteria, of which 63·5% (426 277 of 671 689) were associated with health care. These infections accounted for an estimated 33 110 (28 480-38 430) attributable deaths and 874 541 (768 837-989 068) DALYs. The burden for the EU and EEA was highest in infants (aged &lt;1 year) and people aged 65 years or older, had increased since 2007, and was highest in Italy and Greece. INTERPRETATION Our results present the health burden of five types of infection with antibiotic-resistant bacteria expressed, for the first time, in DALYs. The estimated burden of infections with antibiotic-resistant bacteria in the EU and EEA is substantial compared with that of other infectious diseases, and has increased since 2007. Our burden estimates provide useful information for public health decision-makers prioritising interventions for infectious diseases. FUNDING European Centre for Disease Prevention and Control.","author":[{"dropping-particle":"","family":"Cassini","given":"Alessandro","non-dropping-particle":"","parse-names":false,"suffix":""},{"dropping-particle":"","family":"Högberg","given":"Liselotte Diaz","non-dropping-particle":"","parse-names":false,"suffix":""},{"dropping-particle":"","family":"Plachouras","given":"Diamantis","non-dropping-particle":"","parse-names":false,"suffix":""},{"dropping-particle":"","family":"Quattrocchi","given":"Annalisa","non-dropping-particle":"","parse-names":false,"suffix":""},{"dropping-particle":"","family":"Hoxha","given":"Ana","non-dropping-particle":"","parse-names":false,"suffix":""},{"dropping-particle":"","family":"Simonsen","given":"Gunnar Skov","non-dropping-particle":"","parse-names":false,"suffix":""},{"dropping-particle":"","family":"Colomb-Cotinat","given":"Mélanie","non-dropping-particle":"","parse-names":false,"suffix":""},{"dropping-particle":"","family":"Kretzschmar","given":"Mirjam E","non-dropping-particle":"","parse-names":false,"suffix":""},{"dropping-particle":"","family":"Devleesschauwer","given":"Brecht","non-dropping-particle":"","parse-names":false,"suffix":""},{"dropping-particle":"","family":"Cecchini","given":"Michele","non-dropping-particle":"","parse-names":false,"suffix":""},{"dropping-particle":"","family":"Ouakrim","given":"Driss Ait","non-dropping-particle":"","parse-names":false,"suffix":""},{"dropping-particle":"","family":"Oliveira","given":"Tiago Cravo","non-dropping-particle":"","parse-names":false,"suffix":""},{"dropping-particle":"","family":"Struelens","given":"Marc J","non-dropping-particle":"","parse-names":false,"suffix":""},{"dropping-particle":"","family":"Suetens","given":"Carl","non-dropping-particle":"","parse-names":false,"suffix":""},{"dropping-particle":"","family":"Monnet","given":"Dominique L","non-dropping-particle":"","parse-names":false,"suffix":""},{"dropping-particle":"","family":"Burden of AMR Collaborative Group","given":"Reinhild","non-dropping-particle":"","parse-names":false,"suffix":""},{"dropping-particle":"","family":"Mertens","given":"Karl","non-dropping-particle":"","parse-names":false,"suffix":""},{"dropping-particle":"","family":"Struyf","given":"Thomas","non-dropping-particle":"","parse-names":false,"suffix":""},{"dropping-particle":"","family":"Catry","given":"Boudewijn","non-dropping-particle":"","parse-names":false,"suffix":""},{"dropping-particle":"","family":"Latour","given":"Katrien","non-dropping-particle":"","parse-names":false,"suffix":""},{"dropping-particle":"","family":"Ivanov","given":"Ivan N","non-dropping-particle":"","parse-names":false,"suffix":""},{"dropping-particle":"","family":"Dobreva","given":"Elina G","non-dropping-particle":"","parse-names":false,"suffix":""},{"dropping-particle":"","family":"Andraševic","given":"Arjana Tambic","non-dropping-particle":"","parse-names":false,"suffix":""},{"dropping-particle":"","family":"Soprek","given":"Silvija","non-dropping-particle":"","parse-names":false,"suffix":""},{"dropping-particle":"","family":"Budimir","given":"Ana","non-dropping-particle":"","parse-names":false,"suffix":""},{"dropping-particle":"","family":"Paphitou","given":"Niki","non-dropping-particle":"","parse-names":false,"suffix":""},{"dropping-particle":"","family":"Žemlicková","given":"Helena","non-dropping-particle":"","parse-names":false,"suffix":""},{"dropping-particle":"","family":"Olsen","given":"Stefan Schytte","non-dropping-particle":"","parse-names":false,"suffix":""},{"dropping-particle":"","family":"Sönksen","given":"Ute Wolff","non-dropping-particle":"","parse-names":false,"suffix":""},{"dropping-particle":"","family":"Märtin","given":"Pille","non-dropping-particle":"","parse-names":false,"suffix":""},{"dropping-particle":"","family":"Ivanova","given":"Marina","non-dropping-particle":"","parse-names":false,"suffix":""},{"dropping-particle":"","family":"Lyytikäinen","given":"Outi","non-dropping-particle":"","parse-names":false,"suffix":""},{"dropping-particle":"","family":"Jalava","given":"Jari","non-dropping-particle":"","parse-names":false,"suffix":""},{"dropping-particle":"","family":"Coignard","given":"Bruno","non-dropping-particle":"","parse-names":false,"suffix":""},{"dropping-particle":"","family":"Eckmanns","given":"Tim","non-dropping-particle":"","parse-names":false,"suffix":""},{"dropping-particle":"","family":"Sin","given":"Muna Abu","non-dropping-particle":"","parse-names":false,"suffix":""},{"dropping-particle":"","family":"Haller","given":"Sebastian","non-dropping-particle":"","parse-names":false,"suffix":""},{"dropping-particle":"","family":"Daikos","given":"George L","non-dropping-particle":"","parse-names":false,"suffix":""},{"dropping-particle":"","family":"Gikas","given":"Achilleas","non-dropping-particle":"","parse-names":false,"suffix":""},{"dropping-particle":"","family":"Tsiodras","given":"Sotirios","non-dropping-particle":"","parse-names":false,"suffix":""},{"dropping-particle":"","family":"Kontopidou","given":"Flora","non-dropping-particle":"","parse-names":false,"suffix":""},{"dropping-particle":"","family":"Tóth","given":"Ákos","non-dropping-particle":"","parse-names":false,"suffix":""},{"dropping-particle":"","family":"Hajdu","given":"Ágnes","non-dropping-particle":"","parse-names":false,"suffix":""},{"dropping-particle":"","family":"Guólaugsson","given":"Ólafur","non-dropping-particle":"","parse-names":false,"suffix":""},{"dropping-particle":"","family":"Kristinsson","given":"Karl G","non-dropping-particle":"","parse-names":false,"suffix":""},{"dropping-particle":"","family":"Murchan","given":"Stephen","non-dropping-particle":"","parse-names":false,"suffix":""},{"dropping-particle":"","family":"Burns","given":"Karen","non-dropping-particle":"","parse-names":false,"suffix":""},{"dropping-particle":"","family":"Pezzotti","given":"Patrizio","non-dropping-particle":"","parse-names":false,"suffix":""},{"dropping-particle":"","family":"Gagliotti","given":"Carlo","non-dropping-particle":"","parse-names":false,"suffix":""},{"dropping-particle":"","family":"Dumpis","given":"Uga","non-dropping-particle":"","parse-names":false,"suffix":""},{"dropping-particle":"","family":"Liuimiene","given":"Agne","non-dropping-particle":"","parse-names":false,"suffix":""},{"dropping-particle":"","family":"Perrin","given":"Monique","non-dropping-particle":"","parse-names":false,"suffix":""},{"dropping-particle":"","family":"Borg","given":"Michael A","non-dropping-particle":"","parse-names":false,"suffix":""},{"dropping-particle":"de","family":"Greeff","given":"Sabine C","non-dropping-particle":"","parse-names":false,"suffix":""},{"dropping-particle":"","family":"Monen","given":"Jos CM","non-dropping-particle":"","parse-names":false,"suffix":""},{"dropping-particle":"","family":"Koek","given":"Mayke BG","non-dropping-particle":"","parse-names":false,"suffix":""},{"dropping-particle":"","family":"Elstrøm","given":"Petter","non-dropping-particle":"","parse-names":false,"suffix":""},{"dropping-particle":"","family":"Zabicka","given":"Dorota","non-dropping-particle":"","parse-names":false,"suffix":""},{"dropping-particle":"","family":"Deptula","given":"Aleksander","non-dropping-particle":"","parse-names":false,"suffix":""},{"dropping-particle":"","family":"Hryniewicz","given":"Waleria","non-dropping-particle":"","parse-names":false,"suffix":""},{"dropping-particle":"","family":"Caniça","given":"Manuela","non-dropping-particle":"","parse-names":false,"suffix":""},{"dropping-particle":"","family":"Nogueira","given":"Paulo Jorge","non-dropping-particle":"","parse-names":false,"suffix":""},{"dropping-particle":"","family":"Fernandes","given":"Paulo André","non-dropping-particle":"","parse-names":false,"suffix":""},{"dropping-particle":"","family":"Manageiro","given":"Vera","non-dropping-particle":"","parse-names":false,"suffix":""},{"dropping-particle":"","family":"Popescu","given":"Gabriel A","non-dropping-particle":"","parse-names":false,"suffix":""},{"dropping-particle":"","family":"Serban","given":"Roxana I","non-dropping-particle":"","parse-names":false,"suffix":""},{"dropping-particle":"","family":"Schréterová","given":"Eva","non-dropping-particle":"","parse-names":false,"suffix":""},{"dropping-particle":"","family":"Litvová","given":"Slavka","non-dropping-particle":"","parse-names":false,"suffix":""},{"dropping-particle":"","family":"Štefkovicová","given":"Mária","non-dropping-particle":"","parse-names":false,"suffix":""},{"dropping-particle":"","family":"Kolman","given":"Jana","non-dropping-particle":"","parse-names":false,"suffix":""},{"dropping-particle":"","family":"Klavs","given":"Irena","non-dropping-particle":"","parse-names":false,"suffix":""},{"dropping-particle":"","family":"Korošec","given":"Aleš","non-dropping-particle":"","parse-names":false,"suffix":""},{"dropping-particle":"","family":"Aracil","given":"Belén","non-dropping-particle":"","parse-names":false,"suffix":""},{"dropping-particle":"","family":"Asensio","given":"Angel","non-dropping-particle":"","parse-names":false,"suffix":""},{"dropping-particle":"","family":"Pérez-Vázquez","given":"María","non-dropping-particle":"","parse-names":false,"suffix":""},{"dropping-particle":"","family":"Billström","given":"Hanna","non-dropping-particle":"","parse-names":false,"suffix":""},{"dropping-particle":"","family":"Larsson","given":"Sofie","non-dropping-particle":"","parse-names":false,"suffix":""},{"dropping-particle":"","family":"Reilly","given":"Jacqui S","non-dropping-particle":"","parse-names":false,"suffix":""},{"dropping-particle":"","family":"Johnson","given":"Alan","non-dropping-particle":"","parse-names":false,"suffix":""},{"dropping-particle":"","family":"Hopkins","given":"Susan","non-dropping-particle":"","parse-names":false,"suffix":""}],"container-title":"The Lancet. Infectious diseases","id":"ITEM-1","issue":"1","issued":{"date-parts":[["2019","1","1"]]},"page":"56-66","publisher":"Elsevier","title":"Attributable deaths and disability-adjusted life-years caused by infections with antibiotic-resistant bacteria in the EU and the European Economic Area in 2015: a population-level modelling analysis.","type":"article-journal","volume":"19"},"uris":["http://www.mendeley.com/documents/?uuid=19136db7-d99d-36f8-9e84-9b3ef5cb7756"]},{"id":"ITEM-2","itemData":{"DOI":"10.1016/s1473-3099(18)30648-0","ISSN":"1473-3099","author":[{"dropping-particle":"","family":"Tacconelli","given":"E.","non-dropping-particle":"","parse-names":false,"suffix":""},{"dropping-particle":"","family":"Pezzani","given":"M.","non-dropping-particle":"","parse-names":false,"suffix":""}],"container-title":"The Lancet Infectious Diseases","id":"ITEM-2","issue":"1","issued":{"date-parts":[["2019"]]},"page":"4-6","publisher":"Elsevier BV","title":"Public health burden of antimicrobial resistance in Europe","type":"article-journal","volume":"19"},"uris":["http://www.mendeley.com/documents/?uuid=f6fa8685-e893-4b63-8da4-557345e0a7bd"]}],"mendeley":{"formattedCitation":"[12], [15]","plainTextFormattedCitation":"[12], [15]","previouslyFormattedCitation":"(Cassini et al., 2019; Tacconelli &amp; Pezzani, 2019)"},"properties":{"noteIndex":0},"schema":"https://github.com/citation-style-language/schema/raw/master/csl-citation.json"}</w:instrText>
      </w:r>
      <w:r w:rsidR="002D270E" w:rsidRPr="00997C23">
        <w:rPr>
          <w:rFonts w:ascii="Times New Roman" w:eastAsia="Times New Roman" w:hAnsi="Times New Roman" w:cs="Times New Roman"/>
          <w:sz w:val="24"/>
          <w:szCs w:val="24"/>
          <w:lang w:eastAsia="bg-BG"/>
        </w:rPr>
        <w:fldChar w:fldCharType="separate"/>
      </w:r>
      <w:r w:rsidR="009D0134" w:rsidRPr="00997C23">
        <w:rPr>
          <w:rFonts w:ascii="Times New Roman" w:eastAsia="Times New Roman" w:hAnsi="Times New Roman" w:cs="Times New Roman"/>
          <w:noProof/>
          <w:sz w:val="24"/>
          <w:szCs w:val="24"/>
          <w:lang w:eastAsia="bg-BG"/>
        </w:rPr>
        <w:t>, [15]</w:t>
      </w:r>
      <w:r w:rsidR="002D270E" w:rsidRPr="00997C23">
        <w:rPr>
          <w:rFonts w:ascii="Times New Roman" w:eastAsia="Times New Roman" w:hAnsi="Times New Roman" w:cs="Times New Roman"/>
          <w:sz w:val="24"/>
          <w:szCs w:val="24"/>
          <w:lang w:eastAsia="bg-BG"/>
        </w:rPr>
        <w:fldChar w:fldCharType="end"/>
      </w:r>
      <w:r w:rsidR="00CF0BBC" w:rsidRPr="00997C23">
        <w:rPr>
          <w:rFonts w:ascii="Times New Roman" w:eastAsia="Times New Roman" w:hAnsi="Times New Roman" w:cs="Times New Roman"/>
          <w:sz w:val="24"/>
          <w:szCs w:val="24"/>
          <w:lang w:eastAsia="bg-BG"/>
        </w:rPr>
        <w:t>. Проблемът е изключително голям, тъй</w:t>
      </w:r>
      <w:r w:rsidR="00EB5654">
        <w:rPr>
          <w:rFonts w:ascii="Times New Roman" w:eastAsia="Times New Roman" w:hAnsi="Times New Roman" w:cs="Times New Roman"/>
          <w:sz w:val="24"/>
          <w:szCs w:val="24"/>
          <w:lang w:eastAsia="bg-BG"/>
        </w:rPr>
        <w:t xml:space="preserve"> като броя на </w:t>
      </w:r>
      <w:r w:rsidR="00EB5654" w:rsidRPr="00997C23">
        <w:rPr>
          <w:rFonts w:ascii="Times New Roman" w:eastAsia="Times New Roman" w:hAnsi="Times New Roman" w:cs="Times New Roman"/>
          <w:sz w:val="24"/>
          <w:szCs w:val="24"/>
          <w:lang w:eastAsia="bg-BG"/>
        </w:rPr>
        <w:t>нови</w:t>
      </w:r>
      <w:r w:rsidR="00EB5654">
        <w:rPr>
          <w:rFonts w:ascii="Times New Roman" w:eastAsia="Times New Roman" w:hAnsi="Times New Roman" w:cs="Times New Roman"/>
          <w:sz w:val="24"/>
          <w:szCs w:val="24"/>
          <w:lang w:eastAsia="bg-BG"/>
        </w:rPr>
        <w:t>те</w:t>
      </w:r>
      <w:r w:rsidR="00EB5654" w:rsidRPr="00997C23">
        <w:rPr>
          <w:rFonts w:ascii="Times New Roman" w:eastAsia="Times New Roman" w:hAnsi="Times New Roman" w:cs="Times New Roman"/>
          <w:sz w:val="24"/>
          <w:szCs w:val="24"/>
          <w:lang w:eastAsia="bg-BG"/>
        </w:rPr>
        <w:t xml:space="preserve"> ефективни антибиотици</w:t>
      </w:r>
      <w:r w:rsidR="00EB5654">
        <w:rPr>
          <w:rFonts w:ascii="Times New Roman" w:eastAsia="Times New Roman" w:hAnsi="Times New Roman" w:cs="Times New Roman"/>
          <w:sz w:val="24"/>
          <w:szCs w:val="24"/>
          <w:lang w:eastAsia="bg-BG"/>
        </w:rPr>
        <w:t xml:space="preserve"> е малък, а процеса по</w:t>
      </w:r>
      <w:r w:rsidR="00CF0BBC" w:rsidRPr="00997C23">
        <w:rPr>
          <w:rFonts w:ascii="Times New Roman" w:eastAsia="Times New Roman" w:hAnsi="Times New Roman" w:cs="Times New Roman"/>
          <w:sz w:val="24"/>
          <w:szCs w:val="24"/>
          <w:lang w:eastAsia="bg-BG"/>
        </w:rPr>
        <w:t xml:space="preserve"> въвеждане</w:t>
      </w:r>
      <w:r w:rsidR="00E21E5B">
        <w:rPr>
          <w:rFonts w:ascii="Times New Roman" w:eastAsia="Times New Roman" w:hAnsi="Times New Roman" w:cs="Times New Roman"/>
          <w:sz w:val="24"/>
          <w:szCs w:val="24"/>
          <w:lang w:eastAsia="bg-BG"/>
        </w:rPr>
        <w:t>то</w:t>
      </w:r>
      <w:r w:rsidR="00EB5654">
        <w:rPr>
          <w:rFonts w:ascii="Times New Roman" w:eastAsia="Times New Roman" w:hAnsi="Times New Roman" w:cs="Times New Roman"/>
          <w:sz w:val="24"/>
          <w:szCs w:val="24"/>
          <w:lang w:eastAsia="bg-BG"/>
        </w:rPr>
        <w:t xml:space="preserve"> им</w:t>
      </w:r>
      <w:r w:rsidR="00E21E5B">
        <w:rPr>
          <w:rFonts w:ascii="Times New Roman" w:eastAsia="Times New Roman" w:hAnsi="Times New Roman" w:cs="Times New Roman"/>
          <w:sz w:val="24"/>
          <w:szCs w:val="24"/>
          <w:lang w:eastAsia="bg-BG"/>
        </w:rPr>
        <w:t xml:space="preserve"> </w:t>
      </w:r>
      <w:r w:rsidR="00EB5654">
        <w:rPr>
          <w:rFonts w:ascii="Times New Roman" w:eastAsia="Times New Roman" w:hAnsi="Times New Roman" w:cs="Times New Roman"/>
          <w:sz w:val="24"/>
          <w:szCs w:val="24"/>
          <w:lang w:eastAsia="bg-BG"/>
        </w:rPr>
        <w:t>е бавен</w:t>
      </w:r>
      <w:r w:rsidR="00CF0BBC" w:rsidRPr="00997C23">
        <w:rPr>
          <w:rFonts w:ascii="Times New Roman" w:eastAsia="Times New Roman" w:hAnsi="Times New Roman" w:cs="Times New Roman"/>
          <w:sz w:val="24"/>
          <w:szCs w:val="24"/>
          <w:lang w:eastAsia="bg-BG"/>
        </w:rPr>
        <w:t>. В случай, че развитието и разпространението на антибиотичната резистентност не бъде ограничено, ще бъде загубена активността на антибиотиците за бъдещите поколения.</w:t>
      </w:r>
    </w:p>
    <w:p w14:paraId="0738DDFF" w14:textId="77777777" w:rsidR="006B4FC6" w:rsidRPr="00997C23" w:rsidRDefault="00CF0BBC" w:rsidP="00E843C8">
      <w:pPr>
        <w:spacing w:after="0" w:line="360" w:lineRule="auto"/>
        <w:ind w:firstLine="567"/>
        <w:jc w:val="both"/>
        <w:rPr>
          <w:rFonts w:ascii="Times New Roman" w:hAnsi="Times New Roman" w:cs="Times New Roman"/>
          <w:color w:val="000000"/>
          <w:sz w:val="24"/>
          <w:szCs w:val="24"/>
          <w:lang w:val="en-US"/>
        </w:rPr>
      </w:pPr>
      <w:r w:rsidRPr="00997C23">
        <w:rPr>
          <w:rFonts w:ascii="Times New Roman" w:eastAsia="Times New Roman" w:hAnsi="Times New Roman" w:cs="Times New Roman"/>
          <w:color w:val="000000"/>
          <w:sz w:val="24"/>
          <w:szCs w:val="24"/>
          <w:lang w:eastAsia="bg-BG"/>
        </w:rPr>
        <w:t>Научно доказани</w:t>
      </w:r>
      <w:r w:rsidR="00A02220" w:rsidRPr="00997C23">
        <w:rPr>
          <w:rFonts w:ascii="Times New Roman" w:hAnsi="Times New Roman" w:cs="Times New Roman"/>
          <w:color w:val="000000"/>
          <w:sz w:val="24"/>
          <w:szCs w:val="24"/>
        </w:rPr>
        <w:t xml:space="preserve"> са </w:t>
      </w:r>
      <w:r w:rsidRPr="00997C23">
        <w:rPr>
          <w:rFonts w:ascii="Times New Roman" w:eastAsia="Times New Roman" w:hAnsi="Times New Roman" w:cs="Times New Roman"/>
          <w:color w:val="000000"/>
          <w:sz w:val="24"/>
          <w:szCs w:val="24"/>
          <w:lang w:eastAsia="bg-BG"/>
        </w:rPr>
        <w:t>двете</w:t>
      </w:r>
      <w:r w:rsidR="00EE7489" w:rsidRPr="00997C23">
        <w:rPr>
          <w:rFonts w:ascii="Times New Roman" w:eastAsia="Times New Roman" w:hAnsi="Times New Roman" w:cs="Times New Roman"/>
          <w:color w:val="000000"/>
          <w:sz w:val="24"/>
          <w:szCs w:val="24"/>
          <w:lang w:eastAsia="bg-BG"/>
        </w:rPr>
        <w:t xml:space="preserve"> </w:t>
      </w:r>
      <w:r w:rsidR="00A02220" w:rsidRPr="00997C23">
        <w:rPr>
          <w:rFonts w:ascii="Times New Roman" w:hAnsi="Times New Roman" w:cs="Times New Roman"/>
          <w:color w:val="000000"/>
          <w:sz w:val="24"/>
          <w:szCs w:val="24"/>
        </w:rPr>
        <w:t>основни причини за бързо развитие, високи нива и широко</w:t>
      </w:r>
      <w:r w:rsidR="006B4FC6" w:rsidRPr="00997C23">
        <w:rPr>
          <w:rFonts w:ascii="Times New Roman" w:hAnsi="Times New Roman" w:cs="Times New Roman"/>
          <w:color w:val="000000"/>
          <w:sz w:val="24"/>
          <w:szCs w:val="24"/>
        </w:rPr>
        <w:t xml:space="preserve"> </w:t>
      </w:r>
      <w:r w:rsidR="00A02220" w:rsidRPr="00997C23">
        <w:rPr>
          <w:rFonts w:ascii="Times New Roman" w:hAnsi="Times New Roman" w:cs="Times New Roman"/>
          <w:color w:val="000000"/>
          <w:sz w:val="24"/>
          <w:szCs w:val="24"/>
        </w:rPr>
        <w:t>разпространение на резистентността сред бактериите</w:t>
      </w:r>
      <w:r w:rsidR="00F9441E" w:rsidRPr="00997C23">
        <w:rPr>
          <w:rFonts w:ascii="Times New Roman" w:hAnsi="Times New Roman" w:cs="Times New Roman"/>
          <w:color w:val="000000"/>
          <w:sz w:val="24"/>
          <w:szCs w:val="24"/>
          <w:lang w:val="en-US"/>
        </w:rPr>
        <w:t xml:space="preserve"> </w:t>
      </w:r>
      <w:r w:rsidR="00D15899" w:rsidRPr="00997C23">
        <w:rPr>
          <w:rFonts w:ascii="Times New Roman" w:hAnsi="Times New Roman" w:cs="Times New Roman"/>
          <w:color w:val="000000"/>
          <w:sz w:val="24"/>
          <w:szCs w:val="24"/>
          <w:lang w:val="en-US"/>
        </w:rPr>
        <w:fldChar w:fldCharType="begin" w:fldLock="1"/>
      </w:r>
      <w:r w:rsidR="009D0134" w:rsidRPr="00997C23">
        <w:rPr>
          <w:rFonts w:ascii="Times New Roman" w:hAnsi="Times New Roman" w:cs="Times New Roman"/>
          <w:color w:val="000000"/>
          <w:sz w:val="24"/>
          <w:szCs w:val="24"/>
          <w:lang w:val="en-US"/>
        </w:rPr>
        <w:instrText>ADDIN CSL_CITATION {"citationItems":[{"id":"ITEM-1","itemData":{"author":[{"dropping-particle":"","family":"EC","given":"","non-dropping-particle":"","parse-names":false,"suffix":""}],"id":"ITEM-1","issued":{"date-parts":[["2017"]]},"title":"COMMUNICATION FROM THE COMMISSION TO THE COUNCIL AND THE EUROPEAN PARLIAMENT A European One Health Action Plan against Antimicrobial Resistance (AMR)- COM/2017/0339 final","type":"article"},"uris":["http://www.mendeley.com/documents/?uuid=a8e43cae-81ee-4ad5-928a-df10e3b95798"]},{"id":"ITEM-2","itemData":{"DOI":"10.1093/cid/ciw118","ISSN":"1058-4838","author":[{"dropping-particle":"","family":"Barlam","given":"Tamar F","non-dropping-particle":"","parse-names":false,"suffix":""},{"dropping-particle":"","family":"Cosgrove","given":"Sara E","non-dropping-particle":"","parse-names":false,"suffix":""},{"dropping-particle":"","family":"Abbo","given":"Lilian M","non-dropping-particle":"","parse-names":false,"suffix":""},{"dropping-particle":"","family":"MacDougall","given":"Conan","non-dropping-particle":"","parse-names":false,"suffix":""},{"dropping-particle":"","family":"Schuetz","given":"Audrey N","non-dropping-particle":"","parse-names":false,"suffix":""},{"dropping-particle":"","family":"Septimus","given":"Edward J","non-dropping-particle":"","parse-names":false,"suffix":""},{"dropping-particle":"","family":"Srinivasan","given":"Arjun","non-dropping-particle":"","parse-names":false,"suffix":""},{"dropping-particle":"","family":"Dellit","given":"Timothy H","non-dropping-particle":"","parse-names":false,"suffix":""},{"dropping-particle":"","family":"Falck-Ytter","given":"Yngve T","non-dropping-particle":"","parse-names":false,"suffix":""},{"dropping-particle":"","family":"Fishman","given":"Neil O","non-dropping-particle":"","parse-names":false,"suffix":""},{"dropping-particle":"","family":"Hamilton","given":"Cindy W","non-dropping-particle":"","parse-names":false,"suffix":""},{"dropping-particle":"","family":"Jenkins","given":"Timothy C","non-dropping-particle":"","parse-names":false,"suffix":""},{"dropping-particle":"","family":"Lipsett","given":"Pamela A","non-dropping-particle":"","parse-names":false,"suffix":""},{"dropping-particle":"","family":"Malani","given":"Preeti N","non-dropping-particle":"","parse-names":false,"suffix":""},{"dropping-particle":"","family":"May","given":"Larissa S","non-dropping-particle":"","parse-names":false,"suffix":""},{"dropping-particle":"","family":"Moran","given":"Gregory J","non-dropping-particle":"","parse-names":false,"suffix":""},{"dropping-particle":"","family":"Neuhauser","given":"Melinda M","non-dropping-particle":"","parse-names":false,"suffix":""},{"dropping-particle":"","family":"Newland","given":"Jason G","non-dropping-particle":"","parse-names":false,"suffix":""},{"dropping-particle":"","family":"Ohl","given":"Christopher A","non-dropping-particle":"","parse-names":false,"suffix":""},{"dropping-particle":"","family":"Samore","given":"Matthew H","non-dropping-particle":"","parse-names":false,"suffix":""},{"dropping-particle":"","family":"Seo","given":"Susan K","non-dropping-particle":"","parse-names":false,"suffix":""},{"dropping-particle":"","family":"Trivedi","given":"Kavita K","non-dropping-particle":"","parse-names":false,"suffix":""}],"container-title":"Clinical Infectious Diseases","id":"ITEM-2","issue":"10","issued":{"date-parts":[["2016"]]},"page":"e51-e77","publisher":"Oxford University Press (OUP)","title":"Implementing an Antibiotic Stewardship Program: Guidelines by the Infectious Diseases Society of America and the Society for Healthcare Epidemiology of America","type":"article-journal","volume":"62"},"uris":["http://www.mendeley.com/documents/?uuid=9b01f1ec-06a3-4610-98f8-5b4ae4d9357a"]},{"id":"ITEM-3","itemData":{"DOI":"10.1016/B978-0-12-810477-4.00001-5","ISBN":"9780128104774","abstract":"Antimicrobial resistance is a global problem that threatens the success of modern medical approaches. Bacteria might exhibit several mechanisms to resist against antibiotics. Intensive antimicrobial resistance surveillance is a critical step of antimicrobial stewardship as it is the basis for detecting new trends and threats, monitoring the interventions, and developing new drugs. In this chapter, we summarize the antimicrobial resistance mechanisms of bacteria and focus on the resistance of clinically important pathogens, especially to “last resort” antibiotics in all regions of the world.","author":[{"dropping-particle":"","family":"Kostyanev","given":"Tomislav","non-dropping-particle":"","parse-names":false,"suffix":""}],"container-title":"Antimicrobial Stewardship","id":"ITEM-3","issued":{"date-parts":[["2017","1","1"]]},"page":"3-12","publisher":"Academic Press","title":"The Global Crisis of Antimicrobial Resistance","type":"article-journal"},"uris":["http://www.mendeley.com/documents/?uuid=8aa26b3c-707d-33e7-bd44-eb6c61b013b2"]},{"id":"ITEM-4","itemData":{"DOI":"10.3390/tropicalmed4010022","ISSN":"2414-6366","PMID":"30700019","abstract":"Approaching any issue from a One Health perspective necessitates looking at the interactions of people, domestic animals, wildlife, plants, and our environment. For antimicrobial resistance this includes antimicrobial use (and abuse) in the human, animal and environmental sectors. More importantly, the spread of resistant bacteria and resistance determinants within and between these sectors and globally must be addressed. Better managing this problem includes taking steps to preserve the continued effectiveness of existing antimicrobials such as trying to eliminate their inappropriate use, particularly where they are used in high volumes. Examples are the mass medication of animals with critically important antimicrobials for humans, such as third generation cephalosporins and fluoroquinolones, and the long term, in-feed use of antimicrobials, such colistin, tetracyclines and macrolides, for growth promotion. In people it is essential to better prevent infections, reduce over-prescribing and over-use of antimicrobials and stop resistant bacteria from spreading by improving hygiene and infection control, drinking water and sanitation. Pollution from inadequate treatment of industrial, residential and farm waste is expanding the resistome in the environment. Numerous countries and several international agencies have now included a One Health Approach within their action plans to address antimicrobial resistance. Necessary actions include improvements in antimicrobial use, better regulation and policy, as well as improved surveillance, stewardship, infection control, sanitation, animal husbandry, and finding alternatives to antimicrobials.","author":[{"dropping-particle":"","family":"Collignon","given":"Peter J","non-dropping-particle":"","parse-names":false,"suffix":""},{"dropping-particle":"","family":"McEwen","given":"Scott A","non-dropping-particle":"","parse-names":false,"suffix":""}],"container-title":"Tropical medicine and infectious disease","id":"ITEM-4","issue":"1","issued":{"date-parts":[["2019","1","29"]]},"publisher":"Multidisciplinary Digital Publishing Institute  (MDPI)","title":"One Health-Its Importance in Helping to Better Control Antimicrobial Resistance.","type":"article-journal","volume":"4"},"uris":["http://www.mendeley.com/documents/?uuid=94fb012a-841a-32f6-8db2-e0a8742742df"]}],"mendeley":{"formattedCitation":"[5], [8], [16], [17]","plainTextFormattedCitation":"[5], [8], [16], [17]","previouslyFormattedCitation":"(Barlam et al., 2016; P. J. Collignon &amp; McEwen, 2019; EC, 2017; Kostyanev, 2017)"},"properties":{"noteIndex":0},"schema":"https://github.com/citation-style-language/schema/raw/master/csl-citation.json"}</w:instrText>
      </w:r>
      <w:r w:rsidR="00D15899" w:rsidRPr="00997C23">
        <w:rPr>
          <w:rFonts w:ascii="Times New Roman" w:hAnsi="Times New Roman" w:cs="Times New Roman"/>
          <w:color w:val="000000"/>
          <w:sz w:val="24"/>
          <w:szCs w:val="24"/>
          <w:lang w:val="en-US"/>
        </w:rPr>
        <w:fldChar w:fldCharType="separate"/>
      </w:r>
      <w:r w:rsidR="009D0134" w:rsidRPr="00997C23">
        <w:rPr>
          <w:rFonts w:ascii="Times New Roman" w:hAnsi="Times New Roman" w:cs="Times New Roman"/>
          <w:noProof/>
          <w:color w:val="000000"/>
          <w:sz w:val="24"/>
          <w:szCs w:val="24"/>
          <w:lang w:val="en-US"/>
        </w:rPr>
        <w:t>[5], [8], [16], [17]</w:t>
      </w:r>
      <w:r w:rsidR="00D15899" w:rsidRPr="00997C23">
        <w:rPr>
          <w:rFonts w:ascii="Times New Roman" w:hAnsi="Times New Roman" w:cs="Times New Roman"/>
          <w:color w:val="000000"/>
          <w:sz w:val="24"/>
          <w:szCs w:val="24"/>
          <w:lang w:val="en-US"/>
        </w:rPr>
        <w:fldChar w:fldCharType="end"/>
      </w:r>
      <w:r w:rsidR="00FA5F69" w:rsidRPr="00997C23">
        <w:rPr>
          <w:rFonts w:ascii="Times New Roman" w:eastAsia="Times New Roman" w:hAnsi="Times New Roman" w:cs="Times New Roman"/>
          <w:color w:val="000000"/>
          <w:sz w:val="24"/>
          <w:szCs w:val="24"/>
          <w:lang w:val="en-US" w:eastAsia="bg-BG"/>
        </w:rPr>
        <w:t>.</w:t>
      </w:r>
    </w:p>
    <w:p w14:paraId="2BA9421A" w14:textId="77777777" w:rsidR="006B4FC6" w:rsidRPr="00997C23" w:rsidRDefault="00A02220" w:rsidP="005A4C68">
      <w:pPr>
        <w:spacing w:after="0" w:line="360" w:lineRule="auto"/>
        <w:ind w:firstLine="709"/>
        <w:jc w:val="both"/>
        <w:rPr>
          <w:rFonts w:ascii="Times New Roman" w:hAnsi="Times New Roman" w:cs="Times New Roman"/>
          <w:color w:val="000000"/>
          <w:sz w:val="24"/>
          <w:szCs w:val="24"/>
          <w:lang w:val="en-US"/>
        </w:rPr>
      </w:pPr>
      <w:r w:rsidRPr="00997C23">
        <w:rPr>
          <w:rFonts w:ascii="Times New Roman" w:hAnsi="Times New Roman" w:cs="Times New Roman"/>
          <w:color w:val="000000"/>
          <w:sz w:val="24"/>
          <w:szCs w:val="24"/>
        </w:rPr>
        <w:sym w:font="Symbol" w:char="F0B7"/>
      </w:r>
      <w:r w:rsidRPr="00997C23">
        <w:rPr>
          <w:rFonts w:ascii="Times New Roman" w:hAnsi="Times New Roman" w:cs="Times New Roman"/>
          <w:color w:val="000000"/>
          <w:sz w:val="24"/>
          <w:szCs w:val="24"/>
        </w:rPr>
        <w:t xml:space="preserve"> Неправилно, нерационално и неразумно прилагане на антибиотици </w:t>
      </w:r>
      <w:r w:rsidR="00CF0BBC" w:rsidRPr="00997C23">
        <w:rPr>
          <w:rFonts w:ascii="Times New Roman" w:eastAsia="Times New Roman" w:hAnsi="Times New Roman" w:cs="Times New Roman"/>
          <w:color w:val="000000"/>
          <w:sz w:val="24"/>
          <w:szCs w:val="24"/>
          <w:lang w:eastAsia="bg-BG"/>
        </w:rPr>
        <w:t>при</w:t>
      </w:r>
      <w:r w:rsidR="008205CE" w:rsidRPr="00997C23">
        <w:rPr>
          <w:rFonts w:ascii="Times New Roman" w:hAnsi="Times New Roman" w:cs="Times New Roman"/>
          <w:color w:val="000000"/>
          <w:sz w:val="24"/>
          <w:szCs w:val="24"/>
        </w:rPr>
        <w:t xml:space="preserve"> </w:t>
      </w:r>
      <w:r w:rsidR="008205CE" w:rsidRPr="00997C23">
        <w:rPr>
          <w:rFonts w:ascii="Times New Roman" w:hAnsi="Times New Roman" w:cs="Times New Roman"/>
          <w:sz w:val="24"/>
          <w:szCs w:val="24"/>
        </w:rPr>
        <w:t>хората и</w:t>
      </w:r>
      <w:r w:rsidRPr="00997C23">
        <w:rPr>
          <w:rFonts w:ascii="Times New Roman" w:hAnsi="Times New Roman" w:cs="Times New Roman"/>
          <w:sz w:val="24"/>
          <w:szCs w:val="24"/>
        </w:rPr>
        <w:t xml:space="preserve"> животните</w:t>
      </w:r>
      <w:r w:rsidRPr="00997C23">
        <w:rPr>
          <w:rFonts w:ascii="Times New Roman" w:hAnsi="Times New Roman" w:cs="Times New Roman"/>
          <w:color w:val="000000"/>
          <w:sz w:val="24"/>
          <w:szCs w:val="24"/>
        </w:rPr>
        <w:t>, което създава екологичен натиск върху</w:t>
      </w:r>
      <w:r w:rsidR="006B4FC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микроорганизмите и допринася за появата и селекцията на резистентни</w:t>
      </w:r>
      <w:r w:rsidR="006B4FC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микроорганизми;</w:t>
      </w:r>
    </w:p>
    <w:p w14:paraId="17599758" w14:textId="77777777" w:rsidR="000E281B" w:rsidRDefault="00A02220" w:rsidP="005A4C68">
      <w:pPr>
        <w:spacing w:after="0" w:line="360" w:lineRule="auto"/>
        <w:ind w:firstLine="709"/>
        <w:jc w:val="both"/>
        <w:rPr>
          <w:rFonts w:ascii="Times New Roman" w:hAnsi="Times New Roman" w:cs="Times New Roman"/>
          <w:color w:val="000000"/>
          <w:sz w:val="24"/>
          <w:szCs w:val="24"/>
        </w:rPr>
      </w:pPr>
      <w:r w:rsidRPr="00997C23">
        <w:rPr>
          <w:rFonts w:ascii="Times New Roman" w:hAnsi="Times New Roman" w:cs="Times New Roman"/>
          <w:color w:val="000000"/>
          <w:sz w:val="24"/>
          <w:szCs w:val="24"/>
        </w:rPr>
        <w:sym w:font="Symbol" w:char="F0B7"/>
      </w:r>
      <w:r w:rsidRPr="00997C23">
        <w:rPr>
          <w:rFonts w:ascii="Times New Roman" w:hAnsi="Times New Roman" w:cs="Times New Roman"/>
          <w:color w:val="000000"/>
          <w:sz w:val="24"/>
          <w:szCs w:val="24"/>
        </w:rPr>
        <w:t xml:space="preserve"> Разпространение и предаване на резистентни микроорганизми между хората, между</w:t>
      </w:r>
      <w:r w:rsidR="006B4FC6" w:rsidRPr="00997C23">
        <w:rPr>
          <w:rFonts w:ascii="Times New Roman" w:hAnsi="Times New Roman" w:cs="Times New Roman"/>
          <w:color w:val="000000"/>
          <w:sz w:val="24"/>
          <w:szCs w:val="24"/>
        </w:rPr>
        <w:t xml:space="preserve"> </w:t>
      </w:r>
      <w:r w:rsidRPr="00997C23">
        <w:rPr>
          <w:rFonts w:ascii="Times New Roman" w:hAnsi="Times New Roman" w:cs="Times New Roman"/>
          <w:color w:val="000000"/>
          <w:sz w:val="24"/>
          <w:szCs w:val="24"/>
        </w:rPr>
        <w:t>животните и хората и между животните и околната среда.</w:t>
      </w:r>
      <w:r w:rsidR="006B4FC6" w:rsidRPr="00997C23">
        <w:rPr>
          <w:rFonts w:ascii="Times New Roman" w:hAnsi="Times New Roman" w:cs="Times New Roman"/>
          <w:color w:val="000000"/>
          <w:sz w:val="24"/>
          <w:szCs w:val="24"/>
        </w:rPr>
        <w:t xml:space="preserve"> </w:t>
      </w:r>
    </w:p>
    <w:p w14:paraId="630FD1C6" w14:textId="77777777" w:rsidR="00CF0BBC" w:rsidRPr="002F050F" w:rsidRDefault="000023AB" w:rsidP="002F050F">
      <w:pPr>
        <w:spacing w:after="0" w:line="360" w:lineRule="auto"/>
        <w:ind w:firstLine="708"/>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t xml:space="preserve">Особено </w:t>
      </w:r>
      <w:r w:rsidR="00CF0BBC" w:rsidRPr="00997C23">
        <w:rPr>
          <w:rFonts w:ascii="Times New Roman" w:eastAsia="Times New Roman" w:hAnsi="Times New Roman" w:cs="Times New Roman"/>
          <w:color w:val="000000"/>
          <w:sz w:val="24"/>
          <w:szCs w:val="24"/>
          <w:lang w:eastAsia="bg-BG"/>
        </w:rPr>
        <w:t>проблемни</w:t>
      </w:r>
      <w:r w:rsidRPr="00997C23">
        <w:rPr>
          <w:rFonts w:ascii="Times New Roman" w:eastAsia="Times New Roman" w:hAnsi="Times New Roman" w:cs="Times New Roman"/>
          <w:color w:val="000000"/>
          <w:sz w:val="24"/>
          <w:szCs w:val="24"/>
          <w:lang w:eastAsia="bg-BG"/>
        </w:rPr>
        <w:t xml:space="preserve"> са полирезистентните</w:t>
      </w:r>
      <w:r w:rsidR="00597C4C" w:rsidRPr="00997C23">
        <w:rPr>
          <w:rFonts w:ascii="Times New Roman" w:eastAsia="Times New Roman" w:hAnsi="Times New Roman" w:cs="Times New Roman"/>
          <w:color w:val="000000"/>
          <w:sz w:val="24"/>
          <w:szCs w:val="24"/>
          <w:lang w:eastAsia="bg-BG"/>
        </w:rPr>
        <w:t xml:space="preserve"> </w:t>
      </w:r>
      <w:r w:rsidR="00CF0BBC" w:rsidRPr="00997C23">
        <w:rPr>
          <w:rFonts w:ascii="Times New Roman" w:eastAsia="Times New Roman" w:hAnsi="Times New Roman" w:cs="Times New Roman"/>
          <w:color w:val="000000"/>
          <w:sz w:val="24"/>
          <w:szCs w:val="24"/>
          <w:lang w:eastAsia="bg-BG"/>
        </w:rPr>
        <w:t>микроорганизми</w:t>
      </w:r>
      <w:r w:rsidRPr="00997C23">
        <w:rPr>
          <w:rFonts w:ascii="Times New Roman" w:eastAsia="Times New Roman" w:hAnsi="Times New Roman" w:cs="Times New Roman"/>
          <w:color w:val="000000"/>
          <w:sz w:val="24"/>
          <w:szCs w:val="24"/>
          <w:lang w:eastAsia="bg-BG"/>
        </w:rPr>
        <w:t>, които според вида си изискват различни по спешност мерки.</w:t>
      </w:r>
      <w:r w:rsidR="0006778D" w:rsidRPr="00997C23">
        <w:rPr>
          <w:rFonts w:ascii="Times New Roman" w:eastAsia="Times New Roman" w:hAnsi="Times New Roman" w:cs="Times New Roman"/>
          <w:color w:val="000000"/>
          <w:sz w:val="24"/>
          <w:szCs w:val="24"/>
          <w:lang w:eastAsia="bg-BG"/>
        </w:rPr>
        <w:t xml:space="preserve"> </w:t>
      </w:r>
    </w:p>
    <w:p w14:paraId="70EF8BB8" w14:textId="77777777" w:rsidR="00CF0BBC" w:rsidRPr="00997C23" w:rsidRDefault="00CF0BBC" w:rsidP="00E843C8">
      <w:pPr>
        <w:spacing w:after="0" w:line="360" w:lineRule="auto"/>
        <w:ind w:firstLine="708"/>
        <w:jc w:val="both"/>
        <w:rPr>
          <w:rFonts w:ascii="Times New Roman" w:eastAsia="Times New Roman" w:hAnsi="Times New Roman" w:cs="Times New Roman"/>
          <w:b/>
          <w:color w:val="000000"/>
          <w:sz w:val="24"/>
          <w:szCs w:val="24"/>
          <w:lang w:eastAsia="bg-BG"/>
        </w:rPr>
      </w:pPr>
      <w:r w:rsidRPr="00997C23">
        <w:rPr>
          <w:rFonts w:ascii="Times New Roman" w:eastAsia="Times New Roman" w:hAnsi="Times New Roman" w:cs="Times New Roman"/>
          <w:b/>
          <w:color w:val="000000"/>
          <w:sz w:val="24"/>
          <w:szCs w:val="24"/>
          <w:lang w:eastAsia="bg-BG"/>
        </w:rPr>
        <w:t>Реален достъп на всички членове на обществото до всички необходими антибиотици</w:t>
      </w:r>
      <w:r w:rsidR="002F050F">
        <w:rPr>
          <w:rFonts w:ascii="Times New Roman" w:eastAsia="Times New Roman" w:hAnsi="Times New Roman" w:cs="Times New Roman"/>
          <w:b/>
          <w:color w:val="000000"/>
          <w:sz w:val="24"/>
          <w:szCs w:val="24"/>
          <w:lang w:eastAsia="bg-BG"/>
        </w:rPr>
        <w:t>.</w:t>
      </w:r>
    </w:p>
    <w:p w14:paraId="30CFF62D" w14:textId="77777777" w:rsidR="006C1BCE" w:rsidRPr="00997C23" w:rsidRDefault="00ED6724" w:rsidP="00E843C8">
      <w:pPr>
        <w:spacing w:after="0" w:line="360" w:lineRule="auto"/>
        <w:ind w:firstLine="708"/>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t xml:space="preserve">Според </w:t>
      </w:r>
      <w:r w:rsidR="00CF0BBC" w:rsidRPr="00997C23">
        <w:rPr>
          <w:rFonts w:ascii="Times New Roman" w:eastAsia="Times New Roman" w:hAnsi="Times New Roman" w:cs="Times New Roman"/>
          <w:color w:val="000000"/>
          <w:sz w:val="24"/>
          <w:szCs w:val="24"/>
          <w:lang w:eastAsia="bg-BG"/>
        </w:rPr>
        <w:t>основ</w:t>
      </w:r>
      <w:r w:rsidRPr="00997C23">
        <w:rPr>
          <w:rFonts w:ascii="Times New Roman" w:eastAsia="Times New Roman" w:hAnsi="Times New Roman" w:cs="Times New Roman"/>
          <w:color w:val="000000"/>
          <w:sz w:val="24"/>
          <w:szCs w:val="24"/>
          <w:lang w:eastAsia="bg-BG"/>
        </w:rPr>
        <w:t>ния</w:t>
      </w:r>
      <w:r w:rsidR="00CF0BBC" w:rsidRPr="00997C23">
        <w:rPr>
          <w:rFonts w:ascii="Times New Roman" w:eastAsia="Times New Roman" w:hAnsi="Times New Roman" w:cs="Times New Roman"/>
          <w:color w:val="000000"/>
          <w:sz w:val="24"/>
          <w:szCs w:val="24"/>
          <w:lang w:eastAsia="bg-BG"/>
        </w:rPr>
        <w:t xml:space="preserve"> принцип на СЗО всички пациенти трябва да получат най-доброто антибиотично лечение</w:t>
      </w:r>
      <w:r w:rsidR="001264CF" w:rsidRPr="00997C23">
        <w:rPr>
          <w:rFonts w:ascii="Times New Roman" w:eastAsia="Times New Roman" w:hAnsi="Times New Roman" w:cs="Times New Roman"/>
          <w:color w:val="000000"/>
          <w:sz w:val="24"/>
          <w:szCs w:val="24"/>
          <w:lang w:val="en-US" w:eastAsia="bg-BG"/>
        </w:rPr>
        <w:t xml:space="preserve"> </w:t>
      </w:r>
      <w:r w:rsidR="00EA3CA0" w:rsidRPr="00997C23">
        <w:rPr>
          <w:rFonts w:ascii="Times New Roman" w:eastAsia="Times New Roman" w:hAnsi="Times New Roman" w:cs="Times New Roman"/>
          <w:color w:val="000000"/>
          <w:sz w:val="24"/>
          <w:szCs w:val="24"/>
          <w:lang w:val="en-US" w:eastAsia="bg-BG"/>
        </w:rPr>
        <w:fldChar w:fldCharType="begin" w:fldLock="1"/>
      </w:r>
      <w:r w:rsidR="009D0134" w:rsidRPr="00997C23">
        <w:rPr>
          <w:rFonts w:ascii="Times New Roman" w:eastAsia="Times New Roman" w:hAnsi="Times New Roman" w:cs="Times New Roman"/>
          <w:color w:val="000000"/>
          <w:sz w:val="24"/>
          <w:szCs w:val="24"/>
          <w:lang w:val="en-US" w:eastAsia="bg-BG"/>
        </w:rPr>
        <w:instrText>ADDIN CSL_CITATION {"citationItems":[{"id":"ITEM-1","itemData":{"author":[{"dropping-particle":"","family":"WHO","given":"","non-dropping-particle":"","parse-names":false,"suffix":""}],"container-title":"WHO","id":"ITEM-1","issued":{"date-parts":[["2016"]]},"publisher":"World Health Organization","title":"WHO - Global action plan on AMR","type":"article"},"uris":["http://www.mendeley.com/documents/?uuid=2a3cbd79-11dd-3599-8d4d-1c0ed73eec7a"]},{"id":"ITEM-2","itemData":{"author":[{"dropping-particle":"","family":"Frost","given":"I.","non-dropping-particle":"","parse-names":false,"suffix":""},{"dropping-particle":"","family":"Craig","given":"J.","non-dropping-particle":"","parse-names":false,"suffix":""},{"dropping-particle":"","family":"Joshi","given":"J.","non-dropping-particle":"","parse-names":false,"suffix":""},{"dropping-particle":"","family":"Faure","given":"K.","non-dropping-particle":"","parse-names":false,"suffix":""},{"dropping-particle":"","family":"Laxminarayan","given":"R.","non-dropping-particle":"","parse-names":false,"suffix":""}],"id":"ITEM-2","issued":{"date-parts":[["2019"]]},"publisher-place":"Washington, DC","title":"Access Barriers to Antibiotics","type":"report"},"uris":["http://www.mendeley.com/documents/?uuid=0469cee9-e734-4abf-b279-8259842aed6c"]}],"mendeley":{"formattedCitation":"[4], [19]","plainTextFormattedCitation":"[4], [19]","previouslyFormattedCitation":"(Frost, Craig, Joshi, Faure, &amp; Laxminarayan, 2019; WHO, 2016)"},"properties":{"noteIndex":0},"schema":"https://github.com/citation-style-language/schema/raw/master/csl-citation.json"}</w:instrText>
      </w:r>
      <w:r w:rsidR="00EA3CA0" w:rsidRPr="00997C23">
        <w:rPr>
          <w:rFonts w:ascii="Times New Roman" w:eastAsia="Times New Roman" w:hAnsi="Times New Roman" w:cs="Times New Roman"/>
          <w:color w:val="000000"/>
          <w:sz w:val="24"/>
          <w:szCs w:val="24"/>
          <w:lang w:val="en-US" w:eastAsia="bg-BG"/>
        </w:rPr>
        <w:fldChar w:fldCharType="separate"/>
      </w:r>
      <w:r w:rsidR="009D0134" w:rsidRPr="00997C23">
        <w:rPr>
          <w:rFonts w:ascii="Times New Roman" w:eastAsia="Times New Roman" w:hAnsi="Times New Roman" w:cs="Times New Roman"/>
          <w:noProof/>
          <w:color w:val="000000"/>
          <w:sz w:val="24"/>
          <w:szCs w:val="24"/>
          <w:lang w:val="en-US" w:eastAsia="bg-BG"/>
        </w:rPr>
        <w:t>[4], [19]</w:t>
      </w:r>
      <w:r w:rsidR="00EA3CA0" w:rsidRPr="00997C23">
        <w:rPr>
          <w:rFonts w:ascii="Times New Roman" w:eastAsia="Times New Roman" w:hAnsi="Times New Roman" w:cs="Times New Roman"/>
          <w:color w:val="000000"/>
          <w:sz w:val="24"/>
          <w:szCs w:val="24"/>
          <w:lang w:val="en-US" w:eastAsia="bg-BG"/>
        </w:rPr>
        <w:fldChar w:fldCharType="end"/>
      </w:r>
      <w:r w:rsidR="00CF0BBC" w:rsidRPr="00997C23">
        <w:rPr>
          <w:rFonts w:ascii="Times New Roman" w:eastAsia="Times New Roman" w:hAnsi="Times New Roman" w:cs="Times New Roman"/>
          <w:color w:val="000000"/>
          <w:sz w:val="24"/>
          <w:szCs w:val="24"/>
          <w:lang w:eastAsia="bg-BG"/>
        </w:rPr>
        <w:t>. Това означава, че всяка държава трябва да разполага с най-новите</w:t>
      </w:r>
      <w:r w:rsidR="000E7A3E">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 xml:space="preserve">често </w:t>
      </w:r>
      <w:r w:rsidR="00CF0BBC" w:rsidRPr="00997C23">
        <w:rPr>
          <w:rFonts w:ascii="Times New Roman" w:eastAsia="Times New Roman" w:hAnsi="Times New Roman" w:cs="Times New Roman"/>
          <w:color w:val="000000"/>
          <w:sz w:val="24"/>
          <w:szCs w:val="24"/>
          <w:lang w:eastAsia="bg-BG"/>
        </w:rPr>
        <w:t>скъпоструващи антибиотици</w:t>
      </w:r>
      <w:r w:rsidR="000E7A3E">
        <w:rPr>
          <w:rFonts w:ascii="Times New Roman" w:eastAsia="Times New Roman" w:hAnsi="Times New Roman" w:cs="Times New Roman"/>
          <w:color w:val="000000"/>
          <w:sz w:val="24"/>
          <w:szCs w:val="24"/>
          <w:lang w:eastAsia="bg-BG"/>
        </w:rPr>
        <w:t>,</w:t>
      </w:r>
      <w:r w:rsidR="00CF0BBC" w:rsidRPr="00997C23">
        <w:rPr>
          <w:rFonts w:ascii="Times New Roman" w:eastAsia="Times New Roman" w:hAnsi="Times New Roman" w:cs="Times New Roman"/>
          <w:color w:val="000000"/>
          <w:sz w:val="24"/>
          <w:szCs w:val="24"/>
          <w:lang w:eastAsia="bg-BG"/>
        </w:rPr>
        <w:t xml:space="preserve"> за лечението на проблемни полирезистентни инфекции, но да ги прилага разумно. От друга страна,</w:t>
      </w:r>
      <w:r w:rsidR="00B577DA">
        <w:rPr>
          <w:rFonts w:ascii="Times New Roman" w:eastAsia="Times New Roman" w:hAnsi="Times New Roman" w:cs="Times New Roman"/>
          <w:color w:val="000000"/>
          <w:sz w:val="24"/>
          <w:szCs w:val="24"/>
          <w:lang w:eastAsia="bg-BG"/>
        </w:rPr>
        <w:t xml:space="preserve"> следва</w:t>
      </w:r>
      <w:r w:rsidR="00CF0BBC" w:rsidRPr="00997C23">
        <w:rPr>
          <w:rFonts w:ascii="Times New Roman" w:eastAsia="Times New Roman" w:hAnsi="Times New Roman" w:cs="Times New Roman"/>
          <w:color w:val="000000"/>
          <w:sz w:val="24"/>
          <w:szCs w:val="24"/>
          <w:lang w:eastAsia="bg-BG"/>
        </w:rPr>
        <w:t xml:space="preserve"> </w:t>
      </w:r>
      <w:r w:rsidR="00B932F4" w:rsidRPr="00997C23">
        <w:rPr>
          <w:rFonts w:ascii="Times New Roman" w:eastAsia="Times New Roman" w:hAnsi="Times New Roman" w:cs="Times New Roman"/>
          <w:color w:val="000000"/>
          <w:sz w:val="24"/>
          <w:szCs w:val="24"/>
          <w:lang w:eastAsia="bg-BG"/>
        </w:rPr>
        <w:t xml:space="preserve">да се използват </w:t>
      </w:r>
      <w:r w:rsidR="00CF0BBC" w:rsidRPr="00997C23">
        <w:rPr>
          <w:rFonts w:ascii="Times New Roman" w:eastAsia="Times New Roman" w:hAnsi="Times New Roman" w:cs="Times New Roman"/>
          <w:color w:val="000000"/>
          <w:sz w:val="24"/>
          <w:szCs w:val="24"/>
          <w:lang w:eastAsia="bg-BG"/>
        </w:rPr>
        <w:t>антибиотици</w:t>
      </w:r>
      <w:r w:rsidR="00B932F4" w:rsidRPr="00997C23">
        <w:rPr>
          <w:rFonts w:ascii="Times New Roman" w:eastAsia="Times New Roman" w:hAnsi="Times New Roman" w:cs="Times New Roman"/>
          <w:color w:val="000000"/>
          <w:sz w:val="24"/>
          <w:szCs w:val="24"/>
          <w:lang w:eastAsia="bg-BG"/>
        </w:rPr>
        <w:t xml:space="preserve"> с доказана ефективност</w:t>
      </w:r>
      <w:r w:rsidR="00CF0BBC" w:rsidRPr="00997C23">
        <w:rPr>
          <w:rFonts w:ascii="Times New Roman" w:eastAsia="Times New Roman" w:hAnsi="Times New Roman" w:cs="Times New Roman"/>
          <w:color w:val="000000"/>
          <w:sz w:val="24"/>
          <w:szCs w:val="24"/>
          <w:lang w:eastAsia="bg-BG"/>
        </w:rPr>
        <w:t xml:space="preserve"> като напр. </w:t>
      </w:r>
      <w:r w:rsidR="00A94DC7" w:rsidRPr="00997C23">
        <w:rPr>
          <w:rFonts w:ascii="Times New Roman" w:eastAsia="Times New Roman" w:hAnsi="Times New Roman" w:cs="Times New Roman"/>
          <w:color w:val="000000"/>
          <w:sz w:val="24"/>
          <w:szCs w:val="24"/>
          <w:lang w:val="en-US" w:eastAsia="bg-BG"/>
        </w:rPr>
        <w:t>P</w:t>
      </w:r>
      <w:r w:rsidR="00CF0BBC" w:rsidRPr="00997C23">
        <w:rPr>
          <w:rFonts w:ascii="Times New Roman" w:eastAsia="Times New Roman" w:hAnsi="Times New Roman" w:cs="Times New Roman"/>
          <w:color w:val="000000"/>
          <w:sz w:val="24"/>
          <w:szCs w:val="24"/>
          <w:lang w:val="en-US" w:eastAsia="bg-BG"/>
        </w:rPr>
        <w:t>enicillin</w:t>
      </w:r>
      <w:r w:rsidR="00260C96">
        <w:rPr>
          <w:rFonts w:ascii="Times New Roman" w:eastAsia="Times New Roman" w:hAnsi="Times New Roman" w:cs="Times New Roman"/>
          <w:color w:val="000000"/>
          <w:sz w:val="24"/>
          <w:szCs w:val="24"/>
          <w:lang w:val="en-US" w:eastAsia="bg-BG"/>
        </w:rPr>
        <w:t xml:space="preserve"> V </w:t>
      </w:r>
      <w:r w:rsidR="00260C96">
        <w:rPr>
          <w:rFonts w:ascii="Times New Roman" w:eastAsia="Times New Roman" w:hAnsi="Times New Roman" w:cs="Times New Roman"/>
          <w:color w:val="000000"/>
          <w:sz w:val="24"/>
          <w:szCs w:val="24"/>
          <w:lang w:val="en-US" w:eastAsia="bg-BG"/>
        </w:rPr>
        <w:lastRenderedPageBreak/>
        <w:t>(phenoxymethylpenicillin)</w:t>
      </w:r>
      <w:r w:rsidR="00CF0BBC" w:rsidRPr="00997C23">
        <w:rPr>
          <w:rFonts w:ascii="Times New Roman" w:eastAsia="Times New Roman" w:hAnsi="Times New Roman" w:cs="Times New Roman"/>
          <w:color w:val="000000"/>
          <w:sz w:val="24"/>
          <w:szCs w:val="24"/>
          <w:lang w:eastAsia="bg-BG"/>
        </w:rPr>
        <w:t xml:space="preserve">, </w:t>
      </w:r>
      <w:r w:rsidR="00B932F4" w:rsidRPr="00997C23">
        <w:rPr>
          <w:rFonts w:ascii="Times New Roman" w:eastAsia="Times New Roman" w:hAnsi="Times New Roman" w:cs="Times New Roman"/>
          <w:color w:val="000000"/>
          <w:sz w:val="24"/>
          <w:szCs w:val="24"/>
          <w:lang w:eastAsia="bg-BG"/>
        </w:rPr>
        <w:t>който е</w:t>
      </w:r>
      <w:r w:rsidR="00CF0BBC" w:rsidRPr="00997C23">
        <w:rPr>
          <w:rFonts w:ascii="Times New Roman" w:eastAsia="Times New Roman" w:hAnsi="Times New Roman" w:cs="Times New Roman"/>
          <w:color w:val="000000"/>
          <w:sz w:val="24"/>
          <w:szCs w:val="24"/>
          <w:lang w:eastAsia="bg-BG"/>
        </w:rPr>
        <w:t xml:space="preserve"> първо средство на избор за лечение на стрептококови тонзилити и други инфекции, причинени от/с </w:t>
      </w:r>
      <w:r w:rsidR="00CF0BBC" w:rsidRPr="00997C23">
        <w:rPr>
          <w:rFonts w:ascii="Times New Roman" w:eastAsia="Times New Roman" w:hAnsi="Times New Roman" w:cs="Times New Roman"/>
          <w:color w:val="000000"/>
          <w:sz w:val="24"/>
          <w:szCs w:val="24"/>
          <w:lang w:val="en-US" w:eastAsia="bg-BG"/>
        </w:rPr>
        <w:t xml:space="preserve">β- </w:t>
      </w:r>
      <w:r w:rsidR="00CF0BBC" w:rsidRPr="00997C23">
        <w:rPr>
          <w:rFonts w:ascii="Times New Roman" w:eastAsia="Times New Roman" w:hAnsi="Times New Roman" w:cs="Times New Roman"/>
          <w:color w:val="000000"/>
          <w:sz w:val="24"/>
          <w:szCs w:val="24"/>
          <w:lang w:eastAsia="bg-BG"/>
        </w:rPr>
        <w:t xml:space="preserve">хемолитичен </w:t>
      </w:r>
      <w:r w:rsidR="00CF0BBC" w:rsidRPr="00997C23">
        <w:rPr>
          <w:rFonts w:ascii="Times New Roman" w:eastAsia="Times New Roman" w:hAnsi="Times New Roman" w:cs="Times New Roman"/>
          <w:i/>
          <w:color w:val="000000"/>
          <w:sz w:val="24"/>
          <w:szCs w:val="24"/>
          <w:lang w:val="en-US" w:eastAsia="bg-BG"/>
        </w:rPr>
        <w:t>Streptococcus</w:t>
      </w:r>
      <w:r w:rsidR="00CF0BBC" w:rsidRPr="00997C23">
        <w:rPr>
          <w:rFonts w:ascii="Times New Roman" w:eastAsia="Times New Roman" w:hAnsi="Times New Roman" w:cs="Times New Roman"/>
          <w:color w:val="000000"/>
          <w:sz w:val="24"/>
          <w:szCs w:val="24"/>
          <w:lang w:val="en-US" w:eastAsia="bg-BG"/>
        </w:rPr>
        <w:t xml:space="preserve"> </w:t>
      </w:r>
      <w:r w:rsidR="00CF0BBC" w:rsidRPr="002F050F">
        <w:rPr>
          <w:rFonts w:ascii="Times New Roman" w:eastAsia="Times New Roman" w:hAnsi="Times New Roman" w:cs="Times New Roman"/>
          <w:i/>
          <w:color w:val="000000"/>
          <w:sz w:val="24"/>
          <w:szCs w:val="24"/>
          <w:lang w:val="en-US" w:eastAsia="bg-BG"/>
        </w:rPr>
        <w:t>gr.</w:t>
      </w:r>
      <w:r w:rsidR="00CF0BBC" w:rsidRPr="00997C23">
        <w:rPr>
          <w:rFonts w:ascii="Times New Roman" w:eastAsia="Times New Roman" w:hAnsi="Times New Roman" w:cs="Times New Roman"/>
          <w:color w:val="000000"/>
          <w:sz w:val="24"/>
          <w:szCs w:val="24"/>
          <w:lang w:val="en-US" w:eastAsia="bg-BG"/>
        </w:rPr>
        <w:t xml:space="preserve"> </w:t>
      </w:r>
      <w:r w:rsidR="00CF0BBC" w:rsidRPr="002F050F">
        <w:rPr>
          <w:rFonts w:ascii="Times New Roman" w:eastAsia="Times New Roman" w:hAnsi="Times New Roman" w:cs="Times New Roman"/>
          <w:i/>
          <w:color w:val="000000"/>
          <w:sz w:val="24"/>
          <w:szCs w:val="24"/>
          <w:lang w:val="en-US" w:eastAsia="bg-BG"/>
        </w:rPr>
        <w:t>A</w:t>
      </w:r>
      <w:r w:rsidR="00CF0BBC" w:rsidRPr="00997C23">
        <w:rPr>
          <w:rFonts w:ascii="Times New Roman" w:eastAsia="Times New Roman" w:hAnsi="Times New Roman" w:cs="Times New Roman"/>
          <w:color w:val="000000"/>
          <w:sz w:val="24"/>
          <w:szCs w:val="24"/>
          <w:lang w:val="en-US" w:eastAsia="bg-BG"/>
        </w:rPr>
        <w:t xml:space="preserve"> (</w:t>
      </w:r>
      <w:r w:rsidR="00CF0BBC" w:rsidRPr="00997C23">
        <w:rPr>
          <w:rFonts w:ascii="Times New Roman" w:eastAsia="Times New Roman" w:hAnsi="Times New Roman" w:cs="Times New Roman"/>
          <w:i/>
          <w:color w:val="000000"/>
          <w:sz w:val="24"/>
          <w:szCs w:val="24"/>
          <w:lang w:val="en-US" w:eastAsia="bg-BG"/>
        </w:rPr>
        <w:t xml:space="preserve">S. </w:t>
      </w:r>
      <w:r w:rsidR="00CF0BBC" w:rsidRPr="006B155C">
        <w:rPr>
          <w:rFonts w:ascii="Times New Roman" w:eastAsia="Times New Roman" w:hAnsi="Times New Roman" w:cs="Times New Roman"/>
          <w:i/>
          <w:color w:val="000000"/>
          <w:sz w:val="24"/>
          <w:szCs w:val="24"/>
          <w:lang w:val="en-US" w:eastAsia="bg-BG"/>
        </w:rPr>
        <w:t>pyogenes</w:t>
      </w:r>
      <w:r w:rsidR="00CF0BBC" w:rsidRPr="006B155C">
        <w:rPr>
          <w:rFonts w:ascii="Times New Roman" w:eastAsia="Times New Roman" w:hAnsi="Times New Roman" w:cs="Times New Roman"/>
          <w:color w:val="000000"/>
          <w:sz w:val="24"/>
          <w:szCs w:val="24"/>
          <w:lang w:val="en-US" w:eastAsia="bg-BG"/>
        </w:rPr>
        <w:t>)</w:t>
      </w:r>
      <w:r w:rsidR="000910C6" w:rsidRPr="006B155C">
        <w:rPr>
          <w:rFonts w:ascii="Times New Roman" w:eastAsia="Times New Roman" w:hAnsi="Times New Roman" w:cs="Times New Roman"/>
          <w:color w:val="000000"/>
          <w:sz w:val="24"/>
          <w:szCs w:val="24"/>
          <w:lang w:eastAsia="bg-BG"/>
        </w:rPr>
        <w:t>.</w:t>
      </w:r>
      <w:r w:rsidR="000E56BC" w:rsidRPr="006B155C">
        <w:rPr>
          <w:rFonts w:ascii="Times New Roman" w:eastAsia="Times New Roman" w:hAnsi="Times New Roman" w:cs="Times New Roman"/>
          <w:color w:val="000000"/>
          <w:sz w:val="24"/>
          <w:szCs w:val="24"/>
          <w:lang w:eastAsia="bg-BG"/>
        </w:rPr>
        <w:t xml:space="preserve"> </w:t>
      </w:r>
      <w:r w:rsidR="003C6AD0">
        <w:rPr>
          <w:rFonts w:ascii="Times New Roman" w:eastAsia="Times New Roman" w:hAnsi="Times New Roman" w:cs="Times New Roman"/>
          <w:color w:val="000000"/>
          <w:sz w:val="24"/>
          <w:szCs w:val="24"/>
          <w:lang w:eastAsia="bg-BG"/>
        </w:rPr>
        <w:t>В крайна сметка</w:t>
      </w:r>
      <w:r w:rsidR="000E7A3E">
        <w:rPr>
          <w:rFonts w:ascii="Times New Roman" w:eastAsia="Times New Roman" w:hAnsi="Times New Roman" w:cs="Times New Roman"/>
          <w:color w:val="000000"/>
          <w:sz w:val="24"/>
          <w:szCs w:val="24"/>
          <w:lang w:eastAsia="bg-BG"/>
        </w:rPr>
        <w:t>,</w:t>
      </w:r>
      <w:r w:rsidR="00C570E1" w:rsidRPr="00997C23">
        <w:rPr>
          <w:rFonts w:ascii="Times New Roman" w:eastAsia="Times New Roman" w:hAnsi="Times New Roman" w:cs="Times New Roman"/>
          <w:color w:val="000000"/>
          <w:sz w:val="24"/>
          <w:szCs w:val="24"/>
          <w:lang w:eastAsia="bg-BG"/>
        </w:rPr>
        <w:t xml:space="preserve"> </w:t>
      </w:r>
      <w:r w:rsidR="000910C6" w:rsidRPr="00997C23">
        <w:rPr>
          <w:rFonts w:ascii="Times New Roman" w:eastAsia="Times New Roman" w:hAnsi="Times New Roman" w:cs="Times New Roman"/>
          <w:color w:val="000000"/>
          <w:sz w:val="24"/>
          <w:szCs w:val="24"/>
          <w:lang w:eastAsia="bg-BG"/>
        </w:rPr>
        <w:t xml:space="preserve">със засилване на контрола по прилагането им </w:t>
      </w:r>
      <w:r w:rsidR="003C6AD0">
        <w:rPr>
          <w:rFonts w:ascii="Times New Roman" w:eastAsia="Times New Roman" w:hAnsi="Times New Roman" w:cs="Times New Roman"/>
          <w:color w:val="000000"/>
          <w:sz w:val="24"/>
          <w:szCs w:val="24"/>
          <w:lang w:eastAsia="bg-BG"/>
        </w:rPr>
        <w:t>се цели</w:t>
      </w:r>
      <w:r w:rsidR="000910C6" w:rsidRPr="00997C23">
        <w:rPr>
          <w:rFonts w:ascii="Times New Roman" w:eastAsia="Times New Roman" w:hAnsi="Times New Roman" w:cs="Times New Roman"/>
          <w:color w:val="000000"/>
          <w:sz w:val="24"/>
          <w:szCs w:val="24"/>
          <w:lang w:eastAsia="bg-BG"/>
        </w:rPr>
        <w:t xml:space="preserve"> всеки пациент да получи адекватн</w:t>
      </w:r>
      <w:r w:rsidR="00392009" w:rsidRPr="00997C23">
        <w:rPr>
          <w:rFonts w:ascii="Times New Roman" w:eastAsia="Times New Roman" w:hAnsi="Times New Roman" w:cs="Times New Roman"/>
          <w:color w:val="000000"/>
          <w:sz w:val="24"/>
          <w:szCs w:val="24"/>
          <w:lang w:eastAsia="bg-BG"/>
        </w:rPr>
        <w:t>а</w:t>
      </w:r>
      <w:r w:rsidR="000910C6" w:rsidRPr="00997C23">
        <w:rPr>
          <w:rFonts w:ascii="Times New Roman" w:eastAsia="Times New Roman" w:hAnsi="Times New Roman" w:cs="Times New Roman"/>
          <w:color w:val="000000"/>
          <w:sz w:val="24"/>
          <w:szCs w:val="24"/>
          <w:lang w:eastAsia="bg-BG"/>
        </w:rPr>
        <w:t xml:space="preserve"> антибиотична т</w:t>
      </w:r>
      <w:r w:rsidR="00392009" w:rsidRPr="00997C23">
        <w:rPr>
          <w:rFonts w:ascii="Times New Roman" w:eastAsia="Times New Roman" w:hAnsi="Times New Roman" w:cs="Times New Roman"/>
          <w:color w:val="000000"/>
          <w:sz w:val="24"/>
          <w:szCs w:val="24"/>
          <w:lang w:eastAsia="bg-BG"/>
        </w:rPr>
        <w:t>ерапия, но с минимален риск от създаване на резистентни микроорганизми</w:t>
      </w:r>
      <w:r w:rsidR="000910C6" w:rsidRPr="00997C23">
        <w:rPr>
          <w:rFonts w:ascii="Times New Roman" w:eastAsia="Times New Roman" w:hAnsi="Times New Roman" w:cs="Times New Roman"/>
          <w:color w:val="000000"/>
          <w:sz w:val="24"/>
          <w:szCs w:val="24"/>
          <w:lang w:eastAsia="bg-BG"/>
        </w:rPr>
        <w:t xml:space="preserve">. </w:t>
      </w:r>
    </w:p>
    <w:p w14:paraId="3523D837" w14:textId="77777777" w:rsidR="00597C4C" w:rsidRPr="00997C23" w:rsidRDefault="00CF0BBC" w:rsidP="00E843C8">
      <w:pPr>
        <w:spacing w:after="0" w:line="360" w:lineRule="auto"/>
        <w:ind w:firstLine="851"/>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b/>
          <w:color w:val="000000"/>
          <w:sz w:val="24"/>
          <w:szCs w:val="24"/>
          <w:lang w:eastAsia="bg-BG"/>
        </w:rPr>
        <w:t>Сред основните дейности за ограничение на антибиотичната</w:t>
      </w:r>
      <w:r w:rsidR="00ED6724" w:rsidRPr="00997C23">
        <w:rPr>
          <w:rFonts w:ascii="Times New Roman" w:eastAsia="Times New Roman" w:hAnsi="Times New Roman" w:cs="Times New Roman"/>
          <w:b/>
          <w:color w:val="000000"/>
          <w:sz w:val="24"/>
          <w:szCs w:val="24"/>
          <w:lang w:eastAsia="bg-BG"/>
        </w:rPr>
        <w:t xml:space="preserve"> </w:t>
      </w:r>
      <w:r w:rsidRPr="00997C23">
        <w:rPr>
          <w:rFonts w:ascii="Times New Roman" w:eastAsia="Times New Roman" w:hAnsi="Times New Roman" w:cs="Times New Roman"/>
          <w:b/>
          <w:color w:val="000000"/>
          <w:sz w:val="24"/>
          <w:szCs w:val="24"/>
          <w:lang w:eastAsia="bg-BG"/>
        </w:rPr>
        <w:t xml:space="preserve">резистентност, </w:t>
      </w:r>
      <w:r w:rsidRPr="00997C23">
        <w:rPr>
          <w:rFonts w:ascii="Times New Roman" w:eastAsia="Times New Roman" w:hAnsi="Times New Roman" w:cs="Times New Roman"/>
          <w:color w:val="000000"/>
          <w:sz w:val="24"/>
          <w:szCs w:val="24"/>
          <w:lang w:eastAsia="bg-BG"/>
        </w:rPr>
        <w:t>вкл. според изискванията на СЗО,</w:t>
      </w:r>
      <w:r w:rsidRPr="001D2D47">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са:</w:t>
      </w:r>
      <w:r w:rsidR="00970CFB" w:rsidRPr="00997C23" w:rsidDel="00970CFB">
        <w:rPr>
          <w:rFonts w:ascii="Times New Roman" w:eastAsia="Times New Roman" w:hAnsi="Times New Roman" w:cs="Times New Roman"/>
          <w:color w:val="000000"/>
          <w:sz w:val="24"/>
          <w:szCs w:val="24"/>
          <w:lang w:eastAsia="bg-BG"/>
        </w:rPr>
        <w:t xml:space="preserve"> </w:t>
      </w:r>
    </w:p>
    <w:p w14:paraId="3B2A94D7" w14:textId="77777777" w:rsidR="00985427" w:rsidRPr="00997C23" w:rsidRDefault="00CF0BBC" w:rsidP="005A4C68">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sym w:font="Symbol" w:char="F0B7"/>
      </w:r>
      <w:r w:rsidRPr="00997C23">
        <w:rPr>
          <w:rFonts w:ascii="Times New Roman" w:eastAsia="Times New Roman" w:hAnsi="Times New Roman" w:cs="Times New Roman"/>
          <w:color w:val="000000"/>
          <w:sz w:val="24"/>
          <w:szCs w:val="24"/>
          <w:lang w:eastAsia="bg-BG"/>
        </w:rPr>
        <w:t xml:space="preserve"> Увеличаване на осведомеността на обществото и на знанията и компетентностите на медицинските специалисти </w:t>
      </w:r>
      <w:r w:rsidRPr="00997C23">
        <w:rPr>
          <w:rFonts w:ascii="Times New Roman" w:eastAsia="Times New Roman" w:hAnsi="Times New Roman" w:cs="Times New Roman"/>
          <w:color w:val="000000"/>
          <w:sz w:val="24"/>
          <w:szCs w:val="24"/>
          <w:lang w:val="en-US" w:eastAsia="bg-BG"/>
        </w:rPr>
        <w:t>(</w:t>
      </w:r>
      <w:r w:rsidRPr="00997C23">
        <w:rPr>
          <w:rFonts w:ascii="Times New Roman" w:eastAsia="Times New Roman" w:hAnsi="Times New Roman" w:cs="Times New Roman"/>
          <w:color w:val="000000"/>
          <w:sz w:val="24"/>
          <w:szCs w:val="24"/>
          <w:lang w:eastAsia="bg-BG"/>
        </w:rPr>
        <w:t>образование и обучение</w:t>
      </w:r>
      <w:r w:rsidRPr="00997C23">
        <w:rPr>
          <w:rFonts w:ascii="Times New Roman" w:eastAsia="Times New Roman" w:hAnsi="Times New Roman" w:cs="Times New Roman"/>
          <w:color w:val="000000"/>
          <w:sz w:val="24"/>
          <w:szCs w:val="24"/>
          <w:lang w:val="en-US" w:eastAsia="bg-BG"/>
        </w:rPr>
        <w:t>)</w:t>
      </w:r>
      <w:r w:rsidR="00970CFB" w:rsidRPr="00997C23">
        <w:rPr>
          <w:rFonts w:ascii="Times New Roman" w:eastAsia="Times New Roman" w:hAnsi="Times New Roman" w:cs="Times New Roman"/>
          <w:color w:val="000000"/>
          <w:sz w:val="24"/>
          <w:szCs w:val="24"/>
          <w:lang w:eastAsia="bg-BG"/>
        </w:rPr>
        <w:t>;</w:t>
      </w:r>
      <w:r w:rsidR="00985427" w:rsidRPr="00997C23">
        <w:rPr>
          <w:rFonts w:ascii="Times New Roman" w:eastAsia="Times New Roman" w:hAnsi="Times New Roman" w:cs="Times New Roman"/>
          <w:color w:val="000000"/>
          <w:sz w:val="24"/>
          <w:szCs w:val="24"/>
          <w:lang w:eastAsia="bg-BG"/>
        </w:rPr>
        <w:t xml:space="preserve"> </w:t>
      </w:r>
    </w:p>
    <w:p w14:paraId="6B9CD44B" w14:textId="77777777" w:rsidR="00CF0BBC" w:rsidRPr="005A4C68" w:rsidRDefault="005A4C68" w:rsidP="005A4C68">
      <w:pPr>
        <w:spacing w:after="0" w:line="360" w:lineRule="auto"/>
        <w:ind w:firstLine="709"/>
        <w:jc w:val="both"/>
        <w:rPr>
          <w:rFonts w:ascii="Times New Roman" w:eastAsia="Times New Roman" w:hAnsi="Times New Roman" w:cs="Times New Roman"/>
          <w:color w:val="000000"/>
          <w:sz w:val="24"/>
          <w:szCs w:val="24"/>
          <w:lang w:eastAsia="bg-BG"/>
        </w:rPr>
      </w:pPr>
      <w:r w:rsidRPr="005A4C68">
        <w:rPr>
          <w:rFonts w:ascii="Times New Roman" w:eastAsia="Times New Roman" w:hAnsi="Times New Roman" w:cs="Times New Roman"/>
          <w:color w:val="000000"/>
          <w:sz w:val="24"/>
          <w:szCs w:val="24"/>
          <w:lang w:eastAsia="bg-BG"/>
        </w:rPr>
        <w:sym w:font="Symbol" w:char="F0B7"/>
      </w:r>
      <w:r w:rsidRPr="005A4C68">
        <w:rPr>
          <w:rFonts w:ascii="Times New Roman" w:eastAsia="Times New Roman" w:hAnsi="Times New Roman" w:cs="Times New Roman"/>
          <w:color w:val="000000"/>
          <w:sz w:val="24"/>
          <w:szCs w:val="24"/>
          <w:lang w:eastAsia="bg-BG"/>
        </w:rPr>
        <w:t xml:space="preserve"> </w:t>
      </w:r>
      <w:r w:rsidR="00CF0BBC" w:rsidRPr="005A4C68">
        <w:rPr>
          <w:rFonts w:ascii="Times New Roman" w:eastAsia="Times New Roman" w:hAnsi="Times New Roman" w:cs="Times New Roman"/>
          <w:color w:val="000000"/>
          <w:sz w:val="24"/>
          <w:szCs w:val="24"/>
          <w:lang w:eastAsia="bg-BG"/>
        </w:rPr>
        <w:t>Провеждане на системен мониторинг и надзор на АМР</w:t>
      </w:r>
      <w:r w:rsidR="00970CFB" w:rsidRPr="005A4C68">
        <w:rPr>
          <w:rFonts w:ascii="Times New Roman" w:eastAsia="Times New Roman" w:hAnsi="Times New Roman" w:cs="Times New Roman"/>
          <w:color w:val="000000"/>
          <w:sz w:val="24"/>
          <w:szCs w:val="24"/>
          <w:lang w:eastAsia="bg-BG"/>
        </w:rPr>
        <w:t>;</w:t>
      </w:r>
    </w:p>
    <w:p w14:paraId="7A89396E" w14:textId="77777777" w:rsidR="00C570E1" w:rsidRPr="005A4C68" w:rsidRDefault="005A4C68" w:rsidP="005A4C68">
      <w:pPr>
        <w:spacing w:after="0" w:line="360" w:lineRule="auto"/>
        <w:ind w:firstLine="709"/>
        <w:jc w:val="both"/>
        <w:rPr>
          <w:rFonts w:ascii="Times New Roman" w:eastAsia="Times New Roman" w:hAnsi="Times New Roman" w:cs="Times New Roman"/>
          <w:color w:val="000000"/>
          <w:sz w:val="24"/>
          <w:szCs w:val="24"/>
          <w:lang w:eastAsia="bg-BG"/>
        </w:rPr>
      </w:pPr>
      <w:r w:rsidRPr="005A4C68">
        <w:rPr>
          <w:rFonts w:ascii="Times New Roman" w:eastAsia="Times New Roman" w:hAnsi="Times New Roman" w:cs="Times New Roman"/>
          <w:color w:val="000000"/>
          <w:sz w:val="24"/>
          <w:szCs w:val="24"/>
          <w:lang w:eastAsia="bg-BG"/>
        </w:rPr>
        <w:sym w:font="Symbol" w:char="F0B7"/>
      </w:r>
      <w:r w:rsidRPr="005A4C68">
        <w:rPr>
          <w:rFonts w:ascii="Times New Roman" w:eastAsia="Times New Roman" w:hAnsi="Times New Roman" w:cs="Times New Roman"/>
          <w:color w:val="000000"/>
          <w:sz w:val="24"/>
          <w:szCs w:val="24"/>
          <w:lang w:eastAsia="bg-BG"/>
        </w:rPr>
        <w:t xml:space="preserve"> </w:t>
      </w:r>
      <w:r w:rsidR="002F050F">
        <w:rPr>
          <w:rFonts w:ascii="Times New Roman" w:eastAsia="Times New Roman" w:hAnsi="Times New Roman" w:cs="Times New Roman"/>
          <w:color w:val="000000"/>
          <w:sz w:val="24"/>
          <w:szCs w:val="24"/>
          <w:lang w:eastAsia="bg-BG"/>
        </w:rPr>
        <w:t>Усъвършенстване</w:t>
      </w:r>
      <w:r w:rsidR="00CF0BBC" w:rsidRPr="005A4C68">
        <w:rPr>
          <w:rFonts w:ascii="Times New Roman" w:eastAsia="Times New Roman" w:hAnsi="Times New Roman" w:cs="Times New Roman"/>
          <w:color w:val="000000"/>
          <w:sz w:val="24"/>
          <w:szCs w:val="24"/>
          <w:lang w:eastAsia="bg-BG"/>
        </w:rPr>
        <w:t xml:space="preserve"> на прилагането на антибиотици при хора и животни и въвеждане на </w:t>
      </w:r>
      <w:r w:rsidR="00597C4C" w:rsidRPr="005A4C68">
        <w:rPr>
          <w:rFonts w:ascii="Times New Roman" w:eastAsia="Times New Roman" w:hAnsi="Times New Roman" w:cs="Times New Roman"/>
          <w:color w:val="000000"/>
          <w:sz w:val="24"/>
          <w:szCs w:val="24"/>
          <w:lang w:eastAsia="bg-BG"/>
        </w:rPr>
        <w:t xml:space="preserve">т. нар. </w:t>
      </w:r>
      <w:r w:rsidR="001D2D47" w:rsidRPr="005A4C68">
        <w:rPr>
          <w:rFonts w:ascii="Times New Roman" w:eastAsia="Times New Roman" w:hAnsi="Times New Roman" w:cs="Times New Roman"/>
          <w:color w:val="000000"/>
          <w:sz w:val="24"/>
          <w:szCs w:val="24"/>
          <w:lang w:eastAsia="bg-BG"/>
        </w:rPr>
        <w:t>„Antimicrobial stewardship“</w:t>
      </w:r>
      <w:r w:rsidR="002F050F">
        <w:rPr>
          <w:rFonts w:ascii="Times New Roman" w:eastAsia="Times New Roman" w:hAnsi="Times New Roman" w:cs="Times New Roman"/>
          <w:color w:val="000000"/>
          <w:sz w:val="24"/>
          <w:szCs w:val="24"/>
          <w:lang w:eastAsia="bg-BG"/>
        </w:rPr>
        <w:t xml:space="preserve"> </w:t>
      </w:r>
      <w:r w:rsidR="00CF0BBC" w:rsidRPr="005A4C68">
        <w:rPr>
          <w:rFonts w:ascii="Times New Roman" w:eastAsia="Times New Roman" w:hAnsi="Times New Roman" w:cs="Times New Roman"/>
          <w:color w:val="000000"/>
          <w:sz w:val="24"/>
          <w:szCs w:val="24"/>
          <w:lang w:eastAsia="bg-BG"/>
        </w:rPr>
        <w:t>- правителствено</w:t>
      </w:r>
      <w:r w:rsidR="003C4B4C" w:rsidRPr="005A4C68">
        <w:rPr>
          <w:rFonts w:ascii="Times New Roman" w:eastAsia="Times New Roman" w:hAnsi="Times New Roman" w:cs="Times New Roman"/>
          <w:color w:val="000000"/>
          <w:sz w:val="24"/>
          <w:szCs w:val="24"/>
          <w:lang w:eastAsia="bg-BG"/>
        </w:rPr>
        <w:t xml:space="preserve"> </w:t>
      </w:r>
      <w:r w:rsidR="00CF0BBC" w:rsidRPr="005A4C68">
        <w:rPr>
          <w:rFonts w:ascii="Times New Roman" w:eastAsia="Times New Roman" w:hAnsi="Times New Roman" w:cs="Times New Roman"/>
          <w:color w:val="000000"/>
          <w:sz w:val="24"/>
          <w:szCs w:val="24"/>
          <w:lang w:eastAsia="bg-BG"/>
        </w:rPr>
        <w:t xml:space="preserve">ангажирана и контролирана стратегия (механизъм) за </w:t>
      </w:r>
      <w:r w:rsidR="00C570E1" w:rsidRPr="005A4C68">
        <w:rPr>
          <w:rFonts w:ascii="Times New Roman" w:eastAsia="Times New Roman" w:hAnsi="Times New Roman" w:cs="Times New Roman"/>
          <w:color w:val="000000"/>
          <w:sz w:val="24"/>
          <w:szCs w:val="24"/>
          <w:lang w:eastAsia="bg-BG"/>
        </w:rPr>
        <w:t xml:space="preserve">управление </w:t>
      </w:r>
      <w:r w:rsidR="00CF0BBC" w:rsidRPr="005A4C68">
        <w:rPr>
          <w:rFonts w:ascii="Times New Roman" w:eastAsia="Times New Roman" w:hAnsi="Times New Roman" w:cs="Times New Roman"/>
          <w:color w:val="000000"/>
          <w:sz w:val="24"/>
          <w:szCs w:val="24"/>
          <w:lang w:eastAsia="bg-BG"/>
        </w:rPr>
        <w:t>и усъвършенстване на антибиотичната политика</w:t>
      </w:r>
      <w:r w:rsidR="00C570E1" w:rsidRPr="005A4C68">
        <w:rPr>
          <w:rFonts w:ascii="Times New Roman" w:eastAsia="Times New Roman" w:hAnsi="Times New Roman" w:cs="Times New Roman"/>
          <w:color w:val="000000"/>
          <w:sz w:val="24"/>
          <w:szCs w:val="24"/>
          <w:lang w:eastAsia="bg-BG"/>
        </w:rPr>
        <w:t>,</w:t>
      </w:r>
      <w:r w:rsidR="00CF0BBC" w:rsidRPr="005A4C68">
        <w:rPr>
          <w:rFonts w:ascii="Times New Roman" w:eastAsia="Times New Roman" w:hAnsi="Times New Roman" w:cs="Times New Roman"/>
          <w:color w:val="000000"/>
          <w:sz w:val="24"/>
          <w:szCs w:val="24"/>
          <w:lang w:eastAsia="bg-BG"/>
        </w:rPr>
        <w:t xml:space="preserve"> предоставяне на оптималния антибиотичен режим за пациента, ограничаване на антибиотичната резистентност и по-ниски здравни разходи.</w:t>
      </w:r>
      <w:r w:rsidR="00985427" w:rsidRPr="005A4C68">
        <w:rPr>
          <w:rFonts w:ascii="Times New Roman" w:eastAsia="Times New Roman" w:hAnsi="Times New Roman" w:cs="Times New Roman"/>
          <w:color w:val="000000"/>
          <w:sz w:val="24"/>
          <w:szCs w:val="24"/>
          <w:lang w:eastAsia="bg-BG"/>
        </w:rPr>
        <w:t xml:space="preserve"> </w:t>
      </w:r>
    </w:p>
    <w:p w14:paraId="7D6D1849" w14:textId="77777777" w:rsidR="006C1BCE" w:rsidRPr="005A4C68" w:rsidRDefault="005A4C68" w:rsidP="005A4C68">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sym w:font="Symbol" w:char="F0B7"/>
      </w:r>
      <w:r w:rsidRPr="005A4C68">
        <w:rPr>
          <w:rFonts w:ascii="Times New Roman" w:eastAsia="Times New Roman" w:hAnsi="Times New Roman" w:cs="Times New Roman"/>
          <w:color w:val="000000"/>
          <w:sz w:val="24"/>
          <w:szCs w:val="24"/>
          <w:lang w:eastAsia="bg-BG"/>
        </w:rPr>
        <w:t xml:space="preserve"> </w:t>
      </w:r>
      <w:r w:rsidR="008B7147" w:rsidRPr="005A4C68">
        <w:rPr>
          <w:rFonts w:ascii="Times New Roman" w:eastAsia="Times New Roman" w:hAnsi="Times New Roman" w:cs="Times New Roman"/>
          <w:color w:val="000000"/>
          <w:sz w:val="24"/>
          <w:szCs w:val="24"/>
          <w:lang w:eastAsia="bg-BG"/>
        </w:rPr>
        <w:t xml:space="preserve">Оптимизиране на мерките по </w:t>
      </w:r>
      <w:r w:rsidR="00CE2B43" w:rsidRPr="005A4C68">
        <w:rPr>
          <w:rFonts w:ascii="Times New Roman" w:eastAsia="Times New Roman" w:hAnsi="Times New Roman" w:cs="Times New Roman"/>
          <w:color w:val="000000"/>
          <w:sz w:val="24"/>
          <w:szCs w:val="24"/>
          <w:lang w:eastAsia="bg-BG"/>
        </w:rPr>
        <w:t>к</w:t>
      </w:r>
      <w:r w:rsidR="008B7147" w:rsidRPr="005A4C68">
        <w:rPr>
          <w:rFonts w:ascii="Times New Roman" w:eastAsia="Times New Roman" w:hAnsi="Times New Roman" w:cs="Times New Roman"/>
          <w:color w:val="000000"/>
          <w:sz w:val="24"/>
          <w:szCs w:val="24"/>
          <w:lang w:eastAsia="bg-BG"/>
        </w:rPr>
        <w:t xml:space="preserve">онтрола </w:t>
      </w:r>
      <w:r w:rsidR="00F21B89" w:rsidRPr="005A4C68">
        <w:rPr>
          <w:rFonts w:ascii="Times New Roman" w:eastAsia="Times New Roman" w:hAnsi="Times New Roman" w:cs="Times New Roman"/>
          <w:color w:val="000000"/>
          <w:sz w:val="24"/>
          <w:szCs w:val="24"/>
          <w:lang w:eastAsia="bg-BG"/>
        </w:rPr>
        <w:t>и</w:t>
      </w:r>
      <w:r w:rsidR="00970CFB" w:rsidRPr="005A4C68">
        <w:rPr>
          <w:rFonts w:ascii="Times New Roman" w:eastAsia="Times New Roman" w:hAnsi="Times New Roman" w:cs="Times New Roman"/>
          <w:color w:val="000000"/>
          <w:sz w:val="24"/>
          <w:szCs w:val="24"/>
          <w:lang w:eastAsia="bg-BG"/>
        </w:rPr>
        <w:t xml:space="preserve"> </w:t>
      </w:r>
      <w:r w:rsidR="00F21B89" w:rsidRPr="005A4C68">
        <w:rPr>
          <w:rFonts w:ascii="Times New Roman" w:eastAsia="Times New Roman" w:hAnsi="Times New Roman" w:cs="Times New Roman"/>
          <w:color w:val="000000"/>
          <w:sz w:val="24"/>
          <w:szCs w:val="24"/>
          <w:lang w:eastAsia="bg-BG"/>
        </w:rPr>
        <w:t>превенцията</w:t>
      </w:r>
      <w:r w:rsidR="00A02220" w:rsidRPr="005A4C68">
        <w:rPr>
          <w:rFonts w:ascii="Times New Roman" w:eastAsia="Times New Roman" w:hAnsi="Times New Roman" w:cs="Times New Roman"/>
          <w:color w:val="000000"/>
          <w:sz w:val="24"/>
          <w:szCs w:val="24"/>
          <w:lang w:eastAsia="bg-BG"/>
        </w:rPr>
        <w:t xml:space="preserve"> на </w:t>
      </w:r>
      <w:r w:rsidR="00CF0BBC" w:rsidRPr="005A4C68">
        <w:rPr>
          <w:rFonts w:ascii="Times New Roman" w:eastAsia="Times New Roman" w:hAnsi="Times New Roman" w:cs="Times New Roman"/>
          <w:color w:val="000000"/>
          <w:sz w:val="24"/>
          <w:szCs w:val="24"/>
          <w:lang w:eastAsia="bg-BG"/>
        </w:rPr>
        <w:t>инфекциите</w:t>
      </w:r>
      <w:r w:rsidR="00354DA4">
        <w:rPr>
          <w:rFonts w:ascii="Times New Roman" w:eastAsia="Times New Roman" w:hAnsi="Times New Roman" w:cs="Times New Roman"/>
          <w:color w:val="000000"/>
          <w:sz w:val="24"/>
          <w:szCs w:val="24"/>
          <w:lang w:eastAsia="bg-BG"/>
        </w:rPr>
        <w:t xml:space="preserve"> чрез </w:t>
      </w:r>
      <w:r w:rsidR="00A02220" w:rsidRPr="005A4C68">
        <w:rPr>
          <w:rFonts w:ascii="Times New Roman" w:eastAsia="Times New Roman" w:hAnsi="Times New Roman" w:cs="Times New Roman"/>
          <w:color w:val="000000"/>
          <w:sz w:val="24"/>
          <w:szCs w:val="24"/>
          <w:lang w:eastAsia="bg-BG"/>
        </w:rPr>
        <w:t>включва</w:t>
      </w:r>
      <w:r w:rsidR="00D76A12" w:rsidRPr="005A4C68">
        <w:rPr>
          <w:rFonts w:ascii="Times New Roman" w:eastAsia="Times New Roman" w:hAnsi="Times New Roman" w:cs="Times New Roman"/>
          <w:color w:val="000000"/>
          <w:sz w:val="24"/>
          <w:szCs w:val="24"/>
          <w:lang w:eastAsia="bg-BG"/>
        </w:rPr>
        <w:t>не</w:t>
      </w:r>
      <w:r w:rsidR="00CF012B" w:rsidRPr="005A4C68">
        <w:rPr>
          <w:rFonts w:ascii="Times New Roman" w:eastAsia="Times New Roman" w:hAnsi="Times New Roman" w:cs="Times New Roman"/>
          <w:color w:val="000000"/>
          <w:sz w:val="24"/>
          <w:szCs w:val="24"/>
          <w:lang w:eastAsia="bg-BG"/>
        </w:rPr>
        <w:t xml:space="preserve"> на</w:t>
      </w:r>
      <w:r w:rsidR="00A02220" w:rsidRPr="005A4C68">
        <w:rPr>
          <w:rFonts w:ascii="Times New Roman" w:eastAsia="Times New Roman" w:hAnsi="Times New Roman" w:cs="Times New Roman"/>
          <w:color w:val="000000"/>
          <w:sz w:val="24"/>
          <w:szCs w:val="24"/>
          <w:lang w:eastAsia="bg-BG"/>
        </w:rPr>
        <w:t xml:space="preserve"> </w:t>
      </w:r>
      <w:r w:rsidR="00D76A12" w:rsidRPr="005A4C68">
        <w:rPr>
          <w:rFonts w:ascii="Times New Roman" w:eastAsia="Times New Roman" w:hAnsi="Times New Roman" w:cs="Times New Roman"/>
          <w:color w:val="000000"/>
          <w:sz w:val="24"/>
          <w:szCs w:val="24"/>
          <w:lang w:eastAsia="bg-BG"/>
        </w:rPr>
        <w:t xml:space="preserve">специфични </w:t>
      </w:r>
      <w:r w:rsidR="00A02220" w:rsidRPr="005A4C68">
        <w:rPr>
          <w:rFonts w:ascii="Times New Roman" w:eastAsia="Times New Roman" w:hAnsi="Times New Roman" w:cs="Times New Roman"/>
          <w:color w:val="000000"/>
          <w:sz w:val="24"/>
          <w:szCs w:val="24"/>
          <w:lang w:eastAsia="bg-BG"/>
        </w:rPr>
        <w:t>хигиен</w:t>
      </w:r>
      <w:r w:rsidR="00D76A12" w:rsidRPr="005A4C68">
        <w:rPr>
          <w:rFonts w:ascii="Times New Roman" w:eastAsia="Times New Roman" w:hAnsi="Times New Roman" w:cs="Times New Roman"/>
          <w:color w:val="000000"/>
          <w:sz w:val="24"/>
          <w:szCs w:val="24"/>
          <w:lang w:eastAsia="bg-BG"/>
        </w:rPr>
        <w:t>ни мерки</w:t>
      </w:r>
      <w:r w:rsidR="00A02220" w:rsidRPr="005A4C68">
        <w:rPr>
          <w:rFonts w:ascii="Times New Roman" w:eastAsia="Times New Roman" w:hAnsi="Times New Roman" w:cs="Times New Roman"/>
          <w:color w:val="000000"/>
          <w:sz w:val="24"/>
          <w:szCs w:val="24"/>
          <w:lang w:eastAsia="bg-BG"/>
        </w:rPr>
        <w:t xml:space="preserve">, </w:t>
      </w:r>
      <w:r w:rsidR="00CE2B43" w:rsidRPr="005A4C68">
        <w:rPr>
          <w:rFonts w:ascii="Times New Roman" w:eastAsia="Times New Roman" w:hAnsi="Times New Roman" w:cs="Times New Roman"/>
          <w:color w:val="000000"/>
          <w:sz w:val="24"/>
          <w:szCs w:val="24"/>
          <w:lang w:eastAsia="bg-BG"/>
        </w:rPr>
        <w:t xml:space="preserve">селективен </w:t>
      </w:r>
      <w:r w:rsidR="00A02220" w:rsidRPr="005A4C68">
        <w:rPr>
          <w:rFonts w:ascii="Times New Roman" w:eastAsia="Times New Roman" w:hAnsi="Times New Roman" w:cs="Times New Roman"/>
          <w:color w:val="000000"/>
          <w:sz w:val="24"/>
          <w:szCs w:val="24"/>
          <w:lang w:eastAsia="bg-BG"/>
        </w:rPr>
        <w:t>скрининг</w:t>
      </w:r>
      <w:r w:rsidR="00CF012B" w:rsidRPr="005A4C68">
        <w:rPr>
          <w:rFonts w:ascii="Times New Roman" w:eastAsia="Times New Roman" w:hAnsi="Times New Roman" w:cs="Times New Roman"/>
          <w:color w:val="000000"/>
          <w:sz w:val="24"/>
          <w:szCs w:val="24"/>
          <w:lang w:eastAsia="bg-BG"/>
        </w:rPr>
        <w:t xml:space="preserve"> и</w:t>
      </w:r>
      <w:r w:rsidR="00A02220" w:rsidRPr="005A4C68">
        <w:rPr>
          <w:rFonts w:ascii="Times New Roman" w:eastAsia="Times New Roman" w:hAnsi="Times New Roman" w:cs="Times New Roman"/>
          <w:color w:val="000000"/>
          <w:sz w:val="24"/>
          <w:szCs w:val="24"/>
          <w:lang w:eastAsia="bg-BG"/>
        </w:rPr>
        <w:t xml:space="preserve"> изолация</w:t>
      </w:r>
      <w:r w:rsidR="00CF012B" w:rsidRPr="005A4C68">
        <w:rPr>
          <w:rFonts w:ascii="Times New Roman" w:eastAsia="Times New Roman" w:hAnsi="Times New Roman" w:cs="Times New Roman"/>
          <w:color w:val="000000"/>
          <w:sz w:val="24"/>
          <w:szCs w:val="24"/>
          <w:lang w:eastAsia="bg-BG"/>
        </w:rPr>
        <w:t xml:space="preserve"> на пациенти или животни</w:t>
      </w:r>
      <w:r w:rsidR="00CF0BBC" w:rsidRPr="005A4C68">
        <w:rPr>
          <w:rFonts w:ascii="Times New Roman" w:eastAsia="Times New Roman" w:hAnsi="Times New Roman" w:cs="Times New Roman"/>
          <w:color w:val="000000"/>
          <w:sz w:val="24"/>
          <w:szCs w:val="24"/>
          <w:lang w:eastAsia="bg-BG"/>
        </w:rPr>
        <w:t>, инфектирани или колонизирани с епидемиологично опасни полирезистентни микроорганизми; стриктно спазване на ваксинопрофилактиката</w:t>
      </w:r>
      <w:r w:rsidR="00CF012B" w:rsidRPr="005A4C68">
        <w:rPr>
          <w:rFonts w:ascii="Times New Roman" w:eastAsia="Times New Roman" w:hAnsi="Times New Roman" w:cs="Times New Roman"/>
          <w:color w:val="000000"/>
          <w:sz w:val="24"/>
          <w:szCs w:val="24"/>
          <w:lang w:eastAsia="bg-BG"/>
        </w:rPr>
        <w:t xml:space="preserve">; надзор на замърсяването с антибиотици </w:t>
      </w:r>
      <w:r w:rsidR="007D3275" w:rsidRPr="005A4C68">
        <w:rPr>
          <w:rFonts w:ascii="Times New Roman" w:eastAsia="Times New Roman" w:hAnsi="Times New Roman" w:cs="Times New Roman"/>
          <w:color w:val="000000"/>
          <w:sz w:val="24"/>
          <w:szCs w:val="24"/>
          <w:lang w:eastAsia="bg-BG"/>
        </w:rPr>
        <w:t>на околната среда посредством селскостопански, индустриални и битови отпадъци</w:t>
      </w:r>
      <w:r w:rsidR="00970CFB" w:rsidRPr="005A4C68">
        <w:rPr>
          <w:rFonts w:ascii="Times New Roman" w:eastAsia="Times New Roman" w:hAnsi="Times New Roman" w:cs="Times New Roman"/>
          <w:color w:val="000000"/>
          <w:sz w:val="24"/>
          <w:szCs w:val="24"/>
          <w:lang w:eastAsia="bg-BG"/>
        </w:rPr>
        <w:t>;</w:t>
      </w:r>
    </w:p>
    <w:p w14:paraId="5D4994F0" w14:textId="77777777" w:rsidR="006C1BCE" w:rsidRPr="005A4C68" w:rsidRDefault="005A4C68" w:rsidP="005A4C68">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sym w:font="Symbol" w:char="F0B7"/>
      </w:r>
      <w:r w:rsidRPr="005A4C68">
        <w:rPr>
          <w:rFonts w:ascii="Times New Roman" w:eastAsia="Times New Roman" w:hAnsi="Times New Roman" w:cs="Times New Roman"/>
          <w:color w:val="000000"/>
          <w:sz w:val="24"/>
          <w:szCs w:val="24"/>
          <w:lang w:eastAsia="bg-BG"/>
        </w:rPr>
        <w:t xml:space="preserve"> </w:t>
      </w:r>
      <w:r w:rsidR="006C1BCE" w:rsidRPr="005A4C68">
        <w:rPr>
          <w:rFonts w:ascii="Times New Roman" w:eastAsia="Times New Roman" w:hAnsi="Times New Roman" w:cs="Times New Roman"/>
          <w:color w:val="000000"/>
          <w:sz w:val="24"/>
          <w:szCs w:val="24"/>
          <w:lang w:eastAsia="bg-BG"/>
        </w:rPr>
        <w:t>Научни проучвания върху възникващите и установени механизми на резистентност, тяхната епидемиология и методи на превенция и контрол; проучвания на антимикробната активност на нови продукти; инвестиране в създаването на нови продукти с антимикробна активност</w:t>
      </w:r>
      <w:r w:rsidR="00970CFB" w:rsidRPr="005A4C68">
        <w:rPr>
          <w:rFonts w:ascii="Times New Roman" w:eastAsia="Times New Roman" w:hAnsi="Times New Roman" w:cs="Times New Roman"/>
          <w:color w:val="000000"/>
          <w:sz w:val="24"/>
          <w:szCs w:val="24"/>
          <w:lang w:eastAsia="bg-BG"/>
        </w:rPr>
        <w:t>.</w:t>
      </w:r>
    </w:p>
    <w:p w14:paraId="6AE3B518" w14:textId="77777777" w:rsidR="002F425B" w:rsidRDefault="006C1BCE" w:rsidP="002A2AC9">
      <w:pPr>
        <w:spacing w:after="0" w:line="360" w:lineRule="auto"/>
        <w:ind w:firstLine="709"/>
        <w:jc w:val="both"/>
        <w:rPr>
          <w:rFonts w:ascii="Times New Roman" w:eastAsia="Calibri" w:hAnsi="Times New Roman" w:cs="Times New Roman"/>
          <w:color w:val="000000"/>
          <w:sz w:val="24"/>
          <w:szCs w:val="24"/>
          <w:lang w:eastAsia="bg-BG"/>
        </w:rPr>
      </w:pPr>
      <w:r w:rsidRPr="00997C23">
        <w:rPr>
          <w:rFonts w:ascii="Times New Roman" w:eastAsia="Calibri" w:hAnsi="Times New Roman" w:cs="Times New Roman"/>
          <w:color w:val="000000"/>
          <w:sz w:val="24"/>
          <w:szCs w:val="24"/>
          <w:lang w:eastAsia="bg-BG"/>
        </w:rPr>
        <w:t xml:space="preserve">Именно тези дейности са включени </w:t>
      </w:r>
      <w:r w:rsidR="00970CFB" w:rsidRPr="00997C23">
        <w:rPr>
          <w:rFonts w:ascii="Times New Roman" w:eastAsia="Calibri" w:hAnsi="Times New Roman" w:cs="Times New Roman"/>
          <w:color w:val="000000"/>
          <w:sz w:val="24"/>
          <w:szCs w:val="24"/>
          <w:lang w:eastAsia="bg-BG"/>
        </w:rPr>
        <w:t>в</w:t>
      </w:r>
      <w:r w:rsidRPr="00997C23">
        <w:rPr>
          <w:rFonts w:ascii="Times New Roman" w:eastAsia="Calibri" w:hAnsi="Times New Roman" w:cs="Times New Roman"/>
          <w:color w:val="000000"/>
          <w:sz w:val="24"/>
          <w:szCs w:val="24"/>
          <w:lang w:eastAsia="bg-BG"/>
        </w:rPr>
        <w:t xml:space="preserve"> Националн</w:t>
      </w:r>
      <w:r w:rsidR="00B13B40">
        <w:rPr>
          <w:rFonts w:ascii="Times New Roman" w:eastAsia="Calibri" w:hAnsi="Times New Roman" w:cs="Times New Roman"/>
          <w:color w:val="000000"/>
          <w:sz w:val="24"/>
          <w:szCs w:val="24"/>
          <w:lang w:eastAsia="bg-BG"/>
        </w:rPr>
        <w:t>ата</w:t>
      </w:r>
      <w:r w:rsidRPr="00997C23">
        <w:rPr>
          <w:rFonts w:ascii="Times New Roman" w:eastAsia="Calibri" w:hAnsi="Times New Roman" w:cs="Times New Roman"/>
          <w:color w:val="000000"/>
          <w:sz w:val="24"/>
          <w:szCs w:val="24"/>
          <w:lang w:eastAsia="bg-BG"/>
        </w:rPr>
        <w:t xml:space="preserve"> </w:t>
      </w:r>
      <w:r w:rsidR="002F050F">
        <w:rPr>
          <w:rFonts w:ascii="Times New Roman" w:eastAsia="Calibri" w:hAnsi="Times New Roman" w:cs="Times New Roman"/>
          <w:color w:val="000000"/>
          <w:sz w:val="24"/>
          <w:szCs w:val="24"/>
          <w:lang w:eastAsia="bg-BG"/>
        </w:rPr>
        <w:t>п</w:t>
      </w:r>
      <w:r w:rsidR="00882F2E">
        <w:rPr>
          <w:rFonts w:ascii="Times New Roman" w:eastAsia="Calibri" w:hAnsi="Times New Roman" w:cs="Times New Roman"/>
          <w:color w:val="000000"/>
          <w:sz w:val="24"/>
          <w:szCs w:val="24"/>
          <w:lang w:eastAsia="bg-BG"/>
        </w:rPr>
        <w:t>рограма</w:t>
      </w:r>
      <w:r w:rsidRPr="00997C23">
        <w:rPr>
          <w:rFonts w:ascii="Times New Roman" w:eastAsia="Calibri" w:hAnsi="Times New Roman" w:cs="Times New Roman"/>
          <w:color w:val="000000"/>
          <w:sz w:val="24"/>
          <w:szCs w:val="24"/>
          <w:lang w:eastAsia="bg-BG"/>
        </w:rPr>
        <w:t>.</w:t>
      </w:r>
    </w:p>
    <w:p w14:paraId="3CA747DD" w14:textId="77777777" w:rsidR="00531F9A" w:rsidRDefault="00531F9A" w:rsidP="00503C65">
      <w:pPr>
        <w:spacing w:after="0" w:line="360" w:lineRule="auto"/>
        <w:jc w:val="both"/>
      </w:pPr>
    </w:p>
    <w:p w14:paraId="787CC3B8" w14:textId="77777777" w:rsidR="006B4FC6" w:rsidRPr="001A763F" w:rsidRDefault="00E56278" w:rsidP="00E843C8">
      <w:pPr>
        <w:pStyle w:val="Heading1"/>
        <w:spacing w:before="0" w:line="360" w:lineRule="auto"/>
        <w:jc w:val="both"/>
        <w:rPr>
          <w:rFonts w:ascii="Times New Roman" w:eastAsia="Calibri" w:hAnsi="Times New Roman" w:cs="Times New Roman"/>
          <w:b/>
          <w:color w:val="000000"/>
          <w:sz w:val="24"/>
          <w:szCs w:val="24"/>
          <w:lang w:eastAsia="bg-BG"/>
        </w:rPr>
      </w:pPr>
      <w:bookmarkStart w:id="3" w:name="_Toc200721733"/>
      <w:r w:rsidRPr="001A763F">
        <w:rPr>
          <w:rFonts w:ascii="Times New Roman" w:eastAsia="Calibri" w:hAnsi="Times New Roman" w:cs="Times New Roman"/>
          <w:b/>
          <w:color w:val="000000"/>
          <w:sz w:val="24"/>
          <w:szCs w:val="24"/>
          <w:lang w:eastAsia="bg-BG"/>
        </w:rPr>
        <w:t xml:space="preserve">АНАЛИЗ И ОЦЕНКА НА СИТУАЦИЯТА В СТРАНАТА </w:t>
      </w:r>
      <w:r w:rsidR="00D07903" w:rsidRPr="001A763F">
        <w:rPr>
          <w:rFonts w:ascii="Times New Roman" w:eastAsia="Calibri" w:hAnsi="Times New Roman" w:cs="Times New Roman"/>
          <w:b/>
          <w:color w:val="000000"/>
          <w:sz w:val="24"/>
          <w:szCs w:val="24"/>
          <w:lang w:eastAsia="bg-BG"/>
        </w:rPr>
        <w:t>СЪОБРАЗНО</w:t>
      </w:r>
      <w:r w:rsidR="00CF0BBC" w:rsidRPr="001A763F">
        <w:rPr>
          <w:rFonts w:ascii="Times New Roman" w:eastAsia="Calibri" w:hAnsi="Times New Roman" w:cs="Times New Roman"/>
          <w:b/>
          <w:color w:val="000000"/>
          <w:sz w:val="24"/>
          <w:szCs w:val="24"/>
          <w:lang w:eastAsia="bg-BG"/>
        </w:rPr>
        <w:t xml:space="preserve"> СТРАТЕГИЧЕСКИТЕ ЦЕЛИ</w:t>
      </w:r>
      <w:r w:rsidR="00C367AD" w:rsidRPr="001A763F">
        <w:rPr>
          <w:rFonts w:ascii="Times New Roman" w:eastAsia="Calibri" w:hAnsi="Times New Roman" w:cs="Times New Roman"/>
          <w:b/>
          <w:color w:val="000000"/>
          <w:sz w:val="24"/>
          <w:szCs w:val="24"/>
          <w:lang w:eastAsia="bg-BG"/>
        </w:rPr>
        <w:t xml:space="preserve"> НА</w:t>
      </w:r>
      <w:r w:rsidR="001F2515" w:rsidRPr="001A763F">
        <w:rPr>
          <w:rFonts w:ascii="Times New Roman" w:eastAsia="Calibri" w:hAnsi="Times New Roman" w:cs="Times New Roman"/>
          <w:b/>
          <w:color w:val="000000"/>
          <w:sz w:val="24"/>
          <w:szCs w:val="24"/>
          <w:lang w:eastAsia="bg-BG"/>
        </w:rPr>
        <w:t xml:space="preserve"> </w:t>
      </w:r>
      <w:r w:rsidR="007D5F80" w:rsidRPr="001A763F">
        <w:rPr>
          <w:rFonts w:ascii="Times New Roman" w:eastAsia="Calibri" w:hAnsi="Times New Roman" w:cs="Times New Roman"/>
          <w:b/>
          <w:color w:val="000000"/>
          <w:sz w:val="24"/>
          <w:szCs w:val="24"/>
          <w:lang w:eastAsia="bg-BG"/>
        </w:rPr>
        <w:t xml:space="preserve">ГЛОБАЛНИЯ И </w:t>
      </w:r>
      <w:r w:rsidR="006F1D40">
        <w:rPr>
          <w:rFonts w:ascii="Times New Roman" w:eastAsia="Calibri" w:hAnsi="Times New Roman" w:cs="Times New Roman"/>
          <w:b/>
          <w:color w:val="000000"/>
          <w:sz w:val="24"/>
          <w:szCs w:val="24"/>
          <w:lang w:eastAsia="bg-BG"/>
        </w:rPr>
        <w:t xml:space="preserve">НА </w:t>
      </w:r>
      <w:r w:rsidR="007D5F80" w:rsidRPr="001A763F">
        <w:rPr>
          <w:rFonts w:ascii="Times New Roman" w:eastAsia="Calibri" w:hAnsi="Times New Roman" w:cs="Times New Roman"/>
          <w:b/>
          <w:color w:val="000000"/>
          <w:sz w:val="24"/>
          <w:szCs w:val="24"/>
          <w:lang w:eastAsia="bg-BG"/>
        </w:rPr>
        <w:t>ЕВРОПЕЙСКИ</w:t>
      </w:r>
      <w:r w:rsidR="006F1D40">
        <w:rPr>
          <w:rFonts w:ascii="Times New Roman" w:eastAsia="Calibri" w:hAnsi="Times New Roman" w:cs="Times New Roman"/>
          <w:b/>
          <w:color w:val="000000"/>
          <w:sz w:val="24"/>
          <w:szCs w:val="24"/>
          <w:lang w:eastAsia="bg-BG"/>
        </w:rPr>
        <w:t>Я</w:t>
      </w:r>
      <w:r w:rsidR="007D5F80" w:rsidRPr="001A763F">
        <w:rPr>
          <w:rFonts w:ascii="Times New Roman" w:eastAsia="Calibri" w:hAnsi="Times New Roman" w:cs="Times New Roman"/>
          <w:b/>
          <w:color w:val="000000"/>
          <w:sz w:val="24"/>
          <w:szCs w:val="24"/>
          <w:lang w:eastAsia="bg-BG"/>
        </w:rPr>
        <w:t xml:space="preserve"> </w:t>
      </w:r>
      <w:r w:rsidR="00882F2E" w:rsidRPr="001A763F">
        <w:rPr>
          <w:rFonts w:ascii="Times New Roman" w:eastAsia="Calibri" w:hAnsi="Times New Roman" w:cs="Times New Roman"/>
          <w:b/>
          <w:color w:val="000000"/>
          <w:sz w:val="24"/>
          <w:szCs w:val="24"/>
          <w:lang w:eastAsia="bg-BG"/>
        </w:rPr>
        <w:t>П</w:t>
      </w:r>
      <w:r w:rsidR="00B13B40" w:rsidRPr="001A763F">
        <w:rPr>
          <w:rFonts w:ascii="Times New Roman" w:eastAsia="Calibri" w:hAnsi="Times New Roman" w:cs="Times New Roman"/>
          <w:b/>
          <w:color w:val="000000"/>
          <w:sz w:val="24"/>
          <w:szCs w:val="24"/>
          <w:lang w:eastAsia="bg-BG"/>
        </w:rPr>
        <w:t>ЛАН</w:t>
      </w:r>
      <w:r w:rsidR="007D5F80" w:rsidRPr="001A763F">
        <w:rPr>
          <w:rFonts w:ascii="Times New Roman" w:eastAsia="Calibri" w:hAnsi="Times New Roman" w:cs="Times New Roman"/>
          <w:b/>
          <w:color w:val="000000"/>
          <w:sz w:val="24"/>
          <w:szCs w:val="24"/>
          <w:lang w:eastAsia="bg-BG"/>
        </w:rPr>
        <w:t xml:space="preserve"> ЗА</w:t>
      </w:r>
      <w:r w:rsidR="00D07903" w:rsidRPr="001A763F">
        <w:rPr>
          <w:rFonts w:ascii="Times New Roman" w:eastAsia="Calibri" w:hAnsi="Times New Roman" w:cs="Times New Roman"/>
          <w:b/>
          <w:color w:val="000000"/>
          <w:sz w:val="24"/>
          <w:szCs w:val="24"/>
          <w:lang w:eastAsia="bg-BG"/>
        </w:rPr>
        <w:t xml:space="preserve"> ДЕЙСТВИЕ</w:t>
      </w:r>
      <w:r w:rsidR="00CF0BBC" w:rsidRPr="001A763F">
        <w:rPr>
          <w:rFonts w:ascii="Times New Roman" w:eastAsia="Calibri" w:hAnsi="Times New Roman" w:cs="Times New Roman"/>
          <w:b/>
          <w:color w:val="000000"/>
          <w:sz w:val="24"/>
          <w:szCs w:val="24"/>
          <w:lang w:eastAsia="bg-BG"/>
        </w:rPr>
        <w:t xml:space="preserve"> </w:t>
      </w:r>
      <w:r w:rsidR="00D07903" w:rsidRPr="001A763F">
        <w:rPr>
          <w:rFonts w:ascii="Times New Roman" w:eastAsia="Calibri" w:hAnsi="Times New Roman" w:cs="Times New Roman"/>
          <w:b/>
          <w:color w:val="000000"/>
          <w:sz w:val="24"/>
          <w:szCs w:val="24"/>
          <w:lang w:eastAsia="bg-BG"/>
        </w:rPr>
        <w:t>СРЕЩУ АМР</w:t>
      </w:r>
      <w:r w:rsidR="00032E60" w:rsidRPr="001A763F">
        <w:rPr>
          <w:rFonts w:ascii="Times New Roman" w:eastAsia="Calibri" w:hAnsi="Times New Roman" w:cs="Times New Roman"/>
          <w:b/>
          <w:color w:val="000000"/>
          <w:sz w:val="24"/>
          <w:szCs w:val="24"/>
          <w:lang w:eastAsia="bg-BG"/>
        </w:rPr>
        <w:t xml:space="preserve"> </w:t>
      </w:r>
      <w:r w:rsidR="00CF0BBC" w:rsidRPr="001A763F">
        <w:rPr>
          <w:rFonts w:ascii="Times New Roman" w:eastAsia="Calibri" w:hAnsi="Times New Roman" w:cs="Times New Roman"/>
          <w:b/>
          <w:color w:val="000000"/>
          <w:sz w:val="24"/>
          <w:szCs w:val="24"/>
          <w:lang w:eastAsia="bg-BG"/>
        </w:rPr>
        <w:t>И МЕРКИ</w:t>
      </w:r>
      <w:r w:rsidR="00C367AD" w:rsidRPr="001A763F">
        <w:rPr>
          <w:rFonts w:ascii="Times New Roman" w:eastAsia="Calibri" w:hAnsi="Times New Roman" w:cs="Times New Roman"/>
          <w:b/>
          <w:color w:val="000000"/>
          <w:sz w:val="24"/>
          <w:szCs w:val="24"/>
          <w:lang w:eastAsia="bg-BG"/>
        </w:rPr>
        <w:t>ТЕ</w:t>
      </w:r>
      <w:r w:rsidR="00CF0BBC" w:rsidRPr="001A763F">
        <w:rPr>
          <w:rFonts w:ascii="Times New Roman" w:eastAsia="Calibri" w:hAnsi="Times New Roman" w:cs="Times New Roman"/>
          <w:b/>
          <w:color w:val="000000"/>
          <w:sz w:val="24"/>
          <w:szCs w:val="24"/>
          <w:lang w:eastAsia="bg-BG"/>
        </w:rPr>
        <w:t>, КОИТО СЛЕДВА ДА БЪДАТ ПРЕДПРИЕТИ</w:t>
      </w:r>
      <w:bookmarkEnd w:id="3"/>
    </w:p>
    <w:p w14:paraId="656D7343" w14:textId="77777777" w:rsidR="00DD67CB" w:rsidRPr="00BB6E6C" w:rsidRDefault="00DD67CB" w:rsidP="00E843C8">
      <w:pPr>
        <w:spacing w:after="0" w:line="360" w:lineRule="auto"/>
        <w:ind w:firstLine="851"/>
        <w:rPr>
          <w:rFonts w:ascii="Times New Roman" w:hAnsi="Times New Roman" w:cs="Times New Roman"/>
          <w:b/>
          <w:sz w:val="24"/>
          <w:szCs w:val="24"/>
        </w:rPr>
      </w:pPr>
    </w:p>
    <w:p w14:paraId="32EBB046" w14:textId="77777777" w:rsidR="00CF0BBC" w:rsidRPr="00BB6E6C" w:rsidRDefault="00C16838" w:rsidP="00E843C8">
      <w:pPr>
        <w:pStyle w:val="Heading2"/>
        <w:spacing w:before="0" w:line="360" w:lineRule="auto"/>
        <w:rPr>
          <w:rFonts w:ascii="Times New Roman" w:hAnsi="Times New Roman"/>
          <w:color w:val="auto"/>
          <w:sz w:val="24"/>
          <w:szCs w:val="24"/>
        </w:rPr>
      </w:pPr>
      <w:bookmarkStart w:id="4" w:name="_Toc200721734"/>
      <w:r w:rsidRPr="00BB6E6C">
        <w:rPr>
          <w:rFonts w:ascii="Times New Roman" w:hAnsi="Times New Roman"/>
          <w:color w:val="auto"/>
          <w:sz w:val="24"/>
          <w:szCs w:val="24"/>
        </w:rPr>
        <w:t>КРАТКА ИСТОРИЧЕСКА СПРАВКА</w:t>
      </w:r>
      <w:bookmarkEnd w:id="4"/>
    </w:p>
    <w:p w14:paraId="16D64C97"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Традиционно българските </w:t>
      </w:r>
      <w:r w:rsidR="00BB324A" w:rsidRPr="00997C23">
        <w:rPr>
          <w:rFonts w:ascii="Times New Roman" w:hAnsi="Times New Roman" w:cs="Times New Roman"/>
          <w:sz w:val="24"/>
          <w:szCs w:val="24"/>
        </w:rPr>
        <w:t>медицински специалисти</w:t>
      </w:r>
      <w:r w:rsidRPr="00997C23">
        <w:rPr>
          <w:rFonts w:ascii="Times New Roman" w:hAnsi="Times New Roman" w:cs="Times New Roman"/>
          <w:sz w:val="24"/>
          <w:szCs w:val="24"/>
        </w:rPr>
        <w:t xml:space="preserve"> – лекари, микробиолози, научни работници и </w:t>
      </w:r>
      <w:r w:rsidR="00CF0BBC" w:rsidRPr="00997C23">
        <w:rPr>
          <w:rFonts w:ascii="Times New Roman" w:eastAsia="Times New Roman" w:hAnsi="Times New Roman" w:cs="Times New Roman"/>
          <w:sz w:val="24"/>
          <w:szCs w:val="24"/>
        </w:rPr>
        <w:t>други</w:t>
      </w:r>
      <w:r w:rsidRPr="00997C23">
        <w:rPr>
          <w:rFonts w:ascii="Times New Roman" w:hAnsi="Times New Roman" w:cs="Times New Roman"/>
          <w:sz w:val="24"/>
          <w:szCs w:val="24"/>
        </w:rPr>
        <w:t xml:space="preserve"> са</w:t>
      </w:r>
      <w:r w:rsidR="00CF0BBC" w:rsidRPr="00997C23">
        <w:rPr>
          <w:rFonts w:ascii="Times New Roman" w:eastAsia="Times New Roman" w:hAnsi="Times New Roman" w:cs="Times New Roman"/>
          <w:sz w:val="24"/>
          <w:szCs w:val="24"/>
        </w:rPr>
        <w:t xml:space="preserve"> добре</w:t>
      </w:r>
      <w:r w:rsidRPr="00997C23">
        <w:rPr>
          <w:rFonts w:ascii="Times New Roman" w:hAnsi="Times New Roman" w:cs="Times New Roman"/>
          <w:sz w:val="24"/>
          <w:szCs w:val="24"/>
        </w:rPr>
        <w:t xml:space="preserve"> запознати с различните аспекти на проблема </w:t>
      </w:r>
      <w:r w:rsidRPr="00997C23">
        <w:rPr>
          <w:rFonts w:ascii="Times New Roman" w:hAnsi="Times New Roman" w:cs="Times New Roman"/>
          <w:sz w:val="24"/>
          <w:szCs w:val="24"/>
          <w:lang w:val="en-US"/>
        </w:rPr>
        <w:t>A</w:t>
      </w:r>
      <w:r w:rsidR="00C67FC9">
        <w:rPr>
          <w:rFonts w:ascii="Times New Roman" w:hAnsi="Times New Roman" w:cs="Times New Roman"/>
          <w:sz w:val="24"/>
          <w:szCs w:val="24"/>
        </w:rPr>
        <w:t>М</w:t>
      </w:r>
      <w:r w:rsidRPr="00997C23">
        <w:rPr>
          <w:rFonts w:ascii="Times New Roman" w:hAnsi="Times New Roman" w:cs="Times New Roman"/>
          <w:sz w:val="24"/>
          <w:szCs w:val="24"/>
        </w:rPr>
        <w:t xml:space="preserve">Р, </w:t>
      </w:r>
      <w:r w:rsidRPr="00997C23">
        <w:rPr>
          <w:rFonts w:ascii="Times New Roman" w:hAnsi="Times New Roman" w:cs="Times New Roman"/>
          <w:sz w:val="24"/>
          <w:szCs w:val="24"/>
        </w:rPr>
        <w:lastRenderedPageBreak/>
        <w:t xml:space="preserve">както </w:t>
      </w:r>
      <w:r w:rsidR="006F1D40">
        <w:rPr>
          <w:rFonts w:ascii="Times New Roman" w:hAnsi="Times New Roman" w:cs="Times New Roman"/>
          <w:sz w:val="24"/>
          <w:szCs w:val="24"/>
        </w:rPr>
        <w:t>с</w:t>
      </w:r>
      <w:r w:rsidRPr="00997C23">
        <w:rPr>
          <w:rFonts w:ascii="Times New Roman" w:hAnsi="Times New Roman" w:cs="Times New Roman"/>
          <w:sz w:val="24"/>
          <w:szCs w:val="24"/>
        </w:rPr>
        <w:t xml:space="preserve"> генетичните и биохимични механизми на устойчивост, така и </w:t>
      </w:r>
      <w:r w:rsidR="006F1D40">
        <w:rPr>
          <w:rFonts w:ascii="Times New Roman" w:hAnsi="Times New Roman" w:cs="Times New Roman"/>
          <w:sz w:val="24"/>
          <w:szCs w:val="24"/>
        </w:rPr>
        <w:t>с</w:t>
      </w:r>
      <w:r w:rsidRPr="00997C23">
        <w:rPr>
          <w:rFonts w:ascii="Times New Roman" w:hAnsi="Times New Roman" w:cs="Times New Roman"/>
          <w:sz w:val="24"/>
          <w:szCs w:val="24"/>
        </w:rPr>
        <w:t xml:space="preserve"> принципите на </w:t>
      </w:r>
      <w:r w:rsidR="00985427" w:rsidRPr="00997C23">
        <w:rPr>
          <w:rFonts w:ascii="Times New Roman" w:hAnsi="Times New Roman" w:cs="Times New Roman"/>
          <w:sz w:val="24"/>
          <w:szCs w:val="24"/>
        </w:rPr>
        <w:t>а</w:t>
      </w:r>
      <w:r w:rsidRPr="00997C23">
        <w:rPr>
          <w:rFonts w:ascii="Times New Roman" w:hAnsi="Times New Roman" w:cs="Times New Roman"/>
          <w:sz w:val="24"/>
          <w:szCs w:val="24"/>
        </w:rPr>
        <w:t>нтимикробната химиотерапия (АХ)</w:t>
      </w:r>
      <w:r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lang w:val="en-US"/>
        </w:rPr>
        <w:fldChar w:fldCharType="begin" w:fldLock="1"/>
      </w:r>
      <w:r w:rsidR="009D0134" w:rsidRPr="00997C23">
        <w:rPr>
          <w:rFonts w:ascii="Times New Roman" w:hAnsi="Times New Roman" w:cs="Times New Roman"/>
          <w:sz w:val="24"/>
          <w:szCs w:val="24"/>
          <w:lang w:val="en-US"/>
        </w:rPr>
        <w:instrText>ADDIN CSL_CITATION {"citationItems":[{"id":"ITEM-1","itemData":{"author":[{"dropping-particle":"","family":"Keuleyan","given":"Emma","non-dropping-particle":"","parse-names":false,"suffix":""}],"chapter-number":"Bulgaria: ","container-title":"Antibiotic resistance: synthesis of recommendations by expert policy groups. WHO &amp; APUA. WHO/CDS/CSR/DRS/2001.10","editor":[{"dropping-particle":"","family":"JL Avorn, JF Barrett, PG Davey, SA McEwen, TF O’Brien","given":"SB Levy","non-dropping-particle":"","parse-names":false,"suffix":""}],"id":"ITEM-1","issued":{"date-parts":[["2001"]]},"page":"140-146","publisher":"WHO","publisher-place":"Geneva","title":"Bulgaria: Hospital Case Studies and National Antibiotiv Policy","type":"chapter"},"uris":["http://www.mendeley.com/documents/?uuid=1bf91644-44a8-4d42-aa01-113006f78df1"]}],"mendeley":{"formattedCitation":"[20]","plainTextFormattedCitation":"[20]","previouslyFormattedCitation":"(Keuleyan, 2001)"},"properties":{"noteIndex":0},"schema":"https://github.com/citation-style-language/schema/raw/master/csl-citation.json"}</w:instrText>
      </w:r>
      <w:r w:rsidRPr="00997C23">
        <w:rPr>
          <w:rFonts w:ascii="Times New Roman" w:hAnsi="Times New Roman" w:cs="Times New Roman"/>
          <w:sz w:val="24"/>
          <w:szCs w:val="24"/>
          <w:lang w:val="en-US"/>
        </w:rPr>
        <w:fldChar w:fldCharType="separate"/>
      </w:r>
      <w:r w:rsidR="009D0134" w:rsidRPr="00997C23">
        <w:rPr>
          <w:rFonts w:ascii="Times New Roman" w:hAnsi="Times New Roman" w:cs="Times New Roman"/>
          <w:noProof/>
          <w:sz w:val="24"/>
          <w:szCs w:val="24"/>
          <w:lang w:val="en-US"/>
        </w:rPr>
        <w:t>[20]</w:t>
      </w:r>
      <w:r w:rsidRPr="00997C23">
        <w:rPr>
          <w:rFonts w:ascii="Times New Roman" w:hAnsi="Times New Roman" w:cs="Times New Roman"/>
          <w:sz w:val="24"/>
          <w:szCs w:val="24"/>
          <w:lang w:val="en-US"/>
        </w:rPr>
        <w:fldChar w:fldCharType="end"/>
      </w:r>
      <w:r w:rsidRPr="00997C23">
        <w:rPr>
          <w:rFonts w:ascii="Times New Roman" w:hAnsi="Times New Roman" w:cs="Times New Roman"/>
          <w:sz w:val="24"/>
          <w:szCs w:val="24"/>
        </w:rPr>
        <w:t xml:space="preserve">. </w:t>
      </w:r>
    </w:p>
    <w:p w14:paraId="36450A8F" w14:textId="77777777" w:rsidR="00C570E1"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Още в края на миналия век българските </w:t>
      </w:r>
      <w:r w:rsidR="00CF0BBC" w:rsidRPr="00997C23">
        <w:rPr>
          <w:rFonts w:ascii="Times New Roman" w:eastAsia="Times New Roman" w:hAnsi="Times New Roman" w:cs="Times New Roman"/>
          <w:sz w:val="24"/>
          <w:szCs w:val="24"/>
        </w:rPr>
        <w:t>микробиолози и лекари</w:t>
      </w:r>
      <w:r w:rsidRPr="00997C23">
        <w:rPr>
          <w:rFonts w:ascii="Times New Roman" w:hAnsi="Times New Roman" w:cs="Times New Roman"/>
          <w:sz w:val="24"/>
          <w:szCs w:val="24"/>
        </w:rPr>
        <w:t xml:space="preserve"> разпознават важността на А</w:t>
      </w:r>
      <w:r w:rsidR="00B13B40">
        <w:rPr>
          <w:rFonts w:ascii="Times New Roman" w:hAnsi="Times New Roman" w:cs="Times New Roman"/>
          <w:sz w:val="24"/>
          <w:szCs w:val="24"/>
        </w:rPr>
        <w:t>М</w:t>
      </w:r>
      <w:r w:rsidRPr="00997C23">
        <w:rPr>
          <w:rFonts w:ascii="Times New Roman" w:hAnsi="Times New Roman" w:cs="Times New Roman"/>
          <w:sz w:val="24"/>
          <w:szCs w:val="24"/>
        </w:rPr>
        <w:t xml:space="preserve">Р и към </w:t>
      </w:r>
      <w:r w:rsidR="0032787D">
        <w:rPr>
          <w:rFonts w:ascii="Times New Roman" w:hAnsi="Times New Roman" w:cs="Times New Roman"/>
          <w:sz w:val="24"/>
          <w:szCs w:val="24"/>
        </w:rPr>
        <w:t>Министерство на здравеопазването (</w:t>
      </w:r>
      <w:r w:rsidRPr="00997C23">
        <w:rPr>
          <w:rFonts w:ascii="Times New Roman" w:hAnsi="Times New Roman" w:cs="Times New Roman"/>
          <w:sz w:val="24"/>
          <w:szCs w:val="24"/>
        </w:rPr>
        <w:t>МЗ</w:t>
      </w:r>
      <w:r w:rsidR="0032787D">
        <w:rPr>
          <w:rFonts w:ascii="Times New Roman" w:hAnsi="Times New Roman" w:cs="Times New Roman"/>
          <w:sz w:val="24"/>
          <w:szCs w:val="24"/>
        </w:rPr>
        <w:t>)</w:t>
      </w:r>
      <w:r w:rsidRPr="00997C23">
        <w:rPr>
          <w:rFonts w:ascii="Times New Roman" w:hAnsi="Times New Roman" w:cs="Times New Roman"/>
          <w:sz w:val="24"/>
          <w:szCs w:val="24"/>
        </w:rPr>
        <w:t xml:space="preserve"> се учредява Експертен комитет по </w:t>
      </w:r>
      <w:r w:rsidR="00985427" w:rsidRPr="00997C23">
        <w:rPr>
          <w:rFonts w:ascii="Times New Roman" w:hAnsi="Times New Roman" w:cs="Times New Roman"/>
          <w:sz w:val="24"/>
          <w:szCs w:val="24"/>
        </w:rPr>
        <w:t>а</w:t>
      </w:r>
      <w:r w:rsidRPr="00997C23">
        <w:rPr>
          <w:rFonts w:ascii="Times New Roman" w:hAnsi="Times New Roman" w:cs="Times New Roman"/>
          <w:sz w:val="24"/>
          <w:szCs w:val="24"/>
        </w:rPr>
        <w:t>нтибиотична политика, а през 2001 г</w:t>
      </w:r>
      <w:r w:rsidR="007533A1" w:rsidRPr="00997C23">
        <w:rPr>
          <w:rFonts w:ascii="Times New Roman" w:hAnsi="Times New Roman" w:cs="Times New Roman"/>
          <w:sz w:val="24"/>
          <w:szCs w:val="24"/>
        </w:rPr>
        <w:t>.</w:t>
      </w:r>
      <w:r w:rsidRPr="00997C23">
        <w:rPr>
          <w:rFonts w:ascii="Times New Roman" w:hAnsi="Times New Roman" w:cs="Times New Roman"/>
          <w:sz w:val="24"/>
          <w:szCs w:val="24"/>
        </w:rPr>
        <w:t xml:space="preserve"> е приета от МЗ първата Национална програма за рационална </w:t>
      </w:r>
      <w:r w:rsidR="00C570E1">
        <w:rPr>
          <w:rFonts w:ascii="Times New Roman" w:hAnsi="Times New Roman" w:cs="Times New Roman"/>
          <w:sz w:val="24"/>
          <w:szCs w:val="24"/>
        </w:rPr>
        <w:t>антибиотична</w:t>
      </w:r>
      <w:r w:rsidR="00C570E1" w:rsidRPr="00997C23">
        <w:rPr>
          <w:rFonts w:ascii="Times New Roman" w:hAnsi="Times New Roman" w:cs="Times New Roman"/>
          <w:sz w:val="24"/>
          <w:szCs w:val="24"/>
        </w:rPr>
        <w:t xml:space="preserve"> </w:t>
      </w:r>
      <w:r w:rsidRPr="00997C23">
        <w:rPr>
          <w:rFonts w:ascii="Times New Roman" w:hAnsi="Times New Roman" w:cs="Times New Roman"/>
          <w:sz w:val="24"/>
          <w:szCs w:val="24"/>
        </w:rPr>
        <w:t xml:space="preserve">политика. Голямо значение за стандартизиране и подобряване на качеството на работа в микробиологичните лаборатории на страната има създаването на Референтна лаборатория по Надзор на антибиотичната резистентност към Националния център по заразни и паразитни болести </w:t>
      </w:r>
      <w:r w:rsidR="00985427" w:rsidRPr="00997C23">
        <w:rPr>
          <w:rFonts w:ascii="Times New Roman" w:hAnsi="Times New Roman" w:cs="Times New Roman"/>
          <w:sz w:val="24"/>
          <w:szCs w:val="24"/>
        </w:rPr>
        <w:t>(</w:t>
      </w:r>
      <w:r w:rsidRPr="00997C23">
        <w:rPr>
          <w:rFonts w:ascii="Times New Roman" w:hAnsi="Times New Roman" w:cs="Times New Roman"/>
          <w:sz w:val="24"/>
          <w:szCs w:val="24"/>
        </w:rPr>
        <w:t>НЦЗПБ</w:t>
      </w:r>
      <w:r w:rsidR="00985427" w:rsidRPr="00997C23">
        <w:rPr>
          <w:rFonts w:ascii="Times New Roman" w:hAnsi="Times New Roman" w:cs="Times New Roman"/>
          <w:sz w:val="24"/>
          <w:szCs w:val="24"/>
        </w:rPr>
        <w:t>)</w:t>
      </w:r>
      <w:r w:rsidR="002F050F">
        <w:rPr>
          <w:rFonts w:ascii="Times New Roman" w:hAnsi="Times New Roman" w:cs="Times New Roman"/>
          <w:sz w:val="24"/>
          <w:szCs w:val="24"/>
        </w:rPr>
        <w:t>,</w:t>
      </w:r>
      <w:r w:rsidR="00B13B40">
        <w:rPr>
          <w:rFonts w:ascii="Times New Roman" w:hAnsi="Times New Roman" w:cs="Times New Roman"/>
          <w:sz w:val="24"/>
          <w:szCs w:val="24"/>
        </w:rPr>
        <w:t xml:space="preserve"> </w:t>
      </w:r>
      <w:r w:rsidR="00C570E1">
        <w:rPr>
          <w:rFonts w:ascii="Times New Roman" w:hAnsi="Times New Roman" w:cs="Times New Roman"/>
          <w:sz w:val="24"/>
          <w:szCs w:val="24"/>
        </w:rPr>
        <w:t>понастоящем Национална рефере</w:t>
      </w:r>
      <w:r w:rsidR="00B13B40">
        <w:rPr>
          <w:rFonts w:ascii="Times New Roman" w:hAnsi="Times New Roman" w:cs="Times New Roman"/>
          <w:sz w:val="24"/>
          <w:szCs w:val="24"/>
        </w:rPr>
        <w:t>н</w:t>
      </w:r>
      <w:r w:rsidR="00C570E1">
        <w:rPr>
          <w:rFonts w:ascii="Times New Roman" w:hAnsi="Times New Roman" w:cs="Times New Roman"/>
          <w:sz w:val="24"/>
          <w:szCs w:val="24"/>
        </w:rPr>
        <w:t xml:space="preserve">тна лаборатория по „Контрол и </w:t>
      </w:r>
      <w:r w:rsidR="00446D1B">
        <w:rPr>
          <w:rFonts w:ascii="Times New Roman" w:hAnsi="Times New Roman" w:cs="Times New Roman"/>
          <w:sz w:val="24"/>
          <w:szCs w:val="24"/>
        </w:rPr>
        <w:t xml:space="preserve">мониториране </w:t>
      </w:r>
      <w:r w:rsidR="00C570E1">
        <w:rPr>
          <w:rFonts w:ascii="Times New Roman" w:hAnsi="Times New Roman" w:cs="Times New Roman"/>
          <w:sz w:val="24"/>
          <w:szCs w:val="24"/>
        </w:rPr>
        <w:t xml:space="preserve">на </w:t>
      </w:r>
      <w:r w:rsidR="00446D1B">
        <w:rPr>
          <w:rFonts w:ascii="Times New Roman" w:hAnsi="Times New Roman" w:cs="Times New Roman"/>
          <w:sz w:val="24"/>
          <w:szCs w:val="24"/>
        </w:rPr>
        <w:t>а</w:t>
      </w:r>
      <w:r w:rsidR="00C570E1">
        <w:rPr>
          <w:rFonts w:ascii="Times New Roman" w:hAnsi="Times New Roman" w:cs="Times New Roman"/>
          <w:sz w:val="24"/>
          <w:szCs w:val="24"/>
        </w:rPr>
        <w:t>нтибио</w:t>
      </w:r>
      <w:r w:rsidR="001D2D47">
        <w:rPr>
          <w:rFonts w:ascii="Times New Roman" w:hAnsi="Times New Roman" w:cs="Times New Roman"/>
          <w:sz w:val="24"/>
          <w:szCs w:val="24"/>
        </w:rPr>
        <w:t xml:space="preserve">тичната </w:t>
      </w:r>
      <w:r w:rsidR="00446D1B">
        <w:rPr>
          <w:rFonts w:ascii="Times New Roman" w:hAnsi="Times New Roman" w:cs="Times New Roman"/>
          <w:sz w:val="24"/>
          <w:szCs w:val="24"/>
        </w:rPr>
        <w:t>р</w:t>
      </w:r>
      <w:r w:rsidR="001D2D47">
        <w:rPr>
          <w:rFonts w:ascii="Times New Roman" w:hAnsi="Times New Roman" w:cs="Times New Roman"/>
          <w:sz w:val="24"/>
          <w:szCs w:val="24"/>
        </w:rPr>
        <w:t xml:space="preserve">езистетност“ към НЦЗПБ </w:t>
      </w:r>
      <w:r w:rsidRPr="00997C23">
        <w:rPr>
          <w:rFonts w:ascii="Times New Roman" w:hAnsi="Times New Roman" w:cs="Times New Roman"/>
          <w:sz w:val="24"/>
          <w:szCs w:val="24"/>
          <w:lang w:val="en-US"/>
        </w:rPr>
        <w:fldChar w:fldCharType="begin" w:fldLock="1"/>
      </w:r>
      <w:r w:rsidR="009D0134" w:rsidRPr="00997C23">
        <w:rPr>
          <w:rFonts w:ascii="Times New Roman" w:hAnsi="Times New Roman" w:cs="Times New Roman"/>
          <w:bCs/>
          <w:iCs/>
          <w:sz w:val="24"/>
          <w:szCs w:val="24"/>
          <w:lang w:val="en-US"/>
        </w:rPr>
        <w:instrText>ADDIN CSL_CITATION {"citationItems":[{"id":"ITEM-1","itemData":{"DOI":"10.1016/B978-0-12-810477-4.00041-6","ISBN":"9780128104774","ISSN":"2214-4129","author":[{"dropping-particle":"","family":"Keuleyan","given":"Emma","non-dropping-particle":"","parse-names":false,"suffix":""},{"dropping-particle":"","family":"Kostyanev","given":"Tomislav","non-dropping-particle":"","parse-names":false,"suffix":""}],"chapter-number":"Antimicrob","container-title":"Antimicrobial Stewardship","editor":[{"dropping-particle":"","family":"C. Pulcini, O. Ergonul, F. Can","given":"B. Beovic (Eds)","non-dropping-particle":"","parse-names":false,"suffix":""}],"id":"ITEM-1","issued":{"date-parts":[["2017","1","1"]]},"page":"259-261","publisher":"Academic Press","publisher-place":"London","title":"Antimicrobial Stewardship in Bulgaria","type":"chapter","volume":"2"},"uris":["http://www.mendeley.com/documents/?uuid=46929b8a-5343-391d-b48d-af9166330dc4"]}],"mendeley":{"formattedCitation":"[21]","plainTextFormattedCitation":"[21]","previouslyFormattedCitation":"(Keuleyan &amp; Kostyanev, 2017)"},"properties":{"noteIndex":0},"schema":"https://github.com/citation-style-language/schema/raw/master/csl-citation.json"}</w:instrText>
      </w:r>
      <w:r w:rsidRPr="00997C23">
        <w:rPr>
          <w:rFonts w:ascii="Times New Roman" w:hAnsi="Times New Roman" w:cs="Times New Roman"/>
          <w:sz w:val="24"/>
          <w:szCs w:val="24"/>
          <w:lang w:val="en-US"/>
        </w:rPr>
        <w:fldChar w:fldCharType="separate"/>
      </w:r>
      <w:r w:rsidR="009D0134" w:rsidRPr="00997C23">
        <w:rPr>
          <w:rFonts w:ascii="Times New Roman" w:hAnsi="Times New Roman" w:cs="Times New Roman"/>
          <w:bCs/>
          <w:iCs/>
          <w:noProof/>
          <w:sz w:val="24"/>
          <w:szCs w:val="24"/>
          <w:lang w:val="en-US"/>
        </w:rPr>
        <w:t>[21]</w:t>
      </w:r>
      <w:r w:rsidRPr="00997C23">
        <w:rPr>
          <w:rFonts w:ascii="Times New Roman" w:hAnsi="Times New Roman" w:cs="Times New Roman"/>
          <w:sz w:val="24"/>
          <w:szCs w:val="24"/>
          <w:lang w:val="en-US"/>
        </w:rPr>
        <w:fldChar w:fldCharType="end"/>
      </w:r>
      <w:r w:rsidRPr="00997C23">
        <w:rPr>
          <w:rFonts w:ascii="Times New Roman" w:hAnsi="Times New Roman" w:cs="Times New Roman"/>
          <w:sz w:val="24"/>
          <w:szCs w:val="24"/>
        </w:rPr>
        <w:t xml:space="preserve">. Изпълнителната агенция по лекарствата </w:t>
      </w:r>
      <w:r w:rsidR="00985427" w:rsidRPr="00997C23">
        <w:rPr>
          <w:rFonts w:ascii="Times New Roman" w:hAnsi="Times New Roman" w:cs="Times New Roman"/>
          <w:sz w:val="24"/>
          <w:szCs w:val="24"/>
        </w:rPr>
        <w:t>(</w:t>
      </w:r>
      <w:r w:rsidRPr="00997C23">
        <w:rPr>
          <w:rFonts w:ascii="Times New Roman" w:hAnsi="Times New Roman" w:cs="Times New Roman"/>
          <w:sz w:val="24"/>
          <w:szCs w:val="24"/>
        </w:rPr>
        <w:t>ИАЛ</w:t>
      </w:r>
      <w:r w:rsidR="00985427" w:rsidRPr="00997C23">
        <w:rPr>
          <w:rFonts w:ascii="Times New Roman" w:hAnsi="Times New Roman" w:cs="Times New Roman"/>
          <w:sz w:val="24"/>
          <w:szCs w:val="24"/>
        </w:rPr>
        <w:t>)</w:t>
      </w:r>
      <w:r w:rsidRPr="00997C23">
        <w:rPr>
          <w:rFonts w:ascii="Times New Roman" w:hAnsi="Times New Roman" w:cs="Times New Roman"/>
          <w:sz w:val="24"/>
          <w:szCs w:val="24"/>
        </w:rPr>
        <w:t xml:space="preserve"> </w:t>
      </w:r>
      <w:r w:rsidR="00985427" w:rsidRPr="00997C23">
        <w:rPr>
          <w:rFonts w:ascii="Times New Roman" w:hAnsi="Times New Roman" w:cs="Times New Roman"/>
          <w:sz w:val="24"/>
          <w:szCs w:val="24"/>
        </w:rPr>
        <w:t xml:space="preserve">до 2006 г. е </w:t>
      </w:r>
      <w:r w:rsidRPr="00997C23">
        <w:rPr>
          <w:rFonts w:ascii="Times New Roman" w:hAnsi="Times New Roman" w:cs="Times New Roman"/>
          <w:sz w:val="24"/>
          <w:szCs w:val="24"/>
        </w:rPr>
        <w:t xml:space="preserve">оторизирана </w:t>
      </w:r>
      <w:r w:rsidR="00985427" w:rsidRPr="00997C23">
        <w:rPr>
          <w:rFonts w:ascii="Times New Roman" w:hAnsi="Times New Roman" w:cs="Times New Roman"/>
          <w:sz w:val="24"/>
          <w:szCs w:val="24"/>
        </w:rPr>
        <w:t xml:space="preserve">да извършва </w:t>
      </w:r>
      <w:r w:rsidRPr="00997C23">
        <w:rPr>
          <w:rFonts w:ascii="Times New Roman" w:hAnsi="Times New Roman" w:cs="Times New Roman"/>
          <w:sz w:val="24"/>
          <w:szCs w:val="24"/>
        </w:rPr>
        <w:t>лицензиране и контрол на антибиотиците</w:t>
      </w:r>
      <w:r w:rsidR="00985427" w:rsidRPr="00997C23">
        <w:rPr>
          <w:rFonts w:ascii="Times New Roman" w:hAnsi="Times New Roman" w:cs="Times New Roman"/>
          <w:sz w:val="24"/>
          <w:szCs w:val="24"/>
        </w:rPr>
        <w:t xml:space="preserve"> и </w:t>
      </w:r>
      <w:r w:rsidR="00CF0BBC" w:rsidRPr="00997C23">
        <w:rPr>
          <w:rFonts w:ascii="Times New Roman" w:eastAsia="Times New Roman" w:hAnsi="Times New Roman" w:cs="Times New Roman"/>
          <w:bCs/>
          <w:iCs/>
          <w:sz w:val="24"/>
          <w:szCs w:val="24"/>
        </w:rPr>
        <w:t>изчислява</w:t>
      </w:r>
      <w:r w:rsidR="00985427" w:rsidRPr="00997C23">
        <w:rPr>
          <w:rFonts w:ascii="Times New Roman" w:eastAsia="Times New Roman" w:hAnsi="Times New Roman" w:cs="Times New Roman"/>
          <w:bCs/>
          <w:iCs/>
          <w:sz w:val="24"/>
          <w:szCs w:val="24"/>
        </w:rPr>
        <w:t>не на</w:t>
      </w:r>
      <w:r w:rsidR="00C367AD" w:rsidRPr="00997C23">
        <w:rPr>
          <w:rFonts w:ascii="Times New Roman" w:eastAsia="Times New Roman" w:hAnsi="Times New Roman" w:cs="Times New Roman"/>
          <w:bCs/>
          <w:iCs/>
          <w:sz w:val="24"/>
          <w:szCs w:val="24"/>
        </w:rPr>
        <w:t xml:space="preserve"> </w:t>
      </w:r>
      <w:r w:rsidRPr="00997C23">
        <w:rPr>
          <w:rFonts w:ascii="Times New Roman" w:hAnsi="Times New Roman" w:cs="Times New Roman"/>
          <w:sz w:val="24"/>
          <w:szCs w:val="24"/>
        </w:rPr>
        <w:t>антибиотичната консумация</w:t>
      </w:r>
      <w:r w:rsidR="00985427" w:rsidRPr="00997C23">
        <w:rPr>
          <w:rFonts w:ascii="Times New Roman" w:hAnsi="Times New Roman" w:cs="Times New Roman"/>
          <w:sz w:val="24"/>
          <w:szCs w:val="24"/>
        </w:rPr>
        <w:t>,</w:t>
      </w:r>
      <w:r w:rsidRPr="00997C23">
        <w:rPr>
          <w:rFonts w:ascii="Times New Roman" w:hAnsi="Times New Roman" w:cs="Times New Roman"/>
          <w:sz w:val="24"/>
          <w:szCs w:val="24"/>
        </w:rPr>
        <w:t xml:space="preserve"> след което тези функции се изпълняват от НЦЗПБ</w:t>
      </w:r>
      <w:r w:rsidRPr="00997C23">
        <w:rPr>
          <w:rFonts w:ascii="Times New Roman" w:hAnsi="Times New Roman" w:cs="Times New Roman"/>
          <w:sz w:val="24"/>
          <w:szCs w:val="24"/>
          <w:lang w:val="en-US"/>
        </w:rPr>
        <w:t>.</w:t>
      </w:r>
    </w:p>
    <w:p w14:paraId="11B2D14A" w14:textId="77777777" w:rsidR="00F65F46" w:rsidRDefault="00E65949"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В </w:t>
      </w:r>
      <w:r w:rsidR="00DD67CB" w:rsidRPr="00997C23">
        <w:rPr>
          <w:rFonts w:ascii="Times New Roman" w:hAnsi="Times New Roman" w:cs="Times New Roman"/>
          <w:sz w:val="24"/>
          <w:szCs w:val="24"/>
        </w:rPr>
        <w:t xml:space="preserve">Медицинските стандарти „Микробиология“ и „Превенция и контрол на вътреболничните инфекции“ </w:t>
      </w:r>
      <w:r w:rsidRPr="00997C23">
        <w:rPr>
          <w:rFonts w:ascii="Times New Roman" w:hAnsi="Times New Roman" w:cs="Times New Roman"/>
          <w:sz w:val="24"/>
          <w:szCs w:val="24"/>
        </w:rPr>
        <w:t xml:space="preserve">са </w:t>
      </w:r>
      <w:r w:rsidR="00DD67CB" w:rsidRPr="00997C23">
        <w:rPr>
          <w:rFonts w:ascii="Times New Roman" w:hAnsi="Times New Roman" w:cs="Times New Roman"/>
          <w:sz w:val="24"/>
          <w:szCs w:val="24"/>
        </w:rPr>
        <w:t>регла</w:t>
      </w:r>
      <w:r w:rsidRPr="00997C23">
        <w:rPr>
          <w:rFonts w:ascii="Times New Roman" w:hAnsi="Times New Roman" w:cs="Times New Roman"/>
          <w:sz w:val="24"/>
          <w:szCs w:val="24"/>
        </w:rPr>
        <w:t>ментирани</w:t>
      </w:r>
      <w:r w:rsidR="00DD67CB" w:rsidRPr="00997C23">
        <w:rPr>
          <w:rFonts w:ascii="Times New Roman" w:hAnsi="Times New Roman" w:cs="Times New Roman"/>
          <w:sz w:val="24"/>
          <w:szCs w:val="24"/>
        </w:rPr>
        <w:t xml:space="preserve"> важни отговорности, свързани с </w:t>
      </w:r>
      <w:r w:rsidR="00DD67CB" w:rsidRPr="001C2BAA">
        <w:rPr>
          <w:rFonts w:ascii="Times New Roman" w:hAnsi="Times New Roman" w:cs="Times New Roman"/>
          <w:sz w:val="24"/>
          <w:szCs w:val="24"/>
        </w:rPr>
        <w:t>ограничаването на А</w:t>
      </w:r>
      <w:r w:rsidR="00E23799">
        <w:rPr>
          <w:rFonts w:ascii="Times New Roman" w:hAnsi="Times New Roman" w:cs="Times New Roman"/>
          <w:sz w:val="24"/>
          <w:szCs w:val="24"/>
        </w:rPr>
        <w:t>М</w:t>
      </w:r>
      <w:r w:rsidR="00DD67CB" w:rsidRPr="001C2BAA">
        <w:rPr>
          <w:rFonts w:ascii="Times New Roman" w:hAnsi="Times New Roman" w:cs="Times New Roman"/>
          <w:sz w:val="24"/>
          <w:szCs w:val="24"/>
        </w:rPr>
        <w:t>Р и рационалното прилагане на антибиотици.</w:t>
      </w:r>
      <w:r w:rsidR="001C2BAA" w:rsidRPr="001C2BAA">
        <w:rPr>
          <w:rFonts w:ascii="Trebuchet MS" w:hAnsi="Trebuchet MS"/>
          <w:sz w:val="24"/>
          <w:szCs w:val="24"/>
        </w:rPr>
        <w:t xml:space="preserve"> </w:t>
      </w:r>
    </w:p>
    <w:p w14:paraId="1413C659" w14:textId="77777777" w:rsidR="00DD67CB" w:rsidRPr="00997C23" w:rsidRDefault="00F65F46" w:rsidP="00C467DB">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С Наредба № 9 от 10 октомври 2019 г. </w:t>
      </w:r>
      <w:r w:rsidR="00641228">
        <w:rPr>
          <w:rFonts w:ascii="Times New Roman" w:hAnsi="Times New Roman" w:cs="Times New Roman"/>
          <w:sz w:val="24"/>
          <w:szCs w:val="24"/>
        </w:rPr>
        <w:t>(</w:t>
      </w:r>
      <w:r>
        <w:rPr>
          <w:rFonts w:ascii="Times New Roman" w:hAnsi="Times New Roman" w:cs="Times New Roman"/>
          <w:sz w:val="24"/>
          <w:szCs w:val="24"/>
        </w:rPr>
        <w:t>обн. ДВ, бр. 84 от 2019</w:t>
      </w:r>
      <w:r w:rsidR="00641228">
        <w:rPr>
          <w:rFonts w:ascii="Times New Roman" w:hAnsi="Times New Roman" w:cs="Times New Roman"/>
          <w:sz w:val="24"/>
          <w:szCs w:val="24"/>
        </w:rPr>
        <w:t xml:space="preserve"> </w:t>
      </w:r>
      <w:r>
        <w:rPr>
          <w:rFonts w:ascii="Times New Roman" w:hAnsi="Times New Roman" w:cs="Times New Roman"/>
          <w:sz w:val="24"/>
          <w:szCs w:val="24"/>
        </w:rPr>
        <w:t>г.</w:t>
      </w:r>
      <w:r w:rsidR="00641228">
        <w:rPr>
          <w:rFonts w:ascii="Times New Roman" w:hAnsi="Times New Roman" w:cs="Times New Roman"/>
          <w:sz w:val="24"/>
          <w:szCs w:val="24"/>
        </w:rPr>
        <w:t>)</w:t>
      </w:r>
      <w:r>
        <w:rPr>
          <w:rFonts w:ascii="Times New Roman" w:hAnsi="Times New Roman" w:cs="Times New Roman"/>
          <w:sz w:val="24"/>
          <w:szCs w:val="24"/>
        </w:rPr>
        <w:t xml:space="preserve"> е прието фармако-терапевтично ръководство за използване на антимикробни лекарствени продукти с включени алгоритми за лечение с лекарствени продукти. </w:t>
      </w:r>
      <w:r w:rsidRPr="00C24EC8">
        <w:rPr>
          <w:rFonts w:ascii="Times New Roman" w:hAnsi="Times New Roman" w:cs="Times New Roman"/>
          <w:sz w:val="24"/>
          <w:szCs w:val="24"/>
        </w:rPr>
        <w:t>В действащия към момента Национален рамков договор № РД-НС-01-</w:t>
      </w:r>
      <w:r w:rsidR="00F566F7">
        <w:rPr>
          <w:rFonts w:ascii="Times New Roman" w:hAnsi="Times New Roman" w:cs="Times New Roman"/>
          <w:sz w:val="24"/>
          <w:szCs w:val="24"/>
        </w:rPr>
        <w:t>2</w:t>
      </w:r>
      <w:r w:rsidRPr="00C24EC8">
        <w:rPr>
          <w:rFonts w:ascii="Times New Roman" w:hAnsi="Times New Roman" w:cs="Times New Roman"/>
          <w:sz w:val="24"/>
          <w:szCs w:val="24"/>
        </w:rPr>
        <w:t xml:space="preserve"> от </w:t>
      </w:r>
      <w:r w:rsidR="00F566F7">
        <w:rPr>
          <w:rFonts w:ascii="Times New Roman" w:hAnsi="Times New Roman" w:cs="Times New Roman"/>
          <w:sz w:val="24"/>
          <w:szCs w:val="24"/>
        </w:rPr>
        <w:t xml:space="preserve">01 септември </w:t>
      </w:r>
      <w:r w:rsidRPr="00C24EC8">
        <w:rPr>
          <w:rFonts w:ascii="Times New Roman" w:hAnsi="Times New Roman" w:cs="Times New Roman"/>
          <w:sz w:val="24"/>
          <w:szCs w:val="24"/>
        </w:rPr>
        <w:t>20</w:t>
      </w:r>
      <w:r w:rsidR="00F566F7">
        <w:rPr>
          <w:rFonts w:ascii="Times New Roman" w:hAnsi="Times New Roman" w:cs="Times New Roman"/>
          <w:sz w:val="24"/>
          <w:szCs w:val="24"/>
        </w:rPr>
        <w:t>23</w:t>
      </w:r>
      <w:r w:rsidRPr="00C24EC8">
        <w:rPr>
          <w:rFonts w:ascii="Times New Roman" w:hAnsi="Times New Roman" w:cs="Times New Roman"/>
          <w:sz w:val="24"/>
          <w:szCs w:val="24"/>
        </w:rPr>
        <w:t xml:space="preserve"> </w:t>
      </w:r>
      <w:r w:rsidR="00E23799" w:rsidRPr="00C24EC8">
        <w:rPr>
          <w:rFonts w:ascii="Times New Roman" w:hAnsi="Times New Roman" w:cs="Times New Roman"/>
          <w:sz w:val="24"/>
          <w:szCs w:val="24"/>
        </w:rPr>
        <w:t xml:space="preserve">г. </w:t>
      </w:r>
      <w:r w:rsidRPr="00C24EC8">
        <w:rPr>
          <w:rFonts w:ascii="Times New Roman" w:hAnsi="Times New Roman" w:cs="Times New Roman"/>
          <w:sz w:val="24"/>
          <w:szCs w:val="24"/>
        </w:rPr>
        <w:t xml:space="preserve">за медицинските дейности между Националната здравноосигурителна каса </w:t>
      </w:r>
      <w:r w:rsidR="00E23799" w:rsidRPr="00C24EC8">
        <w:rPr>
          <w:rFonts w:ascii="Times New Roman" w:hAnsi="Times New Roman" w:cs="Times New Roman"/>
          <w:sz w:val="24"/>
          <w:szCs w:val="24"/>
        </w:rPr>
        <w:t xml:space="preserve">(НЗОК) </w:t>
      </w:r>
      <w:r w:rsidRPr="00C24EC8">
        <w:rPr>
          <w:rFonts w:ascii="Times New Roman" w:hAnsi="Times New Roman" w:cs="Times New Roman"/>
          <w:sz w:val="24"/>
          <w:szCs w:val="24"/>
        </w:rPr>
        <w:t xml:space="preserve">и Българския лекарски съюз </w:t>
      </w:r>
      <w:r w:rsidR="00E23799" w:rsidRPr="00C24EC8">
        <w:rPr>
          <w:rFonts w:ascii="Times New Roman" w:hAnsi="Times New Roman" w:cs="Times New Roman"/>
          <w:sz w:val="24"/>
          <w:szCs w:val="24"/>
        </w:rPr>
        <w:t xml:space="preserve">(БЛС) </w:t>
      </w:r>
      <w:r w:rsidRPr="00C24EC8">
        <w:rPr>
          <w:rFonts w:ascii="Times New Roman" w:hAnsi="Times New Roman" w:cs="Times New Roman"/>
          <w:sz w:val="24"/>
          <w:szCs w:val="24"/>
        </w:rPr>
        <w:t>за 20</w:t>
      </w:r>
      <w:r w:rsidR="00F566F7">
        <w:rPr>
          <w:rFonts w:ascii="Times New Roman" w:hAnsi="Times New Roman" w:cs="Times New Roman"/>
          <w:sz w:val="24"/>
          <w:szCs w:val="24"/>
        </w:rPr>
        <w:t>23-2025</w:t>
      </w:r>
      <w:r w:rsidR="00E23799" w:rsidRPr="00C24EC8">
        <w:rPr>
          <w:rFonts w:ascii="Times New Roman" w:hAnsi="Times New Roman" w:cs="Times New Roman"/>
          <w:sz w:val="24"/>
          <w:szCs w:val="24"/>
        </w:rPr>
        <w:t xml:space="preserve"> </w:t>
      </w:r>
      <w:r w:rsidRPr="00C24EC8">
        <w:rPr>
          <w:rFonts w:ascii="Times New Roman" w:hAnsi="Times New Roman" w:cs="Times New Roman"/>
          <w:sz w:val="24"/>
          <w:szCs w:val="24"/>
        </w:rPr>
        <w:t>г.</w:t>
      </w:r>
      <w:r>
        <w:rPr>
          <w:rFonts w:ascii="Times New Roman" w:hAnsi="Times New Roman" w:cs="Times New Roman"/>
          <w:sz w:val="24"/>
          <w:szCs w:val="24"/>
        </w:rPr>
        <w:t xml:space="preserve"> </w:t>
      </w:r>
      <w:r w:rsidR="00AA170B" w:rsidRPr="00997C23">
        <w:rPr>
          <w:rFonts w:ascii="Times New Roman" w:hAnsi="Times New Roman" w:cs="Times New Roman"/>
          <w:sz w:val="24"/>
          <w:szCs w:val="24"/>
        </w:rPr>
        <w:t>е отразено, че неразделна част о</w:t>
      </w:r>
      <w:r w:rsidR="00A54F84" w:rsidRPr="00997C23">
        <w:rPr>
          <w:rFonts w:ascii="Times New Roman" w:hAnsi="Times New Roman" w:cs="Times New Roman"/>
          <w:sz w:val="24"/>
          <w:szCs w:val="24"/>
        </w:rPr>
        <w:t>т</w:t>
      </w:r>
      <w:r w:rsidR="00AA170B" w:rsidRPr="00997C23">
        <w:rPr>
          <w:rFonts w:ascii="Times New Roman" w:hAnsi="Times New Roman" w:cs="Times New Roman"/>
          <w:sz w:val="24"/>
          <w:szCs w:val="24"/>
        </w:rPr>
        <w:t xml:space="preserve"> диагностично-лечебния алгоритъм на терапевтичните к</w:t>
      </w:r>
      <w:r w:rsidR="00C618C4" w:rsidRPr="00997C23">
        <w:rPr>
          <w:rFonts w:ascii="Times New Roman" w:hAnsi="Times New Roman" w:cs="Times New Roman"/>
          <w:sz w:val="24"/>
          <w:szCs w:val="24"/>
        </w:rPr>
        <w:t>линични пътеки за заболявания са разработените и утвърдени по всяка специалност фармако-терапевтични ръководства. Контрол по спазването им се осъществява от Изпълнителна агенция „Медицински надзор“.</w:t>
      </w:r>
      <w:r w:rsidR="007533A1" w:rsidRPr="00997C23">
        <w:rPr>
          <w:rFonts w:ascii="Times New Roman" w:hAnsi="Times New Roman" w:cs="Times New Roman"/>
          <w:sz w:val="24"/>
          <w:szCs w:val="24"/>
        </w:rPr>
        <w:t xml:space="preserve"> </w:t>
      </w:r>
    </w:p>
    <w:p w14:paraId="55ACFC3A" w14:textId="77777777" w:rsidR="00DD67CB" w:rsidRDefault="00985427"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От </w:t>
      </w:r>
      <w:r w:rsidRPr="00997C23">
        <w:rPr>
          <w:rFonts w:ascii="Times New Roman" w:eastAsia="Times New Roman" w:hAnsi="Times New Roman" w:cs="Times New Roman"/>
          <w:bCs/>
          <w:iCs/>
          <w:sz w:val="24"/>
          <w:szCs w:val="24"/>
        </w:rPr>
        <w:t>2016 г.</w:t>
      </w:r>
      <w:r w:rsidRPr="00997C23">
        <w:rPr>
          <w:rFonts w:ascii="Times New Roman" w:hAnsi="Times New Roman" w:cs="Times New Roman"/>
          <w:sz w:val="24"/>
          <w:szCs w:val="24"/>
        </w:rPr>
        <w:t xml:space="preserve"> </w:t>
      </w:r>
      <w:r w:rsidR="00DD67CB" w:rsidRPr="00997C23">
        <w:rPr>
          <w:rFonts w:ascii="Times New Roman" w:hAnsi="Times New Roman" w:cs="Times New Roman"/>
          <w:sz w:val="24"/>
          <w:szCs w:val="24"/>
        </w:rPr>
        <w:t xml:space="preserve">България участва в глобалните анкетни проучвания на СЗО, </w:t>
      </w:r>
      <w:r w:rsidR="00416C4A">
        <w:rPr>
          <w:rFonts w:ascii="Times New Roman" w:hAnsi="Times New Roman" w:cs="Times New Roman"/>
          <w:sz w:val="24"/>
          <w:szCs w:val="24"/>
        </w:rPr>
        <w:t>Организация</w:t>
      </w:r>
      <w:r w:rsidR="00A3746D">
        <w:rPr>
          <w:rFonts w:ascii="Times New Roman" w:hAnsi="Times New Roman" w:cs="Times New Roman"/>
          <w:sz w:val="24"/>
          <w:szCs w:val="24"/>
        </w:rPr>
        <w:t xml:space="preserve">та </w:t>
      </w:r>
      <w:r w:rsidR="00416C4A">
        <w:rPr>
          <w:rFonts w:ascii="Times New Roman" w:hAnsi="Times New Roman" w:cs="Times New Roman"/>
          <w:sz w:val="24"/>
          <w:szCs w:val="24"/>
        </w:rPr>
        <w:t xml:space="preserve">по прехрана и </w:t>
      </w:r>
      <w:r w:rsidR="00730494">
        <w:rPr>
          <w:rFonts w:ascii="Times New Roman" w:hAnsi="Times New Roman" w:cs="Times New Roman"/>
          <w:sz w:val="24"/>
          <w:szCs w:val="24"/>
        </w:rPr>
        <w:t>земеделие</w:t>
      </w:r>
      <w:r w:rsidR="00416C4A">
        <w:rPr>
          <w:rFonts w:ascii="Times New Roman" w:hAnsi="Times New Roman" w:cs="Times New Roman"/>
          <w:sz w:val="24"/>
          <w:szCs w:val="24"/>
        </w:rPr>
        <w:t xml:space="preserve"> </w:t>
      </w:r>
      <w:r w:rsidR="00A3746D">
        <w:rPr>
          <w:rFonts w:ascii="Times New Roman" w:hAnsi="Times New Roman" w:cs="Times New Roman"/>
          <w:sz w:val="24"/>
          <w:szCs w:val="24"/>
        </w:rPr>
        <w:t>(</w:t>
      </w:r>
      <w:r w:rsidR="00A3746D" w:rsidRPr="00997C23">
        <w:rPr>
          <w:rFonts w:ascii="Times New Roman" w:hAnsi="Times New Roman" w:cs="Times New Roman"/>
          <w:sz w:val="24"/>
          <w:szCs w:val="24"/>
        </w:rPr>
        <w:t>ФАО</w:t>
      </w:r>
      <w:r w:rsidR="00A3746D">
        <w:rPr>
          <w:rFonts w:ascii="Times New Roman" w:hAnsi="Times New Roman" w:cs="Times New Roman"/>
          <w:sz w:val="24"/>
          <w:szCs w:val="24"/>
        </w:rPr>
        <w:t>)</w:t>
      </w:r>
      <w:r w:rsidR="00A3746D" w:rsidRPr="00997C23">
        <w:rPr>
          <w:rFonts w:ascii="Times New Roman" w:hAnsi="Times New Roman" w:cs="Times New Roman"/>
          <w:sz w:val="24"/>
          <w:szCs w:val="24"/>
        </w:rPr>
        <w:t xml:space="preserve"> </w:t>
      </w:r>
      <w:r w:rsidR="00416C4A">
        <w:rPr>
          <w:rFonts w:ascii="Times New Roman" w:hAnsi="Times New Roman" w:cs="Times New Roman"/>
          <w:sz w:val="24"/>
          <w:szCs w:val="24"/>
        </w:rPr>
        <w:t xml:space="preserve">на Организацията на обединените нации </w:t>
      </w:r>
      <w:r w:rsidR="00DD67CB" w:rsidRPr="00997C23">
        <w:rPr>
          <w:rFonts w:ascii="Times New Roman" w:hAnsi="Times New Roman" w:cs="Times New Roman"/>
          <w:sz w:val="24"/>
          <w:szCs w:val="24"/>
        </w:rPr>
        <w:t xml:space="preserve">и </w:t>
      </w:r>
      <w:r w:rsidR="0032787D">
        <w:rPr>
          <w:rFonts w:ascii="Times New Roman" w:hAnsi="Times New Roman" w:cs="Times New Roman"/>
          <w:sz w:val="24"/>
          <w:szCs w:val="24"/>
        </w:rPr>
        <w:t>Световна орг</w:t>
      </w:r>
      <w:r w:rsidR="00E23799">
        <w:rPr>
          <w:rFonts w:ascii="Times New Roman" w:hAnsi="Times New Roman" w:cs="Times New Roman"/>
          <w:sz w:val="24"/>
          <w:szCs w:val="24"/>
        </w:rPr>
        <w:t>а</w:t>
      </w:r>
      <w:r w:rsidR="0032787D">
        <w:rPr>
          <w:rFonts w:ascii="Times New Roman" w:hAnsi="Times New Roman" w:cs="Times New Roman"/>
          <w:sz w:val="24"/>
          <w:szCs w:val="24"/>
        </w:rPr>
        <w:t>низация по здравеопазване на животните (</w:t>
      </w:r>
      <w:r w:rsidR="00A3746D">
        <w:rPr>
          <w:rFonts w:ascii="Times New Roman" w:hAnsi="Times New Roman" w:cs="Times New Roman"/>
          <w:sz w:val="24"/>
          <w:szCs w:val="24"/>
        </w:rPr>
        <w:t>СОЗЖ</w:t>
      </w:r>
      <w:r w:rsidR="0032787D">
        <w:rPr>
          <w:rFonts w:ascii="Times New Roman" w:hAnsi="Times New Roman" w:cs="Times New Roman"/>
          <w:sz w:val="24"/>
          <w:szCs w:val="24"/>
        </w:rPr>
        <w:t>)</w:t>
      </w:r>
      <w:r w:rsidR="00DD67CB" w:rsidRPr="00997C23">
        <w:rPr>
          <w:rFonts w:ascii="Times New Roman" w:hAnsi="Times New Roman" w:cs="Times New Roman"/>
          <w:sz w:val="24"/>
          <w:szCs w:val="24"/>
          <w:lang w:val="en-US"/>
        </w:rPr>
        <w:t xml:space="preserve"> </w:t>
      </w:r>
      <w:r w:rsidR="00DD67CB" w:rsidRPr="00997C23">
        <w:rPr>
          <w:rFonts w:ascii="Times New Roman" w:hAnsi="Times New Roman" w:cs="Times New Roman"/>
          <w:sz w:val="24"/>
          <w:szCs w:val="24"/>
        </w:rPr>
        <w:t xml:space="preserve">за самооценка при имплементиране целите на </w:t>
      </w:r>
      <w:r w:rsidR="00DD67CB" w:rsidRPr="00FB4BD6">
        <w:rPr>
          <w:rFonts w:ascii="Times New Roman" w:hAnsi="Times New Roman" w:cs="Times New Roman"/>
          <w:sz w:val="24"/>
          <w:szCs w:val="24"/>
        </w:rPr>
        <w:t xml:space="preserve">Глобалния </w:t>
      </w:r>
      <w:r w:rsidR="00882F2E" w:rsidRPr="00FB4BD6">
        <w:rPr>
          <w:rFonts w:ascii="Times New Roman" w:hAnsi="Times New Roman" w:cs="Times New Roman"/>
          <w:sz w:val="24"/>
          <w:szCs w:val="24"/>
        </w:rPr>
        <w:t>П</w:t>
      </w:r>
      <w:r w:rsidR="00E23799" w:rsidRPr="00FB4BD6">
        <w:rPr>
          <w:rFonts w:ascii="Times New Roman" w:hAnsi="Times New Roman" w:cs="Times New Roman"/>
          <w:sz w:val="24"/>
          <w:szCs w:val="24"/>
        </w:rPr>
        <w:t>лан</w:t>
      </w:r>
      <w:r w:rsidR="00641228" w:rsidRPr="00FB4BD6">
        <w:rPr>
          <w:rFonts w:ascii="Times New Roman" w:hAnsi="Times New Roman" w:cs="Times New Roman"/>
          <w:sz w:val="24"/>
          <w:szCs w:val="24"/>
          <w:lang w:val="en-US"/>
        </w:rPr>
        <w:t xml:space="preserve"> </w:t>
      </w:r>
      <w:r w:rsidR="00641228" w:rsidRPr="00FB4BD6">
        <w:rPr>
          <w:rFonts w:ascii="Times New Roman" w:hAnsi="Times New Roman" w:cs="Times New Roman"/>
          <w:sz w:val="24"/>
          <w:szCs w:val="24"/>
        </w:rPr>
        <w:t>срещу ан</w:t>
      </w:r>
      <w:r w:rsidR="00FB4BD6" w:rsidRPr="00FB4BD6">
        <w:rPr>
          <w:rFonts w:ascii="Times New Roman" w:hAnsi="Times New Roman" w:cs="Times New Roman"/>
          <w:sz w:val="24"/>
          <w:szCs w:val="24"/>
        </w:rPr>
        <w:t>т</w:t>
      </w:r>
      <w:r w:rsidR="00641228" w:rsidRPr="00FB4BD6">
        <w:rPr>
          <w:rFonts w:ascii="Times New Roman" w:hAnsi="Times New Roman" w:cs="Times New Roman"/>
          <w:sz w:val="24"/>
          <w:szCs w:val="24"/>
        </w:rPr>
        <w:t>имикробна резистентност на СЗО</w:t>
      </w:r>
      <w:r w:rsidR="00BF26C8" w:rsidRPr="00FB4BD6">
        <w:rPr>
          <w:rFonts w:ascii="Times New Roman" w:hAnsi="Times New Roman" w:cs="Times New Roman"/>
          <w:sz w:val="24"/>
          <w:szCs w:val="24"/>
        </w:rPr>
        <w:t>.</w:t>
      </w:r>
      <w:r w:rsidR="00DD67CB" w:rsidRPr="00FB4BD6">
        <w:rPr>
          <w:rFonts w:ascii="Times New Roman" w:hAnsi="Times New Roman" w:cs="Times New Roman"/>
          <w:sz w:val="24"/>
          <w:szCs w:val="24"/>
        </w:rPr>
        <w:t xml:space="preserve"> По-долу са групирани </w:t>
      </w:r>
      <w:r w:rsidR="00007D77" w:rsidRPr="00FB4BD6">
        <w:rPr>
          <w:rFonts w:ascii="Times New Roman" w:hAnsi="Times New Roman" w:cs="Times New Roman"/>
          <w:sz w:val="24"/>
          <w:szCs w:val="24"/>
        </w:rPr>
        <w:t xml:space="preserve">извършваните до момента </w:t>
      </w:r>
      <w:r w:rsidR="00DD67CB" w:rsidRPr="00FB4BD6">
        <w:rPr>
          <w:rFonts w:ascii="Times New Roman" w:hAnsi="Times New Roman" w:cs="Times New Roman"/>
          <w:sz w:val="24"/>
          <w:szCs w:val="24"/>
        </w:rPr>
        <w:t>дейности на национално ниво</w:t>
      </w:r>
      <w:r w:rsidRPr="00FB4BD6">
        <w:rPr>
          <w:rFonts w:ascii="Times New Roman" w:hAnsi="Times New Roman" w:cs="Times New Roman"/>
          <w:sz w:val="24"/>
          <w:szCs w:val="24"/>
        </w:rPr>
        <w:t>,</w:t>
      </w:r>
      <w:r w:rsidR="00DD67CB" w:rsidRPr="00FB4BD6">
        <w:rPr>
          <w:rFonts w:ascii="Times New Roman" w:hAnsi="Times New Roman" w:cs="Times New Roman"/>
          <w:sz w:val="24"/>
          <w:szCs w:val="24"/>
        </w:rPr>
        <w:t xml:space="preserve"> свързани с ограничаване на А</w:t>
      </w:r>
      <w:r w:rsidR="00641228" w:rsidRPr="00FB4BD6">
        <w:rPr>
          <w:rFonts w:ascii="Times New Roman" w:hAnsi="Times New Roman" w:cs="Times New Roman"/>
          <w:sz w:val="24"/>
          <w:szCs w:val="24"/>
        </w:rPr>
        <w:t>М</w:t>
      </w:r>
      <w:r w:rsidR="00DD67CB" w:rsidRPr="00FB4BD6">
        <w:rPr>
          <w:rFonts w:ascii="Times New Roman" w:hAnsi="Times New Roman" w:cs="Times New Roman"/>
          <w:sz w:val="24"/>
          <w:szCs w:val="24"/>
        </w:rPr>
        <w:t>Р в съответствие със стратегическите цели на Европейския</w:t>
      </w:r>
      <w:r w:rsidR="00641228" w:rsidRPr="00FB4BD6">
        <w:rPr>
          <w:rFonts w:ascii="Times New Roman" w:hAnsi="Times New Roman"/>
          <w:sz w:val="24"/>
          <w:lang w:val="en-US"/>
        </w:rPr>
        <w:t xml:space="preserve"> </w:t>
      </w:r>
      <w:r w:rsidR="00641228" w:rsidRPr="00FB4BD6">
        <w:rPr>
          <w:rFonts w:ascii="Times New Roman" w:hAnsi="Times New Roman" w:cs="Times New Roman"/>
          <w:sz w:val="24"/>
          <w:szCs w:val="24"/>
        </w:rPr>
        <w:t>план за действие срещу АМР</w:t>
      </w:r>
      <w:r w:rsidR="00DD67CB" w:rsidRPr="00FB4BD6">
        <w:rPr>
          <w:rFonts w:ascii="Times New Roman" w:hAnsi="Times New Roman" w:cs="Times New Roman"/>
          <w:sz w:val="24"/>
          <w:szCs w:val="24"/>
        </w:rPr>
        <w:t xml:space="preserve"> и Глобалния </w:t>
      </w:r>
      <w:r w:rsidR="00882F2E" w:rsidRPr="00FB4BD6">
        <w:rPr>
          <w:rFonts w:ascii="Times New Roman" w:hAnsi="Times New Roman" w:cs="Times New Roman"/>
          <w:sz w:val="24"/>
          <w:szCs w:val="24"/>
        </w:rPr>
        <w:t>П</w:t>
      </w:r>
      <w:r w:rsidR="00E23799" w:rsidRPr="00FB4BD6">
        <w:rPr>
          <w:rFonts w:ascii="Times New Roman" w:hAnsi="Times New Roman" w:cs="Times New Roman"/>
          <w:sz w:val="24"/>
          <w:szCs w:val="24"/>
        </w:rPr>
        <w:t>лан</w:t>
      </w:r>
      <w:r w:rsidR="00641228" w:rsidRPr="00FB4BD6">
        <w:rPr>
          <w:rFonts w:ascii="Times New Roman" w:hAnsi="Times New Roman" w:cs="Times New Roman"/>
          <w:sz w:val="24"/>
          <w:szCs w:val="24"/>
        </w:rPr>
        <w:t xml:space="preserve"> за</w:t>
      </w:r>
      <w:r w:rsidR="00641228">
        <w:rPr>
          <w:rFonts w:ascii="Times New Roman" w:hAnsi="Times New Roman" w:cs="Times New Roman"/>
          <w:sz w:val="24"/>
          <w:szCs w:val="24"/>
        </w:rPr>
        <w:t xml:space="preserve"> действие срещу АМР на СЗО</w:t>
      </w:r>
      <w:r w:rsidR="00D8034D" w:rsidRPr="00997C23">
        <w:rPr>
          <w:rFonts w:ascii="Times New Roman" w:hAnsi="Times New Roman" w:cs="Times New Roman"/>
          <w:sz w:val="24"/>
          <w:szCs w:val="24"/>
        </w:rPr>
        <w:t xml:space="preserve"> </w:t>
      </w:r>
      <w:r w:rsidR="00D8034D"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{"citationItems":[{"id":"ITEM-1","itemData":{"author":[{"dropping-particle":"","family":"WHO","given":"","non-dropping-particle":"","parse-names":false,"suffix":""}],"container-title":"WHO","id":"ITEM-1","issued":{"date-parts":[["2016"]]},"publisher":"World Health Organization","title":"WHO - Global action plan on AMR","type":"article"},"uris":["http://www.mendeley.com/documents/?uuid=2a3cbd79-11dd-3599-8d4d-1c0ed73eec7a"]},{"id":"ITEM-2","itemData":{"author":[{"dropping-particle":"","family":"EC","given":"","non-dropping-particle":"","parse-names":false,"suffix":""}],"id":"ITEM-2","issued":{"date-parts":[["2017"]]},"title":"COMMUNICATION FROM THE COMMISSION TO THE COUNCIL AND THE EUROPEAN PARLIAMENT A European One Health Action Plan against Antimicrobial Resistance (AMR)- COM/2017/0339 final","type":"article"},"uris":["http://www.mendeley.com/documents/?uuid=a8e43cae-81ee-4ad5-928a-df10e3b95798"]},{"id":"ITEM-3","itemData":{"author":[{"dropping-particle":"","family":"EC","given":"","non-dropping-particle":"","parse-names":false,"suffix":""}],"id":"ITEM-3","issued":{"date-parts":[["2018"]]},"title":"Special eurobarometer 478. Report. Antibiotic resistance","type":"article-journal"},"uris":["http://www.mendeley.com/documents/?uuid=8f391651-9091-4876-be04-26bea29f5887"]},{"id":"ITEM-4","itemData":{"author":[{"dropping-particle":"","family":"European Centre for Disease Prevention and Control","given":"","non-dropping-particle":"","parse-names":false,"suffix":""}],"id":"ITEM-4","issued":{"date-parts":[["2018"]]},"publisher-place":"Stockholm","title":"Annual report of the European Antimicrobial Resistance Surveillance Network (EARS-Net) 2017","type":"report"},"uris":["http://www.mendeley.com/documents/?uuid=2082846a-fde4-4483-8870-0b989821ef72"]},{"id":"ITEM-5","itemData":{"author":[{"dropping-particle":"","family":"ECDC","given":"","non-dropping-particle":"","parse-names":false,"suffix":""}],"id":"ITEM-5","issued":{"date-parts":[["2018"]]},"title":"European Centre for Disease Prevention and Control. Antimicrobial consumption. In: ECDC. Annual epidemiological report 2017","type":"report"},"uris":["http://www.mendeley.com/documents/?uuid=7ee68bc2-13fd-4dce-8e73-3545658d6779"]},{"id":"ITEM-6","itemData":{"URL":"https://eur-lex.europa.eu/legal-content/EN/TXT/?qid=1560131846063&amp;uri=CELEX:32015D0495","accessed":{"date-parts":[["2019","6","10"]]},"author":[{"dropping-particle":"","family":"European Commission","given":"","non-dropping-particle":"","parse-names":false,"suffix":""}],"container-title":"COMMISSION IMPLEMENTING DECISION (EU) 2015/495  of 20 March 2015  establishing a watch list of substances for Union-wide monitoring in the field of water policy pursuant to Directive 2008/105/EC of the European Parliament and of the Council","id":"ITEM-6","issued":{"date-parts":[["2015"]]},"title":"COMMISSION IMPLEMENTING DECISION (EU) 2015/495","type":"webpage"},"uris":["http://www.mendeley.com/documents/?uuid=a6a06c12-d63a-3e81-af2d-f4de86e65109"]}],"mendeley":{"formattedCitation":"[4]–[6], [22]–[24]","plainTextFormattedCitation":"[4]–[6], [22]–[24]","previouslyFormattedCitation":"(EC, 2017, 2018; ECDC, 2018a; European Centre for Disease Prevention and Control, 2018; European Commission, 2015; WHO, 2016)"},"properties":{"noteIndex":0},"schema":"https://github.com/citation-style-language/schema/raw/master/csl-citation.json"}</w:instrText>
      </w:r>
      <w:r w:rsidR="00D8034D"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[4]–[6], [22]–[24]</w:t>
      </w:r>
      <w:r w:rsidR="00D8034D" w:rsidRPr="00997C23">
        <w:rPr>
          <w:rFonts w:ascii="Times New Roman" w:hAnsi="Times New Roman" w:cs="Times New Roman"/>
          <w:sz w:val="24"/>
          <w:szCs w:val="24"/>
        </w:rPr>
        <w:fldChar w:fldCharType="end"/>
      </w:r>
      <w:r w:rsidR="00C74042"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w:t>
      </w:r>
    </w:p>
    <w:p w14:paraId="68552A3D" w14:textId="77777777" w:rsidR="00F12D64" w:rsidRPr="00997C23" w:rsidRDefault="00F12D64" w:rsidP="00C467DB">
      <w:pPr>
        <w:spacing w:after="0" w:line="360" w:lineRule="auto"/>
        <w:ind w:firstLine="709"/>
        <w:contextualSpacing/>
        <w:jc w:val="both"/>
        <w:rPr>
          <w:rFonts w:ascii="Times New Roman" w:hAnsi="Times New Roman" w:cs="Times New Roman"/>
          <w:b/>
          <w:sz w:val="24"/>
          <w:szCs w:val="24"/>
          <w:lang w:val="en-US"/>
        </w:rPr>
      </w:pPr>
      <w:r>
        <w:rPr>
          <w:rFonts w:ascii="Times New Roman" w:hAnsi="Times New Roman" w:cs="Times New Roman"/>
          <w:sz w:val="24"/>
          <w:szCs w:val="24"/>
        </w:rPr>
        <w:t>В</w:t>
      </w:r>
      <w:r w:rsidRPr="00FB4BD6">
        <w:rPr>
          <w:rFonts w:ascii="Times New Roman" w:hAnsi="Times New Roman" w:cs="Times New Roman"/>
          <w:sz w:val="24"/>
          <w:szCs w:val="24"/>
        </w:rPr>
        <w:t xml:space="preserve"> съответствие със стратегическите цели на Европейския</w:t>
      </w:r>
      <w:r w:rsidRPr="00FB4BD6">
        <w:rPr>
          <w:rFonts w:ascii="Times New Roman" w:hAnsi="Times New Roman"/>
          <w:sz w:val="24"/>
          <w:lang w:val="en-US"/>
        </w:rPr>
        <w:t xml:space="preserve"> </w:t>
      </w:r>
      <w:r w:rsidRPr="00FB4BD6">
        <w:rPr>
          <w:rFonts w:ascii="Times New Roman" w:hAnsi="Times New Roman" w:cs="Times New Roman"/>
          <w:sz w:val="24"/>
          <w:szCs w:val="24"/>
        </w:rPr>
        <w:t>план за действие срещу АМР</w:t>
      </w:r>
      <w:r>
        <w:rPr>
          <w:rFonts w:ascii="Times New Roman" w:hAnsi="Times New Roman" w:cs="Times New Roman"/>
          <w:sz w:val="24"/>
          <w:szCs w:val="24"/>
        </w:rPr>
        <w:t>, на</w:t>
      </w:r>
      <w:r w:rsidRPr="00FB4BD6">
        <w:rPr>
          <w:rFonts w:ascii="Times New Roman" w:hAnsi="Times New Roman" w:cs="Times New Roman"/>
          <w:sz w:val="24"/>
          <w:szCs w:val="24"/>
        </w:rPr>
        <w:t xml:space="preserve"> Глобалния План за</w:t>
      </w:r>
      <w:r>
        <w:rPr>
          <w:rFonts w:ascii="Times New Roman" w:hAnsi="Times New Roman" w:cs="Times New Roman"/>
          <w:sz w:val="24"/>
          <w:szCs w:val="24"/>
        </w:rPr>
        <w:t xml:space="preserve"> действие срещу АМР на СЗО</w:t>
      </w:r>
      <w:r w:rsidR="00EE3A3D">
        <w:rPr>
          <w:rFonts w:ascii="Times New Roman" w:hAnsi="Times New Roman" w:cs="Times New Roman"/>
          <w:sz w:val="24"/>
          <w:szCs w:val="24"/>
        </w:rPr>
        <w:t xml:space="preserve">, на </w:t>
      </w:r>
      <w:r w:rsidR="00EE3A3D" w:rsidRPr="001A763F">
        <w:rPr>
          <w:rFonts w:ascii="Times New Roman" w:hAnsi="Times New Roman" w:cs="Times New Roman"/>
          <w:sz w:val="24"/>
          <w:szCs w:val="24"/>
        </w:rPr>
        <w:t xml:space="preserve">„Препоръка на Съвета за </w:t>
      </w:r>
      <w:r w:rsidR="00EE3A3D" w:rsidRPr="001A763F">
        <w:rPr>
          <w:rFonts w:ascii="Times New Roman" w:hAnsi="Times New Roman" w:cs="Times New Roman"/>
          <w:sz w:val="24"/>
          <w:szCs w:val="24"/>
        </w:rPr>
        <w:lastRenderedPageBreak/>
        <w:t>засилване на действията на ЕС за борба с антимикробната резистентност съгласно подхода „Едно здраве“ (2023/C 220/01)“</w:t>
      </w:r>
      <w:r w:rsidRPr="00997C23">
        <w:rPr>
          <w:rFonts w:ascii="Times New Roman" w:hAnsi="Times New Roman" w:cs="Times New Roman"/>
          <w:sz w:val="24"/>
          <w:szCs w:val="24"/>
        </w:rPr>
        <w:t xml:space="preserve"> </w:t>
      </w:r>
      <w:r w:rsidRPr="00997C23">
        <w:rPr>
          <w:rFonts w:ascii="Times New Roman" w:hAnsi="Times New Roman" w:cs="Times New Roman"/>
          <w:sz w:val="24"/>
          <w:szCs w:val="24"/>
        </w:rPr>
        <w:fldChar w:fldCharType="begin" w:fldLock="1"/>
      </w:r>
      <w:r w:rsidRPr="00997C23">
        <w:rPr>
          <w:rFonts w:ascii="Times New Roman" w:hAnsi="Times New Roman" w:cs="Times New Roman"/>
          <w:sz w:val="24"/>
          <w:szCs w:val="24"/>
        </w:rPr>
        <w:instrText>ADDIN CSL_CITATION {"citationItems":[{"id":"ITEM-1","itemData":{"author":[{"dropping-particle":"","family":"WHO","given":"","non-dropping-particle":"","parse-names":false,"suffix":""}],"container-title":"WHO","id":"ITEM-1","issued":{"date-parts":[["2016"]]},"publisher":"World Health Organization","title":"WHO - Global action plan on AMR","type":"article"},"uris":["http://www.mendeley.com/documents/?uuid=2a3cbd79-11dd-3599-8d4d-1c0ed73eec7a"]},{"id":"ITEM-2","itemData":{"author":[{"dropping-particle":"","family":"EC","given":"","non-dropping-particle":"","parse-names":false,"suffix":""}],"id":"ITEM-2","issued":{"date-parts":[["2017"]]},"title":"COMMUNICATION FROM THE COMMISSION TO THE COUNCIL AND THE EUROPEAN PARLIAMENT A European One Health Action Plan against Antimicrobial Resistance (AMR)- COM/2017/0339 final","type":"article"},"uris":["http://www.mendeley.com/documents/?uuid=a8e43cae-81ee-4ad5-928a-df10e3b95798"]},{"id":"ITEM-3","itemData":{"author":[{"dropping-particle":"","family":"EC","given":"","non-dropping-particle":"","parse-names":false,"suffix":""}],"id":"ITEM-3","issued":{"date-parts":[["2018"]]},"title":"Special eurobarometer 478. Report. Antibiotic resistance","type":"article-journal"},"uris":["http://www.mendeley.com/documents/?uuid=8f391651-9091-4876-be04-26bea29f5887"]},{"id":"ITEM-4","itemData":{"author":[{"dropping-particle":"","family":"European Centre for Disease Prevention and Control","given":"","non-dropping-particle":"","parse-names":false,"suffix":""}],"id":"ITEM-4","issued":{"date-parts":[["2018"]]},"publisher-place":"Stockholm","title":"Annual report of the European Antimicrobial Resistance Surveillance Network (EARS-Net) 2017","type":"report"},"uris":["http://www.mendeley.com/documents/?uuid=2082846a-fde4-4483-8870-0b989821ef72"]},{"id":"ITEM-5","itemData":{"author":[{"dropping-particle":"","family":"ECDC","given":"","non-dropping-particle":"","parse-names":false,"suffix":""}],"id":"ITEM-5","issued":{"date-parts":[["2018"]]},"title":"European Centre for Disease Prevention and Control. Antimicrobial consumption. In: ECDC. Annual epidemiological report 2017","type":"report"},"uris":["http://www.mendeley.com/documents/?uuid=7ee68bc2-13fd-4dce-8e73-3545658d6779"]},{"id":"ITEM-6","itemData":{"URL":"https://eur-lex.europa.eu/legal-content/EN/TXT/?qid=1560131846063&amp;uri=CELEX:32015D0495","accessed":{"date-parts":[["2019","6","10"]]},"author":[{"dropping-particle":"","family":"European Commission","given":"","non-dropping-particle":"","parse-names":false,"suffix":""}],"container-title":"COMMISSION IMPLEMENTING DECISION (EU) 2015/495  of 20 March 2015  establishing a watch list of substances for Union-wide monitoring in the field of water policy pursuant to Directive 2008/105/EC of the European Parliament and of the Council","id":"ITEM-6","issued":{"date-parts":[["2015"]]},"title":"COMMISSION IMPLEMENTING DECISION (EU) 2015/495","type":"webpage"},"uris":["http://www.mendeley.com/documents/?uuid=a6a06c12-d63a-3e81-af2d-f4de86e65109"]}],"mendeley":{"formattedCitation":"[4]–[6], [22]–[24]","plainTextFormattedCitation":"[4]–[6], [22]–[24]","previouslyFormattedCitation":"(EC, 2017, 2018; ECDC, 2018a; European Centre for Disease Prevention and Control, 2018; European Commission, 2015; WHO, 2016)"},"properties":{"noteIndex":0},"schema":"https://github.com/citation-style-language/schema/raw/master/csl-citation.json"}</w:instrText>
      </w:r>
      <w:r w:rsidRPr="00997C23">
        <w:rPr>
          <w:rFonts w:ascii="Times New Roman" w:hAnsi="Times New Roman" w:cs="Times New Roman"/>
          <w:sz w:val="24"/>
          <w:szCs w:val="24"/>
        </w:rPr>
        <w:fldChar w:fldCharType="separate"/>
      </w:r>
      <w:r w:rsidRPr="00997C23">
        <w:rPr>
          <w:rFonts w:ascii="Times New Roman" w:hAnsi="Times New Roman" w:cs="Times New Roman"/>
          <w:noProof/>
          <w:sz w:val="24"/>
          <w:szCs w:val="24"/>
        </w:rPr>
        <w:t>[4]–[6]</w:t>
      </w:r>
      <w:r w:rsidR="00244FB7">
        <w:rPr>
          <w:rFonts w:ascii="Times New Roman" w:hAnsi="Times New Roman" w:cs="Times New Roman"/>
          <w:noProof/>
          <w:sz w:val="24"/>
          <w:szCs w:val="24"/>
          <w:lang w:val="en-US"/>
        </w:rPr>
        <w:t>, [45]</w:t>
      </w:r>
      <w:r w:rsidRPr="00997C23">
        <w:rPr>
          <w:rFonts w:ascii="Times New Roman" w:hAnsi="Times New Roman" w:cs="Times New Roman"/>
          <w:noProof/>
          <w:sz w:val="24"/>
          <w:szCs w:val="24"/>
        </w:rPr>
        <w:t xml:space="preserve">, </w:t>
      </w:r>
      <w:r w:rsidRPr="00997C23">
        <w:rPr>
          <w:rFonts w:ascii="Times New Roman" w:hAnsi="Times New Roman" w:cs="Times New Roman"/>
          <w:sz w:val="24"/>
          <w:szCs w:val="24"/>
        </w:rPr>
        <w:fldChar w:fldCharType="end"/>
      </w:r>
      <w:r w:rsidR="00921334">
        <w:rPr>
          <w:rFonts w:ascii="Times New Roman" w:hAnsi="Times New Roman" w:cs="Times New Roman"/>
          <w:sz w:val="24"/>
          <w:szCs w:val="24"/>
        </w:rPr>
        <w:t xml:space="preserve">и </w:t>
      </w:r>
      <w:r w:rsidRPr="00FB4BD6">
        <w:rPr>
          <w:rFonts w:ascii="Times New Roman" w:hAnsi="Times New Roman" w:cs="Times New Roman"/>
          <w:sz w:val="24"/>
          <w:szCs w:val="24"/>
        </w:rPr>
        <w:t>извърш</w:t>
      </w:r>
      <w:r>
        <w:rPr>
          <w:rFonts w:ascii="Times New Roman" w:hAnsi="Times New Roman" w:cs="Times New Roman"/>
          <w:sz w:val="24"/>
          <w:szCs w:val="24"/>
        </w:rPr>
        <w:t>е</w:t>
      </w:r>
      <w:r w:rsidRPr="00FB4BD6">
        <w:rPr>
          <w:rFonts w:ascii="Times New Roman" w:hAnsi="Times New Roman" w:cs="Times New Roman"/>
          <w:sz w:val="24"/>
          <w:szCs w:val="24"/>
        </w:rPr>
        <w:t>ните до момента дейности на национално ниво, свързани с ограничаване на АМР</w:t>
      </w:r>
      <w:r>
        <w:rPr>
          <w:rFonts w:ascii="Times New Roman" w:hAnsi="Times New Roman" w:cs="Times New Roman"/>
          <w:sz w:val="24"/>
          <w:szCs w:val="24"/>
        </w:rPr>
        <w:t xml:space="preserve">, са изведени следните </w:t>
      </w:r>
      <w:r w:rsidR="00921334">
        <w:rPr>
          <w:rFonts w:ascii="Times New Roman" w:hAnsi="Times New Roman" w:cs="Times New Roman"/>
          <w:sz w:val="24"/>
          <w:szCs w:val="24"/>
        </w:rPr>
        <w:t>о</w:t>
      </w:r>
      <w:r w:rsidR="00871933">
        <w:rPr>
          <w:rFonts w:ascii="Times New Roman" w:hAnsi="Times New Roman" w:cs="Times New Roman"/>
          <w:sz w:val="24"/>
          <w:szCs w:val="24"/>
        </w:rPr>
        <w:t xml:space="preserve">сновни </w:t>
      </w:r>
      <w:r>
        <w:rPr>
          <w:rFonts w:ascii="Times New Roman" w:hAnsi="Times New Roman" w:cs="Times New Roman"/>
          <w:sz w:val="24"/>
          <w:szCs w:val="24"/>
        </w:rPr>
        <w:t>цели:</w:t>
      </w:r>
    </w:p>
    <w:p w14:paraId="264258F4" w14:textId="77777777" w:rsidR="00921334" w:rsidRDefault="00921334" w:rsidP="00E843C8">
      <w:pPr>
        <w:pStyle w:val="Heading2"/>
        <w:spacing w:before="0" w:line="360" w:lineRule="auto"/>
        <w:jc w:val="both"/>
        <w:rPr>
          <w:rFonts w:ascii="Times New Roman" w:eastAsiaTheme="majorEastAsia" w:hAnsi="Times New Roman"/>
          <w:bCs w:val="0"/>
          <w:color w:val="auto"/>
          <w:sz w:val="24"/>
          <w:szCs w:val="24"/>
          <w:lang w:eastAsia="bg-BG"/>
        </w:rPr>
      </w:pPr>
    </w:p>
    <w:p w14:paraId="5A5B469B" w14:textId="77777777" w:rsidR="00DD67CB" w:rsidRPr="00997C23" w:rsidRDefault="00871933" w:rsidP="00E843C8">
      <w:pPr>
        <w:pStyle w:val="Heading2"/>
        <w:spacing w:before="0" w:line="360" w:lineRule="auto"/>
        <w:jc w:val="both"/>
        <w:rPr>
          <w:rFonts w:ascii="Times New Roman" w:hAnsi="Times New Roman"/>
          <w:b w:val="0"/>
          <w:color w:val="auto"/>
          <w:sz w:val="24"/>
          <w:szCs w:val="24"/>
        </w:rPr>
      </w:pPr>
      <w:bookmarkStart w:id="5" w:name="_Toc200721735"/>
      <w:r>
        <w:rPr>
          <w:rFonts w:ascii="Times New Roman" w:eastAsiaTheme="majorEastAsia" w:hAnsi="Times New Roman"/>
          <w:bCs w:val="0"/>
          <w:color w:val="auto"/>
          <w:sz w:val="24"/>
          <w:szCs w:val="24"/>
          <w:lang w:eastAsia="bg-BG"/>
        </w:rPr>
        <w:t>ОСНОВНА</w:t>
      </w:r>
      <w:r w:rsidRPr="00997C23">
        <w:rPr>
          <w:rFonts w:ascii="Times New Roman" w:eastAsiaTheme="majorEastAsia" w:hAnsi="Times New Roman"/>
          <w:bCs w:val="0"/>
          <w:color w:val="auto"/>
          <w:sz w:val="24"/>
          <w:szCs w:val="24"/>
          <w:lang w:eastAsia="bg-BG"/>
        </w:rPr>
        <w:t xml:space="preserve"> </w:t>
      </w:r>
      <w:r w:rsidR="00833477" w:rsidRPr="00997C23">
        <w:rPr>
          <w:rFonts w:ascii="Times New Roman" w:eastAsiaTheme="majorEastAsia" w:hAnsi="Times New Roman"/>
          <w:bCs w:val="0"/>
          <w:color w:val="auto"/>
          <w:sz w:val="24"/>
          <w:szCs w:val="24"/>
          <w:lang w:eastAsia="bg-BG"/>
        </w:rPr>
        <w:t>ЦЕЛ 1.</w:t>
      </w:r>
      <w:r w:rsidR="00833477" w:rsidRPr="00997C23">
        <w:rPr>
          <w:rFonts w:ascii="Times New Roman" w:hAnsi="Times New Roman"/>
          <w:color w:val="auto"/>
          <w:sz w:val="24"/>
          <w:szCs w:val="24"/>
        </w:rPr>
        <w:t xml:space="preserve"> </w:t>
      </w:r>
      <w:r w:rsidR="007827C3" w:rsidRPr="00025214">
        <w:rPr>
          <w:rFonts w:ascii="Times New Roman" w:hAnsi="Times New Roman"/>
          <w:color w:val="auto"/>
          <w:sz w:val="24"/>
          <w:szCs w:val="24"/>
        </w:rPr>
        <w:t xml:space="preserve">Повишаване </w:t>
      </w:r>
      <w:r w:rsidR="00DD67CB" w:rsidRPr="00025214">
        <w:rPr>
          <w:rFonts w:ascii="Times New Roman" w:hAnsi="Times New Roman"/>
          <w:color w:val="auto"/>
          <w:sz w:val="24"/>
          <w:szCs w:val="24"/>
        </w:rPr>
        <w:t xml:space="preserve">на </w:t>
      </w:r>
      <w:r w:rsidR="007827C3" w:rsidRPr="00025214">
        <w:rPr>
          <w:rFonts w:ascii="Times New Roman" w:hAnsi="Times New Roman"/>
          <w:color w:val="auto"/>
          <w:sz w:val="24"/>
          <w:szCs w:val="24"/>
        </w:rPr>
        <w:t xml:space="preserve">обществената </w:t>
      </w:r>
      <w:r w:rsidR="00460DAA">
        <w:rPr>
          <w:rFonts w:ascii="Times New Roman" w:hAnsi="Times New Roman"/>
          <w:color w:val="auto"/>
          <w:sz w:val="24"/>
          <w:szCs w:val="24"/>
        </w:rPr>
        <w:t xml:space="preserve">и професионална </w:t>
      </w:r>
      <w:r w:rsidR="00DD67CB" w:rsidRPr="00025214">
        <w:rPr>
          <w:rFonts w:ascii="Times New Roman" w:hAnsi="Times New Roman"/>
          <w:color w:val="auto"/>
          <w:sz w:val="24"/>
          <w:szCs w:val="24"/>
        </w:rPr>
        <w:t xml:space="preserve">осведоменост и </w:t>
      </w:r>
      <w:r w:rsidR="007827C3" w:rsidRPr="00025214">
        <w:rPr>
          <w:rFonts w:ascii="Times New Roman" w:hAnsi="Times New Roman"/>
          <w:color w:val="auto"/>
          <w:sz w:val="24"/>
          <w:szCs w:val="24"/>
        </w:rPr>
        <w:t xml:space="preserve">знания за рисковете от развитие на </w:t>
      </w:r>
      <w:r w:rsidR="00DD67CB" w:rsidRPr="00025214">
        <w:rPr>
          <w:rFonts w:ascii="Times New Roman" w:hAnsi="Times New Roman"/>
          <w:color w:val="auto"/>
          <w:sz w:val="24"/>
          <w:szCs w:val="24"/>
        </w:rPr>
        <w:t>АМР чрез ефективна комуникация, образование и обучение.</w:t>
      </w:r>
      <w:bookmarkEnd w:id="5"/>
    </w:p>
    <w:p w14:paraId="7AB08A76"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Ежегодно от 2009</w:t>
      </w:r>
      <w:r w:rsidR="006C21C8" w:rsidRPr="00997C23">
        <w:rPr>
          <w:rFonts w:ascii="Times New Roman" w:hAnsi="Times New Roman" w:cs="Times New Roman"/>
          <w:sz w:val="24"/>
          <w:szCs w:val="24"/>
        </w:rPr>
        <w:t xml:space="preserve"> </w:t>
      </w:r>
      <w:r w:rsidRPr="00997C23">
        <w:rPr>
          <w:rFonts w:ascii="Times New Roman" w:hAnsi="Times New Roman" w:cs="Times New Roman"/>
          <w:sz w:val="24"/>
          <w:szCs w:val="24"/>
        </w:rPr>
        <w:t>г</w:t>
      </w:r>
      <w:r w:rsidR="006C21C8" w:rsidRPr="00997C23">
        <w:rPr>
          <w:rFonts w:ascii="Times New Roman" w:hAnsi="Times New Roman" w:cs="Times New Roman"/>
          <w:sz w:val="24"/>
          <w:szCs w:val="24"/>
        </w:rPr>
        <w:t>.</w:t>
      </w:r>
      <w:r w:rsidRPr="00997C23">
        <w:rPr>
          <w:rFonts w:ascii="Times New Roman" w:hAnsi="Times New Roman" w:cs="Times New Roman"/>
          <w:sz w:val="24"/>
          <w:szCs w:val="24"/>
        </w:rPr>
        <w:t xml:space="preserve"> насам в рамките на </w:t>
      </w:r>
      <w:r w:rsidR="00A3746D">
        <w:rPr>
          <w:rFonts w:ascii="Times New Roman" w:hAnsi="Times New Roman" w:cs="Times New Roman"/>
          <w:sz w:val="24"/>
          <w:szCs w:val="24"/>
        </w:rPr>
        <w:t xml:space="preserve">инициативата на </w:t>
      </w:r>
      <w:r w:rsidR="00A3746D" w:rsidRPr="00997C23">
        <w:rPr>
          <w:rFonts w:ascii="Times New Roman" w:hAnsi="Times New Roman" w:cs="Times New Roman"/>
          <w:sz w:val="24"/>
          <w:szCs w:val="24"/>
        </w:rPr>
        <w:t xml:space="preserve">СЗО </w:t>
      </w:r>
      <w:r w:rsidR="00A3746D">
        <w:rPr>
          <w:rFonts w:ascii="Times New Roman" w:hAnsi="Times New Roman" w:cs="Times New Roman"/>
          <w:sz w:val="24"/>
          <w:szCs w:val="24"/>
        </w:rPr>
        <w:t>„</w:t>
      </w:r>
      <w:r w:rsidRPr="00997C23">
        <w:rPr>
          <w:rFonts w:ascii="Times New Roman" w:hAnsi="Times New Roman" w:cs="Times New Roman"/>
          <w:sz w:val="24"/>
          <w:szCs w:val="24"/>
        </w:rPr>
        <w:t>Световна седмица</w:t>
      </w:r>
      <w:r w:rsidR="00A3746D">
        <w:rPr>
          <w:rFonts w:ascii="Times New Roman" w:hAnsi="Times New Roman" w:cs="Times New Roman"/>
          <w:sz w:val="24"/>
          <w:szCs w:val="24"/>
        </w:rPr>
        <w:t>,</w:t>
      </w:r>
      <w:r w:rsidRPr="00997C23">
        <w:rPr>
          <w:rFonts w:ascii="Times New Roman" w:hAnsi="Times New Roman" w:cs="Times New Roman"/>
          <w:sz w:val="24"/>
          <w:szCs w:val="24"/>
        </w:rPr>
        <w:t xml:space="preserve"> </w:t>
      </w:r>
      <w:r w:rsidR="006C21C8" w:rsidRPr="00997C23">
        <w:rPr>
          <w:rFonts w:ascii="Times New Roman" w:hAnsi="Times New Roman" w:cs="Times New Roman"/>
          <w:sz w:val="24"/>
          <w:szCs w:val="24"/>
        </w:rPr>
        <w:t xml:space="preserve">посветена на осведомеността за отговорно прилагане </w:t>
      </w:r>
      <w:r w:rsidRPr="00997C23">
        <w:rPr>
          <w:rFonts w:ascii="Times New Roman" w:hAnsi="Times New Roman" w:cs="Times New Roman"/>
          <w:sz w:val="24"/>
          <w:szCs w:val="24"/>
        </w:rPr>
        <w:t>на антибиотиците</w:t>
      </w:r>
      <w:r w:rsidR="00A3746D">
        <w:rPr>
          <w:rFonts w:ascii="Times New Roman" w:hAnsi="Times New Roman" w:cs="Times New Roman"/>
          <w:sz w:val="24"/>
          <w:szCs w:val="24"/>
        </w:rPr>
        <w:t>“</w:t>
      </w:r>
      <w:r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rPr>
        <w:t xml:space="preserve">и </w:t>
      </w:r>
      <w:r w:rsidR="00A3746D">
        <w:rPr>
          <w:rFonts w:ascii="Times New Roman" w:hAnsi="Times New Roman" w:cs="Times New Roman"/>
          <w:sz w:val="24"/>
          <w:szCs w:val="24"/>
        </w:rPr>
        <w:t>инициативата на Европейската комисия (</w:t>
      </w:r>
      <w:r w:rsidR="00A3746D" w:rsidRPr="00997C23">
        <w:rPr>
          <w:rFonts w:ascii="Times New Roman" w:hAnsi="Times New Roman" w:cs="Times New Roman"/>
          <w:sz w:val="24"/>
          <w:szCs w:val="24"/>
          <w:lang w:val="en-US"/>
        </w:rPr>
        <w:t>E</w:t>
      </w:r>
      <w:r w:rsidR="00A3746D" w:rsidRPr="00997C23">
        <w:rPr>
          <w:rFonts w:ascii="Times New Roman" w:hAnsi="Times New Roman" w:cs="Times New Roman"/>
          <w:sz w:val="24"/>
          <w:szCs w:val="24"/>
        </w:rPr>
        <w:t>К</w:t>
      </w:r>
      <w:r w:rsidR="00A3746D">
        <w:rPr>
          <w:rFonts w:ascii="Times New Roman" w:hAnsi="Times New Roman" w:cs="Times New Roman"/>
          <w:sz w:val="24"/>
          <w:szCs w:val="24"/>
        </w:rPr>
        <w:t>)</w:t>
      </w:r>
      <w:r w:rsidR="00A3746D" w:rsidRPr="00997C23">
        <w:rPr>
          <w:rFonts w:ascii="Times New Roman" w:hAnsi="Times New Roman" w:cs="Times New Roman"/>
          <w:sz w:val="24"/>
          <w:szCs w:val="24"/>
        </w:rPr>
        <w:t xml:space="preserve"> </w:t>
      </w:r>
      <w:r w:rsidR="00A3746D">
        <w:rPr>
          <w:rFonts w:ascii="Times New Roman" w:hAnsi="Times New Roman" w:cs="Times New Roman"/>
          <w:sz w:val="24"/>
          <w:szCs w:val="24"/>
        </w:rPr>
        <w:t>„</w:t>
      </w:r>
      <w:r w:rsidRPr="00997C23">
        <w:rPr>
          <w:rFonts w:ascii="Times New Roman" w:hAnsi="Times New Roman" w:cs="Times New Roman"/>
          <w:sz w:val="24"/>
          <w:szCs w:val="24"/>
        </w:rPr>
        <w:t>Европейски ден</w:t>
      </w:r>
      <w:r w:rsidR="00A3746D">
        <w:rPr>
          <w:rFonts w:ascii="Times New Roman" w:hAnsi="Times New Roman" w:cs="Times New Roman"/>
          <w:sz w:val="24"/>
          <w:szCs w:val="24"/>
        </w:rPr>
        <w:t>,</w:t>
      </w:r>
      <w:r w:rsidRPr="00997C23">
        <w:rPr>
          <w:rFonts w:ascii="Times New Roman" w:hAnsi="Times New Roman" w:cs="Times New Roman"/>
          <w:sz w:val="24"/>
          <w:szCs w:val="24"/>
        </w:rPr>
        <w:t xml:space="preserve"> </w:t>
      </w:r>
      <w:r w:rsidR="006C21C8" w:rsidRPr="00997C23">
        <w:rPr>
          <w:rFonts w:ascii="Times New Roman" w:hAnsi="Times New Roman" w:cs="Times New Roman"/>
          <w:sz w:val="24"/>
          <w:szCs w:val="24"/>
        </w:rPr>
        <w:t xml:space="preserve">посветен на осведомеността за отговорно прилагане </w:t>
      </w:r>
      <w:r w:rsidRPr="00997C23">
        <w:rPr>
          <w:rFonts w:ascii="Times New Roman" w:hAnsi="Times New Roman" w:cs="Times New Roman"/>
          <w:sz w:val="24"/>
          <w:szCs w:val="24"/>
        </w:rPr>
        <w:t>на антибиоти</w:t>
      </w:r>
      <w:r w:rsidR="006C21C8" w:rsidRPr="00997C23">
        <w:rPr>
          <w:rFonts w:ascii="Times New Roman" w:hAnsi="Times New Roman" w:cs="Times New Roman"/>
          <w:sz w:val="24"/>
          <w:szCs w:val="24"/>
        </w:rPr>
        <w:t>ците</w:t>
      </w:r>
      <w:r w:rsidR="00A3746D">
        <w:rPr>
          <w:rFonts w:ascii="Times New Roman" w:hAnsi="Times New Roman" w:cs="Times New Roman"/>
          <w:sz w:val="24"/>
          <w:szCs w:val="24"/>
        </w:rPr>
        <w:t>“</w:t>
      </w:r>
      <w:r w:rsidR="00E76204">
        <w:rPr>
          <w:rFonts w:ascii="Times New Roman" w:hAnsi="Times New Roman" w:cs="Times New Roman"/>
          <w:sz w:val="24"/>
          <w:szCs w:val="24"/>
        </w:rPr>
        <w:t xml:space="preserve">, </w:t>
      </w:r>
      <w:r w:rsidRPr="00997C23">
        <w:rPr>
          <w:rFonts w:ascii="Times New Roman" w:hAnsi="Times New Roman" w:cs="Times New Roman"/>
          <w:sz w:val="24"/>
          <w:szCs w:val="24"/>
        </w:rPr>
        <w:t>НЦЗПБ</w:t>
      </w:r>
      <w:r w:rsidR="005538B8" w:rsidRPr="00997C23">
        <w:rPr>
          <w:rFonts w:ascii="Times New Roman" w:hAnsi="Times New Roman" w:cs="Times New Roman"/>
          <w:sz w:val="24"/>
          <w:szCs w:val="24"/>
        </w:rPr>
        <w:t xml:space="preserve">, СЗО </w:t>
      </w:r>
      <w:r w:rsidR="00903168" w:rsidRPr="00997C23">
        <w:rPr>
          <w:rFonts w:ascii="Times New Roman" w:hAnsi="Times New Roman" w:cs="Times New Roman"/>
          <w:sz w:val="24"/>
          <w:szCs w:val="24"/>
        </w:rPr>
        <w:t xml:space="preserve">и </w:t>
      </w:r>
      <w:r w:rsidR="005538B8" w:rsidRPr="00997C23">
        <w:rPr>
          <w:rFonts w:ascii="Times New Roman" w:hAnsi="Times New Roman" w:cs="Times New Roman"/>
          <w:sz w:val="24"/>
          <w:szCs w:val="24"/>
        </w:rPr>
        <w:t>партньори</w:t>
      </w:r>
      <w:r w:rsidRPr="00997C23">
        <w:rPr>
          <w:rFonts w:ascii="Times New Roman" w:hAnsi="Times New Roman" w:cs="Times New Roman"/>
          <w:sz w:val="24"/>
          <w:szCs w:val="24"/>
        </w:rPr>
        <w:t xml:space="preserve"> организира</w:t>
      </w:r>
      <w:r w:rsidR="00903168" w:rsidRPr="00997C23">
        <w:rPr>
          <w:rFonts w:ascii="Times New Roman" w:hAnsi="Times New Roman" w:cs="Times New Roman"/>
          <w:sz w:val="24"/>
          <w:szCs w:val="24"/>
        </w:rPr>
        <w:t>т</w:t>
      </w:r>
      <w:r w:rsidRPr="00997C23">
        <w:rPr>
          <w:rFonts w:ascii="Times New Roman" w:hAnsi="Times New Roman" w:cs="Times New Roman"/>
          <w:sz w:val="24"/>
          <w:szCs w:val="24"/>
        </w:rPr>
        <w:t xml:space="preserve"> редица дейности </w:t>
      </w:r>
      <w:r w:rsidR="005538B8" w:rsidRPr="00997C23">
        <w:rPr>
          <w:rFonts w:ascii="Times New Roman" w:hAnsi="Times New Roman" w:cs="Times New Roman"/>
          <w:sz w:val="24"/>
          <w:szCs w:val="24"/>
        </w:rPr>
        <w:t>за</w:t>
      </w:r>
      <w:r w:rsidRPr="00997C23">
        <w:rPr>
          <w:rFonts w:ascii="Times New Roman" w:hAnsi="Times New Roman" w:cs="Times New Roman"/>
          <w:sz w:val="24"/>
          <w:szCs w:val="24"/>
        </w:rPr>
        <w:t xml:space="preserve"> повишаване осведомеността по проблема А</w:t>
      </w:r>
      <w:r w:rsidR="00A3746D">
        <w:rPr>
          <w:rFonts w:ascii="Times New Roman" w:hAnsi="Times New Roman" w:cs="Times New Roman"/>
          <w:sz w:val="24"/>
          <w:szCs w:val="24"/>
        </w:rPr>
        <w:t>М</w:t>
      </w:r>
      <w:r w:rsidR="00D05029">
        <w:rPr>
          <w:rFonts w:ascii="Times New Roman" w:hAnsi="Times New Roman" w:cs="Times New Roman"/>
          <w:sz w:val="24"/>
          <w:szCs w:val="24"/>
        </w:rPr>
        <w:t>Р -</w:t>
      </w:r>
      <w:r w:rsidRPr="00997C23">
        <w:rPr>
          <w:rFonts w:ascii="Times New Roman" w:hAnsi="Times New Roman" w:cs="Times New Roman"/>
          <w:sz w:val="24"/>
          <w:szCs w:val="24"/>
        </w:rPr>
        <w:t xml:space="preserve"> издаване на образователни брошури и клипове, организиране на научни конференции, пресконференции, интервюта</w:t>
      </w:r>
      <w:r w:rsidR="00903168" w:rsidRPr="00997C23">
        <w:rPr>
          <w:rFonts w:ascii="Times New Roman" w:hAnsi="Times New Roman" w:cs="Times New Roman"/>
          <w:sz w:val="24"/>
          <w:szCs w:val="24"/>
        </w:rPr>
        <w:t>, онлайн анкети</w:t>
      </w:r>
      <w:r w:rsidRPr="00997C23">
        <w:rPr>
          <w:rFonts w:ascii="Times New Roman" w:hAnsi="Times New Roman" w:cs="Times New Roman"/>
          <w:sz w:val="24"/>
          <w:szCs w:val="24"/>
        </w:rPr>
        <w:t xml:space="preserve"> и др.</w:t>
      </w:r>
    </w:p>
    <w:p w14:paraId="61BCCF1F" w14:textId="77777777" w:rsidR="00DD67CB" w:rsidRPr="00997C23" w:rsidRDefault="00903168" w:rsidP="00C467DB">
      <w:pPr>
        <w:spacing w:after="0" w:line="360" w:lineRule="auto"/>
        <w:ind w:firstLine="709"/>
        <w:contextualSpacing/>
        <w:jc w:val="both"/>
        <w:rPr>
          <w:rFonts w:ascii="Times New Roman" w:hAnsi="Times New Roman" w:cs="Times New Roman"/>
          <w:sz w:val="24"/>
          <w:szCs w:val="24"/>
          <w:lang w:val="en-US"/>
        </w:rPr>
      </w:pPr>
      <w:r w:rsidRPr="00997C23">
        <w:rPr>
          <w:rFonts w:ascii="Times New Roman" w:hAnsi="Times New Roman" w:cs="Times New Roman"/>
          <w:sz w:val="24"/>
          <w:szCs w:val="24"/>
        </w:rPr>
        <w:t>Експерти</w:t>
      </w:r>
      <w:r w:rsidR="003C4B4C"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специалисти по проблемите на </w:t>
      </w:r>
      <w:r w:rsidR="00007D77" w:rsidRPr="00997C23">
        <w:rPr>
          <w:rFonts w:ascii="Times New Roman" w:hAnsi="Times New Roman" w:cs="Times New Roman"/>
          <w:sz w:val="24"/>
          <w:szCs w:val="24"/>
        </w:rPr>
        <w:t>А</w:t>
      </w:r>
      <w:r w:rsidR="00A3746D">
        <w:rPr>
          <w:rFonts w:ascii="Times New Roman" w:hAnsi="Times New Roman" w:cs="Times New Roman"/>
          <w:sz w:val="24"/>
          <w:szCs w:val="24"/>
        </w:rPr>
        <w:t>М</w:t>
      </w:r>
      <w:r w:rsidR="00007D77" w:rsidRPr="00997C23">
        <w:rPr>
          <w:rFonts w:ascii="Times New Roman" w:hAnsi="Times New Roman" w:cs="Times New Roman"/>
          <w:sz w:val="24"/>
          <w:szCs w:val="24"/>
        </w:rPr>
        <w:t>Р</w:t>
      </w:r>
      <w:r w:rsidR="00DD67CB" w:rsidRPr="00997C23">
        <w:rPr>
          <w:rFonts w:ascii="Times New Roman" w:hAnsi="Times New Roman" w:cs="Times New Roman"/>
          <w:sz w:val="24"/>
          <w:szCs w:val="24"/>
        </w:rPr>
        <w:t xml:space="preserve"> и </w:t>
      </w:r>
      <w:r w:rsidR="00007D77" w:rsidRPr="00997C23">
        <w:rPr>
          <w:rFonts w:ascii="Times New Roman" w:hAnsi="Times New Roman" w:cs="Times New Roman"/>
          <w:sz w:val="24"/>
          <w:szCs w:val="24"/>
        </w:rPr>
        <w:t>р</w:t>
      </w:r>
      <w:r w:rsidR="00DD67CB" w:rsidRPr="00997C23">
        <w:rPr>
          <w:rFonts w:ascii="Times New Roman" w:hAnsi="Times New Roman" w:cs="Times New Roman"/>
          <w:sz w:val="24"/>
          <w:szCs w:val="24"/>
        </w:rPr>
        <w:t xml:space="preserve">ационалната </w:t>
      </w:r>
      <w:r w:rsidR="00007D77" w:rsidRPr="00997C23">
        <w:rPr>
          <w:rFonts w:ascii="Times New Roman" w:hAnsi="Times New Roman" w:cs="Times New Roman"/>
          <w:sz w:val="24"/>
          <w:szCs w:val="24"/>
        </w:rPr>
        <w:t>а</w:t>
      </w:r>
      <w:r w:rsidR="00DD67CB" w:rsidRPr="00997C23">
        <w:rPr>
          <w:rFonts w:ascii="Times New Roman" w:hAnsi="Times New Roman" w:cs="Times New Roman"/>
          <w:sz w:val="24"/>
          <w:szCs w:val="24"/>
        </w:rPr>
        <w:t xml:space="preserve">нтибиотична политика са чести гости в телевизионни предавания и автори на статии, публикувани в масмедиите. Темите за антибиотичната резистентност и рационалната антибиотична политика са водещи в конгресите, организирани от Българската асоциация на микробиолозите </w:t>
      </w:r>
      <w:r w:rsidR="003C4B4C" w:rsidRPr="00997C23">
        <w:rPr>
          <w:rFonts w:ascii="Times New Roman" w:hAnsi="Times New Roman" w:cs="Times New Roman"/>
          <w:sz w:val="24"/>
          <w:szCs w:val="24"/>
        </w:rPr>
        <w:t>(</w:t>
      </w:r>
      <w:r w:rsidR="00DD67CB" w:rsidRPr="00997C23">
        <w:rPr>
          <w:rFonts w:ascii="Times New Roman" w:hAnsi="Times New Roman" w:cs="Times New Roman"/>
          <w:sz w:val="24"/>
          <w:szCs w:val="24"/>
        </w:rPr>
        <w:t>БАМ</w:t>
      </w:r>
      <w:r w:rsidR="003C4B4C"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от Българското дружество по Медицинска микробиология, Българското дружество по химиотерапия, Международната медицинска асоциация България </w:t>
      </w:r>
      <w:r w:rsidR="003C4B4C" w:rsidRPr="00997C23">
        <w:rPr>
          <w:rFonts w:ascii="Times New Roman" w:hAnsi="Times New Roman" w:cs="Times New Roman"/>
          <w:sz w:val="24"/>
          <w:szCs w:val="24"/>
        </w:rPr>
        <w:t>(</w:t>
      </w:r>
      <w:r w:rsidR="00DD67CB" w:rsidRPr="00997C23">
        <w:rPr>
          <w:rFonts w:ascii="Times New Roman" w:hAnsi="Times New Roman" w:cs="Times New Roman"/>
          <w:sz w:val="24"/>
          <w:szCs w:val="24"/>
          <w:lang w:val="en-US"/>
        </w:rPr>
        <w:t>IMAB</w:t>
      </w:r>
      <w:r w:rsidR="003C4B4C" w:rsidRPr="00997C23">
        <w:rPr>
          <w:rFonts w:ascii="Times New Roman" w:hAnsi="Times New Roman" w:cs="Times New Roman"/>
          <w:sz w:val="24"/>
          <w:szCs w:val="24"/>
        </w:rPr>
        <w:t>)</w:t>
      </w:r>
      <w:r w:rsidR="00DD67CB" w:rsidRPr="00997C23">
        <w:rPr>
          <w:rFonts w:ascii="Times New Roman" w:hAnsi="Times New Roman" w:cs="Times New Roman"/>
          <w:sz w:val="24"/>
          <w:szCs w:val="24"/>
        </w:rPr>
        <w:t>, в научните конференции, организирани от медицински университети и др</w:t>
      </w:r>
      <w:r w:rsidR="003C4B4C" w:rsidRPr="00997C23">
        <w:rPr>
          <w:rFonts w:ascii="Times New Roman" w:hAnsi="Times New Roman" w:cs="Times New Roman"/>
          <w:sz w:val="24"/>
          <w:szCs w:val="24"/>
        </w:rPr>
        <w:t>.</w:t>
      </w:r>
      <w:r w:rsidR="009C4362" w:rsidRPr="00997C23">
        <w:rPr>
          <w:rFonts w:ascii="Times New Roman" w:hAnsi="Times New Roman" w:cs="Times New Roman"/>
          <w:sz w:val="24"/>
          <w:szCs w:val="24"/>
        </w:rPr>
        <w:t xml:space="preserve"> </w:t>
      </w:r>
      <w:r w:rsidR="009C4362"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DOI":"10.1016/B978-0-12-810477-4.00041-6","ISBN":"9780128104774","ISSN":"2214-4129","author":[{"dropping-particle":"","family":"Keuleyan","given":"Emma","non-dropping-particle":"","parse-names":false,"suffix":""},{"dropping-particle":"","family":"Kostyanev","given":"Tomislav","non-dropping-particle":"","parse-names":false,"suffix":""}],"chapter-number":"Antimicrob","container-title":"Antimicrobial Stewardship","editor":[{"dropping-particle":"","family":"C. Pulcini, O. Ergonul, F. Can","given":"B. Beovic (Eds)","non-dropping-particle":"","parse-names":false,"suffix":""}],"id":"ITEM-1","issued":{"date-parts":[["2017","1","1"]]},"page":"259-261","publisher":"Academic Press","publisher-place":"London","title":"Antimicrobial Stewardship in Bulgaria","type":"chapter","volume":"2"},"uris":["http://www.mendeley.com/documents/?uuid=46929b8a-5343-391d-b48d-af9166330dc4"]}],"mendeley":{"formattedCitation":"[21]","plainTextFormattedCitation":"[21]","previouslyFormattedCitation":"(Keuleyan &amp; Kostyanev, 2017)"},"properties":{"noteIndex":0},"schema":"https://github.com/citation-style-language/schema/raw/master/csl-citation.json"}</w:instrText>
      </w:r>
      <w:r w:rsidR="009C4362"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[21]</w:t>
      </w:r>
      <w:r w:rsidR="009C4362" w:rsidRPr="00997C23">
        <w:rPr>
          <w:rFonts w:ascii="Times New Roman" w:hAnsi="Times New Roman" w:cs="Times New Roman"/>
          <w:sz w:val="24"/>
          <w:szCs w:val="24"/>
        </w:rPr>
        <w:fldChar w:fldCharType="end"/>
      </w:r>
      <w:r w:rsidR="009C4362" w:rsidRPr="00997C23">
        <w:rPr>
          <w:rFonts w:ascii="Times New Roman" w:hAnsi="Times New Roman" w:cs="Times New Roman"/>
          <w:sz w:val="24"/>
          <w:szCs w:val="24"/>
        </w:rPr>
        <w:t>.</w:t>
      </w:r>
      <w:r w:rsidR="00CF0BBC" w:rsidRPr="00997C23">
        <w:rPr>
          <w:rFonts w:ascii="Times New Roman" w:eastAsia="Times New Roman" w:hAnsi="Times New Roman" w:cs="Times New Roman"/>
          <w:bCs/>
          <w:iCs/>
          <w:sz w:val="24"/>
          <w:szCs w:val="24"/>
        </w:rPr>
        <w:t xml:space="preserve"> </w:t>
      </w:r>
    </w:p>
    <w:p w14:paraId="2362B4A6"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НЦЗПБ организира ежегодни курсове за следдипломна квалификация по „Антимикробна химиотерапия“</w:t>
      </w:r>
      <w:r w:rsidR="00AF0E44" w:rsidRPr="00997C23">
        <w:rPr>
          <w:rFonts w:ascii="Times New Roman" w:hAnsi="Times New Roman" w:cs="Times New Roman"/>
          <w:sz w:val="24"/>
          <w:szCs w:val="24"/>
        </w:rPr>
        <w:t>. Разработена е</w:t>
      </w:r>
      <w:r w:rsidR="003E1F39" w:rsidRPr="00997C23">
        <w:rPr>
          <w:rFonts w:ascii="Times New Roman" w:hAnsi="Times New Roman" w:cs="Times New Roman"/>
          <w:sz w:val="24"/>
          <w:szCs w:val="24"/>
        </w:rPr>
        <w:t xml:space="preserve"> и Web-базирана програма за електронно обучение, свързано с правилното и рационално прилагане на антибиотиците. Обучението е насочено към специалисти от различни области на медицината и е достъпно на </w:t>
      </w:r>
      <w:r w:rsidR="00244FB7">
        <w:rPr>
          <w:rFonts w:ascii="Times New Roman" w:hAnsi="Times New Roman" w:cs="Times New Roman"/>
          <w:sz w:val="24"/>
          <w:szCs w:val="24"/>
        </w:rPr>
        <w:t>уеб</w:t>
      </w:r>
      <w:r w:rsidR="003E1F39" w:rsidRPr="00997C23">
        <w:rPr>
          <w:rFonts w:ascii="Times New Roman" w:hAnsi="Times New Roman" w:cs="Times New Roman"/>
          <w:sz w:val="24"/>
          <w:szCs w:val="24"/>
        </w:rPr>
        <w:t>сайта на БАМ</w:t>
      </w:r>
      <w:r w:rsidRPr="00997C23">
        <w:rPr>
          <w:rFonts w:ascii="Times New Roman" w:hAnsi="Times New Roman" w:cs="Times New Roman"/>
          <w:sz w:val="24"/>
          <w:szCs w:val="24"/>
        </w:rPr>
        <w:t>.</w:t>
      </w:r>
    </w:p>
    <w:p w14:paraId="1CB91CB9" w14:textId="77777777" w:rsidR="00CF0BBC" w:rsidRPr="00997C23" w:rsidRDefault="00CF0BBC" w:rsidP="00C467DB">
      <w:pPr>
        <w:spacing w:after="0" w:line="360" w:lineRule="auto"/>
        <w:ind w:firstLine="709"/>
        <w:contextualSpacing/>
        <w:jc w:val="both"/>
        <w:rPr>
          <w:rFonts w:ascii="Times New Roman" w:eastAsia="Times New Roman" w:hAnsi="Times New Roman" w:cs="Times New Roman"/>
          <w:bCs/>
          <w:iCs/>
          <w:sz w:val="24"/>
          <w:szCs w:val="24"/>
        </w:rPr>
      </w:pPr>
      <w:r w:rsidRPr="00997C23">
        <w:rPr>
          <w:rFonts w:ascii="Times New Roman" w:eastAsia="Times New Roman" w:hAnsi="Times New Roman" w:cs="Times New Roman"/>
          <w:bCs/>
          <w:iCs/>
          <w:sz w:val="24"/>
          <w:szCs w:val="24"/>
        </w:rPr>
        <w:t>Темата е широко промотирана  от университетските медицински катедри по Микробиология и от някои болници.</w:t>
      </w:r>
    </w:p>
    <w:p w14:paraId="048FA593" w14:textId="77777777" w:rsidR="001E4173" w:rsidRPr="00831064" w:rsidRDefault="001E4173" w:rsidP="00C467DB">
      <w:pPr>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 xml:space="preserve">Не така стои </w:t>
      </w:r>
      <w:r w:rsidR="00CF0BBC" w:rsidRPr="00997C23">
        <w:rPr>
          <w:rFonts w:ascii="Times New Roman" w:eastAsia="Calibri" w:hAnsi="Times New Roman" w:cs="Times New Roman"/>
          <w:bCs/>
          <w:iCs/>
          <w:sz w:val="24"/>
          <w:szCs w:val="24"/>
        </w:rPr>
        <w:t>въпрос</w:t>
      </w:r>
      <w:r w:rsidR="00A3746D">
        <w:rPr>
          <w:rFonts w:ascii="Times New Roman" w:eastAsia="Calibri" w:hAnsi="Times New Roman" w:cs="Times New Roman"/>
          <w:bCs/>
          <w:iCs/>
          <w:sz w:val="24"/>
          <w:szCs w:val="24"/>
        </w:rPr>
        <w:t>а</w:t>
      </w:r>
      <w:r w:rsidR="001F2515" w:rsidRPr="00997C23">
        <w:rPr>
          <w:rFonts w:ascii="Times New Roman" w:eastAsia="Calibri" w:hAnsi="Times New Roman" w:cs="Times New Roman"/>
          <w:bCs/>
          <w:iCs/>
          <w:sz w:val="24"/>
          <w:szCs w:val="24"/>
        </w:rPr>
        <w:t xml:space="preserve"> </w:t>
      </w:r>
      <w:r w:rsidRPr="00997C23">
        <w:rPr>
          <w:rFonts w:ascii="Times New Roman" w:hAnsi="Times New Roman" w:cs="Times New Roman"/>
          <w:sz w:val="24"/>
          <w:szCs w:val="24"/>
        </w:rPr>
        <w:t xml:space="preserve">с осведомеността </w:t>
      </w:r>
      <w:r w:rsidR="00E76204">
        <w:rPr>
          <w:rFonts w:ascii="Times New Roman" w:hAnsi="Times New Roman" w:cs="Times New Roman"/>
          <w:sz w:val="24"/>
          <w:szCs w:val="24"/>
        </w:rPr>
        <w:t>в обществото</w:t>
      </w:r>
      <w:r w:rsidRPr="00997C23">
        <w:rPr>
          <w:rFonts w:ascii="Times New Roman" w:hAnsi="Times New Roman" w:cs="Times New Roman"/>
          <w:sz w:val="24"/>
          <w:szCs w:val="24"/>
        </w:rPr>
        <w:t xml:space="preserve">. </w:t>
      </w:r>
      <w:r w:rsidR="000B1386">
        <w:rPr>
          <w:rFonts w:ascii="Times New Roman" w:hAnsi="Times New Roman" w:cs="Times New Roman"/>
          <w:sz w:val="24"/>
          <w:szCs w:val="24"/>
        </w:rPr>
        <w:t>Четирите</w:t>
      </w:r>
      <w:r w:rsidR="000B1386" w:rsidRPr="00997C23">
        <w:rPr>
          <w:rFonts w:ascii="Times New Roman" w:hAnsi="Times New Roman" w:cs="Times New Roman"/>
          <w:sz w:val="24"/>
          <w:szCs w:val="24"/>
        </w:rPr>
        <w:t xml:space="preserve"> </w:t>
      </w:r>
      <w:r w:rsidR="005D7B15" w:rsidRPr="00997C23">
        <w:rPr>
          <w:rFonts w:ascii="Times New Roman" w:hAnsi="Times New Roman" w:cs="Times New Roman"/>
          <w:sz w:val="24"/>
          <w:szCs w:val="24"/>
        </w:rPr>
        <w:t>а</w:t>
      </w:r>
      <w:r w:rsidRPr="00997C23">
        <w:rPr>
          <w:rFonts w:ascii="Times New Roman" w:hAnsi="Times New Roman" w:cs="Times New Roman"/>
          <w:sz w:val="24"/>
          <w:szCs w:val="24"/>
        </w:rPr>
        <w:t xml:space="preserve">нкетни проучвания </w:t>
      </w:r>
      <w:r w:rsidR="005D7B15" w:rsidRPr="00997C23">
        <w:rPr>
          <w:rFonts w:ascii="Times New Roman" w:hAnsi="Times New Roman" w:cs="Times New Roman"/>
          <w:i/>
          <w:sz w:val="24"/>
          <w:szCs w:val="24"/>
          <w:lang w:val="en-US"/>
        </w:rPr>
        <w:t xml:space="preserve">Special </w:t>
      </w:r>
      <w:r w:rsidR="009510C8" w:rsidRPr="00997C23">
        <w:rPr>
          <w:rFonts w:ascii="Times New Roman" w:hAnsi="Times New Roman" w:cs="Times New Roman"/>
          <w:i/>
          <w:sz w:val="24"/>
          <w:szCs w:val="24"/>
          <w:lang w:val="en-US"/>
        </w:rPr>
        <w:t>Eurobarometer</w:t>
      </w:r>
      <w:r w:rsidR="009510C8" w:rsidRPr="00997C23">
        <w:rPr>
          <w:rFonts w:ascii="Times New Roman" w:hAnsi="Times New Roman" w:cs="Times New Roman"/>
          <w:i/>
          <w:sz w:val="24"/>
          <w:szCs w:val="24"/>
        </w:rPr>
        <w:t xml:space="preserve"> 407, 445</w:t>
      </w:r>
      <w:r w:rsidR="001F01E1">
        <w:rPr>
          <w:rFonts w:ascii="Times New Roman" w:hAnsi="Times New Roman" w:cs="Times New Roman"/>
          <w:i/>
          <w:sz w:val="24"/>
          <w:szCs w:val="24"/>
        </w:rPr>
        <w:t>,</w:t>
      </w:r>
      <w:r w:rsidR="009510C8" w:rsidRPr="00997C23">
        <w:rPr>
          <w:rFonts w:ascii="Times New Roman" w:hAnsi="Times New Roman" w:cs="Times New Roman"/>
          <w:i/>
          <w:sz w:val="24"/>
          <w:szCs w:val="24"/>
        </w:rPr>
        <w:t xml:space="preserve"> 478</w:t>
      </w:r>
      <w:r w:rsidR="001F01E1">
        <w:rPr>
          <w:rFonts w:ascii="Times New Roman" w:hAnsi="Times New Roman" w:cs="Times New Roman"/>
          <w:i/>
          <w:sz w:val="24"/>
          <w:szCs w:val="24"/>
        </w:rPr>
        <w:t xml:space="preserve"> и 522</w:t>
      </w:r>
      <w:r w:rsidR="00AD2133">
        <w:rPr>
          <w:rFonts w:ascii="Times New Roman" w:hAnsi="Times New Roman" w:cs="Times New Roman"/>
          <w:i/>
          <w:sz w:val="24"/>
          <w:szCs w:val="24"/>
        </w:rPr>
        <w:t>,</w:t>
      </w:r>
      <w:r w:rsidR="009510C8" w:rsidRPr="00997C23">
        <w:rPr>
          <w:rFonts w:ascii="Times New Roman" w:hAnsi="Times New Roman" w:cs="Times New Roman"/>
          <w:sz w:val="24"/>
          <w:szCs w:val="24"/>
        </w:rPr>
        <w:t xml:space="preserve"> </w:t>
      </w:r>
      <w:r w:rsidRPr="00997C23">
        <w:rPr>
          <w:rFonts w:ascii="Times New Roman" w:hAnsi="Times New Roman" w:cs="Times New Roman"/>
          <w:sz w:val="24"/>
          <w:szCs w:val="24"/>
        </w:rPr>
        <w:t xml:space="preserve">проведени от ЕК </w:t>
      </w:r>
      <w:r w:rsidR="009510C8" w:rsidRPr="00997C23">
        <w:rPr>
          <w:rFonts w:ascii="Times New Roman" w:hAnsi="Times New Roman" w:cs="Times New Roman"/>
          <w:sz w:val="24"/>
          <w:szCs w:val="24"/>
        </w:rPr>
        <w:t>през 2014</w:t>
      </w:r>
      <w:r w:rsidR="00E3671D" w:rsidRPr="00997C23">
        <w:rPr>
          <w:rFonts w:ascii="Times New Roman" w:hAnsi="Times New Roman" w:cs="Times New Roman"/>
          <w:sz w:val="24"/>
          <w:szCs w:val="24"/>
        </w:rPr>
        <w:t xml:space="preserve"> г.</w:t>
      </w:r>
      <w:r w:rsidR="009510C8" w:rsidRPr="00997C23">
        <w:rPr>
          <w:rFonts w:ascii="Times New Roman" w:hAnsi="Times New Roman" w:cs="Times New Roman"/>
          <w:sz w:val="24"/>
          <w:szCs w:val="24"/>
        </w:rPr>
        <w:t>, 2016</w:t>
      </w:r>
      <w:r w:rsidR="00E3671D" w:rsidRPr="00997C23">
        <w:rPr>
          <w:rFonts w:ascii="Times New Roman" w:hAnsi="Times New Roman" w:cs="Times New Roman"/>
          <w:sz w:val="24"/>
          <w:szCs w:val="24"/>
        </w:rPr>
        <w:t xml:space="preserve"> г.</w:t>
      </w:r>
      <w:r w:rsidR="001F01E1">
        <w:rPr>
          <w:rFonts w:ascii="Times New Roman" w:hAnsi="Times New Roman" w:cs="Times New Roman"/>
          <w:sz w:val="24"/>
          <w:szCs w:val="24"/>
        </w:rPr>
        <w:t xml:space="preserve">, </w:t>
      </w:r>
      <w:r w:rsidR="009510C8" w:rsidRPr="00997C23">
        <w:rPr>
          <w:rFonts w:ascii="Times New Roman" w:hAnsi="Times New Roman" w:cs="Times New Roman"/>
          <w:sz w:val="24"/>
          <w:szCs w:val="24"/>
        </w:rPr>
        <w:t>2018</w:t>
      </w:r>
      <w:r w:rsidR="00E3671D" w:rsidRPr="00997C23">
        <w:rPr>
          <w:rFonts w:ascii="Times New Roman" w:hAnsi="Times New Roman" w:cs="Times New Roman"/>
          <w:sz w:val="24"/>
          <w:szCs w:val="24"/>
        </w:rPr>
        <w:t xml:space="preserve"> </w:t>
      </w:r>
      <w:r w:rsidR="009510C8" w:rsidRPr="00997C23">
        <w:rPr>
          <w:rFonts w:ascii="Times New Roman" w:hAnsi="Times New Roman" w:cs="Times New Roman"/>
          <w:sz w:val="24"/>
          <w:szCs w:val="24"/>
        </w:rPr>
        <w:t>г</w:t>
      </w:r>
      <w:r w:rsidR="00E3671D" w:rsidRPr="00997C23">
        <w:rPr>
          <w:rFonts w:ascii="Times New Roman" w:hAnsi="Times New Roman" w:cs="Times New Roman"/>
          <w:sz w:val="24"/>
          <w:szCs w:val="24"/>
        </w:rPr>
        <w:t>.</w:t>
      </w:r>
      <w:r w:rsidR="001F01E1">
        <w:rPr>
          <w:rFonts w:ascii="Times New Roman" w:hAnsi="Times New Roman" w:cs="Times New Roman"/>
          <w:sz w:val="24"/>
          <w:szCs w:val="24"/>
        </w:rPr>
        <w:t xml:space="preserve"> и 2022</w:t>
      </w:r>
      <w:r w:rsidR="000B1386">
        <w:rPr>
          <w:rFonts w:ascii="Times New Roman" w:hAnsi="Times New Roman" w:cs="Times New Roman"/>
          <w:sz w:val="24"/>
          <w:szCs w:val="24"/>
        </w:rPr>
        <w:t xml:space="preserve"> </w:t>
      </w:r>
      <w:r w:rsidR="001F01E1">
        <w:rPr>
          <w:rFonts w:ascii="Times New Roman" w:hAnsi="Times New Roman" w:cs="Times New Roman"/>
          <w:sz w:val="24"/>
          <w:szCs w:val="24"/>
        </w:rPr>
        <w:t>г</w:t>
      </w:r>
      <w:r w:rsidR="000B1386">
        <w:rPr>
          <w:rFonts w:ascii="Times New Roman" w:hAnsi="Times New Roman" w:cs="Times New Roman"/>
          <w:sz w:val="24"/>
          <w:szCs w:val="24"/>
        </w:rPr>
        <w:t>.</w:t>
      </w:r>
      <w:r w:rsidR="00ED502F" w:rsidRPr="00997C23">
        <w:rPr>
          <w:rFonts w:ascii="Times New Roman" w:hAnsi="Times New Roman" w:cs="Times New Roman"/>
          <w:sz w:val="24"/>
          <w:szCs w:val="24"/>
        </w:rPr>
        <w:t xml:space="preserve"> </w:t>
      </w:r>
      <w:r w:rsidR="009510C8" w:rsidRPr="00997C23">
        <w:rPr>
          <w:rFonts w:ascii="Times New Roman" w:hAnsi="Times New Roman" w:cs="Times New Roman"/>
          <w:sz w:val="24"/>
          <w:szCs w:val="24"/>
        </w:rPr>
        <w:t>сочат</w:t>
      </w:r>
      <w:r w:rsidR="003C4B4C" w:rsidRPr="00997C23">
        <w:rPr>
          <w:rFonts w:ascii="Times New Roman" w:hAnsi="Times New Roman" w:cs="Times New Roman"/>
          <w:sz w:val="24"/>
          <w:szCs w:val="24"/>
        </w:rPr>
        <w:t>,</w:t>
      </w:r>
      <w:r w:rsidR="009510C8" w:rsidRPr="00997C23">
        <w:rPr>
          <w:rFonts w:ascii="Times New Roman" w:hAnsi="Times New Roman" w:cs="Times New Roman"/>
          <w:sz w:val="24"/>
          <w:szCs w:val="24"/>
        </w:rPr>
        <w:t xml:space="preserve"> че българските граждани </w:t>
      </w:r>
      <w:r w:rsidR="00DF2695" w:rsidRPr="00997C23">
        <w:rPr>
          <w:rFonts w:ascii="Times New Roman" w:hAnsi="Times New Roman" w:cs="Times New Roman"/>
          <w:sz w:val="24"/>
          <w:szCs w:val="24"/>
        </w:rPr>
        <w:t>изостават значително в</w:t>
      </w:r>
      <w:r w:rsidR="005D7B15" w:rsidRPr="00997C23">
        <w:rPr>
          <w:rFonts w:ascii="Times New Roman" w:hAnsi="Times New Roman" w:cs="Times New Roman"/>
          <w:sz w:val="24"/>
          <w:szCs w:val="24"/>
        </w:rPr>
        <w:t xml:space="preserve"> знанията си за антибиотиците и А</w:t>
      </w:r>
      <w:r w:rsidR="00A3746D">
        <w:rPr>
          <w:rFonts w:ascii="Times New Roman" w:hAnsi="Times New Roman" w:cs="Times New Roman"/>
          <w:sz w:val="24"/>
          <w:szCs w:val="24"/>
        </w:rPr>
        <w:t>М</w:t>
      </w:r>
      <w:r w:rsidR="005D7B15" w:rsidRPr="00997C23">
        <w:rPr>
          <w:rFonts w:ascii="Times New Roman" w:hAnsi="Times New Roman" w:cs="Times New Roman"/>
          <w:sz w:val="24"/>
          <w:szCs w:val="24"/>
        </w:rPr>
        <w:t>Р</w:t>
      </w:r>
      <w:r w:rsidR="00DF2695" w:rsidRPr="00997C23">
        <w:rPr>
          <w:rFonts w:ascii="Times New Roman" w:hAnsi="Times New Roman" w:cs="Times New Roman"/>
          <w:sz w:val="24"/>
          <w:szCs w:val="24"/>
        </w:rPr>
        <w:t xml:space="preserve"> </w:t>
      </w:r>
      <w:r w:rsidR="00FC03E5" w:rsidRPr="00997C23">
        <w:rPr>
          <w:rFonts w:ascii="Times New Roman" w:hAnsi="Times New Roman" w:cs="Times New Roman"/>
          <w:sz w:val="24"/>
          <w:szCs w:val="24"/>
        </w:rPr>
        <w:t>спрямо</w:t>
      </w:r>
      <w:r w:rsidR="005575B3" w:rsidRPr="00997C23">
        <w:rPr>
          <w:rFonts w:ascii="Times New Roman" w:hAnsi="Times New Roman" w:cs="Times New Roman"/>
          <w:sz w:val="24"/>
          <w:szCs w:val="24"/>
        </w:rPr>
        <w:t xml:space="preserve"> </w:t>
      </w:r>
      <w:r w:rsidR="00FC03E5" w:rsidRPr="00997C23">
        <w:rPr>
          <w:rFonts w:ascii="Times New Roman" w:hAnsi="Times New Roman" w:cs="Times New Roman"/>
          <w:sz w:val="24"/>
          <w:szCs w:val="24"/>
        </w:rPr>
        <w:t>други</w:t>
      </w:r>
      <w:r w:rsidR="005575B3" w:rsidRPr="00997C23">
        <w:rPr>
          <w:rFonts w:ascii="Times New Roman" w:hAnsi="Times New Roman" w:cs="Times New Roman"/>
          <w:sz w:val="24"/>
          <w:szCs w:val="24"/>
        </w:rPr>
        <w:t xml:space="preserve"> европейски държави.</w:t>
      </w:r>
      <w:r w:rsidR="000C3391">
        <w:rPr>
          <w:rFonts w:ascii="Times New Roman" w:hAnsi="Times New Roman" w:cs="Times New Roman"/>
          <w:sz w:val="24"/>
          <w:szCs w:val="24"/>
        </w:rPr>
        <w:t xml:space="preserve"> Според </w:t>
      </w:r>
      <w:r w:rsidR="000C3391" w:rsidRPr="00997C23">
        <w:rPr>
          <w:rFonts w:ascii="Times New Roman" w:hAnsi="Times New Roman" w:cs="Times New Roman"/>
          <w:i/>
          <w:sz w:val="24"/>
          <w:szCs w:val="24"/>
          <w:lang w:val="en-US"/>
        </w:rPr>
        <w:t>Special Eurobarometer</w:t>
      </w:r>
      <w:r w:rsidR="000C3391">
        <w:rPr>
          <w:rFonts w:ascii="Times New Roman" w:hAnsi="Times New Roman" w:cs="Times New Roman"/>
          <w:i/>
          <w:sz w:val="24"/>
          <w:szCs w:val="24"/>
        </w:rPr>
        <w:t xml:space="preserve"> 522</w:t>
      </w:r>
      <w:r w:rsidR="003B1798" w:rsidRPr="00997C23">
        <w:rPr>
          <w:rFonts w:ascii="Times New Roman" w:hAnsi="Times New Roman" w:cs="Times New Roman"/>
          <w:sz w:val="24"/>
          <w:szCs w:val="24"/>
        </w:rPr>
        <w:t xml:space="preserve"> България е и една от страните с най-висок прием на антибиотици</w:t>
      </w:r>
      <w:r w:rsidR="003C4B4C" w:rsidRPr="00997C23">
        <w:rPr>
          <w:rFonts w:ascii="Times New Roman" w:hAnsi="Times New Roman" w:cs="Times New Roman"/>
          <w:sz w:val="24"/>
          <w:szCs w:val="24"/>
        </w:rPr>
        <w:t>,</w:t>
      </w:r>
      <w:r w:rsidR="003B1798" w:rsidRPr="00997C23">
        <w:rPr>
          <w:rFonts w:ascii="Times New Roman" w:hAnsi="Times New Roman" w:cs="Times New Roman"/>
          <w:sz w:val="24"/>
          <w:szCs w:val="24"/>
        </w:rPr>
        <w:t xml:space="preserve"> </w:t>
      </w:r>
      <w:r w:rsidR="00E3671D" w:rsidRPr="00997C23">
        <w:rPr>
          <w:rFonts w:ascii="Times New Roman" w:hAnsi="Times New Roman" w:cs="Times New Roman"/>
          <w:sz w:val="24"/>
          <w:szCs w:val="24"/>
        </w:rPr>
        <w:t xml:space="preserve">отпуснати </w:t>
      </w:r>
      <w:r w:rsidR="003B1798" w:rsidRPr="00997C23">
        <w:rPr>
          <w:rFonts w:ascii="Times New Roman" w:hAnsi="Times New Roman" w:cs="Times New Roman"/>
          <w:sz w:val="24"/>
          <w:szCs w:val="24"/>
        </w:rPr>
        <w:t xml:space="preserve">без </w:t>
      </w:r>
      <w:r w:rsidR="000C3391">
        <w:rPr>
          <w:rFonts w:ascii="Times New Roman" w:hAnsi="Times New Roman" w:cs="Times New Roman"/>
          <w:sz w:val="24"/>
          <w:szCs w:val="24"/>
        </w:rPr>
        <w:t>лекарско предписание</w:t>
      </w:r>
      <w:r w:rsidR="000C3391" w:rsidRPr="00997C23">
        <w:rPr>
          <w:rFonts w:ascii="Times New Roman" w:hAnsi="Times New Roman" w:cs="Times New Roman"/>
          <w:sz w:val="24"/>
          <w:szCs w:val="24"/>
        </w:rPr>
        <w:t xml:space="preserve"> </w:t>
      </w:r>
      <w:r w:rsidR="003B1798" w:rsidRPr="00997C23">
        <w:rPr>
          <w:rFonts w:ascii="Times New Roman" w:hAnsi="Times New Roman" w:cs="Times New Roman"/>
          <w:sz w:val="24"/>
          <w:szCs w:val="24"/>
        </w:rPr>
        <w:t xml:space="preserve">наред с </w:t>
      </w:r>
      <w:r w:rsidR="000C3391">
        <w:rPr>
          <w:rFonts w:ascii="Times New Roman" w:hAnsi="Times New Roman" w:cs="Times New Roman"/>
          <w:sz w:val="24"/>
          <w:szCs w:val="24"/>
        </w:rPr>
        <w:t>Австрия</w:t>
      </w:r>
      <w:r w:rsidR="003B1798" w:rsidRPr="00997C23">
        <w:rPr>
          <w:rFonts w:ascii="Times New Roman" w:hAnsi="Times New Roman" w:cs="Times New Roman"/>
          <w:sz w:val="24"/>
          <w:szCs w:val="24"/>
        </w:rPr>
        <w:t xml:space="preserve">, </w:t>
      </w:r>
      <w:r w:rsidR="003A6395">
        <w:rPr>
          <w:rFonts w:ascii="Times New Roman" w:hAnsi="Times New Roman" w:cs="Times New Roman"/>
          <w:sz w:val="24"/>
          <w:szCs w:val="24"/>
        </w:rPr>
        <w:t xml:space="preserve">Белгия, </w:t>
      </w:r>
      <w:r w:rsidR="003B1798" w:rsidRPr="00997C23">
        <w:rPr>
          <w:rFonts w:ascii="Times New Roman" w:hAnsi="Times New Roman" w:cs="Times New Roman"/>
          <w:sz w:val="24"/>
          <w:szCs w:val="24"/>
        </w:rPr>
        <w:t>Румъния</w:t>
      </w:r>
      <w:r w:rsidR="003A6395">
        <w:rPr>
          <w:rFonts w:ascii="Times New Roman" w:hAnsi="Times New Roman" w:cs="Times New Roman"/>
          <w:sz w:val="24"/>
          <w:szCs w:val="24"/>
        </w:rPr>
        <w:t xml:space="preserve"> </w:t>
      </w:r>
      <w:r w:rsidR="003B1798" w:rsidRPr="00997C23">
        <w:rPr>
          <w:rFonts w:ascii="Times New Roman" w:hAnsi="Times New Roman" w:cs="Times New Roman"/>
          <w:sz w:val="24"/>
          <w:szCs w:val="24"/>
        </w:rPr>
        <w:t xml:space="preserve">и </w:t>
      </w:r>
      <w:r w:rsidR="003A6395">
        <w:rPr>
          <w:rFonts w:ascii="Times New Roman" w:hAnsi="Times New Roman" w:cs="Times New Roman"/>
          <w:sz w:val="24"/>
          <w:szCs w:val="24"/>
        </w:rPr>
        <w:t>Унгария</w:t>
      </w:r>
      <w:r w:rsidR="00F42302" w:rsidRPr="00997C23">
        <w:rPr>
          <w:rFonts w:ascii="Times New Roman" w:hAnsi="Times New Roman" w:cs="Times New Roman"/>
          <w:sz w:val="24"/>
          <w:szCs w:val="24"/>
        </w:rPr>
        <w:t xml:space="preserve"> </w:t>
      </w:r>
      <w:r w:rsidR="00F42302" w:rsidRPr="00997C23">
        <w:rPr>
          <w:rFonts w:ascii="Times New Roman" w:hAnsi="Times New Roman" w:cs="Times New Roman"/>
          <w:sz w:val="24"/>
          <w:szCs w:val="24"/>
        </w:rPr>
        <w:fldChar w:fldCharType="begin" w:fldLock="1"/>
      </w:r>
      <w:r w:rsidR="009D0134" w:rsidRPr="00997C23">
        <w:rPr>
          <w:rFonts w:ascii="Times New Roman" w:hAnsi="Times New Roman" w:cs="Times New Roman"/>
          <w:bCs/>
          <w:iCs/>
          <w:sz w:val="24"/>
          <w:szCs w:val="24"/>
        </w:rPr>
        <w:instrText>ADDIN CSL_CITATION {"citationItems":[{"id":"ITEM-1","itemData":{"author":[{"dropping-particle":"","family":"EC","given":"","non-dropping-particle":"","parse-names":false,"suffix":""}],"id":"ITEM-1","issued":{"date-parts":[["2018"]]},"title":"Special eurobarometer 478. Report. Antibiotic resistance","type":"article-journal"},"uris":["http://www.mendeley.com/documents/?uuid=8f391651-9091-4876-be04-26bea29f5887"]}],"mendeley":{"formattedCitation":"[6]","plainTextFormattedCitation":"[6]","previouslyFormattedCitation":"(EC, 2018)"},"properties":{"noteIndex":0},"schema":"https://github.com/citation-style-language/schema/raw/master/csl-citation.json"}</w:instrText>
      </w:r>
      <w:r w:rsidR="00F42302" w:rsidRPr="00997C23">
        <w:rPr>
          <w:rFonts w:ascii="Times New Roman" w:hAnsi="Times New Roman" w:cs="Times New Roman"/>
          <w:sz w:val="24"/>
          <w:szCs w:val="24"/>
        </w:rPr>
        <w:fldChar w:fldCharType="separate"/>
      </w:r>
      <w:r w:rsidR="009D0134" w:rsidRPr="00997C23">
        <w:rPr>
          <w:rFonts w:ascii="Times New Roman" w:hAnsi="Times New Roman" w:cs="Times New Roman"/>
          <w:bCs/>
          <w:iCs/>
          <w:noProof/>
          <w:sz w:val="24"/>
          <w:szCs w:val="24"/>
        </w:rPr>
        <w:t>[6]</w:t>
      </w:r>
      <w:r w:rsidR="00F42302" w:rsidRPr="00997C23">
        <w:rPr>
          <w:rFonts w:ascii="Times New Roman" w:hAnsi="Times New Roman" w:cs="Times New Roman"/>
          <w:sz w:val="24"/>
          <w:szCs w:val="24"/>
        </w:rPr>
        <w:fldChar w:fldCharType="end"/>
      </w:r>
      <w:r w:rsidR="009A2084" w:rsidRPr="00997C23">
        <w:rPr>
          <w:rFonts w:ascii="Times New Roman" w:hAnsi="Times New Roman" w:cs="Times New Roman"/>
          <w:sz w:val="24"/>
          <w:szCs w:val="24"/>
        </w:rPr>
        <w:t>.</w:t>
      </w:r>
      <w:r w:rsidR="00CF0BBC" w:rsidRPr="00997C23">
        <w:rPr>
          <w:rFonts w:ascii="Times New Roman" w:eastAsia="Calibri" w:hAnsi="Times New Roman" w:cs="Times New Roman"/>
          <w:bCs/>
          <w:iCs/>
          <w:sz w:val="24"/>
          <w:szCs w:val="24"/>
          <w:lang w:val="en-US"/>
        </w:rPr>
        <w:t xml:space="preserve"> </w:t>
      </w:r>
      <w:r w:rsidR="00831064">
        <w:rPr>
          <w:rFonts w:ascii="Times New Roman" w:eastAsia="Calibri" w:hAnsi="Times New Roman" w:cs="Times New Roman"/>
          <w:bCs/>
          <w:iCs/>
          <w:sz w:val="24"/>
          <w:szCs w:val="24"/>
        </w:rPr>
        <w:lastRenderedPageBreak/>
        <w:t>Трябва</w:t>
      </w:r>
      <w:r w:rsidR="00831064" w:rsidRPr="00831064">
        <w:rPr>
          <w:rFonts w:ascii="Times New Roman" w:eastAsia="Calibri" w:hAnsi="Times New Roman" w:cs="Times New Roman"/>
          <w:bCs/>
          <w:iCs/>
          <w:sz w:val="24"/>
          <w:szCs w:val="24"/>
        </w:rPr>
        <w:t xml:space="preserve"> да се има предвид, че антибиотици в България следва да се отпускат само по лекарско предписание, </w:t>
      </w:r>
      <w:r w:rsidR="00D05029">
        <w:rPr>
          <w:rFonts w:ascii="Times New Roman" w:eastAsia="Calibri" w:hAnsi="Times New Roman" w:cs="Times New Roman"/>
          <w:bCs/>
          <w:iCs/>
          <w:sz w:val="24"/>
          <w:szCs w:val="24"/>
        </w:rPr>
        <w:t>като в тази връзка и с цел контрол,</w:t>
      </w:r>
      <w:r w:rsidR="00831064" w:rsidRPr="00831064">
        <w:rPr>
          <w:rFonts w:ascii="Times New Roman" w:eastAsia="Calibri" w:hAnsi="Times New Roman" w:cs="Times New Roman"/>
          <w:bCs/>
          <w:iCs/>
          <w:sz w:val="24"/>
          <w:szCs w:val="24"/>
        </w:rPr>
        <w:t xml:space="preserve"> от април 2024 г. антибиотиците се отпускат само и единствено по електронно предписание.</w:t>
      </w:r>
    </w:p>
    <w:p w14:paraId="15CFAD01" w14:textId="77777777" w:rsidR="00EE24A3" w:rsidRPr="00997C23" w:rsidRDefault="004D0B94" w:rsidP="00C467DB">
      <w:pPr>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Недостатъчно е о</w:t>
      </w:r>
      <w:r w:rsidR="00EE24A3" w:rsidRPr="00997C23">
        <w:rPr>
          <w:rFonts w:ascii="Times New Roman" w:hAnsi="Times New Roman" w:cs="Times New Roman"/>
          <w:sz w:val="24"/>
          <w:szCs w:val="24"/>
        </w:rPr>
        <w:t xml:space="preserve">бучението </w:t>
      </w:r>
      <w:r w:rsidR="00EA67A9" w:rsidRPr="00997C23">
        <w:rPr>
          <w:rFonts w:ascii="Times New Roman" w:hAnsi="Times New Roman" w:cs="Times New Roman"/>
          <w:sz w:val="24"/>
          <w:szCs w:val="24"/>
        </w:rPr>
        <w:t xml:space="preserve">по проблемите на антибиотичната политика и рационалното прилагане на антибиотици на различни нива, включително в университетското </w:t>
      </w:r>
      <w:r w:rsidR="00446D1B">
        <w:rPr>
          <w:rFonts w:ascii="Times New Roman" w:hAnsi="Times New Roman" w:cs="Times New Roman"/>
          <w:sz w:val="24"/>
          <w:szCs w:val="24"/>
        </w:rPr>
        <w:t>образ</w:t>
      </w:r>
      <w:r w:rsidR="00AC3303">
        <w:rPr>
          <w:rFonts w:ascii="Times New Roman" w:hAnsi="Times New Roman" w:cs="Times New Roman"/>
          <w:sz w:val="24"/>
          <w:szCs w:val="24"/>
        </w:rPr>
        <w:t>о</w:t>
      </w:r>
      <w:r w:rsidR="00446D1B">
        <w:rPr>
          <w:rFonts w:ascii="Times New Roman" w:hAnsi="Times New Roman" w:cs="Times New Roman"/>
          <w:sz w:val="24"/>
          <w:szCs w:val="24"/>
        </w:rPr>
        <w:t xml:space="preserve">вание </w:t>
      </w:r>
      <w:r w:rsidR="00EA67A9" w:rsidRPr="00997C23">
        <w:rPr>
          <w:rFonts w:ascii="Times New Roman" w:hAnsi="Times New Roman" w:cs="Times New Roman"/>
          <w:sz w:val="24"/>
          <w:szCs w:val="24"/>
        </w:rPr>
        <w:t xml:space="preserve">и следдипломното </w:t>
      </w:r>
      <w:r w:rsidR="00446D1B">
        <w:rPr>
          <w:rFonts w:ascii="Times New Roman" w:hAnsi="Times New Roman" w:cs="Times New Roman"/>
          <w:sz w:val="24"/>
          <w:szCs w:val="24"/>
        </w:rPr>
        <w:t>обучение</w:t>
      </w:r>
      <w:r w:rsidR="00EA67A9" w:rsidRPr="00997C23">
        <w:rPr>
          <w:rFonts w:ascii="Times New Roman" w:hAnsi="Times New Roman" w:cs="Times New Roman"/>
          <w:sz w:val="24"/>
          <w:szCs w:val="24"/>
        </w:rPr>
        <w:t>.</w:t>
      </w:r>
      <w:r w:rsidRPr="00997C23">
        <w:rPr>
          <w:rFonts w:ascii="Times New Roman" w:hAnsi="Times New Roman" w:cs="Times New Roman"/>
          <w:sz w:val="24"/>
          <w:szCs w:val="24"/>
        </w:rPr>
        <w:t xml:space="preserve"> Трябва да се разшири и достъпа до информация на ползвателите на антибиотици, напр. фермерите и собствениците на животни</w:t>
      </w:r>
      <w:r w:rsidR="00946C25" w:rsidRPr="00997C23">
        <w:rPr>
          <w:rFonts w:ascii="Times New Roman" w:hAnsi="Times New Roman" w:cs="Times New Roman"/>
          <w:sz w:val="24"/>
          <w:szCs w:val="24"/>
        </w:rPr>
        <w:t xml:space="preserve">, както и </w:t>
      </w:r>
      <w:r w:rsidR="00A74BB4" w:rsidRPr="00997C23">
        <w:rPr>
          <w:rFonts w:ascii="Times New Roman" w:hAnsi="Times New Roman" w:cs="Times New Roman"/>
          <w:sz w:val="24"/>
          <w:szCs w:val="24"/>
        </w:rPr>
        <w:t xml:space="preserve">обществеността </w:t>
      </w:r>
      <w:r w:rsidR="00946C25" w:rsidRPr="00997C23">
        <w:rPr>
          <w:rFonts w:ascii="Times New Roman" w:hAnsi="Times New Roman" w:cs="Times New Roman"/>
          <w:sz w:val="24"/>
          <w:szCs w:val="24"/>
        </w:rPr>
        <w:t>като цяло</w:t>
      </w:r>
      <w:r w:rsidRPr="00997C23">
        <w:rPr>
          <w:rFonts w:ascii="Times New Roman" w:hAnsi="Times New Roman" w:cs="Times New Roman"/>
          <w:sz w:val="24"/>
          <w:szCs w:val="24"/>
        </w:rPr>
        <w:t>.</w:t>
      </w:r>
    </w:p>
    <w:p w14:paraId="5B2CC678" w14:textId="77777777" w:rsidR="009510C8" w:rsidRPr="00997C23" w:rsidRDefault="00CF0BBC" w:rsidP="00C467DB">
      <w:pPr>
        <w:spacing w:after="0" w:line="360" w:lineRule="auto"/>
        <w:ind w:firstLine="709"/>
        <w:jc w:val="both"/>
        <w:rPr>
          <w:rFonts w:ascii="Times New Roman" w:hAnsi="Times New Roman" w:cs="Times New Roman"/>
          <w:sz w:val="24"/>
          <w:szCs w:val="24"/>
        </w:rPr>
      </w:pPr>
      <w:r w:rsidRPr="00D01657">
        <w:rPr>
          <w:rFonts w:ascii="Times New Roman" w:eastAsia="Calibri" w:hAnsi="Times New Roman" w:cs="Times New Roman"/>
          <w:bCs/>
          <w:iCs/>
          <w:sz w:val="24"/>
          <w:szCs w:val="24"/>
        </w:rPr>
        <w:t>Съответно, в Националн</w:t>
      </w:r>
      <w:r w:rsidR="00DC2B07" w:rsidRPr="00D01657">
        <w:rPr>
          <w:rFonts w:ascii="Times New Roman" w:eastAsia="Calibri" w:hAnsi="Times New Roman" w:cs="Times New Roman"/>
          <w:bCs/>
          <w:iCs/>
          <w:sz w:val="24"/>
          <w:szCs w:val="24"/>
        </w:rPr>
        <w:t>ата</w:t>
      </w:r>
      <w:r w:rsidRPr="00D01657">
        <w:rPr>
          <w:rFonts w:ascii="Times New Roman" w:eastAsia="Calibri" w:hAnsi="Times New Roman" w:cs="Times New Roman"/>
          <w:bCs/>
          <w:iCs/>
          <w:sz w:val="24"/>
          <w:szCs w:val="24"/>
        </w:rPr>
        <w:t xml:space="preserve"> </w:t>
      </w:r>
      <w:r w:rsidR="00D01657" w:rsidRPr="00D01657">
        <w:rPr>
          <w:rFonts w:ascii="Times New Roman" w:eastAsia="Calibri" w:hAnsi="Times New Roman" w:cs="Times New Roman"/>
          <w:bCs/>
          <w:iCs/>
          <w:sz w:val="24"/>
          <w:szCs w:val="24"/>
        </w:rPr>
        <w:t>п</w:t>
      </w:r>
      <w:r w:rsidR="00882F2E" w:rsidRPr="00D01657">
        <w:rPr>
          <w:rFonts w:ascii="Times New Roman" w:eastAsia="Calibri" w:hAnsi="Times New Roman" w:cs="Times New Roman"/>
          <w:bCs/>
          <w:iCs/>
          <w:sz w:val="24"/>
          <w:szCs w:val="24"/>
        </w:rPr>
        <w:t>рограма</w:t>
      </w:r>
      <w:r w:rsidRPr="00997C23">
        <w:rPr>
          <w:rFonts w:ascii="Times New Roman" w:eastAsia="Calibri" w:hAnsi="Times New Roman" w:cs="Times New Roman"/>
          <w:bCs/>
          <w:iCs/>
          <w:sz w:val="24"/>
          <w:szCs w:val="24"/>
        </w:rPr>
        <w:t xml:space="preserve"> за</w:t>
      </w:r>
      <w:r w:rsidR="00F42302" w:rsidRPr="00997C23">
        <w:rPr>
          <w:rFonts w:ascii="Times New Roman" w:hAnsi="Times New Roman" w:cs="Times New Roman"/>
          <w:sz w:val="24"/>
          <w:szCs w:val="24"/>
        </w:rPr>
        <w:t xml:space="preserve"> ефективно</w:t>
      </w:r>
      <w:r w:rsidR="00B84420" w:rsidRPr="00997C23">
        <w:rPr>
          <w:rFonts w:ascii="Times New Roman" w:hAnsi="Times New Roman" w:cs="Times New Roman"/>
          <w:sz w:val="24"/>
          <w:szCs w:val="24"/>
        </w:rPr>
        <w:t xml:space="preserve"> повишаване </w:t>
      </w:r>
      <w:r w:rsidR="0023407B" w:rsidRPr="00997C23">
        <w:rPr>
          <w:rFonts w:ascii="Times New Roman" w:eastAsia="Calibri" w:hAnsi="Times New Roman" w:cs="Times New Roman"/>
          <w:bCs/>
          <w:iCs/>
          <w:sz w:val="24"/>
          <w:szCs w:val="24"/>
        </w:rPr>
        <w:t>на</w:t>
      </w:r>
      <w:r w:rsidRPr="00997C23">
        <w:rPr>
          <w:rFonts w:ascii="Times New Roman" w:eastAsia="Calibri" w:hAnsi="Times New Roman" w:cs="Times New Roman"/>
          <w:bCs/>
          <w:iCs/>
          <w:sz w:val="24"/>
          <w:szCs w:val="24"/>
        </w:rPr>
        <w:t xml:space="preserve"> </w:t>
      </w:r>
      <w:r w:rsidR="00B84420" w:rsidRPr="00997C23">
        <w:rPr>
          <w:rFonts w:ascii="Times New Roman" w:hAnsi="Times New Roman" w:cs="Times New Roman"/>
          <w:sz w:val="24"/>
          <w:szCs w:val="24"/>
        </w:rPr>
        <w:t xml:space="preserve">осведомеността са </w:t>
      </w:r>
      <w:r w:rsidRPr="00997C23">
        <w:rPr>
          <w:rFonts w:ascii="Times New Roman" w:eastAsia="Calibri" w:hAnsi="Times New Roman" w:cs="Times New Roman"/>
          <w:bCs/>
          <w:iCs/>
          <w:sz w:val="24"/>
          <w:szCs w:val="24"/>
        </w:rPr>
        <w:t>предвидени</w:t>
      </w:r>
      <w:r w:rsidR="001351DC" w:rsidRPr="00997C23">
        <w:rPr>
          <w:rFonts w:ascii="Times New Roman" w:hAnsi="Times New Roman" w:cs="Times New Roman"/>
          <w:sz w:val="24"/>
          <w:szCs w:val="24"/>
        </w:rPr>
        <w:t xml:space="preserve"> </w:t>
      </w:r>
      <w:r w:rsidR="00203CAB" w:rsidRPr="00997C23">
        <w:rPr>
          <w:rFonts w:ascii="Times New Roman" w:hAnsi="Times New Roman" w:cs="Times New Roman"/>
          <w:sz w:val="24"/>
          <w:szCs w:val="24"/>
        </w:rPr>
        <w:t xml:space="preserve">непрекъснати и </w:t>
      </w:r>
      <w:r w:rsidR="001351DC" w:rsidRPr="00997C23">
        <w:rPr>
          <w:rFonts w:ascii="Times New Roman" w:hAnsi="Times New Roman" w:cs="Times New Roman"/>
          <w:sz w:val="24"/>
          <w:szCs w:val="24"/>
        </w:rPr>
        <w:t>координирани инициативи</w:t>
      </w:r>
      <w:r w:rsidR="003B1798" w:rsidRPr="00997C23">
        <w:rPr>
          <w:rFonts w:ascii="Times New Roman" w:hAnsi="Times New Roman" w:cs="Times New Roman"/>
          <w:sz w:val="24"/>
          <w:szCs w:val="24"/>
        </w:rPr>
        <w:t xml:space="preserve">. </w:t>
      </w:r>
      <w:r w:rsidR="00B84420" w:rsidRPr="00997C23">
        <w:rPr>
          <w:rFonts w:ascii="Times New Roman" w:hAnsi="Times New Roman" w:cs="Times New Roman"/>
          <w:sz w:val="24"/>
          <w:szCs w:val="24"/>
        </w:rPr>
        <w:t xml:space="preserve">В </w:t>
      </w:r>
      <w:r w:rsidR="003D4FC0">
        <w:rPr>
          <w:rFonts w:ascii="Times New Roman" w:hAnsi="Times New Roman" w:cs="Times New Roman"/>
          <w:i/>
          <w:sz w:val="24"/>
          <w:szCs w:val="24"/>
        </w:rPr>
        <w:t>О</w:t>
      </w:r>
      <w:r w:rsidR="00871933">
        <w:rPr>
          <w:rFonts w:ascii="Times New Roman" w:hAnsi="Times New Roman" w:cs="Times New Roman"/>
          <w:i/>
          <w:sz w:val="24"/>
          <w:szCs w:val="24"/>
        </w:rPr>
        <w:t>сновна</w:t>
      </w:r>
      <w:r w:rsidR="00B84420" w:rsidRPr="00997C23">
        <w:rPr>
          <w:rFonts w:ascii="Times New Roman" w:hAnsi="Times New Roman" w:cs="Times New Roman"/>
          <w:i/>
          <w:sz w:val="24"/>
          <w:szCs w:val="24"/>
        </w:rPr>
        <w:t xml:space="preserve"> цел 1</w:t>
      </w:r>
      <w:r w:rsidR="00B84420" w:rsidRPr="00997C23">
        <w:rPr>
          <w:rFonts w:ascii="Times New Roman" w:hAnsi="Times New Roman" w:cs="Times New Roman"/>
          <w:sz w:val="24"/>
          <w:szCs w:val="24"/>
        </w:rPr>
        <w:t xml:space="preserve"> са</w:t>
      </w:r>
      <w:r w:rsidR="003B1798" w:rsidRPr="00997C23">
        <w:rPr>
          <w:rFonts w:ascii="Times New Roman" w:hAnsi="Times New Roman" w:cs="Times New Roman"/>
          <w:sz w:val="24"/>
          <w:szCs w:val="24"/>
        </w:rPr>
        <w:t xml:space="preserve"> заложени </w:t>
      </w:r>
      <w:r w:rsidR="00B84420" w:rsidRPr="00997C23">
        <w:rPr>
          <w:rFonts w:ascii="Times New Roman" w:hAnsi="Times New Roman" w:cs="Times New Roman"/>
          <w:sz w:val="24"/>
          <w:szCs w:val="24"/>
        </w:rPr>
        <w:t xml:space="preserve">множество </w:t>
      </w:r>
      <w:r w:rsidR="004D0B94" w:rsidRPr="00997C23">
        <w:rPr>
          <w:rFonts w:ascii="Times New Roman" w:hAnsi="Times New Roman" w:cs="Times New Roman"/>
          <w:sz w:val="24"/>
          <w:szCs w:val="24"/>
        </w:rPr>
        <w:t>конкретни</w:t>
      </w:r>
      <w:r w:rsidR="00AC0F22" w:rsidRPr="00997C23">
        <w:rPr>
          <w:rFonts w:ascii="Times New Roman" w:hAnsi="Times New Roman" w:cs="Times New Roman"/>
          <w:sz w:val="24"/>
          <w:szCs w:val="24"/>
        </w:rPr>
        <w:t xml:space="preserve"> </w:t>
      </w:r>
      <w:r w:rsidR="00B84420" w:rsidRPr="00997C23">
        <w:rPr>
          <w:rFonts w:ascii="Times New Roman" w:hAnsi="Times New Roman" w:cs="Times New Roman"/>
          <w:sz w:val="24"/>
          <w:szCs w:val="24"/>
        </w:rPr>
        <w:t>дейности за обучение,</w:t>
      </w:r>
      <w:r w:rsidR="004D0B94" w:rsidRPr="00997C23">
        <w:rPr>
          <w:rFonts w:ascii="Times New Roman" w:hAnsi="Times New Roman" w:cs="Times New Roman"/>
          <w:sz w:val="24"/>
          <w:szCs w:val="24"/>
        </w:rPr>
        <w:t xml:space="preserve"> промяна в поведението,</w:t>
      </w:r>
      <w:r w:rsidR="00B84420" w:rsidRPr="00997C23">
        <w:rPr>
          <w:rFonts w:ascii="Times New Roman" w:hAnsi="Times New Roman" w:cs="Times New Roman"/>
          <w:sz w:val="24"/>
          <w:szCs w:val="24"/>
        </w:rPr>
        <w:t xml:space="preserve"> </w:t>
      </w:r>
      <w:r w:rsidR="004D0B94" w:rsidRPr="00997C23">
        <w:rPr>
          <w:rFonts w:ascii="Times New Roman" w:hAnsi="Times New Roman" w:cs="Times New Roman"/>
          <w:sz w:val="24"/>
          <w:szCs w:val="24"/>
        </w:rPr>
        <w:t>а също така и</w:t>
      </w:r>
      <w:r w:rsidR="00B84420" w:rsidRPr="00997C23">
        <w:rPr>
          <w:rFonts w:ascii="Times New Roman" w:hAnsi="Times New Roman" w:cs="Times New Roman"/>
          <w:sz w:val="24"/>
          <w:szCs w:val="24"/>
        </w:rPr>
        <w:t xml:space="preserve"> за </w:t>
      </w:r>
      <w:r w:rsidR="00FC03E5" w:rsidRPr="00997C23">
        <w:rPr>
          <w:rFonts w:ascii="Times New Roman" w:hAnsi="Times New Roman" w:cs="Times New Roman"/>
          <w:sz w:val="24"/>
          <w:szCs w:val="24"/>
        </w:rPr>
        <w:t>мониторинг и оценка на информираността при всички таргетни групи.</w:t>
      </w:r>
      <w:r w:rsidRPr="00997C23">
        <w:rPr>
          <w:rFonts w:ascii="Times New Roman" w:eastAsia="Times New Roman" w:hAnsi="Times New Roman" w:cs="Times New Roman"/>
          <w:sz w:val="24"/>
          <w:szCs w:val="24"/>
          <w:lang w:eastAsia="bg-BG"/>
        </w:rPr>
        <w:t xml:space="preserve"> Следва да бъдат разглеждани основните аспекти на АМР: значение, последици, причини за възникване, епидемиология. От първостепенно значение е </w:t>
      </w:r>
      <w:r w:rsidR="009D71D0" w:rsidRPr="00997C23">
        <w:rPr>
          <w:rFonts w:ascii="Times New Roman" w:eastAsia="Times New Roman" w:hAnsi="Times New Roman" w:cs="Times New Roman"/>
          <w:sz w:val="24"/>
          <w:szCs w:val="24"/>
          <w:lang w:eastAsia="bg-BG"/>
        </w:rPr>
        <w:t xml:space="preserve">подобряване </w:t>
      </w:r>
      <w:r w:rsidRPr="00997C23">
        <w:rPr>
          <w:rFonts w:ascii="Times New Roman" w:eastAsia="Times New Roman" w:hAnsi="Times New Roman" w:cs="Times New Roman"/>
          <w:sz w:val="24"/>
          <w:szCs w:val="24"/>
          <w:lang w:eastAsia="bg-BG"/>
        </w:rPr>
        <w:t xml:space="preserve">на програмите </w:t>
      </w:r>
      <w:r w:rsidRPr="00997C23">
        <w:rPr>
          <w:rFonts w:ascii="Times New Roman" w:eastAsia="Times New Roman" w:hAnsi="Times New Roman" w:cs="Times New Roman"/>
          <w:sz w:val="24"/>
          <w:szCs w:val="24"/>
          <w:lang w:val="en-US" w:eastAsia="bg-BG"/>
        </w:rPr>
        <w:t>(</w:t>
      </w:r>
      <w:r w:rsidRPr="00997C23">
        <w:rPr>
          <w:rFonts w:ascii="Times New Roman" w:eastAsia="Times New Roman" w:hAnsi="Times New Roman" w:cs="Times New Roman"/>
          <w:sz w:val="24"/>
          <w:szCs w:val="24"/>
          <w:lang w:eastAsia="bg-BG"/>
        </w:rPr>
        <w:t>тематично и с повече часове</w:t>
      </w:r>
      <w:r w:rsidRPr="00997C23">
        <w:rPr>
          <w:rFonts w:ascii="Times New Roman" w:eastAsia="Times New Roman" w:hAnsi="Times New Roman" w:cs="Times New Roman"/>
          <w:sz w:val="24"/>
          <w:szCs w:val="24"/>
          <w:lang w:val="en-US" w:eastAsia="bg-BG"/>
        </w:rPr>
        <w:t>)</w:t>
      </w:r>
      <w:r w:rsidRPr="00997C23">
        <w:rPr>
          <w:rFonts w:ascii="Times New Roman" w:eastAsia="Times New Roman" w:hAnsi="Times New Roman" w:cs="Times New Roman"/>
          <w:sz w:val="24"/>
          <w:szCs w:val="24"/>
          <w:lang w:eastAsia="bg-BG"/>
        </w:rPr>
        <w:t xml:space="preserve"> в студентското и следдипломно обучение на специалистите в областта на хуманната и ветеринарна медицина във връзка с провежданенето на </w:t>
      </w:r>
      <w:r w:rsidR="002D7ACA" w:rsidRPr="00997C23">
        <w:rPr>
          <w:rFonts w:ascii="Times New Roman" w:eastAsia="Times New Roman" w:hAnsi="Times New Roman" w:cs="Times New Roman"/>
          <w:color w:val="000000"/>
          <w:sz w:val="24"/>
          <w:szCs w:val="24"/>
          <w:lang w:eastAsia="bg-BG"/>
        </w:rPr>
        <w:t>правителствено</w:t>
      </w:r>
      <w:r w:rsidR="002D7ACA" w:rsidRPr="00997C23">
        <w:rPr>
          <w:rFonts w:ascii="Times New Roman" w:hAnsi="Times New Roman" w:cs="Times New Roman"/>
          <w:color w:val="000000"/>
          <w:sz w:val="24"/>
          <w:szCs w:val="24"/>
          <w:lang w:eastAsia="bg-BG"/>
        </w:rPr>
        <w:t xml:space="preserve"> </w:t>
      </w:r>
      <w:r w:rsidR="002D7ACA" w:rsidRPr="00997C23">
        <w:rPr>
          <w:rFonts w:ascii="Times New Roman" w:eastAsia="Times New Roman" w:hAnsi="Times New Roman" w:cs="Times New Roman"/>
          <w:color w:val="000000"/>
          <w:sz w:val="24"/>
          <w:szCs w:val="24"/>
          <w:lang w:eastAsia="bg-BG"/>
        </w:rPr>
        <w:t xml:space="preserve">ангажирана и контролирана стратегия </w:t>
      </w:r>
      <w:r w:rsidRPr="00997C23">
        <w:rPr>
          <w:rFonts w:ascii="Times New Roman" w:eastAsia="Times New Roman" w:hAnsi="Times New Roman" w:cs="Times New Roman"/>
          <w:sz w:val="24"/>
          <w:szCs w:val="24"/>
          <w:lang w:eastAsia="bg-BG"/>
        </w:rPr>
        <w:t xml:space="preserve">и спазване на мерките </w:t>
      </w:r>
      <w:r w:rsidR="007A7FC4" w:rsidRPr="00997C23">
        <w:rPr>
          <w:rFonts w:ascii="Times New Roman" w:eastAsia="Times New Roman" w:hAnsi="Times New Roman" w:cs="Times New Roman"/>
          <w:sz w:val="24"/>
          <w:szCs w:val="24"/>
          <w:lang w:eastAsia="bg-BG"/>
        </w:rPr>
        <w:t xml:space="preserve">за </w:t>
      </w:r>
      <w:r w:rsidR="009D71D0" w:rsidRPr="00997C23">
        <w:rPr>
          <w:rFonts w:ascii="Times New Roman" w:eastAsia="Times New Roman" w:hAnsi="Times New Roman" w:cs="Times New Roman"/>
          <w:sz w:val="24"/>
          <w:szCs w:val="24"/>
          <w:lang w:eastAsia="bg-BG"/>
        </w:rPr>
        <w:t>к</w:t>
      </w:r>
      <w:r w:rsidRPr="00997C23">
        <w:rPr>
          <w:rFonts w:ascii="Times New Roman" w:eastAsia="Times New Roman" w:hAnsi="Times New Roman" w:cs="Times New Roman"/>
          <w:sz w:val="24"/>
          <w:szCs w:val="24"/>
          <w:lang w:eastAsia="bg-BG"/>
        </w:rPr>
        <w:t xml:space="preserve">онтрола на инфекциите. </w:t>
      </w:r>
      <w:r w:rsidR="00DC79C4" w:rsidRPr="00997C23">
        <w:rPr>
          <w:rFonts w:ascii="Times New Roman" w:eastAsia="Times New Roman" w:hAnsi="Times New Roman" w:cs="Times New Roman"/>
          <w:sz w:val="24"/>
          <w:szCs w:val="24"/>
          <w:lang w:eastAsia="bg-BG"/>
        </w:rPr>
        <w:t>З</w:t>
      </w:r>
      <w:r w:rsidRPr="00997C23">
        <w:rPr>
          <w:rFonts w:ascii="Times New Roman" w:eastAsia="Times New Roman" w:hAnsi="Times New Roman" w:cs="Times New Roman"/>
          <w:sz w:val="24"/>
          <w:szCs w:val="24"/>
          <w:lang w:eastAsia="bg-BG"/>
        </w:rPr>
        <w:t>а тези проблеми трябва да са информирани и собствениците на ферми, на домашни животни</w:t>
      </w:r>
      <w:r w:rsidR="008156C0" w:rsidRPr="008156C0">
        <w:rPr>
          <w:rFonts w:ascii="Times New Roman" w:eastAsia="Times New Roman" w:hAnsi="Times New Roman" w:cs="Times New Roman"/>
          <w:sz w:val="24"/>
          <w:szCs w:val="24"/>
          <w:lang w:eastAsia="bg-BG"/>
        </w:rPr>
        <w:t xml:space="preserve"> </w:t>
      </w:r>
      <w:r w:rsidR="008156C0">
        <w:rPr>
          <w:rFonts w:ascii="Times New Roman" w:eastAsia="Times New Roman" w:hAnsi="Times New Roman" w:cs="Times New Roman"/>
          <w:sz w:val="24"/>
          <w:szCs w:val="24"/>
          <w:lang w:eastAsia="bg-BG"/>
        </w:rPr>
        <w:t>(селско</w:t>
      </w:r>
      <w:r w:rsidR="008156C0" w:rsidRPr="00997C23">
        <w:rPr>
          <w:rFonts w:ascii="Times New Roman" w:eastAsia="Times New Roman" w:hAnsi="Times New Roman" w:cs="Times New Roman"/>
          <w:sz w:val="24"/>
          <w:szCs w:val="24"/>
          <w:lang w:eastAsia="bg-BG"/>
        </w:rPr>
        <w:t xml:space="preserve">стопански </w:t>
      </w:r>
      <w:r w:rsidR="008156C0">
        <w:rPr>
          <w:rFonts w:ascii="Times New Roman" w:eastAsia="Times New Roman" w:hAnsi="Times New Roman" w:cs="Times New Roman"/>
          <w:sz w:val="24"/>
          <w:szCs w:val="24"/>
          <w:lang w:eastAsia="bg-BG"/>
        </w:rPr>
        <w:t xml:space="preserve">животни </w:t>
      </w:r>
      <w:r w:rsidR="008156C0" w:rsidRPr="00997C23">
        <w:rPr>
          <w:rFonts w:ascii="Times New Roman" w:eastAsia="Times New Roman" w:hAnsi="Times New Roman" w:cs="Times New Roman"/>
          <w:sz w:val="24"/>
          <w:szCs w:val="24"/>
          <w:lang w:eastAsia="bg-BG"/>
        </w:rPr>
        <w:t>и</w:t>
      </w:r>
      <w:r w:rsidR="008156C0">
        <w:rPr>
          <w:rFonts w:ascii="Times New Roman" w:eastAsia="Times New Roman" w:hAnsi="Times New Roman" w:cs="Times New Roman"/>
          <w:sz w:val="24"/>
          <w:szCs w:val="24"/>
          <w:lang w:eastAsia="bg-BG"/>
        </w:rPr>
        <w:t xml:space="preserve"> домашни любимци)</w:t>
      </w:r>
      <w:r w:rsidR="00E843C8">
        <w:rPr>
          <w:rFonts w:ascii="Times New Roman" w:eastAsia="Times New Roman" w:hAnsi="Times New Roman" w:cs="Times New Roman"/>
          <w:sz w:val="24"/>
          <w:szCs w:val="24"/>
          <w:lang w:eastAsia="bg-BG"/>
        </w:rPr>
        <w:t>, и всички</w:t>
      </w:r>
      <w:r w:rsidRPr="00997C23">
        <w:rPr>
          <w:rFonts w:ascii="Times New Roman" w:eastAsia="Times New Roman" w:hAnsi="Times New Roman" w:cs="Times New Roman"/>
          <w:sz w:val="24"/>
          <w:szCs w:val="24"/>
          <w:lang w:eastAsia="bg-BG"/>
        </w:rPr>
        <w:t xml:space="preserve"> потенциално изложени на риск.</w:t>
      </w:r>
      <w:r w:rsidR="00CF4648" w:rsidRPr="00997C23">
        <w:rPr>
          <w:rFonts w:ascii="Times New Roman" w:eastAsia="Times New Roman" w:hAnsi="Times New Roman" w:cs="Times New Roman"/>
          <w:sz w:val="24"/>
          <w:szCs w:val="24"/>
          <w:lang w:eastAsia="bg-BG"/>
        </w:rPr>
        <w:t xml:space="preserve"> </w:t>
      </w:r>
    </w:p>
    <w:p w14:paraId="5FC6D1E4" w14:textId="77777777" w:rsidR="000E281B" w:rsidRDefault="000E281B" w:rsidP="00C467DB">
      <w:pPr>
        <w:spacing w:after="0" w:line="360" w:lineRule="auto"/>
        <w:ind w:firstLine="709"/>
        <w:rPr>
          <w:lang w:eastAsia="bg-BG"/>
        </w:rPr>
      </w:pPr>
    </w:p>
    <w:p w14:paraId="696F1209" w14:textId="77777777" w:rsidR="00DD67CB" w:rsidRPr="00E843C8" w:rsidRDefault="00871933" w:rsidP="00E843C8">
      <w:pPr>
        <w:pStyle w:val="Heading2"/>
        <w:spacing w:before="0" w:line="360" w:lineRule="auto"/>
        <w:jc w:val="both"/>
        <w:rPr>
          <w:rFonts w:ascii="Times New Roman" w:eastAsiaTheme="majorEastAsia" w:hAnsi="Times New Roman"/>
          <w:bCs w:val="0"/>
          <w:color w:val="auto"/>
          <w:sz w:val="24"/>
          <w:szCs w:val="24"/>
          <w:lang w:eastAsia="bg-BG"/>
        </w:rPr>
      </w:pPr>
      <w:bookmarkStart w:id="6" w:name="_Toc200721736"/>
      <w:r>
        <w:rPr>
          <w:rFonts w:ascii="Times New Roman" w:eastAsiaTheme="majorEastAsia" w:hAnsi="Times New Roman"/>
          <w:bCs w:val="0"/>
          <w:color w:val="auto"/>
          <w:sz w:val="24"/>
          <w:szCs w:val="24"/>
          <w:lang w:eastAsia="bg-BG"/>
        </w:rPr>
        <w:t>ОСНОВНА</w:t>
      </w:r>
      <w:r w:rsidR="00B25ACD" w:rsidRPr="00E50EDE">
        <w:rPr>
          <w:rFonts w:ascii="Times New Roman" w:eastAsiaTheme="majorEastAsia" w:hAnsi="Times New Roman"/>
          <w:bCs w:val="0"/>
          <w:color w:val="auto"/>
          <w:sz w:val="24"/>
          <w:szCs w:val="24"/>
          <w:lang w:eastAsia="bg-BG"/>
        </w:rPr>
        <w:t xml:space="preserve"> ЦЕЛ 2. </w:t>
      </w:r>
      <w:r w:rsidR="00DD67CB" w:rsidRPr="00025214">
        <w:rPr>
          <w:rFonts w:ascii="Times New Roman" w:eastAsiaTheme="majorEastAsia" w:hAnsi="Times New Roman"/>
          <w:bCs w:val="0"/>
          <w:color w:val="auto"/>
          <w:sz w:val="24"/>
          <w:szCs w:val="24"/>
          <w:lang w:eastAsia="bg-BG"/>
        </w:rPr>
        <w:t xml:space="preserve">Повишаване и укрепване на базата от данни, знания и доказателства </w:t>
      </w:r>
      <w:r w:rsidR="00F71D4F" w:rsidRPr="00025214">
        <w:rPr>
          <w:rFonts w:ascii="Times New Roman" w:eastAsiaTheme="majorEastAsia" w:hAnsi="Times New Roman"/>
          <w:bCs w:val="0"/>
          <w:color w:val="auto"/>
          <w:sz w:val="24"/>
          <w:szCs w:val="24"/>
          <w:lang w:eastAsia="bg-BG"/>
        </w:rPr>
        <w:t xml:space="preserve">за АМР в страната, </w:t>
      </w:r>
      <w:r w:rsidR="00DD67CB" w:rsidRPr="00025214">
        <w:rPr>
          <w:rFonts w:ascii="Times New Roman" w:eastAsiaTheme="majorEastAsia" w:hAnsi="Times New Roman"/>
          <w:bCs w:val="0"/>
          <w:color w:val="auto"/>
          <w:sz w:val="24"/>
          <w:szCs w:val="24"/>
          <w:lang w:eastAsia="bg-BG"/>
        </w:rPr>
        <w:t>получени чрез наблюдение и изследване</w:t>
      </w:r>
      <w:r w:rsidR="00E843C8">
        <w:rPr>
          <w:rFonts w:ascii="Times New Roman" w:eastAsiaTheme="majorEastAsia" w:hAnsi="Times New Roman"/>
          <w:bCs w:val="0"/>
          <w:color w:val="auto"/>
          <w:sz w:val="24"/>
          <w:szCs w:val="24"/>
          <w:lang w:eastAsia="bg-BG"/>
        </w:rPr>
        <w:t>.</w:t>
      </w:r>
      <w:bookmarkEnd w:id="6"/>
    </w:p>
    <w:p w14:paraId="6513C6EC" w14:textId="77777777" w:rsidR="00465A2F"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Р</w:t>
      </w:r>
      <w:r w:rsidR="00A5725F" w:rsidRPr="00997C23">
        <w:rPr>
          <w:rFonts w:ascii="Times New Roman" w:hAnsi="Times New Roman" w:cs="Times New Roman"/>
          <w:sz w:val="24"/>
          <w:szCs w:val="24"/>
        </w:rPr>
        <w:t>епублика</w:t>
      </w:r>
      <w:r w:rsidRPr="00997C23">
        <w:rPr>
          <w:rFonts w:ascii="Times New Roman" w:hAnsi="Times New Roman" w:cs="Times New Roman"/>
          <w:sz w:val="24"/>
          <w:szCs w:val="24"/>
        </w:rPr>
        <w:t xml:space="preserve"> България участва активно в </w:t>
      </w:r>
      <w:r w:rsidR="001441E6">
        <w:rPr>
          <w:rFonts w:ascii="Times New Roman" w:hAnsi="Times New Roman" w:cs="Times New Roman"/>
          <w:sz w:val="24"/>
          <w:szCs w:val="24"/>
        </w:rPr>
        <w:t>Е</w:t>
      </w:r>
      <w:r w:rsidRPr="00997C23">
        <w:rPr>
          <w:rFonts w:ascii="Times New Roman" w:hAnsi="Times New Roman" w:cs="Times New Roman"/>
          <w:sz w:val="24"/>
          <w:szCs w:val="24"/>
        </w:rPr>
        <w:t xml:space="preserve">вропейската система за надзор на резистентността на причинители на инвазивни инфекции </w:t>
      </w:r>
      <w:r w:rsidR="008C1B29" w:rsidRPr="00997C23">
        <w:rPr>
          <w:rFonts w:ascii="Times New Roman" w:hAnsi="Times New Roman" w:cs="Times New Roman"/>
          <w:sz w:val="24"/>
          <w:szCs w:val="24"/>
        </w:rPr>
        <w:t>(</w:t>
      </w:r>
      <w:r w:rsidRPr="00997C23">
        <w:rPr>
          <w:rFonts w:ascii="Times New Roman" w:hAnsi="Times New Roman" w:cs="Times New Roman"/>
          <w:sz w:val="24"/>
          <w:szCs w:val="24"/>
          <w:lang w:val="en-US"/>
        </w:rPr>
        <w:t>EARS-Net)</w:t>
      </w:r>
      <w:r w:rsidRPr="00997C23">
        <w:rPr>
          <w:rFonts w:ascii="Times New Roman" w:hAnsi="Times New Roman" w:cs="Times New Roman"/>
          <w:b/>
          <w:sz w:val="24"/>
          <w:szCs w:val="24"/>
        </w:rPr>
        <w:t xml:space="preserve">, </w:t>
      </w:r>
      <w:r w:rsidRPr="00997C23">
        <w:rPr>
          <w:rFonts w:ascii="Times New Roman" w:hAnsi="Times New Roman" w:cs="Times New Roman"/>
          <w:sz w:val="24"/>
          <w:szCs w:val="24"/>
        </w:rPr>
        <w:t xml:space="preserve">както и в </w:t>
      </w:r>
      <w:r w:rsidR="001441E6">
        <w:rPr>
          <w:rFonts w:ascii="Times New Roman" w:hAnsi="Times New Roman" w:cs="Times New Roman"/>
          <w:sz w:val="24"/>
          <w:szCs w:val="24"/>
        </w:rPr>
        <w:t xml:space="preserve">Европейската </w:t>
      </w:r>
      <w:r w:rsidRPr="00997C23">
        <w:rPr>
          <w:rFonts w:ascii="Times New Roman" w:hAnsi="Times New Roman" w:cs="Times New Roman"/>
          <w:sz w:val="24"/>
          <w:szCs w:val="24"/>
        </w:rPr>
        <w:t xml:space="preserve">мрежа за надзор на консумацията на антибиотици </w:t>
      </w:r>
      <w:r w:rsidR="008C1B29" w:rsidRPr="00997C23">
        <w:rPr>
          <w:rFonts w:ascii="Times New Roman" w:hAnsi="Times New Roman" w:cs="Times New Roman"/>
          <w:sz w:val="24"/>
          <w:szCs w:val="24"/>
        </w:rPr>
        <w:t>(</w:t>
      </w:r>
      <w:r w:rsidRPr="00997C23">
        <w:rPr>
          <w:rFonts w:ascii="Times New Roman" w:hAnsi="Times New Roman" w:cs="Times New Roman"/>
          <w:sz w:val="24"/>
          <w:szCs w:val="24"/>
          <w:lang w:val="en-US"/>
        </w:rPr>
        <w:t>ESAC-NET</w:t>
      </w:r>
      <w:r w:rsidR="008C1B29" w:rsidRPr="00997C23">
        <w:rPr>
          <w:rFonts w:ascii="Times New Roman" w:hAnsi="Times New Roman" w:cs="Times New Roman"/>
          <w:sz w:val="24"/>
          <w:szCs w:val="24"/>
        </w:rPr>
        <w:t>)</w:t>
      </w:r>
      <w:r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rPr>
        <w:t>още от създаването им през 1998</w:t>
      </w:r>
      <w:r w:rsidR="00A5725F" w:rsidRPr="00997C23">
        <w:rPr>
          <w:rFonts w:ascii="Times New Roman" w:hAnsi="Times New Roman" w:cs="Times New Roman"/>
          <w:sz w:val="24"/>
          <w:szCs w:val="24"/>
        </w:rPr>
        <w:t xml:space="preserve"> </w:t>
      </w:r>
      <w:r w:rsidRPr="00997C23">
        <w:rPr>
          <w:rFonts w:ascii="Times New Roman" w:hAnsi="Times New Roman" w:cs="Times New Roman"/>
          <w:sz w:val="24"/>
          <w:szCs w:val="24"/>
        </w:rPr>
        <w:t xml:space="preserve">г. </w:t>
      </w:r>
    </w:p>
    <w:p w14:paraId="42C33BE7" w14:textId="77777777" w:rsidR="008C1B29" w:rsidRPr="00997C23" w:rsidRDefault="008C1B29"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Националната система за надзор над антимикробната резистентност </w:t>
      </w:r>
      <w:r w:rsidR="001441E6">
        <w:rPr>
          <w:rFonts w:ascii="Times New Roman" w:hAnsi="Times New Roman" w:cs="Times New Roman"/>
          <w:sz w:val="24"/>
          <w:szCs w:val="24"/>
        </w:rPr>
        <w:t>(</w:t>
      </w:r>
      <w:r w:rsidRPr="00997C23">
        <w:rPr>
          <w:rFonts w:ascii="Times New Roman" w:hAnsi="Times New Roman" w:cs="Times New Roman"/>
          <w:sz w:val="24"/>
          <w:szCs w:val="24"/>
          <w:lang w:val="en-US"/>
        </w:rPr>
        <w:t>BulSTAR</w:t>
      </w:r>
      <w:r w:rsidR="001441E6">
        <w:rPr>
          <w:rFonts w:ascii="Times New Roman" w:hAnsi="Times New Roman" w:cs="Times New Roman"/>
          <w:sz w:val="24"/>
          <w:szCs w:val="24"/>
        </w:rPr>
        <w:t>)</w:t>
      </w:r>
      <w:r w:rsidRPr="00997C23">
        <w:rPr>
          <w:rFonts w:ascii="Times New Roman" w:hAnsi="Times New Roman" w:cs="Times New Roman"/>
          <w:sz w:val="24"/>
          <w:szCs w:val="24"/>
        </w:rPr>
        <w:t xml:space="preserve"> стартира през 1997</w:t>
      </w:r>
      <w:r w:rsidR="00406C55" w:rsidRPr="00997C23">
        <w:rPr>
          <w:rFonts w:ascii="Times New Roman" w:hAnsi="Times New Roman" w:cs="Times New Roman"/>
          <w:sz w:val="24"/>
          <w:szCs w:val="24"/>
        </w:rPr>
        <w:t xml:space="preserve"> </w:t>
      </w:r>
      <w:r w:rsidRPr="00997C23">
        <w:rPr>
          <w:rFonts w:ascii="Times New Roman" w:hAnsi="Times New Roman" w:cs="Times New Roman"/>
          <w:sz w:val="24"/>
          <w:szCs w:val="24"/>
        </w:rPr>
        <w:t>г</w:t>
      </w:r>
      <w:r w:rsidR="00406C55" w:rsidRPr="00997C23">
        <w:rPr>
          <w:rFonts w:ascii="Times New Roman" w:hAnsi="Times New Roman" w:cs="Times New Roman"/>
          <w:sz w:val="24"/>
          <w:szCs w:val="24"/>
        </w:rPr>
        <w:t>.</w:t>
      </w:r>
      <w:r w:rsidRPr="00997C23">
        <w:rPr>
          <w:rFonts w:ascii="Times New Roman" w:hAnsi="Times New Roman" w:cs="Times New Roman"/>
          <w:sz w:val="24"/>
          <w:szCs w:val="24"/>
        </w:rPr>
        <w:t xml:space="preserve"> и е една от първите в Европа</w:t>
      </w:r>
      <w:r w:rsidR="00A66398" w:rsidRPr="00997C23">
        <w:rPr>
          <w:rFonts w:ascii="Times New Roman" w:hAnsi="Times New Roman" w:cs="Times New Roman"/>
          <w:sz w:val="24"/>
          <w:szCs w:val="24"/>
        </w:rPr>
        <w:t xml:space="preserve"> </w:t>
      </w:r>
      <w:r w:rsidR="00A66398"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DOI":"10.1016/B978-0-12-810477-4.00041-6","ISBN":"9780128104774","ISSN":"2214-4129","author":[{"dropping-particle":"","family":"Keuleyan","given":"Emma","non-dropping-particle":"","parse-names":false,"suffix":""},{"dropping-particle":"","family":"Kostyanev","given":"Tomislav","non-dropping-particle":"","parse-names":false,"suffix":""}],"chapter-number":"Antimicrob","container-title":"Antimicrobial Stewardship","editor":[{"dropping-particle":"","family":"C. Pulcini, O. Ergonul, F. Can","given":"B. Beovic (Eds)","non-dropping-particle":"","parse-names":false,"suffix":""}],"id":"ITEM-1","issued":{"date-parts":[["2017","1","1"]]},"page":"259-261","publisher":"Academic Press","publisher-place":"London","title":"Antimicrobial Stewardship in Bulgaria","type":"chapter","volume":"2"},"uris":["http://www.mendeley.com/documents/?uuid=46929b8a-5343-391d-b48d-af9166330dc4"]}],"mendeley":{"formattedCitation":"[21]","plainTextFormattedCitation":"[21]","previouslyFormattedCitation":"(Keuleyan &amp; Kostyanev, 2017)"},"properties":{"noteIndex":0},"schema":"https://github.com/citation-style-language/schema/raw/master/csl-citation.json"}</w:instrText>
      </w:r>
      <w:r w:rsidR="00A66398"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[21]</w:t>
      </w:r>
      <w:r w:rsidR="00A66398" w:rsidRPr="00997C23">
        <w:rPr>
          <w:rFonts w:ascii="Times New Roman" w:hAnsi="Times New Roman" w:cs="Times New Roman"/>
          <w:sz w:val="24"/>
          <w:szCs w:val="24"/>
        </w:rPr>
        <w:fldChar w:fldCharType="end"/>
      </w:r>
      <w:r w:rsidR="00A66398" w:rsidRPr="00997C23">
        <w:rPr>
          <w:rFonts w:ascii="Times New Roman" w:hAnsi="Times New Roman" w:cs="Times New Roman"/>
          <w:sz w:val="24"/>
          <w:szCs w:val="24"/>
        </w:rPr>
        <w:t>.</w:t>
      </w:r>
      <w:r w:rsidRPr="00997C23">
        <w:rPr>
          <w:rFonts w:ascii="Times New Roman" w:hAnsi="Times New Roman" w:cs="Times New Roman"/>
          <w:sz w:val="24"/>
          <w:szCs w:val="24"/>
        </w:rPr>
        <w:t xml:space="preserve"> Администрира се от НЦЗПБ, като понастоящем данни за резистентността се докладват от над 150 лаборатории</w:t>
      </w:r>
      <w:r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lang w:val="en-US"/>
        </w:rPr>
        <w:fldChar w:fldCharType="begin" w:fldLock="1"/>
      </w:r>
      <w:r w:rsidR="009D0134" w:rsidRPr="00997C23">
        <w:rPr>
          <w:rFonts w:ascii="Times New Roman" w:hAnsi="Times New Roman" w:cs="Times New Roman"/>
          <w:sz w:val="24"/>
          <w:szCs w:val="24"/>
          <w:lang w:val="en-US"/>
        </w:rPr>
        <w:instrText>ADDIN CSL_CITATION {"citationItems":[{"id":"ITEM-1","itemData":{"DOI":"10.2807/esm.10.06.00548-en","ISSN":"1560-7917","abstract":"We introduce Bulgarian Surveillance Tracking Antimicrobial Resistance (BulSTAR) and make the first report on surveillance data for 2003. This longitudinal surveillance programme monitors the isolation and antimicrobial susceptibility of all clinically significant microorganisms isolated from blood cultures, cerebrospinal fluid, upper and lower respiratory tract, urine and wound samples in the participating microbiology laboratories. Twenty eight public, 45 hospital and 6 private laboratories from all 28 counties of the Republic of Bulgaria participated in BulSTAR 2003. The total number of isolates from monitored sources during the surveillance period was 98 929. Seven microorganisms represented 72% of all isolated bacteria in BulSTAR 2003: Escherichia coli, Staphylococcus aureus, Proteus-Providencia-Morganella group, Klebsiella spp., Pseudomonas spp, Streptococcus pneumoniae and Streptococcus pyogenes. Generally the resistance of clinically significant Gram positive and Gram negative bacteria in Bulgaria was estimated to be at a medium level when compared with many other surveillance sources worldwide. A unique 32-year experiment on the population by treating all severe infections with an ampicillin/gentamicin combination resulted in twofold higher levels of resistance to amynoglycosides compared with other countries worldwide. This is due to the extremely conservative treatment schemes used in the former socialist countries, based on national directives and cheap domestic production of gentamicin and ampicillin. The forthcoming introduction of a computer network and improvements in detecting mistakes are expected to increase the sensitivity and the significance of BulSTAR surveillance system - an indispensable tool in the combat against increasing worldwide antibiotic resistance.","author":[{"dropping-particle":"","family":"Petrov","given":"M","non-dropping-particle":"","parse-names":false,"suffix":""},{"dropping-particle":"","family":"Hadjieva","given":"N","non-dropping-particle":"","parse-names":false,"suffix":""},{"dropping-particle":"","family":"Kantardjiev","given":"T","non-dropping-particle":"","parse-names":false,"suffix":""},{"dropping-particle":"","family":"Velinov","given":"Tz","non-dropping-particle":"","parse-names":false,"suffix":""},{"dropping-particle":"","family":"Bachvarova","given":"A","non-dropping-particle":"","parse-names":false,"suffix":""}],"container-title":"Eurosurveillance","id":"ITEM-1","issue":"6","issued":{"date-parts":[["2005","6","1"]]},"page":"7-8","publisher":"European Centre for Disease Prevention and Control","title":"Surveillance of antimicrobial resistance in Bulgaria - a synopsis from BulSTAR 2003","type":"article-journal","volume":"10"},"uris":["http://www.mendeley.com/documents/?uuid=3fd27532-9057-3cbb-9bf1-30c23827e83c"]}],"mendeley":{"formattedCitation":"[25]","plainTextFormattedCitation":"[25]","previouslyFormattedCitation":"(Petrov, Hadjieva, Kantardjiev, Velinov, &amp; Bachvarova, 2005)"},"properties":{"noteIndex":0},"schema":"https://github.com/citation-style-language/schema/raw/master/csl-citation.json"}</w:instrText>
      </w:r>
      <w:r w:rsidRPr="00997C23">
        <w:rPr>
          <w:rFonts w:ascii="Times New Roman" w:hAnsi="Times New Roman" w:cs="Times New Roman"/>
          <w:sz w:val="24"/>
          <w:szCs w:val="24"/>
          <w:lang w:val="en-US"/>
        </w:rPr>
        <w:fldChar w:fldCharType="separate"/>
      </w:r>
      <w:r w:rsidR="009D0134" w:rsidRPr="00997C23">
        <w:rPr>
          <w:rFonts w:ascii="Times New Roman" w:hAnsi="Times New Roman" w:cs="Times New Roman"/>
          <w:noProof/>
          <w:sz w:val="24"/>
          <w:szCs w:val="24"/>
          <w:lang w:val="en-US"/>
        </w:rPr>
        <w:t>[25]</w:t>
      </w:r>
      <w:r w:rsidRPr="00997C23">
        <w:rPr>
          <w:rFonts w:ascii="Times New Roman" w:hAnsi="Times New Roman" w:cs="Times New Roman"/>
          <w:sz w:val="24"/>
          <w:szCs w:val="24"/>
          <w:lang w:val="en-US"/>
        </w:rPr>
        <w:fldChar w:fldCharType="end"/>
      </w:r>
      <w:r w:rsidRPr="00997C23">
        <w:rPr>
          <w:rFonts w:ascii="Times New Roman" w:hAnsi="Times New Roman" w:cs="Times New Roman"/>
          <w:sz w:val="24"/>
          <w:szCs w:val="24"/>
        </w:rPr>
        <w:t>. Ежегодните анализи се извършват на базата на &gt;200 000 антибиограми и се публикуват на уебстраницата на БАМ.</w:t>
      </w:r>
      <w:r w:rsidR="002A0034" w:rsidRPr="00997C23">
        <w:rPr>
          <w:rFonts w:ascii="Times New Roman" w:hAnsi="Times New Roman" w:cs="Times New Roman"/>
          <w:sz w:val="24"/>
          <w:szCs w:val="24"/>
        </w:rPr>
        <w:t xml:space="preserve"> Трябва да се отбележи, че националните данни </w:t>
      </w:r>
      <w:r w:rsidR="00E76204">
        <w:rPr>
          <w:rFonts w:ascii="Times New Roman" w:hAnsi="Times New Roman" w:cs="Times New Roman"/>
          <w:sz w:val="24"/>
          <w:szCs w:val="24"/>
        </w:rPr>
        <w:t xml:space="preserve">не </w:t>
      </w:r>
      <w:r w:rsidR="002A0034" w:rsidRPr="00997C23">
        <w:rPr>
          <w:rFonts w:ascii="Times New Roman" w:hAnsi="Times New Roman" w:cs="Times New Roman"/>
          <w:sz w:val="24"/>
          <w:szCs w:val="24"/>
        </w:rPr>
        <w:t xml:space="preserve">са в </w:t>
      </w:r>
      <w:r w:rsidR="00E76204">
        <w:rPr>
          <w:rFonts w:ascii="Times New Roman" w:hAnsi="Times New Roman" w:cs="Times New Roman"/>
          <w:sz w:val="24"/>
          <w:szCs w:val="24"/>
        </w:rPr>
        <w:t>съответствие</w:t>
      </w:r>
      <w:r w:rsidR="00E76204" w:rsidRPr="00997C23">
        <w:rPr>
          <w:rFonts w:ascii="Times New Roman" w:hAnsi="Times New Roman" w:cs="Times New Roman"/>
          <w:sz w:val="24"/>
          <w:szCs w:val="24"/>
        </w:rPr>
        <w:t xml:space="preserve"> </w:t>
      </w:r>
      <w:r w:rsidR="00DB2543" w:rsidRPr="00997C23">
        <w:rPr>
          <w:rFonts w:ascii="Times New Roman" w:hAnsi="Times New Roman" w:cs="Times New Roman"/>
          <w:sz w:val="24"/>
          <w:szCs w:val="24"/>
        </w:rPr>
        <w:t>с</w:t>
      </w:r>
      <w:r w:rsidR="002A0034" w:rsidRPr="00997C23">
        <w:rPr>
          <w:rFonts w:ascii="Times New Roman" w:hAnsi="Times New Roman" w:cs="Times New Roman"/>
          <w:sz w:val="24"/>
          <w:szCs w:val="24"/>
        </w:rPr>
        <w:t xml:space="preserve"> докладваните в </w:t>
      </w:r>
      <w:r w:rsidR="002A0034" w:rsidRPr="00997C23">
        <w:rPr>
          <w:rFonts w:ascii="Times New Roman" w:hAnsi="Times New Roman" w:cs="Times New Roman"/>
          <w:sz w:val="24"/>
          <w:szCs w:val="24"/>
          <w:lang w:val="en-US"/>
        </w:rPr>
        <w:t>EARS-Net</w:t>
      </w:r>
      <w:r w:rsidR="002A0034" w:rsidRPr="00997C23">
        <w:rPr>
          <w:rFonts w:ascii="Times New Roman" w:hAnsi="Times New Roman" w:cs="Times New Roman"/>
          <w:sz w:val="24"/>
          <w:szCs w:val="24"/>
        </w:rPr>
        <w:t xml:space="preserve"> поради факта, че </w:t>
      </w:r>
      <w:r w:rsidR="00DB2543" w:rsidRPr="00997C23">
        <w:rPr>
          <w:rFonts w:ascii="Times New Roman" w:hAnsi="Times New Roman" w:cs="Times New Roman"/>
          <w:sz w:val="24"/>
          <w:szCs w:val="24"/>
        </w:rPr>
        <w:t xml:space="preserve">последните включват само </w:t>
      </w:r>
      <w:r w:rsidR="007B0CDF" w:rsidRPr="00997C23">
        <w:rPr>
          <w:rFonts w:ascii="Times New Roman" w:hAnsi="Times New Roman" w:cs="Times New Roman"/>
          <w:sz w:val="24"/>
          <w:szCs w:val="24"/>
        </w:rPr>
        <w:t xml:space="preserve">докладваните </w:t>
      </w:r>
      <w:r w:rsidR="00DB2543" w:rsidRPr="00997C23">
        <w:rPr>
          <w:rFonts w:ascii="Times New Roman" w:hAnsi="Times New Roman" w:cs="Times New Roman"/>
          <w:sz w:val="24"/>
          <w:szCs w:val="24"/>
        </w:rPr>
        <w:t xml:space="preserve">инвазивни изолати от едва 20 лаборатории, </w:t>
      </w:r>
      <w:r w:rsidR="002350F4" w:rsidRPr="00997C23">
        <w:rPr>
          <w:rFonts w:ascii="Times New Roman" w:hAnsi="Times New Roman" w:cs="Times New Roman"/>
          <w:sz w:val="24"/>
          <w:szCs w:val="24"/>
        </w:rPr>
        <w:t xml:space="preserve">повечето </w:t>
      </w:r>
      <w:r w:rsidR="00DB2543" w:rsidRPr="00997C23">
        <w:rPr>
          <w:rFonts w:ascii="Times New Roman" w:hAnsi="Times New Roman" w:cs="Times New Roman"/>
          <w:sz w:val="24"/>
          <w:szCs w:val="24"/>
        </w:rPr>
        <w:t xml:space="preserve">университетски и </w:t>
      </w:r>
      <w:r w:rsidR="003D4FC0">
        <w:rPr>
          <w:rFonts w:ascii="Times New Roman" w:hAnsi="Times New Roman" w:cs="Times New Roman"/>
          <w:sz w:val="24"/>
          <w:szCs w:val="24"/>
        </w:rPr>
        <w:t>над 60</w:t>
      </w:r>
      <w:r w:rsidR="001441E6">
        <w:rPr>
          <w:rFonts w:ascii="Times New Roman" w:hAnsi="Times New Roman" w:cs="Times New Roman"/>
          <w:sz w:val="24"/>
          <w:szCs w:val="24"/>
        </w:rPr>
        <w:t xml:space="preserve">% </w:t>
      </w:r>
      <w:r w:rsidR="00DB2543" w:rsidRPr="00997C23">
        <w:rPr>
          <w:rFonts w:ascii="Times New Roman" w:hAnsi="Times New Roman" w:cs="Times New Roman"/>
          <w:sz w:val="24"/>
          <w:szCs w:val="24"/>
        </w:rPr>
        <w:t>локализирани в столицата</w:t>
      </w:r>
      <w:r w:rsidR="007B0CDF" w:rsidRPr="00997C23">
        <w:rPr>
          <w:rFonts w:ascii="Times New Roman" w:hAnsi="Times New Roman" w:cs="Times New Roman"/>
          <w:sz w:val="24"/>
          <w:szCs w:val="24"/>
        </w:rPr>
        <w:t xml:space="preserve"> (т.е не</w:t>
      </w:r>
      <w:r w:rsidR="00A75F5B">
        <w:rPr>
          <w:rFonts w:ascii="Times New Roman" w:hAnsi="Times New Roman" w:cs="Times New Roman"/>
          <w:sz w:val="24"/>
          <w:szCs w:val="24"/>
        </w:rPr>
        <w:t xml:space="preserve">достатъчно </w:t>
      </w:r>
      <w:r w:rsidR="007B0CDF" w:rsidRPr="00997C23">
        <w:rPr>
          <w:rFonts w:ascii="Times New Roman" w:hAnsi="Times New Roman" w:cs="Times New Roman"/>
          <w:sz w:val="24"/>
          <w:szCs w:val="24"/>
        </w:rPr>
        <w:t>представителни за страната)</w:t>
      </w:r>
      <w:r w:rsidR="00DB2543" w:rsidRPr="00997C23">
        <w:rPr>
          <w:rFonts w:ascii="Times New Roman" w:hAnsi="Times New Roman" w:cs="Times New Roman"/>
          <w:sz w:val="24"/>
          <w:szCs w:val="24"/>
        </w:rPr>
        <w:t>. Поради това отклонение</w:t>
      </w:r>
      <w:r w:rsidR="0061588D">
        <w:rPr>
          <w:rFonts w:ascii="Times New Roman" w:hAnsi="Times New Roman" w:cs="Times New Roman"/>
          <w:sz w:val="24"/>
          <w:szCs w:val="24"/>
        </w:rPr>
        <w:t>,</w:t>
      </w:r>
      <w:r w:rsidR="000E4DA9" w:rsidRPr="00997C23">
        <w:rPr>
          <w:rFonts w:ascii="Times New Roman" w:hAnsi="Times New Roman" w:cs="Times New Roman"/>
          <w:sz w:val="24"/>
          <w:szCs w:val="24"/>
        </w:rPr>
        <w:t xml:space="preserve"> </w:t>
      </w:r>
      <w:r w:rsidR="002350F4" w:rsidRPr="00997C23">
        <w:rPr>
          <w:rFonts w:ascii="Times New Roman" w:hAnsi="Times New Roman" w:cs="Times New Roman"/>
          <w:sz w:val="24"/>
          <w:szCs w:val="24"/>
        </w:rPr>
        <w:t xml:space="preserve">в </w:t>
      </w:r>
      <w:r w:rsidR="001441E6" w:rsidRPr="001441E6">
        <w:rPr>
          <w:rFonts w:ascii="Times New Roman" w:hAnsi="Times New Roman" w:cs="Times New Roman"/>
          <w:sz w:val="24"/>
          <w:szCs w:val="24"/>
        </w:rPr>
        <w:t xml:space="preserve">EARS-Net </w:t>
      </w:r>
      <w:r w:rsidR="00E81B23" w:rsidRPr="00997C23">
        <w:rPr>
          <w:rFonts w:ascii="Times New Roman" w:hAnsi="Times New Roman" w:cs="Times New Roman"/>
          <w:sz w:val="24"/>
          <w:szCs w:val="24"/>
        </w:rPr>
        <w:t>на доброволен принцип,</w:t>
      </w:r>
      <w:r w:rsidR="002350F4" w:rsidRPr="00997C23">
        <w:rPr>
          <w:rFonts w:ascii="Times New Roman" w:hAnsi="Times New Roman" w:cs="Times New Roman"/>
          <w:sz w:val="24"/>
          <w:szCs w:val="24"/>
        </w:rPr>
        <w:t xml:space="preserve"> селективно се докладват най-</w:t>
      </w:r>
      <w:r w:rsidR="002350F4" w:rsidRPr="00997C23">
        <w:rPr>
          <w:rFonts w:ascii="Times New Roman" w:hAnsi="Times New Roman" w:cs="Times New Roman"/>
          <w:sz w:val="24"/>
          <w:szCs w:val="24"/>
        </w:rPr>
        <w:lastRenderedPageBreak/>
        <w:t xml:space="preserve">резистентните изолати </w:t>
      </w:r>
      <w:r w:rsidR="00E81B23" w:rsidRPr="00997C23">
        <w:rPr>
          <w:rFonts w:ascii="Times New Roman" w:hAnsi="Times New Roman" w:cs="Times New Roman"/>
          <w:sz w:val="24"/>
          <w:szCs w:val="24"/>
        </w:rPr>
        <w:t>и</w:t>
      </w:r>
      <w:r w:rsidR="002350F4" w:rsidRPr="00997C23">
        <w:rPr>
          <w:rFonts w:ascii="Times New Roman" w:hAnsi="Times New Roman" w:cs="Times New Roman"/>
          <w:sz w:val="24"/>
          <w:szCs w:val="24"/>
        </w:rPr>
        <w:t xml:space="preserve"> </w:t>
      </w:r>
      <w:r w:rsidR="00CF0BBC" w:rsidRPr="00997C23">
        <w:rPr>
          <w:rFonts w:ascii="Times New Roman" w:eastAsia="Times New Roman" w:hAnsi="Times New Roman" w:cs="Times New Roman"/>
          <w:sz w:val="24"/>
          <w:szCs w:val="24"/>
        </w:rPr>
        <w:t>вследствие</w:t>
      </w:r>
      <w:r w:rsidR="002350F4" w:rsidRPr="00997C23">
        <w:rPr>
          <w:rFonts w:ascii="Times New Roman" w:hAnsi="Times New Roman" w:cs="Times New Roman"/>
          <w:sz w:val="24"/>
          <w:szCs w:val="24"/>
        </w:rPr>
        <w:t xml:space="preserve"> </w:t>
      </w:r>
      <w:r w:rsidR="000E4DA9" w:rsidRPr="00997C23">
        <w:rPr>
          <w:rFonts w:ascii="Times New Roman" w:hAnsi="Times New Roman" w:cs="Times New Roman"/>
          <w:sz w:val="24"/>
          <w:szCs w:val="24"/>
        </w:rPr>
        <w:t xml:space="preserve">България </w:t>
      </w:r>
      <w:r w:rsidR="00E81B23" w:rsidRPr="00997C23">
        <w:rPr>
          <w:rFonts w:ascii="Times New Roman" w:hAnsi="Times New Roman" w:cs="Times New Roman"/>
          <w:sz w:val="24"/>
          <w:szCs w:val="24"/>
        </w:rPr>
        <w:t>се коментира като</w:t>
      </w:r>
      <w:r w:rsidR="000E4DA9" w:rsidRPr="00997C23">
        <w:rPr>
          <w:rFonts w:ascii="Times New Roman" w:hAnsi="Times New Roman" w:cs="Times New Roman"/>
          <w:sz w:val="24"/>
          <w:szCs w:val="24"/>
        </w:rPr>
        <w:t xml:space="preserve"> една от държавите с най-високо ниво на резистентност</w:t>
      </w:r>
      <w:r w:rsidR="007B0CDF" w:rsidRPr="00997C23">
        <w:rPr>
          <w:rFonts w:ascii="Times New Roman" w:hAnsi="Times New Roman" w:cs="Times New Roman"/>
          <w:sz w:val="24"/>
          <w:szCs w:val="24"/>
        </w:rPr>
        <w:t xml:space="preserve"> </w:t>
      </w:r>
      <w:r w:rsidR="00E81B23" w:rsidRPr="00997C23">
        <w:rPr>
          <w:rFonts w:ascii="Times New Roman" w:hAnsi="Times New Roman" w:cs="Times New Roman"/>
          <w:sz w:val="24"/>
          <w:szCs w:val="24"/>
        </w:rPr>
        <w:t xml:space="preserve">в Европа, което не </w:t>
      </w:r>
      <w:r w:rsidR="00C61230" w:rsidRPr="00997C23">
        <w:rPr>
          <w:rFonts w:ascii="Times New Roman" w:hAnsi="Times New Roman" w:cs="Times New Roman"/>
          <w:sz w:val="24"/>
          <w:szCs w:val="24"/>
        </w:rPr>
        <w:t xml:space="preserve">е </w:t>
      </w:r>
      <w:r w:rsidR="00E81B23" w:rsidRPr="00997C23">
        <w:rPr>
          <w:rFonts w:ascii="Times New Roman" w:hAnsi="Times New Roman" w:cs="Times New Roman"/>
          <w:sz w:val="24"/>
          <w:szCs w:val="24"/>
        </w:rPr>
        <w:t xml:space="preserve">реално </w:t>
      </w:r>
      <w:r w:rsidR="0054177F"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{"citationItems":[{"id":"ITEM-1","itemData":{"author":[{"dropping-particle":"","family":"European Centre for Disease Prevention and Control","given":"","non-dropping-particle":"","parse-names":false,"suffix":""}],"id":"ITEM-1","issued":{"date-parts":[["2018"]]},"publisher-place":"Stockholm","title":"Annual report of the European Antimicrobial Resistance Surveillance Network (EARS-Net) 2017","type":"report"},"uris":["http://www.mendeley.com/documents/?uuid=2082846a-fde4-4483-8870-0b989821ef72"]}],"mendeley":{"formattedCitation":"[22]","plainTextFormattedCitation":"[22]","previouslyFormattedCitation":"(European Centre for Disease Prevention and Control, 2018)"},"properties":{"noteIndex":0},"schema":"https://github.com/citation-style-language/schema/raw/master/csl-citation.json"}</w:instrText>
      </w:r>
      <w:r w:rsidR="0054177F"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[22]</w:t>
      </w:r>
      <w:r w:rsidR="0054177F" w:rsidRPr="00997C23">
        <w:rPr>
          <w:rFonts w:ascii="Times New Roman" w:hAnsi="Times New Roman" w:cs="Times New Roman"/>
          <w:sz w:val="24"/>
          <w:szCs w:val="24"/>
        </w:rPr>
        <w:fldChar w:fldCharType="end"/>
      </w:r>
      <w:r w:rsidR="00406C55" w:rsidRPr="00997C23">
        <w:rPr>
          <w:rFonts w:ascii="Times New Roman" w:hAnsi="Times New Roman" w:cs="Times New Roman"/>
          <w:sz w:val="24"/>
          <w:szCs w:val="24"/>
        </w:rPr>
        <w:t>.</w:t>
      </w:r>
      <w:r w:rsidR="00CF0BBC" w:rsidRPr="00997C23">
        <w:rPr>
          <w:rFonts w:ascii="Times New Roman" w:eastAsia="Times New Roman" w:hAnsi="Times New Roman" w:cs="Times New Roman"/>
          <w:sz w:val="24"/>
          <w:szCs w:val="24"/>
          <w:lang w:val="en-US"/>
        </w:rPr>
        <w:t xml:space="preserve"> </w:t>
      </w:r>
    </w:p>
    <w:p w14:paraId="56DDE389" w14:textId="77777777" w:rsidR="00CF0BBC" w:rsidRPr="00997C23" w:rsidRDefault="00CF0BBC" w:rsidP="00C467DB">
      <w:pPr>
        <w:spacing w:after="0" w:line="360" w:lineRule="auto"/>
        <w:ind w:firstLine="709"/>
        <w:jc w:val="both"/>
        <w:rPr>
          <w:rFonts w:ascii="Times New Roman" w:eastAsia="Calibri" w:hAnsi="Times New Roman" w:cs="Times New Roman"/>
          <w:sz w:val="24"/>
          <w:szCs w:val="24"/>
        </w:rPr>
      </w:pPr>
      <w:r w:rsidRPr="00997C23">
        <w:rPr>
          <w:rFonts w:ascii="Times New Roman" w:eastAsia="Calibri" w:hAnsi="Times New Roman" w:cs="Times New Roman"/>
          <w:sz w:val="24"/>
          <w:szCs w:val="24"/>
        </w:rPr>
        <w:t>По-долу в светлината на международно</w:t>
      </w:r>
      <w:r w:rsidR="00936FD8">
        <w:rPr>
          <w:rFonts w:ascii="Times New Roman" w:eastAsia="Calibri" w:hAnsi="Times New Roman" w:cs="Times New Roman"/>
          <w:sz w:val="24"/>
          <w:szCs w:val="24"/>
        </w:rPr>
        <w:t xml:space="preserve"> </w:t>
      </w:r>
      <w:r w:rsidRPr="00997C23">
        <w:rPr>
          <w:rFonts w:ascii="Times New Roman" w:eastAsia="Calibri" w:hAnsi="Times New Roman" w:cs="Times New Roman"/>
          <w:sz w:val="24"/>
          <w:szCs w:val="24"/>
        </w:rPr>
        <w:t>приоритетните</w:t>
      </w:r>
      <w:r w:rsidR="00936FD8">
        <w:rPr>
          <w:rFonts w:ascii="Times New Roman" w:eastAsia="Calibri" w:hAnsi="Times New Roman" w:cs="Times New Roman"/>
          <w:sz w:val="24"/>
          <w:szCs w:val="24"/>
          <w:lang w:val="en-US"/>
        </w:rPr>
        <w:t xml:space="preserve"> </w:t>
      </w:r>
      <w:r w:rsidR="00936FD8">
        <w:rPr>
          <w:rFonts w:ascii="Times New Roman" w:eastAsia="Calibri" w:hAnsi="Times New Roman" w:cs="Times New Roman"/>
          <w:sz w:val="24"/>
          <w:szCs w:val="24"/>
        </w:rPr>
        <w:t>мулти-резистентни (</w:t>
      </w:r>
      <w:r w:rsidRPr="00997C23">
        <w:rPr>
          <w:rFonts w:ascii="Times New Roman" w:eastAsia="Calibri" w:hAnsi="Times New Roman" w:cs="Times New Roman"/>
          <w:sz w:val="24"/>
          <w:szCs w:val="24"/>
          <w:lang w:val="en-US"/>
        </w:rPr>
        <w:t>MDR</w:t>
      </w:r>
      <w:r w:rsidR="00936FD8">
        <w:rPr>
          <w:rFonts w:ascii="Times New Roman" w:eastAsia="Calibri" w:hAnsi="Times New Roman" w:cs="Times New Roman"/>
          <w:sz w:val="24"/>
          <w:szCs w:val="24"/>
        </w:rPr>
        <w:t>)</w:t>
      </w:r>
      <w:r w:rsidRPr="00997C23">
        <w:rPr>
          <w:rFonts w:ascii="Times New Roman" w:eastAsia="Calibri" w:hAnsi="Times New Roman" w:cs="Times New Roman"/>
          <w:sz w:val="24"/>
          <w:szCs w:val="24"/>
        </w:rPr>
        <w:t xml:space="preserve"> микроорганизми</w:t>
      </w:r>
      <w:r w:rsidR="00F71D4F" w:rsidRPr="00997C23">
        <w:rPr>
          <w:rFonts w:ascii="Times New Roman" w:eastAsia="Calibri" w:hAnsi="Times New Roman" w:cs="Times New Roman"/>
          <w:sz w:val="24"/>
          <w:szCs w:val="24"/>
        </w:rPr>
        <w:t xml:space="preserve"> са разгледани</w:t>
      </w:r>
      <w:r w:rsidRPr="00997C23">
        <w:rPr>
          <w:rFonts w:ascii="Times New Roman" w:eastAsia="Calibri" w:hAnsi="Times New Roman" w:cs="Times New Roman"/>
          <w:sz w:val="24"/>
          <w:szCs w:val="24"/>
        </w:rPr>
        <w:t xml:space="preserve"> основните полирезистентни микроорганизми, значими причинители на инфекции в България</w:t>
      </w:r>
      <w:r w:rsidR="008D052E" w:rsidRPr="00997C23">
        <w:rPr>
          <w:rFonts w:ascii="Times New Roman" w:eastAsia="Calibri" w:hAnsi="Times New Roman" w:cs="Times New Roman"/>
          <w:sz w:val="24"/>
          <w:szCs w:val="24"/>
        </w:rPr>
        <w:t>:</w:t>
      </w:r>
      <w:r w:rsidRPr="00997C23">
        <w:rPr>
          <w:rFonts w:ascii="Times New Roman" w:eastAsia="Calibri" w:hAnsi="Times New Roman" w:cs="Times New Roman"/>
          <w:sz w:val="24"/>
          <w:szCs w:val="24"/>
          <w:lang w:val="en-US"/>
        </w:rPr>
        <w:t xml:space="preserve"> </w:t>
      </w:r>
    </w:p>
    <w:p w14:paraId="196ED7B6" w14:textId="77777777" w:rsidR="00465A2F" w:rsidRPr="00921334" w:rsidRDefault="00CF0BBC" w:rsidP="00C467DB">
      <w:pPr>
        <w:spacing w:after="0" w:line="360" w:lineRule="auto"/>
        <w:ind w:firstLine="709"/>
        <w:jc w:val="both"/>
        <w:rPr>
          <w:rFonts w:ascii="Times New Roman" w:hAnsi="Times New Roman" w:cs="Times New Roman"/>
          <w:sz w:val="24"/>
          <w:szCs w:val="24"/>
        </w:rPr>
      </w:pPr>
      <w:r w:rsidRPr="004769D4">
        <w:rPr>
          <w:rFonts w:ascii="Times New Roman" w:eastAsia="Times New Roman" w:hAnsi="Times New Roman" w:cs="Times New Roman"/>
          <w:color w:val="000000"/>
          <w:sz w:val="24"/>
          <w:szCs w:val="24"/>
          <w:lang w:eastAsia="bg-BG"/>
        </w:rPr>
        <w:t>В групата на Грам-положителните</w:t>
      </w:r>
      <w:r w:rsidRPr="00997C23">
        <w:rPr>
          <w:rFonts w:ascii="Times New Roman" w:eastAsia="Times New Roman" w:hAnsi="Times New Roman" w:cs="Times New Roman"/>
          <w:color w:val="000000"/>
          <w:sz w:val="24"/>
          <w:szCs w:val="24"/>
          <w:lang w:eastAsia="bg-BG"/>
        </w:rPr>
        <w:t xml:space="preserve"> бактерии с </w:t>
      </w:r>
      <w:r w:rsidR="00207F50">
        <w:rPr>
          <w:rFonts w:ascii="Times New Roman" w:eastAsia="Times New Roman" w:hAnsi="Times New Roman" w:cs="Times New Roman"/>
          <w:color w:val="000000"/>
          <w:sz w:val="24"/>
          <w:szCs w:val="24"/>
          <w:lang w:eastAsia="bg-BG"/>
        </w:rPr>
        <w:t>висок</w:t>
      </w:r>
      <w:r w:rsidR="00207F50" w:rsidRPr="00997C23">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епидемичен потенци</w:t>
      </w:r>
      <w:r w:rsidR="00F71D4F" w:rsidRPr="00997C23">
        <w:rPr>
          <w:rFonts w:ascii="Times New Roman" w:eastAsia="Times New Roman" w:hAnsi="Times New Roman" w:cs="Times New Roman"/>
          <w:color w:val="000000"/>
          <w:sz w:val="24"/>
          <w:szCs w:val="24"/>
          <w:lang w:eastAsia="bg-BG"/>
        </w:rPr>
        <w:t>а</w:t>
      </w:r>
      <w:r w:rsidRPr="00997C23">
        <w:rPr>
          <w:rFonts w:ascii="Times New Roman" w:eastAsia="Times New Roman" w:hAnsi="Times New Roman" w:cs="Times New Roman"/>
          <w:color w:val="000000"/>
          <w:sz w:val="24"/>
          <w:szCs w:val="24"/>
          <w:lang w:eastAsia="bg-BG"/>
        </w:rPr>
        <w:t xml:space="preserve">л са </w:t>
      </w:r>
      <w:r w:rsidR="008B0737">
        <w:rPr>
          <w:rFonts w:ascii="Times New Roman" w:eastAsia="Times New Roman" w:hAnsi="Times New Roman" w:cs="Times New Roman"/>
          <w:color w:val="000000"/>
          <w:sz w:val="24"/>
          <w:szCs w:val="24"/>
          <w:lang w:val="en-US" w:eastAsia="bg-BG"/>
        </w:rPr>
        <w:t>methicillin</w:t>
      </w:r>
      <w:r w:rsidR="008B0737">
        <w:rPr>
          <w:rFonts w:ascii="Times New Roman" w:eastAsia="Times New Roman" w:hAnsi="Times New Roman" w:cs="Times New Roman"/>
          <w:color w:val="000000"/>
          <w:sz w:val="24"/>
          <w:szCs w:val="24"/>
          <w:lang w:eastAsia="bg-BG"/>
        </w:rPr>
        <w:t>-</w:t>
      </w:r>
      <w:r w:rsidRPr="00997C23">
        <w:rPr>
          <w:rFonts w:ascii="Times New Roman" w:eastAsia="Times New Roman" w:hAnsi="Times New Roman" w:cs="Times New Roman"/>
          <w:color w:val="000000"/>
          <w:sz w:val="24"/>
          <w:szCs w:val="24"/>
          <w:lang w:eastAsia="bg-BG"/>
        </w:rPr>
        <w:t xml:space="preserve">резистентните </w:t>
      </w:r>
      <w:r w:rsidR="00EE37D8">
        <w:rPr>
          <w:rFonts w:ascii="Times New Roman" w:eastAsia="Times New Roman" w:hAnsi="Times New Roman" w:cs="Times New Roman"/>
          <w:color w:val="000000"/>
          <w:sz w:val="24"/>
          <w:szCs w:val="24"/>
          <w:lang w:val="en-US" w:eastAsia="bg-BG"/>
        </w:rPr>
        <w:t>–</w:t>
      </w:r>
      <w:r w:rsidRPr="00997C23">
        <w:rPr>
          <w:rFonts w:ascii="Times New Roman" w:eastAsia="Times New Roman" w:hAnsi="Times New Roman" w:cs="Times New Roman"/>
          <w:color w:val="000000"/>
          <w:sz w:val="24"/>
          <w:szCs w:val="24"/>
          <w:lang w:val="en-US" w:eastAsia="bg-BG"/>
        </w:rPr>
        <w:t xml:space="preserve"> </w:t>
      </w:r>
      <w:r w:rsidRPr="00997C23">
        <w:rPr>
          <w:rFonts w:ascii="Times New Roman" w:eastAsia="Times New Roman" w:hAnsi="Times New Roman" w:cs="Times New Roman"/>
          <w:i/>
          <w:color w:val="000000"/>
          <w:sz w:val="24"/>
          <w:szCs w:val="24"/>
          <w:lang w:val="en-US" w:eastAsia="bg-BG"/>
        </w:rPr>
        <w:t>Staphylococcus aureus</w:t>
      </w:r>
      <w:r w:rsidRPr="00997C23">
        <w:rPr>
          <w:rFonts w:ascii="Times New Roman" w:eastAsia="Times New Roman" w:hAnsi="Times New Roman" w:cs="Times New Roman"/>
          <w:color w:val="000000"/>
          <w:sz w:val="24"/>
          <w:szCs w:val="24"/>
          <w:lang w:val="en-US" w:eastAsia="bg-BG"/>
        </w:rPr>
        <w:t xml:space="preserve">, </w:t>
      </w:r>
      <w:r w:rsidR="00936FD8">
        <w:rPr>
          <w:rFonts w:ascii="Times New Roman" w:eastAsia="Times New Roman" w:hAnsi="Times New Roman" w:cs="Times New Roman"/>
          <w:color w:val="000000"/>
          <w:sz w:val="24"/>
          <w:szCs w:val="24"/>
          <w:lang w:eastAsia="bg-BG"/>
        </w:rPr>
        <w:t>метицилин резистентен стафилококус ауреус (</w:t>
      </w:r>
      <w:r w:rsidRPr="00997C23">
        <w:rPr>
          <w:rFonts w:ascii="Times New Roman" w:eastAsia="Times New Roman" w:hAnsi="Times New Roman" w:cs="Times New Roman"/>
          <w:color w:val="000000"/>
          <w:sz w:val="24"/>
          <w:szCs w:val="24"/>
          <w:lang w:val="en-US" w:eastAsia="bg-BG"/>
        </w:rPr>
        <w:t>MRSA</w:t>
      </w:r>
      <w:r w:rsidR="00936FD8">
        <w:rPr>
          <w:rFonts w:ascii="Times New Roman" w:eastAsia="Times New Roman" w:hAnsi="Times New Roman" w:cs="Times New Roman"/>
          <w:color w:val="000000"/>
          <w:sz w:val="24"/>
          <w:szCs w:val="24"/>
          <w:lang w:eastAsia="bg-BG"/>
        </w:rPr>
        <w:t>)</w:t>
      </w:r>
      <w:r w:rsidRPr="00997C23">
        <w:rPr>
          <w:rFonts w:ascii="Times New Roman" w:eastAsia="Times New Roman" w:hAnsi="Times New Roman" w:cs="Times New Roman"/>
          <w:color w:val="000000"/>
          <w:sz w:val="24"/>
          <w:szCs w:val="24"/>
          <w:lang w:eastAsia="bg-BG"/>
        </w:rPr>
        <w:t>. В Европа през последните години се наблюдава намаляване на техния относителен дял</w:t>
      </w:r>
      <w:r w:rsidR="00FB4BD6">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 xml:space="preserve">Според анализа на данните от </w:t>
      </w:r>
      <w:r w:rsidR="00406C55" w:rsidRPr="00997C23">
        <w:rPr>
          <w:rFonts w:ascii="Times New Roman" w:eastAsia="Times New Roman" w:hAnsi="Times New Roman" w:cs="Times New Roman"/>
          <w:color w:val="000000"/>
          <w:sz w:val="24"/>
          <w:szCs w:val="24"/>
          <w:lang w:eastAsia="bg-BG"/>
        </w:rPr>
        <w:t>BulSTAR</w:t>
      </w:r>
      <w:r w:rsidRPr="00997C23">
        <w:rPr>
          <w:rFonts w:ascii="Times New Roman" w:eastAsia="Times New Roman" w:hAnsi="Times New Roman" w:cs="Times New Roman"/>
          <w:color w:val="000000"/>
          <w:sz w:val="24"/>
          <w:szCs w:val="24"/>
          <w:lang w:eastAsia="bg-BG"/>
        </w:rPr>
        <w:t xml:space="preserve">, през последните пет години в България се наблюдава стабилизиране на относителния дял на </w:t>
      </w:r>
      <w:r w:rsidRPr="00997C23">
        <w:rPr>
          <w:rFonts w:ascii="Times New Roman" w:eastAsia="Times New Roman" w:hAnsi="Times New Roman" w:cs="Times New Roman"/>
          <w:color w:val="000000"/>
          <w:sz w:val="24"/>
          <w:szCs w:val="24"/>
          <w:lang w:val="en-US" w:eastAsia="bg-BG"/>
        </w:rPr>
        <w:t>MRSA</w:t>
      </w:r>
      <w:r w:rsidRPr="00997C23">
        <w:rPr>
          <w:rFonts w:ascii="Times New Roman" w:eastAsia="Times New Roman" w:hAnsi="Times New Roman" w:cs="Times New Roman"/>
          <w:color w:val="000000"/>
          <w:sz w:val="24"/>
          <w:szCs w:val="24"/>
          <w:lang w:eastAsia="bg-BG"/>
        </w:rPr>
        <w:t xml:space="preserve"> </w:t>
      </w:r>
      <w:r w:rsidR="00406C55" w:rsidRPr="00997C23">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 xml:space="preserve">около </w:t>
      </w:r>
      <w:r w:rsidRPr="00FB4BD6">
        <w:rPr>
          <w:rFonts w:ascii="Times New Roman" w:eastAsia="Times New Roman" w:hAnsi="Times New Roman" w:cs="Times New Roman"/>
          <w:sz w:val="24"/>
          <w:szCs w:val="24"/>
          <w:lang w:eastAsia="bg-BG"/>
        </w:rPr>
        <w:t>10%.</w:t>
      </w:r>
      <w:r w:rsidR="00465A2F" w:rsidRPr="00FB4BD6">
        <w:rPr>
          <w:rFonts w:ascii="Times New Roman" w:hAnsi="Times New Roman" w:cs="Times New Roman"/>
          <w:sz w:val="24"/>
          <w:szCs w:val="24"/>
        </w:rPr>
        <w:t xml:space="preserve"> </w:t>
      </w:r>
    </w:p>
    <w:p w14:paraId="4C562BE5" w14:textId="77777777" w:rsidR="00AA6777" w:rsidRPr="00997C23" w:rsidRDefault="00CF0BBC" w:rsidP="00C467DB">
      <w:pPr>
        <w:spacing w:after="0" w:line="360" w:lineRule="auto"/>
        <w:ind w:firstLine="709"/>
        <w:contextualSpacing/>
        <w:jc w:val="both"/>
        <w:rPr>
          <w:rFonts w:ascii="Times New Roman" w:hAnsi="Times New Roman" w:cs="Times New Roman"/>
          <w:sz w:val="24"/>
          <w:szCs w:val="24"/>
        </w:rPr>
      </w:pPr>
      <w:r w:rsidRPr="00997C23">
        <w:rPr>
          <w:rFonts w:ascii="Times New Roman" w:eastAsia="Times New Roman" w:hAnsi="Times New Roman" w:cs="Times New Roman"/>
          <w:color w:val="000000"/>
          <w:sz w:val="24"/>
          <w:szCs w:val="24"/>
          <w:lang w:eastAsia="bg-BG"/>
        </w:rPr>
        <w:t xml:space="preserve">В замяна на това през последните години </w:t>
      </w:r>
      <w:r w:rsidR="00BA7614">
        <w:rPr>
          <w:rFonts w:ascii="Times New Roman" w:eastAsia="Times New Roman" w:hAnsi="Times New Roman" w:cs="Times New Roman"/>
          <w:color w:val="000000"/>
          <w:sz w:val="24"/>
          <w:szCs w:val="24"/>
          <w:lang w:eastAsia="bg-BG"/>
        </w:rPr>
        <w:t xml:space="preserve">в Европа </w:t>
      </w:r>
      <w:r w:rsidRPr="00997C23">
        <w:rPr>
          <w:rFonts w:ascii="Times New Roman" w:eastAsia="Times New Roman" w:hAnsi="Times New Roman" w:cs="Times New Roman"/>
          <w:color w:val="000000"/>
          <w:sz w:val="24"/>
          <w:szCs w:val="24"/>
          <w:lang w:eastAsia="bg-BG"/>
        </w:rPr>
        <w:t xml:space="preserve">се наблюдава нарастване на </w:t>
      </w:r>
      <w:r w:rsidRPr="00E10A6A">
        <w:rPr>
          <w:rFonts w:ascii="Times New Roman" w:eastAsia="Times New Roman" w:hAnsi="Times New Roman" w:cs="Times New Roman"/>
          <w:i/>
          <w:color w:val="000000"/>
          <w:sz w:val="24"/>
          <w:szCs w:val="24"/>
          <w:lang w:val="en-US" w:eastAsia="bg-BG"/>
        </w:rPr>
        <w:t>Enterococcus</w:t>
      </w:r>
      <w:r w:rsidRPr="00E10A6A">
        <w:rPr>
          <w:rFonts w:ascii="Times New Roman" w:eastAsia="Times New Roman" w:hAnsi="Times New Roman" w:cs="Times New Roman"/>
          <w:color w:val="000000"/>
          <w:sz w:val="24"/>
          <w:szCs w:val="24"/>
          <w:lang w:val="en-US" w:eastAsia="bg-BG"/>
        </w:rPr>
        <w:t xml:space="preserve"> spp</w:t>
      </w:r>
      <w:r w:rsidR="007D5485" w:rsidRPr="00E10A6A">
        <w:rPr>
          <w:rFonts w:ascii="Times New Roman" w:eastAsia="Times New Roman" w:hAnsi="Times New Roman" w:cs="Times New Roman"/>
          <w:color w:val="000000"/>
          <w:sz w:val="24"/>
          <w:szCs w:val="24"/>
          <w:lang w:eastAsia="bg-BG"/>
        </w:rPr>
        <w:t>.</w:t>
      </w:r>
      <w:r w:rsidR="00111CC7">
        <w:rPr>
          <w:rFonts w:ascii="Times New Roman" w:eastAsia="Times New Roman" w:hAnsi="Times New Roman" w:cs="Times New Roman"/>
          <w:color w:val="000000"/>
          <w:sz w:val="24"/>
          <w:szCs w:val="24"/>
          <w:lang w:eastAsia="bg-BG"/>
        </w:rPr>
        <w:t xml:space="preserve"> - </w:t>
      </w:r>
      <w:r w:rsidR="00111CC7">
        <w:rPr>
          <w:rFonts w:ascii="Times New Roman" w:eastAsia="Times New Roman" w:hAnsi="Times New Roman" w:cs="Times New Roman"/>
          <w:color w:val="000000"/>
          <w:sz w:val="24"/>
          <w:szCs w:val="24"/>
          <w:lang w:val="en-US" w:eastAsia="bg-BG"/>
        </w:rPr>
        <w:t>vancomycin</w:t>
      </w:r>
      <w:r w:rsidR="00111CC7">
        <w:rPr>
          <w:rFonts w:ascii="Times New Roman" w:eastAsia="Times New Roman" w:hAnsi="Times New Roman" w:cs="Times New Roman"/>
          <w:color w:val="000000"/>
          <w:sz w:val="24"/>
          <w:szCs w:val="24"/>
          <w:lang w:eastAsia="bg-BG"/>
        </w:rPr>
        <w:t xml:space="preserve"> </w:t>
      </w:r>
      <w:r w:rsidR="00111CC7">
        <w:rPr>
          <w:rFonts w:ascii="Times New Roman" w:eastAsia="Times New Roman" w:hAnsi="Times New Roman" w:cs="Times New Roman"/>
          <w:color w:val="000000"/>
          <w:sz w:val="24"/>
          <w:szCs w:val="24"/>
          <w:lang w:val="en-US" w:eastAsia="bg-BG"/>
        </w:rPr>
        <w:t>-</w:t>
      </w:r>
      <w:r w:rsidR="00111CC7">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резистентни</w:t>
      </w:r>
      <w:r w:rsidRPr="00997C23">
        <w:rPr>
          <w:rFonts w:ascii="Times New Roman" w:eastAsia="Times New Roman" w:hAnsi="Times New Roman" w:cs="Times New Roman"/>
          <w:color w:val="000000"/>
          <w:sz w:val="24"/>
          <w:szCs w:val="24"/>
          <w:lang w:val="en-US" w:eastAsia="bg-BG"/>
        </w:rPr>
        <w:t xml:space="preserve"> – VRE</w:t>
      </w:r>
      <w:r w:rsidRPr="00997C23">
        <w:rPr>
          <w:rFonts w:ascii="Times New Roman" w:eastAsia="Times New Roman" w:hAnsi="Times New Roman" w:cs="Times New Roman"/>
          <w:color w:val="000000"/>
          <w:sz w:val="24"/>
          <w:szCs w:val="24"/>
          <w:lang w:eastAsia="bg-BG"/>
        </w:rPr>
        <w:t>, или гликопептид-резистентни -</w:t>
      </w:r>
      <w:r w:rsidR="007D5485" w:rsidRPr="00997C23">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sz w:val="24"/>
          <w:szCs w:val="24"/>
          <w:lang w:val="en-US"/>
        </w:rPr>
        <w:t>G</w:t>
      </w:r>
      <w:r w:rsidRPr="00997C23">
        <w:rPr>
          <w:rFonts w:ascii="Times New Roman" w:eastAsia="Times New Roman" w:hAnsi="Times New Roman" w:cs="Times New Roman"/>
          <w:sz w:val="24"/>
          <w:szCs w:val="24"/>
        </w:rPr>
        <w:t>RE</w:t>
      </w:r>
      <w:r w:rsidRPr="00997C23">
        <w:rPr>
          <w:rFonts w:ascii="Times New Roman" w:eastAsia="Times New Roman" w:hAnsi="Times New Roman" w:cs="Times New Roman"/>
          <w:sz w:val="24"/>
          <w:szCs w:val="24"/>
          <w:lang w:val="en-US"/>
        </w:rPr>
        <w:t>,</w:t>
      </w:r>
      <w:r w:rsidRPr="00997C23">
        <w:rPr>
          <w:rFonts w:ascii="Times New Roman" w:eastAsia="Times New Roman" w:hAnsi="Times New Roman" w:cs="Times New Roman"/>
          <w:color w:val="000000"/>
          <w:sz w:val="24"/>
          <w:szCs w:val="24"/>
          <w:lang w:eastAsia="bg-BG"/>
        </w:rPr>
        <w:t xml:space="preserve"> което създава значителни проблеми пред терапията на инфекциите. </w:t>
      </w:r>
      <w:r w:rsidRPr="00997C23">
        <w:rPr>
          <w:rFonts w:ascii="Times New Roman" w:eastAsia="Times New Roman" w:hAnsi="Times New Roman" w:cs="Times New Roman"/>
          <w:sz w:val="24"/>
          <w:szCs w:val="24"/>
        </w:rPr>
        <w:t>Все по-често и у нас</w:t>
      </w:r>
      <w:r w:rsidR="00465A2F" w:rsidRPr="00997C23">
        <w:rPr>
          <w:rFonts w:ascii="Times New Roman" w:hAnsi="Times New Roman" w:cs="Times New Roman"/>
          <w:sz w:val="24"/>
          <w:szCs w:val="24"/>
        </w:rPr>
        <w:t xml:space="preserve"> се докладват ентерококи с високо ниво на устойчивост към </w:t>
      </w:r>
      <w:r w:rsidR="0068563A" w:rsidRPr="00997C23">
        <w:rPr>
          <w:rFonts w:ascii="Times New Roman" w:hAnsi="Times New Roman" w:cs="Times New Roman"/>
          <w:sz w:val="24"/>
          <w:szCs w:val="24"/>
        </w:rPr>
        <w:t>гликопептиди</w:t>
      </w:r>
      <w:r w:rsidR="00465A2F" w:rsidRPr="00997C23">
        <w:rPr>
          <w:rFonts w:ascii="Times New Roman" w:hAnsi="Times New Roman" w:cs="Times New Roman"/>
          <w:sz w:val="24"/>
          <w:szCs w:val="24"/>
        </w:rPr>
        <w:t xml:space="preserve"> (</w:t>
      </w:r>
      <w:r w:rsidR="0068563A" w:rsidRPr="00997C23">
        <w:rPr>
          <w:rFonts w:ascii="Times New Roman" w:hAnsi="Times New Roman" w:cs="Times New Roman"/>
          <w:sz w:val="24"/>
          <w:szCs w:val="24"/>
          <w:lang w:val="en-US"/>
        </w:rPr>
        <w:t>G</w:t>
      </w:r>
      <w:r w:rsidR="00465A2F" w:rsidRPr="00997C23">
        <w:rPr>
          <w:rFonts w:ascii="Times New Roman" w:hAnsi="Times New Roman" w:cs="Times New Roman"/>
          <w:sz w:val="24"/>
          <w:szCs w:val="24"/>
        </w:rPr>
        <w:t>RE)</w:t>
      </w:r>
      <w:r w:rsidR="0068563A" w:rsidRPr="00997C23">
        <w:rPr>
          <w:rFonts w:ascii="Times New Roman" w:hAnsi="Times New Roman" w:cs="Times New Roman"/>
          <w:sz w:val="24"/>
          <w:szCs w:val="24"/>
          <w:lang w:val="en-US"/>
        </w:rPr>
        <w:t>,</w:t>
      </w:r>
      <w:r w:rsidR="00465A2F" w:rsidRPr="00997C23">
        <w:rPr>
          <w:rFonts w:ascii="Times New Roman" w:hAnsi="Times New Roman" w:cs="Times New Roman"/>
          <w:sz w:val="24"/>
          <w:szCs w:val="24"/>
        </w:rPr>
        <w:t xml:space="preserve"> като настоящите данни сочат нива до </w:t>
      </w:r>
      <w:r w:rsidR="00BA7614">
        <w:rPr>
          <w:rFonts w:ascii="Times New Roman" w:hAnsi="Times New Roman" w:cs="Times New Roman"/>
          <w:sz w:val="24"/>
          <w:szCs w:val="24"/>
        </w:rPr>
        <w:t>10</w:t>
      </w:r>
      <w:r w:rsidR="00465A2F" w:rsidRPr="00997C23">
        <w:rPr>
          <w:rFonts w:ascii="Times New Roman" w:hAnsi="Times New Roman" w:cs="Times New Roman"/>
          <w:sz w:val="24"/>
          <w:szCs w:val="24"/>
        </w:rPr>
        <w:t xml:space="preserve">% при </w:t>
      </w:r>
      <w:r w:rsidR="00465A2F" w:rsidRPr="00997C23">
        <w:rPr>
          <w:rFonts w:ascii="Times New Roman" w:hAnsi="Times New Roman" w:cs="Times New Roman"/>
          <w:i/>
          <w:sz w:val="24"/>
          <w:szCs w:val="24"/>
        </w:rPr>
        <w:t xml:space="preserve">E. </w:t>
      </w:r>
      <w:r w:rsidRPr="00997C23">
        <w:rPr>
          <w:rFonts w:ascii="Times New Roman" w:eastAsia="Times New Roman" w:hAnsi="Times New Roman" w:cs="Times New Roman"/>
          <w:i/>
          <w:sz w:val="24"/>
          <w:szCs w:val="24"/>
        </w:rPr>
        <w:t>faecium</w:t>
      </w:r>
      <w:r w:rsidRPr="00997C23">
        <w:rPr>
          <w:rFonts w:ascii="Times New Roman" w:eastAsia="Times New Roman" w:hAnsi="Times New Roman" w:cs="Times New Roman"/>
          <w:sz w:val="24"/>
          <w:szCs w:val="24"/>
        </w:rPr>
        <w:t xml:space="preserve">. Този тип резистентност е изключително проблемен </w:t>
      </w:r>
      <w:r w:rsidR="00111CC7">
        <w:rPr>
          <w:rFonts w:ascii="Times New Roman" w:eastAsia="Times New Roman" w:hAnsi="Times New Roman" w:cs="Times New Roman"/>
          <w:sz w:val="24"/>
          <w:szCs w:val="24"/>
        </w:rPr>
        <w:t>поради</w:t>
      </w:r>
      <w:r w:rsidRPr="00997C23">
        <w:rPr>
          <w:rFonts w:ascii="Times New Roman" w:eastAsia="Times New Roman" w:hAnsi="Times New Roman" w:cs="Times New Roman"/>
          <w:sz w:val="24"/>
          <w:szCs w:val="24"/>
        </w:rPr>
        <w:t xml:space="preserve"> факта, че ентерококите са естествено резистентни на голям брой клинично значими антибиотици, а гликопептидите са резервни антибиотици за лечение на полирезистентни щамове.</w:t>
      </w:r>
      <w:r w:rsidR="0068563A" w:rsidRPr="00997C23">
        <w:rPr>
          <w:rFonts w:ascii="Times New Roman" w:hAnsi="Times New Roman" w:cs="Times New Roman"/>
          <w:sz w:val="24"/>
          <w:szCs w:val="24"/>
        </w:rPr>
        <w:t xml:space="preserve"> </w:t>
      </w:r>
      <w:r w:rsidR="00465A2F" w:rsidRPr="00997C23">
        <w:rPr>
          <w:rFonts w:ascii="Times New Roman" w:hAnsi="Times New Roman" w:cs="Times New Roman"/>
          <w:sz w:val="24"/>
          <w:szCs w:val="24"/>
        </w:rPr>
        <w:t xml:space="preserve">Относителният дял на ентерококите с високо ниво на устойчивост към аминогликозиди (HLAR) е един от високите сред </w:t>
      </w:r>
      <w:r w:rsidR="00AA6777" w:rsidRPr="00997C23">
        <w:rPr>
          <w:rFonts w:ascii="Times New Roman" w:hAnsi="Times New Roman" w:cs="Times New Roman"/>
          <w:sz w:val="24"/>
          <w:szCs w:val="24"/>
        </w:rPr>
        <w:t>е</w:t>
      </w:r>
      <w:r w:rsidR="00465A2F" w:rsidRPr="00997C23">
        <w:rPr>
          <w:rFonts w:ascii="Times New Roman" w:hAnsi="Times New Roman" w:cs="Times New Roman"/>
          <w:sz w:val="24"/>
          <w:szCs w:val="24"/>
        </w:rPr>
        <w:t xml:space="preserve">вропейските страни – над </w:t>
      </w:r>
      <w:r w:rsidR="00A31E54" w:rsidRPr="00997C23">
        <w:rPr>
          <w:rFonts w:ascii="Times New Roman" w:hAnsi="Times New Roman" w:cs="Times New Roman"/>
          <w:sz w:val="24"/>
          <w:szCs w:val="24"/>
        </w:rPr>
        <w:t>70</w:t>
      </w:r>
      <w:r w:rsidRPr="00997C23">
        <w:rPr>
          <w:rFonts w:ascii="Times New Roman" w:eastAsia="Times New Roman" w:hAnsi="Times New Roman" w:cs="Times New Roman"/>
          <w:sz w:val="24"/>
          <w:szCs w:val="24"/>
        </w:rPr>
        <w:t xml:space="preserve">% </w:t>
      </w:r>
      <w:r w:rsidRPr="00997C23">
        <w:rPr>
          <w:rFonts w:ascii="Times New Roman" w:eastAsia="Times New Roman" w:hAnsi="Times New Roman" w:cs="Times New Roman"/>
          <w:sz w:val="24"/>
          <w:szCs w:val="24"/>
          <w:lang w:val="en-US"/>
        </w:rPr>
        <w:t>(</w:t>
      </w:r>
      <w:r w:rsidRPr="00997C23">
        <w:rPr>
          <w:rFonts w:ascii="Times New Roman" w:eastAsia="Times New Roman" w:hAnsi="Times New Roman" w:cs="Times New Roman"/>
          <w:sz w:val="24"/>
          <w:szCs w:val="24"/>
        </w:rPr>
        <w:t xml:space="preserve">у нас </w:t>
      </w:r>
      <w:r w:rsidR="007D5485" w:rsidRPr="00997C23">
        <w:rPr>
          <w:rFonts w:ascii="Times New Roman" w:eastAsia="Times New Roman" w:hAnsi="Times New Roman" w:cs="Times New Roman"/>
          <w:sz w:val="24"/>
          <w:szCs w:val="24"/>
          <w:lang w:val="en-US"/>
        </w:rPr>
        <w:t>G</w:t>
      </w:r>
      <w:r w:rsidRPr="00997C23">
        <w:rPr>
          <w:rFonts w:ascii="Times New Roman" w:eastAsia="Times New Roman" w:hAnsi="Times New Roman" w:cs="Times New Roman"/>
          <w:sz w:val="24"/>
          <w:szCs w:val="24"/>
          <w:lang w:val="en-US"/>
        </w:rPr>
        <w:t>entamicin</w:t>
      </w:r>
      <w:r w:rsidRPr="00997C23">
        <w:rPr>
          <w:rFonts w:ascii="Times New Roman" w:eastAsia="Times New Roman" w:hAnsi="Times New Roman" w:cs="Times New Roman"/>
          <w:sz w:val="24"/>
          <w:szCs w:val="24"/>
        </w:rPr>
        <w:t xml:space="preserve"> е използван често като ефективен и евтин </w:t>
      </w:r>
      <w:r w:rsidR="007D5485" w:rsidRPr="00997C23">
        <w:rPr>
          <w:rFonts w:ascii="Times New Roman" w:eastAsia="Times New Roman" w:hAnsi="Times New Roman" w:cs="Times New Roman"/>
          <w:sz w:val="24"/>
          <w:szCs w:val="24"/>
        </w:rPr>
        <w:t>п</w:t>
      </w:r>
      <w:r w:rsidRPr="00997C23">
        <w:rPr>
          <w:rFonts w:ascii="Times New Roman" w:eastAsia="Times New Roman" w:hAnsi="Times New Roman" w:cs="Times New Roman"/>
          <w:sz w:val="24"/>
          <w:szCs w:val="24"/>
        </w:rPr>
        <w:t>роизв</w:t>
      </w:r>
      <w:r w:rsidR="007D5485" w:rsidRPr="00997C23">
        <w:rPr>
          <w:rFonts w:ascii="Times New Roman" w:eastAsia="Times New Roman" w:hAnsi="Times New Roman" w:cs="Times New Roman"/>
          <w:sz w:val="24"/>
          <w:szCs w:val="24"/>
        </w:rPr>
        <w:t>еждан в страната</w:t>
      </w:r>
      <w:r w:rsidRPr="00997C23">
        <w:rPr>
          <w:rFonts w:ascii="Times New Roman" w:eastAsia="Times New Roman" w:hAnsi="Times New Roman" w:cs="Times New Roman"/>
          <w:sz w:val="24"/>
          <w:szCs w:val="24"/>
        </w:rPr>
        <w:t xml:space="preserve"> антибиотик при хората, но също и при животните </w:t>
      </w:r>
      <w:r w:rsidR="00F13CB8" w:rsidRPr="00997C23">
        <w:rPr>
          <w:rFonts w:ascii="Times New Roman" w:eastAsia="Times New Roman" w:hAnsi="Times New Roman" w:cs="Times New Roman"/>
          <w:sz w:val="24"/>
          <w:szCs w:val="24"/>
        </w:rPr>
        <w:t>(</w:t>
      </w:r>
      <w:r w:rsidRPr="00997C23">
        <w:rPr>
          <w:rFonts w:ascii="Times New Roman" w:eastAsia="Times New Roman" w:hAnsi="Times New Roman" w:cs="Times New Roman"/>
          <w:sz w:val="24"/>
          <w:szCs w:val="24"/>
        </w:rPr>
        <w:t>често нерегламентирано, предимно в миналото</w:t>
      </w:r>
      <w:r w:rsidRPr="00997C23">
        <w:rPr>
          <w:rFonts w:ascii="Times New Roman" w:eastAsia="Times New Roman" w:hAnsi="Times New Roman" w:cs="Times New Roman"/>
          <w:sz w:val="24"/>
          <w:szCs w:val="24"/>
          <w:lang w:val="en-US"/>
        </w:rPr>
        <w:t>)</w:t>
      </w:r>
      <w:r w:rsidR="00111CC7">
        <w:rPr>
          <w:rFonts w:ascii="Times New Roman" w:eastAsia="Times New Roman" w:hAnsi="Times New Roman" w:cs="Times New Roman"/>
          <w:sz w:val="24"/>
          <w:szCs w:val="24"/>
        </w:rPr>
        <w:t xml:space="preserve">, а към флуорохинолони над 80%, </w:t>
      </w:r>
      <w:r w:rsidRPr="00997C23">
        <w:rPr>
          <w:rFonts w:ascii="Times New Roman" w:eastAsia="Times New Roman" w:hAnsi="Times New Roman" w:cs="Times New Roman"/>
          <w:sz w:val="24"/>
          <w:szCs w:val="24"/>
        </w:rPr>
        <w:t>което е сериозно препятствие при инфекции на уринарния и генитал</w:t>
      </w:r>
      <w:r w:rsidR="007D5485" w:rsidRPr="00997C23">
        <w:rPr>
          <w:rFonts w:ascii="Times New Roman" w:eastAsia="Times New Roman" w:hAnsi="Times New Roman" w:cs="Times New Roman"/>
          <w:sz w:val="24"/>
          <w:szCs w:val="24"/>
        </w:rPr>
        <w:t>ния</w:t>
      </w:r>
      <w:r w:rsidRPr="00997C23">
        <w:rPr>
          <w:rFonts w:ascii="Times New Roman" w:eastAsia="Times New Roman" w:hAnsi="Times New Roman" w:cs="Times New Roman"/>
          <w:sz w:val="24"/>
          <w:szCs w:val="24"/>
        </w:rPr>
        <w:t xml:space="preserve"> тракт</w:t>
      </w:r>
      <w:r w:rsidR="007D5485" w:rsidRPr="00997C23">
        <w:rPr>
          <w:rFonts w:ascii="Times New Roman" w:eastAsia="Times New Roman" w:hAnsi="Times New Roman" w:cs="Times New Roman"/>
          <w:sz w:val="24"/>
          <w:szCs w:val="24"/>
        </w:rPr>
        <w:t xml:space="preserve"> при мъжете</w:t>
      </w:r>
      <w:r w:rsidRPr="00997C23">
        <w:rPr>
          <w:rFonts w:ascii="Times New Roman" w:eastAsia="Times New Roman" w:hAnsi="Times New Roman" w:cs="Times New Roman"/>
          <w:sz w:val="24"/>
          <w:szCs w:val="24"/>
        </w:rPr>
        <w:t>, където ентерококите са едни от честите причинители.</w:t>
      </w:r>
      <w:r w:rsidR="00502F8A" w:rsidRPr="00997C23">
        <w:rPr>
          <w:rFonts w:ascii="Times New Roman" w:hAnsi="Times New Roman" w:cs="Times New Roman"/>
          <w:sz w:val="24"/>
          <w:szCs w:val="24"/>
        </w:rPr>
        <w:t xml:space="preserve"> </w:t>
      </w:r>
    </w:p>
    <w:p w14:paraId="20DED4AC" w14:textId="77777777" w:rsidR="00AA6777" w:rsidRPr="00997C23" w:rsidRDefault="00465A2F"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Нивата на Penicillin</w:t>
      </w:r>
      <w:r w:rsidR="00111CC7">
        <w:rPr>
          <w:rFonts w:ascii="Times New Roman" w:hAnsi="Times New Roman" w:cs="Times New Roman"/>
          <w:sz w:val="24"/>
          <w:szCs w:val="24"/>
        </w:rPr>
        <w:t xml:space="preserve"> </w:t>
      </w:r>
      <w:r w:rsidRPr="00997C23">
        <w:rPr>
          <w:rFonts w:ascii="Times New Roman" w:hAnsi="Times New Roman" w:cs="Times New Roman"/>
          <w:sz w:val="24"/>
          <w:szCs w:val="24"/>
        </w:rPr>
        <w:t xml:space="preserve">- нечувствителните </w:t>
      </w:r>
      <w:r w:rsidRPr="00997C23">
        <w:rPr>
          <w:rFonts w:ascii="Times New Roman" w:hAnsi="Times New Roman" w:cs="Times New Roman"/>
          <w:i/>
          <w:sz w:val="24"/>
          <w:szCs w:val="24"/>
        </w:rPr>
        <w:t>S. pneumoniae</w:t>
      </w:r>
      <w:r w:rsidRPr="00997C23">
        <w:rPr>
          <w:rFonts w:ascii="Times New Roman" w:hAnsi="Times New Roman" w:cs="Times New Roman"/>
          <w:sz w:val="24"/>
          <w:szCs w:val="24"/>
        </w:rPr>
        <w:t xml:space="preserve"> (PRNS) се </w:t>
      </w:r>
      <w:r w:rsidR="004B5DC4">
        <w:rPr>
          <w:rFonts w:ascii="Times New Roman" w:eastAsia="Times New Roman" w:hAnsi="Times New Roman" w:cs="Times New Roman"/>
          <w:sz w:val="24"/>
          <w:szCs w:val="24"/>
        </w:rPr>
        <w:t>увеличиха драстично през последните 5 години</w:t>
      </w:r>
      <w:r w:rsidR="004B5DC4" w:rsidRPr="00997C23">
        <w:rPr>
          <w:rFonts w:ascii="Times New Roman" w:hAnsi="Times New Roman" w:cs="Times New Roman"/>
          <w:sz w:val="24"/>
          <w:szCs w:val="24"/>
        </w:rPr>
        <w:t xml:space="preserve"> </w:t>
      </w:r>
      <w:r w:rsidR="004B5DC4">
        <w:rPr>
          <w:rFonts w:ascii="Times New Roman" w:hAnsi="Times New Roman" w:cs="Times New Roman"/>
          <w:sz w:val="24"/>
          <w:szCs w:val="24"/>
        </w:rPr>
        <w:t>и вече достигат 25-30%</w:t>
      </w:r>
      <w:r w:rsidR="00397235">
        <w:rPr>
          <w:rFonts w:ascii="Times New Roman" w:hAnsi="Times New Roman" w:cs="Times New Roman"/>
          <w:sz w:val="24"/>
          <w:szCs w:val="24"/>
          <w:lang w:val="en-US"/>
        </w:rPr>
        <w:t xml:space="preserve"> (100% </w:t>
      </w:r>
      <w:r w:rsidR="00397235">
        <w:rPr>
          <w:rFonts w:ascii="Times New Roman" w:hAnsi="Times New Roman" w:cs="Times New Roman"/>
          <w:sz w:val="24"/>
          <w:szCs w:val="24"/>
        </w:rPr>
        <w:t>увеличение</w:t>
      </w:r>
      <w:r w:rsidR="00397235">
        <w:rPr>
          <w:rFonts w:ascii="Times New Roman" w:hAnsi="Times New Roman" w:cs="Times New Roman"/>
          <w:sz w:val="24"/>
          <w:szCs w:val="24"/>
          <w:lang w:val="en-US"/>
        </w:rPr>
        <w:t>)</w:t>
      </w:r>
      <w:r w:rsidR="004B5DC4">
        <w:rPr>
          <w:rFonts w:ascii="Times New Roman" w:hAnsi="Times New Roman" w:cs="Times New Roman"/>
          <w:sz w:val="24"/>
          <w:szCs w:val="24"/>
        </w:rPr>
        <w:t xml:space="preserve">, </w:t>
      </w:r>
      <w:r w:rsidRPr="00997C23">
        <w:rPr>
          <w:rFonts w:ascii="Times New Roman" w:hAnsi="Times New Roman" w:cs="Times New Roman"/>
          <w:sz w:val="24"/>
          <w:szCs w:val="24"/>
        </w:rPr>
        <w:t>вероятно поради</w:t>
      </w:r>
      <w:r w:rsidR="00397235">
        <w:rPr>
          <w:rFonts w:ascii="Times New Roman" w:hAnsi="Times New Roman" w:cs="Times New Roman"/>
          <w:sz w:val="24"/>
          <w:szCs w:val="24"/>
        </w:rPr>
        <w:t xml:space="preserve"> нарастващата</w:t>
      </w:r>
      <w:r w:rsidRPr="00997C23">
        <w:rPr>
          <w:rFonts w:ascii="Times New Roman" w:hAnsi="Times New Roman" w:cs="Times New Roman"/>
          <w:sz w:val="24"/>
          <w:szCs w:val="24"/>
        </w:rPr>
        <w:t xml:space="preserve"> </w:t>
      </w:r>
      <w:r w:rsidR="004B5DC4">
        <w:rPr>
          <w:rFonts w:ascii="Times New Roman" w:hAnsi="Times New Roman" w:cs="Times New Roman"/>
          <w:sz w:val="24"/>
          <w:szCs w:val="24"/>
        </w:rPr>
        <w:t xml:space="preserve">циркулация на серотипове, които не се </w:t>
      </w:r>
      <w:r w:rsidR="00111CC7">
        <w:rPr>
          <w:rFonts w:ascii="Times New Roman" w:hAnsi="Times New Roman" w:cs="Times New Roman"/>
          <w:sz w:val="24"/>
          <w:szCs w:val="24"/>
        </w:rPr>
        <w:t>включени</w:t>
      </w:r>
      <w:r w:rsidR="004B5DC4">
        <w:rPr>
          <w:rFonts w:ascii="Times New Roman" w:hAnsi="Times New Roman" w:cs="Times New Roman"/>
          <w:sz w:val="24"/>
          <w:szCs w:val="24"/>
        </w:rPr>
        <w:t xml:space="preserve"> във </w:t>
      </w:r>
      <w:r w:rsidR="003D67D0">
        <w:rPr>
          <w:rFonts w:ascii="Times New Roman" w:hAnsi="Times New Roman" w:cs="Times New Roman"/>
          <w:sz w:val="24"/>
          <w:szCs w:val="24"/>
        </w:rPr>
        <w:t>ваксината</w:t>
      </w:r>
      <w:r w:rsidR="00BB6284">
        <w:rPr>
          <w:rFonts w:ascii="Times New Roman" w:hAnsi="Times New Roman" w:cs="Times New Roman"/>
          <w:sz w:val="24"/>
          <w:szCs w:val="24"/>
        </w:rPr>
        <w:t xml:space="preserve"> </w:t>
      </w:r>
      <w:r w:rsidR="00BB6284">
        <w:rPr>
          <w:rFonts w:ascii="Times New Roman" w:hAnsi="Times New Roman" w:cs="Times New Roman"/>
          <w:sz w:val="24"/>
          <w:szCs w:val="24"/>
          <w:lang w:val="en-US"/>
        </w:rPr>
        <w:t>[</w:t>
      </w:r>
      <w:r w:rsidR="00BB6284">
        <w:rPr>
          <w:rFonts w:ascii="Times New Roman" w:hAnsi="Times New Roman" w:cs="Times New Roman"/>
          <w:sz w:val="24"/>
          <w:szCs w:val="24"/>
        </w:rPr>
        <w:t>22</w:t>
      </w:r>
      <w:r w:rsidR="00BB6284">
        <w:rPr>
          <w:rFonts w:ascii="Times New Roman" w:hAnsi="Times New Roman" w:cs="Times New Roman"/>
          <w:sz w:val="24"/>
          <w:szCs w:val="24"/>
          <w:lang w:val="en-US"/>
        </w:rPr>
        <w:t>]</w:t>
      </w:r>
      <w:r w:rsidR="008B4A87" w:rsidRPr="00997C23">
        <w:rPr>
          <w:rFonts w:ascii="Times New Roman" w:hAnsi="Times New Roman" w:cs="Times New Roman"/>
          <w:sz w:val="24"/>
          <w:szCs w:val="24"/>
        </w:rPr>
        <w:t xml:space="preserve"> </w:t>
      </w:r>
      <w:r w:rsidR="008B4A87"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{"citationItems":[{"id":"ITEM-1","itemData":{"author":[{"dropping-particle":"","family":"Иванов","given":"И. Н.","non-dropping-particle":"","parse-names":false,"suffix":""},{"dropping-particle":"","family":"Недялков","given":"М.","non-dropping-particle":"","parse-names":false,"suffix":""},{"dropping-particle":"","family":"Иванова","given":"К.","non-dropping-particle":"","parse-names":false,"suffix":""},{"dropping-particle":"","family":"Колектив","given":"И","non-dropping-particle":"","parse-names":false,"suffix":""}],"container-title":"XVII-ти Национален конгрес по Клинична микробиология и Инфекции на Българската асоциация на микробиолозите, 9-11 май, 2018г., Парк-хотел «Москва», гр. София","id":"ITEM-1","issued":{"date-parts":[["2019"]]},"publisher-place":"София","title":"Доклад на Националния референтен център по микробна лекарствена резистентност и антибиотична консумация","type":"paper-conference"},"uris":["http://www.mendeley.com/documents/?uuid=4a376991-57df-445c-a4ea-bd7567bbdb22"]}],"mendeley":{"formattedCitation":"[26]","plainTextFormattedCitation":"[26]","previouslyFormattedCitation":"(Иванов, Недялков, Иванова, &amp; Колектив, 2019)"},"properties":{"noteIndex":0},"schema":"https://github.com/citation-style-language/schema/raw/master/csl-citation.json"}</w:instrText>
      </w:r>
      <w:r w:rsidR="008B4A87"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[26]</w:t>
      </w:r>
      <w:r w:rsidR="008B4A87" w:rsidRPr="00997C23">
        <w:rPr>
          <w:rFonts w:ascii="Times New Roman" w:hAnsi="Times New Roman" w:cs="Times New Roman"/>
          <w:sz w:val="24"/>
          <w:szCs w:val="24"/>
        </w:rPr>
        <w:fldChar w:fldCharType="end"/>
      </w:r>
      <w:r w:rsidRPr="00997C23">
        <w:rPr>
          <w:rFonts w:ascii="Times New Roman" w:hAnsi="Times New Roman" w:cs="Times New Roman"/>
          <w:sz w:val="24"/>
          <w:szCs w:val="24"/>
        </w:rPr>
        <w:t>.</w:t>
      </w:r>
    </w:p>
    <w:p w14:paraId="1F919437" w14:textId="77777777" w:rsidR="00CF0BBC" w:rsidRPr="00997C23" w:rsidRDefault="00CF0BBC" w:rsidP="00C467DB">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t xml:space="preserve">В световен мащаб и у нас нараства относителният дял на полирезистентните </w:t>
      </w:r>
      <w:r w:rsidRPr="00997C23">
        <w:rPr>
          <w:rFonts w:ascii="Times New Roman" w:eastAsia="Times New Roman" w:hAnsi="Times New Roman" w:cs="Times New Roman"/>
          <w:i/>
          <w:color w:val="000000"/>
          <w:sz w:val="24"/>
          <w:szCs w:val="24"/>
          <w:lang w:val="en-US" w:eastAsia="bg-BG"/>
        </w:rPr>
        <w:t xml:space="preserve">Neisseria gonorrhoeae </w:t>
      </w:r>
      <w:r w:rsidRPr="00997C23">
        <w:rPr>
          <w:rFonts w:ascii="Times New Roman" w:eastAsia="Times New Roman" w:hAnsi="Times New Roman" w:cs="Times New Roman"/>
          <w:color w:val="000000"/>
          <w:sz w:val="24"/>
          <w:szCs w:val="24"/>
          <w:lang w:val="en-US" w:eastAsia="bg-BG"/>
        </w:rPr>
        <w:t xml:space="preserve">– </w:t>
      </w:r>
      <w:r w:rsidRPr="00997C23">
        <w:rPr>
          <w:rFonts w:ascii="Times New Roman" w:eastAsia="Times New Roman" w:hAnsi="Times New Roman" w:cs="Times New Roman"/>
          <w:color w:val="000000"/>
          <w:sz w:val="24"/>
          <w:szCs w:val="24"/>
          <w:lang w:eastAsia="bg-BG"/>
        </w:rPr>
        <w:t xml:space="preserve">развили устойчивост към основните </w:t>
      </w:r>
      <w:r w:rsidR="00904F47">
        <w:rPr>
          <w:rFonts w:ascii="Times New Roman" w:eastAsia="Times New Roman" w:hAnsi="Times New Roman" w:cs="Times New Roman"/>
          <w:color w:val="000000"/>
          <w:sz w:val="24"/>
          <w:szCs w:val="24"/>
          <w:lang w:eastAsia="bg-BG"/>
        </w:rPr>
        <w:t>лекарствени продукти</w:t>
      </w:r>
      <w:r w:rsidR="00E92DF2">
        <w:rPr>
          <w:rFonts w:ascii="Times New Roman" w:eastAsia="Times New Roman" w:hAnsi="Times New Roman" w:cs="Times New Roman"/>
          <w:color w:val="000000"/>
          <w:sz w:val="24"/>
          <w:szCs w:val="24"/>
          <w:lang w:eastAsia="bg-BG"/>
        </w:rPr>
        <w:t xml:space="preserve"> </w:t>
      </w:r>
      <w:r w:rsidRPr="00997C23">
        <w:rPr>
          <w:rFonts w:ascii="Times New Roman" w:eastAsia="Times New Roman" w:hAnsi="Times New Roman" w:cs="Times New Roman"/>
          <w:color w:val="000000"/>
          <w:sz w:val="24"/>
          <w:szCs w:val="24"/>
          <w:lang w:eastAsia="bg-BG"/>
        </w:rPr>
        <w:t>за лечение на гонореята от първи избор – флуорохинолони и цефалоспорини от трета генерация</w:t>
      </w:r>
      <w:r w:rsidR="00294869" w:rsidRPr="00997C23">
        <w:rPr>
          <w:rFonts w:ascii="Times New Roman" w:eastAsia="Times New Roman" w:hAnsi="Times New Roman" w:cs="Times New Roman"/>
          <w:color w:val="000000"/>
          <w:sz w:val="24"/>
          <w:szCs w:val="24"/>
          <w:lang w:eastAsia="bg-BG"/>
        </w:rPr>
        <w:t xml:space="preserve"> </w:t>
      </w:r>
      <w:r w:rsidR="00294869" w:rsidRPr="00997C23">
        <w:rPr>
          <w:rFonts w:ascii="Times New Roman" w:eastAsia="Times New Roman" w:hAnsi="Times New Roman" w:cs="Times New Roman"/>
          <w:color w:val="000000"/>
          <w:sz w:val="24"/>
          <w:szCs w:val="24"/>
          <w:lang w:eastAsia="bg-BG"/>
        </w:rPr>
        <w:fldChar w:fldCharType="begin" w:fldLock="1"/>
      </w:r>
      <w:r w:rsidR="009D0134" w:rsidRPr="00997C23">
        <w:rPr>
          <w:rFonts w:ascii="Times New Roman" w:eastAsia="Times New Roman" w:hAnsi="Times New Roman" w:cs="Times New Roman"/>
          <w:color w:val="000000"/>
          <w:sz w:val="24"/>
          <w:szCs w:val="24"/>
          <w:lang w:eastAsia="bg-BG"/>
        </w:rPr>
        <w:instrText>ADDIN CSL_CITATION {"citationItems":[{"id":"ITEM-1","itemData":{"DOI":"10.1128/aac.05760-11","ISSN":"0066-4804","author":[{"dropping-particle":"","family":"Unemo","given":"Magnus","non-dropping-particle":"","parse-names":false,"suffix":""},{"dropping-particle":"","family":"Golparian","given":"Daniel","non-dropping-particle":"","parse-names":false,"suffix":""},{"dropping-particle":"","family":"Nicholas","given":"Robert","non-dropping-particle":"","parse-names":false,"suffix":""},{"dropping-particle":"","family":"Ohnishi","given":"Makoto","non-dropping-particle":"","parse-names":false,"suffix":""},{"dropping-particle":"","family":"Gallay","given":"Anne","non-dropping-particle":"","parse-names":false,"suffix":""},{"dropping-particle":"","family":"Sednaoui","given":"Patrice","non-dropping-particle":"","parse-names":false,"suffix":""}],"container-title":"Antimicrobial Agents and Chemotherapy","id":"ITEM-1","issue":"3","issued":{"date-parts":[["2011"]]},"page":"1273-1280","publisher":"American Society for Microbiology","title":"High-Level Cefixime- and Ceftriaxone-Resistant Neisseria gonorrhoeae in France: NovelpenAMosaic Allele in a Successful International Clone Causes Treatment Failure","type":"article-journal","volume":"56"},"uris":["http://www.mendeley.com/documents/?uuid=160d9629-10b1-4dcd-b73d-287b09a9b4ee"]},{"id":"ITEM-2","itemData":{"author":[{"dropping-particle":"","family":"WHO","given":"","non-dropping-particle":"","parse-names":false,"suffix":""}],"container-title":"WHO","id":"ITEM-2","issued":{"date-parts":[["2019"]]},"publisher":"World Health Organization","title":"GLASS | Global antimicrobial resistance surveillance system (GLASS) report","type":"article-journal"},"uris":["http://www.mendeley.com/documents/?uuid=57e8deea-cdd7-3d7c-bdeb-8d0422df0cd1"]},{"id":"ITEM-3","itemData":{"author":[{"dropping-particle":"","family":"WHO","given":"","non-dropping-particle":"","parse-names":false,"suffix":""}],"container-title":"WHO","id":"ITEM-3","issued":{"date-parts":[["2017"]]},"publisher":"World Health Organization","title":"Global priority list of antibiotic-resistant bacteria to guide research, discovery, and development of new antibiotics","type":"report"},"uris":["http://www.mendeley.com/documents/?uuid=bd7ad264-7ea8-381b-84d9-f3187ad25996"]}],"mendeley":{"formattedCitation":"[18], [27], [28]","plainTextFormattedCitation":"[18], [27], [28]","previouslyFormattedCitation":"(Unemo et al., 2011; WHO, 2017, 2019)"},"properties":{"noteIndex":0},"schema":"https://github.com/citation-style-language/schema/raw/master/csl-citation.json"}</w:instrText>
      </w:r>
      <w:r w:rsidR="00294869" w:rsidRPr="00997C23">
        <w:rPr>
          <w:rFonts w:ascii="Times New Roman" w:eastAsia="Times New Roman" w:hAnsi="Times New Roman" w:cs="Times New Roman"/>
          <w:color w:val="000000"/>
          <w:sz w:val="24"/>
          <w:szCs w:val="24"/>
          <w:lang w:eastAsia="bg-BG"/>
        </w:rPr>
        <w:fldChar w:fldCharType="separate"/>
      </w:r>
      <w:r w:rsidR="009D0134" w:rsidRPr="00997C23">
        <w:rPr>
          <w:rFonts w:ascii="Times New Roman" w:eastAsia="Times New Roman" w:hAnsi="Times New Roman" w:cs="Times New Roman"/>
          <w:noProof/>
          <w:color w:val="000000"/>
          <w:sz w:val="24"/>
          <w:szCs w:val="24"/>
          <w:lang w:eastAsia="bg-BG"/>
        </w:rPr>
        <w:t>[18], [27]</w:t>
      </w:r>
      <w:r w:rsidR="00294869" w:rsidRPr="00997C23">
        <w:rPr>
          <w:rFonts w:ascii="Times New Roman" w:eastAsia="Times New Roman" w:hAnsi="Times New Roman" w:cs="Times New Roman"/>
          <w:color w:val="000000"/>
          <w:sz w:val="24"/>
          <w:szCs w:val="24"/>
          <w:lang w:eastAsia="bg-BG"/>
        </w:rPr>
        <w:fldChar w:fldCharType="end"/>
      </w:r>
      <w:r w:rsidRPr="00997C23">
        <w:rPr>
          <w:rFonts w:ascii="Times New Roman" w:eastAsia="Times New Roman" w:hAnsi="Times New Roman" w:cs="Times New Roman"/>
          <w:color w:val="000000"/>
          <w:sz w:val="24"/>
          <w:szCs w:val="24"/>
          <w:lang w:eastAsia="bg-BG"/>
        </w:rPr>
        <w:t>.</w:t>
      </w:r>
    </w:p>
    <w:p w14:paraId="2EEFD1A1" w14:textId="77777777" w:rsidR="00CF0BBC" w:rsidRPr="00997C23" w:rsidRDefault="00CF0BBC" w:rsidP="00C467DB">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t>Както по света, така и в България макар и с не толкова високи темпове</w:t>
      </w:r>
      <w:r w:rsidR="00DD7B0A" w:rsidRPr="00997C23">
        <w:rPr>
          <w:rFonts w:ascii="Times New Roman" w:eastAsia="Times New Roman" w:hAnsi="Times New Roman" w:cs="Times New Roman"/>
          <w:color w:val="000000"/>
          <w:sz w:val="24"/>
          <w:szCs w:val="24"/>
          <w:lang w:eastAsia="bg-BG"/>
        </w:rPr>
        <w:t>,</w:t>
      </w:r>
      <w:r w:rsidRPr="00997C23">
        <w:rPr>
          <w:rFonts w:ascii="Times New Roman" w:eastAsia="Times New Roman" w:hAnsi="Times New Roman" w:cs="Times New Roman"/>
          <w:color w:val="000000"/>
          <w:sz w:val="24"/>
          <w:szCs w:val="24"/>
          <w:lang w:eastAsia="bg-BG"/>
        </w:rPr>
        <w:t xml:space="preserve"> нарастват случаите на полирезистентни щамове </w:t>
      </w:r>
      <w:r w:rsidRPr="00997C23">
        <w:rPr>
          <w:rFonts w:ascii="Times New Roman" w:eastAsia="Times New Roman" w:hAnsi="Times New Roman" w:cs="Times New Roman"/>
          <w:i/>
          <w:color w:val="000000"/>
          <w:sz w:val="24"/>
          <w:szCs w:val="24"/>
          <w:lang w:val="en-US" w:eastAsia="bg-BG"/>
        </w:rPr>
        <w:t>Mycobacterium tuberculosis</w:t>
      </w:r>
      <w:r w:rsidRPr="00997C23">
        <w:rPr>
          <w:rFonts w:ascii="Times New Roman" w:eastAsia="Times New Roman" w:hAnsi="Times New Roman" w:cs="Times New Roman"/>
          <w:color w:val="000000"/>
          <w:sz w:val="24"/>
          <w:szCs w:val="24"/>
          <w:lang w:val="en-US" w:eastAsia="bg-BG"/>
        </w:rPr>
        <w:t xml:space="preserve">, </w:t>
      </w:r>
      <w:r w:rsidRPr="00997C23">
        <w:rPr>
          <w:rFonts w:ascii="Times New Roman" w:eastAsia="Times New Roman" w:hAnsi="Times New Roman" w:cs="Times New Roman"/>
          <w:color w:val="000000"/>
          <w:sz w:val="24"/>
          <w:szCs w:val="24"/>
          <w:lang w:eastAsia="bg-BG"/>
        </w:rPr>
        <w:t>което е съществен терапевтичен и епидемиологичен проблем.</w:t>
      </w:r>
    </w:p>
    <w:p w14:paraId="4149EA8D" w14:textId="77777777" w:rsidR="00CF0BBC" w:rsidRPr="00997C23" w:rsidRDefault="00CF0BBC" w:rsidP="00C467DB">
      <w:pPr>
        <w:spacing w:after="0" w:line="360" w:lineRule="auto"/>
        <w:ind w:firstLine="709"/>
        <w:jc w:val="both"/>
        <w:rPr>
          <w:rFonts w:ascii="Times New Roman" w:eastAsia="Times New Roman" w:hAnsi="Times New Roman" w:cs="Times New Roman"/>
          <w:color w:val="000000"/>
          <w:sz w:val="24"/>
          <w:szCs w:val="24"/>
          <w:lang w:eastAsia="bg-BG"/>
        </w:rPr>
      </w:pPr>
      <w:r w:rsidRPr="00997C23">
        <w:rPr>
          <w:rFonts w:ascii="Times New Roman" w:eastAsia="Times New Roman" w:hAnsi="Times New Roman" w:cs="Times New Roman"/>
          <w:color w:val="000000"/>
          <w:sz w:val="24"/>
          <w:szCs w:val="24"/>
          <w:lang w:eastAsia="bg-BG"/>
        </w:rPr>
        <w:lastRenderedPageBreak/>
        <w:t>Наскоро идентифициран проблем в областта на микологията са инфекциите, причинени от свръхрезистентната на противогъб</w:t>
      </w:r>
      <w:r w:rsidR="00DC33CE" w:rsidRPr="00997C23">
        <w:rPr>
          <w:rFonts w:ascii="Times New Roman" w:eastAsia="Times New Roman" w:hAnsi="Times New Roman" w:cs="Times New Roman"/>
          <w:color w:val="000000"/>
          <w:sz w:val="24"/>
          <w:szCs w:val="24"/>
          <w:lang w:eastAsia="bg-BG"/>
        </w:rPr>
        <w:t>ич</w:t>
      </w:r>
      <w:r w:rsidRPr="00997C23">
        <w:rPr>
          <w:rFonts w:ascii="Times New Roman" w:eastAsia="Times New Roman" w:hAnsi="Times New Roman" w:cs="Times New Roman"/>
          <w:color w:val="000000"/>
          <w:sz w:val="24"/>
          <w:szCs w:val="24"/>
          <w:lang w:eastAsia="bg-BG"/>
        </w:rPr>
        <w:t xml:space="preserve">ни антибиотици </w:t>
      </w:r>
      <w:r w:rsidRPr="00997C23">
        <w:rPr>
          <w:rFonts w:ascii="Times New Roman" w:eastAsia="Times New Roman" w:hAnsi="Times New Roman" w:cs="Times New Roman"/>
          <w:i/>
          <w:color w:val="000000"/>
          <w:sz w:val="24"/>
          <w:szCs w:val="24"/>
          <w:lang w:val="en-US" w:eastAsia="bg-BG"/>
        </w:rPr>
        <w:t>Candida auris</w:t>
      </w:r>
      <w:r w:rsidRPr="00997C23">
        <w:rPr>
          <w:rFonts w:ascii="Times New Roman" w:eastAsia="Times New Roman" w:hAnsi="Times New Roman" w:cs="Times New Roman"/>
          <w:color w:val="000000"/>
          <w:sz w:val="24"/>
          <w:szCs w:val="24"/>
          <w:lang w:val="en-US" w:eastAsia="bg-BG"/>
        </w:rPr>
        <w:t>,</w:t>
      </w:r>
      <w:r w:rsidR="00324E4A">
        <w:rPr>
          <w:rFonts w:ascii="Times New Roman" w:eastAsia="Times New Roman" w:hAnsi="Times New Roman" w:cs="Times New Roman"/>
          <w:color w:val="000000"/>
          <w:sz w:val="24"/>
          <w:szCs w:val="24"/>
          <w:lang w:eastAsia="bg-BG"/>
        </w:rPr>
        <w:t xml:space="preserve"> открита </w:t>
      </w:r>
      <w:r w:rsidR="008301CD">
        <w:rPr>
          <w:rFonts w:ascii="Times New Roman" w:eastAsia="Times New Roman" w:hAnsi="Times New Roman" w:cs="Times New Roman"/>
          <w:color w:val="000000"/>
          <w:sz w:val="24"/>
          <w:szCs w:val="24"/>
          <w:lang w:eastAsia="bg-BG"/>
        </w:rPr>
        <w:t>на</w:t>
      </w:r>
      <w:r w:rsidR="00324E4A">
        <w:rPr>
          <w:rFonts w:ascii="Times New Roman" w:eastAsia="Times New Roman" w:hAnsi="Times New Roman" w:cs="Times New Roman"/>
          <w:color w:val="000000"/>
          <w:sz w:val="24"/>
          <w:szCs w:val="24"/>
          <w:lang w:eastAsia="bg-BG"/>
        </w:rPr>
        <w:t xml:space="preserve">скоро и у нас, с </w:t>
      </w:r>
      <w:r w:rsidRPr="00997C23">
        <w:rPr>
          <w:rFonts w:ascii="Times New Roman" w:eastAsia="Times New Roman" w:hAnsi="Times New Roman" w:cs="Times New Roman"/>
          <w:color w:val="000000"/>
          <w:sz w:val="24"/>
          <w:szCs w:val="24"/>
          <w:lang w:eastAsia="bg-BG"/>
        </w:rPr>
        <w:t>почти в 90% устойчив</w:t>
      </w:r>
      <w:r w:rsidR="00324E4A">
        <w:rPr>
          <w:rFonts w:ascii="Times New Roman" w:eastAsia="Times New Roman" w:hAnsi="Times New Roman" w:cs="Times New Roman"/>
          <w:color w:val="000000"/>
          <w:sz w:val="24"/>
          <w:szCs w:val="24"/>
          <w:lang w:eastAsia="bg-BG"/>
        </w:rPr>
        <w:t>ост</w:t>
      </w:r>
      <w:r w:rsidRPr="00997C23">
        <w:rPr>
          <w:rFonts w:ascii="Times New Roman" w:eastAsia="Times New Roman" w:hAnsi="Times New Roman" w:cs="Times New Roman"/>
          <w:color w:val="000000"/>
          <w:sz w:val="24"/>
          <w:szCs w:val="24"/>
          <w:lang w:eastAsia="bg-BG"/>
        </w:rPr>
        <w:t xml:space="preserve"> на </w:t>
      </w:r>
      <w:r w:rsidRPr="00997C23">
        <w:rPr>
          <w:rFonts w:ascii="Times New Roman" w:eastAsia="Times New Roman" w:hAnsi="Times New Roman" w:cs="Times New Roman"/>
          <w:color w:val="000000"/>
          <w:sz w:val="24"/>
          <w:szCs w:val="24"/>
          <w:lang w:val="en-US" w:eastAsia="bg-BG"/>
        </w:rPr>
        <w:t xml:space="preserve">Fluconazole, </w:t>
      </w:r>
      <w:r w:rsidRPr="00997C23">
        <w:rPr>
          <w:rFonts w:ascii="Times New Roman" w:eastAsia="Times New Roman" w:hAnsi="Times New Roman" w:cs="Times New Roman"/>
          <w:color w:val="000000"/>
          <w:sz w:val="24"/>
          <w:szCs w:val="24"/>
          <w:lang w:eastAsia="bg-BG"/>
        </w:rPr>
        <w:t>и с ограничена чувствителност единствено на ехинокандини.</w:t>
      </w:r>
    </w:p>
    <w:p w14:paraId="4BB7EDA0" w14:textId="77777777" w:rsidR="00CF0BBC" w:rsidRPr="00997C23" w:rsidRDefault="00CF0BBC" w:rsidP="00C467DB">
      <w:pPr>
        <w:spacing w:after="0" w:line="360" w:lineRule="auto"/>
        <w:ind w:firstLine="709"/>
        <w:contextualSpacing/>
        <w:jc w:val="both"/>
        <w:rPr>
          <w:rFonts w:ascii="Times New Roman" w:eastAsia="Times New Roman" w:hAnsi="Times New Roman" w:cs="Times New Roman"/>
          <w:color w:val="000000"/>
          <w:sz w:val="24"/>
          <w:szCs w:val="24"/>
          <w:lang w:val="en-US" w:eastAsia="bg-BG"/>
        </w:rPr>
      </w:pPr>
      <w:r w:rsidRPr="00997C23">
        <w:rPr>
          <w:rFonts w:ascii="Times New Roman" w:eastAsia="Times New Roman" w:hAnsi="Times New Roman" w:cs="Times New Roman"/>
          <w:color w:val="000000"/>
          <w:sz w:val="24"/>
          <w:szCs w:val="24"/>
          <w:lang w:eastAsia="bg-BG"/>
        </w:rPr>
        <w:t xml:space="preserve">Резистентността при Грам-отрицателните бактерии е много по-проблемна отколкото при Грам-положителните, поради отсъствие на нови ефективни антибиотици. </w:t>
      </w:r>
      <w:r w:rsidR="008301CD">
        <w:rPr>
          <w:rFonts w:ascii="Times New Roman" w:eastAsia="Times New Roman" w:hAnsi="Times New Roman" w:cs="Times New Roman"/>
          <w:color w:val="000000"/>
          <w:sz w:val="24"/>
          <w:szCs w:val="24"/>
          <w:lang w:eastAsia="bg-BG"/>
        </w:rPr>
        <w:t>Г</w:t>
      </w:r>
      <w:r w:rsidRPr="00997C23">
        <w:rPr>
          <w:rFonts w:ascii="Times New Roman" w:eastAsia="Times New Roman" w:hAnsi="Times New Roman" w:cs="Times New Roman"/>
          <w:color w:val="000000"/>
          <w:sz w:val="24"/>
          <w:szCs w:val="24"/>
          <w:lang w:eastAsia="bg-BG"/>
        </w:rPr>
        <w:t xml:space="preserve">олям терапевтичен проблем за страната са щамовете чревни бактерии </w:t>
      </w:r>
      <w:r w:rsidRPr="00997C23">
        <w:rPr>
          <w:rFonts w:ascii="Times New Roman" w:eastAsia="Times New Roman" w:hAnsi="Times New Roman" w:cs="Times New Roman"/>
          <w:i/>
          <w:color w:val="000000"/>
          <w:sz w:val="24"/>
          <w:szCs w:val="24"/>
          <w:lang w:val="en-US" w:eastAsia="bg-BG"/>
        </w:rPr>
        <w:t>Enterobactrerales</w:t>
      </w:r>
      <w:r w:rsidRPr="00997C23">
        <w:rPr>
          <w:rFonts w:ascii="Times New Roman" w:eastAsia="Times New Roman" w:hAnsi="Times New Roman" w:cs="Times New Roman"/>
          <w:color w:val="000000"/>
          <w:sz w:val="24"/>
          <w:szCs w:val="24"/>
          <w:lang w:eastAsia="bg-BG"/>
        </w:rPr>
        <w:t xml:space="preserve">, производители на широкоспектърни β-лактамази </w:t>
      </w:r>
      <w:r w:rsidRPr="00997C23">
        <w:rPr>
          <w:rFonts w:ascii="Times New Roman" w:eastAsia="Times New Roman" w:hAnsi="Times New Roman" w:cs="Times New Roman"/>
          <w:color w:val="000000"/>
          <w:sz w:val="24"/>
          <w:szCs w:val="24"/>
          <w:lang w:val="en-US" w:eastAsia="bg-BG"/>
        </w:rPr>
        <w:t xml:space="preserve">ESBL. </w:t>
      </w:r>
      <w:r w:rsidRPr="00D01657">
        <w:rPr>
          <w:rFonts w:ascii="Times New Roman" w:eastAsia="Times New Roman" w:hAnsi="Times New Roman" w:cs="Times New Roman"/>
          <w:i/>
          <w:sz w:val="24"/>
          <w:szCs w:val="24"/>
        </w:rPr>
        <w:t>E. coli</w:t>
      </w:r>
      <w:r w:rsidRPr="00D01657">
        <w:rPr>
          <w:rFonts w:ascii="Times New Roman" w:eastAsia="Times New Roman" w:hAnsi="Times New Roman" w:cs="Times New Roman"/>
          <w:sz w:val="24"/>
          <w:szCs w:val="24"/>
        </w:rPr>
        <w:t xml:space="preserve"> и </w:t>
      </w:r>
      <w:r w:rsidRPr="00D01657">
        <w:rPr>
          <w:rFonts w:ascii="Times New Roman" w:eastAsia="Times New Roman" w:hAnsi="Times New Roman" w:cs="Times New Roman"/>
          <w:i/>
          <w:sz w:val="24"/>
          <w:szCs w:val="24"/>
        </w:rPr>
        <w:t>Klebsiella</w:t>
      </w:r>
      <w:r w:rsidRPr="00D01657">
        <w:rPr>
          <w:rFonts w:ascii="Times New Roman" w:eastAsia="Times New Roman" w:hAnsi="Times New Roman" w:cs="Times New Roman"/>
          <w:sz w:val="24"/>
          <w:szCs w:val="24"/>
        </w:rPr>
        <w:t xml:space="preserve"> spp, произвеждащи широкоспектърни β-лактамази (ESBLs) според данните от BulSTAR са съответно 15% и 45% </w:t>
      </w:r>
      <w:r w:rsidR="00DB1802" w:rsidRPr="00D01657">
        <w:rPr>
          <w:rFonts w:ascii="Times New Roman" w:eastAsia="Times New Roman" w:hAnsi="Times New Roman" w:cs="Times New Roman"/>
          <w:sz w:val="24"/>
          <w:szCs w:val="24"/>
          <w:lang w:val="en-US"/>
        </w:rPr>
        <w:fldChar w:fldCharType="begin" w:fldLock="1"/>
      </w:r>
      <w:r w:rsidR="009D0134" w:rsidRPr="00D01657">
        <w:rPr>
          <w:rFonts w:ascii="Times New Roman" w:eastAsia="Times New Roman" w:hAnsi="Times New Roman" w:cs="Times New Roman"/>
          <w:sz w:val="24"/>
          <w:szCs w:val="24"/>
          <w:lang w:val="en-US"/>
        </w:rPr>
        <w:instrText>ADDIN CSL_CITATION {"citationItems":[{"id":"ITEM-1","itemData":{"author":[{"dropping-particle":"","family":"Иванов","given":"И. Н.","non-dropping-particle":"","parse-names":false,"suffix":""},{"dropping-particle":"","family":"Недялков","given":"М.","non-dropping-particle":"","parse-names":false,"suffix":""},{"dropping-particle":"","family":"Иванова","given":"К.","non-dropping-particle":"","parse-names":false,"suffix":""},{"dropping-particle":"","family":"Колектив","given":"И","non-dropping-particle":"","parse-names":false,"suffix":""}],"container-title":"XVII-ти Национален конгрес по Клинична микробиология и Инфекции на Българската асоциация на микробиолозите, 9-11 май, 2018г., Парк-хотел «Москва», гр. София","id":"ITEM-1","issued":{"date-parts":[["2019"]]},"publisher-place":"София","title":"Доклад на Националния референтен център по микробна лекарствена резистентност и антибиотична консумация","type":"paper-conference"},"uris":["http://www.mendeley.com/documents/?uuid=4a376991-57df-445c-a4ea-bd7567bbdb22"]}],"mendeley":{"formattedCitation":"[26]","plainTextFormattedCitation":"[26]","previouslyFormattedCitation":"(Иванов et al., 2019)"},"properties":{"noteIndex":0},"schema":"https://github.com/citation-style-language/schema/raw/master/csl-citation.json"}</w:instrText>
      </w:r>
      <w:r w:rsidR="00DB1802" w:rsidRPr="00D01657">
        <w:rPr>
          <w:rFonts w:ascii="Times New Roman" w:eastAsia="Times New Roman" w:hAnsi="Times New Roman" w:cs="Times New Roman"/>
          <w:sz w:val="24"/>
          <w:szCs w:val="24"/>
          <w:lang w:val="en-US"/>
        </w:rPr>
        <w:fldChar w:fldCharType="separate"/>
      </w:r>
      <w:r w:rsidR="009D0134" w:rsidRPr="00D01657">
        <w:rPr>
          <w:rFonts w:ascii="Times New Roman" w:eastAsia="Times New Roman" w:hAnsi="Times New Roman" w:cs="Times New Roman"/>
          <w:noProof/>
          <w:sz w:val="24"/>
          <w:szCs w:val="24"/>
          <w:lang w:val="en-US"/>
        </w:rPr>
        <w:t>[26]</w:t>
      </w:r>
      <w:r w:rsidR="00DB1802" w:rsidRPr="00D01657">
        <w:rPr>
          <w:rFonts w:ascii="Times New Roman" w:eastAsia="Times New Roman" w:hAnsi="Times New Roman" w:cs="Times New Roman"/>
          <w:sz w:val="24"/>
          <w:szCs w:val="24"/>
          <w:lang w:val="en-US"/>
        </w:rPr>
        <w:fldChar w:fldCharType="end"/>
      </w:r>
      <w:r w:rsidRPr="00D01657">
        <w:rPr>
          <w:rFonts w:ascii="Times New Roman" w:eastAsia="Times New Roman" w:hAnsi="Times New Roman" w:cs="Times New Roman"/>
          <w:sz w:val="24"/>
          <w:szCs w:val="24"/>
          <w:lang w:val="en-US"/>
        </w:rPr>
        <w:t>.</w:t>
      </w:r>
      <w:r w:rsidRPr="00D01657">
        <w:rPr>
          <w:rFonts w:ascii="Times New Roman" w:eastAsia="Times New Roman" w:hAnsi="Times New Roman" w:cs="Times New Roman"/>
          <w:sz w:val="24"/>
          <w:szCs w:val="24"/>
        </w:rPr>
        <w:t xml:space="preserve"> Значението им е голямо предвид</w:t>
      </w:r>
      <w:r w:rsidRPr="00997C23">
        <w:rPr>
          <w:rFonts w:ascii="Times New Roman" w:eastAsia="Times New Roman" w:hAnsi="Times New Roman" w:cs="Times New Roman"/>
          <w:sz w:val="24"/>
          <w:szCs w:val="24"/>
        </w:rPr>
        <w:t xml:space="preserve"> честото им</w:t>
      </w:r>
      <w:r w:rsidR="00111CC7">
        <w:rPr>
          <w:rFonts w:ascii="Times New Roman" w:eastAsia="Times New Roman" w:hAnsi="Times New Roman" w:cs="Times New Roman"/>
          <w:sz w:val="24"/>
          <w:szCs w:val="24"/>
        </w:rPr>
        <w:t xml:space="preserve"> изолиране от различни инфекции</w:t>
      </w:r>
      <w:r w:rsidRPr="00997C23">
        <w:rPr>
          <w:rFonts w:ascii="Times New Roman" w:eastAsia="Times New Roman" w:hAnsi="Times New Roman" w:cs="Times New Roman"/>
          <w:sz w:val="24"/>
          <w:szCs w:val="24"/>
        </w:rPr>
        <w:t xml:space="preserve"> на уринарния тракт, вкл. пиелонефрит</w:t>
      </w:r>
      <w:r w:rsidR="00DD7B0A" w:rsidRPr="00997C23">
        <w:rPr>
          <w:rFonts w:ascii="Times New Roman" w:eastAsia="Times New Roman" w:hAnsi="Times New Roman" w:cs="Times New Roman"/>
          <w:sz w:val="24"/>
          <w:szCs w:val="24"/>
        </w:rPr>
        <w:t>,</w:t>
      </w:r>
      <w:r w:rsidRPr="00997C23">
        <w:rPr>
          <w:rFonts w:ascii="Times New Roman" w:eastAsia="Times New Roman" w:hAnsi="Times New Roman" w:cs="Times New Roman"/>
          <w:sz w:val="24"/>
          <w:szCs w:val="24"/>
        </w:rPr>
        <w:t xml:space="preserve"> сепсис, холецистит, раневи инфекции и др. </w:t>
      </w:r>
      <w:r w:rsidRPr="00997C23">
        <w:rPr>
          <w:rFonts w:ascii="Times New Roman" w:eastAsia="Times New Roman" w:hAnsi="Times New Roman" w:cs="Times New Roman"/>
          <w:i/>
          <w:sz w:val="24"/>
          <w:szCs w:val="24"/>
        </w:rPr>
        <w:t>Klebsiella</w:t>
      </w:r>
      <w:r w:rsidRPr="00997C23">
        <w:rPr>
          <w:rFonts w:ascii="Times New Roman" w:eastAsia="Times New Roman" w:hAnsi="Times New Roman" w:cs="Times New Roman"/>
          <w:sz w:val="24"/>
          <w:szCs w:val="24"/>
        </w:rPr>
        <w:t xml:space="preserve"> </w:t>
      </w:r>
      <w:r w:rsidRPr="00997C23">
        <w:rPr>
          <w:rFonts w:ascii="Times New Roman" w:eastAsia="Times New Roman" w:hAnsi="Times New Roman" w:cs="Times New Roman"/>
          <w:i/>
          <w:sz w:val="24"/>
          <w:szCs w:val="24"/>
        </w:rPr>
        <w:t>spp</w:t>
      </w:r>
      <w:r w:rsidR="00D02105" w:rsidRPr="00997C23">
        <w:rPr>
          <w:rFonts w:ascii="Times New Roman" w:eastAsia="Times New Roman" w:hAnsi="Times New Roman" w:cs="Times New Roman"/>
          <w:i/>
          <w:sz w:val="24"/>
          <w:szCs w:val="24"/>
        </w:rPr>
        <w:t>.</w:t>
      </w:r>
      <w:r w:rsidRPr="00997C23">
        <w:rPr>
          <w:rFonts w:ascii="Times New Roman" w:eastAsia="Times New Roman" w:hAnsi="Times New Roman" w:cs="Times New Roman"/>
          <w:sz w:val="24"/>
          <w:szCs w:val="24"/>
        </w:rPr>
        <w:t xml:space="preserve"> са сред честите причинители и на друга тежка инфекция – вътреболнична пневмония. Следва да се има предвид, че микроорганизмите, производители на ESBLs са резистентни на всички пеницилини и цефалоспорини, често и на </w:t>
      </w:r>
      <w:r w:rsidR="004F0564">
        <w:rPr>
          <w:rFonts w:ascii="Times New Roman" w:eastAsia="Times New Roman" w:hAnsi="Times New Roman" w:cs="Times New Roman"/>
          <w:sz w:val="24"/>
          <w:szCs w:val="24"/>
        </w:rPr>
        <w:t>триметоприм/сулфаметоксазол</w:t>
      </w:r>
      <w:r w:rsidRPr="00997C23">
        <w:rPr>
          <w:rFonts w:ascii="Times New Roman" w:eastAsia="Times New Roman" w:hAnsi="Times New Roman" w:cs="Times New Roman"/>
          <w:sz w:val="24"/>
          <w:szCs w:val="24"/>
          <w:lang w:val="en-US"/>
        </w:rPr>
        <w:t xml:space="preserve">, </w:t>
      </w:r>
      <w:r w:rsidRPr="00997C23">
        <w:rPr>
          <w:rFonts w:ascii="Times New Roman" w:eastAsia="Times New Roman" w:hAnsi="Times New Roman" w:cs="Times New Roman"/>
          <w:sz w:val="24"/>
          <w:szCs w:val="24"/>
        </w:rPr>
        <w:t xml:space="preserve">аминогликозиди, флуорохинолони и тези инфекции, следователно са терапевтично предизвикателство: не следва да се предписват емпирично антибиотици, а само след определяне на антибиотичната чувствителност; при животозастрашаващи инфекции средство на избор са резервните антибиотици карбапенеми. </w:t>
      </w:r>
    </w:p>
    <w:p w14:paraId="6A23FB20" w14:textId="77777777" w:rsidR="005D5D97" w:rsidRPr="00997C23" w:rsidRDefault="00CF0BBC" w:rsidP="00C467DB">
      <w:pPr>
        <w:pStyle w:val="ListParagraph"/>
        <w:spacing w:after="0" w:line="360" w:lineRule="auto"/>
        <w:ind w:left="0" w:firstLine="709"/>
        <w:jc w:val="both"/>
        <w:rPr>
          <w:rFonts w:ascii="Times New Roman" w:hAnsi="Times New Roman"/>
          <w:szCs w:val="24"/>
        </w:rPr>
      </w:pPr>
      <w:r w:rsidRPr="00997C23">
        <w:rPr>
          <w:rFonts w:ascii="Times New Roman" w:hAnsi="Times New Roman"/>
          <w:color w:val="000000"/>
          <w:szCs w:val="24"/>
          <w:lang w:eastAsia="bg-BG"/>
        </w:rPr>
        <w:t xml:space="preserve">Резистентността в групата на Грам-отрицателните бактерии: </w:t>
      </w:r>
      <w:r w:rsidRPr="00997C23">
        <w:rPr>
          <w:rFonts w:ascii="Times New Roman" w:hAnsi="Times New Roman"/>
          <w:i/>
          <w:color w:val="000000"/>
          <w:szCs w:val="24"/>
          <w:lang w:val="en-US" w:eastAsia="bg-BG"/>
        </w:rPr>
        <w:t>Enterobacterales</w:t>
      </w:r>
      <w:r w:rsidRPr="00997C23">
        <w:rPr>
          <w:rFonts w:ascii="Times New Roman" w:hAnsi="Times New Roman"/>
          <w:color w:val="000000"/>
          <w:szCs w:val="24"/>
          <w:lang w:val="en-US" w:eastAsia="bg-BG"/>
        </w:rPr>
        <w:t xml:space="preserve">, </w:t>
      </w:r>
      <w:r w:rsidRPr="00997C23">
        <w:rPr>
          <w:rFonts w:ascii="Times New Roman" w:hAnsi="Times New Roman"/>
          <w:i/>
          <w:color w:val="000000"/>
          <w:szCs w:val="24"/>
          <w:lang w:val="en-US" w:eastAsia="bg-BG"/>
        </w:rPr>
        <w:t>Acinetobacter baumannii</w:t>
      </w:r>
      <w:r w:rsidRPr="00997C23">
        <w:rPr>
          <w:rFonts w:ascii="Times New Roman" w:hAnsi="Times New Roman"/>
          <w:color w:val="000000"/>
          <w:szCs w:val="24"/>
          <w:lang w:val="en-US" w:eastAsia="bg-BG"/>
        </w:rPr>
        <w:t xml:space="preserve">, </w:t>
      </w:r>
      <w:r w:rsidRPr="00997C23">
        <w:rPr>
          <w:rFonts w:ascii="Times New Roman" w:hAnsi="Times New Roman"/>
          <w:i/>
          <w:color w:val="000000"/>
          <w:szCs w:val="24"/>
          <w:lang w:val="en-US" w:eastAsia="bg-BG"/>
        </w:rPr>
        <w:t>Pseudomonas aeruginosa</w:t>
      </w:r>
      <w:r w:rsidRPr="00997C23">
        <w:rPr>
          <w:rFonts w:ascii="Times New Roman" w:hAnsi="Times New Roman"/>
          <w:color w:val="000000"/>
          <w:szCs w:val="24"/>
          <w:lang w:eastAsia="bg-BG"/>
        </w:rPr>
        <w:t>, развила се към резервните антибиотици карбапенеми и бързо разпространила се глобално</w:t>
      </w:r>
      <w:r w:rsidR="005637A8" w:rsidRPr="00997C23">
        <w:rPr>
          <w:rFonts w:ascii="Times New Roman" w:hAnsi="Times New Roman"/>
          <w:color w:val="000000"/>
          <w:szCs w:val="24"/>
          <w:lang w:eastAsia="bg-BG"/>
        </w:rPr>
        <w:t>,</w:t>
      </w:r>
      <w:r w:rsidRPr="00997C23">
        <w:rPr>
          <w:rFonts w:ascii="Times New Roman" w:hAnsi="Times New Roman"/>
          <w:color w:val="000000"/>
          <w:szCs w:val="24"/>
          <w:lang w:val="en-US" w:eastAsia="bg-BG"/>
        </w:rPr>
        <w:t xml:space="preserve"> </w:t>
      </w:r>
      <w:r w:rsidRPr="00997C23">
        <w:rPr>
          <w:rFonts w:ascii="Times New Roman" w:hAnsi="Times New Roman"/>
          <w:color w:val="000000"/>
          <w:szCs w:val="24"/>
          <w:lang w:eastAsia="bg-BG"/>
        </w:rPr>
        <w:t>е най-тежкият световен проблем</w:t>
      </w:r>
      <w:r w:rsidRPr="00997C23">
        <w:rPr>
          <w:rFonts w:ascii="Times New Roman" w:hAnsi="Times New Roman"/>
          <w:color w:val="000000"/>
          <w:szCs w:val="24"/>
          <w:lang w:val="en-US" w:eastAsia="bg-BG"/>
        </w:rPr>
        <w:t xml:space="preserve"> </w:t>
      </w:r>
      <w:r w:rsidR="00DC37DB" w:rsidRPr="00997C23">
        <w:rPr>
          <w:rFonts w:ascii="Times New Roman" w:hAnsi="Times New Roman"/>
          <w:color w:val="000000"/>
          <w:szCs w:val="24"/>
          <w:lang w:val="en-US" w:eastAsia="bg-BG"/>
        </w:rPr>
        <w:fldChar w:fldCharType="begin" w:fldLock="1"/>
      </w:r>
      <w:r w:rsidR="009D0134" w:rsidRPr="00997C23">
        <w:rPr>
          <w:rFonts w:ascii="Times New Roman" w:hAnsi="Times New Roman"/>
          <w:color w:val="000000"/>
          <w:szCs w:val="24"/>
          <w:lang w:val="en-US" w:eastAsia="bg-BG"/>
        </w:rPr>
        <w:instrText>ADDIN CSL_CITATION {"citationItems":[{"id":"ITEM-1","itemData":{"DOI":"10.1016/S1473-3099(18)30605-4","ISSN":"1474-4457","PMID":"30409683","abstract":"BACKGROUND Infections due to antibiotic-resistant bacteria are threatening modern health care. However, estimating their incidence, complications, and attributable mortality is challenging. We aimed to estimate the burden of infections caused by antibiotic-resistant bacteria of public health concern in countries of the EU and European Economic Area (EEA) in 2015, measured in number of cases, attributable deaths, and disability-adjusted life-years (DALYs). METHODS We estimated the incidence of infections with 16 antibiotic resistance-bacterium combinations from European Antimicrobial Resistance Surveillance Network (EARS-Net) 2015 data that was country-corrected for population coverage. We multiplied the number of bloodstream infections (BSIs) by a conversion factor derived from the European Centre for Disease Prevention and Control point prevalence survey of health-care-associated infections in European acute care hospitals in 2011-12 to estimate the number of non-BSIs. We developed disease outcome models for five types of infection on the basis of systematic reviews of the literature. FINDINGS From EARS-Net data collected between Jan 1, 2015, and Dec 31, 2015, we estimated 671 689 (95% uncertainty interval [UI] 583 148-763 966) infections with antibiotic-resistant bacteria, of which 63·5% (426 277 of 671 689) were associated with health care. These infections accounted for an estimated 33 110 (28 480-38 430) attributable deaths and 874 541 (768 837-989 068) DALYs. The burden for the EU and EEA was highest in infants (aged &lt;1 year) and people aged 65 years or older, had increased since 2007, and was highest in Italy and Greece. INTERPRETATION Our results present the health burden of five types of infection with antibiotic-resistant bacteria expressed, for the first time, in DALYs. The estimated burden of infections with antibiotic-resistant bacteria in the EU and EEA is substantial compared with that of other infectious diseases, and has increased since 2007. Our burden estimates provide useful information for public health decision-makers prioritising interventions for infectious diseases. FUNDING European Centre for Disease Prevention and Control.","author":[{"dropping-particle":"","family":"Cassini","given":"Alessandro","non-dropping-particle":"","parse-names":false,"suffix":""},{"dropping-particle":"","family":"Högberg","given":"Liselotte Diaz","non-dropping-particle":"","parse-names":false,"suffix":""},{"dropping-particle":"","family":"Plachouras","given":"Diamantis","non-dropping-particle":"","parse-names":false,"suffix":""},{"dropping-particle":"","family":"Quattrocchi","given":"Annalisa","non-dropping-particle":"","parse-names":false,"suffix":""},{"dropping-particle":"","family":"Hoxha","given":"Ana","non-dropping-particle":"","parse-names":false,"suffix":""},{"dropping-particle":"","family":"Simonsen","given":"Gunnar Skov","non-dropping-particle":"","parse-names":false,"suffix":""},{"dropping-particle":"","family":"Colomb-Cotinat","given":"Mélanie","non-dropping-particle":"","parse-names":false,"suffix":""},{"dropping-particle":"","family":"Kretzschmar","given":"Mirjam E","non-dropping-particle":"","parse-names":false,"suffix":""},{"dropping-particle":"","family":"Devleesschauwer","given":"Brecht","non-dropping-particle":"","parse-names":false,"suffix":""},{"dropping-particle":"","family":"Cecchini","given":"Michele","non-dropping-particle":"","parse-names":false,"suffix":""},{"dropping-particle":"","family":"Ouakrim","given":"Driss Ait","non-dropping-particle":"","parse-names":false,"suffix":""},{"dropping-particle":"","family":"Oliveira","given":"Tiago Cravo","non-dropping-particle":"","parse-names":false,"suffix":""},{"dropping-particle":"","family":"Struelens","given":"Marc J","non-dropping-particle":"","parse-names":false,"suffix":""},{"dropping-particle":"","family":"Suetens","given":"Carl","non-dropping-particle":"","parse-names":false,"suffix":""},{"dropping-particle":"","family":"Monnet","given":"Dominique L","non-dropping-particle":"","parse-names":false,"suffix":""},{"dropping-particle":"","family":"Burden of AMR Collaborative Group","given":"Reinhild","non-dropping-particle":"","parse-names":false,"suffix":""},{"dropping-particle":"","family":"Mertens","given":"Karl","non-dropping-particle":"","parse-names":false,"suffix":""},{"dropping-particle":"","family":"Struyf","given":"Thomas","non-dropping-particle":"","parse-names":false,"suffix":""},{"dropping-particle":"","family":"Catry","given":"Boudewijn","non-dropping-particle":"","parse-names":false,"suffix":""},{"dropping-particle":"","family":"Latour","given":"Katrien","non-dropping-particle":"","parse-names":false,"suffix":""},{"dropping-particle":"","family":"Ivanov","given":"Ivan N","non-dropping-particle":"","parse-names":false,"suffix":""},{"dropping-particle":"","family":"Dobreva","given":"Elina G","non-dropping-particle":"","parse-names":false,"suffix":""},{"dropping-particle":"","family":"Andraševic","given":"Arjana Tambic","non-dropping-particle":"","parse-names":false,"suffix":""},{"dropping-particle":"","family":"Soprek","given":"Silvija","non-dropping-particle":"","parse-names":false,"suffix":""},{"dropping-particle":"","family":"Budimir","given":"Ana","non-dropping-particle":"","parse-names":false,"suffix":""},{"dropping-particle":"","family":"Paphitou","given":"Niki","non-dropping-particle":"","parse-names":false,"suffix":""},{"dropping-particle":"","family":"Žemlicková","given":"Helena","non-dropping-particle":"","parse-names":false,"suffix":""},{"dropping-particle":"","family":"Olsen","given":"Stefan Schytte","non-dropping-particle":"","parse-names":false,"suffix":""},{"dropping-particle":"","family":"Sönksen","given":"Ute Wolff","non-dropping-particle":"","parse-names":false,"suffix":""},{"dropping-particle":"","family":"Märtin","given":"Pille","non-dropping-particle":"","parse-names":false,"suffix":""},{"dropping-particle":"","family":"Ivanova","given":"Marina","non-dropping-particle":"","parse-names":false,"suffix":""},{"dropping-particle":"","family":"Lyytikäinen","given":"Outi","non-dropping-particle":"","parse-names":false,"suffix":""},{"dropping-particle":"","family":"Jalava","given":"Jari","non-dropping-particle":"","parse-names":false,"suffix":""},{"dropping-particle":"","family":"Coignard","given":"Bruno","non-dropping-particle":"","parse-names":false,"suffix":""},{"dropping-particle":"","family":"Eckmanns","given":"Tim","non-dropping-particle":"","parse-names":false,"suffix":""},{"dropping-particle":"","family":"Sin","given":"Muna Abu","non-dropping-particle":"","parse-names":false,"suffix":""},{"dropping-particle":"","family":"Haller","given":"Sebastian","non-dropping-particle":"","parse-names":false,"suffix":""},{"dropping-particle":"","family":"Daikos","given":"George L","non-dropping-particle":"","parse-names":false,"suffix":""},{"dropping-particle":"","family":"Gikas","given":"Achilleas","non-dropping-particle":"","parse-names":false,"suffix":""},{"dropping-particle":"","family":"Tsiodras","given":"Sotirios","non-dropping-particle":"","parse-names":false,"suffix":""},{"dropping-particle":"","family":"Kontopidou","given":"Flora","non-dropping-particle":"","parse-names":false,"suffix":""},{"dropping-particle":"","family":"Tóth","given":"Ákos","non-dropping-particle":"","parse-names":false,"suffix":""},{"dropping-particle":"","family":"Hajdu","given":"Ágnes","non-dropping-particle":"","parse-names":false,"suffix":""},{"dropping-particle":"","family":"Guólaugsson","given":"Ólafur","non-dropping-particle":"","parse-names":false,"suffix":""},{"dropping-particle":"","family":"Kristinsson","given":"Karl G","non-dropping-particle":"","parse-names":false,"suffix":""},{"dropping-particle":"","family":"Murchan","given":"Stephen","non-dropping-particle":"","parse-names":false,"suffix":""},{"dropping-particle":"","family":"Burns","given":"Karen","non-dropping-particle":"","parse-names":false,"suffix":""},{"dropping-particle":"","family":"Pezzotti","given":"Patrizio","non-dropping-particle":"","parse-names":false,"suffix":""},{"dropping-particle":"","family":"Gagliotti","given":"Carlo","non-dropping-particle":"","parse-names":false,"suffix":""},{"dropping-particle":"","family":"Dumpis","given":"Uga","non-dropping-particle":"","parse-names":false,"suffix":""},{"dropping-particle":"","family":"Liuimiene","given":"Agne","non-dropping-particle":"","parse-names":false,"suffix":""},{"dropping-particle":"","family":"Perrin","given":"Monique","non-dropping-particle":"","parse-names":false,"suffix":""},{"dropping-particle":"","family":"Borg","given":"Michael A","non-dropping-particle":"","parse-names":false,"suffix":""},{"dropping-particle":"de","family":"Greeff","given":"Sabine C","non-dropping-particle":"","parse-names":false,"suffix":""},{"dropping-particle":"","family":"Monen","given":"Jos CM","non-dropping-particle":"","parse-names":false,"suffix":""},{"dropping-particle":"","family":"Koek","given":"Mayke BG","non-dropping-particle":"","parse-names":false,"suffix":""},{"dropping-particle":"","family":"Elstrøm","given":"Petter","non-dropping-particle":"","parse-names":false,"suffix":""},{"dropping-particle":"","family":"Zabicka","given":"Dorota","non-dropping-particle":"","parse-names":false,"suffix":""},{"dropping-particle":"","family":"Deptula","given":"Aleksander","non-dropping-particle":"","parse-names":false,"suffix":""},{"dropping-particle":"","family":"Hryniewicz","given":"Waleria","non-dropping-particle":"","parse-names":false,"suffix":""},{"dropping-particle":"","family":"Caniça","given":"Manuela","non-dropping-particle":"","parse-names":false,"suffix":""},{"dropping-particle":"","family":"Nogueira","given":"Paulo Jorge","non-dropping-particle":"","parse-names":false,"suffix":""},{"dropping-particle":"","family":"Fernandes","given":"Paulo André","non-dropping-particle":"","parse-names":false,"suffix":""},{"dropping-particle":"","family":"Manageiro","given":"Vera","non-dropping-particle":"","parse-names":false,"suffix":""},{"dropping-particle":"","family":"Popescu","given":"Gabriel A","non-dropping-particle":"","parse-names":false,"suffix":""},{"dropping-particle":"","family":"Serban","given":"Roxana I","non-dropping-particle":"","parse-names":false,"suffix":""},{"dropping-particle":"","family":"Schréterová","given":"Eva","non-dropping-particle":"","parse-names":false,"suffix":""},{"dropping-particle":"","family":"Litvová","given":"Slavka","non-dropping-particle":"","parse-names":false,"suffix":""},{"dropping-particle":"","family":"Štefkovicová","given":"Mária","non-dropping-particle":"","parse-names":false,"suffix":""},{"dropping-particle":"","family":"Kolman","given":"Jana","non-dropping-particle":"","parse-names":false,"suffix":""},{"dropping-particle":"","family":"Klavs","given":"Irena","non-dropping-particle":"","parse-names":false,"suffix":""},{"dropping-particle":"","family":"Korošec","given":"Aleš","non-dropping-particle":"","parse-names":false,"suffix":""},{"dropping-particle":"","family":"Aracil","given":"Belén","non-dropping-particle":"","parse-names":false,"suffix":""},{"dropping-particle":"","family":"Asensio","given":"Angel","non-dropping-particle":"","parse-names":false,"suffix":""},{"dropping-particle":"","family":"Pérez-Vázquez","given":"María","non-dropping-particle":"","parse-names":false,"suffix":""},{"dropping-particle":"","family":"Billström","given":"Hanna","non-dropping-particle":"","parse-names":false,"suffix":""},{"dropping-particle":"","family":"Larsson","given":"Sofie","non-dropping-particle":"","parse-names":false,"suffix":""},{"dropping-particle":"","family":"Reilly","given":"Jacqui S","non-dropping-particle":"","parse-names":false,"suffix":""},{"dropping-particle":"","family":"Johnson","given":"Alan","non-dropping-particle":"","parse-names":false,"suffix":""},{"dropping-particle":"","family":"Hopkins","given":"Susan","non-dropping-particle":"","parse-names":false,"suffix":""}],"container-title":"The Lancet. Infectious diseases","id":"ITEM-1","issue":"1","issued":{"date-parts":[["2019","1","1"]]},"page":"56-66","publisher":"Elsevier","title":"Attributable deaths and disability-adjusted life-years caused by infections with antibiotic-resistant bacteria in the EU and the European Economic Area in 2015: a population-level modelling analysis.","type":"article-journal","volume":"19"},"uris":["http://www.mendeley.com/documents/?uuid=19136db7-d99d-36f8-9e84-9b3ef5cb7756"]},{"id":"ITEM-2","itemData":{"author":[{"dropping-particle":"","family":"ECDC","given":"","non-dropping-particle":"","parse-names":false,"suffix":""}],"id":"ITEM-2","issued":{"date-parts":[["2018"]]},"title":"European Centre for Disease Prevention and Control. Rapid risk assessment: Carbapenem-resistant Enterobacteriaceae - first update 4 June 2018. Stockholm: ECDC; 2018.","type":"article"},"uris":["http://www.mendeley.com/documents/?uuid=8f139825-fec9-444a-a2e1-1ebc3551c203"]},{"id":"ITEM-3","itemData":{"DOI":"10.1186/s13756-017-0259-z","ISSN":"2047-2994","author":[{"dropping-particle":"","family":"Magiorakos","given":"A P","non-dropping-particle":"","parse-names":false,"suffix":""},{"dropping-particle":"","family":"Burns","given":"K","non-dropping-particle":"","parse-names":false,"suffix":""},{"dropping-particle":"","family":"Rodríguez Baño","given":"J","non-dropping-particle":"","parse-names":false,"suffix":""},{"dropping-particle":"","family":"Borg","given":"M","non-dropping-particle":"","parse-names":false,"suffix":""},{"dropping-particle":"","family":"Daikos","given":"G","non-dropping-particle":"","parse-names":false,"suffix":""},{"dropping-particle":"","family":"Dumpis","given":"U","non-dropping-particle":"","parse-names":false,"suffix":""},{"dropping-particle":"","family":"Lucet","given":"J C","non-dropping-particle":"","parse-names":false,"suffix":""},{"dropping-particle":"","family":"Moro","given":"M L","non-dropping-particle":"","parse-names":false,"suffix":""},{"dropping-particle":"","family":"Tacconelli","given":"E","non-dropping-particle":"","parse-names":false,"suffix":""},{"dropping-particle":"","family":"Simonsen","given":"G Skov","non-dropping-particle":"","parse-names":false,"suffix":""},{"dropping-particle":"","family":"Szilágyi","given":"E","non-dropping-particle":"","parse-names":false,"suffix":""},{"dropping-particle":"","family":"Voss","given":"A","non-dropping-particle":"","parse-names":false,"suffix":""},{"dropping-particle":"","family":"Weber","given":"J T","non-dropping-particle":"","parse-names":false,"suffix":""}],"container-title":"Antimicrobial Resistance &amp; Infection Control","id":"ITEM-3","issue":"1","issued":{"date-parts":[["2017"]]},"publisher":"Springer Science and Business Media LLC","title":"Infection prevention and control measures and tools for the prevention of entry of carbapenem-resistant Enterobacteriaceae into healthcare settings: guidance from the European Centre for Disease Prevention and Control","type":"article-journal","volume":"6"},"uris":["http://www.mendeley.com/documents/?uuid=fe828ab5-6113-4cbd-bf3e-209ef5d960cb"]},{"id":"ITEM-4","itemData":{"DOI":"10.1111/1469-0691.12427","ISSN":"1198-743X","author":[{"dropping-particle":"","family":"Tacconelli","given":"E","non-dropping-particle":"","parse-names":false,"suffix":""},{"dropping-particle":"","family":"Cataldo","given":"M A","non-dropping-particle":"","parse-names":false,"suffix":""},{"dropping-particle":"","family":"Dancer","given":"S J","non-dropping-particle":"","parse-names":false,"suffix":""},{"dropping-particle":"","family":"Angelis","given":"G","non-dropping-particle":"De","parse-names":false,"suffix":""},{"dropping-particle":"","family":"Falcone","given":"M","non-dropping-particle":"","parse-names":false,"suffix":""},{"dropping-particle":"","family":"Frank","given":"U","non-dropping-particle":"","parse-names":false,"suffix":""},{"dropping-particle":"","family":"Kahlmeter","given":"G","non-dropping-particle":"","parse-names":false,"suffix":""},{"dropping-particle":"","family":"Pan","given":"A","non-dropping-particle":"","parse-names":false,"suffix":""},{"dropping-particle":"","family":"Petrosillo","given":"N","non-dropping-particle":"","parse-names":false,"suffix":""},{"dropping-particle":"","family":"Rodríguez-Baño","given":"J","non-dropping-particle":"","parse-names":false,"suffix":""},{"dropping-particle":"","family":"Singh","given":"N","non-dropping-particle":"","parse-names":false,"suffix":""},{"dropping-particle":"","family":"Venditti","given":"M","non-dropping-particle":"","parse-names":false,"suffix":""},{"dropping-particle":"","family":"Yokoe","given":"D S","non-dropping-particle":"","parse-names":false,"suffix":""},{"dropping-particle":"","family":"Cookson","given":"B","non-dropping-particle":"","parse-names":false,"suffix":""}],"container-title":"Clinical Microbiology and Infection","id":"ITEM-4","issued":{"date-parts":[["2014"]]},"page":"1-55","publisher":"Elsevier BV","title":"ESCMID guidelines for the management of the infection control measures to reduce transmission of multidrug-resistant Gram-negative bacteria in hospitalized patients","type":"article-journal","volume":"20"},"uris":["http://www.mendeley.com/documents/?uuid=a7fb1721-805c-4f0a-a2d8-0e30b9a5d0a3"]}],"mendeley":{"formattedCitation":"[9], [11], [15], [29]","plainTextFormattedCitation":"[9], [11], [15], [29]","previouslyFormattedCitation":"(Cassini et al., 2019; ECDC, 2018b; Magiorakos et al., 2017; Tacconelli et al., 2014)"},"properties":{"noteIndex":0},"schema":"https://github.com/citation-style-language/schema/raw/master/csl-citation.json"}</w:instrText>
      </w:r>
      <w:r w:rsidR="00DC37DB" w:rsidRPr="00997C23">
        <w:rPr>
          <w:rFonts w:ascii="Times New Roman" w:hAnsi="Times New Roman"/>
          <w:color w:val="000000"/>
          <w:szCs w:val="24"/>
          <w:lang w:val="en-US" w:eastAsia="bg-BG"/>
        </w:rPr>
        <w:fldChar w:fldCharType="separate"/>
      </w:r>
      <w:r w:rsidR="009D0134" w:rsidRPr="00997C23">
        <w:rPr>
          <w:rFonts w:ascii="Times New Roman" w:hAnsi="Times New Roman"/>
          <w:noProof/>
          <w:color w:val="000000"/>
          <w:szCs w:val="24"/>
          <w:lang w:val="en-US" w:eastAsia="bg-BG"/>
        </w:rPr>
        <w:t>[9], [11], [15], [29]</w:t>
      </w:r>
      <w:r w:rsidR="00DC37DB" w:rsidRPr="00997C23">
        <w:rPr>
          <w:rFonts w:ascii="Times New Roman" w:hAnsi="Times New Roman"/>
          <w:color w:val="000000"/>
          <w:szCs w:val="24"/>
          <w:lang w:val="en-US" w:eastAsia="bg-BG"/>
        </w:rPr>
        <w:fldChar w:fldCharType="end"/>
      </w:r>
      <w:r w:rsidR="005055D4" w:rsidRPr="00997C23">
        <w:rPr>
          <w:rFonts w:ascii="Times New Roman" w:hAnsi="Times New Roman"/>
          <w:color w:val="000000"/>
          <w:szCs w:val="24"/>
          <w:lang w:eastAsia="bg-BG"/>
        </w:rPr>
        <w:t>.</w:t>
      </w:r>
      <w:r w:rsidRPr="00997C23">
        <w:rPr>
          <w:rFonts w:ascii="Times New Roman" w:hAnsi="Times New Roman"/>
          <w:color w:val="000000"/>
          <w:szCs w:val="24"/>
          <w:lang w:eastAsia="bg-BG"/>
        </w:rPr>
        <w:t xml:space="preserve"> Микроорганизмите, производители на бета-лактамазите карбапенемази, са резистентни на почти </w:t>
      </w:r>
      <w:r w:rsidR="000E7E23">
        <w:rPr>
          <w:rFonts w:ascii="Times New Roman" w:hAnsi="Times New Roman"/>
          <w:color w:val="000000"/>
          <w:szCs w:val="24"/>
          <w:lang w:eastAsia="bg-BG"/>
        </w:rPr>
        <w:t xml:space="preserve">всички </w:t>
      </w:r>
      <w:r w:rsidR="005D0DB0" w:rsidRPr="00997C23">
        <w:rPr>
          <w:rFonts w:ascii="Times New Roman" w:hAnsi="Times New Roman"/>
          <w:color w:val="000000"/>
          <w:szCs w:val="24"/>
          <w:lang w:eastAsia="bg-BG"/>
        </w:rPr>
        <w:t>(</w:t>
      </w:r>
      <w:r w:rsidRPr="00997C23">
        <w:rPr>
          <w:rFonts w:ascii="Times New Roman" w:hAnsi="Times New Roman"/>
          <w:color w:val="000000"/>
          <w:szCs w:val="24"/>
          <w:lang w:eastAsia="bg-BG"/>
        </w:rPr>
        <w:t>или на всички</w:t>
      </w:r>
      <w:r w:rsidR="005D0DB0" w:rsidRPr="00997C23">
        <w:rPr>
          <w:rFonts w:ascii="Times New Roman" w:hAnsi="Times New Roman"/>
          <w:color w:val="000000"/>
          <w:szCs w:val="24"/>
          <w:lang w:eastAsia="bg-BG"/>
        </w:rPr>
        <w:t>)</w:t>
      </w:r>
      <w:r w:rsidRPr="00997C23">
        <w:rPr>
          <w:rFonts w:ascii="Times New Roman" w:hAnsi="Times New Roman"/>
          <w:color w:val="000000"/>
          <w:szCs w:val="24"/>
          <w:lang w:eastAsia="bg-BG"/>
        </w:rPr>
        <w:t xml:space="preserve"> клинично значими антибиотици. </w:t>
      </w:r>
      <w:r w:rsidR="00FB4BD6">
        <w:rPr>
          <w:rFonts w:ascii="Times New Roman" w:hAnsi="Times New Roman"/>
          <w:color w:val="000000"/>
          <w:szCs w:val="24"/>
          <w:lang w:eastAsia="bg-BG"/>
        </w:rPr>
        <w:t>Леталите</w:t>
      </w:r>
      <w:r w:rsidRPr="00997C23">
        <w:rPr>
          <w:rFonts w:ascii="Times New Roman" w:hAnsi="Times New Roman"/>
          <w:color w:val="000000"/>
          <w:szCs w:val="24"/>
          <w:lang w:eastAsia="bg-BG"/>
        </w:rPr>
        <w:t>т</w:t>
      </w:r>
      <w:r w:rsidR="00FB4BD6">
        <w:rPr>
          <w:rFonts w:ascii="Times New Roman" w:hAnsi="Times New Roman"/>
          <w:color w:val="000000"/>
          <w:szCs w:val="24"/>
          <w:lang w:eastAsia="bg-BG"/>
        </w:rPr>
        <w:t>ът</w:t>
      </w:r>
      <w:r w:rsidRPr="00997C23">
        <w:rPr>
          <w:rFonts w:ascii="Times New Roman" w:hAnsi="Times New Roman"/>
          <w:color w:val="000000"/>
          <w:szCs w:val="24"/>
          <w:lang w:eastAsia="bg-BG"/>
        </w:rPr>
        <w:t xml:space="preserve"> при тежки инфекции достига до над 80%, като средно се движи над 35%. Борбата за спасяване на живот се води с няколко антибиотични комбинации, включващи не рядко токсични и скъпоструващи </w:t>
      </w:r>
      <w:r w:rsidR="001A2339">
        <w:rPr>
          <w:rFonts w:ascii="Times New Roman" w:hAnsi="Times New Roman"/>
          <w:color w:val="000000"/>
          <w:szCs w:val="24"/>
          <w:lang w:eastAsia="bg-BG"/>
        </w:rPr>
        <w:t>лекарствени продукти.</w:t>
      </w:r>
      <w:r w:rsidR="0094080A">
        <w:rPr>
          <w:rFonts w:ascii="Times New Roman" w:hAnsi="Times New Roman"/>
          <w:color w:val="000000"/>
          <w:szCs w:val="24"/>
          <w:lang w:eastAsia="bg-BG"/>
        </w:rPr>
        <w:t xml:space="preserve"> </w:t>
      </w:r>
      <w:r w:rsidRPr="00997C23">
        <w:rPr>
          <w:rFonts w:ascii="Times New Roman" w:hAnsi="Times New Roman"/>
          <w:color w:val="000000"/>
          <w:szCs w:val="24"/>
          <w:lang w:eastAsia="bg-BG"/>
        </w:rPr>
        <w:t xml:space="preserve">Поради невъзможност за терапевтично справяне, на настоящия етап препоръките на експертите от </w:t>
      </w:r>
      <w:r w:rsidR="00D02105" w:rsidRPr="00997C23">
        <w:rPr>
          <w:rFonts w:ascii="Times New Roman" w:hAnsi="Times New Roman"/>
          <w:color w:val="000000"/>
          <w:szCs w:val="24"/>
          <w:lang w:eastAsia="bg-BG"/>
        </w:rPr>
        <w:t>СЗО</w:t>
      </w:r>
      <w:r w:rsidRPr="00997C23">
        <w:rPr>
          <w:rFonts w:ascii="Times New Roman" w:hAnsi="Times New Roman"/>
          <w:color w:val="000000"/>
          <w:szCs w:val="24"/>
          <w:lang w:val="en-US" w:eastAsia="bg-BG"/>
        </w:rPr>
        <w:t xml:space="preserve">, </w:t>
      </w:r>
      <w:r w:rsidR="00940B62">
        <w:rPr>
          <w:rFonts w:ascii="Times New Roman" w:hAnsi="Times New Roman"/>
          <w:color w:val="000000"/>
          <w:szCs w:val="24"/>
          <w:lang w:eastAsia="bg-BG"/>
        </w:rPr>
        <w:t>Центъра за контрол на заболяванията на САЩ (</w:t>
      </w:r>
      <w:r w:rsidRPr="00997C23">
        <w:rPr>
          <w:rFonts w:ascii="Times New Roman" w:hAnsi="Times New Roman"/>
          <w:color w:val="000000"/>
          <w:szCs w:val="24"/>
          <w:lang w:val="en-US" w:eastAsia="bg-BG"/>
        </w:rPr>
        <w:t>CDC</w:t>
      </w:r>
      <w:r w:rsidR="00940B62">
        <w:rPr>
          <w:rFonts w:ascii="Times New Roman" w:hAnsi="Times New Roman"/>
          <w:color w:val="000000"/>
          <w:szCs w:val="24"/>
          <w:lang w:eastAsia="bg-BG"/>
        </w:rPr>
        <w:t>)</w:t>
      </w:r>
      <w:r w:rsidRPr="00997C23">
        <w:rPr>
          <w:rFonts w:ascii="Times New Roman" w:hAnsi="Times New Roman"/>
          <w:color w:val="000000"/>
          <w:szCs w:val="24"/>
          <w:lang w:val="en-US" w:eastAsia="bg-BG"/>
        </w:rPr>
        <w:t xml:space="preserve">, </w:t>
      </w:r>
      <w:r w:rsidR="00940B62">
        <w:rPr>
          <w:rFonts w:ascii="Times New Roman" w:hAnsi="Times New Roman"/>
          <w:color w:val="000000"/>
          <w:szCs w:val="24"/>
          <w:lang w:eastAsia="bg-BG"/>
        </w:rPr>
        <w:t>Европейския център за превенция и контрол на заболяванията (</w:t>
      </w:r>
      <w:r w:rsidRPr="00997C23">
        <w:rPr>
          <w:rFonts w:ascii="Times New Roman" w:hAnsi="Times New Roman"/>
          <w:color w:val="000000"/>
          <w:szCs w:val="24"/>
          <w:lang w:val="en-US" w:eastAsia="bg-BG"/>
        </w:rPr>
        <w:t>ECDC</w:t>
      </w:r>
      <w:r w:rsidR="00940B62">
        <w:rPr>
          <w:rFonts w:ascii="Times New Roman" w:hAnsi="Times New Roman"/>
          <w:color w:val="000000"/>
          <w:szCs w:val="24"/>
          <w:lang w:eastAsia="bg-BG"/>
        </w:rPr>
        <w:t>)</w:t>
      </w:r>
      <w:r w:rsidRPr="00997C23">
        <w:rPr>
          <w:rFonts w:ascii="Times New Roman" w:hAnsi="Times New Roman"/>
          <w:color w:val="000000"/>
          <w:szCs w:val="24"/>
          <w:lang w:eastAsia="bg-BG"/>
        </w:rPr>
        <w:t xml:space="preserve"> са за ултимативно предотвратяване на инфекциите чрез мерките </w:t>
      </w:r>
      <w:r w:rsidR="00D02105" w:rsidRPr="00997C23">
        <w:rPr>
          <w:rFonts w:ascii="Times New Roman" w:hAnsi="Times New Roman"/>
          <w:color w:val="000000"/>
          <w:szCs w:val="24"/>
          <w:lang w:eastAsia="bg-BG"/>
        </w:rPr>
        <w:t>за к</w:t>
      </w:r>
      <w:r w:rsidRPr="00997C23">
        <w:rPr>
          <w:rFonts w:ascii="Times New Roman" w:hAnsi="Times New Roman"/>
          <w:color w:val="000000"/>
          <w:szCs w:val="24"/>
          <w:lang w:eastAsia="bg-BG"/>
        </w:rPr>
        <w:t xml:space="preserve">онтрола на инфекциите: </w:t>
      </w:r>
      <w:r w:rsidR="00E41E34">
        <w:rPr>
          <w:rFonts w:ascii="Times New Roman" w:hAnsi="Times New Roman"/>
          <w:color w:val="000000"/>
          <w:szCs w:val="24"/>
          <w:lang w:eastAsia="bg-BG"/>
        </w:rPr>
        <w:t xml:space="preserve">селективен </w:t>
      </w:r>
      <w:r w:rsidRPr="00997C23">
        <w:rPr>
          <w:rFonts w:ascii="Times New Roman" w:hAnsi="Times New Roman"/>
          <w:color w:val="000000"/>
          <w:szCs w:val="24"/>
          <w:lang w:eastAsia="bg-BG"/>
        </w:rPr>
        <w:t>скрининг на рисковите пациенти; изолиране и лекуване на инфектираните и колонизирани пациенти</w:t>
      </w:r>
      <w:r w:rsidRPr="00997C23">
        <w:rPr>
          <w:rFonts w:ascii="Times New Roman" w:hAnsi="Times New Roman"/>
          <w:color w:val="000000"/>
          <w:szCs w:val="24"/>
          <w:lang w:val="en-US" w:eastAsia="bg-BG"/>
        </w:rPr>
        <w:t xml:space="preserve"> </w:t>
      </w:r>
      <w:r w:rsidR="005055D4" w:rsidRPr="00997C23">
        <w:rPr>
          <w:rFonts w:ascii="Times New Roman" w:hAnsi="Times New Roman"/>
          <w:color w:val="000000"/>
          <w:szCs w:val="24"/>
          <w:lang w:val="en-US" w:eastAsia="bg-BG"/>
        </w:rPr>
        <w:fldChar w:fldCharType="begin" w:fldLock="1"/>
      </w:r>
      <w:r w:rsidR="009D0134" w:rsidRPr="00997C23">
        <w:rPr>
          <w:rFonts w:ascii="Times New Roman" w:hAnsi="Times New Roman"/>
          <w:color w:val="000000"/>
          <w:szCs w:val="24"/>
          <w:lang w:val="en-US" w:eastAsia="bg-BG"/>
        </w:rPr>
        <w:instrText>ADDIN CSL_CITATION {"citationItems":[{"id":"ITEM-1","itemData":{"author":[{"dropping-particle":"","family":"ECDC","given":"","non-dropping-particle":"","parse-names":false,"suffix":""}],"id":"ITEM-1","issued":{"date-parts":[["2018"]]},"title":"European Centre for Disease Prevention and Control. Rapid risk assessment: Carbapenem-resistant Enterobacteriaceae - first update 4 June 2018. Stockholm: ECDC; 2018.","type":"article"},"uris":["http://www.mendeley.com/documents/?uuid=8f139825-fec9-444a-a2e1-1ebc3551c203"]},{"id":"ITEM-2","itemData":{"author":[{"dropping-particle":"","family":"CDC","given":"","non-dropping-particle":"","parse-names":false,"suffix":""}],"id":"ITEM-2","issued":{"date-parts":[["2015"]]},"title":"Facility Guidance for Control of Carbapenem-resistant Enterobacteriaceae (CRE) – November 2015 Update CRE Toolkittle","type":"article"},"uris":["http://www.mendeley.com/documents/?uuid=47cc9806-96bd-47a3-9601-923eace86220"]},{"id":"ITEM-3","itemData":{"DOI":"10.1186/s13756-017-0259-z","ISSN":"2047-2994","author":[{"dropping-particle":"","family":"Magiorakos","given":"A P","non-dropping-particle":"","parse-names":false,"suffix":""},{"dropping-particle":"","family":"Burns","given":"K","non-dropping-particle":"","parse-names":false,"suffix":""},{"dropping-particle":"","family":"Rodríguez Baño","given":"J","non-dropping-particle":"","parse-names":false,"suffix":""},{"dropping-particle":"","family":"Borg","given":"M","non-dropping-particle":"","parse-names":false,"suffix":""},{"dropping-particle":"","family":"Daikos","given":"G","non-dropping-particle":"","parse-names":false,"suffix":""},{"dropping-particle":"","family":"Dumpis","given":"U","non-dropping-particle":"","parse-names":false,"suffix":""},{"dropping-particle":"","family":"Lucet","given":"J C","non-dropping-particle":"","parse-names":false,"suffix":""},{"dropping-particle":"","family":"Moro","given":"M L","non-dropping-particle":"","parse-names":false,"suffix":""},{"dropping-particle":"","family":"Tacconelli","given":"E","non-dropping-particle":"","parse-names":false,"suffix":""},{"dropping-particle":"","family":"Simonsen","given":"G Skov","non-dropping-particle":"","parse-names":false,"suffix":""},{"dropping-particle":"","family":"Szilágyi","given":"E","non-dropping-particle":"","parse-names":false,"suffix":""},{"dropping-particle":"","family":"Voss","given":"A","non-dropping-particle":"","parse-names":false,"suffix":""},{"dropping-particle":"","family":"Weber","given":"J T","non-dropping-particle":"","parse-names":false,"suffix":""}],"container-title":"Antimicrobial Resistance &amp; Infection Control","id":"ITEM-3","issue":"1","issued":{"date-parts":[["2017"]]},"publisher":"Springer Science and Business Media LLC","title":"Infection prevention and control measures and tools for the prevention of entry of carbapenem-resistant Enterobacteriaceae into healthcare settings: guidance from the European Centre for Disease Prevention and Control","type":"article-journal","volume":"6"},"uris":["http://www.mendeley.com/documents/?uuid=fe828ab5-6113-4cbd-bf3e-209ef5d960cb"]},{"id":"ITEM-4","itemData":{"DOI":"10.1111/1469-0691.12427","ISSN":"1198-743X","author":[{"dropping-particle":"","family":"Tacconelli","given":"E","non-dropping-particle":"","parse-names":false,"suffix":""},{"dropping-particle":"","family":"Cataldo","given":"M A","non-dropping-particle":"","parse-names":false,"suffix":""},{"dropping-particle":"","family":"Dancer","given":"S J","non-dropping-particle":"","parse-names":false,"suffix":""},{"dropping-particle":"","family":"Angelis","given":"G","non-dropping-particle":"De","parse-names":false,"suffix":""},{"dropping-particle":"","family":"Falcone","given":"M","non-dropping-particle":"","parse-names":false,"suffix":""},{"dropping-particle":"","family":"Frank","given":"U","non-dropping-particle":"","parse-names":false,"suffix":""},{"dropping-particle":"","family":"Kahlmeter","given":"G","non-dropping-particle":"","parse-names":false,"suffix":""},{"dropping-particle":"","family":"Pan","given":"A","non-dropping-particle":"","parse-names":false,"suffix":""},{"dropping-particle":"","family":"Petrosillo","given":"N","non-dropping-particle":"","parse-names":false,"suffix":""},{"dropping-particle":"","family":"Rodríguez-Baño","given":"J","non-dropping-particle":"","parse-names":false,"suffix":""},{"dropping-particle":"","family":"Singh","given":"N","non-dropping-particle":"","parse-names":false,"suffix":""},{"dropping-particle":"","family":"Venditti","given":"M","non-dropping-particle":"","parse-names":false,"suffix":""},{"dropping-particle":"","family":"Yokoe","given":"D S","non-dropping-particle":"","parse-names":false,"suffix":""},{"dropping-particle":"","family":"Cookson","given":"B","non-dropping-particle":"","parse-names":false,"suffix":""}],"container-title":"Clinical Microbiology and Infection","id":"ITEM-4","issued":{"date-parts":[["2014"]]},"page":"1-55","publisher":"Elsevier BV","title":"ESCMID guidelines for the management of the infection control measures to reduce transmission of multidrug-resistant Gram-negative bacteria in hospitalized patients","type":"article-journal","volume":"20"},"uris":["http://www.mendeley.com/documents/?uuid=a7fb1721-805c-4f0a-a2d8-0e30b9a5d0a3"]}],"mendeley":{"formattedCitation":"[7], [9], [11], [29]","plainTextFormattedCitation":"[7], [9], [11], [29]","previouslyFormattedCitation":"(CDC, 2015; ECDC, 2018b; Magiorakos et al., 2017; Tacconelli et al., 2014)"},"properties":{"noteIndex":0},"schema":"https://github.com/citation-style-language/schema/raw/master/csl-citation.json"}</w:instrText>
      </w:r>
      <w:r w:rsidR="005055D4" w:rsidRPr="00997C23">
        <w:rPr>
          <w:rFonts w:ascii="Times New Roman" w:hAnsi="Times New Roman"/>
          <w:color w:val="000000"/>
          <w:szCs w:val="24"/>
          <w:lang w:val="en-US" w:eastAsia="bg-BG"/>
        </w:rPr>
        <w:fldChar w:fldCharType="separate"/>
      </w:r>
      <w:r w:rsidR="009D0134" w:rsidRPr="00997C23">
        <w:rPr>
          <w:rFonts w:ascii="Times New Roman" w:hAnsi="Times New Roman"/>
          <w:noProof/>
          <w:color w:val="000000"/>
          <w:szCs w:val="24"/>
          <w:lang w:val="en-US" w:eastAsia="bg-BG"/>
        </w:rPr>
        <w:t>[7], [9], [11], [29]</w:t>
      </w:r>
      <w:r w:rsidR="005055D4" w:rsidRPr="00997C23">
        <w:rPr>
          <w:rFonts w:ascii="Times New Roman" w:hAnsi="Times New Roman"/>
          <w:color w:val="000000"/>
          <w:szCs w:val="24"/>
          <w:lang w:val="en-US" w:eastAsia="bg-BG"/>
        </w:rPr>
        <w:fldChar w:fldCharType="end"/>
      </w:r>
      <w:r w:rsidR="0072158D" w:rsidRPr="00997C23">
        <w:rPr>
          <w:rFonts w:ascii="Times New Roman" w:hAnsi="Times New Roman"/>
          <w:color w:val="000000"/>
          <w:szCs w:val="24"/>
          <w:lang w:eastAsia="bg-BG"/>
        </w:rPr>
        <w:t>.</w:t>
      </w:r>
      <w:r w:rsidRPr="00997C23">
        <w:rPr>
          <w:rFonts w:ascii="Times New Roman" w:hAnsi="Times New Roman"/>
          <w:color w:val="000000"/>
          <w:szCs w:val="24"/>
          <w:lang w:eastAsia="bg-BG"/>
        </w:rPr>
        <w:t xml:space="preserve"> </w:t>
      </w:r>
      <w:r w:rsidRPr="00997C23">
        <w:rPr>
          <w:rFonts w:ascii="Times New Roman" w:hAnsi="Times New Roman"/>
          <w:szCs w:val="24"/>
        </w:rPr>
        <w:t xml:space="preserve">Националните данни за проблемните в интензивните отделения </w:t>
      </w:r>
      <w:r w:rsidR="00111CC7">
        <w:rPr>
          <w:rFonts w:ascii="Times New Roman" w:hAnsi="Times New Roman"/>
          <w:szCs w:val="24"/>
        </w:rPr>
        <w:t xml:space="preserve">за </w:t>
      </w:r>
      <w:r w:rsidRPr="00997C23">
        <w:rPr>
          <w:rFonts w:ascii="Times New Roman" w:hAnsi="Times New Roman"/>
          <w:szCs w:val="24"/>
        </w:rPr>
        <w:t xml:space="preserve">полирезистентни </w:t>
      </w:r>
      <w:r w:rsidRPr="00997C23">
        <w:rPr>
          <w:rFonts w:ascii="Times New Roman" w:hAnsi="Times New Roman"/>
          <w:i/>
          <w:szCs w:val="24"/>
        </w:rPr>
        <w:t>Pseudomonas</w:t>
      </w:r>
      <w:r w:rsidRPr="00997C23">
        <w:rPr>
          <w:rFonts w:ascii="Times New Roman" w:hAnsi="Times New Roman"/>
          <w:szCs w:val="24"/>
        </w:rPr>
        <w:t xml:space="preserve"> spp и </w:t>
      </w:r>
      <w:r w:rsidRPr="00997C23">
        <w:rPr>
          <w:rFonts w:ascii="Times New Roman" w:hAnsi="Times New Roman"/>
          <w:i/>
          <w:szCs w:val="24"/>
        </w:rPr>
        <w:t>Acinetobacter</w:t>
      </w:r>
      <w:r w:rsidRPr="00997C23">
        <w:rPr>
          <w:rFonts w:ascii="Times New Roman" w:hAnsi="Times New Roman"/>
          <w:szCs w:val="24"/>
        </w:rPr>
        <w:t xml:space="preserve"> spp са, че устойчивите на карбапенеми са съответно</w:t>
      </w:r>
      <w:r w:rsidR="005839E9" w:rsidRPr="00997C23">
        <w:rPr>
          <w:rFonts w:ascii="Times New Roman" w:hAnsi="Times New Roman"/>
          <w:szCs w:val="24"/>
        </w:rPr>
        <w:t xml:space="preserve"> </w:t>
      </w:r>
      <w:r w:rsidR="00DB4BDC">
        <w:rPr>
          <w:rFonts w:ascii="Times New Roman" w:hAnsi="Times New Roman"/>
          <w:szCs w:val="24"/>
        </w:rPr>
        <w:t>31</w:t>
      </w:r>
      <w:r w:rsidR="00E76204">
        <w:rPr>
          <w:rFonts w:ascii="Times New Roman" w:hAnsi="Times New Roman"/>
          <w:szCs w:val="24"/>
        </w:rPr>
        <w:t>%</w:t>
      </w:r>
      <w:r w:rsidR="00465A2F" w:rsidRPr="00997C23">
        <w:rPr>
          <w:rFonts w:ascii="Times New Roman" w:hAnsi="Times New Roman"/>
          <w:szCs w:val="24"/>
        </w:rPr>
        <w:t xml:space="preserve"> и </w:t>
      </w:r>
      <w:r w:rsidR="00460A38">
        <w:rPr>
          <w:rFonts w:ascii="Times New Roman" w:hAnsi="Times New Roman"/>
          <w:szCs w:val="24"/>
        </w:rPr>
        <w:t>80,3</w:t>
      </w:r>
      <w:r w:rsidR="00465A2F" w:rsidRPr="00997C23">
        <w:rPr>
          <w:rFonts w:ascii="Times New Roman" w:hAnsi="Times New Roman"/>
          <w:szCs w:val="24"/>
        </w:rPr>
        <w:t xml:space="preserve">%. Нивата на карбапенем резистентните представители от </w:t>
      </w:r>
      <w:r w:rsidR="00502F8A" w:rsidRPr="00997C23">
        <w:rPr>
          <w:rFonts w:ascii="Times New Roman" w:hAnsi="Times New Roman"/>
          <w:szCs w:val="24"/>
        </w:rPr>
        <w:t>разред</w:t>
      </w:r>
      <w:r w:rsidR="00465A2F" w:rsidRPr="00997C23">
        <w:rPr>
          <w:rFonts w:ascii="Times New Roman" w:hAnsi="Times New Roman"/>
          <w:szCs w:val="24"/>
        </w:rPr>
        <w:t xml:space="preserve"> </w:t>
      </w:r>
      <w:r w:rsidR="00465A2F" w:rsidRPr="00997C23">
        <w:rPr>
          <w:rFonts w:ascii="Times New Roman" w:hAnsi="Times New Roman"/>
          <w:i/>
          <w:szCs w:val="24"/>
        </w:rPr>
        <w:t>Enterobacter</w:t>
      </w:r>
      <w:r w:rsidR="00502F8A" w:rsidRPr="00997C23">
        <w:rPr>
          <w:rFonts w:ascii="Times New Roman" w:hAnsi="Times New Roman"/>
          <w:i/>
          <w:szCs w:val="24"/>
        </w:rPr>
        <w:t>а</w:t>
      </w:r>
      <w:r w:rsidR="00502F8A" w:rsidRPr="00997C23">
        <w:rPr>
          <w:rFonts w:ascii="Times New Roman" w:hAnsi="Times New Roman"/>
          <w:i/>
          <w:szCs w:val="24"/>
          <w:lang w:val="en-US"/>
        </w:rPr>
        <w:t>les</w:t>
      </w:r>
      <w:r w:rsidR="00465A2F" w:rsidRPr="00997C23">
        <w:rPr>
          <w:rFonts w:ascii="Times New Roman" w:hAnsi="Times New Roman"/>
          <w:szCs w:val="24"/>
        </w:rPr>
        <w:t xml:space="preserve"> е </w:t>
      </w:r>
      <w:r w:rsidRPr="00997C23">
        <w:rPr>
          <w:rFonts w:ascii="Times New Roman" w:hAnsi="Times New Roman"/>
          <w:szCs w:val="24"/>
        </w:rPr>
        <w:t>високо (</w:t>
      </w:r>
      <w:r w:rsidR="00460A38">
        <w:rPr>
          <w:rFonts w:ascii="Times New Roman" w:hAnsi="Times New Roman"/>
          <w:szCs w:val="24"/>
        </w:rPr>
        <w:t>над</w:t>
      </w:r>
      <w:r w:rsidR="00460A38" w:rsidRPr="00997C23">
        <w:rPr>
          <w:rFonts w:ascii="Times New Roman" w:hAnsi="Times New Roman"/>
          <w:szCs w:val="24"/>
        </w:rPr>
        <w:t xml:space="preserve"> </w:t>
      </w:r>
      <w:r w:rsidRPr="00997C23">
        <w:rPr>
          <w:rFonts w:ascii="Times New Roman" w:hAnsi="Times New Roman"/>
          <w:szCs w:val="24"/>
        </w:rPr>
        <w:t xml:space="preserve">5%) </w:t>
      </w:r>
      <w:r w:rsidR="00460A38">
        <w:rPr>
          <w:rFonts w:ascii="Times New Roman" w:hAnsi="Times New Roman"/>
          <w:szCs w:val="24"/>
        </w:rPr>
        <w:t>и</w:t>
      </w:r>
      <w:r w:rsidR="00460A38" w:rsidRPr="00997C23">
        <w:rPr>
          <w:rFonts w:ascii="Times New Roman" w:hAnsi="Times New Roman"/>
          <w:szCs w:val="24"/>
        </w:rPr>
        <w:t xml:space="preserve"> </w:t>
      </w:r>
      <w:r w:rsidRPr="00997C23">
        <w:rPr>
          <w:rFonts w:ascii="Times New Roman" w:hAnsi="Times New Roman"/>
          <w:szCs w:val="24"/>
        </w:rPr>
        <w:t xml:space="preserve">продължава </w:t>
      </w:r>
      <w:r w:rsidRPr="00997C23">
        <w:rPr>
          <w:rFonts w:ascii="Times New Roman" w:hAnsi="Times New Roman"/>
          <w:szCs w:val="24"/>
        </w:rPr>
        <w:lastRenderedPageBreak/>
        <w:t xml:space="preserve">да нараства, </w:t>
      </w:r>
      <w:r w:rsidR="00465A2F" w:rsidRPr="00997C23">
        <w:rPr>
          <w:rFonts w:ascii="Times New Roman" w:hAnsi="Times New Roman"/>
          <w:szCs w:val="24"/>
        </w:rPr>
        <w:t xml:space="preserve">като до момента са докладвани единични взривове и следните продуценти на карбапенемази: </w:t>
      </w:r>
      <w:r w:rsidR="00465A2F" w:rsidRPr="00997C23">
        <w:rPr>
          <w:rFonts w:ascii="Times New Roman" w:hAnsi="Times New Roman"/>
          <w:i/>
          <w:szCs w:val="24"/>
        </w:rPr>
        <w:t>K. pneumoniae</w:t>
      </w:r>
      <w:r w:rsidR="00465A2F" w:rsidRPr="00997C23">
        <w:rPr>
          <w:rFonts w:ascii="Times New Roman" w:hAnsi="Times New Roman"/>
          <w:szCs w:val="24"/>
        </w:rPr>
        <w:t xml:space="preserve"> (KPC</w:t>
      </w:r>
      <w:r w:rsidR="0068563A" w:rsidRPr="00997C23">
        <w:rPr>
          <w:rFonts w:ascii="Times New Roman" w:hAnsi="Times New Roman"/>
          <w:szCs w:val="24"/>
          <w:lang w:val="en-US"/>
        </w:rPr>
        <w:t>-2/3</w:t>
      </w:r>
      <w:r w:rsidR="00465A2F" w:rsidRPr="00997C23">
        <w:rPr>
          <w:rFonts w:ascii="Times New Roman" w:hAnsi="Times New Roman"/>
          <w:szCs w:val="24"/>
        </w:rPr>
        <w:t>, NDM-1</w:t>
      </w:r>
      <w:r w:rsidR="00460A38">
        <w:rPr>
          <w:rFonts w:ascii="Times New Roman" w:hAnsi="Times New Roman"/>
          <w:szCs w:val="24"/>
        </w:rPr>
        <w:t>/5</w:t>
      </w:r>
      <w:r w:rsidR="00465A2F" w:rsidRPr="00997C23">
        <w:rPr>
          <w:rFonts w:ascii="Times New Roman" w:hAnsi="Times New Roman"/>
          <w:szCs w:val="24"/>
        </w:rPr>
        <w:t xml:space="preserve">, VIM-1, OXA-48) и </w:t>
      </w:r>
      <w:r w:rsidR="00465A2F" w:rsidRPr="00997C23">
        <w:rPr>
          <w:rFonts w:ascii="Times New Roman" w:hAnsi="Times New Roman"/>
          <w:i/>
          <w:szCs w:val="24"/>
        </w:rPr>
        <w:t>E. coli</w:t>
      </w:r>
      <w:r w:rsidR="00465A2F" w:rsidRPr="00997C23">
        <w:rPr>
          <w:rFonts w:ascii="Times New Roman" w:hAnsi="Times New Roman"/>
          <w:szCs w:val="24"/>
        </w:rPr>
        <w:t xml:space="preserve"> (NDM-1</w:t>
      </w:r>
      <w:r w:rsidR="00923E46">
        <w:rPr>
          <w:rFonts w:ascii="Times New Roman" w:hAnsi="Times New Roman"/>
          <w:szCs w:val="24"/>
        </w:rPr>
        <w:t>, О</w:t>
      </w:r>
      <w:r w:rsidR="00923E46">
        <w:rPr>
          <w:rFonts w:ascii="Times New Roman" w:hAnsi="Times New Roman"/>
          <w:szCs w:val="24"/>
          <w:lang w:val="en-US"/>
        </w:rPr>
        <w:t>XA</w:t>
      </w:r>
      <w:r w:rsidR="00923E46">
        <w:rPr>
          <w:rFonts w:ascii="Times New Roman" w:hAnsi="Times New Roman"/>
          <w:szCs w:val="24"/>
        </w:rPr>
        <w:t>-48</w:t>
      </w:r>
      <w:r w:rsidRPr="00997C23">
        <w:rPr>
          <w:rFonts w:ascii="Times New Roman" w:hAnsi="Times New Roman"/>
          <w:szCs w:val="24"/>
        </w:rPr>
        <w:t>)</w:t>
      </w:r>
      <w:r w:rsidRPr="00997C23">
        <w:rPr>
          <w:rFonts w:ascii="Times New Roman" w:hAnsi="Times New Roman"/>
          <w:szCs w:val="24"/>
          <w:lang w:val="en-US"/>
        </w:rPr>
        <w:t xml:space="preserve"> </w:t>
      </w:r>
      <w:r w:rsidR="006946C9" w:rsidRPr="00997C23">
        <w:rPr>
          <w:rFonts w:ascii="Times New Roman" w:hAnsi="Times New Roman"/>
          <w:szCs w:val="24"/>
          <w:lang w:val="en-US"/>
        </w:rPr>
        <w:fldChar w:fldCharType="begin" w:fldLock="1"/>
      </w:r>
      <w:r w:rsidR="009D0134" w:rsidRPr="00997C23">
        <w:rPr>
          <w:rFonts w:ascii="Times New Roman" w:hAnsi="Times New Roman"/>
          <w:szCs w:val="24"/>
          <w:lang w:val="en-US"/>
        </w:rPr>
        <w:instrText>ADDIN CSL_CITATION {"citationItems":[{"id":"ITEM-1","itemData":{"author":[{"dropping-particle":"","family":"Иванов","given":"И. Н.","non-dropping-particle":"","parse-names":false,"suffix":""},{"dropping-particle":"","family":"Недялков","given":"М.","non-dropping-particle":"","parse-names":false,"suffix":""},{"dropping-particle":"","family":"Иванова","given":"К.","non-dropping-particle":"","parse-names":false,"suffix":""},{"dropping-particle":"","family":"Колектив","given":"И","non-dropping-particle":"","parse-names":false,"suffix":""}],"container-title":"XVII-ти Национален конгрес по Клинична микробиология и Инфекции на Българската асоциация на микробиолозите, 9-11 май, 2018г., Парк-хотел «Москва», гр. София","id":"ITEM-1","issued":{"date-parts":[["2019"]]},"publisher-place":"София","title":"Доклад на Националния референтен център по микробна лекарствена резистентност и антибиотична консумация","type":"paper-conference"},"uris":["http://www.mendeley.com/documents/?uuid=4a376991-57df-445c-a4ea-bd7567bbdb22"]},{"id":"ITEM-2","itemData":{"DOI":"10.1159/000464275","ISSN":"0009-3157","PMID":"28738348","abstract":"BACKGROUND/AIMS Colistin resistance is increasingly recognized among carbapenemase-producing Klebsiella pneumoniae isolates in several European regions. The current study documents the appearance of colistin resistance among KPC-2 and SHV-5-produning K. pneumoniae strains in Bulgaria. METHODS Four colistin-resistant K. pneumoniae isolates were recovered from 2 patients hospitalized in the anesthesiology and resuscitation clinic of a tertiary care university hospital in Sofia, Bulgaria. Microbial identification and antimicrobial susceptibility testing was performed by Vitek 2 (Biomerieux, France). β-Lactamase genes were amplified using a panel of primers for detection of all MBL-types, KPCs, plasmid-mediated AmpCs in single PCR reactions, OXA-type carbapenemases, extended-spectrum β-lactamases (ESBLs) and TEM enzymes. The colistin-resistant mcr-1 gene was also investigated using previously described primers and conditions. Pulsed-field gel electrophoresis (PFGE) and multilocus sequence typing (MLST) were used to investigate clonality. RESULTS The 4 K. pneumoniae isolates exhibited colistin MICs &gt;16 mg/L and showed multidrug-resistant phenotypes, remaining intermediately susceptible only to gentamicin. They were clustered into a single PFGE clonal type and MLST assigned them to sequence type 258. All isolates possessed KPC-2 carbapenemase and SHV-5 ESBL. They were negative for the plasmid-mediated colistin-resistant mcr-1 gene, possibly implying an intrinsic mechanism of resistance. CONCLUSIONS Although colistin use in Bulgaria only started moderately during 2014, the findings of the current study notify the appearance of colistin resistance among carbapenemase-producing Klebsiella species in another European region.","author":[{"dropping-particle":"","family":"Savov","given":"Encho","non-dropping-particle":"","parse-names":false,"suffix":""},{"dropping-particle":"","family":"Todorova","given":"Iva","non-dropping-particle":"","parse-names":false,"suffix":""},{"dropping-particle":"","family":"Politi","given":"Lida","non-dropping-particle":"","parse-names":false,"suffix":""},{"dropping-particle":"","family":"Trifonova","given":"Angelina","non-dropping-particle":"","parse-names":false,"suffix":""},{"dropping-particle":"","family":"Borisova","given":"Maja","non-dropping-particle":"","parse-names":false,"suffix":""},{"dropping-particle":"","family":"Kioseva","given":"Elena","non-dropping-particle":"","parse-names":false,"suffix":""},{"dropping-particle":"","family":"Tsakris","given":"Athanassios","non-dropping-particle":"","parse-names":false,"suffix":""}],"container-title":"Chemotherapy","id":"ITEM-2","issue":"6","issued":{"date-parts":[["2017"]]},"page":"339-342","publisher":"Karger Publishers","title":"Colistin Resistance in KPC-2- and SHV-5-Producing &amp;lt;b&amp;gt;&amp;lt;i&amp;gt;Klebsiella pneumoniae&amp;lt;/i&amp;gt;&amp;lt;/b&amp;gt; Clinical Isolates in Bulgaria","type":"article-journal","volume":"62"},"uris":["http://www.mendeley.com/documents/?uuid=ff397e7d-e159-3de4-8fd9-3cb57535e5ce"]}],"mendeley":{"formattedCitation":"[26], [30]","plainTextFormattedCitation":"[26], [30]","previouslyFormattedCitation":"(Savov et al., 2017; Иванов et al., 2019)"},"properties":{"noteIndex":0},"schema":"https://github.com/citation-style-language/schema/raw/master/csl-citation.json"}</w:instrText>
      </w:r>
      <w:r w:rsidR="006946C9" w:rsidRPr="00997C23">
        <w:rPr>
          <w:rFonts w:ascii="Times New Roman" w:hAnsi="Times New Roman"/>
          <w:szCs w:val="24"/>
          <w:lang w:val="en-US"/>
        </w:rPr>
        <w:fldChar w:fldCharType="separate"/>
      </w:r>
      <w:r w:rsidR="009D0134" w:rsidRPr="00997C23">
        <w:rPr>
          <w:rFonts w:ascii="Times New Roman" w:hAnsi="Times New Roman"/>
          <w:noProof/>
          <w:szCs w:val="24"/>
          <w:lang w:val="en-US"/>
        </w:rPr>
        <w:t>[26], [30]</w:t>
      </w:r>
      <w:r w:rsidR="006946C9" w:rsidRPr="00997C23">
        <w:rPr>
          <w:rFonts w:ascii="Times New Roman" w:hAnsi="Times New Roman"/>
          <w:szCs w:val="24"/>
          <w:lang w:val="en-US"/>
        </w:rPr>
        <w:fldChar w:fldCharType="end"/>
      </w:r>
      <w:r w:rsidR="005839E9" w:rsidRPr="00997C23">
        <w:rPr>
          <w:rFonts w:ascii="Times New Roman" w:hAnsi="Times New Roman"/>
          <w:szCs w:val="24"/>
        </w:rPr>
        <w:t xml:space="preserve">. </w:t>
      </w:r>
      <w:r w:rsidR="0068563A" w:rsidRPr="00997C23">
        <w:rPr>
          <w:rFonts w:ascii="Times New Roman" w:hAnsi="Times New Roman"/>
          <w:szCs w:val="24"/>
        </w:rPr>
        <w:t>Все по-често е докладва</w:t>
      </w:r>
      <w:r w:rsidR="005D5D97" w:rsidRPr="00997C23">
        <w:rPr>
          <w:rFonts w:ascii="Times New Roman" w:hAnsi="Times New Roman"/>
          <w:szCs w:val="24"/>
        </w:rPr>
        <w:t>на</w:t>
      </w:r>
      <w:r w:rsidR="0068563A" w:rsidRPr="00997C23">
        <w:rPr>
          <w:rFonts w:ascii="Times New Roman" w:hAnsi="Times New Roman"/>
          <w:szCs w:val="24"/>
        </w:rPr>
        <w:t xml:space="preserve"> хромозомно обусловена р</w:t>
      </w:r>
      <w:r w:rsidR="00465A2F" w:rsidRPr="00997C23">
        <w:rPr>
          <w:rFonts w:ascii="Times New Roman" w:hAnsi="Times New Roman"/>
          <w:szCs w:val="24"/>
        </w:rPr>
        <w:t>езистентност към колистин</w:t>
      </w:r>
      <w:r w:rsidR="0068563A" w:rsidRPr="00997C23">
        <w:rPr>
          <w:rFonts w:ascii="Times New Roman" w:hAnsi="Times New Roman"/>
          <w:szCs w:val="24"/>
        </w:rPr>
        <w:t xml:space="preserve"> при </w:t>
      </w:r>
      <w:r w:rsidR="0068563A" w:rsidRPr="00997C23">
        <w:rPr>
          <w:rFonts w:ascii="Times New Roman" w:hAnsi="Times New Roman"/>
          <w:i/>
          <w:szCs w:val="24"/>
          <w:lang w:val="en-US"/>
        </w:rPr>
        <w:t xml:space="preserve">K. </w:t>
      </w:r>
      <w:r w:rsidR="00F410E2">
        <w:rPr>
          <w:rFonts w:ascii="Times New Roman" w:hAnsi="Times New Roman"/>
          <w:i/>
          <w:szCs w:val="24"/>
          <w:lang w:val="en-US"/>
        </w:rPr>
        <w:t xml:space="preserve">pneumoniae </w:t>
      </w:r>
      <w:r w:rsidRPr="00997C23">
        <w:rPr>
          <w:rFonts w:ascii="Times New Roman" w:hAnsi="Times New Roman"/>
          <w:szCs w:val="24"/>
          <w:lang w:val="en-US"/>
        </w:rPr>
        <w:t>(</w:t>
      </w:r>
      <w:r w:rsidRPr="00997C23">
        <w:rPr>
          <w:rFonts w:ascii="Times New Roman" w:hAnsi="Times New Roman"/>
          <w:szCs w:val="24"/>
        </w:rPr>
        <w:t>пан-резистентни щамове</w:t>
      </w:r>
      <w:r w:rsidRPr="00997C23">
        <w:rPr>
          <w:rFonts w:ascii="Times New Roman" w:hAnsi="Times New Roman"/>
          <w:szCs w:val="24"/>
          <w:lang w:val="en-US"/>
        </w:rPr>
        <w:t>)</w:t>
      </w:r>
      <w:r w:rsidRPr="00997C23">
        <w:rPr>
          <w:rFonts w:ascii="Times New Roman" w:hAnsi="Times New Roman"/>
          <w:szCs w:val="24"/>
        </w:rPr>
        <w:t>, като</w:t>
      </w:r>
      <w:r w:rsidR="00923E46">
        <w:rPr>
          <w:rFonts w:ascii="Times New Roman" w:hAnsi="Times New Roman"/>
          <w:szCs w:val="24"/>
        </w:rPr>
        <w:t xml:space="preserve"> през 202</w:t>
      </w:r>
      <w:r w:rsidR="00DE4E4A">
        <w:rPr>
          <w:rFonts w:ascii="Times New Roman" w:hAnsi="Times New Roman"/>
          <w:szCs w:val="24"/>
          <w:lang w:val="en-US"/>
        </w:rPr>
        <w:t>2</w:t>
      </w:r>
      <w:r w:rsidRPr="00997C23">
        <w:rPr>
          <w:rFonts w:ascii="Times New Roman" w:hAnsi="Times New Roman"/>
          <w:szCs w:val="24"/>
        </w:rPr>
        <w:t xml:space="preserve"> </w:t>
      </w:r>
      <w:r w:rsidR="00CB6370">
        <w:rPr>
          <w:rFonts w:ascii="Times New Roman" w:hAnsi="Times New Roman"/>
          <w:szCs w:val="24"/>
        </w:rPr>
        <w:t xml:space="preserve">г. </w:t>
      </w:r>
      <w:r w:rsidR="00923E46">
        <w:rPr>
          <w:rFonts w:ascii="Times New Roman" w:hAnsi="Times New Roman"/>
          <w:szCs w:val="24"/>
        </w:rPr>
        <w:t>бяха</w:t>
      </w:r>
      <w:r w:rsidR="00923E46" w:rsidRPr="00997C23">
        <w:rPr>
          <w:rFonts w:ascii="Times New Roman" w:hAnsi="Times New Roman"/>
          <w:szCs w:val="24"/>
        </w:rPr>
        <w:t xml:space="preserve"> </w:t>
      </w:r>
      <w:r w:rsidRPr="00997C23">
        <w:rPr>
          <w:rFonts w:ascii="Times New Roman" w:hAnsi="Times New Roman"/>
          <w:szCs w:val="24"/>
        </w:rPr>
        <w:t>регистриран</w:t>
      </w:r>
      <w:r w:rsidR="00923E46">
        <w:rPr>
          <w:rFonts w:ascii="Times New Roman" w:hAnsi="Times New Roman"/>
          <w:szCs w:val="24"/>
        </w:rPr>
        <w:t>и и</w:t>
      </w:r>
      <w:r w:rsidRPr="00997C23">
        <w:rPr>
          <w:rFonts w:ascii="Times New Roman" w:hAnsi="Times New Roman"/>
          <w:szCs w:val="24"/>
        </w:rPr>
        <w:t xml:space="preserve"> случа</w:t>
      </w:r>
      <w:r w:rsidR="00923E46">
        <w:rPr>
          <w:rFonts w:ascii="Times New Roman" w:hAnsi="Times New Roman"/>
          <w:szCs w:val="24"/>
        </w:rPr>
        <w:t>и</w:t>
      </w:r>
      <w:r w:rsidRPr="00997C23">
        <w:rPr>
          <w:rFonts w:ascii="Times New Roman" w:hAnsi="Times New Roman"/>
          <w:szCs w:val="24"/>
        </w:rPr>
        <w:t xml:space="preserve"> на плазмидно медиирана резистентност (</w:t>
      </w:r>
      <w:r w:rsidRPr="00997C23">
        <w:rPr>
          <w:rFonts w:ascii="Times New Roman" w:hAnsi="Times New Roman"/>
          <w:i/>
          <w:szCs w:val="24"/>
          <w:lang w:val="en-US"/>
        </w:rPr>
        <w:t>mcr</w:t>
      </w:r>
      <w:r w:rsidRPr="00997C23">
        <w:rPr>
          <w:rFonts w:ascii="Times New Roman" w:hAnsi="Times New Roman"/>
          <w:szCs w:val="24"/>
          <w:lang w:val="en-US"/>
        </w:rPr>
        <w:t>)</w:t>
      </w:r>
      <w:r w:rsidR="00923E46">
        <w:rPr>
          <w:rFonts w:ascii="Times New Roman" w:hAnsi="Times New Roman"/>
          <w:szCs w:val="24"/>
        </w:rPr>
        <w:t xml:space="preserve"> </w:t>
      </w:r>
      <w:r w:rsidR="00923E46">
        <w:rPr>
          <w:rFonts w:ascii="Times New Roman" w:hAnsi="Times New Roman"/>
          <w:szCs w:val="24"/>
          <w:lang w:val="en-US"/>
        </w:rPr>
        <w:t>[46]</w:t>
      </w:r>
      <w:r w:rsidRPr="00997C23">
        <w:rPr>
          <w:rFonts w:ascii="Times New Roman" w:hAnsi="Times New Roman"/>
          <w:szCs w:val="24"/>
        </w:rPr>
        <w:t>.</w:t>
      </w:r>
    </w:p>
    <w:p w14:paraId="0165D8F7"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 xml:space="preserve">От </w:t>
      </w:r>
      <w:r w:rsidR="00CF0BBC" w:rsidRPr="00997C23">
        <w:rPr>
          <w:rFonts w:ascii="Times New Roman" w:eastAsia="Times New Roman" w:hAnsi="Times New Roman" w:cs="Times New Roman"/>
          <w:sz w:val="24"/>
          <w:szCs w:val="24"/>
        </w:rPr>
        <w:t>2000</w:t>
      </w:r>
      <w:r w:rsidR="00CF0BBC" w:rsidRPr="00997C23">
        <w:rPr>
          <w:rFonts w:ascii="Times New Roman" w:eastAsia="Times New Roman" w:hAnsi="Times New Roman" w:cs="Times New Roman"/>
          <w:sz w:val="24"/>
          <w:szCs w:val="24"/>
          <w:lang w:val="en-US"/>
        </w:rPr>
        <w:t xml:space="preserve"> </w:t>
      </w:r>
      <w:r w:rsidR="00CF0BBC" w:rsidRPr="00997C23">
        <w:rPr>
          <w:rFonts w:ascii="Times New Roman" w:eastAsia="Times New Roman" w:hAnsi="Times New Roman" w:cs="Times New Roman"/>
          <w:sz w:val="24"/>
          <w:szCs w:val="24"/>
        </w:rPr>
        <w:t>г. и досега</w:t>
      </w:r>
      <w:r w:rsidR="005839E9" w:rsidRPr="00997C23">
        <w:rPr>
          <w:rFonts w:ascii="Times New Roman" w:eastAsia="Times New Roman" w:hAnsi="Times New Roman" w:cs="Times New Roman"/>
          <w:sz w:val="24"/>
          <w:szCs w:val="24"/>
        </w:rPr>
        <w:t xml:space="preserve"> </w:t>
      </w:r>
      <w:r w:rsidRPr="00997C23">
        <w:rPr>
          <w:rFonts w:ascii="Times New Roman" w:hAnsi="Times New Roman" w:cs="Times New Roman"/>
          <w:sz w:val="24"/>
          <w:szCs w:val="24"/>
        </w:rPr>
        <w:t xml:space="preserve">два пъти годишно НЦЗПБ съвместно с </w:t>
      </w:r>
      <w:r w:rsidR="00962C98" w:rsidRPr="00997C23">
        <w:rPr>
          <w:rFonts w:ascii="Times New Roman" w:hAnsi="Times New Roman" w:cs="Times New Roman"/>
          <w:sz w:val="24"/>
          <w:szCs w:val="24"/>
        </w:rPr>
        <w:t>БАМ</w:t>
      </w:r>
      <w:r w:rsidRPr="00997C23">
        <w:rPr>
          <w:rFonts w:ascii="Times New Roman" w:hAnsi="Times New Roman" w:cs="Times New Roman"/>
          <w:sz w:val="24"/>
          <w:szCs w:val="24"/>
        </w:rPr>
        <w:t xml:space="preserve"> осъществява външна оценка на качеството на микробиологични</w:t>
      </w:r>
      <w:r w:rsidR="00962C98" w:rsidRPr="00997C23">
        <w:rPr>
          <w:rFonts w:ascii="Times New Roman" w:hAnsi="Times New Roman" w:cs="Times New Roman"/>
          <w:sz w:val="24"/>
          <w:szCs w:val="24"/>
        </w:rPr>
        <w:t>те</w:t>
      </w:r>
      <w:r w:rsidRPr="00997C23">
        <w:rPr>
          <w:rFonts w:ascii="Times New Roman" w:hAnsi="Times New Roman" w:cs="Times New Roman"/>
          <w:sz w:val="24"/>
          <w:szCs w:val="24"/>
        </w:rPr>
        <w:t xml:space="preserve"> лаборатории</w:t>
      </w:r>
      <w:r w:rsidR="00962C98" w:rsidRPr="00997C23">
        <w:rPr>
          <w:rFonts w:ascii="Times New Roman" w:hAnsi="Times New Roman" w:cs="Times New Roman"/>
          <w:sz w:val="24"/>
          <w:szCs w:val="24"/>
        </w:rPr>
        <w:t xml:space="preserve"> с договор към НЗОК,</w:t>
      </w:r>
      <w:r w:rsidRPr="00997C23">
        <w:rPr>
          <w:rFonts w:ascii="Times New Roman" w:hAnsi="Times New Roman" w:cs="Times New Roman"/>
          <w:sz w:val="24"/>
          <w:szCs w:val="24"/>
        </w:rPr>
        <w:t xml:space="preserve"> задължителен елемент, от която е изпитването на антимикробната чувствителност. </w:t>
      </w:r>
      <w:r w:rsidRPr="00997C23">
        <w:rPr>
          <w:rFonts w:ascii="Times New Roman" w:hAnsi="Times New Roman" w:cs="Times New Roman"/>
          <w:sz w:val="24"/>
          <w:szCs w:val="24"/>
          <w:lang w:val="en-US"/>
        </w:rPr>
        <w:t>O</w:t>
      </w:r>
      <w:r w:rsidRPr="00997C23">
        <w:rPr>
          <w:rFonts w:ascii="Times New Roman" w:hAnsi="Times New Roman" w:cs="Times New Roman"/>
          <w:sz w:val="24"/>
          <w:szCs w:val="24"/>
        </w:rPr>
        <w:t>т</w:t>
      </w:r>
      <w:r w:rsidR="00D330CF" w:rsidRPr="00997C23">
        <w:rPr>
          <w:rFonts w:ascii="Times New Roman" w:hAnsi="Times New Roman" w:cs="Times New Roman"/>
          <w:sz w:val="24"/>
          <w:szCs w:val="24"/>
        </w:rPr>
        <w:t xml:space="preserve"> </w:t>
      </w:r>
      <w:r w:rsidR="00CF0BBC" w:rsidRPr="00997C23">
        <w:rPr>
          <w:rFonts w:ascii="Times New Roman" w:eastAsia="Times New Roman" w:hAnsi="Times New Roman" w:cs="Times New Roman"/>
          <w:sz w:val="24"/>
          <w:szCs w:val="24"/>
        </w:rPr>
        <w:t>2015</w:t>
      </w:r>
      <w:r w:rsidR="00AB39BD" w:rsidRPr="00997C23">
        <w:rPr>
          <w:rFonts w:ascii="Times New Roman" w:eastAsia="Times New Roman" w:hAnsi="Times New Roman" w:cs="Times New Roman"/>
          <w:sz w:val="24"/>
          <w:szCs w:val="24"/>
        </w:rPr>
        <w:t xml:space="preserve"> </w:t>
      </w:r>
      <w:r w:rsidR="00CF0BBC" w:rsidRPr="00997C23">
        <w:rPr>
          <w:rFonts w:ascii="Times New Roman" w:eastAsia="Times New Roman" w:hAnsi="Times New Roman" w:cs="Times New Roman"/>
          <w:sz w:val="24"/>
          <w:szCs w:val="24"/>
        </w:rPr>
        <w:t xml:space="preserve">г. </w:t>
      </w:r>
      <w:r w:rsidRPr="00997C23">
        <w:rPr>
          <w:rFonts w:ascii="Times New Roman" w:hAnsi="Times New Roman" w:cs="Times New Roman"/>
          <w:sz w:val="24"/>
          <w:szCs w:val="24"/>
        </w:rPr>
        <w:t xml:space="preserve">всички действащи лаборатории функционират в съответствие с Европейският стандарт за интерпретация на антибиограмите </w:t>
      </w:r>
      <w:r w:rsidR="00E41E34">
        <w:rPr>
          <w:rFonts w:ascii="Times New Roman" w:hAnsi="Times New Roman" w:cs="Times New Roman"/>
          <w:sz w:val="24"/>
          <w:szCs w:val="24"/>
        </w:rPr>
        <w:t>(</w:t>
      </w:r>
      <w:r w:rsidRPr="00997C23">
        <w:rPr>
          <w:rFonts w:ascii="Times New Roman" w:hAnsi="Times New Roman" w:cs="Times New Roman"/>
          <w:sz w:val="24"/>
          <w:szCs w:val="24"/>
          <w:lang w:val="en-US"/>
        </w:rPr>
        <w:t>EUCAST</w:t>
      </w:r>
      <w:r w:rsidR="00E41E34">
        <w:rPr>
          <w:rFonts w:ascii="Times New Roman" w:hAnsi="Times New Roman" w:cs="Times New Roman"/>
          <w:sz w:val="24"/>
          <w:szCs w:val="24"/>
        </w:rPr>
        <w:t>)</w:t>
      </w:r>
      <w:r w:rsidRPr="00997C23">
        <w:rPr>
          <w:rFonts w:ascii="Times New Roman" w:hAnsi="Times New Roman" w:cs="Times New Roman"/>
          <w:sz w:val="24"/>
          <w:szCs w:val="24"/>
        </w:rPr>
        <w:t>, а ежегодните актуализации се превеждат на български език и са достъпни от уебсайт</w:t>
      </w:r>
      <w:r w:rsidR="00D330CF" w:rsidRPr="00997C23">
        <w:rPr>
          <w:rFonts w:ascii="Times New Roman" w:hAnsi="Times New Roman" w:cs="Times New Roman"/>
          <w:sz w:val="24"/>
          <w:szCs w:val="24"/>
        </w:rPr>
        <w:t>овете</w:t>
      </w:r>
      <w:r w:rsidRPr="00997C23">
        <w:rPr>
          <w:rFonts w:ascii="Times New Roman" w:hAnsi="Times New Roman" w:cs="Times New Roman"/>
          <w:sz w:val="24"/>
          <w:szCs w:val="24"/>
        </w:rPr>
        <w:t xml:space="preserve"> на НЦЗПБ</w:t>
      </w:r>
      <w:r w:rsidR="00D330CF" w:rsidRPr="00997C23">
        <w:rPr>
          <w:rFonts w:ascii="Times New Roman" w:hAnsi="Times New Roman" w:cs="Times New Roman"/>
          <w:sz w:val="24"/>
          <w:szCs w:val="24"/>
        </w:rPr>
        <w:t xml:space="preserve"> и БАМ</w:t>
      </w:r>
      <w:r w:rsidRPr="00997C23">
        <w:rPr>
          <w:rFonts w:ascii="Times New Roman" w:hAnsi="Times New Roman" w:cs="Times New Roman"/>
          <w:sz w:val="24"/>
          <w:szCs w:val="24"/>
        </w:rPr>
        <w:t>.</w:t>
      </w:r>
    </w:p>
    <w:p w14:paraId="3B412325" w14:textId="77777777" w:rsidR="00DD67CB" w:rsidRPr="00997C23" w:rsidRDefault="00CF0BBC" w:rsidP="00C467DB">
      <w:pPr>
        <w:spacing w:after="0" w:line="360" w:lineRule="auto"/>
        <w:ind w:firstLine="709"/>
        <w:contextualSpacing/>
        <w:jc w:val="both"/>
        <w:rPr>
          <w:rFonts w:ascii="Times New Roman" w:hAnsi="Times New Roman" w:cs="Times New Roman"/>
          <w:sz w:val="24"/>
          <w:szCs w:val="24"/>
        </w:rPr>
      </w:pPr>
      <w:r w:rsidRPr="00D01657">
        <w:rPr>
          <w:rFonts w:ascii="Times New Roman" w:eastAsia="Times New Roman" w:hAnsi="Times New Roman" w:cs="Times New Roman"/>
          <w:sz w:val="24"/>
          <w:szCs w:val="24"/>
        </w:rPr>
        <w:t>Във ветеринарния сектор</w:t>
      </w:r>
      <w:r w:rsidRPr="00997C23">
        <w:rPr>
          <w:rFonts w:ascii="Times New Roman" w:eastAsia="Times New Roman" w:hAnsi="Times New Roman" w:cs="Times New Roman"/>
          <w:sz w:val="24"/>
          <w:szCs w:val="24"/>
        </w:rPr>
        <w:t xml:space="preserve"> </w:t>
      </w:r>
      <w:r w:rsidR="00940B62">
        <w:rPr>
          <w:rFonts w:ascii="Times New Roman" w:eastAsia="Times New Roman" w:hAnsi="Times New Roman" w:cs="Times New Roman"/>
          <w:sz w:val="24"/>
          <w:szCs w:val="24"/>
        </w:rPr>
        <w:t>Българската агенция по безопасност на храните (</w:t>
      </w:r>
      <w:r w:rsidR="00DD67CB" w:rsidRPr="00997C23">
        <w:rPr>
          <w:rFonts w:ascii="Times New Roman" w:hAnsi="Times New Roman" w:cs="Times New Roman"/>
          <w:sz w:val="24"/>
          <w:szCs w:val="24"/>
        </w:rPr>
        <w:t>БАБХ</w:t>
      </w:r>
      <w:r w:rsidR="00940B62">
        <w:rPr>
          <w:rFonts w:ascii="Times New Roman" w:hAnsi="Times New Roman" w:cs="Times New Roman"/>
          <w:sz w:val="24"/>
          <w:szCs w:val="24"/>
        </w:rPr>
        <w:t>)</w:t>
      </w:r>
      <w:r w:rsidR="00DD67CB" w:rsidRPr="00997C23">
        <w:rPr>
          <w:rFonts w:ascii="Times New Roman" w:hAnsi="Times New Roman" w:cs="Times New Roman"/>
          <w:sz w:val="24"/>
          <w:szCs w:val="24"/>
        </w:rPr>
        <w:t xml:space="preserve"> извършва надзора на резистентността, консумацията и контрола върху продажбата на антибиотици при животните</w:t>
      </w:r>
      <w:r w:rsidR="00A552C7">
        <w:rPr>
          <w:rFonts w:ascii="Times New Roman" w:hAnsi="Times New Roman" w:cs="Times New Roman"/>
          <w:sz w:val="24"/>
          <w:szCs w:val="24"/>
        </w:rPr>
        <w:t>, като</w:t>
      </w:r>
      <w:r w:rsidR="00AC3303">
        <w:rPr>
          <w:rFonts w:ascii="Times New Roman" w:hAnsi="Times New Roman" w:cs="Times New Roman"/>
          <w:sz w:val="24"/>
          <w:szCs w:val="24"/>
        </w:rPr>
        <w:t xml:space="preserve"> </w:t>
      </w:r>
      <w:r w:rsidR="00A552C7">
        <w:rPr>
          <w:rFonts w:ascii="Times New Roman" w:hAnsi="Times New Roman" w:cs="Times New Roman"/>
          <w:sz w:val="24"/>
          <w:szCs w:val="24"/>
        </w:rPr>
        <w:t>ежегодно</w:t>
      </w:r>
      <w:r w:rsidR="00DD67CB" w:rsidRPr="00997C23">
        <w:rPr>
          <w:rFonts w:ascii="Times New Roman" w:hAnsi="Times New Roman" w:cs="Times New Roman"/>
          <w:sz w:val="24"/>
          <w:szCs w:val="24"/>
        </w:rPr>
        <w:t xml:space="preserve"> </w:t>
      </w:r>
      <w:r w:rsidR="00D44EA3" w:rsidRPr="00997C23">
        <w:rPr>
          <w:rFonts w:ascii="Times New Roman" w:hAnsi="Times New Roman" w:cs="Times New Roman"/>
          <w:sz w:val="24"/>
          <w:szCs w:val="24"/>
        </w:rPr>
        <w:t xml:space="preserve">изготвя </w:t>
      </w:r>
      <w:r w:rsidR="00DD67CB" w:rsidRPr="00997C23">
        <w:rPr>
          <w:rFonts w:ascii="Times New Roman" w:hAnsi="Times New Roman" w:cs="Times New Roman"/>
          <w:sz w:val="24"/>
          <w:szCs w:val="24"/>
        </w:rPr>
        <w:t xml:space="preserve">доклади към </w:t>
      </w:r>
      <w:r w:rsidR="00940B62">
        <w:rPr>
          <w:rFonts w:ascii="Times New Roman" w:hAnsi="Times New Roman" w:cs="Times New Roman"/>
          <w:sz w:val="24"/>
          <w:szCs w:val="24"/>
        </w:rPr>
        <w:t>Европейския орган по безопасност на храните (</w:t>
      </w:r>
      <w:r w:rsidR="00DD67CB" w:rsidRPr="00997C23">
        <w:rPr>
          <w:rFonts w:ascii="Times New Roman" w:hAnsi="Times New Roman" w:cs="Times New Roman"/>
          <w:sz w:val="24"/>
          <w:szCs w:val="24"/>
          <w:lang w:val="en-US"/>
        </w:rPr>
        <w:t>EFSA</w:t>
      </w:r>
      <w:r w:rsidR="00940B62">
        <w:rPr>
          <w:rFonts w:ascii="Times New Roman" w:hAnsi="Times New Roman" w:cs="Times New Roman"/>
          <w:sz w:val="24"/>
          <w:szCs w:val="24"/>
        </w:rPr>
        <w:t>)</w:t>
      </w:r>
      <w:r w:rsidR="00933845">
        <w:rPr>
          <w:rFonts w:ascii="Times New Roman" w:hAnsi="Times New Roman" w:cs="Times New Roman"/>
          <w:sz w:val="24"/>
          <w:szCs w:val="24"/>
        </w:rPr>
        <w:t xml:space="preserve"> и </w:t>
      </w:r>
      <w:r w:rsidR="00A552C7">
        <w:rPr>
          <w:rFonts w:ascii="Times New Roman" w:hAnsi="Times New Roman" w:cs="Times New Roman"/>
          <w:sz w:val="24"/>
          <w:szCs w:val="24"/>
        </w:rPr>
        <w:t xml:space="preserve">предоставя данни на </w:t>
      </w:r>
      <w:r w:rsidR="00940B62">
        <w:rPr>
          <w:rFonts w:ascii="Times New Roman" w:hAnsi="Times New Roman" w:cs="Times New Roman"/>
          <w:sz w:val="24"/>
          <w:szCs w:val="24"/>
        </w:rPr>
        <w:t>Европейската агенция по лекарствата (</w:t>
      </w:r>
      <w:r w:rsidR="00933845">
        <w:rPr>
          <w:rFonts w:ascii="Times New Roman" w:hAnsi="Times New Roman" w:cs="Times New Roman"/>
          <w:sz w:val="24"/>
          <w:szCs w:val="24"/>
        </w:rPr>
        <w:t>ЕМА</w:t>
      </w:r>
      <w:r w:rsidR="00940B62">
        <w:rPr>
          <w:rFonts w:ascii="Times New Roman" w:hAnsi="Times New Roman" w:cs="Times New Roman"/>
          <w:sz w:val="24"/>
          <w:szCs w:val="24"/>
        </w:rPr>
        <w:t>)</w:t>
      </w:r>
      <w:r w:rsidR="00DD67CB" w:rsidRPr="00997C23">
        <w:rPr>
          <w:rFonts w:ascii="Times New Roman" w:hAnsi="Times New Roman" w:cs="Times New Roman"/>
          <w:sz w:val="24"/>
          <w:szCs w:val="24"/>
          <w:lang w:val="en-US"/>
        </w:rPr>
        <w:t>.</w:t>
      </w:r>
    </w:p>
    <w:p w14:paraId="4CEE0ABF" w14:textId="77777777" w:rsidR="00783463" w:rsidRDefault="002D65FA" w:rsidP="00C467DB">
      <w:pPr>
        <w:spacing w:after="0" w:line="360" w:lineRule="auto"/>
        <w:ind w:firstLine="709"/>
        <w:jc w:val="both"/>
        <w:rPr>
          <w:rFonts w:ascii="Times New Roman" w:hAnsi="Times New Roman" w:cs="Times New Roman"/>
          <w:sz w:val="24"/>
          <w:szCs w:val="24"/>
        </w:rPr>
      </w:pPr>
      <w:r w:rsidRPr="002D65FA">
        <w:rPr>
          <w:rFonts w:ascii="Times New Roman" w:hAnsi="Times New Roman" w:cs="Times New Roman"/>
          <w:color w:val="000000"/>
          <w:sz w:val="24"/>
          <w:szCs w:val="24"/>
        </w:rPr>
        <w:t xml:space="preserve">Контролът на </w:t>
      </w:r>
      <w:r>
        <w:rPr>
          <w:rFonts w:ascii="Times New Roman" w:hAnsi="Times New Roman" w:cs="Times New Roman"/>
          <w:color w:val="000000"/>
          <w:sz w:val="24"/>
          <w:szCs w:val="24"/>
        </w:rPr>
        <w:t>АМР</w:t>
      </w:r>
      <w:r w:rsidRPr="002D65FA">
        <w:rPr>
          <w:rFonts w:ascii="Times New Roman" w:hAnsi="Times New Roman" w:cs="Times New Roman"/>
          <w:color w:val="000000"/>
          <w:sz w:val="24"/>
          <w:szCs w:val="24"/>
        </w:rPr>
        <w:t xml:space="preserve"> е един от </w:t>
      </w:r>
      <w:r>
        <w:rPr>
          <w:rFonts w:ascii="Times New Roman" w:hAnsi="Times New Roman" w:cs="Times New Roman"/>
          <w:color w:val="000000"/>
          <w:sz w:val="24"/>
          <w:szCs w:val="24"/>
        </w:rPr>
        <w:t>дефинираните приоритети на</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ЕК</w:t>
      </w:r>
      <w:r w:rsidRPr="002D65FA">
        <w:rPr>
          <w:rFonts w:ascii="Times New Roman" w:hAnsi="Times New Roman" w:cs="Times New Roman"/>
          <w:color w:val="000000"/>
          <w:sz w:val="24"/>
          <w:szCs w:val="24"/>
        </w:rPr>
        <w:t xml:space="preserve"> в областта на безопасността на храните, здравеопазването на животните и употребата на ветеринарн</w:t>
      </w:r>
      <w:r>
        <w:rPr>
          <w:rFonts w:ascii="Times New Roman" w:hAnsi="Times New Roman" w:cs="Times New Roman"/>
          <w:color w:val="000000"/>
          <w:sz w:val="24"/>
          <w:szCs w:val="24"/>
        </w:rPr>
        <w:t>и лекарствени</w:t>
      </w:r>
      <w:r w:rsidRPr="002D65F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продукти</w:t>
      </w:r>
      <w:r w:rsidRPr="002D65FA">
        <w:rPr>
          <w:rFonts w:ascii="Times New Roman" w:hAnsi="Times New Roman" w:cs="Times New Roman"/>
          <w:color w:val="000000"/>
          <w:sz w:val="24"/>
          <w:szCs w:val="24"/>
        </w:rPr>
        <w:t>.</w:t>
      </w:r>
      <w:r w:rsidR="00CB6370">
        <w:rPr>
          <w:rFonts w:ascii="Times New Roman" w:hAnsi="Times New Roman" w:cs="Times New Roman"/>
          <w:color w:val="000000"/>
          <w:sz w:val="24"/>
          <w:szCs w:val="24"/>
        </w:rPr>
        <w:t xml:space="preserve"> </w:t>
      </w:r>
      <w:r w:rsidR="00CF2022" w:rsidRPr="00997C23">
        <w:rPr>
          <w:rFonts w:ascii="Times New Roman" w:hAnsi="Times New Roman" w:cs="Times New Roman"/>
          <w:color w:val="000000"/>
          <w:sz w:val="24"/>
          <w:szCs w:val="24"/>
        </w:rPr>
        <w:t xml:space="preserve">Определянето на АМР на по-важните зоонозни и коменсални бактериални причинители е проведено за първи път през 2012 г. със Заповед на </w:t>
      </w:r>
      <w:r>
        <w:rPr>
          <w:rFonts w:ascii="Times New Roman" w:hAnsi="Times New Roman" w:cs="Times New Roman"/>
          <w:color w:val="000000"/>
          <w:sz w:val="24"/>
          <w:szCs w:val="24"/>
        </w:rPr>
        <w:t>и</w:t>
      </w:r>
      <w:r w:rsidRPr="00997C23">
        <w:rPr>
          <w:rFonts w:ascii="Times New Roman" w:hAnsi="Times New Roman" w:cs="Times New Roman"/>
          <w:color w:val="000000"/>
          <w:sz w:val="24"/>
          <w:szCs w:val="24"/>
        </w:rPr>
        <w:t xml:space="preserve">зпълнителния </w:t>
      </w:r>
      <w:r w:rsidR="009B5067" w:rsidRPr="00997C23">
        <w:rPr>
          <w:rFonts w:ascii="Times New Roman" w:hAnsi="Times New Roman" w:cs="Times New Roman"/>
          <w:color w:val="000000"/>
          <w:sz w:val="24"/>
          <w:szCs w:val="24"/>
        </w:rPr>
        <w:t xml:space="preserve">директор на БАБХ. </w:t>
      </w:r>
      <w:r w:rsidR="00CF2022" w:rsidRPr="00997C23">
        <w:rPr>
          <w:rFonts w:ascii="Times New Roman" w:hAnsi="Times New Roman" w:cs="Times New Roman"/>
          <w:color w:val="000000"/>
          <w:sz w:val="24"/>
          <w:szCs w:val="24"/>
        </w:rPr>
        <w:t xml:space="preserve">Мониторингът на АМР на зоонозните причинители от животни, храни и фуражи с цел установяване на устойчивостта на салмонели, коменсални </w:t>
      </w:r>
      <w:r w:rsidR="00CF2022" w:rsidRPr="00997C23">
        <w:rPr>
          <w:rFonts w:ascii="Times New Roman" w:hAnsi="Times New Roman" w:cs="Times New Roman"/>
          <w:i/>
          <w:color w:val="000000"/>
          <w:sz w:val="24"/>
          <w:szCs w:val="24"/>
        </w:rPr>
        <w:t>E</w:t>
      </w:r>
      <w:r w:rsidR="002E397B" w:rsidRPr="00997C23">
        <w:rPr>
          <w:rFonts w:ascii="Times New Roman" w:hAnsi="Times New Roman" w:cs="Times New Roman"/>
          <w:i/>
          <w:color w:val="000000"/>
          <w:sz w:val="24"/>
          <w:szCs w:val="24"/>
        </w:rPr>
        <w:t>.</w:t>
      </w:r>
      <w:r w:rsidR="00CF2022" w:rsidRPr="00997C23">
        <w:rPr>
          <w:rFonts w:ascii="Times New Roman" w:hAnsi="Times New Roman" w:cs="Times New Roman"/>
          <w:i/>
          <w:color w:val="000000"/>
          <w:sz w:val="24"/>
          <w:szCs w:val="24"/>
        </w:rPr>
        <w:t xml:space="preserve"> coli</w:t>
      </w:r>
      <w:r w:rsidR="00CF2022" w:rsidRPr="00997C23">
        <w:rPr>
          <w:rFonts w:ascii="Times New Roman" w:hAnsi="Times New Roman" w:cs="Times New Roman"/>
          <w:color w:val="000000"/>
          <w:sz w:val="24"/>
          <w:szCs w:val="24"/>
        </w:rPr>
        <w:t xml:space="preserve">, кампилобактерии, изолирани от бройлери, ентерококи и стафилококи беше проведен съгласно изискванията на </w:t>
      </w:r>
      <w:r>
        <w:rPr>
          <w:rFonts w:ascii="Times New Roman" w:hAnsi="Times New Roman" w:cs="Times New Roman"/>
          <w:color w:val="000000"/>
          <w:sz w:val="24"/>
          <w:szCs w:val="24"/>
        </w:rPr>
        <w:t>П</w:t>
      </w:r>
      <w:r w:rsidR="00CF2022" w:rsidRPr="00997C23">
        <w:rPr>
          <w:rFonts w:ascii="Times New Roman" w:hAnsi="Times New Roman" w:cs="Times New Roman"/>
          <w:color w:val="000000"/>
          <w:sz w:val="24"/>
          <w:szCs w:val="24"/>
        </w:rPr>
        <w:t>риложение № 3 на Наредба № 9/2006 г. за мониторинг на зоонозите при профилактиката, ограничаването и ликвидирането им</w:t>
      </w:r>
      <w:r w:rsidR="00E76204">
        <w:rPr>
          <w:rFonts w:ascii="Times New Roman" w:hAnsi="Times New Roman" w:cs="Times New Roman"/>
          <w:color w:val="000000"/>
          <w:sz w:val="24"/>
          <w:szCs w:val="24"/>
        </w:rPr>
        <w:t xml:space="preserve"> </w:t>
      </w:r>
      <w:r w:rsidR="00E843C8">
        <w:rPr>
          <w:rFonts w:ascii="Times New Roman" w:hAnsi="Times New Roman" w:cs="Times New Roman"/>
          <w:color w:val="000000"/>
          <w:sz w:val="24"/>
          <w:szCs w:val="24"/>
        </w:rPr>
        <w:t>(</w:t>
      </w:r>
      <w:r w:rsidR="00E76204">
        <w:rPr>
          <w:rFonts w:ascii="Times New Roman" w:hAnsi="Times New Roman" w:cs="Times New Roman"/>
          <w:color w:val="000000"/>
          <w:sz w:val="24"/>
          <w:szCs w:val="24"/>
        </w:rPr>
        <w:t>обн.</w:t>
      </w:r>
      <w:r w:rsidR="00E76204" w:rsidRPr="00DC5975">
        <w:rPr>
          <w:rFonts w:ascii="Times New Roman" w:hAnsi="Times New Roman" w:cs="Times New Roman"/>
          <w:sz w:val="24"/>
          <w:szCs w:val="24"/>
          <w:shd w:val="clear" w:color="auto" w:fill="FFFFFF"/>
        </w:rPr>
        <w:t xml:space="preserve"> ДВ,</w:t>
      </w:r>
      <w:r w:rsidR="00E76204">
        <w:rPr>
          <w:rFonts w:ascii="Times New Roman" w:hAnsi="Times New Roman" w:cs="Times New Roman"/>
          <w:sz w:val="24"/>
          <w:szCs w:val="24"/>
          <w:shd w:val="clear" w:color="auto" w:fill="FFFFFF"/>
        </w:rPr>
        <w:t xml:space="preserve"> </w:t>
      </w:r>
      <w:hyperlink r:id="rId9" w:tgtFrame="_blank" w:history="1">
        <w:r w:rsidR="00E76204" w:rsidRPr="00DC5975">
          <w:rPr>
            <w:rStyle w:val="Hyperlink"/>
            <w:rFonts w:ascii="Times New Roman" w:hAnsi="Times New Roman" w:cs="Times New Roman"/>
            <w:color w:val="auto"/>
            <w:sz w:val="24"/>
            <w:szCs w:val="24"/>
            <w:u w:val="none"/>
            <w:shd w:val="clear" w:color="auto" w:fill="FFFFFF"/>
          </w:rPr>
          <w:t>бр. 15</w:t>
        </w:r>
      </w:hyperlink>
      <w:r w:rsidR="00E76204">
        <w:rPr>
          <w:rFonts w:ascii="Times New Roman" w:hAnsi="Times New Roman" w:cs="Times New Roman"/>
          <w:sz w:val="24"/>
          <w:szCs w:val="24"/>
          <w:shd w:val="clear" w:color="auto" w:fill="FFFFFF"/>
        </w:rPr>
        <w:t xml:space="preserve"> </w:t>
      </w:r>
      <w:r w:rsidR="00E76204" w:rsidRPr="00DC5975">
        <w:rPr>
          <w:rFonts w:ascii="Times New Roman" w:hAnsi="Times New Roman" w:cs="Times New Roman"/>
          <w:sz w:val="24"/>
          <w:szCs w:val="24"/>
          <w:shd w:val="clear" w:color="auto" w:fill="FFFFFF"/>
        </w:rPr>
        <w:t>от 2006 г., обявена за нищожна с</w:t>
      </w:r>
      <w:r w:rsidR="00E76204">
        <w:rPr>
          <w:rFonts w:ascii="Times New Roman" w:hAnsi="Times New Roman" w:cs="Times New Roman"/>
          <w:sz w:val="24"/>
          <w:szCs w:val="24"/>
          <w:shd w:val="clear" w:color="auto" w:fill="FFFFFF"/>
        </w:rPr>
        <w:t xml:space="preserve"> </w:t>
      </w:r>
      <w:hyperlink r:id="rId10" w:tgtFrame="_blank" w:history="1">
        <w:r w:rsidR="00E76204" w:rsidRPr="00DC5975">
          <w:rPr>
            <w:rStyle w:val="Hyperlink"/>
            <w:rFonts w:ascii="Times New Roman" w:hAnsi="Times New Roman" w:cs="Times New Roman"/>
            <w:color w:val="auto"/>
            <w:sz w:val="24"/>
            <w:szCs w:val="24"/>
            <w:u w:val="none"/>
            <w:shd w:val="clear" w:color="auto" w:fill="FFFFFF"/>
          </w:rPr>
          <w:t>Решение № 11921</w:t>
        </w:r>
      </w:hyperlink>
      <w:r w:rsidR="00E76204">
        <w:rPr>
          <w:rFonts w:ascii="Times New Roman" w:hAnsi="Times New Roman" w:cs="Times New Roman"/>
          <w:sz w:val="24"/>
          <w:szCs w:val="24"/>
          <w:shd w:val="clear" w:color="auto" w:fill="FFFFFF"/>
        </w:rPr>
        <w:t xml:space="preserve"> </w:t>
      </w:r>
      <w:r w:rsidR="00E76204" w:rsidRPr="00DC5975">
        <w:rPr>
          <w:rFonts w:ascii="Times New Roman" w:hAnsi="Times New Roman" w:cs="Times New Roman"/>
          <w:sz w:val="24"/>
          <w:szCs w:val="24"/>
          <w:shd w:val="clear" w:color="auto" w:fill="FFFFFF"/>
        </w:rPr>
        <w:t xml:space="preserve">на </w:t>
      </w:r>
      <w:r w:rsidR="00CA3E5B">
        <w:rPr>
          <w:rFonts w:ascii="Times New Roman" w:hAnsi="Times New Roman" w:cs="Times New Roman"/>
          <w:sz w:val="24"/>
          <w:szCs w:val="24"/>
          <w:shd w:val="clear" w:color="auto" w:fill="FFFFFF"/>
        </w:rPr>
        <w:t xml:space="preserve">Върховен административен съд </w:t>
      </w:r>
      <w:r w:rsidR="00702960">
        <w:rPr>
          <w:rFonts w:ascii="Times New Roman" w:hAnsi="Times New Roman" w:cs="Times New Roman"/>
          <w:sz w:val="24"/>
          <w:szCs w:val="24"/>
          <w:shd w:val="clear" w:color="auto" w:fill="FFFFFF"/>
        </w:rPr>
        <w:t xml:space="preserve">на Република България </w:t>
      </w:r>
      <w:r w:rsidR="00E76204" w:rsidRPr="00DC5975">
        <w:rPr>
          <w:rFonts w:ascii="Times New Roman" w:hAnsi="Times New Roman" w:cs="Times New Roman"/>
          <w:sz w:val="24"/>
          <w:szCs w:val="24"/>
          <w:shd w:val="clear" w:color="auto" w:fill="FFFFFF"/>
        </w:rPr>
        <w:t>от 16.08.2019 г. - бр. 15 от 2020 г.</w:t>
      </w:r>
      <w:r w:rsidR="00E843C8">
        <w:rPr>
          <w:rFonts w:ascii="Times New Roman" w:hAnsi="Times New Roman" w:cs="Times New Roman"/>
          <w:sz w:val="24"/>
          <w:szCs w:val="24"/>
          <w:shd w:val="clear" w:color="auto" w:fill="FFFFFF"/>
        </w:rPr>
        <w:t>)</w:t>
      </w:r>
      <w:r w:rsidR="00E76204">
        <w:rPr>
          <w:rFonts w:ascii="Times New Roman" w:hAnsi="Times New Roman" w:cs="Times New Roman"/>
          <w:sz w:val="24"/>
          <w:szCs w:val="24"/>
          <w:shd w:val="clear" w:color="auto" w:fill="FFFFFF"/>
        </w:rPr>
        <w:t>.</w:t>
      </w:r>
      <w:r w:rsidR="00CF2022" w:rsidRPr="00997C23">
        <w:rPr>
          <w:rFonts w:ascii="Times New Roman" w:hAnsi="Times New Roman" w:cs="Times New Roman"/>
          <w:color w:val="000000"/>
          <w:sz w:val="24"/>
          <w:szCs w:val="24"/>
        </w:rPr>
        <w:t xml:space="preserve"> От 2014 г. Република България изпълнява Решение</w:t>
      </w:r>
      <w:r w:rsidR="002F45CA">
        <w:rPr>
          <w:rFonts w:ascii="Times New Roman" w:hAnsi="Times New Roman" w:cs="Times New Roman"/>
          <w:color w:val="000000"/>
          <w:sz w:val="24"/>
          <w:szCs w:val="24"/>
        </w:rPr>
        <w:t xml:space="preserve"> на ЕК от 12 ноември 2013г.</w:t>
      </w:r>
      <w:r w:rsidR="00CF2022" w:rsidRPr="00997C23">
        <w:rPr>
          <w:rFonts w:ascii="Times New Roman" w:hAnsi="Times New Roman" w:cs="Times New Roman"/>
          <w:color w:val="000000"/>
          <w:sz w:val="24"/>
          <w:szCs w:val="24"/>
        </w:rPr>
        <w:t xml:space="preserve"> относно мониторинга и докладването на АМР на зоонозните и коменсалните бактерии (нотифицирано под номер C</w:t>
      </w:r>
      <w:r w:rsidR="00727B1B" w:rsidRPr="00997C23">
        <w:rPr>
          <w:rFonts w:ascii="Times New Roman" w:eastAsia="Times New Roman" w:hAnsi="Times New Roman" w:cs="Times New Roman"/>
          <w:color w:val="000000"/>
          <w:sz w:val="24"/>
          <w:szCs w:val="24"/>
          <w:lang w:val="en-US" w:eastAsia="bg-BG"/>
        </w:rPr>
        <w:t xml:space="preserve"> </w:t>
      </w:r>
      <w:r w:rsidR="00CF2022" w:rsidRPr="00997C23">
        <w:rPr>
          <w:rFonts w:ascii="Times New Roman" w:hAnsi="Times New Roman" w:cs="Times New Roman"/>
          <w:color w:val="000000"/>
          <w:sz w:val="24"/>
          <w:szCs w:val="24"/>
        </w:rPr>
        <w:t xml:space="preserve">(2013) 7145) (2013/652/ЕС). </w:t>
      </w:r>
      <w:r w:rsidRPr="002D65FA">
        <w:rPr>
          <w:rFonts w:ascii="Times New Roman" w:hAnsi="Times New Roman" w:cs="Times New Roman"/>
          <w:color w:val="000000"/>
          <w:sz w:val="24"/>
          <w:szCs w:val="24"/>
        </w:rPr>
        <w:t>Изследванията по мониторинговата програма до момента обх</w:t>
      </w:r>
      <w:r w:rsidR="002F45CA">
        <w:rPr>
          <w:rFonts w:ascii="Times New Roman" w:hAnsi="Times New Roman" w:cs="Times New Roman"/>
          <w:color w:val="000000"/>
          <w:sz w:val="24"/>
          <w:szCs w:val="24"/>
        </w:rPr>
        <w:t>ващат периода 2014 – 2025 г</w:t>
      </w:r>
      <w:r w:rsidRPr="002D65FA">
        <w:rPr>
          <w:rFonts w:ascii="Times New Roman" w:hAnsi="Times New Roman" w:cs="Times New Roman"/>
          <w:color w:val="000000"/>
          <w:sz w:val="24"/>
          <w:szCs w:val="24"/>
        </w:rPr>
        <w:t xml:space="preserve">. В обхвата са следните видове бактерии, получени от проби от животни, предназначени за консумация и месо от търговската мрежа: Salmonella spp., индикаторни коменсални Escherichia coli (E. coli); Campylobacter coli (C. coli); Campylobacter jejuni (C. jejuni); Salmonella spp. и E. coli, произвеждащи специфични ензими (β-лактамази с разширен спектър (ESBL); AmpC β-лактамази (AmpC); карбапенемази); метицилин-резистентни Staphylococcus aureus </w:t>
      </w:r>
      <w:r w:rsidRPr="002D65FA">
        <w:rPr>
          <w:rFonts w:ascii="Times New Roman" w:hAnsi="Times New Roman" w:cs="Times New Roman"/>
          <w:color w:val="000000"/>
          <w:sz w:val="24"/>
          <w:szCs w:val="24"/>
        </w:rPr>
        <w:lastRenderedPageBreak/>
        <w:t>(MRSA). Получените резултати се отразяват в доклад и се предоставят на Европейската комисия съгласно чл. 9 от Директива 2003/99/EC на Съвета. Докладът съдържа данни за антимикробната резистентност при някои зоонозни агенти и индикаторни бактерии. Информацията от него се използва за съставянето на ежегодния обобщен доклад за зоонозите и антимикробната резистентност в Европейския съюз, публикуван от EFSA (</w:t>
      </w:r>
      <w:hyperlink r:id="rId11" w:history="1">
        <w:r w:rsidR="002F45CA" w:rsidRPr="008F33DD">
          <w:rPr>
            <w:rStyle w:val="Hyperlink"/>
            <w:rFonts w:ascii="Times New Roman" w:hAnsi="Times New Roman" w:cs="Times New Roman"/>
            <w:sz w:val="24"/>
            <w:szCs w:val="24"/>
          </w:rPr>
          <w:t>https://www.efsa.europa.eu/en/efsajournal/pub/9106</w:t>
        </w:r>
      </w:hyperlink>
      <w:r w:rsidR="002F45CA">
        <w:rPr>
          <w:rFonts w:ascii="Times New Roman" w:hAnsi="Times New Roman" w:cs="Times New Roman"/>
          <w:color w:val="000000"/>
          <w:sz w:val="24"/>
          <w:szCs w:val="24"/>
        </w:rPr>
        <w:t xml:space="preserve">). </w:t>
      </w:r>
      <w:r w:rsidRPr="002D65FA">
        <w:rPr>
          <w:rFonts w:ascii="Times New Roman" w:hAnsi="Times New Roman" w:cs="Times New Roman"/>
          <w:color w:val="000000"/>
          <w:sz w:val="24"/>
          <w:szCs w:val="24"/>
        </w:rPr>
        <w:t>Взимането на проби и последващото им изследване се извършва на ротационен принцип. През първата година (2014</w:t>
      </w:r>
      <w:r w:rsidR="002F45CA">
        <w:rPr>
          <w:rFonts w:ascii="Times New Roman" w:hAnsi="Times New Roman" w:cs="Times New Roman"/>
          <w:color w:val="000000"/>
          <w:sz w:val="24"/>
          <w:szCs w:val="24"/>
        </w:rPr>
        <w:t xml:space="preserve"> г.</w:t>
      </w:r>
      <w:r w:rsidRPr="002D65FA">
        <w:rPr>
          <w:rFonts w:ascii="Times New Roman" w:hAnsi="Times New Roman" w:cs="Times New Roman"/>
          <w:color w:val="000000"/>
          <w:sz w:val="24"/>
          <w:szCs w:val="24"/>
        </w:rPr>
        <w:t>), както и всяка четна година (2016, 2018, 2020, 2022, 2024</w:t>
      </w:r>
      <w:r w:rsidR="002F45CA">
        <w:rPr>
          <w:rFonts w:ascii="Times New Roman" w:hAnsi="Times New Roman" w:cs="Times New Roman"/>
          <w:color w:val="000000"/>
          <w:sz w:val="24"/>
          <w:szCs w:val="24"/>
        </w:rPr>
        <w:t xml:space="preserve"> г.</w:t>
      </w:r>
      <w:r w:rsidRPr="002D65FA">
        <w:rPr>
          <w:rFonts w:ascii="Times New Roman" w:hAnsi="Times New Roman" w:cs="Times New Roman"/>
          <w:color w:val="000000"/>
          <w:sz w:val="24"/>
          <w:szCs w:val="24"/>
        </w:rPr>
        <w:t>) обект на изследване са били Campylobacter jejuni, Campylobacter coli, коменсални E. coli, Е.coli с доказана ESBL и карбапенема</w:t>
      </w:r>
      <w:r w:rsidR="002F45CA">
        <w:rPr>
          <w:rFonts w:ascii="Times New Roman" w:hAnsi="Times New Roman" w:cs="Times New Roman"/>
          <w:color w:val="000000"/>
          <w:sz w:val="24"/>
          <w:szCs w:val="24"/>
        </w:rPr>
        <w:t xml:space="preserve">зна резистентност, получени от </w:t>
      </w:r>
      <w:r w:rsidRPr="002D65FA">
        <w:rPr>
          <w:rFonts w:ascii="Times New Roman" w:hAnsi="Times New Roman" w:cs="Times New Roman"/>
          <w:color w:val="000000"/>
          <w:sz w:val="24"/>
          <w:szCs w:val="24"/>
        </w:rPr>
        <w:t xml:space="preserve">цекуми на бройлери, птичи трупове и прясно месо от бройлери и пуйки, взети съгласно изискванията на Регламент (ЕО) 2073/2005 г. Обект на мониторинговата програма са и изолати Salmonella spp., получени по програмите за контрол на салмонелозите по птиците. </w:t>
      </w:r>
      <w:r w:rsidR="002F45CA">
        <w:rPr>
          <w:rFonts w:ascii="Times New Roman" w:hAnsi="Times New Roman" w:cs="Times New Roman"/>
          <w:color w:val="000000"/>
          <w:sz w:val="24"/>
          <w:szCs w:val="24"/>
        </w:rPr>
        <w:t>През н</w:t>
      </w:r>
      <w:r w:rsidRPr="002D65FA">
        <w:rPr>
          <w:rFonts w:ascii="Times New Roman" w:hAnsi="Times New Roman" w:cs="Times New Roman"/>
          <w:color w:val="000000"/>
          <w:sz w:val="24"/>
          <w:szCs w:val="24"/>
        </w:rPr>
        <w:t>ечетните години (2015, 2017, 2019, 2021, 2023</w:t>
      </w:r>
      <w:r w:rsidR="002F45CA">
        <w:rPr>
          <w:rFonts w:ascii="Times New Roman" w:hAnsi="Times New Roman" w:cs="Times New Roman"/>
          <w:color w:val="000000"/>
          <w:sz w:val="24"/>
          <w:szCs w:val="24"/>
        </w:rPr>
        <w:t xml:space="preserve"> г.</w:t>
      </w:r>
      <w:r w:rsidRPr="002D65F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F2022" w:rsidRPr="00997C23">
        <w:rPr>
          <w:rFonts w:ascii="Times New Roman" w:hAnsi="Times New Roman" w:cs="Times New Roman"/>
          <w:color w:val="000000"/>
          <w:sz w:val="24"/>
          <w:szCs w:val="24"/>
        </w:rPr>
        <w:t xml:space="preserve">мониторингът включваше изпитване на цекумни проби от заклани угоени свине и прясно месо от свине и говеда. Тествани са изолати на коменсални </w:t>
      </w:r>
      <w:r w:rsidR="00CF2022" w:rsidRPr="00997C23">
        <w:rPr>
          <w:rFonts w:ascii="Times New Roman" w:hAnsi="Times New Roman" w:cs="Times New Roman"/>
          <w:i/>
          <w:color w:val="000000"/>
          <w:sz w:val="24"/>
          <w:szCs w:val="24"/>
        </w:rPr>
        <w:t>E</w:t>
      </w:r>
      <w:r w:rsidR="009B5067" w:rsidRPr="00997C23">
        <w:rPr>
          <w:rFonts w:ascii="Times New Roman" w:hAnsi="Times New Roman" w:cs="Times New Roman"/>
          <w:i/>
          <w:color w:val="000000"/>
          <w:sz w:val="24"/>
          <w:szCs w:val="24"/>
        </w:rPr>
        <w:t>.</w:t>
      </w:r>
      <w:r w:rsidR="00CF2022" w:rsidRPr="00997C23">
        <w:rPr>
          <w:rFonts w:ascii="Times New Roman" w:hAnsi="Times New Roman" w:cs="Times New Roman"/>
          <w:i/>
          <w:color w:val="000000"/>
          <w:sz w:val="24"/>
          <w:szCs w:val="24"/>
        </w:rPr>
        <w:t xml:space="preserve"> coli</w:t>
      </w:r>
      <w:r w:rsidR="00CF2022" w:rsidRPr="00997C23">
        <w:rPr>
          <w:rFonts w:ascii="Times New Roman" w:hAnsi="Times New Roman" w:cs="Times New Roman"/>
          <w:color w:val="000000"/>
          <w:sz w:val="24"/>
          <w:szCs w:val="24"/>
        </w:rPr>
        <w:t xml:space="preserve"> с доказана ESBL и карбапенемазна резистентност и изолати от </w:t>
      </w:r>
      <w:r w:rsidR="00CF2022" w:rsidRPr="00997C23">
        <w:rPr>
          <w:rFonts w:ascii="Times New Roman" w:hAnsi="Times New Roman" w:cs="Times New Roman"/>
          <w:i/>
          <w:color w:val="000000"/>
          <w:sz w:val="24"/>
          <w:szCs w:val="24"/>
        </w:rPr>
        <w:t xml:space="preserve">Salmonella </w:t>
      </w:r>
      <w:r w:rsidR="00CF2022" w:rsidRPr="00997C23">
        <w:rPr>
          <w:rFonts w:ascii="Times New Roman" w:hAnsi="Times New Roman" w:cs="Times New Roman"/>
          <w:color w:val="000000"/>
          <w:sz w:val="24"/>
          <w:szCs w:val="24"/>
        </w:rPr>
        <w:t>spp.</w:t>
      </w:r>
      <w:r w:rsidRPr="002D65FA">
        <w:rPr>
          <w:rFonts w:ascii="Times New Roman" w:hAnsi="Times New Roman" w:cs="Times New Roman"/>
          <w:color w:val="000000"/>
          <w:sz w:val="24"/>
          <w:szCs w:val="24"/>
        </w:rPr>
        <w:t xml:space="preserve">, Campylobacter jejuni, Campylobacter coli, </w:t>
      </w:r>
      <w:r w:rsidR="00CF2022" w:rsidRPr="00997C23">
        <w:rPr>
          <w:rFonts w:ascii="Times New Roman" w:hAnsi="Times New Roman" w:cs="Times New Roman"/>
          <w:color w:val="000000"/>
          <w:sz w:val="24"/>
          <w:szCs w:val="24"/>
        </w:rPr>
        <w:t xml:space="preserve">получени от проби, взети от </w:t>
      </w:r>
      <w:r w:rsidRPr="002D65FA">
        <w:rPr>
          <w:rFonts w:ascii="Times New Roman" w:hAnsi="Times New Roman" w:cs="Times New Roman"/>
          <w:color w:val="000000"/>
          <w:sz w:val="24"/>
          <w:szCs w:val="24"/>
        </w:rPr>
        <w:t xml:space="preserve">цекумно съдържание от свине за угояване, както </w:t>
      </w:r>
      <w:r w:rsidR="00CF2022" w:rsidRPr="00997C23">
        <w:rPr>
          <w:rFonts w:ascii="Times New Roman" w:hAnsi="Times New Roman" w:cs="Times New Roman"/>
          <w:sz w:val="24"/>
          <w:szCs w:val="24"/>
        </w:rPr>
        <w:t>и прясно месо</w:t>
      </w:r>
      <w:r w:rsidRPr="002D65FA">
        <w:t xml:space="preserve"> </w:t>
      </w:r>
      <w:r w:rsidRPr="002D65FA">
        <w:rPr>
          <w:rFonts w:ascii="Times New Roman" w:hAnsi="Times New Roman" w:cs="Times New Roman"/>
          <w:sz w:val="24"/>
          <w:szCs w:val="24"/>
        </w:rPr>
        <w:t>от свине и говеда</w:t>
      </w:r>
      <w:r w:rsidR="00CF2022" w:rsidRPr="00997C23">
        <w:rPr>
          <w:rFonts w:ascii="Times New Roman" w:hAnsi="Times New Roman" w:cs="Times New Roman"/>
          <w:sz w:val="24"/>
          <w:szCs w:val="24"/>
        </w:rPr>
        <w:t>, съгласно хигиенните критерии, заложени в Регламент (ЕО)</w:t>
      </w:r>
      <w:r w:rsidR="00CD55FE">
        <w:rPr>
          <w:rFonts w:ascii="Times New Roman" w:hAnsi="Times New Roman" w:cs="Times New Roman"/>
          <w:sz w:val="24"/>
          <w:szCs w:val="24"/>
        </w:rPr>
        <w:t xml:space="preserve"> </w:t>
      </w:r>
      <w:r w:rsidR="00CF2022" w:rsidRPr="00997C23">
        <w:rPr>
          <w:rFonts w:ascii="Times New Roman" w:hAnsi="Times New Roman" w:cs="Times New Roman"/>
          <w:sz w:val="24"/>
          <w:szCs w:val="24"/>
        </w:rPr>
        <w:t>№ 2073/2005 г.</w:t>
      </w:r>
      <w:r w:rsidR="00D80BBB">
        <w:rPr>
          <w:rFonts w:ascii="Times New Roman" w:hAnsi="Times New Roman" w:cs="Times New Roman"/>
          <w:sz w:val="24"/>
          <w:szCs w:val="24"/>
          <w:lang w:val="en-US"/>
        </w:rPr>
        <w:t xml:space="preserve"> </w:t>
      </w:r>
      <w:r w:rsidR="00F74B00">
        <w:rPr>
          <w:rFonts w:ascii="Times New Roman" w:hAnsi="Times New Roman" w:cs="Times New Roman"/>
          <w:sz w:val="24"/>
          <w:szCs w:val="24"/>
        </w:rPr>
        <w:t xml:space="preserve">Понастоящем се прилага </w:t>
      </w:r>
      <w:r w:rsidR="008D7582" w:rsidRPr="008D7582">
        <w:rPr>
          <w:rFonts w:ascii="Times New Roman" w:hAnsi="Times New Roman" w:cs="Times New Roman"/>
          <w:sz w:val="24"/>
          <w:szCs w:val="24"/>
          <w:lang w:val="en-US"/>
        </w:rPr>
        <w:t>Решение за изпълнение (ЕС) 2020/1729 на Комисията</w:t>
      </w:r>
      <w:r w:rsidR="008D7582">
        <w:rPr>
          <w:rFonts w:ascii="Times New Roman" w:hAnsi="Times New Roman" w:cs="Times New Roman"/>
          <w:sz w:val="24"/>
          <w:szCs w:val="24"/>
        </w:rPr>
        <w:t xml:space="preserve"> </w:t>
      </w:r>
      <w:r w:rsidR="008D7582">
        <w:rPr>
          <w:rFonts w:ascii="Times New Roman" w:hAnsi="Times New Roman" w:cs="Times New Roman"/>
          <w:sz w:val="24"/>
          <w:szCs w:val="24"/>
          <w:lang w:val="en-US"/>
        </w:rPr>
        <w:t xml:space="preserve">от 17 ноември 2020 </w:t>
      </w:r>
      <w:r>
        <w:rPr>
          <w:rFonts w:ascii="Times New Roman" w:hAnsi="Times New Roman" w:cs="Times New Roman"/>
          <w:sz w:val="24"/>
          <w:szCs w:val="24"/>
          <w:lang w:val="en-US"/>
        </w:rPr>
        <w:t>г</w:t>
      </w:r>
      <w:r>
        <w:rPr>
          <w:rFonts w:ascii="Times New Roman" w:hAnsi="Times New Roman" w:cs="Times New Roman"/>
          <w:sz w:val="24"/>
          <w:szCs w:val="24"/>
        </w:rPr>
        <w:t xml:space="preserve">. </w:t>
      </w:r>
      <w:r w:rsidR="008D7582" w:rsidRPr="008D7582">
        <w:rPr>
          <w:rFonts w:ascii="Times New Roman" w:hAnsi="Times New Roman" w:cs="Times New Roman"/>
          <w:sz w:val="24"/>
          <w:szCs w:val="24"/>
          <w:lang w:val="en-US"/>
        </w:rPr>
        <w:t>относно мониторинга и докладването на антимикробната резистентност на зоонозните и коменсалните бактерии</w:t>
      </w:r>
      <w:r w:rsidR="00F74B00">
        <w:rPr>
          <w:rFonts w:ascii="Times New Roman" w:hAnsi="Times New Roman" w:cs="Times New Roman"/>
          <w:sz w:val="24"/>
          <w:szCs w:val="24"/>
        </w:rPr>
        <w:t>, което</w:t>
      </w:r>
      <w:r w:rsidR="008D7582" w:rsidRPr="008D7582">
        <w:rPr>
          <w:rFonts w:ascii="Times New Roman" w:hAnsi="Times New Roman" w:cs="Times New Roman"/>
          <w:sz w:val="24"/>
          <w:szCs w:val="24"/>
          <w:lang w:val="en-US"/>
        </w:rPr>
        <w:t xml:space="preserve"> </w:t>
      </w:r>
      <w:r w:rsidR="008D7582">
        <w:rPr>
          <w:rFonts w:ascii="Times New Roman" w:hAnsi="Times New Roman" w:cs="Times New Roman"/>
          <w:sz w:val="24"/>
          <w:szCs w:val="24"/>
        </w:rPr>
        <w:t>отмен</w:t>
      </w:r>
      <w:r w:rsidR="00F74B00">
        <w:rPr>
          <w:rFonts w:ascii="Times New Roman" w:hAnsi="Times New Roman" w:cs="Times New Roman"/>
          <w:sz w:val="24"/>
          <w:szCs w:val="24"/>
        </w:rPr>
        <w:t>и</w:t>
      </w:r>
      <w:r w:rsidR="008D7582" w:rsidRPr="008D7582">
        <w:rPr>
          <w:rFonts w:ascii="Times New Roman" w:hAnsi="Times New Roman" w:cs="Times New Roman"/>
          <w:sz w:val="24"/>
          <w:szCs w:val="24"/>
          <w:lang w:val="en-US"/>
        </w:rPr>
        <w:t xml:space="preserve"> Решение за изпълнение 2013/652/ЕС</w:t>
      </w:r>
      <w:r w:rsidR="008D7582">
        <w:rPr>
          <w:rFonts w:ascii="Times New Roman" w:hAnsi="Times New Roman" w:cs="Times New Roman"/>
          <w:sz w:val="24"/>
          <w:szCs w:val="24"/>
        </w:rPr>
        <w:t>.</w:t>
      </w:r>
      <w:r w:rsidR="00CD55FE">
        <w:rPr>
          <w:rFonts w:ascii="Times New Roman" w:hAnsi="Times New Roman" w:cs="Times New Roman"/>
          <w:sz w:val="24"/>
          <w:szCs w:val="24"/>
        </w:rPr>
        <w:t xml:space="preserve"> </w:t>
      </w:r>
      <w:r w:rsidRPr="002D65FA">
        <w:rPr>
          <w:rFonts w:ascii="Times New Roman" w:hAnsi="Times New Roman" w:cs="Times New Roman"/>
          <w:sz w:val="24"/>
          <w:szCs w:val="24"/>
        </w:rPr>
        <w:t xml:space="preserve">С последващо Решение за изпълнение (ЕС) 2023/1017 на комисията от 23 май 2023 г. за допълнение (изменение) на (ЕС) 2020/1729, за период от една година (2025 г.) беше добавен и мониторинг на метицилин-резистентен Staphylococcus aureus (MRSA) при свине за угояване. От 2014 г. до 2023 г. в НРЛ „Салмонела, Кампилобактер, Стафилококи и АМР“ към НЦБХ (НДНИВМИ, БАБХ) са постъпили: 1244 кланични проби от свине (цекумни проби), 750 проби месо от свине, 750 проби месо от говеда, 2128 проби цекуми и 755 проби месо от бройлери. </w:t>
      </w:r>
      <w:r w:rsidR="00783463" w:rsidRPr="00783463">
        <w:rPr>
          <w:rFonts w:ascii="Times New Roman" w:hAnsi="Times New Roman" w:cs="Times New Roman"/>
          <w:sz w:val="24"/>
          <w:szCs w:val="24"/>
        </w:rPr>
        <w:t>За 2025г. България е изследвала 4000 тампон проби за MRSA, 600 броя цекумно съдържание от свине, 150 проби месо от говеда и 150 проби месо от свине. За 2026 г. България следва да изследва 150 броя цекумно съдържание от бройлери, 150 проби месо от бройлери и 150 проби месо от пуйки.</w:t>
      </w:r>
    </w:p>
    <w:p w14:paraId="631F318D" w14:textId="77777777" w:rsidR="00CF2022" w:rsidRPr="00D80BBB" w:rsidRDefault="00CA2015" w:rsidP="00C467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D80BBB" w:rsidRPr="00D80BBB">
        <w:rPr>
          <w:rFonts w:ascii="Times New Roman" w:hAnsi="Times New Roman" w:cs="Times New Roman"/>
          <w:sz w:val="24"/>
          <w:szCs w:val="24"/>
          <w:lang w:val="en-US"/>
        </w:rPr>
        <w:t xml:space="preserve"> Наредба № 4 от 23 септември 2020 г. за надзор и мониторинг на зоонозите при профилактиката, ог</w:t>
      </w:r>
      <w:r w:rsidR="00D80BBB">
        <w:rPr>
          <w:rFonts w:ascii="Times New Roman" w:hAnsi="Times New Roman" w:cs="Times New Roman"/>
          <w:sz w:val="24"/>
          <w:szCs w:val="24"/>
          <w:lang w:val="en-US"/>
        </w:rPr>
        <w:t>раничаването и ликвидирането им</w:t>
      </w:r>
      <w:r>
        <w:rPr>
          <w:rFonts w:ascii="Times New Roman" w:hAnsi="Times New Roman" w:cs="Times New Roman"/>
          <w:sz w:val="24"/>
          <w:szCs w:val="24"/>
        </w:rPr>
        <w:t xml:space="preserve"> /обн. ДВ, бр. 86 от 2020г./</w:t>
      </w:r>
      <w:r w:rsidR="00CD55FE" w:rsidRPr="00CD55FE">
        <w:rPr>
          <w:rFonts w:ascii="Times New Roman" w:hAnsi="Times New Roman" w:cs="Times New Roman"/>
          <w:sz w:val="24"/>
          <w:szCs w:val="24"/>
        </w:rPr>
        <w:t xml:space="preserve">, се определят изискванията за мониторинг на антимикробна резистентност на причинителите на зоонози и с която се въвеждат в националното законодателството </w:t>
      </w:r>
      <w:r w:rsidR="00CD55FE" w:rsidRPr="00CD55FE">
        <w:rPr>
          <w:rFonts w:ascii="Times New Roman" w:hAnsi="Times New Roman" w:cs="Times New Roman"/>
          <w:sz w:val="24"/>
          <w:szCs w:val="24"/>
        </w:rPr>
        <w:lastRenderedPageBreak/>
        <w:t>изискванията на Директива 2003/99/ЕО на Европейския парламент и на Съвета от 17 ноември 2003 г. относно мониторинга на зоонозите и заразните агенти, причиняващи зоонози.</w:t>
      </w:r>
    </w:p>
    <w:p w14:paraId="3EBCEB34" w14:textId="77777777" w:rsidR="00DD67CB" w:rsidRPr="00997C23" w:rsidRDefault="0032787D" w:rsidP="00C467DB">
      <w:pPr>
        <w:spacing w:after="0" w:line="360" w:lineRule="auto"/>
        <w:ind w:firstLine="709"/>
        <w:contextualSpacing/>
        <w:jc w:val="both"/>
        <w:rPr>
          <w:rFonts w:ascii="Times New Roman" w:hAnsi="Times New Roman" w:cs="Times New Roman"/>
          <w:sz w:val="24"/>
          <w:szCs w:val="24"/>
        </w:rPr>
      </w:pPr>
      <w:r w:rsidRPr="00D01657">
        <w:rPr>
          <w:rFonts w:ascii="Times New Roman" w:hAnsi="Times New Roman" w:cs="Times New Roman"/>
          <w:sz w:val="24"/>
          <w:szCs w:val="24"/>
        </w:rPr>
        <w:t>Министерство на околната среда и водите (</w:t>
      </w:r>
      <w:r w:rsidR="00DD67CB" w:rsidRPr="00D01657">
        <w:rPr>
          <w:rFonts w:ascii="Times New Roman" w:hAnsi="Times New Roman" w:cs="Times New Roman"/>
          <w:sz w:val="24"/>
          <w:szCs w:val="24"/>
        </w:rPr>
        <w:t>МО</w:t>
      </w:r>
      <w:r w:rsidR="00CE43BF" w:rsidRPr="00D01657">
        <w:rPr>
          <w:rFonts w:ascii="Times New Roman" w:hAnsi="Times New Roman" w:cs="Times New Roman"/>
          <w:sz w:val="24"/>
          <w:szCs w:val="24"/>
        </w:rPr>
        <w:t>СВ</w:t>
      </w:r>
      <w:r w:rsidRPr="00D01657">
        <w:rPr>
          <w:rFonts w:ascii="Times New Roman" w:hAnsi="Times New Roman" w:cs="Times New Roman"/>
          <w:sz w:val="24"/>
          <w:szCs w:val="24"/>
        </w:rPr>
        <w:t>)</w:t>
      </w:r>
      <w:r w:rsidR="00DD67CB" w:rsidRPr="00D01657">
        <w:rPr>
          <w:rFonts w:ascii="Times New Roman" w:hAnsi="Times New Roman" w:cs="Times New Roman"/>
          <w:sz w:val="24"/>
          <w:szCs w:val="24"/>
        </w:rPr>
        <w:t xml:space="preserve"> </w:t>
      </w:r>
      <w:r w:rsidR="00454DF9" w:rsidRPr="00D01657">
        <w:rPr>
          <w:rFonts w:ascii="Times New Roman" w:hAnsi="Times New Roman" w:cs="Times New Roman"/>
          <w:sz w:val="24"/>
          <w:szCs w:val="24"/>
        </w:rPr>
        <w:t>е отговорен</w:t>
      </w:r>
      <w:r w:rsidR="006F0F0B" w:rsidRPr="00D01657">
        <w:rPr>
          <w:rFonts w:ascii="Times New Roman" w:hAnsi="Times New Roman" w:cs="Times New Roman"/>
          <w:sz w:val="24"/>
          <w:szCs w:val="24"/>
        </w:rPr>
        <w:t xml:space="preserve"> орган</w:t>
      </w:r>
      <w:r w:rsidR="00454DF9" w:rsidRPr="00D01657">
        <w:rPr>
          <w:rFonts w:ascii="Times New Roman" w:hAnsi="Times New Roman" w:cs="Times New Roman"/>
          <w:sz w:val="24"/>
          <w:szCs w:val="24"/>
        </w:rPr>
        <w:t xml:space="preserve"> </w:t>
      </w:r>
      <w:r w:rsidR="00143DE5" w:rsidRPr="00D01657">
        <w:rPr>
          <w:rFonts w:ascii="Times New Roman" w:hAnsi="Times New Roman" w:cs="Times New Roman"/>
          <w:sz w:val="24"/>
          <w:szCs w:val="24"/>
        </w:rPr>
        <w:t>по</w:t>
      </w:r>
      <w:r w:rsidR="006F0F0B" w:rsidRPr="00D01657">
        <w:rPr>
          <w:rFonts w:ascii="Times New Roman" w:hAnsi="Times New Roman" w:cs="Times New Roman"/>
          <w:sz w:val="24"/>
          <w:szCs w:val="24"/>
        </w:rPr>
        <w:t xml:space="preserve"> извършва</w:t>
      </w:r>
      <w:r w:rsidR="00143DE5" w:rsidRPr="00D01657">
        <w:rPr>
          <w:rFonts w:ascii="Times New Roman" w:hAnsi="Times New Roman" w:cs="Times New Roman"/>
          <w:sz w:val="24"/>
          <w:szCs w:val="24"/>
        </w:rPr>
        <w:t>нето на</w:t>
      </w:r>
      <w:r w:rsidR="00454DF9" w:rsidRPr="00D01657">
        <w:rPr>
          <w:rFonts w:ascii="Times New Roman" w:hAnsi="Times New Roman" w:cs="Times New Roman"/>
          <w:sz w:val="24"/>
          <w:szCs w:val="24"/>
        </w:rPr>
        <w:t xml:space="preserve"> </w:t>
      </w:r>
      <w:r w:rsidR="00DD67CB" w:rsidRPr="00D01657">
        <w:rPr>
          <w:rFonts w:ascii="Times New Roman" w:hAnsi="Times New Roman" w:cs="Times New Roman"/>
          <w:sz w:val="24"/>
          <w:szCs w:val="24"/>
        </w:rPr>
        <w:t xml:space="preserve">мониторинг </w:t>
      </w:r>
      <w:r w:rsidR="006F0F0B" w:rsidRPr="00D01657">
        <w:rPr>
          <w:rFonts w:ascii="Times New Roman" w:hAnsi="Times New Roman" w:cs="Times New Roman"/>
          <w:sz w:val="24"/>
          <w:szCs w:val="24"/>
        </w:rPr>
        <w:t>на остатъчни антибиотици от групата на макролидите в околната среда</w:t>
      </w:r>
      <w:r w:rsidR="006F0F0B" w:rsidRPr="00997C23">
        <w:rPr>
          <w:rFonts w:ascii="Times New Roman" w:hAnsi="Times New Roman" w:cs="Times New Roman"/>
          <w:sz w:val="24"/>
          <w:szCs w:val="24"/>
        </w:rPr>
        <w:t xml:space="preserve"> (води)</w:t>
      </w:r>
      <w:r w:rsidR="00454DF9"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съгласно решение на ЕК (EU)2015/495</w:t>
      </w:r>
      <w:r w:rsidR="008E4E34" w:rsidRPr="00997C23">
        <w:rPr>
          <w:rFonts w:ascii="Times New Roman" w:hAnsi="Times New Roman" w:cs="Times New Roman"/>
          <w:sz w:val="24"/>
          <w:szCs w:val="24"/>
        </w:rPr>
        <w:t xml:space="preserve"> </w:t>
      </w:r>
      <w:r w:rsidR="00656819"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{"citationItems":[{"id":"ITEM-1","itemData":{"URL":"https://eur-lex.europa.eu/legal-content/EN/TXT/?qid=1560131846063&amp;uri=CELEX:32015D0495","accessed":{"date-parts":[["2019","6","10"]]},"author":[{"dropping-particle":"","family":"European Commission","given":"","non-dropping-particle":"","parse-names":false,"suffix":""}],"container-title":"COMMISSION IMPLEMENTING DECISION (EU) 2015/495  of 20 March 2015  establishing a watch list of substances for Union-wide monitoring in the field of water policy pursuant to Directive 2008/105/EC of the European Parliament and of the Council","id":"ITEM-1","issued":{"date-parts":[["2015"]]},"title":"COMMISSION IMPLEMENTING DECISION (EU) 2015/495","type":"webpage"},"uris":["http://www.mendeley.com/documents/?uuid=a6a06c12-d63a-3e81-af2d-f4de86e65109"]}],"mendeley":{"formattedCitation":"[24]","plainTextFormattedCitation":"[24]","previouslyFormattedCitation":"(European Commission, 2015)"},"properties":{"noteIndex":0},"schema":"https://github.com/citation-style-language/schema/raw/master/csl-citation.json"}</w:instrText>
      </w:r>
      <w:r w:rsidR="00656819"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[24]</w:t>
      </w:r>
      <w:r w:rsidR="00656819" w:rsidRPr="00997C23">
        <w:rPr>
          <w:rFonts w:ascii="Times New Roman" w:hAnsi="Times New Roman" w:cs="Times New Roman"/>
          <w:sz w:val="24"/>
          <w:szCs w:val="24"/>
        </w:rPr>
        <w:fldChar w:fldCharType="end"/>
      </w:r>
      <w:r w:rsidR="00D44EA3" w:rsidRPr="00997C23">
        <w:rPr>
          <w:rFonts w:ascii="Times New Roman" w:hAnsi="Times New Roman" w:cs="Times New Roman"/>
          <w:sz w:val="24"/>
          <w:szCs w:val="24"/>
        </w:rPr>
        <w:t>.</w:t>
      </w:r>
      <w:r w:rsidR="00D77C0A" w:rsidRPr="00997C23">
        <w:rPr>
          <w:rFonts w:ascii="Times New Roman" w:hAnsi="Times New Roman" w:cs="Times New Roman"/>
          <w:sz w:val="24"/>
          <w:szCs w:val="24"/>
          <w:lang w:val="en-US"/>
        </w:rPr>
        <w:t xml:space="preserve"> </w:t>
      </w:r>
      <w:r w:rsidR="00C61BF4" w:rsidRPr="00997C23">
        <w:rPr>
          <w:rFonts w:ascii="Times New Roman" w:hAnsi="Times New Roman" w:cs="Times New Roman"/>
          <w:sz w:val="24"/>
          <w:szCs w:val="24"/>
        </w:rPr>
        <w:t xml:space="preserve">Необходимо е разширяване на </w:t>
      </w:r>
      <w:r w:rsidR="006F0F0B" w:rsidRPr="00997C23">
        <w:rPr>
          <w:rFonts w:ascii="Times New Roman" w:hAnsi="Times New Roman" w:cs="Times New Roman"/>
          <w:sz w:val="24"/>
          <w:szCs w:val="24"/>
        </w:rPr>
        <w:t xml:space="preserve">тази </w:t>
      </w:r>
      <w:r w:rsidR="00C61BF4" w:rsidRPr="00997C23">
        <w:rPr>
          <w:rFonts w:ascii="Times New Roman" w:hAnsi="Times New Roman" w:cs="Times New Roman"/>
          <w:sz w:val="24"/>
          <w:szCs w:val="24"/>
        </w:rPr>
        <w:t>дейност</w:t>
      </w:r>
      <w:r w:rsidR="006F0F0B" w:rsidRPr="00997C23">
        <w:rPr>
          <w:rFonts w:ascii="Times New Roman" w:hAnsi="Times New Roman" w:cs="Times New Roman"/>
          <w:sz w:val="24"/>
          <w:szCs w:val="24"/>
        </w:rPr>
        <w:t xml:space="preserve"> </w:t>
      </w:r>
      <w:r w:rsidR="00143DE5" w:rsidRPr="00997C23">
        <w:rPr>
          <w:rFonts w:ascii="Times New Roman" w:hAnsi="Times New Roman" w:cs="Times New Roman"/>
          <w:sz w:val="24"/>
          <w:szCs w:val="24"/>
        </w:rPr>
        <w:t>чрез</w:t>
      </w:r>
      <w:r w:rsidR="00C61BF4" w:rsidRPr="00997C23">
        <w:rPr>
          <w:rFonts w:ascii="Times New Roman" w:hAnsi="Times New Roman" w:cs="Times New Roman"/>
          <w:sz w:val="24"/>
          <w:szCs w:val="24"/>
        </w:rPr>
        <w:t xml:space="preserve"> </w:t>
      </w:r>
      <w:r w:rsidR="00CA5F7C" w:rsidRPr="00997C23">
        <w:rPr>
          <w:rFonts w:ascii="Times New Roman" w:hAnsi="Times New Roman" w:cs="Times New Roman"/>
          <w:sz w:val="24"/>
          <w:szCs w:val="24"/>
        </w:rPr>
        <w:t>мониториране</w:t>
      </w:r>
      <w:r w:rsidR="006F0F0B" w:rsidRPr="00997C23">
        <w:rPr>
          <w:rFonts w:ascii="Times New Roman" w:hAnsi="Times New Roman" w:cs="Times New Roman"/>
          <w:sz w:val="24"/>
          <w:szCs w:val="24"/>
        </w:rPr>
        <w:t xml:space="preserve"> на допълнителни антибиотици (ципрофлоксацин и амоксицилин) </w:t>
      </w:r>
      <w:r w:rsidR="00C61BF4" w:rsidRPr="00997C23">
        <w:rPr>
          <w:rFonts w:ascii="Times New Roman" w:hAnsi="Times New Roman" w:cs="Times New Roman"/>
          <w:sz w:val="24"/>
          <w:szCs w:val="24"/>
        </w:rPr>
        <w:t xml:space="preserve">в съответствие с решение на ЕК </w:t>
      </w:r>
      <w:r w:rsidR="00247E48" w:rsidRPr="00997C23">
        <w:rPr>
          <w:rFonts w:ascii="Times New Roman" w:hAnsi="Times New Roman" w:cs="Times New Roman"/>
          <w:sz w:val="24"/>
          <w:szCs w:val="24"/>
        </w:rPr>
        <w:t>(EU) 2018/840</w:t>
      </w:r>
      <w:r w:rsidR="00656819" w:rsidRPr="00997C23">
        <w:rPr>
          <w:rFonts w:ascii="Times New Roman" w:hAnsi="Times New Roman" w:cs="Times New Roman"/>
          <w:sz w:val="24"/>
          <w:szCs w:val="24"/>
        </w:rPr>
        <w:t xml:space="preserve"> </w:t>
      </w:r>
      <w:r w:rsidR="006C7070" w:rsidRPr="00997C23">
        <w:rPr>
          <w:rFonts w:ascii="Times New Roman" w:hAnsi="Times New Roman" w:cs="Times New Roman"/>
          <w:sz w:val="24"/>
          <w:szCs w:val="24"/>
        </w:rPr>
        <w:fldChar w:fldCharType="begin" w:fldLock="1"/>
      </w:r>
      <w:r w:rsidR="009D0134" w:rsidRPr="00997C23">
        <w:rPr>
          <w:rFonts w:ascii="Times New Roman" w:hAnsi="Times New Roman" w:cs="Times New Roman"/>
          <w:sz w:val="24"/>
          <w:szCs w:val="24"/>
        </w:rPr>
        <w:instrText>ADDIN CSL_CITATION {"citationItems":[{"id":"ITEM-1","itemData":{"URL":"https://eur-lex.europa.eu/legal-content/EN/TXT/?uri=CELEX%3A32018D0840","accessed":{"date-parts":[["2019","6","10"]]},"author":[{"dropping-particle":"","family":"European Commssion","given":"","non-dropping-particle":"","parse-names":false,"suffix":""}],"container-title":"COMMISSION IMPLEMENTING DECISION (EU) 2018/840 of 5 June 2018 establishing a watch list of substances for Union-wide monitoring in the field of water policy pursuant to Directive 2008/105/EC of the European Parliament and of the Council and repealing Comm","id":"ITEM-1","issued":{"date-parts":[["2018"]]},"title":"COMMISSION IMPLEMENTING DECISION (EU) 2018/840","type":"webpage"},"uris":["http://www.mendeley.com/documents/?uuid=ad13d3c8-2eca-4f28-8bf3-e771f2388bb3"]}],"mendeley":{"formattedCitation":"[31]","plainTextFormattedCitation":"[31]","previouslyFormattedCitation":"(European Commssion, 2018)"},"properties":{"noteIndex":0},"schema":"https://github.com/citation-style-language/schema/raw/master/csl-citation.json"}</w:instrText>
      </w:r>
      <w:r w:rsidR="006C7070"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[31]</w:t>
      </w:r>
      <w:r w:rsidR="006C7070" w:rsidRPr="00997C23">
        <w:rPr>
          <w:rFonts w:ascii="Times New Roman" w:hAnsi="Times New Roman" w:cs="Times New Roman"/>
          <w:sz w:val="24"/>
          <w:szCs w:val="24"/>
        </w:rPr>
        <w:fldChar w:fldCharType="end"/>
      </w:r>
      <w:r w:rsidR="001F2515" w:rsidRPr="00997C23">
        <w:rPr>
          <w:rFonts w:ascii="Times New Roman" w:eastAsia="Times New Roman" w:hAnsi="Times New Roman" w:cs="Times New Roman"/>
          <w:sz w:val="24"/>
          <w:szCs w:val="24"/>
          <w:lang w:val="en-US"/>
        </w:rPr>
        <w:t>.</w:t>
      </w:r>
    </w:p>
    <w:p w14:paraId="709802D4" w14:textId="77777777" w:rsidR="00DD67CB" w:rsidRPr="00997C23" w:rsidRDefault="00DD67CB"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hAnsi="Times New Roman" w:cs="Times New Roman"/>
          <w:sz w:val="24"/>
          <w:szCs w:val="24"/>
        </w:rPr>
        <w:t xml:space="preserve">В </w:t>
      </w:r>
      <w:r w:rsidR="00882F2E">
        <w:rPr>
          <w:rFonts w:ascii="Times New Roman" w:hAnsi="Times New Roman" w:cs="Times New Roman"/>
          <w:sz w:val="24"/>
          <w:szCs w:val="24"/>
        </w:rPr>
        <w:t>Програма</w:t>
      </w:r>
      <w:r w:rsidR="00940B62">
        <w:rPr>
          <w:rFonts w:ascii="Times New Roman" w:hAnsi="Times New Roman" w:cs="Times New Roman"/>
          <w:sz w:val="24"/>
          <w:szCs w:val="24"/>
        </w:rPr>
        <w:t>т</w:t>
      </w:r>
      <w:r w:rsidR="00962C98" w:rsidRPr="00997C23">
        <w:rPr>
          <w:rFonts w:ascii="Times New Roman" w:hAnsi="Times New Roman" w:cs="Times New Roman"/>
          <w:sz w:val="24"/>
          <w:szCs w:val="24"/>
        </w:rPr>
        <w:t>а</w:t>
      </w:r>
      <w:r w:rsidRPr="00997C23">
        <w:rPr>
          <w:rFonts w:ascii="Times New Roman" w:hAnsi="Times New Roman" w:cs="Times New Roman"/>
          <w:sz w:val="24"/>
          <w:szCs w:val="24"/>
        </w:rPr>
        <w:t xml:space="preserve"> са заложени множество дейности за </w:t>
      </w:r>
      <w:r w:rsidR="000C00B4" w:rsidRPr="00997C23">
        <w:rPr>
          <w:rFonts w:ascii="Times New Roman" w:hAnsi="Times New Roman" w:cs="Times New Roman"/>
          <w:sz w:val="24"/>
          <w:szCs w:val="24"/>
        </w:rPr>
        <w:t>укрепване научните основи на</w:t>
      </w:r>
      <w:r w:rsidRPr="00997C23">
        <w:rPr>
          <w:rFonts w:ascii="Times New Roman" w:hAnsi="Times New Roman" w:cs="Times New Roman"/>
          <w:sz w:val="24"/>
          <w:szCs w:val="24"/>
        </w:rPr>
        <w:t xml:space="preserve"> надзора</w:t>
      </w:r>
      <w:r w:rsidR="00CF67E6" w:rsidRPr="00997C23">
        <w:rPr>
          <w:rFonts w:ascii="Times New Roman" w:hAnsi="Times New Roman" w:cs="Times New Roman"/>
          <w:sz w:val="24"/>
          <w:szCs w:val="24"/>
        </w:rPr>
        <w:t xml:space="preserve">, </w:t>
      </w:r>
      <w:r w:rsidR="000C00B4" w:rsidRPr="00997C23">
        <w:rPr>
          <w:rFonts w:ascii="Times New Roman" w:hAnsi="Times New Roman" w:cs="Times New Roman"/>
          <w:sz w:val="24"/>
          <w:szCs w:val="24"/>
        </w:rPr>
        <w:t xml:space="preserve">актуализиране и </w:t>
      </w:r>
      <w:r w:rsidR="00CF67E6" w:rsidRPr="00997C23">
        <w:rPr>
          <w:rFonts w:ascii="Times New Roman" w:hAnsi="Times New Roman" w:cs="Times New Roman"/>
          <w:sz w:val="24"/>
          <w:szCs w:val="24"/>
        </w:rPr>
        <w:t xml:space="preserve">свързване на </w:t>
      </w:r>
      <w:r w:rsidR="000C00B4" w:rsidRPr="00997C23">
        <w:rPr>
          <w:rFonts w:ascii="Times New Roman" w:hAnsi="Times New Roman" w:cs="Times New Roman"/>
          <w:sz w:val="24"/>
          <w:szCs w:val="24"/>
        </w:rPr>
        <w:t xml:space="preserve">надзорните </w:t>
      </w:r>
      <w:r w:rsidR="00CF67E6" w:rsidRPr="00997C23">
        <w:rPr>
          <w:rFonts w:ascii="Times New Roman" w:hAnsi="Times New Roman" w:cs="Times New Roman"/>
          <w:sz w:val="24"/>
          <w:szCs w:val="24"/>
        </w:rPr>
        <w:t>системи в различните сектори</w:t>
      </w:r>
      <w:r w:rsidR="000C00B4" w:rsidRPr="00997C23">
        <w:rPr>
          <w:rFonts w:ascii="Times New Roman" w:hAnsi="Times New Roman" w:cs="Times New Roman"/>
          <w:sz w:val="24"/>
          <w:szCs w:val="24"/>
        </w:rPr>
        <w:t xml:space="preserve"> в </w:t>
      </w:r>
      <w:r w:rsidR="00CF0BBC" w:rsidRPr="00997C23">
        <w:rPr>
          <w:rFonts w:ascii="Times New Roman" w:eastAsia="Times New Roman" w:hAnsi="Times New Roman" w:cs="Times New Roman"/>
          <w:sz w:val="24"/>
          <w:szCs w:val="24"/>
        </w:rPr>
        <w:t>съответствие</w:t>
      </w:r>
      <w:r w:rsidR="000C00B4" w:rsidRPr="00997C23">
        <w:rPr>
          <w:rFonts w:ascii="Times New Roman" w:hAnsi="Times New Roman" w:cs="Times New Roman"/>
          <w:sz w:val="24"/>
          <w:szCs w:val="24"/>
        </w:rPr>
        <w:t xml:space="preserve"> с подхода „Едно здраве“, </w:t>
      </w:r>
      <w:r w:rsidRPr="00997C23">
        <w:rPr>
          <w:rFonts w:ascii="Times New Roman" w:hAnsi="Times New Roman" w:cs="Times New Roman"/>
          <w:sz w:val="24"/>
          <w:szCs w:val="24"/>
        </w:rPr>
        <w:t xml:space="preserve">унифициране на докладите с Глобалната система за надзор </w:t>
      </w:r>
      <w:r w:rsidRPr="00997C23">
        <w:rPr>
          <w:rFonts w:ascii="Times New Roman" w:hAnsi="Times New Roman" w:cs="Times New Roman"/>
          <w:sz w:val="24"/>
          <w:szCs w:val="24"/>
          <w:lang w:val="en-US"/>
        </w:rPr>
        <w:t>GLASS</w:t>
      </w:r>
      <w:r w:rsidR="00CF0BBC" w:rsidRPr="00997C23">
        <w:rPr>
          <w:rFonts w:ascii="Times New Roman" w:eastAsia="Times New Roman" w:hAnsi="Times New Roman" w:cs="Times New Roman"/>
          <w:sz w:val="24"/>
          <w:szCs w:val="24"/>
          <w:lang w:val="en-US"/>
        </w:rPr>
        <w:t xml:space="preserve"> </w:t>
      </w:r>
      <w:r w:rsidR="000C00B4" w:rsidRPr="00997C23">
        <w:rPr>
          <w:rFonts w:ascii="Times New Roman" w:hAnsi="Times New Roman" w:cs="Times New Roman"/>
          <w:sz w:val="24"/>
          <w:szCs w:val="24"/>
        </w:rPr>
        <w:t>и др</w:t>
      </w:r>
      <w:r w:rsidR="00CF0BBC" w:rsidRPr="00997C23">
        <w:rPr>
          <w:rFonts w:ascii="Times New Roman" w:eastAsia="Times New Roman" w:hAnsi="Times New Roman" w:cs="Times New Roman"/>
          <w:sz w:val="24"/>
          <w:szCs w:val="24"/>
        </w:rPr>
        <w:t>.</w:t>
      </w:r>
    </w:p>
    <w:p w14:paraId="12B17029" w14:textId="77777777" w:rsidR="000A477E" w:rsidRPr="00997C23" w:rsidRDefault="000A477E" w:rsidP="00C467DB">
      <w:pPr>
        <w:spacing w:after="0" w:line="360" w:lineRule="auto"/>
        <w:ind w:firstLine="709"/>
        <w:contextualSpacing/>
        <w:jc w:val="both"/>
        <w:rPr>
          <w:rFonts w:ascii="Times New Roman" w:hAnsi="Times New Roman" w:cs="Times New Roman"/>
          <w:sz w:val="24"/>
          <w:szCs w:val="24"/>
          <w:lang w:val="en-US"/>
        </w:rPr>
      </w:pPr>
      <w:r w:rsidRPr="00997C23">
        <w:rPr>
          <w:rFonts w:ascii="Times New Roman" w:hAnsi="Times New Roman" w:cs="Times New Roman"/>
          <w:sz w:val="24"/>
          <w:szCs w:val="24"/>
          <w:lang w:val="en-US"/>
        </w:rPr>
        <w:t xml:space="preserve">Интензивни научни изследвания се извършват върху механизмите на резистентност и тяхната епидемиология, с акцент върху новите, възникващи предизвикателства, в сферата на хуманната и ветеринарна микробиология, фармакологията, хигиената на хранене и околната среда и водите. Обекти за изследване са и нови субстанции с антимикробна активност. </w:t>
      </w:r>
    </w:p>
    <w:p w14:paraId="3C289329" w14:textId="77777777" w:rsidR="00CF0BBC" w:rsidRPr="00997C23" w:rsidRDefault="00CF0BBC" w:rsidP="00C467DB">
      <w:pPr>
        <w:spacing w:after="0" w:line="360" w:lineRule="auto"/>
        <w:ind w:firstLine="709"/>
        <w:contextualSpacing/>
        <w:jc w:val="both"/>
        <w:rPr>
          <w:rFonts w:ascii="Times New Roman" w:eastAsia="Times New Roman" w:hAnsi="Times New Roman" w:cs="Times New Roman"/>
          <w:sz w:val="24"/>
          <w:szCs w:val="24"/>
        </w:rPr>
      </w:pPr>
      <w:r w:rsidRPr="00D01657">
        <w:rPr>
          <w:rFonts w:ascii="Times New Roman" w:eastAsia="Times New Roman" w:hAnsi="Times New Roman" w:cs="Times New Roman"/>
          <w:sz w:val="24"/>
          <w:szCs w:val="24"/>
        </w:rPr>
        <w:t>Съответно, в Националн</w:t>
      </w:r>
      <w:r w:rsidR="00940B62" w:rsidRPr="00D01657">
        <w:rPr>
          <w:rFonts w:ascii="Times New Roman" w:eastAsia="Times New Roman" w:hAnsi="Times New Roman" w:cs="Times New Roman"/>
          <w:sz w:val="24"/>
          <w:szCs w:val="24"/>
        </w:rPr>
        <w:t>ата</w:t>
      </w:r>
      <w:r w:rsidRPr="00D01657">
        <w:rPr>
          <w:rFonts w:ascii="Times New Roman" w:eastAsia="Times New Roman" w:hAnsi="Times New Roman" w:cs="Times New Roman"/>
          <w:sz w:val="24"/>
          <w:szCs w:val="24"/>
        </w:rPr>
        <w:t xml:space="preserve"> </w:t>
      </w:r>
      <w:r w:rsidR="00446D1B" w:rsidRPr="00D01657">
        <w:rPr>
          <w:rFonts w:ascii="Times New Roman" w:eastAsia="Times New Roman" w:hAnsi="Times New Roman" w:cs="Times New Roman"/>
          <w:sz w:val="24"/>
          <w:szCs w:val="24"/>
        </w:rPr>
        <w:t>п</w:t>
      </w:r>
      <w:r w:rsidR="00882F2E" w:rsidRPr="00D01657">
        <w:rPr>
          <w:rFonts w:ascii="Times New Roman" w:eastAsia="Times New Roman" w:hAnsi="Times New Roman" w:cs="Times New Roman"/>
          <w:sz w:val="24"/>
          <w:szCs w:val="24"/>
        </w:rPr>
        <w:t>рограма</w:t>
      </w:r>
      <w:r w:rsidRPr="00997C23">
        <w:rPr>
          <w:rFonts w:ascii="Times New Roman" w:eastAsia="Times New Roman" w:hAnsi="Times New Roman" w:cs="Times New Roman"/>
          <w:sz w:val="24"/>
          <w:szCs w:val="24"/>
        </w:rPr>
        <w:t xml:space="preserve"> се предвижда мониторинг за проблемни полирезистентни микроорганизми при хора, животни и в</w:t>
      </w:r>
      <w:r w:rsidR="0067042F">
        <w:rPr>
          <w:rFonts w:ascii="Times New Roman" w:eastAsia="Times New Roman" w:hAnsi="Times New Roman" w:cs="Times New Roman"/>
          <w:sz w:val="24"/>
          <w:szCs w:val="24"/>
        </w:rPr>
        <w:t xml:space="preserve"> околната</w:t>
      </w:r>
      <w:r w:rsidRPr="00997C23">
        <w:rPr>
          <w:rFonts w:ascii="Times New Roman" w:eastAsia="Times New Roman" w:hAnsi="Times New Roman" w:cs="Times New Roman"/>
          <w:sz w:val="24"/>
          <w:szCs w:val="24"/>
        </w:rPr>
        <w:t xml:space="preserve"> среда. </w:t>
      </w:r>
    </w:p>
    <w:p w14:paraId="7BA2638F" w14:textId="77777777" w:rsidR="00CF0BBC" w:rsidRDefault="00CF0BBC"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eastAsia="Times New Roman" w:hAnsi="Times New Roman" w:cs="Times New Roman"/>
          <w:sz w:val="24"/>
          <w:szCs w:val="24"/>
        </w:rPr>
        <w:t xml:space="preserve">Изрично е изискването за стриктен интензифициран </w:t>
      </w:r>
      <w:r w:rsidR="00F617CF" w:rsidRPr="00997C23">
        <w:rPr>
          <w:rFonts w:ascii="Times New Roman" w:eastAsia="Times New Roman" w:hAnsi="Times New Roman" w:cs="Times New Roman"/>
          <w:sz w:val="24"/>
          <w:szCs w:val="24"/>
          <w:lang w:val="en-US"/>
        </w:rPr>
        <w:t>к</w:t>
      </w:r>
      <w:r w:rsidRPr="00997C23">
        <w:rPr>
          <w:rFonts w:ascii="Times New Roman" w:eastAsia="Times New Roman" w:hAnsi="Times New Roman" w:cs="Times New Roman"/>
          <w:sz w:val="24"/>
          <w:szCs w:val="24"/>
        </w:rPr>
        <w:t xml:space="preserve">онтрол над проблемните </w:t>
      </w:r>
      <w:r w:rsidRPr="00997C23">
        <w:rPr>
          <w:rFonts w:ascii="Times New Roman" w:eastAsia="Times New Roman" w:hAnsi="Times New Roman" w:cs="Times New Roman"/>
          <w:sz w:val="24"/>
          <w:szCs w:val="24"/>
          <w:lang w:val="en-US"/>
        </w:rPr>
        <w:t xml:space="preserve">MDR </w:t>
      </w:r>
      <w:r w:rsidRPr="00997C23">
        <w:rPr>
          <w:rFonts w:ascii="Times New Roman" w:eastAsia="Times New Roman" w:hAnsi="Times New Roman" w:cs="Times New Roman"/>
          <w:sz w:val="24"/>
          <w:szCs w:val="24"/>
        </w:rPr>
        <w:t>микроорганизми, най-ултимативен при карбапенем</w:t>
      </w:r>
      <w:r w:rsidR="008D189C" w:rsidRPr="00997C23">
        <w:rPr>
          <w:rFonts w:ascii="Times New Roman" w:eastAsia="Times New Roman" w:hAnsi="Times New Roman" w:cs="Times New Roman"/>
          <w:sz w:val="24"/>
          <w:szCs w:val="24"/>
        </w:rPr>
        <w:t xml:space="preserve"> и колистин</w:t>
      </w:r>
      <w:r w:rsidRPr="00997C23">
        <w:rPr>
          <w:rFonts w:ascii="Times New Roman" w:eastAsia="Times New Roman" w:hAnsi="Times New Roman" w:cs="Times New Roman"/>
          <w:sz w:val="24"/>
          <w:szCs w:val="24"/>
        </w:rPr>
        <w:t xml:space="preserve">-резистентните, поради липса на надеждни терапевтични възможности: адекватни хигиенни и дезинфекционни мерки, </w:t>
      </w:r>
      <w:r w:rsidR="0067042F">
        <w:rPr>
          <w:rFonts w:ascii="Times New Roman" w:eastAsia="Times New Roman" w:hAnsi="Times New Roman" w:cs="Times New Roman"/>
          <w:sz w:val="24"/>
          <w:szCs w:val="24"/>
        </w:rPr>
        <w:t xml:space="preserve">селективен </w:t>
      </w:r>
      <w:r w:rsidRPr="00997C23">
        <w:rPr>
          <w:rFonts w:ascii="Times New Roman" w:eastAsia="Times New Roman" w:hAnsi="Times New Roman" w:cs="Times New Roman"/>
          <w:sz w:val="24"/>
          <w:szCs w:val="24"/>
        </w:rPr>
        <w:t xml:space="preserve">скрининг и изолация. </w:t>
      </w:r>
    </w:p>
    <w:p w14:paraId="1FD252B9" w14:textId="77777777" w:rsidR="00E843C8" w:rsidRPr="00997C23" w:rsidRDefault="00E843C8" w:rsidP="00C467DB">
      <w:pPr>
        <w:spacing w:after="0" w:line="360" w:lineRule="auto"/>
        <w:ind w:firstLine="709"/>
        <w:contextualSpacing/>
        <w:jc w:val="both"/>
        <w:rPr>
          <w:rFonts w:ascii="Times New Roman" w:eastAsia="Times New Roman" w:hAnsi="Times New Roman" w:cs="Times New Roman"/>
          <w:sz w:val="24"/>
          <w:szCs w:val="24"/>
        </w:rPr>
      </w:pPr>
    </w:p>
    <w:p w14:paraId="62BC3ABA" w14:textId="77777777" w:rsidR="005D0DB0" w:rsidRPr="00025214" w:rsidRDefault="00871933" w:rsidP="00E843C8">
      <w:pPr>
        <w:pStyle w:val="Heading2"/>
        <w:spacing w:before="0" w:line="360" w:lineRule="auto"/>
        <w:jc w:val="both"/>
        <w:rPr>
          <w:rFonts w:ascii="Times New Roman" w:eastAsiaTheme="majorEastAsia" w:hAnsi="Times New Roman"/>
          <w:bCs w:val="0"/>
          <w:color w:val="auto"/>
          <w:sz w:val="24"/>
          <w:szCs w:val="24"/>
          <w:lang w:eastAsia="bg-BG"/>
        </w:rPr>
      </w:pPr>
      <w:bookmarkStart w:id="7" w:name="_Toc200721737"/>
      <w:r>
        <w:rPr>
          <w:rFonts w:ascii="Times New Roman" w:eastAsiaTheme="majorEastAsia" w:hAnsi="Times New Roman"/>
          <w:bCs w:val="0"/>
          <w:color w:val="auto"/>
          <w:sz w:val="24"/>
          <w:szCs w:val="24"/>
          <w:lang w:eastAsia="bg-BG"/>
        </w:rPr>
        <w:t>ОСНОВНА</w:t>
      </w:r>
      <w:r w:rsidR="00B25ACD" w:rsidRPr="00E50EDE">
        <w:rPr>
          <w:rFonts w:ascii="Times New Roman" w:eastAsiaTheme="majorEastAsia" w:hAnsi="Times New Roman"/>
          <w:bCs w:val="0"/>
          <w:color w:val="auto"/>
          <w:sz w:val="24"/>
          <w:szCs w:val="24"/>
          <w:lang w:eastAsia="bg-BG"/>
        </w:rPr>
        <w:t xml:space="preserve"> ЦЕЛ 3. </w:t>
      </w:r>
      <w:r w:rsidR="005D0DB0" w:rsidRPr="00025214">
        <w:rPr>
          <w:rFonts w:ascii="Times New Roman" w:eastAsiaTheme="majorEastAsia" w:hAnsi="Times New Roman"/>
          <w:bCs w:val="0"/>
          <w:color w:val="auto"/>
          <w:sz w:val="24"/>
          <w:szCs w:val="24"/>
          <w:lang w:eastAsia="bg-BG"/>
        </w:rPr>
        <w:t>Засилване на мерките по контрола и превенцията на инфекциите</w:t>
      </w:r>
      <w:r w:rsidR="00B34E15">
        <w:rPr>
          <w:rFonts w:ascii="Times New Roman" w:eastAsiaTheme="majorEastAsia" w:hAnsi="Times New Roman"/>
          <w:bCs w:val="0"/>
          <w:color w:val="auto"/>
          <w:sz w:val="24"/>
          <w:szCs w:val="24"/>
          <w:lang w:eastAsia="bg-BG"/>
        </w:rPr>
        <w:t xml:space="preserve"> и</w:t>
      </w:r>
      <w:r w:rsidR="00B34E15" w:rsidRPr="00025214">
        <w:rPr>
          <w:rFonts w:ascii="Times New Roman" w:eastAsiaTheme="majorEastAsia" w:hAnsi="Times New Roman"/>
          <w:bCs w:val="0"/>
          <w:color w:val="auto"/>
          <w:sz w:val="24"/>
          <w:szCs w:val="24"/>
          <w:lang w:eastAsia="bg-BG"/>
        </w:rPr>
        <w:t xml:space="preserve"> </w:t>
      </w:r>
      <w:r w:rsidR="00B34E15">
        <w:rPr>
          <w:rFonts w:ascii="Times New Roman" w:eastAsiaTheme="majorEastAsia" w:hAnsi="Times New Roman"/>
          <w:bCs w:val="0"/>
          <w:color w:val="auto"/>
          <w:sz w:val="24"/>
          <w:szCs w:val="24"/>
          <w:lang w:eastAsia="bg-BG"/>
        </w:rPr>
        <w:t>н</w:t>
      </w:r>
      <w:r w:rsidR="00B34E15" w:rsidRPr="00025214">
        <w:rPr>
          <w:rFonts w:ascii="Times New Roman" w:eastAsiaTheme="majorEastAsia" w:hAnsi="Times New Roman"/>
          <w:bCs w:val="0"/>
          <w:color w:val="auto"/>
          <w:sz w:val="24"/>
          <w:szCs w:val="24"/>
          <w:lang w:eastAsia="bg-BG"/>
        </w:rPr>
        <w:t xml:space="preserve">амаляване </w:t>
      </w:r>
      <w:r w:rsidR="005D0DB0" w:rsidRPr="00025214">
        <w:rPr>
          <w:rFonts w:ascii="Times New Roman" w:eastAsiaTheme="majorEastAsia" w:hAnsi="Times New Roman"/>
          <w:bCs w:val="0"/>
          <w:color w:val="auto"/>
          <w:sz w:val="24"/>
          <w:szCs w:val="24"/>
          <w:lang w:eastAsia="bg-BG"/>
        </w:rPr>
        <w:t>на случаите на инфекции чрез превантивни действия, добри хигиенни практики и ефективни противоепидемични мерки</w:t>
      </w:r>
      <w:r w:rsidR="00E843C8">
        <w:rPr>
          <w:rFonts w:ascii="Times New Roman" w:eastAsiaTheme="majorEastAsia" w:hAnsi="Times New Roman"/>
          <w:bCs w:val="0"/>
          <w:color w:val="auto"/>
          <w:sz w:val="24"/>
          <w:szCs w:val="24"/>
          <w:lang w:eastAsia="bg-BG"/>
        </w:rPr>
        <w:t>.</w:t>
      </w:r>
      <w:bookmarkEnd w:id="7"/>
      <w:r w:rsidR="005D0DB0" w:rsidRPr="00025214">
        <w:rPr>
          <w:rFonts w:ascii="Times New Roman" w:eastAsiaTheme="majorEastAsia" w:hAnsi="Times New Roman"/>
          <w:bCs w:val="0"/>
          <w:color w:val="auto"/>
          <w:sz w:val="24"/>
          <w:szCs w:val="24"/>
          <w:lang w:eastAsia="bg-BG"/>
        </w:rPr>
        <w:t xml:space="preserve"> </w:t>
      </w:r>
    </w:p>
    <w:p w14:paraId="6A25E243" w14:textId="77777777" w:rsidR="00DD67CB" w:rsidRPr="00997C23" w:rsidRDefault="00283826"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rPr>
        <w:t>О</w:t>
      </w:r>
      <w:r w:rsidR="00DD67CB" w:rsidRPr="00997C23">
        <w:rPr>
          <w:rFonts w:ascii="Times New Roman" w:hAnsi="Times New Roman" w:cs="Times New Roman"/>
          <w:sz w:val="24"/>
          <w:szCs w:val="24"/>
        </w:rPr>
        <w:t>сновни действащи документ</w:t>
      </w:r>
      <w:r w:rsidR="00C039B1" w:rsidRPr="00997C23">
        <w:rPr>
          <w:rFonts w:ascii="Times New Roman" w:hAnsi="Times New Roman" w:cs="Times New Roman"/>
          <w:sz w:val="24"/>
          <w:szCs w:val="24"/>
        </w:rPr>
        <w:t>и</w:t>
      </w:r>
      <w:r w:rsidR="00CF0BBC" w:rsidRPr="00997C23">
        <w:rPr>
          <w:rFonts w:ascii="Times New Roman" w:eastAsia="Times New Roman" w:hAnsi="Times New Roman" w:cs="Times New Roman"/>
          <w:bCs/>
          <w:iCs/>
          <w:sz w:val="24"/>
          <w:szCs w:val="24"/>
        </w:rPr>
        <w:t xml:space="preserve"> в Р</w:t>
      </w:r>
      <w:r w:rsidRPr="00997C23">
        <w:rPr>
          <w:rFonts w:ascii="Times New Roman" w:eastAsia="Times New Roman" w:hAnsi="Times New Roman" w:cs="Times New Roman"/>
          <w:bCs/>
          <w:iCs/>
          <w:sz w:val="24"/>
          <w:szCs w:val="24"/>
        </w:rPr>
        <w:t>епублика</w:t>
      </w:r>
      <w:r w:rsidR="00CF0BBC" w:rsidRPr="00997C23">
        <w:rPr>
          <w:rFonts w:ascii="Times New Roman" w:eastAsia="Times New Roman" w:hAnsi="Times New Roman" w:cs="Times New Roman"/>
          <w:bCs/>
          <w:iCs/>
          <w:sz w:val="24"/>
          <w:szCs w:val="24"/>
        </w:rPr>
        <w:t xml:space="preserve"> България,</w:t>
      </w:r>
      <w:r w:rsidR="00DD67CB" w:rsidRPr="00997C23">
        <w:rPr>
          <w:rFonts w:ascii="Times New Roman" w:hAnsi="Times New Roman" w:cs="Times New Roman"/>
          <w:sz w:val="24"/>
          <w:szCs w:val="24"/>
        </w:rPr>
        <w:t xml:space="preserve"> регламентиращи отговорностите, свързани с ограничаването на А</w:t>
      </w:r>
      <w:r w:rsidR="00940B62">
        <w:rPr>
          <w:rFonts w:ascii="Times New Roman" w:hAnsi="Times New Roman" w:cs="Times New Roman"/>
          <w:sz w:val="24"/>
          <w:szCs w:val="24"/>
        </w:rPr>
        <w:t>М</w:t>
      </w:r>
      <w:r w:rsidR="00DD67CB" w:rsidRPr="00997C23">
        <w:rPr>
          <w:rFonts w:ascii="Times New Roman" w:hAnsi="Times New Roman" w:cs="Times New Roman"/>
          <w:sz w:val="24"/>
          <w:szCs w:val="24"/>
        </w:rPr>
        <w:t>Р и рационалното прилагане на антибиотици</w:t>
      </w:r>
      <w:r w:rsidR="005D0DB0"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са медицинските стандарти „Микробиология“</w:t>
      </w:r>
      <w:r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„Превенция и контрол на вътреболничните инфекции“</w:t>
      </w:r>
      <w:r w:rsidRPr="00997C23">
        <w:rPr>
          <w:rFonts w:ascii="Times New Roman" w:hAnsi="Times New Roman" w:cs="Times New Roman"/>
          <w:sz w:val="24"/>
          <w:szCs w:val="24"/>
        </w:rPr>
        <w:t xml:space="preserve"> и Фармако-терапевтично ръководство за използване на антимикробни лекарствени продукти</w:t>
      </w:r>
      <w:r w:rsidR="00DD67CB" w:rsidRPr="00997C23">
        <w:rPr>
          <w:rFonts w:ascii="Times New Roman" w:hAnsi="Times New Roman" w:cs="Times New Roman"/>
          <w:sz w:val="24"/>
          <w:szCs w:val="24"/>
        </w:rPr>
        <w:t xml:space="preserve">. Съгласно нормативната </w:t>
      </w:r>
      <w:r w:rsidR="00CA2015">
        <w:rPr>
          <w:rFonts w:ascii="Times New Roman" w:hAnsi="Times New Roman" w:cs="Times New Roman"/>
          <w:sz w:val="24"/>
          <w:szCs w:val="24"/>
        </w:rPr>
        <w:t>уредба</w:t>
      </w:r>
      <w:r w:rsidR="00DD67CB" w:rsidRPr="00997C23">
        <w:rPr>
          <w:rFonts w:ascii="Times New Roman" w:hAnsi="Times New Roman" w:cs="Times New Roman"/>
          <w:sz w:val="24"/>
          <w:szCs w:val="24"/>
        </w:rPr>
        <w:t xml:space="preserve"> </w:t>
      </w:r>
      <w:r w:rsidR="00940B62">
        <w:rPr>
          <w:rFonts w:ascii="Times New Roman" w:hAnsi="Times New Roman" w:cs="Times New Roman"/>
          <w:sz w:val="24"/>
          <w:szCs w:val="24"/>
        </w:rPr>
        <w:t>регионалните здравни инспекции (</w:t>
      </w:r>
      <w:r w:rsidR="00DD67CB" w:rsidRPr="00997C23">
        <w:rPr>
          <w:rFonts w:ascii="Times New Roman" w:hAnsi="Times New Roman" w:cs="Times New Roman"/>
          <w:sz w:val="24"/>
          <w:szCs w:val="24"/>
        </w:rPr>
        <w:t>РЗИ</w:t>
      </w:r>
      <w:r w:rsidR="00940B62">
        <w:rPr>
          <w:rFonts w:ascii="Times New Roman" w:hAnsi="Times New Roman" w:cs="Times New Roman"/>
          <w:sz w:val="24"/>
          <w:szCs w:val="24"/>
        </w:rPr>
        <w:t>)</w:t>
      </w:r>
      <w:r w:rsidR="00DD67CB" w:rsidRPr="00997C23">
        <w:rPr>
          <w:rFonts w:ascii="Times New Roman" w:hAnsi="Times New Roman" w:cs="Times New Roman"/>
          <w:sz w:val="24"/>
          <w:szCs w:val="24"/>
        </w:rPr>
        <w:t xml:space="preserve"> </w:t>
      </w:r>
      <w:r w:rsidR="00CA2015">
        <w:rPr>
          <w:rFonts w:ascii="Times New Roman" w:hAnsi="Times New Roman" w:cs="Times New Roman"/>
          <w:sz w:val="24"/>
          <w:szCs w:val="24"/>
        </w:rPr>
        <w:t>са</w:t>
      </w:r>
      <w:r w:rsidR="00CA2015" w:rsidRPr="00997C23">
        <w:rPr>
          <w:rFonts w:ascii="Times New Roman" w:hAnsi="Times New Roman" w:cs="Times New Roman"/>
          <w:sz w:val="24"/>
          <w:szCs w:val="24"/>
        </w:rPr>
        <w:t xml:space="preserve"> отговорн</w:t>
      </w:r>
      <w:r w:rsidR="00CA2015">
        <w:rPr>
          <w:rFonts w:ascii="Times New Roman" w:hAnsi="Times New Roman" w:cs="Times New Roman"/>
          <w:sz w:val="24"/>
          <w:szCs w:val="24"/>
        </w:rPr>
        <w:t>и</w:t>
      </w:r>
      <w:r w:rsidR="00CA2015" w:rsidRPr="00997C23">
        <w:rPr>
          <w:rFonts w:ascii="Times New Roman" w:hAnsi="Times New Roman" w:cs="Times New Roman"/>
          <w:sz w:val="24"/>
          <w:szCs w:val="24"/>
        </w:rPr>
        <w:t xml:space="preserve"> </w:t>
      </w:r>
      <w:r w:rsidR="00DD67CB" w:rsidRPr="00997C23">
        <w:rPr>
          <w:rFonts w:ascii="Times New Roman" w:hAnsi="Times New Roman" w:cs="Times New Roman"/>
          <w:sz w:val="24"/>
          <w:szCs w:val="24"/>
        </w:rPr>
        <w:t xml:space="preserve">за провеждане на контрола в </w:t>
      </w:r>
      <w:r w:rsidRPr="00997C23">
        <w:rPr>
          <w:rFonts w:ascii="Times New Roman" w:hAnsi="Times New Roman" w:cs="Times New Roman"/>
          <w:sz w:val="24"/>
          <w:szCs w:val="24"/>
        </w:rPr>
        <w:t xml:space="preserve">лечебните заведения, вкл. </w:t>
      </w:r>
      <w:r w:rsidR="00DD67CB" w:rsidRPr="00997C23">
        <w:rPr>
          <w:rFonts w:ascii="Times New Roman" w:hAnsi="Times New Roman" w:cs="Times New Roman"/>
          <w:sz w:val="24"/>
          <w:szCs w:val="24"/>
        </w:rPr>
        <w:t xml:space="preserve">болниците и </w:t>
      </w:r>
      <w:r w:rsidRPr="00997C23">
        <w:rPr>
          <w:rFonts w:ascii="Times New Roman" w:hAnsi="Times New Roman" w:cs="Times New Roman"/>
          <w:sz w:val="24"/>
          <w:szCs w:val="24"/>
        </w:rPr>
        <w:t xml:space="preserve">за </w:t>
      </w:r>
      <w:r w:rsidR="00DD67CB" w:rsidRPr="00997C23">
        <w:rPr>
          <w:rFonts w:ascii="Times New Roman" w:hAnsi="Times New Roman" w:cs="Times New Roman"/>
          <w:sz w:val="24"/>
          <w:szCs w:val="24"/>
        </w:rPr>
        <w:t xml:space="preserve">събиране на данни за </w:t>
      </w:r>
      <w:r w:rsidR="00F52412">
        <w:rPr>
          <w:rFonts w:ascii="Times New Roman" w:hAnsi="Times New Roman" w:cs="Times New Roman"/>
          <w:sz w:val="24"/>
          <w:szCs w:val="24"/>
        </w:rPr>
        <w:t>инфекции, свързани с медицинското обслужване (</w:t>
      </w:r>
      <w:r w:rsidR="00DD67CB" w:rsidRPr="00997C23">
        <w:rPr>
          <w:rFonts w:ascii="Times New Roman" w:hAnsi="Times New Roman" w:cs="Times New Roman"/>
          <w:sz w:val="24"/>
          <w:szCs w:val="24"/>
        </w:rPr>
        <w:t>ИСМО</w:t>
      </w:r>
      <w:r w:rsidR="00F52412">
        <w:rPr>
          <w:rFonts w:ascii="Times New Roman" w:hAnsi="Times New Roman" w:cs="Times New Roman"/>
          <w:sz w:val="24"/>
          <w:szCs w:val="24"/>
        </w:rPr>
        <w:t>)</w:t>
      </w:r>
      <w:r w:rsidR="00DD67CB" w:rsidRPr="00997C23">
        <w:rPr>
          <w:rFonts w:ascii="Times New Roman" w:hAnsi="Times New Roman" w:cs="Times New Roman"/>
          <w:sz w:val="24"/>
          <w:szCs w:val="24"/>
        </w:rPr>
        <w:t xml:space="preserve">. </w:t>
      </w:r>
      <w:r w:rsidRPr="00997C23">
        <w:rPr>
          <w:rFonts w:ascii="Times New Roman" w:hAnsi="Times New Roman" w:cs="Times New Roman"/>
          <w:sz w:val="24"/>
          <w:szCs w:val="24"/>
        </w:rPr>
        <w:t xml:space="preserve">Всяко лечебно заведение за болнична помощ следва да спазва изискванията за осъществяване на дейностите по надзор на вътреболнични инфекции и </w:t>
      </w:r>
      <w:r w:rsidRPr="00997C23">
        <w:rPr>
          <w:rFonts w:ascii="Times New Roman" w:hAnsi="Times New Roman" w:cs="Times New Roman"/>
          <w:sz w:val="24"/>
          <w:szCs w:val="24"/>
        </w:rPr>
        <w:lastRenderedPageBreak/>
        <w:t>АМР като ид</w:t>
      </w:r>
      <w:r w:rsidR="00F12D64">
        <w:rPr>
          <w:rFonts w:ascii="Times New Roman" w:hAnsi="Times New Roman" w:cs="Times New Roman"/>
          <w:sz w:val="24"/>
          <w:szCs w:val="24"/>
          <w:lang w:val="en-US"/>
        </w:rPr>
        <w:t>e</w:t>
      </w:r>
      <w:r w:rsidRPr="00997C23">
        <w:rPr>
          <w:rFonts w:ascii="Times New Roman" w:hAnsi="Times New Roman" w:cs="Times New Roman"/>
          <w:sz w:val="24"/>
          <w:szCs w:val="24"/>
        </w:rPr>
        <w:t xml:space="preserve">нтифицира рисковите отделения/клиники и практиките в тях, определя ендемичното ниво на заболяемост от </w:t>
      </w:r>
      <w:r w:rsidR="00F52412">
        <w:rPr>
          <w:rFonts w:ascii="Times New Roman" w:hAnsi="Times New Roman" w:cs="Times New Roman"/>
          <w:sz w:val="24"/>
          <w:szCs w:val="24"/>
        </w:rPr>
        <w:t>вътреболнични инфекции (</w:t>
      </w:r>
      <w:r w:rsidRPr="00997C23">
        <w:rPr>
          <w:rFonts w:ascii="Times New Roman" w:hAnsi="Times New Roman" w:cs="Times New Roman"/>
          <w:sz w:val="24"/>
          <w:szCs w:val="24"/>
        </w:rPr>
        <w:t>ВБИ</w:t>
      </w:r>
      <w:r w:rsidR="00F52412">
        <w:rPr>
          <w:rFonts w:ascii="Times New Roman" w:hAnsi="Times New Roman" w:cs="Times New Roman"/>
          <w:sz w:val="24"/>
          <w:szCs w:val="24"/>
        </w:rPr>
        <w:t>)</w:t>
      </w:r>
      <w:r w:rsidRPr="00997C23">
        <w:rPr>
          <w:rFonts w:ascii="Times New Roman" w:hAnsi="Times New Roman" w:cs="Times New Roman"/>
          <w:sz w:val="24"/>
          <w:szCs w:val="24"/>
        </w:rPr>
        <w:t xml:space="preserve"> и разпространението на АМР, </w:t>
      </w:r>
      <w:r w:rsidR="00657C82" w:rsidRPr="00997C23">
        <w:rPr>
          <w:rFonts w:ascii="Times New Roman" w:hAnsi="Times New Roman" w:cs="Times New Roman"/>
          <w:sz w:val="24"/>
          <w:szCs w:val="24"/>
        </w:rPr>
        <w:t>въвежда мерки за отстраняването на причините за ограничаване влиянието на рисковите фа</w:t>
      </w:r>
      <w:r w:rsidR="00EA4519" w:rsidRPr="00997C23">
        <w:rPr>
          <w:rFonts w:ascii="Times New Roman" w:hAnsi="Times New Roman" w:cs="Times New Roman"/>
          <w:sz w:val="24"/>
          <w:szCs w:val="24"/>
        </w:rPr>
        <w:t>к</w:t>
      </w:r>
      <w:r w:rsidR="00657C82" w:rsidRPr="00997C23">
        <w:rPr>
          <w:rFonts w:ascii="Times New Roman" w:hAnsi="Times New Roman" w:cs="Times New Roman"/>
          <w:sz w:val="24"/>
          <w:szCs w:val="24"/>
        </w:rPr>
        <w:t xml:space="preserve">тори и последваща оценка на предприетите мерки и др. </w:t>
      </w:r>
      <w:r w:rsidR="00B10C6B" w:rsidRPr="00997C23">
        <w:rPr>
          <w:rFonts w:ascii="Times New Roman" w:hAnsi="Times New Roman" w:cs="Times New Roman"/>
          <w:sz w:val="24"/>
          <w:szCs w:val="24"/>
        </w:rPr>
        <w:t>Профилактиката на ВБИ е отговорност на целия пер</w:t>
      </w:r>
      <w:r w:rsidR="00EA4519" w:rsidRPr="00997C23">
        <w:rPr>
          <w:rFonts w:ascii="Times New Roman" w:hAnsi="Times New Roman" w:cs="Times New Roman"/>
          <w:sz w:val="24"/>
          <w:szCs w:val="24"/>
        </w:rPr>
        <w:t>с</w:t>
      </w:r>
      <w:r w:rsidR="00B10C6B" w:rsidRPr="00997C23">
        <w:rPr>
          <w:rFonts w:ascii="Times New Roman" w:hAnsi="Times New Roman" w:cs="Times New Roman"/>
          <w:sz w:val="24"/>
          <w:szCs w:val="24"/>
        </w:rPr>
        <w:t>онал на лечебното заведение: медицинс</w:t>
      </w:r>
      <w:r w:rsidR="00EA4519" w:rsidRPr="00997C23">
        <w:rPr>
          <w:rFonts w:ascii="Times New Roman" w:hAnsi="Times New Roman" w:cs="Times New Roman"/>
          <w:sz w:val="24"/>
          <w:szCs w:val="24"/>
        </w:rPr>
        <w:t>к</w:t>
      </w:r>
      <w:r w:rsidR="00B10C6B" w:rsidRPr="00997C23">
        <w:rPr>
          <w:rFonts w:ascii="Times New Roman" w:hAnsi="Times New Roman" w:cs="Times New Roman"/>
          <w:sz w:val="24"/>
          <w:szCs w:val="24"/>
        </w:rPr>
        <w:t>и специалисти, технически персонал, фармаце</w:t>
      </w:r>
      <w:r w:rsidR="00EA4519" w:rsidRPr="00997C23">
        <w:rPr>
          <w:rFonts w:ascii="Times New Roman" w:hAnsi="Times New Roman" w:cs="Times New Roman"/>
          <w:sz w:val="24"/>
          <w:szCs w:val="24"/>
        </w:rPr>
        <w:t>в</w:t>
      </w:r>
      <w:r w:rsidR="00B10C6B" w:rsidRPr="00997C23">
        <w:rPr>
          <w:rFonts w:ascii="Times New Roman" w:hAnsi="Times New Roman" w:cs="Times New Roman"/>
          <w:sz w:val="24"/>
          <w:szCs w:val="24"/>
        </w:rPr>
        <w:t xml:space="preserve">ти, студенти и др. </w:t>
      </w:r>
      <w:r w:rsidR="008B6644" w:rsidRPr="00997C23">
        <w:rPr>
          <w:rFonts w:ascii="Times New Roman" w:hAnsi="Times New Roman" w:cs="Times New Roman"/>
          <w:sz w:val="24"/>
          <w:szCs w:val="24"/>
        </w:rPr>
        <w:t>М</w:t>
      </w:r>
      <w:r w:rsidR="00DD67CB" w:rsidRPr="00997C23">
        <w:rPr>
          <w:rFonts w:ascii="Times New Roman" w:hAnsi="Times New Roman" w:cs="Times New Roman"/>
          <w:sz w:val="24"/>
          <w:szCs w:val="24"/>
        </w:rPr>
        <w:t>ерките</w:t>
      </w:r>
      <w:r w:rsidR="008B6644" w:rsidRPr="00997C23">
        <w:rPr>
          <w:rFonts w:ascii="Times New Roman" w:hAnsi="Times New Roman" w:cs="Times New Roman"/>
          <w:sz w:val="24"/>
          <w:szCs w:val="24"/>
        </w:rPr>
        <w:t xml:space="preserve"> за о</w:t>
      </w:r>
      <w:r w:rsidR="00DD67CB" w:rsidRPr="00997C23">
        <w:rPr>
          <w:rFonts w:ascii="Times New Roman" w:hAnsi="Times New Roman" w:cs="Times New Roman"/>
          <w:sz w:val="24"/>
          <w:szCs w:val="24"/>
        </w:rPr>
        <w:t>граничаване на ИСМО</w:t>
      </w:r>
      <w:r w:rsidR="008B6644" w:rsidRPr="00997C23">
        <w:rPr>
          <w:rFonts w:ascii="Times New Roman" w:hAnsi="Times New Roman" w:cs="Times New Roman"/>
          <w:sz w:val="24"/>
          <w:szCs w:val="24"/>
        </w:rPr>
        <w:t xml:space="preserve"> и АМР включват и</w:t>
      </w:r>
      <w:r w:rsidR="00DD67CB" w:rsidRPr="00997C23">
        <w:rPr>
          <w:rFonts w:ascii="Times New Roman" w:hAnsi="Times New Roman" w:cs="Times New Roman"/>
          <w:sz w:val="24"/>
          <w:szCs w:val="24"/>
        </w:rPr>
        <w:t xml:space="preserve"> ревизиране на локалните болнични политики за рационално използване на антибиотиците</w:t>
      </w:r>
      <w:r w:rsidR="008B6644" w:rsidRPr="00997C23">
        <w:rPr>
          <w:rFonts w:ascii="Times New Roman" w:hAnsi="Times New Roman" w:cs="Times New Roman"/>
          <w:sz w:val="24"/>
          <w:szCs w:val="24"/>
        </w:rPr>
        <w:t>,</w:t>
      </w:r>
      <w:r w:rsidR="00DD67CB" w:rsidRPr="00997C23">
        <w:rPr>
          <w:rFonts w:ascii="Times New Roman" w:hAnsi="Times New Roman" w:cs="Times New Roman"/>
          <w:sz w:val="24"/>
          <w:szCs w:val="24"/>
        </w:rPr>
        <w:t xml:space="preserve"> </w:t>
      </w:r>
      <w:r w:rsidR="008B6644" w:rsidRPr="00997C23">
        <w:rPr>
          <w:rFonts w:ascii="Times New Roman" w:hAnsi="Times New Roman" w:cs="Times New Roman"/>
          <w:sz w:val="24"/>
          <w:szCs w:val="24"/>
        </w:rPr>
        <w:t xml:space="preserve">ефективна работа на </w:t>
      </w:r>
      <w:r w:rsidR="00DD67CB" w:rsidRPr="00997C23">
        <w:rPr>
          <w:rFonts w:ascii="Times New Roman" w:hAnsi="Times New Roman" w:cs="Times New Roman"/>
          <w:sz w:val="24"/>
          <w:szCs w:val="24"/>
        </w:rPr>
        <w:t xml:space="preserve">болничните комисии </w:t>
      </w:r>
      <w:r w:rsidR="008B6644" w:rsidRPr="00997C23">
        <w:rPr>
          <w:rFonts w:ascii="Times New Roman" w:hAnsi="Times New Roman" w:cs="Times New Roman"/>
          <w:sz w:val="24"/>
          <w:szCs w:val="24"/>
        </w:rPr>
        <w:t xml:space="preserve">по ВБИ </w:t>
      </w:r>
      <w:r w:rsidR="00DD67CB" w:rsidRPr="00997C23">
        <w:rPr>
          <w:rFonts w:ascii="Times New Roman" w:hAnsi="Times New Roman" w:cs="Times New Roman"/>
          <w:sz w:val="24"/>
          <w:szCs w:val="24"/>
        </w:rPr>
        <w:t>и екипи</w:t>
      </w:r>
      <w:r w:rsidR="008B6644" w:rsidRPr="00997C23">
        <w:rPr>
          <w:rFonts w:ascii="Times New Roman" w:hAnsi="Times New Roman" w:cs="Times New Roman"/>
          <w:sz w:val="24"/>
          <w:szCs w:val="24"/>
        </w:rPr>
        <w:t>те</w:t>
      </w:r>
      <w:r w:rsidR="00DD67CB" w:rsidRPr="00997C23">
        <w:rPr>
          <w:rFonts w:ascii="Times New Roman" w:hAnsi="Times New Roman" w:cs="Times New Roman"/>
          <w:sz w:val="24"/>
          <w:szCs w:val="24"/>
        </w:rPr>
        <w:t xml:space="preserve"> по контрол на инфекциите</w:t>
      </w:r>
      <w:r w:rsidR="008B6644" w:rsidRPr="00997C23">
        <w:rPr>
          <w:rFonts w:ascii="Times New Roman" w:hAnsi="Times New Roman" w:cs="Times New Roman"/>
          <w:sz w:val="24"/>
          <w:szCs w:val="24"/>
        </w:rPr>
        <w:t>, както и пълна разкриваемост на ВБИ и причините довели до възникването им</w:t>
      </w:r>
      <w:r w:rsidR="00DD67CB" w:rsidRPr="00997C23">
        <w:rPr>
          <w:rFonts w:ascii="Times New Roman" w:hAnsi="Times New Roman" w:cs="Times New Roman"/>
          <w:sz w:val="24"/>
          <w:szCs w:val="24"/>
        </w:rPr>
        <w:t xml:space="preserve">. </w:t>
      </w:r>
    </w:p>
    <w:p w14:paraId="4A66055F" w14:textId="77777777" w:rsidR="00DD67CB" w:rsidRPr="00997C23" w:rsidRDefault="001B0E63" w:rsidP="00C467DB">
      <w:pPr>
        <w:spacing w:after="0" w:line="360" w:lineRule="auto"/>
        <w:ind w:firstLine="709"/>
        <w:contextualSpacing/>
        <w:jc w:val="both"/>
        <w:rPr>
          <w:rFonts w:ascii="Times New Roman" w:hAnsi="Times New Roman" w:cs="Times New Roman"/>
          <w:sz w:val="24"/>
          <w:szCs w:val="24"/>
        </w:rPr>
      </w:pPr>
      <w:r w:rsidRPr="00997C23">
        <w:rPr>
          <w:rFonts w:ascii="Times New Roman" w:eastAsia="Times New Roman" w:hAnsi="Times New Roman" w:cs="Times New Roman"/>
          <w:bCs/>
          <w:iCs/>
          <w:sz w:val="24"/>
          <w:szCs w:val="24"/>
        </w:rPr>
        <w:t>Българска асоциация за превенция и контрол на нозокомиалните (вътреболнични) инфекции</w:t>
      </w:r>
      <w:r w:rsidRPr="00997C23" w:rsidDel="001B0E6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lang w:val="en-US"/>
        </w:rPr>
        <w:t>(</w:t>
      </w:r>
      <w:r>
        <w:rPr>
          <w:rFonts w:ascii="Times New Roman" w:eastAsia="Times New Roman" w:hAnsi="Times New Roman" w:cs="Times New Roman"/>
          <w:bCs/>
          <w:iCs/>
          <w:sz w:val="24"/>
          <w:szCs w:val="24"/>
        </w:rPr>
        <w:t>БулНозо</w:t>
      </w:r>
      <w:r>
        <w:rPr>
          <w:rFonts w:ascii="Times New Roman" w:eastAsia="Times New Roman" w:hAnsi="Times New Roman" w:cs="Times New Roman"/>
          <w:bCs/>
          <w:iCs/>
          <w:sz w:val="24"/>
          <w:szCs w:val="24"/>
          <w:lang w:val="en-US"/>
        </w:rPr>
        <w:t>)</w:t>
      </w:r>
      <w:r>
        <w:rPr>
          <w:rFonts w:ascii="Times New Roman" w:eastAsia="Times New Roman" w:hAnsi="Times New Roman" w:cs="Times New Roman"/>
          <w:bCs/>
          <w:iCs/>
          <w:sz w:val="24"/>
          <w:szCs w:val="24"/>
        </w:rPr>
        <w:t xml:space="preserve"> </w:t>
      </w:r>
      <w:r w:rsidR="00DD67CB" w:rsidRPr="00997C23">
        <w:rPr>
          <w:rFonts w:ascii="Times New Roman" w:hAnsi="Times New Roman" w:cs="Times New Roman"/>
          <w:sz w:val="24"/>
          <w:szCs w:val="24"/>
        </w:rPr>
        <w:t>организира ежегодни кампании за популяризиране на</w:t>
      </w:r>
      <w:r w:rsidR="003956E8" w:rsidRPr="00997C23">
        <w:rPr>
          <w:rFonts w:ascii="Times New Roman" w:hAnsi="Times New Roman" w:cs="Times New Roman"/>
          <w:sz w:val="24"/>
          <w:szCs w:val="24"/>
        </w:rPr>
        <w:t xml:space="preserve"> съвременните</w:t>
      </w:r>
      <w:r w:rsidR="00DD67CB" w:rsidRPr="00997C23">
        <w:rPr>
          <w:rFonts w:ascii="Times New Roman" w:hAnsi="Times New Roman" w:cs="Times New Roman"/>
          <w:sz w:val="24"/>
          <w:szCs w:val="24"/>
        </w:rPr>
        <w:t xml:space="preserve"> мерки за контрол на инфекциите сред </w:t>
      </w:r>
      <w:r w:rsidR="001929CC" w:rsidRPr="00997C23">
        <w:rPr>
          <w:rFonts w:ascii="Times New Roman" w:hAnsi="Times New Roman" w:cs="Times New Roman"/>
          <w:sz w:val="24"/>
          <w:szCs w:val="24"/>
        </w:rPr>
        <w:t>медицинските специалисти</w:t>
      </w:r>
      <w:r w:rsidR="00DD67CB" w:rsidRPr="00997C23">
        <w:rPr>
          <w:rFonts w:ascii="Times New Roman" w:hAnsi="Times New Roman" w:cs="Times New Roman"/>
          <w:sz w:val="24"/>
          <w:szCs w:val="24"/>
        </w:rPr>
        <w:t xml:space="preserve"> и в частност хигиената на ръцете.</w:t>
      </w:r>
      <w:r w:rsidR="00CF67E6" w:rsidRPr="00997C23">
        <w:rPr>
          <w:rFonts w:ascii="Times New Roman" w:hAnsi="Times New Roman" w:cs="Times New Roman"/>
          <w:sz w:val="24"/>
          <w:szCs w:val="24"/>
        </w:rPr>
        <w:t xml:space="preserve"> Издадени са редица ръководства и наръчници, достъпни от уебсайта на организацията.</w:t>
      </w:r>
    </w:p>
    <w:p w14:paraId="46E8EFF8" w14:textId="77777777" w:rsidR="00CF0BBC" w:rsidRPr="00997C23" w:rsidRDefault="002C5A23" w:rsidP="00C467DB">
      <w:pPr>
        <w:spacing w:after="0" w:line="360" w:lineRule="auto"/>
        <w:ind w:firstLine="709"/>
        <w:contextualSpacing/>
        <w:jc w:val="both"/>
        <w:rPr>
          <w:rFonts w:ascii="Times New Roman" w:eastAsia="Times New Roman" w:hAnsi="Times New Roman" w:cs="Times New Roman"/>
          <w:bCs/>
          <w:iCs/>
          <w:sz w:val="24"/>
          <w:szCs w:val="24"/>
        </w:rPr>
      </w:pPr>
      <w:r w:rsidRPr="00997C23">
        <w:rPr>
          <w:rFonts w:ascii="Times New Roman" w:eastAsia="Times New Roman" w:hAnsi="Times New Roman" w:cs="Times New Roman"/>
          <w:bCs/>
          <w:iCs/>
          <w:sz w:val="24"/>
          <w:szCs w:val="24"/>
        </w:rPr>
        <w:t>М</w:t>
      </w:r>
      <w:r w:rsidR="00CF0BBC" w:rsidRPr="00997C23">
        <w:rPr>
          <w:rFonts w:ascii="Times New Roman" w:eastAsia="Times New Roman" w:hAnsi="Times New Roman" w:cs="Times New Roman"/>
          <w:bCs/>
          <w:iCs/>
          <w:sz w:val="24"/>
          <w:szCs w:val="24"/>
        </w:rPr>
        <w:t xml:space="preserve">ерките по </w:t>
      </w:r>
      <w:r w:rsidR="00EA4519" w:rsidRPr="00997C23">
        <w:rPr>
          <w:rFonts w:ascii="Times New Roman" w:eastAsia="Times New Roman" w:hAnsi="Times New Roman" w:cs="Times New Roman"/>
          <w:bCs/>
          <w:iCs/>
          <w:sz w:val="24"/>
          <w:szCs w:val="24"/>
        </w:rPr>
        <w:t>к</w:t>
      </w:r>
      <w:r w:rsidR="00CF0BBC" w:rsidRPr="00997C23">
        <w:rPr>
          <w:rFonts w:ascii="Times New Roman" w:eastAsia="Times New Roman" w:hAnsi="Times New Roman" w:cs="Times New Roman"/>
          <w:bCs/>
          <w:iCs/>
          <w:sz w:val="24"/>
          <w:szCs w:val="24"/>
        </w:rPr>
        <w:t>онтрол и превенция на инфекциите често продължават да бъдат недооценявани и неглижирани, а препоръките изпълн</w:t>
      </w:r>
      <w:r w:rsidR="008B0F2A" w:rsidRPr="00997C23">
        <w:rPr>
          <w:rFonts w:ascii="Times New Roman" w:eastAsia="Times New Roman" w:hAnsi="Times New Roman" w:cs="Times New Roman"/>
          <w:bCs/>
          <w:iCs/>
          <w:sz w:val="24"/>
          <w:szCs w:val="24"/>
        </w:rPr>
        <w:t>я</w:t>
      </w:r>
      <w:r w:rsidR="00CF0BBC" w:rsidRPr="00997C23">
        <w:rPr>
          <w:rFonts w:ascii="Times New Roman" w:eastAsia="Times New Roman" w:hAnsi="Times New Roman" w:cs="Times New Roman"/>
          <w:bCs/>
          <w:iCs/>
          <w:sz w:val="24"/>
          <w:szCs w:val="24"/>
        </w:rPr>
        <w:t>вани формално</w:t>
      </w:r>
      <w:r w:rsidRPr="00997C23">
        <w:rPr>
          <w:rFonts w:ascii="Times New Roman" w:eastAsia="Times New Roman" w:hAnsi="Times New Roman" w:cs="Times New Roman"/>
          <w:bCs/>
          <w:iCs/>
          <w:sz w:val="24"/>
          <w:szCs w:val="24"/>
        </w:rPr>
        <w:t>,</w:t>
      </w:r>
      <w:r w:rsidR="00CF0BBC" w:rsidRPr="00997C23">
        <w:rPr>
          <w:rFonts w:ascii="Times New Roman" w:eastAsia="Times New Roman" w:hAnsi="Times New Roman" w:cs="Times New Roman"/>
          <w:bCs/>
          <w:iCs/>
          <w:sz w:val="24"/>
          <w:szCs w:val="24"/>
        </w:rPr>
        <w:t xml:space="preserve"> не </w:t>
      </w:r>
      <w:r w:rsidRPr="00997C23">
        <w:rPr>
          <w:rFonts w:ascii="Times New Roman" w:eastAsia="Times New Roman" w:hAnsi="Times New Roman" w:cs="Times New Roman"/>
          <w:bCs/>
          <w:iCs/>
          <w:sz w:val="24"/>
          <w:szCs w:val="24"/>
        </w:rPr>
        <w:t xml:space="preserve">в пълен обем, както </w:t>
      </w:r>
      <w:r w:rsidR="00CF0BBC" w:rsidRPr="00997C23">
        <w:rPr>
          <w:rFonts w:ascii="Times New Roman" w:eastAsia="Times New Roman" w:hAnsi="Times New Roman" w:cs="Times New Roman"/>
          <w:bCs/>
          <w:iCs/>
          <w:sz w:val="24"/>
          <w:szCs w:val="24"/>
        </w:rPr>
        <w:t xml:space="preserve">по отношение на пациентите, </w:t>
      </w:r>
      <w:r w:rsidRPr="00997C23">
        <w:rPr>
          <w:rFonts w:ascii="Times New Roman" w:eastAsia="Times New Roman" w:hAnsi="Times New Roman" w:cs="Times New Roman"/>
          <w:bCs/>
          <w:iCs/>
          <w:sz w:val="24"/>
          <w:szCs w:val="24"/>
        </w:rPr>
        <w:t xml:space="preserve">така </w:t>
      </w:r>
      <w:r w:rsidR="00CF0BBC" w:rsidRPr="00997C23">
        <w:rPr>
          <w:rFonts w:ascii="Times New Roman" w:eastAsia="Times New Roman" w:hAnsi="Times New Roman" w:cs="Times New Roman"/>
          <w:bCs/>
          <w:iCs/>
          <w:sz w:val="24"/>
          <w:szCs w:val="24"/>
        </w:rPr>
        <w:t xml:space="preserve">и спрямо профилактиката на медицинския персонал </w:t>
      </w:r>
      <w:r w:rsidR="00CF0BBC" w:rsidRPr="00997C23">
        <w:rPr>
          <w:rFonts w:ascii="Times New Roman" w:eastAsia="Times New Roman" w:hAnsi="Times New Roman" w:cs="Times New Roman"/>
          <w:bCs/>
          <w:iCs/>
          <w:sz w:val="24"/>
          <w:szCs w:val="24"/>
          <w:lang w:val="en-US"/>
        </w:rPr>
        <w:t>(</w:t>
      </w:r>
      <w:r w:rsidRPr="00997C23">
        <w:rPr>
          <w:rFonts w:ascii="Times New Roman" w:eastAsia="Times New Roman" w:hAnsi="Times New Roman" w:cs="Times New Roman"/>
          <w:bCs/>
          <w:iCs/>
          <w:sz w:val="24"/>
          <w:szCs w:val="24"/>
        </w:rPr>
        <w:t xml:space="preserve">прилагане на </w:t>
      </w:r>
      <w:r w:rsidR="00CF0BBC" w:rsidRPr="00997C23">
        <w:rPr>
          <w:rFonts w:ascii="Times New Roman" w:eastAsia="Times New Roman" w:hAnsi="Times New Roman" w:cs="Times New Roman"/>
          <w:bCs/>
          <w:iCs/>
          <w:sz w:val="24"/>
          <w:szCs w:val="24"/>
        </w:rPr>
        <w:t>ваксини</w:t>
      </w:r>
      <w:r w:rsidRPr="00997C23">
        <w:rPr>
          <w:rFonts w:ascii="Times New Roman" w:eastAsia="Times New Roman" w:hAnsi="Times New Roman" w:cs="Times New Roman"/>
          <w:bCs/>
          <w:iCs/>
          <w:sz w:val="24"/>
          <w:szCs w:val="24"/>
        </w:rPr>
        <w:t xml:space="preserve"> срещу определени заболявания</w:t>
      </w:r>
      <w:r w:rsidR="00CF0BBC" w:rsidRPr="00997C23">
        <w:rPr>
          <w:rFonts w:ascii="Times New Roman" w:eastAsia="Times New Roman" w:hAnsi="Times New Roman" w:cs="Times New Roman"/>
          <w:bCs/>
          <w:iCs/>
          <w:sz w:val="24"/>
          <w:szCs w:val="24"/>
          <w:lang w:val="en-US"/>
        </w:rPr>
        <w:t>)</w:t>
      </w:r>
      <w:r w:rsidR="00CF0BBC" w:rsidRPr="00997C23">
        <w:rPr>
          <w:rFonts w:ascii="Times New Roman" w:eastAsia="Times New Roman" w:hAnsi="Times New Roman" w:cs="Times New Roman"/>
          <w:bCs/>
          <w:iCs/>
          <w:sz w:val="24"/>
          <w:szCs w:val="24"/>
        </w:rPr>
        <w:t xml:space="preserve">. Следователно, необходимо е интензифициране на </w:t>
      </w:r>
      <w:r w:rsidRPr="00997C23">
        <w:rPr>
          <w:rFonts w:ascii="Times New Roman" w:eastAsia="Times New Roman" w:hAnsi="Times New Roman" w:cs="Times New Roman"/>
          <w:bCs/>
          <w:iCs/>
          <w:sz w:val="24"/>
          <w:szCs w:val="24"/>
        </w:rPr>
        <w:t>к</w:t>
      </w:r>
      <w:r w:rsidR="00CF0BBC" w:rsidRPr="00997C23">
        <w:rPr>
          <w:rFonts w:ascii="Times New Roman" w:eastAsia="Times New Roman" w:hAnsi="Times New Roman" w:cs="Times New Roman"/>
          <w:bCs/>
          <w:iCs/>
          <w:sz w:val="24"/>
          <w:szCs w:val="24"/>
        </w:rPr>
        <w:t xml:space="preserve">онтрола на инфекциите в </w:t>
      </w:r>
      <w:r w:rsidRPr="00997C23">
        <w:rPr>
          <w:rFonts w:ascii="Times New Roman" w:eastAsia="Times New Roman" w:hAnsi="Times New Roman" w:cs="Times New Roman"/>
          <w:bCs/>
          <w:iCs/>
          <w:sz w:val="24"/>
          <w:szCs w:val="24"/>
        </w:rPr>
        <w:t xml:space="preserve">лечебните заведения за </w:t>
      </w:r>
      <w:r w:rsidR="00CF0BBC" w:rsidRPr="00997C23">
        <w:rPr>
          <w:rFonts w:ascii="Times New Roman" w:eastAsia="Times New Roman" w:hAnsi="Times New Roman" w:cs="Times New Roman"/>
          <w:bCs/>
          <w:iCs/>
          <w:sz w:val="24"/>
          <w:szCs w:val="24"/>
        </w:rPr>
        <w:t>болни</w:t>
      </w:r>
      <w:r w:rsidR="0091153F" w:rsidRPr="00997C23">
        <w:rPr>
          <w:rFonts w:ascii="Times New Roman" w:eastAsia="Times New Roman" w:hAnsi="Times New Roman" w:cs="Times New Roman"/>
          <w:bCs/>
          <w:iCs/>
          <w:sz w:val="24"/>
          <w:szCs w:val="24"/>
        </w:rPr>
        <w:t>чна</w:t>
      </w:r>
      <w:r w:rsidRPr="00997C23">
        <w:rPr>
          <w:rFonts w:ascii="Times New Roman" w:eastAsia="Times New Roman" w:hAnsi="Times New Roman" w:cs="Times New Roman"/>
          <w:bCs/>
          <w:iCs/>
          <w:sz w:val="24"/>
          <w:szCs w:val="24"/>
        </w:rPr>
        <w:t xml:space="preserve"> </w:t>
      </w:r>
      <w:r w:rsidR="0091153F" w:rsidRPr="00997C23">
        <w:rPr>
          <w:rFonts w:ascii="Times New Roman" w:eastAsia="Times New Roman" w:hAnsi="Times New Roman" w:cs="Times New Roman"/>
          <w:bCs/>
          <w:iCs/>
          <w:sz w:val="24"/>
          <w:szCs w:val="24"/>
        </w:rPr>
        <w:t>помощ</w:t>
      </w:r>
      <w:r w:rsidR="00CF0BBC" w:rsidRPr="00997C23">
        <w:rPr>
          <w:rFonts w:ascii="Times New Roman" w:eastAsia="Times New Roman" w:hAnsi="Times New Roman" w:cs="Times New Roman"/>
          <w:bCs/>
          <w:iCs/>
          <w:sz w:val="24"/>
          <w:szCs w:val="24"/>
        </w:rPr>
        <w:t xml:space="preserve">, в </w:t>
      </w:r>
      <w:r w:rsidR="00C91B4C" w:rsidRPr="00997C23">
        <w:rPr>
          <w:rFonts w:ascii="Times New Roman" w:eastAsia="Times New Roman" w:hAnsi="Times New Roman" w:cs="Times New Roman"/>
          <w:bCs/>
          <w:iCs/>
          <w:sz w:val="24"/>
          <w:szCs w:val="24"/>
        </w:rPr>
        <w:t xml:space="preserve">извънболничната </w:t>
      </w:r>
      <w:r w:rsidR="00CF0BBC" w:rsidRPr="00997C23">
        <w:rPr>
          <w:rFonts w:ascii="Times New Roman" w:eastAsia="Times New Roman" w:hAnsi="Times New Roman" w:cs="Times New Roman"/>
          <w:bCs/>
          <w:iCs/>
          <w:sz w:val="24"/>
          <w:szCs w:val="24"/>
        </w:rPr>
        <w:t>помощ, в секторите на животновъдството</w:t>
      </w:r>
      <w:r w:rsidRPr="00997C23">
        <w:rPr>
          <w:rFonts w:ascii="Times New Roman" w:eastAsia="Times New Roman" w:hAnsi="Times New Roman" w:cs="Times New Roman"/>
          <w:bCs/>
          <w:iCs/>
          <w:sz w:val="24"/>
          <w:szCs w:val="24"/>
        </w:rPr>
        <w:t>,</w:t>
      </w:r>
      <w:r w:rsidR="00CF0BBC" w:rsidRPr="00997C23">
        <w:rPr>
          <w:rFonts w:ascii="Times New Roman" w:eastAsia="Times New Roman" w:hAnsi="Times New Roman" w:cs="Times New Roman"/>
          <w:bCs/>
          <w:iCs/>
          <w:sz w:val="24"/>
          <w:szCs w:val="24"/>
        </w:rPr>
        <w:t xml:space="preserve"> ветеринарната медицина </w:t>
      </w:r>
      <w:r w:rsidRPr="00997C23">
        <w:rPr>
          <w:rFonts w:ascii="Times New Roman" w:eastAsia="Times New Roman" w:hAnsi="Times New Roman" w:cs="Times New Roman"/>
          <w:bCs/>
          <w:iCs/>
          <w:sz w:val="24"/>
          <w:szCs w:val="24"/>
        </w:rPr>
        <w:t>и</w:t>
      </w:r>
      <w:r w:rsidR="00CF0BBC" w:rsidRPr="00997C23">
        <w:rPr>
          <w:rFonts w:ascii="Times New Roman" w:eastAsia="Times New Roman" w:hAnsi="Times New Roman" w:cs="Times New Roman"/>
          <w:bCs/>
          <w:iCs/>
          <w:sz w:val="24"/>
          <w:szCs w:val="24"/>
        </w:rPr>
        <w:t xml:space="preserve"> околната среда.</w:t>
      </w:r>
    </w:p>
    <w:p w14:paraId="714ACA7E"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lang w:val="en-US"/>
        </w:rPr>
      </w:pPr>
      <w:r w:rsidRPr="00997C23">
        <w:rPr>
          <w:rFonts w:ascii="Times New Roman" w:hAnsi="Times New Roman" w:cs="Times New Roman"/>
          <w:sz w:val="24"/>
          <w:szCs w:val="24"/>
        </w:rPr>
        <w:t xml:space="preserve">През последните години България участва в </w:t>
      </w:r>
      <w:r w:rsidR="005B6E21" w:rsidRPr="00997C23">
        <w:rPr>
          <w:rFonts w:ascii="Times New Roman" w:hAnsi="Times New Roman" w:cs="Times New Roman"/>
          <w:sz w:val="24"/>
          <w:szCs w:val="24"/>
        </w:rPr>
        <w:t>множество</w:t>
      </w:r>
      <w:r w:rsidRPr="00997C23">
        <w:rPr>
          <w:rFonts w:ascii="Times New Roman" w:hAnsi="Times New Roman" w:cs="Times New Roman"/>
          <w:sz w:val="24"/>
          <w:szCs w:val="24"/>
        </w:rPr>
        <w:t xml:space="preserve"> европейски</w:t>
      </w:r>
      <w:r w:rsidR="00CF0BBC" w:rsidRPr="00997C23">
        <w:rPr>
          <w:rFonts w:ascii="Times New Roman" w:eastAsia="Times New Roman" w:hAnsi="Times New Roman" w:cs="Times New Roman"/>
          <w:bCs/>
          <w:iCs/>
          <w:sz w:val="24"/>
          <w:szCs w:val="24"/>
        </w:rPr>
        <w:t xml:space="preserve"> и международни научни</w:t>
      </w:r>
      <w:r w:rsidRPr="00997C23">
        <w:rPr>
          <w:rFonts w:ascii="Times New Roman" w:hAnsi="Times New Roman" w:cs="Times New Roman"/>
          <w:sz w:val="24"/>
          <w:szCs w:val="24"/>
        </w:rPr>
        <w:t xml:space="preserve"> проекти и инициативи свързани с контрола на инфекциите и безопасността на пациента: </w:t>
      </w:r>
    </w:p>
    <w:p w14:paraId="5D4735F6" w14:textId="77777777" w:rsidR="00DD67CB" w:rsidRPr="00C6190A" w:rsidRDefault="00DD67CB" w:rsidP="00C467DB">
      <w:pPr>
        <w:spacing w:after="0" w:line="360" w:lineRule="auto"/>
        <w:ind w:firstLine="709"/>
        <w:contextualSpacing/>
        <w:jc w:val="both"/>
        <w:rPr>
          <w:rFonts w:ascii="Times New Roman" w:hAnsi="Times New Roman" w:cs="Times New Roman"/>
          <w:sz w:val="24"/>
          <w:szCs w:val="24"/>
          <w:lang w:val="en-US"/>
        </w:rPr>
      </w:pPr>
      <w:r w:rsidRPr="00997C23">
        <w:rPr>
          <w:rFonts w:ascii="Times New Roman" w:hAnsi="Times New Roman" w:cs="Times New Roman"/>
          <w:sz w:val="24"/>
          <w:szCs w:val="24"/>
          <w:lang w:val="en-US"/>
        </w:rPr>
        <w:t xml:space="preserve">- </w:t>
      </w:r>
      <w:r w:rsidRPr="00997C23">
        <w:rPr>
          <w:rFonts w:ascii="Times New Roman" w:hAnsi="Times New Roman" w:cs="Times New Roman"/>
          <w:sz w:val="24"/>
          <w:szCs w:val="24"/>
        </w:rPr>
        <w:t>Европейск</w:t>
      </w:r>
      <w:r w:rsidR="003956E8" w:rsidRPr="00997C23">
        <w:rPr>
          <w:rFonts w:ascii="Times New Roman" w:hAnsi="Times New Roman" w:cs="Times New Roman"/>
          <w:sz w:val="24"/>
          <w:szCs w:val="24"/>
        </w:rPr>
        <w:t>и</w:t>
      </w:r>
      <w:r w:rsidRPr="00997C23">
        <w:rPr>
          <w:rFonts w:ascii="Times New Roman" w:hAnsi="Times New Roman" w:cs="Times New Roman"/>
          <w:sz w:val="24"/>
          <w:szCs w:val="24"/>
        </w:rPr>
        <w:t xml:space="preserve"> превалентн</w:t>
      </w:r>
      <w:r w:rsidR="003956E8" w:rsidRPr="00997C23">
        <w:rPr>
          <w:rFonts w:ascii="Times New Roman" w:hAnsi="Times New Roman" w:cs="Times New Roman"/>
          <w:sz w:val="24"/>
          <w:szCs w:val="24"/>
        </w:rPr>
        <w:t>и</w:t>
      </w:r>
      <w:r w:rsidRPr="00997C23">
        <w:rPr>
          <w:rFonts w:ascii="Times New Roman" w:hAnsi="Times New Roman" w:cs="Times New Roman"/>
          <w:sz w:val="24"/>
          <w:szCs w:val="24"/>
        </w:rPr>
        <w:t xml:space="preserve"> проучван</w:t>
      </w:r>
      <w:r w:rsidR="003956E8" w:rsidRPr="00997C23">
        <w:rPr>
          <w:rFonts w:ascii="Times New Roman" w:hAnsi="Times New Roman" w:cs="Times New Roman"/>
          <w:sz w:val="24"/>
          <w:szCs w:val="24"/>
        </w:rPr>
        <w:t>ия</w:t>
      </w:r>
      <w:r w:rsidRPr="00997C23">
        <w:rPr>
          <w:rFonts w:ascii="Times New Roman" w:hAnsi="Times New Roman" w:cs="Times New Roman"/>
          <w:sz w:val="24"/>
          <w:szCs w:val="24"/>
        </w:rPr>
        <w:t xml:space="preserve"> на </w:t>
      </w:r>
      <w:r w:rsidR="003956E8" w:rsidRPr="00997C23">
        <w:rPr>
          <w:rFonts w:ascii="Times New Roman" w:hAnsi="Times New Roman" w:cs="Times New Roman"/>
          <w:sz w:val="24"/>
          <w:szCs w:val="24"/>
        </w:rPr>
        <w:t>инфекциите</w:t>
      </w:r>
      <w:r w:rsidR="00EA4519" w:rsidRPr="00997C23">
        <w:rPr>
          <w:rFonts w:ascii="Times New Roman" w:hAnsi="Times New Roman" w:cs="Times New Roman"/>
          <w:sz w:val="24"/>
          <w:szCs w:val="24"/>
        </w:rPr>
        <w:t>,</w:t>
      </w:r>
      <w:r w:rsidR="003956E8" w:rsidRPr="00997C23">
        <w:rPr>
          <w:rFonts w:ascii="Times New Roman" w:hAnsi="Times New Roman" w:cs="Times New Roman"/>
          <w:sz w:val="24"/>
          <w:szCs w:val="24"/>
        </w:rPr>
        <w:t xml:space="preserve"> свързани с медицинското обслужване</w:t>
      </w:r>
      <w:r w:rsidRPr="00997C23">
        <w:rPr>
          <w:rFonts w:ascii="Times New Roman" w:hAnsi="Times New Roman" w:cs="Times New Roman"/>
          <w:sz w:val="24"/>
          <w:szCs w:val="24"/>
        </w:rPr>
        <w:t xml:space="preserve"> и антибиотичната консумация в Европейските болници</w:t>
      </w:r>
      <w:r w:rsidRPr="00997C23">
        <w:rPr>
          <w:rFonts w:ascii="Times New Roman" w:hAnsi="Times New Roman" w:cs="Times New Roman"/>
          <w:sz w:val="24"/>
          <w:szCs w:val="24"/>
          <w:lang w:val="ru-RU"/>
        </w:rPr>
        <w:t>, съответно през 2012</w:t>
      </w:r>
      <w:r w:rsidR="003956E8" w:rsidRPr="00997C23">
        <w:rPr>
          <w:rFonts w:ascii="Times New Roman" w:hAnsi="Times New Roman" w:cs="Times New Roman"/>
          <w:sz w:val="24"/>
          <w:szCs w:val="24"/>
          <w:lang w:val="ru-RU"/>
        </w:rPr>
        <w:t xml:space="preserve"> </w:t>
      </w:r>
      <w:r w:rsidR="00F64A90">
        <w:rPr>
          <w:rFonts w:ascii="Times New Roman" w:hAnsi="Times New Roman" w:cs="Times New Roman"/>
          <w:sz w:val="24"/>
          <w:szCs w:val="24"/>
          <w:lang w:val="ru-RU"/>
        </w:rPr>
        <w:t xml:space="preserve">г. </w:t>
      </w:r>
      <w:r w:rsidR="003956E8" w:rsidRPr="00997C23">
        <w:rPr>
          <w:rFonts w:ascii="Times New Roman" w:hAnsi="Times New Roman" w:cs="Times New Roman"/>
          <w:sz w:val="24"/>
          <w:szCs w:val="24"/>
          <w:lang w:val="ru-RU"/>
        </w:rPr>
        <w:t>(</w:t>
      </w:r>
      <w:r w:rsidR="003956E8" w:rsidRPr="00997C23">
        <w:rPr>
          <w:rFonts w:ascii="Times New Roman" w:hAnsi="Times New Roman" w:cs="Times New Roman"/>
          <w:sz w:val="24"/>
          <w:szCs w:val="24"/>
          <w:lang w:val="en-US"/>
        </w:rPr>
        <w:t>PPS I)</w:t>
      </w:r>
      <w:r w:rsidR="00C6190A">
        <w:rPr>
          <w:rFonts w:ascii="Times New Roman" w:hAnsi="Times New Roman" w:cs="Times New Roman"/>
          <w:sz w:val="24"/>
          <w:szCs w:val="24"/>
          <w:lang w:val="en-US"/>
        </w:rPr>
        <w:t xml:space="preserve">, </w:t>
      </w:r>
      <w:r w:rsidRPr="00997C23">
        <w:rPr>
          <w:rFonts w:ascii="Times New Roman" w:hAnsi="Times New Roman" w:cs="Times New Roman"/>
          <w:sz w:val="24"/>
          <w:szCs w:val="24"/>
          <w:lang w:val="ru-RU"/>
        </w:rPr>
        <w:t>2017 -201</w:t>
      </w:r>
      <w:r w:rsidR="003956E8" w:rsidRPr="00997C23">
        <w:rPr>
          <w:rFonts w:ascii="Times New Roman" w:hAnsi="Times New Roman" w:cs="Times New Roman"/>
          <w:sz w:val="24"/>
          <w:szCs w:val="24"/>
          <w:lang w:val="ru-RU"/>
        </w:rPr>
        <w:t>8</w:t>
      </w:r>
      <w:r w:rsidR="00F64A90">
        <w:rPr>
          <w:rFonts w:ascii="Times New Roman" w:hAnsi="Times New Roman" w:cs="Times New Roman"/>
          <w:sz w:val="24"/>
          <w:szCs w:val="24"/>
          <w:lang w:val="ru-RU"/>
        </w:rPr>
        <w:t xml:space="preserve"> г.</w:t>
      </w:r>
      <w:r w:rsidR="003956E8" w:rsidRPr="00997C23">
        <w:rPr>
          <w:rFonts w:ascii="Times New Roman" w:hAnsi="Times New Roman" w:cs="Times New Roman"/>
          <w:sz w:val="24"/>
          <w:szCs w:val="24"/>
          <w:lang w:val="ru-RU"/>
        </w:rPr>
        <w:t xml:space="preserve"> (</w:t>
      </w:r>
      <w:r w:rsidR="003956E8" w:rsidRPr="00997C23">
        <w:rPr>
          <w:rFonts w:ascii="Times New Roman" w:hAnsi="Times New Roman" w:cs="Times New Roman"/>
          <w:sz w:val="24"/>
          <w:szCs w:val="24"/>
          <w:lang w:val="en-US"/>
        </w:rPr>
        <w:t>PPS II)</w:t>
      </w:r>
      <w:r w:rsidR="00C6190A">
        <w:rPr>
          <w:rFonts w:ascii="Times New Roman" w:hAnsi="Times New Roman" w:cs="Times New Roman"/>
          <w:sz w:val="24"/>
          <w:szCs w:val="24"/>
          <w:lang w:val="en-US"/>
        </w:rPr>
        <w:t xml:space="preserve"> </w:t>
      </w:r>
      <w:r w:rsidR="00C6190A">
        <w:rPr>
          <w:rFonts w:ascii="Times New Roman" w:hAnsi="Times New Roman" w:cs="Times New Roman"/>
          <w:sz w:val="24"/>
          <w:szCs w:val="24"/>
        </w:rPr>
        <w:t>и</w:t>
      </w:r>
      <w:r w:rsidRPr="00997C23">
        <w:rPr>
          <w:rFonts w:ascii="Times New Roman" w:hAnsi="Times New Roman" w:cs="Times New Roman"/>
          <w:sz w:val="24"/>
          <w:szCs w:val="24"/>
          <w:lang w:val="ru-RU"/>
        </w:rPr>
        <w:t xml:space="preserve"> </w:t>
      </w:r>
      <w:r w:rsidR="00C6190A">
        <w:rPr>
          <w:rFonts w:ascii="Times New Roman" w:hAnsi="Times New Roman" w:cs="Times New Roman"/>
          <w:sz w:val="24"/>
          <w:szCs w:val="24"/>
          <w:lang w:val="en-US"/>
        </w:rPr>
        <w:t>2022-23 (PPS</w:t>
      </w:r>
      <w:r w:rsidR="002F6B3B">
        <w:rPr>
          <w:rFonts w:ascii="Times New Roman" w:hAnsi="Times New Roman" w:cs="Times New Roman"/>
          <w:sz w:val="24"/>
          <w:szCs w:val="24"/>
        </w:rPr>
        <w:t xml:space="preserve"> </w:t>
      </w:r>
      <w:r w:rsidR="00C6190A">
        <w:rPr>
          <w:rFonts w:ascii="Times New Roman" w:hAnsi="Times New Roman" w:cs="Times New Roman"/>
          <w:sz w:val="24"/>
          <w:szCs w:val="24"/>
          <w:lang w:val="en-US"/>
        </w:rPr>
        <w:t>III)</w:t>
      </w:r>
    </w:p>
    <w:p w14:paraId="0FEE17AE"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lang w:val="ru-RU"/>
        </w:rPr>
      </w:pPr>
      <w:r w:rsidRPr="00997C23">
        <w:rPr>
          <w:rFonts w:ascii="Times New Roman" w:hAnsi="Times New Roman" w:cs="Times New Roman"/>
          <w:sz w:val="24"/>
          <w:szCs w:val="24"/>
          <w:lang w:val="ru-RU"/>
        </w:rPr>
        <w:t>-</w:t>
      </w:r>
      <w:r w:rsidRPr="00997C23">
        <w:rPr>
          <w:rFonts w:ascii="Times New Roman" w:hAnsi="Times New Roman" w:cs="Times New Roman"/>
          <w:sz w:val="24"/>
          <w:szCs w:val="24"/>
          <w:lang w:val="en-US"/>
        </w:rPr>
        <w:t xml:space="preserve"> PROHIBIT</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Prevention</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of</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Hospital</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Infections</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by</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Interventions</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and</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Training</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WP</w:t>
      </w:r>
      <w:r w:rsidRPr="00997C23">
        <w:rPr>
          <w:rFonts w:ascii="Times New Roman" w:hAnsi="Times New Roman" w:cs="Times New Roman"/>
          <w:sz w:val="24"/>
          <w:szCs w:val="24"/>
          <w:lang w:val="ru-RU"/>
        </w:rPr>
        <w:t xml:space="preserve">3, 2012; </w:t>
      </w:r>
    </w:p>
    <w:p w14:paraId="3C0F249C"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lang w:val="ru-RU"/>
        </w:rPr>
      </w:pP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rPr>
        <w:t>Global Point Prevalence Survey of Antimicrobial Consumption and Resistance</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Global</w:t>
      </w: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lang w:val="en-US"/>
        </w:rPr>
        <w:t>PPS</w:t>
      </w:r>
      <w:r w:rsidRPr="00997C23">
        <w:rPr>
          <w:rFonts w:ascii="Times New Roman" w:hAnsi="Times New Roman" w:cs="Times New Roman"/>
          <w:sz w:val="24"/>
          <w:szCs w:val="24"/>
        </w:rPr>
        <w:t xml:space="preserve">), 2014-, 2015- , </w:t>
      </w:r>
      <w:r w:rsidR="003956E8" w:rsidRPr="00997C23">
        <w:rPr>
          <w:rFonts w:ascii="Times New Roman" w:hAnsi="Times New Roman" w:cs="Times New Roman"/>
          <w:sz w:val="24"/>
          <w:szCs w:val="24"/>
        </w:rPr>
        <w:t>2017</w:t>
      </w:r>
      <w:r w:rsidR="00F64A90">
        <w:rPr>
          <w:rFonts w:ascii="Times New Roman" w:hAnsi="Times New Roman" w:cs="Times New Roman"/>
          <w:sz w:val="24"/>
          <w:szCs w:val="24"/>
        </w:rPr>
        <w:t xml:space="preserve"> г.</w:t>
      </w:r>
      <w:r w:rsidRPr="00997C23">
        <w:rPr>
          <w:rFonts w:ascii="Times New Roman" w:hAnsi="Times New Roman" w:cs="Times New Roman"/>
          <w:sz w:val="24"/>
          <w:szCs w:val="24"/>
          <w:lang w:val="ru-RU"/>
        </w:rPr>
        <w:t xml:space="preserve">; </w:t>
      </w:r>
    </w:p>
    <w:p w14:paraId="2BFC4991" w14:textId="77777777" w:rsidR="005B6E21" w:rsidRPr="00997C23" w:rsidRDefault="00DD67CB" w:rsidP="00C467DB">
      <w:pPr>
        <w:spacing w:after="0" w:line="360" w:lineRule="auto"/>
        <w:ind w:firstLine="709"/>
        <w:contextualSpacing/>
        <w:jc w:val="both"/>
        <w:rPr>
          <w:rFonts w:ascii="Times New Roman" w:hAnsi="Times New Roman" w:cs="Times New Roman"/>
          <w:sz w:val="24"/>
          <w:szCs w:val="24"/>
        </w:rPr>
      </w:pPr>
      <w:r w:rsidRPr="00997C23">
        <w:rPr>
          <w:rFonts w:ascii="Times New Roman" w:hAnsi="Times New Roman" w:cs="Times New Roman"/>
          <w:sz w:val="24"/>
          <w:szCs w:val="24"/>
          <w:lang w:val="ru-RU"/>
        </w:rPr>
        <w:t xml:space="preserve">- </w:t>
      </w:r>
      <w:r w:rsidRPr="00997C23">
        <w:rPr>
          <w:rFonts w:ascii="Times New Roman" w:hAnsi="Times New Roman" w:cs="Times New Roman"/>
          <w:sz w:val="24"/>
          <w:szCs w:val="24"/>
        </w:rPr>
        <w:t xml:space="preserve">COMBACTE (Combating bacterial resistance in Europe), </w:t>
      </w:r>
      <w:r w:rsidRPr="00997C23">
        <w:rPr>
          <w:rFonts w:ascii="Times New Roman" w:hAnsi="Times New Roman" w:cs="Times New Roman"/>
          <w:sz w:val="24"/>
          <w:szCs w:val="24"/>
          <w:lang w:val="ru-RU"/>
        </w:rPr>
        <w:t>(координатор Р. Вачева-Добревска, и -</w:t>
      </w:r>
      <w:r w:rsidRPr="00997C23">
        <w:rPr>
          <w:rFonts w:ascii="Times New Roman" w:hAnsi="Times New Roman" w:cs="Times New Roman"/>
          <w:sz w:val="24"/>
          <w:szCs w:val="24"/>
        </w:rPr>
        <w:t>PREPARE</w:t>
      </w:r>
      <w:r w:rsidRPr="00997C23">
        <w:rPr>
          <w:rFonts w:ascii="Times New Roman" w:hAnsi="Times New Roman" w:cs="Times New Roman"/>
          <w:sz w:val="24"/>
          <w:szCs w:val="24"/>
          <w:lang w:val="ru-RU"/>
        </w:rPr>
        <w:t>,</w:t>
      </w:r>
      <w:r w:rsidRPr="00997C23">
        <w:rPr>
          <w:rFonts w:ascii="Times New Roman" w:hAnsi="Times New Roman" w:cs="Times New Roman"/>
          <w:sz w:val="24"/>
          <w:szCs w:val="24"/>
        </w:rPr>
        <w:t xml:space="preserve"> European Commission, 7 FP, 2014-, 2015</w:t>
      </w:r>
      <w:r w:rsidR="00F64A90">
        <w:rPr>
          <w:rFonts w:ascii="Times New Roman" w:hAnsi="Times New Roman" w:cs="Times New Roman"/>
          <w:sz w:val="24"/>
          <w:szCs w:val="24"/>
        </w:rPr>
        <w:t xml:space="preserve"> г.</w:t>
      </w:r>
      <w:r w:rsidR="003956E8" w:rsidRPr="00997C23">
        <w:rPr>
          <w:rFonts w:ascii="Times New Roman" w:hAnsi="Times New Roman" w:cs="Times New Roman"/>
          <w:sz w:val="24"/>
          <w:szCs w:val="24"/>
        </w:rPr>
        <w:t>)</w:t>
      </w:r>
      <w:r w:rsidRPr="00997C23">
        <w:rPr>
          <w:rFonts w:ascii="Times New Roman" w:hAnsi="Times New Roman" w:cs="Times New Roman"/>
          <w:sz w:val="24"/>
          <w:szCs w:val="24"/>
        </w:rPr>
        <w:t xml:space="preserve"> и др</w:t>
      </w:r>
      <w:r w:rsidR="001D5634" w:rsidRPr="00997C23">
        <w:rPr>
          <w:rFonts w:ascii="Times New Roman" w:hAnsi="Times New Roman" w:cs="Times New Roman"/>
          <w:sz w:val="24"/>
          <w:szCs w:val="24"/>
        </w:rPr>
        <w:t>.</w:t>
      </w:r>
    </w:p>
    <w:p w14:paraId="089F11CD" w14:textId="77777777" w:rsidR="00E147AF" w:rsidRPr="00997C23" w:rsidRDefault="00CF0BBC" w:rsidP="00C467DB">
      <w:pPr>
        <w:spacing w:after="0" w:line="360" w:lineRule="auto"/>
        <w:ind w:firstLine="709"/>
        <w:contextualSpacing/>
        <w:jc w:val="both"/>
        <w:rPr>
          <w:rFonts w:ascii="Times New Roman" w:hAnsi="Times New Roman" w:cs="Times New Roman"/>
          <w:sz w:val="24"/>
          <w:szCs w:val="24"/>
        </w:rPr>
      </w:pPr>
      <w:r w:rsidRPr="00997C23">
        <w:rPr>
          <w:rFonts w:ascii="Times New Roman" w:eastAsia="Times New Roman" w:hAnsi="Times New Roman" w:cs="Times New Roman"/>
          <w:sz w:val="24"/>
          <w:szCs w:val="24"/>
        </w:rPr>
        <w:t>Изводите от проведените проучвания показват, че съществуват</w:t>
      </w:r>
      <w:r w:rsidR="001D5634" w:rsidRPr="00997C23">
        <w:rPr>
          <w:rFonts w:ascii="Times New Roman" w:hAnsi="Times New Roman" w:cs="Times New Roman"/>
          <w:sz w:val="24"/>
          <w:szCs w:val="24"/>
        </w:rPr>
        <w:t xml:space="preserve"> множество проблеми за разрешаване, </w:t>
      </w:r>
      <w:r w:rsidR="00E147AF" w:rsidRPr="00997C23">
        <w:rPr>
          <w:rFonts w:ascii="Times New Roman" w:hAnsi="Times New Roman" w:cs="Times New Roman"/>
          <w:sz w:val="24"/>
          <w:szCs w:val="24"/>
        </w:rPr>
        <w:t xml:space="preserve">най-важните от </w:t>
      </w:r>
      <w:r w:rsidR="001D5634" w:rsidRPr="00997C23">
        <w:rPr>
          <w:rFonts w:ascii="Times New Roman" w:hAnsi="Times New Roman" w:cs="Times New Roman"/>
          <w:sz w:val="24"/>
          <w:szCs w:val="24"/>
        </w:rPr>
        <w:t xml:space="preserve">които </w:t>
      </w:r>
      <w:r w:rsidR="00E147AF" w:rsidRPr="00997C23">
        <w:rPr>
          <w:rFonts w:ascii="Times New Roman" w:hAnsi="Times New Roman" w:cs="Times New Roman"/>
          <w:sz w:val="24"/>
          <w:szCs w:val="24"/>
        </w:rPr>
        <w:t>са</w:t>
      </w:r>
      <w:r w:rsidRPr="00997C23">
        <w:rPr>
          <w:rFonts w:ascii="Times New Roman" w:eastAsia="Times New Roman" w:hAnsi="Times New Roman" w:cs="Times New Roman"/>
          <w:sz w:val="24"/>
          <w:szCs w:val="24"/>
        </w:rPr>
        <w:t>:</w:t>
      </w:r>
      <w:r w:rsidR="00E147AF" w:rsidRPr="00997C23">
        <w:rPr>
          <w:rFonts w:ascii="Times New Roman" w:hAnsi="Times New Roman" w:cs="Times New Roman"/>
          <w:sz w:val="24"/>
          <w:szCs w:val="24"/>
        </w:rPr>
        <w:t xml:space="preserve"> </w:t>
      </w:r>
      <w:r w:rsidR="001D5634" w:rsidRPr="00997C23">
        <w:rPr>
          <w:rFonts w:ascii="Times New Roman" w:hAnsi="Times New Roman" w:cs="Times New Roman"/>
          <w:sz w:val="24"/>
          <w:szCs w:val="24"/>
        </w:rPr>
        <w:t>заниженото регистриране на ИСМО</w:t>
      </w:r>
      <w:r w:rsidRPr="00997C23">
        <w:rPr>
          <w:rFonts w:ascii="Times New Roman" w:eastAsia="Times New Roman" w:hAnsi="Times New Roman" w:cs="Times New Roman"/>
          <w:sz w:val="24"/>
          <w:szCs w:val="24"/>
          <w:lang w:val="en-US"/>
        </w:rPr>
        <w:t xml:space="preserve"> </w:t>
      </w:r>
      <w:r w:rsidRPr="00997C23">
        <w:rPr>
          <w:rFonts w:ascii="Times New Roman" w:eastAsia="Times New Roman" w:hAnsi="Times New Roman" w:cs="Times New Roman"/>
          <w:sz w:val="24"/>
          <w:szCs w:val="24"/>
          <w:lang w:val="en-US"/>
        </w:rPr>
        <w:lastRenderedPageBreak/>
        <w:t>(</w:t>
      </w:r>
      <w:r w:rsidRPr="00997C23">
        <w:rPr>
          <w:rFonts w:ascii="Times New Roman" w:eastAsia="Times New Roman" w:hAnsi="Times New Roman" w:cs="Times New Roman"/>
          <w:sz w:val="24"/>
          <w:szCs w:val="24"/>
        </w:rPr>
        <w:t>над 5% в Европа, а под 2% у нас</w:t>
      </w:r>
      <w:r w:rsidRPr="00997C23">
        <w:rPr>
          <w:rFonts w:ascii="Times New Roman" w:eastAsia="Times New Roman" w:hAnsi="Times New Roman" w:cs="Times New Roman"/>
          <w:sz w:val="24"/>
          <w:szCs w:val="24"/>
          <w:lang w:val="en-US"/>
        </w:rPr>
        <w:t>)</w:t>
      </w:r>
      <w:r w:rsidRPr="00997C23">
        <w:rPr>
          <w:rFonts w:ascii="Times New Roman" w:eastAsia="Times New Roman" w:hAnsi="Times New Roman" w:cs="Times New Roman"/>
          <w:sz w:val="24"/>
          <w:szCs w:val="24"/>
        </w:rPr>
        <w:t>,</w:t>
      </w:r>
      <w:r w:rsidR="001D5634" w:rsidRPr="00997C23">
        <w:rPr>
          <w:rFonts w:ascii="Times New Roman" w:hAnsi="Times New Roman" w:cs="Times New Roman"/>
          <w:sz w:val="24"/>
          <w:szCs w:val="24"/>
        </w:rPr>
        <w:t xml:space="preserve"> липса</w:t>
      </w:r>
      <w:r w:rsidR="00E147AF" w:rsidRPr="00997C23">
        <w:rPr>
          <w:rFonts w:ascii="Times New Roman" w:hAnsi="Times New Roman" w:cs="Times New Roman"/>
          <w:sz w:val="24"/>
          <w:szCs w:val="24"/>
        </w:rPr>
        <w:t>та</w:t>
      </w:r>
      <w:r w:rsidR="001D5634" w:rsidRPr="00997C23">
        <w:rPr>
          <w:rFonts w:ascii="Times New Roman" w:hAnsi="Times New Roman" w:cs="Times New Roman"/>
          <w:sz w:val="24"/>
          <w:szCs w:val="24"/>
        </w:rPr>
        <w:t xml:space="preserve"> на </w:t>
      </w:r>
      <w:r w:rsidR="00F64A90">
        <w:rPr>
          <w:rFonts w:ascii="Times New Roman" w:hAnsi="Times New Roman" w:cs="Times New Roman"/>
          <w:sz w:val="24"/>
          <w:szCs w:val="24"/>
        </w:rPr>
        <w:t xml:space="preserve">селективен </w:t>
      </w:r>
      <w:r w:rsidR="001D5634" w:rsidRPr="00997C23">
        <w:rPr>
          <w:rFonts w:ascii="Times New Roman" w:hAnsi="Times New Roman" w:cs="Times New Roman"/>
          <w:sz w:val="24"/>
          <w:szCs w:val="24"/>
        </w:rPr>
        <w:t xml:space="preserve">скрининг за високо рискови </w:t>
      </w:r>
      <w:r w:rsidRPr="00997C23">
        <w:rPr>
          <w:rFonts w:ascii="Times New Roman" w:eastAsia="Times New Roman" w:hAnsi="Times New Roman" w:cs="Times New Roman"/>
          <w:sz w:val="24"/>
          <w:szCs w:val="24"/>
        </w:rPr>
        <w:t>полирезистентни</w:t>
      </w:r>
      <w:r w:rsidRPr="00997C23">
        <w:rPr>
          <w:rFonts w:ascii="Times New Roman" w:eastAsia="Times New Roman" w:hAnsi="Times New Roman" w:cs="Times New Roman"/>
          <w:sz w:val="24"/>
          <w:szCs w:val="24"/>
          <w:lang w:val="en-US"/>
        </w:rPr>
        <w:t xml:space="preserve"> (MDR) </w:t>
      </w:r>
      <w:r w:rsidRPr="00997C23">
        <w:rPr>
          <w:rFonts w:ascii="Times New Roman" w:eastAsia="Times New Roman" w:hAnsi="Times New Roman" w:cs="Times New Roman"/>
          <w:sz w:val="24"/>
          <w:szCs w:val="24"/>
        </w:rPr>
        <w:t>причинители и</w:t>
      </w:r>
      <w:r w:rsidR="00E147AF" w:rsidRPr="00997C23">
        <w:rPr>
          <w:rFonts w:ascii="Times New Roman" w:hAnsi="Times New Roman" w:cs="Times New Roman"/>
          <w:sz w:val="24"/>
          <w:szCs w:val="24"/>
        </w:rPr>
        <w:t xml:space="preserve"> на </w:t>
      </w:r>
      <w:r w:rsidR="001D5634" w:rsidRPr="00997C23">
        <w:rPr>
          <w:rFonts w:ascii="Times New Roman" w:hAnsi="Times New Roman" w:cs="Times New Roman"/>
          <w:sz w:val="24"/>
          <w:szCs w:val="24"/>
        </w:rPr>
        <w:t>изолационни стаи за пациенти</w:t>
      </w:r>
      <w:r w:rsidR="00E147AF" w:rsidRPr="00997C23">
        <w:rPr>
          <w:rFonts w:ascii="Times New Roman" w:hAnsi="Times New Roman" w:cs="Times New Roman"/>
          <w:sz w:val="24"/>
          <w:szCs w:val="24"/>
        </w:rPr>
        <w:t>,</w:t>
      </w:r>
      <w:r w:rsidR="001D5634" w:rsidRPr="00997C23">
        <w:rPr>
          <w:rFonts w:ascii="Times New Roman" w:hAnsi="Times New Roman" w:cs="Times New Roman"/>
          <w:sz w:val="24"/>
          <w:szCs w:val="24"/>
        </w:rPr>
        <w:t xml:space="preserve"> инфектирани или колонизирани с </w:t>
      </w:r>
      <w:r w:rsidRPr="00997C23">
        <w:rPr>
          <w:rFonts w:ascii="Times New Roman" w:eastAsia="Times New Roman" w:hAnsi="Times New Roman" w:cs="Times New Roman"/>
          <w:sz w:val="24"/>
          <w:szCs w:val="24"/>
          <w:lang w:val="en-US"/>
        </w:rPr>
        <w:t>MDR</w:t>
      </w:r>
      <w:r w:rsidRPr="00997C23">
        <w:rPr>
          <w:rFonts w:ascii="Times New Roman" w:eastAsia="Times New Roman" w:hAnsi="Times New Roman" w:cs="Times New Roman"/>
          <w:sz w:val="24"/>
          <w:szCs w:val="24"/>
        </w:rPr>
        <w:t xml:space="preserve"> микроорганизми</w:t>
      </w:r>
      <w:r w:rsidR="001D5634" w:rsidRPr="00997C23">
        <w:rPr>
          <w:rFonts w:ascii="Times New Roman" w:hAnsi="Times New Roman" w:cs="Times New Roman"/>
          <w:sz w:val="24"/>
          <w:szCs w:val="24"/>
        </w:rPr>
        <w:t xml:space="preserve"> в болниците</w:t>
      </w:r>
      <w:r w:rsidR="00E147AF" w:rsidRPr="00997C23">
        <w:rPr>
          <w:rFonts w:ascii="Times New Roman" w:hAnsi="Times New Roman" w:cs="Times New Roman"/>
          <w:sz w:val="24"/>
          <w:szCs w:val="24"/>
        </w:rPr>
        <w:t xml:space="preserve">. </w:t>
      </w:r>
    </w:p>
    <w:p w14:paraId="597A9BF2" w14:textId="77777777" w:rsidR="005B6E21" w:rsidRPr="00997C23" w:rsidRDefault="00CF0BBC" w:rsidP="00C467DB">
      <w:pPr>
        <w:spacing w:after="0" w:line="360" w:lineRule="auto"/>
        <w:ind w:firstLine="709"/>
        <w:contextualSpacing/>
        <w:jc w:val="both"/>
        <w:rPr>
          <w:rFonts w:ascii="Times New Roman" w:hAnsi="Times New Roman" w:cs="Times New Roman"/>
          <w:sz w:val="24"/>
          <w:szCs w:val="24"/>
        </w:rPr>
      </w:pPr>
      <w:r w:rsidRPr="00D01657">
        <w:rPr>
          <w:rFonts w:ascii="Times New Roman" w:eastAsia="Times New Roman" w:hAnsi="Times New Roman" w:cs="Times New Roman"/>
          <w:sz w:val="24"/>
          <w:szCs w:val="24"/>
        </w:rPr>
        <w:t>Съответно, в Националн</w:t>
      </w:r>
      <w:r w:rsidR="00940B62" w:rsidRPr="00D01657">
        <w:rPr>
          <w:rFonts w:ascii="Times New Roman" w:eastAsia="Times New Roman" w:hAnsi="Times New Roman" w:cs="Times New Roman"/>
          <w:sz w:val="24"/>
          <w:szCs w:val="24"/>
        </w:rPr>
        <w:t>ата</w:t>
      </w:r>
      <w:r w:rsidRPr="00D01657">
        <w:rPr>
          <w:rFonts w:ascii="Times New Roman" w:eastAsia="Times New Roman" w:hAnsi="Times New Roman" w:cs="Times New Roman"/>
          <w:sz w:val="24"/>
          <w:szCs w:val="24"/>
        </w:rPr>
        <w:t xml:space="preserve"> </w:t>
      </w:r>
      <w:r w:rsidR="00446D1B" w:rsidRPr="00D01657">
        <w:rPr>
          <w:rFonts w:ascii="Times New Roman" w:eastAsia="Times New Roman" w:hAnsi="Times New Roman" w:cs="Times New Roman"/>
          <w:sz w:val="24"/>
          <w:szCs w:val="24"/>
        </w:rPr>
        <w:t>п</w:t>
      </w:r>
      <w:r w:rsidR="00882F2E" w:rsidRPr="00D01657">
        <w:rPr>
          <w:rFonts w:ascii="Times New Roman" w:eastAsia="Times New Roman" w:hAnsi="Times New Roman" w:cs="Times New Roman"/>
          <w:sz w:val="24"/>
          <w:szCs w:val="24"/>
        </w:rPr>
        <w:t>рограма</w:t>
      </w:r>
      <w:r w:rsidRPr="00997C23">
        <w:rPr>
          <w:rFonts w:ascii="Times New Roman" w:eastAsia="Times New Roman" w:hAnsi="Times New Roman" w:cs="Times New Roman"/>
          <w:sz w:val="24"/>
          <w:szCs w:val="24"/>
        </w:rPr>
        <w:t xml:space="preserve"> за разрешаване</w:t>
      </w:r>
      <w:r w:rsidR="00E147AF" w:rsidRPr="00997C23">
        <w:rPr>
          <w:rFonts w:ascii="Times New Roman" w:hAnsi="Times New Roman" w:cs="Times New Roman"/>
          <w:sz w:val="24"/>
          <w:szCs w:val="24"/>
        </w:rPr>
        <w:t xml:space="preserve"> на тези проблеми са </w:t>
      </w:r>
      <w:r w:rsidR="00940B62">
        <w:rPr>
          <w:rFonts w:ascii="Times New Roman" w:hAnsi="Times New Roman" w:cs="Times New Roman"/>
          <w:sz w:val="24"/>
          <w:szCs w:val="24"/>
        </w:rPr>
        <w:t>план</w:t>
      </w:r>
      <w:r w:rsidR="00E147AF" w:rsidRPr="00997C23">
        <w:rPr>
          <w:rFonts w:ascii="Times New Roman" w:hAnsi="Times New Roman" w:cs="Times New Roman"/>
          <w:sz w:val="24"/>
          <w:szCs w:val="24"/>
        </w:rPr>
        <w:t>ирани редица</w:t>
      </w:r>
      <w:r w:rsidR="00773378" w:rsidRPr="00997C23">
        <w:rPr>
          <w:rFonts w:ascii="Times New Roman" w:hAnsi="Times New Roman" w:cs="Times New Roman"/>
          <w:sz w:val="24"/>
          <w:szCs w:val="24"/>
        </w:rPr>
        <w:t xml:space="preserve"> дейности</w:t>
      </w:r>
      <w:r w:rsidR="00E147AF" w:rsidRPr="00997C23">
        <w:rPr>
          <w:rFonts w:ascii="Times New Roman" w:hAnsi="Times New Roman" w:cs="Times New Roman"/>
          <w:sz w:val="24"/>
          <w:szCs w:val="24"/>
        </w:rPr>
        <w:t>.</w:t>
      </w:r>
    </w:p>
    <w:p w14:paraId="4FBD6EC7" w14:textId="77777777" w:rsidR="00CF0BBC" w:rsidRPr="00F028D5" w:rsidRDefault="00CF0BBC"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eastAsia="Times New Roman" w:hAnsi="Times New Roman" w:cs="Times New Roman"/>
          <w:sz w:val="24"/>
          <w:szCs w:val="24"/>
        </w:rPr>
        <w:t xml:space="preserve">На първо място, във връзка с ограничаване на разпространението на карбапенем-резистентните </w:t>
      </w:r>
      <w:r w:rsidRPr="00997C23">
        <w:rPr>
          <w:rFonts w:ascii="Times New Roman" w:eastAsia="Times New Roman" w:hAnsi="Times New Roman" w:cs="Times New Roman"/>
          <w:i/>
          <w:sz w:val="24"/>
          <w:szCs w:val="24"/>
          <w:lang w:val="en-US"/>
        </w:rPr>
        <w:t>Enterobacterales</w:t>
      </w:r>
      <w:r w:rsidRPr="00997C23">
        <w:rPr>
          <w:rFonts w:ascii="Times New Roman" w:eastAsia="Times New Roman" w:hAnsi="Times New Roman" w:cs="Times New Roman"/>
          <w:sz w:val="24"/>
          <w:szCs w:val="24"/>
          <w:lang w:val="en-US"/>
        </w:rPr>
        <w:t xml:space="preserve">, </w:t>
      </w:r>
      <w:r w:rsidRPr="00997C23">
        <w:rPr>
          <w:rFonts w:ascii="Times New Roman" w:eastAsia="Times New Roman" w:hAnsi="Times New Roman" w:cs="Times New Roman"/>
          <w:i/>
          <w:sz w:val="24"/>
          <w:szCs w:val="24"/>
          <w:lang w:val="en-US"/>
        </w:rPr>
        <w:t>A</w:t>
      </w:r>
      <w:r w:rsidR="00C75A49" w:rsidRPr="00997C23">
        <w:rPr>
          <w:rFonts w:ascii="Times New Roman" w:eastAsia="Times New Roman" w:hAnsi="Times New Roman" w:cs="Times New Roman"/>
          <w:i/>
          <w:sz w:val="24"/>
          <w:szCs w:val="24"/>
        </w:rPr>
        <w:t>.</w:t>
      </w:r>
      <w:r w:rsidRPr="00997C23">
        <w:rPr>
          <w:rFonts w:ascii="Times New Roman" w:eastAsia="Times New Roman" w:hAnsi="Times New Roman" w:cs="Times New Roman"/>
          <w:i/>
          <w:sz w:val="24"/>
          <w:szCs w:val="24"/>
          <w:lang w:val="en-US"/>
        </w:rPr>
        <w:t xml:space="preserve"> baumannii</w:t>
      </w:r>
      <w:r w:rsidRPr="00997C23">
        <w:rPr>
          <w:rFonts w:ascii="Times New Roman" w:eastAsia="Times New Roman" w:hAnsi="Times New Roman" w:cs="Times New Roman"/>
          <w:sz w:val="24"/>
          <w:szCs w:val="24"/>
          <w:lang w:val="en-US"/>
        </w:rPr>
        <w:t xml:space="preserve"> </w:t>
      </w:r>
      <w:r w:rsidRPr="00997C23">
        <w:rPr>
          <w:rFonts w:ascii="Times New Roman" w:eastAsia="Times New Roman" w:hAnsi="Times New Roman" w:cs="Times New Roman"/>
          <w:sz w:val="24"/>
          <w:szCs w:val="24"/>
        </w:rPr>
        <w:t xml:space="preserve">и </w:t>
      </w:r>
      <w:r w:rsidRPr="00997C23">
        <w:rPr>
          <w:rFonts w:ascii="Times New Roman" w:eastAsia="Times New Roman" w:hAnsi="Times New Roman" w:cs="Times New Roman"/>
          <w:i/>
          <w:sz w:val="24"/>
          <w:szCs w:val="24"/>
          <w:lang w:val="en-US"/>
        </w:rPr>
        <w:t>P. aeruginosa</w:t>
      </w:r>
      <w:r w:rsidRPr="00997C23">
        <w:rPr>
          <w:rFonts w:ascii="Times New Roman" w:eastAsia="Times New Roman" w:hAnsi="Times New Roman" w:cs="Times New Roman"/>
          <w:sz w:val="24"/>
          <w:szCs w:val="24"/>
        </w:rPr>
        <w:t xml:space="preserve"> е необходимо спазване на Международните и Европейските приети изисквания</w:t>
      </w:r>
      <w:r w:rsidR="00AB39BD" w:rsidRPr="00997C23">
        <w:rPr>
          <w:rFonts w:ascii="Times New Roman" w:eastAsia="Times New Roman" w:hAnsi="Times New Roman" w:cs="Times New Roman"/>
          <w:sz w:val="24"/>
          <w:szCs w:val="24"/>
          <w:lang w:val="en-US"/>
        </w:rPr>
        <w:t xml:space="preserve"> </w:t>
      </w:r>
      <w:r w:rsidR="00C75A49" w:rsidRPr="00997C23">
        <w:rPr>
          <w:rFonts w:ascii="Times New Roman" w:eastAsia="Times New Roman" w:hAnsi="Times New Roman" w:cs="Times New Roman"/>
          <w:sz w:val="24"/>
          <w:szCs w:val="24"/>
          <w:lang w:val="en-US"/>
        </w:rPr>
        <w:fldChar w:fldCharType="begin" w:fldLock="1"/>
      </w:r>
      <w:r w:rsidR="009D0134" w:rsidRPr="00997C23">
        <w:rPr>
          <w:rFonts w:ascii="Times New Roman" w:eastAsia="Times New Roman" w:hAnsi="Times New Roman" w:cs="Times New Roman"/>
          <w:sz w:val="24"/>
          <w:szCs w:val="24"/>
          <w:lang w:val="en-US"/>
        </w:rPr>
        <w:instrText>ADDIN CSL_CITATION {"citationItems":[{"id":"ITEM-1","itemData":{"author":[{"dropping-particle":"","family":"CDC","given":"","non-dropping-particle":"","parse-names":false,"suffix":""}],"id":"ITEM-1","issued":{"date-parts":[["2015"]]},"title":"Facility Guidance for Control of Carbapenem-resistant Enterobacteriaceae (CRE) – November 2015 Update CRE Toolkittle","type":"article"},"uris":["http://www.mendeley.com/documents/?uuid=47cc9806-96bd-47a3-9601-923eace86220"]},{"id":"ITEM-2","itemData":{"author":[{"dropping-particle":"","family":"ECDC","given":"","non-dropping-particle":"","parse-names":false,"suffix":""}],"id":"ITEM-2","issued":{"date-parts":[["2018"]]},"title":"European Centre for Disease Prevention and Control. Rapid risk assessment: Carbapenem-resistant Enterobacteriaceae - first update 4 June 2018. Stockholm: ECDC; 2018.","type":"article"},"uris":["http://www.mendeley.com/documents/?uuid=8f139825-fec9-444a-a2e1-1ebc3551c203"]},{"id":"ITEM-3","itemData":{"DOI":"10.1186/s13756-017-0259-z","ISSN":"2047-2994","author":[{"dropping-particle":"","family":"Magiorakos","given":"A P","non-dropping-particle":"","parse-names":false,"suffix":""},{"dropping-particle":"","family":"Burns","given":"K","non-dropping-particle":"","parse-names":false,"suffix":""},{"dropping-particle":"","family":"Rodríguez Baño","given":"J","non-dropping-particle":"","parse-names":false,"suffix":""},{"dropping-particle":"","family":"Borg","given":"M","non-dropping-particle":"","parse-names":false,"suffix":""},{"dropping-particle":"","family":"Daikos","given":"G","non-dropping-particle":"","parse-names":false,"suffix":""},{"dropping-particle":"","family":"Dumpis","given":"U","non-dropping-particle":"","parse-names":false,"suffix":""},{"dropping-particle":"","family":"Lucet","given":"J C","non-dropping-particle":"","parse-names":false,"suffix":""},{"dropping-particle":"","family":"Moro","given":"M L","non-dropping-particle":"","parse-names":false,"suffix":""},{"dropping-particle":"","family":"Tacconelli","given":"E","non-dropping-particle":"","parse-names":false,"suffix":""},{"dropping-particle":"","family":"Simonsen","given":"G Skov","non-dropping-particle":"","parse-names":false,"suffix":""},{"dropping-particle":"","family":"Szilágyi","given":"E","non-dropping-particle":"","parse-names":false,"suffix":""},{"dropping-particle":"","family":"Voss","given":"A","non-dropping-particle":"","parse-names":false,"suffix":""},{"dropping-particle":"","family":"Weber","given":"J T","non-dropping-particle":"","parse-names":false,"suffix":""}],"container-title":"Antimicrobial Resistance &amp; Infection Control","id":"ITEM-3","issue":"1","issued":{"date-parts":[["2017"]]},"publisher":"Springer Science and Business Media LLC","title":"Infection prevention and control measures and tools for the prevention of entry of carbapenem-resistant Enterobacteriaceae into healthcare settings: guidance from the European Centre for Disease Prevention and Control","type":"article-journal","volume":"6"},"uris":["http://www.mendeley.com/documents/?uuid=fe828ab5-6113-4cbd-bf3e-209ef5d960cb"]},{"id":"ITEM-4","itemData":{"DOI":"10.1111/1469-0691.12427","ISSN":"1198-743X","author":[{"dropping-particle":"","family":"Tacconelli","given":"E","non-dropping-particle":"","parse-names":false,"suffix":""},{"dropping-particle":"","family":"Cataldo","given":"M A","non-dropping-particle":"","parse-names":false,"suffix":""},{"dropping-particle":"","family":"Dancer","given":"S J","non-dropping-particle":"","parse-names":false,"suffix":""},{"dropping-particle":"","family":"Angelis","given":"G","non-dropping-particle":"De","parse-names":false,"suffix":""},{"dropping-particle":"","family":"Falcone","given":"M","non-dropping-particle":"","parse-names":false,"suffix":""},{"dropping-particle":"","family":"Frank","given":"U","non-dropping-particle":"","parse-names":false,"suffix":""},{"dropping-particle":"","family":"Kahlmeter","given":"G","non-dropping-particle":"","parse-names":false,"suffix":""},{"dropping-particle":"","family":"Pan","given":"A","non-dropping-particle":"","parse-names":false,"suffix":""},{"dropping-particle":"","family":"Petrosillo","given":"N","non-dropping-particle":"","parse-names":false,"suffix":""},{"dropping-particle":"","family":"Rodríguez-Baño","given":"J","non-dropping-particle":"","parse-names":false,"suffix":""},{"dropping-particle":"","family":"Singh","given":"N","non-dropping-particle":"","parse-names":false,"suffix":""},{"dropping-particle":"","family":"Venditti","given":"M","non-dropping-particle":"","parse-names":false,"suffix":""},{"dropping-particle":"","family":"Yokoe","given":"D S","non-dropping-particle":"","parse-names":false,"suffix":""},{"dropping-particle":"","family":"Cookson","given":"B","non-dropping-particle":"","parse-names":false,"suffix":""}],"container-title":"Clinical Microbiology and Infection","id":"ITEM-4","issued":{"date-parts":[["2014"]]},"page":"1-55","publisher":"Elsevier BV","title":"ESCMID guidelines for the management of the infection control measures to reduce transmission of multidrug-resistant Gram-negative bacteria in hospitalized patients","type":"article-journal","volume":"20"},"uris":["http://www.mendeley.com/documents/?uuid=a7fb1721-805c-4f0a-a2d8-0e30b9a5d0a3"]}],"mendeley":{"formattedCitation":"[7], [9], [11], [29]","plainTextFormattedCitation":"[7], [9], [11], [29]","previouslyFormattedCitation":"(CDC, 2015; ECDC, 2018b; Magiorakos et al., 2017; Tacconelli et al., 2014)"},"properties":{"noteIndex":0},"schema":"https://github.com/citation-style-language/schema/raw/master/csl-citation.json"}</w:instrText>
      </w:r>
      <w:r w:rsidR="00C75A49" w:rsidRPr="00997C23">
        <w:rPr>
          <w:rFonts w:ascii="Times New Roman" w:eastAsia="Times New Roman" w:hAnsi="Times New Roman" w:cs="Times New Roman"/>
          <w:sz w:val="24"/>
          <w:szCs w:val="24"/>
          <w:lang w:val="en-US"/>
        </w:rPr>
        <w:fldChar w:fldCharType="separate"/>
      </w:r>
      <w:r w:rsidR="009D0134" w:rsidRPr="00997C23">
        <w:rPr>
          <w:rFonts w:ascii="Times New Roman" w:eastAsia="Times New Roman" w:hAnsi="Times New Roman" w:cs="Times New Roman"/>
          <w:noProof/>
          <w:sz w:val="24"/>
          <w:szCs w:val="24"/>
          <w:lang w:val="en-US"/>
        </w:rPr>
        <w:t>[7], [9], [11], [29]</w:t>
      </w:r>
      <w:r w:rsidR="00C75A49" w:rsidRPr="00997C23">
        <w:rPr>
          <w:rFonts w:ascii="Times New Roman" w:eastAsia="Times New Roman" w:hAnsi="Times New Roman" w:cs="Times New Roman"/>
          <w:sz w:val="24"/>
          <w:szCs w:val="24"/>
          <w:lang w:val="en-US"/>
        </w:rPr>
        <w:fldChar w:fldCharType="end"/>
      </w:r>
      <w:r w:rsidR="00773378" w:rsidRPr="00997C23">
        <w:rPr>
          <w:rFonts w:ascii="Times New Roman" w:eastAsia="Times New Roman" w:hAnsi="Times New Roman" w:cs="Times New Roman"/>
          <w:sz w:val="24"/>
          <w:szCs w:val="24"/>
        </w:rPr>
        <w:t xml:space="preserve"> за</w:t>
      </w:r>
      <w:r w:rsidRPr="00997C23">
        <w:rPr>
          <w:rFonts w:ascii="Times New Roman" w:eastAsia="Times New Roman" w:hAnsi="Times New Roman" w:cs="Times New Roman"/>
          <w:sz w:val="24"/>
          <w:szCs w:val="24"/>
        </w:rPr>
        <w:t xml:space="preserve"> </w:t>
      </w:r>
      <w:r w:rsidR="00C87BAB" w:rsidRPr="00997C23">
        <w:rPr>
          <w:rFonts w:ascii="Times New Roman" w:eastAsia="Times New Roman" w:hAnsi="Times New Roman" w:cs="Times New Roman"/>
          <w:sz w:val="24"/>
          <w:szCs w:val="24"/>
        </w:rPr>
        <w:t xml:space="preserve">ефективен, целенасочен и цялостен </w:t>
      </w:r>
      <w:r w:rsidRPr="00997C23">
        <w:rPr>
          <w:rFonts w:ascii="Times New Roman" w:eastAsia="Times New Roman" w:hAnsi="Times New Roman" w:cs="Times New Roman"/>
          <w:sz w:val="24"/>
          <w:szCs w:val="24"/>
        </w:rPr>
        <w:t xml:space="preserve">контрол </w:t>
      </w:r>
      <w:r w:rsidR="00C87BAB" w:rsidRPr="00997C23">
        <w:rPr>
          <w:rFonts w:ascii="Times New Roman" w:eastAsia="Times New Roman" w:hAnsi="Times New Roman" w:cs="Times New Roman"/>
          <w:sz w:val="24"/>
          <w:szCs w:val="24"/>
        </w:rPr>
        <w:t xml:space="preserve">на инфекците </w:t>
      </w:r>
      <w:r w:rsidRPr="00997C23">
        <w:rPr>
          <w:rFonts w:ascii="Times New Roman" w:eastAsia="Times New Roman" w:hAnsi="Times New Roman" w:cs="Times New Roman"/>
          <w:sz w:val="24"/>
          <w:szCs w:val="24"/>
        </w:rPr>
        <w:t xml:space="preserve">в </w:t>
      </w:r>
      <w:r w:rsidR="00C87BAB" w:rsidRPr="00997C23">
        <w:rPr>
          <w:rFonts w:ascii="Times New Roman" w:eastAsia="Times New Roman" w:hAnsi="Times New Roman" w:cs="Times New Roman"/>
          <w:sz w:val="24"/>
          <w:szCs w:val="24"/>
        </w:rPr>
        <w:t xml:space="preserve">лечебните заведения за </w:t>
      </w:r>
      <w:r w:rsidRPr="00997C23">
        <w:rPr>
          <w:rFonts w:ascii="Times New Roman" w:eastAsia="Times New Roman" w:hAnsi="Times New Roman" w:cs="Times New Roman"/>
          <w:sz w:val="24"/>
          <w:szCs w:val="24"/>
        </w:rPr>
        <w:t>болни</w:t>
      </w:r>
      <w:r w:rsidR="00C87BAB" w:rsidRPr="00997C23">
        <w:rPr>
          <w:rFonts w:ascii="Times New Roman" w:eastAsia="Times New Roman" w:hAnsi="Times New Roman" w:cs="Times New Roman"/>
          <w:sz w:val="24"/>
          <w:szCs w:val="24"/>
        </w:rPr>
        <w:t>чна помощ</w:t>
      </w:r>
      <w:r w:rsidR="00773378" w:rsidRPr="00997C23">
        <w:rPr>
          <w:rFonts w:ascii="Times New Roman" w:eastAsia="Times New Roman" w:hAnsi="Times New Roman" w:cs="Times New Roman"/>
          <w:sz w:val="24"/>
          <w:szCs w:val="24"/>
        </w:rPr>
        <w:t>,</w:t>
      </w:r>
      <w:r w:rsidRPr="00997C23">
        <w:rPr>
          <w:rFonts w:ascii="Times New Roman" w:eastAsia="Times New Roman" w:hAnsi="Times New Roman" w:cs="Times New Roman"/>
          <w:sz w:val="24"/>
          <w:szCs w:val="24"/>
        </w:rPr>
        <w:t xml:space="preserve"> </w:t>
      </w:r>
      <w:r w:rsidR="0046528B" w:rsidRPr="00997C23">
        <w:rPr>
          <w:rFonts w:ascii="Times New Roman" w:eastAsia="Times New Roman" w:hAnsi="Times New Roman" w:cs="Times New Roman"/>
          <w:sz w:val="24"/>
          <w:szCs w:val="24"/>
        </w:rPr>
        <w:t xml:space="preserve">откриване </w:t>
      </w:r>
      <w:r w:rsidRPr="00997C23">
        <w:rPr>
          <w:rFonts w:ascii="Times New Roman" w:eastAsia="Times New Roman" w:hAnsi="Times New Roman" w:cs="Times New Roman"/>
          <w:sz w:val="24"/>
          <w:szCs w:val="24"/>
        </w:rPr>
        <w:t>на инфектирани и колонизирани пациенти</w:t>
      </w:r>
      <w:r w:rsidR="00773378" w:rsidRPr="00997C23">
        <w:rPr>
          <w:rFonts w:ascii="Times New Roman" w:eastAsia="Times New Roman" w:hAnsi="Times New Roman" w:cs="Times New Roman"/>
          <w:sz w:val="24"/>
          <w:szCs w:val="24"/>
        </w:rPr>
        <w:t>,</w:t>
      </w:r>
      <w:r w:rsidR="0046528B" w:rsidRPr="00997C23">
        <w:rPr>
          <w:rFonts w:ascii="Times New Roman" w:eastAsia="Times New Roman" w:hAnsi="Times New Roman" w:cs="Times New Roman"/>
          <w:sz w:val="24"/>
          <w:szCs w:val="24"/>
        </w:rPr>
        <w:t xml:space="preserve"> </w:t>
      </w:r>
      <w:r w:rsidR="0097046E" w:rsidRPr="00997C23">
        <w:rPr>
          <w:rFonts w:ascii="Times New Roman" w:eastAsia="Times New Roman" w:hAnsi="Times New Roman" w:cs="Times New Roman"/>
          <w:sz w:val="24"/>
          <w:szCs w:val="24"/>
        </w:rPr>
        <w:t xml:space="preserve">особено рехоспитализирани такива </w:t>
      </w:r>
      <w:r w:rsidR="0046528B" w:rsidRPr="00997C23">
        <w:rPr>
          <w:rFonts w:ascii="Times New Roman" w:eastAsia="Times New Roman" w:hAnsi="Times New Roman" w:cs="Times New Roman"/>
          <w:sz w:val="24"/>
          <w:szCs w:val="24"/>
        </w:rPr>
        <w:t>и тяхната изолация</w:t>
      </w:r>
      <w:r w:rsidR="00773378" w:rsidRPr="00997C23">
        <w:rPr>
          <w:rFonts w:ascii="Times New Roman" w:eastAsia="Times New Roman" w:hAnsi="Times New Roman" w:cs="Times New Roman"/>
          <w:sz w:val="24"/>
          <w:szCs w:val="24"/>
        </w:rPr>
        <w:t>,</w:t>
      </w:r>
      <w:r w:rsidRPr="00997C23">
        <w:rPr>
          <w:rFonts w:ascii="Times New Roman" w:eastAsia="Times New Roman" w:hAnsi="Times New Roman" w:cs="Times New Roman"/>
          <w:sz w:val="24"/>
          <w:szCs w:val="24"/>
        </w:rPr>
        <w:t xml:space="preserve"> </w:t>
      </w:r>
      <w:r w:rsidR="0046528B" w:rsidRPr="00997C23">
        <w:rPr>
          <w:rFonts w:ascii="Times New Roman" w:eastAsia="Times New Roman" w:hAnsi="Times New Roman" w:cs="Times New Roman"/>
          <w:sz w:val="24"/>
          <w:szCs w:val="24"/>
        </w:rPr>
        <w:t xml:space="preserve">прилагане на </w:t>
      </w:r>
      <w:r w:rsidRPr="00997C23">
        <w:rPr>
          <w:rFonts w:ascii="Times New Roman" w:eastAsia="Times New Roman" w:hAnsi="Times New Roman" w:cs="Times New Roman"/>
          <w:sz w:val="24"/>
          <w:szCs w:val="24"/>
        </w:rPr>
        <w:t>хигиенни и дезинфекционни мерки</w:t>
      </w:r>
      <w:r w:rsidR="0046528B" w:rsidRPr="00997C23">
        <w:rPr>
          <w:rFonts w:ascii="Times New Roman" w:eastAsia="Times New Roman" w:hAnsi="Times New Roman" w:cs="Times New Roman"/>
          <w:sz w:val="24"/>
          <w:szCs w:val="24"/>
        </w:rPr>
        <w:t xml:space="preserve"> в пълен обем</w:t>
      </w:r>
      <w:r w:rsidRPr="00997C23">
        <w:rPr>
          <w:rFonts w:ascii="Times New Roman" w:eastAsia="Times New Roman" w:hAnsi="Times New Roman" w:cs="Times New Roman"/>
          <w:sz w:val="24"/>
          <w:szCs w:val="24"/>
        </w:rPr>
        <w:t xml:space="preserve"> </w:t>
      </w:r>
      <w:r w:rsidR="00F202E7" w:rsidRPr="00997C23">
        <w:rPr>
          <w:rFonts w:ascii="Times New Roman" w:eastAsia="Times New Roman" w:hAnsi="Times New Roman" w:cs="Times New Roman"/>
          <w:sz w:val="24"/>
          <w:szCs w:val="24"/>
        </w:rPr>
        <w:fldChar w:fldCharType="begin" w:fldLock="1"/>
      </w:r>
      <w:r w:rsidR="009D0134" w:rsidRPr="00997C23">
        <w:rPr>
          <w:rFonts w:ascii="Times New Roman" w:eastAsia="Times New Roman" w:hAnsi="Times New Roman" w:cs="Times New Roman"/>
          <w:sz w:val="24"/>
          <w:szCs w:val="24"/>
        </w:rPr>
        <w:instrText>ADDIN CSL_CITATION {"citationItems":[{"id":"ITEM-1","itemData":{"DOI":"10.1017/ice.2018.49","ISSN":"15596834","abstract":"OBJECTIVE While previous work showed that the Centers for Disease Control and Prevention toolkit for carbapenem-resistant Enterobacteriaceae (CRE) can reduce spread regionally, these interventions are costly, and decisions makers want to know whether and when economic benefits occur.DESIGN Economic analysisSETTING Orange County, CaliforniaMETHODS Using our Regional Healthcare Ecosystem Analyst (RHEA)-generated agent-based model of all inpatient healthcare facilities, we simulated the implementation of the CRE toolkit (active screening of interfacility transfers) in different ways and estimated their economic impacts under various circumstances.RESULTS Compared to routine control measures, screening generated cost savings by year 1 when hospitals implemented screening after identifying ≤20 CRE cases (saving $2,000-$9,000) and by year 7 if all hospitals implemented in a regional coordinated manner after 1 hospital identified a CRE case (hospital perspective). Cost savings was achieved only if hospitals independently screened after identifying 10 cases (year 1, third-party payer perspective). Cost savings was achieved by year 1 if hospitals independently screened after identifying 1 CRE case and by year 3 if all hospitals coordinated and screened after 1 hospital identified 1 case (societal perspective). After a few years, all strategies cost less and have positive health effects compared to routine control measures; most strategies generate a positive cost-benefit each year.CONCLUSIONS Active screening of interfacility transfers garnered cost savings in year 1 of implementation when hospitals acted independently and by year 3 if all hospitals collectively implemented the toolkit in a coordinated manner. Despite taking longer to manifest, coordinated regional control resulted in greater savings over time. Infect Control Hosp Epidemiol 2018;39:516-524","author":[{"dropping-particle":"","family":"Bartsch","given":"Sarah M.","non-dropping-particle":"","parse-names":false,"suffix":""},{"dropping-particle":"","family":"Huang","given":"Susan S.","non-dropping-particle":"","parse-names":false,"suffix":""},{"dropping-particle":"","family":"McKinnell","given":"James A.","non-dropping-particle":"","parse-names":false,"suffix":""},{"dropping-particle":"","family":"Wong","given":"Kim F.","non-dropping-particle":"","parse-names":false,"suffix":""},{"dropping-particle":"","family":"Mueller","given":"Leslie E.","non-dropping-particle":"","parse-names":false,"suffix":""},{"dropping-particle":"","family":"Miller","given":"Loren G.","non-dropping-particle":"","parse-names":false,"suffix":""},{"dropping-particle":"","family":"Lee","given":"Bruce Y.","non-dropping-particle":"","parse-names":false,"suffix":""}],"container-title":"Infection Control and Hospital Epidemiology","id":"ITEM-1","issue":"5","issued":{"date-parts":[["2018","5","1"]]},"page":"516-524","publisher":"Cambridge University Press","title":"The economic value of the centers for disease control and prevention carbapenem-resistant enterobacteriaceae toolkit","type":"article-journal","volume":"39"},"uris":["http://www.mendeley.com/documents/?uuid=3519b1d7-594d-3937-ba83-17264de44410"]}],"mendeley":{"formattedCitation":"[32]","plainTextFormattedCitation":"[32]","previouslyFormattedCitation":"(Bartsch et al., 2018)"},"properties":{"noteIndex":0},"schema":"https://github.com/citation-style-language/schema/raw/master/csl-citation.json"}</w:instrText>
      </w:r>
      <w:r w:rsidR="00F202E7" w:rsidRPr="00997C23">
        <w:rPr>
          <w:rFonts w:ascii="Times New Roman" w:eastAsia="Times New Roman" w:hAnsi="Times New Roman" w:cs="Times New Roman"/>
          <w:sz w:val="24"/>
          <w:szCs w:val="24"/>
        </w:rPr>
        <w:fldChar w:fldCharType="separate"/>
      </w:r>
      <w:r w:rsidR="009D0134" w:rsidRPr="00997C23">
        <w:rPr>
          <w:rFonts w:ascii="Times New Roman" w:eastAsia="Times New Roman" w:hAnsi="Times New Roman" w:cs="Times New Roman"/>
          <w:sz w:val="24"/>
          <w:szCs w:val="24"/>
        </w:rPr>
        <w:t>[32]</w:t>
      </w:r>
      <w:r w:rsidR="00F202E7" w:rsidRPr="00997C23">
        <w:rPr>
          <w:rFonts w:ascii="Times New Roman" w:eastAsia="Times New Roman" w:hAnsi="Times New Roman" w:cs="Times New Roman"/>
          <w:sz w:val="24"/>
          <w:szCs w:val="24"/>
        </w:rPr>
        <w:fldChar w:fldCharType="end"/>
      </w:r>
      <w:r w:rsidRPr="00997C23">
        <w:rPr>
          <w:rFonts w:ascii="Times New Roman" w:eastAsia="Times New Roman" w:hAnsi="Times New Roman" w:cs="Times New Roman"/>
          <w:sz w:val="24"/>
          <w:szCs w:val="24"/>
        </w:rPr>
        <w:t>.</w:t>
      </w:r>
      <w:r w:rsidR="00B314F8">
        <w:rPr>
          <w:rFonts w:ascii="Times New Roman" w:eastAsia="Times New Roman" w:hAnsi="Times New Roman" w:cs="Times New Roman"/>
          <w:sz w:val="24"/>
          <w:szCs w:val="24"/>
        </w:rPr>
        <w:t xml:space="preserve"> Наложително</w:t>
      </w:r>
      <w:r w:rsidR="00E029AD">
        <w:rPr>
          <w:rFonts w:ascii="Times New Roman" w:eastAsia="Times New Roman" w:hAnsi="Times New Roman" w:cs="Times New Roman"/>
          <w:sz w:val="24"/>
          <w:szCs w:val="24"/>
        </w:rPr>
        <w:t xml:space="preserve"> е</w:t>
      </w:r>
      <w:r w:rsidR="00B314F8">
        <w:rPr>
          <w:rFonts w:ascii="Times New Roman" w:eastAsia="Times New Roman" w:hAnsi="Times New Roman" w:cs="Times New Roman"/>
          <w:sz w:val="24"/>
          <w:szCs w:val="24"/>
        </w:rPr>
        <w:t xml:space="preserve"> всички</w:t>
      </w:r>
      <w:r w:rsidR="00315E7A">
        <w:rPr>
          <w:rFonts w:ascii="Times New Roman" w:eastAsia="Times New Roman" w:hAnsi="Times New Roman" w:cs="Times New Roman"/>
          <w:sz w:val="24"/>
          <w:szCs w:val="24"/>
        </w:rPr>
        <w:t xml:space="preserve"> </w:t>
      </w:r>
      <w:r w:rsidR="00B314F8">
        <w:rPr>
          <w:rFonts w:ascii="Times New Roman" w:eastAsia="Times New Roman" w:hAnsi="Times New Roman" w:cs="Times New Roman"/>
          <w:sz w:val="24"/>
          <w:szCs w:val="24"/>
        </w:rPr>
        <w:t>организирани</w:t>
      </w:r>
      <w:r w:rsidR="00315E7A">
        <w:rPr>
          <w:rFonts w:ascii="Times New Roman" w:eastAsia="Times New Roman" w:hAnsi="Times New Roman" w:cs="Times New Roman"/>
          <w:sz w:val="24"/>
          <w:szCs w:val="24"/>
        </w:rPr>
        <w:t xml:space="preserve"> програми за контрол на инфекциите да са </w:t>
      </w:r>
      <w:r w:rsidR="00B314F8">
        <w:rPr>
          <w:rFonts w:ascii="Times New Roman" w:eastAsia="Times New Roman" w:hAnsi="Times New Roman" w:cs="Times New Roman"/>
          <w:sz w:val="24"/>
          <w:szCs w:val="24"/>
        </w:rPr>
        <w:t>хармонизирани с</w:t>
      </w:r>
      <w:r w:rsidR="00E915B2">
        <w:rPr>
          <w:rFonts w:ascii="Times New Roman" w:eastAsia="Times New Roman" w:hAnsi="Times New Roman" w:cs="Times New Roman"/>
          <w:sz w:val="24"/>
          <w:szCs w:val="24"/>
          <w:lang w:val="en-US"/>
        </w:rPr>
        <w:t xml:space="preserve"> </w:t>
      </w:r>
      <w:r w:rsidR="00E915B2">
        <w:rPr>
          <w:rFonts w:ascii="Times New Roman" w:eastAsia="Times New Roman" w:hAnsi="Times New Roman" w:cs="Times New Roman"/>
          <w:sz w:val="24"/>
          <w:szCs w:val="24"/>
        </w:rPr>
        <w:t>препоръките на СЗО касаещи</w:t>
      </w:r>
      <w:r w:rsidR="00F028D5">
        <w:rPr>
          <w:rFonts w:ascii="Times New Roman" w:eastAsia="Times New Roman" w:hAnsi="Times New Roman" w:cs="Times New Roman"/>
          <w:sz w:val="24"/>
          <w:szCs w:val="24"/>
        </w:rPr>
        <w:t xml:space="preserve"> т.</w:t>
      </w:r>
      <w:r w:rsidR="00E029AD">
        <w:rPr>
          <w:rFonts w:ascii="Times New Roman" w:eastAsia="Times New Roman" w:hAnsi="Times New Roman" w:cs="Times New Roman"/>
          <w:sz w:val="24"/>
          <w:szCs w:val="24"/>
        </w:rPr>
        <w:t xml:space="preserve"> </w:t>
      </w:r>
      <w:r w:rsidR="00F028D5">
        <w:rPr>
          <w:rFonts w:ascii="Times New Roman" w:eastAsia="Times New Roman" w:hAnsi="Times New Roman" w:cs="Times New Roman"/>
          <w:sz w:val="24"/>
          <w:szCs w:val="24"/>
        </w:rPr>
        <w:t xml:space="preserve">нар осем основни компонента </w:t>
      </w:r>
      <w:r w:rsidR="00F028D5">
        <w:rPr>
          <w:rFonts w:ascii="Times New Roman" w:eastAsia="Times New Roman" w:hAnsi="Times New Roman" w:cs="Times New Roman"/>
          <w:sz w:val="24"/>
          <w:szCs w:val="24"/>
          <w:lang w:val="en-US"/>
        </w:rPr>
        <w:t xml:space="preserve">(core components) </w:t>
      </w:r>
      <w:r w:rsidR="00B314F8">
        <w:rPr>
          <w:rFonts w:ascii="Times New Roman" w:eastAsia="Times New Roman" w:hAnsi="Times New Roman" w:cs="Times New Roman"/>
          <w:sz w:val="24"/>
          <w:szCs w:val="24"/>
          <w:lang w:val="en-US"/>
        </w:rPr>
        <w:t>[47]</w:t>
      </w:r>
      <w:r w:rsidR="00F028D5">
        <w:rPr>
          <w:rFonts w:ascii="Times New Roman" w:eastAsia="Times New Roman" w:hAnsi="Times New Roman" w:cs="Times New Roman"/>
          <w:sz w:val="24"/>
          <w:szCs w:val="24"/>
        </w:rPr>
        <w:t>.</w:t>
      </w:r>
    </w:p>
    <w:p w14:paraId="314F964B" w14:textId="77777777" w:rsidR="00B10C6B" w:rsidRPr="00997C23" w:rsidRDefault="0097046E"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eastAsia="Times New Roman" w:hAnsi="Times New Roman" w:cs="Times New Roman"/>
          <w:sz w:val="24"/>
          <w:szCs w:val="24"/>
        </w:rPr>
        <w:t>Н</w:t>
      </w:r>
      <w:r w:rsidR="00CF0BBC" w:rsidRPr="00997C23">
        <w:rPr>
          <w:rFonts w:ascii="Times New Roman" w:eastAsia="Times New Roman" w:hAnsi="Times New Roman" w:cs="Times New Roman"/>
          <w:sz w:val="24"/>
          <w:szCs w:val="24"/>
        </w:rPr>
        <w:t>еобходим</w:t>
      </w:r>
      <w:r w:rsidR="00D228BB" w:rsidRPr="00997C23">
        <w:rPr>
          <w:rFonts w:ascii="Times New Roman" w:eastAsia="Times New Roman" w:hAnsi="Times New Roman" w:cs="Times New Roman"/>
          <w:sz w:val="24"/>
          <w:szCs w:val="24"/>
        </w:rPr>
        <w:t>а</w:t>
      </w:r>
      <w:r w:rsidRPr="00997C23">
        <w:rPr>
          <w:rFonts w:ascii="Times New Roman" w:eastAsia="Times New Roman" w:hAnsi="Times New Roman" w:cs="Times New Roman"/>
          <w:sz w:val="24"/>
          <w:szCs w:val="24"/>
        </w:rPr>
        <w:t xml:space="preserve"> </w:t>
      </w:r>
      <w:r w:rsidR="00CF0BBC" w:rsidRPr="00997C23">
        <w:rPr>
          <w:rFonts w:ascii="Times New Roman" w:eastAsia="Times New Roman" w:hAnsi="Times New Roman" w:cs="Times New Roman"/>
          <w:sz w:val="24"/>
          <w:szCs w:val="24"/>
        </w:rPr>
        <w:t>е</w:t>
      </w:r>
      <w:r w:rsidR="00BC1DDD" w:rsidRPr="00997C23">
        <w:rPr>
          <w:rFonts w:ascii="Times New Roman" w:eastAsia="Times New Roman" w:hAnsi="Times New Roman" w:cs="Times New Roman"/>
          <w:sz w:val="24"/>
          <w:szCs w:val="24"/>
        </w:rPr>
        <w:t xml:space="preserve"> </w:t>
      </w:r>
      <w:r w:rsidR="00D228BB" w:rsidRPr="00997C23">
        <w:rPr>
          <w:rFonts w:ascii="Times New Roman" w:eastAsia="Times New Roman" w:hAnsi="Times New Roman" w:cs="Times New Roman"/>
          <w:sz w:val="24"/>
          <w:szCs w:val="24"/>
        </w:rPr>
        <w:t xml:space="preserve">оценка на досега съществуващата нормативна рамка и изготвяне на предложения за комплексен подход за профилактика и контрол на ВБИ, за които се счита, че са предотвратими до 70% и последващо </w:t>
      </w:r>
      <w:r w:rsidRPr="00997C23">
        <w:rPr>
          <w:rFonts w:ascii="Times New Roman" w:eastAsia="Times New Roman" w:hAnsi="Times New Roman" w:cs="Times New Roman"/>
          <w:sz w:val="24"/>
          <w:szCs w:val="24"/>
        </w:rPr>
        <w:t>повишаване на знанията и разбирането на медицинските специалисти</w:t>
      </w:r>
      <w:r w:rsidR="00D228BB" w:rsidRPr="00997C23">
        <w:rPr>
          <w:rFonts w:ascii="Times New Roman" w:eastAsia="Times New Roman" w:hAnsi="Times New Roman" w:cs="Times New Roman"/>
          <w:sz w:val="24"/>
          <w:szCs w:val="24"/>
        </w:rPr>
        <w:t xml:space="preserve"> за важността на проблема.</w:t>
      </w:r>
      <w:r w:rsidR="00CF0BBC" w:rsidRPr="00997C23">
        <w:rPr>
          <w:rFonts w:ascii="Times New Roman" w:eastAsia="Times New Roman" w:hAnsi="Times New Roman" w:cs="Times New Roman"/>
          <w:sz w:val="24"/>
          <w:szCs w:val="24"/>
        </w:rPr>
        <w:t xml:space="preserve"> </w:t>
      </w:r>
    </w:p>
    <w:p w14:paraId="55459875" w14:textId="77777777" w:rsidR="00CF0BBC" w:rsidRPr="00997C23" w:rsidRDefault="00B10C6B"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eastAsia="Times New Roman" w:hAnsi="Times New Roman" w:cs="Times New Roman"/>
          <w:sz w:val="24"/>
          <w:szCs w:val="24"/>
        </w:rPr>
        <w:t xml:space="preserve">Съществен елемент в надзора на ВБИ е </w:t>
      </w:r>
      <w:r w:rsidR="00467E60" w:rsidRPr="00997C23">
        <w:rPr>
          <w:rFonts w:ascii="Times New Roman" w:eastAsia="Times New Roman" w:hAnsi="Times New Roman" w:cs="Times New Roman"/>
          <w:sz w:val="24"/>
          <w:szCs w:val="24"/>
        </w:rPr>
        <w:t>пълната разкриваемост, регистрация и проучване на случаите на ВБИ в лечебните заведения, както и анализ за ефективност на прилаганите мерки.</w:t>
      </w:r>
      <w:r w:rsidR="00D228BB" w:rsidRPr="00997C23">
        <w:rPr>
          <w:rFonts w:ascii="Times New Roman" w:eastAsia="Times New Roman" w:hAnsi="Times New Roman" w:cs="Times New Roman"/>
          <w:sz w:val="24"/>
          <w:szCs w:val="24"/>
        </w:rPr>
        <w:t xml:space="preserve"> </w:t>
      </w:r>
      <w:r w:rsidR="00E5396F" w:rsidRPr="00997C23">
        <w:rPr>
          <w:rFonts w:ascii="Times New Roman" w:eastAsia="Times New Roman" w:hAnsi="Times New Roman" w:cs="Times New Roman"/>
          <w:sz w:val="24"/>
          <w:szCs w:val="24"/>
        </w:rPr>
        <w:t>Необходимо е да се направи анализ на практиките за отчитане на ВБИ, ид</w:t>
      </w:r>
      <w:r w:rsidR="00D228BB" w:rsidRPr="00997C23">
        <w:rPr>
          <w:rFonts w:ascii="Times New Roman" w:eastAsia="Times New Roman" w:hAnsi="Times New Roman" w:cs="Times New Roman"/>
          <w:sz w:val="24"/>
          <w:szCs w:val="24"/>
        </w:rPr>
        <w:t>е</w:t>
      </w:r>
      <w:r w:rsidR="00E5396F" w:rsidRPr="00997C23">
        <w:rPr>
          <w:rFonts w:ascii="Times New Roman" w:eastAsia="Times New Roman" w:hAnsi="Times New Roman" w:cs="Times New Roman"/>
          <w:sz w:val="24"/>
          <w:szCs w:val="24"/>
        </w:rPr>
        <w:t>нтифициране на съществуващите проблеми и предприемане на съответните действия (вкл. нормативни) за подобряване отчетността и ко</w:t>
      </w:r>
      <w:r w:rsidR="00D228BB" w:rsidRPr="00997C23">
        <w:rPr>
          <w:rFonts w:ascii="Times New Roman" w:eastAsia="Times New Roman" w:hAnsi="Times New Roman" w:cs="Times New Roman"/>
          <w:sz w:val="24"/>
          <w:szCs w:val="24"/>
        </w:rPr>
        <w:t>н</w:t>
      </w:r>
      <w:r w:rsidR="00E5396F" w:rsidRPr="00997C23">
        <w:rPr>
          <w:rFonts w:ascii="Times New Roman" w:eastAsia="Times New Roman" w:hAnsi="Times New Roman" w:cs="Times New Roman"/>
          <w:sz w:val="24"/>
          <w:szCs w:val="24"/>
        </w:rPr>
        <w:t>трола.</w:t>
      </w:r>
      <w:r w:rsidR="00315E7A">
        <w:rPr>
          <w:rFonts w:ascii="Times New Roman" w:eastAsia="Times New Roman" w:hAnsi="Times New Roman" w:cs="Times New Roman"/>
          <w:sz w:val="24"/>
          <w:szCs w:val="24"/>
        </w:rPr>
        <w:t xml:space="preserve"> </w:t>
      </w:r>
    </w:p>
    <w:p w14:paraId="69F698D8" w14:textId="77777777" w:rsidR="00CF0BBC" w:rsidRPr="00997C23" w:rsidRDefault="00CF0BBC" w:rsidP="00C467DB">
      <w:pPr>
        <w:spacing w:after="0" w:line="360" w:lineRule="auto"/>
        <w:ind w:firstLine="709"/>
        <w:contextualSpacing/>
        <w:jc w:val="both"/>
        <w:rPr>
          <w:rFonts w:ascii="Times New Roman" w:eastAsia="Times New Roman" w:hAnsi="Times New Roman" w:cs="Times New Roman"/>
          <w:sz w:val="24"/>
          <w:szCs w:val="24"/>
        </w:rPr>
      </w:pPr>
      <w:r w:rsidRPr="00997C23">
        <w:rPr>
          <w:rFonts w:ascii="Times New Roman" w:eastAsia="Times New Roman" w:hAnsi="Times New Roman" w:cs="Times New Roman"/>
          <w:sz w:val="24"/>
          <w:szCs w:val="24"/>
        </w:rPr>
        <w:t xml:space="preserve">За ветеринарния сектор препоръките са подобни по отношение на големите ферми и личните стопанства, </w:t>
      </w:r>
      <w:r w:rsidR="00C45507">
        <w:rPr>
          <w:rFonts w:ascii="Times New Roman" w:eastAsia="Times New Roman" w:hAnsi="Times New Roman" w:cs="Times New Roman"/>
          <w:sz w:val="24"/>
          <w:szCs w:val="24"/>
        </w:rPr>
        <w:t xml:space="preserve">включително за сектора на аквакултурите, </w:t>
      </w:r>
      <w:r w:rsidRPr="00997C23">
        <w:rPr>
          <w:rFonts w:ascii="Times New Roman" w:eastAsia="Times New Roman" w:hAnsi="Times New Roman" w:cs="Times New Roman"/>
          <w:sz w:val="24"/>
          <w:szCs w:val="24"/>
        </w:rPr>
        <w:t xml:space="preserve">но не само за медицинските </w:t>
      </w:r>
      <w:r w:rsidR="00FC5E8E" w:rsidRPr="00997C23">
        <w:rPr>
          <w:rFonts w:ascii="Times New Roman" w:eastAsia="Times New Roman" w:hAnsi="Times New Roman" w:cs="Times New Roman"/>
          <w:sz w:val="24"/>
          <w:szCs w:val="24"/>
        </w:rPr>
        <w:t>специалисти</w:t>
      </w:r>
      <w:r w:rsidRPr="00997C23">
        <w:rPr>
          <w:rFonts w:ascii="Times New Roman" w:eastAsia="Times New Roman" w:hAnsi="Times New Roman" w:cs="Times New Roman"/>
          <w:sz w:val="24"/>
          <w:szCs w:val="24"/>
        </w:rPr>
        <w:t>, а също и за собствениците и гледачите на животни.</w:t>
      </w:r>
      <w:r w:rsidR="00CB4A96">
        <w:rPr>
          <w:rFonts w:ascii="Times New Roman" w:eastAsia="Times New Roman" w:hAnsi="Times New Roman" w:cs="Times New Roman"/>
          <w:sz w:val="24"/>
          <w:szCs w:val="24"/>
        </w:rPr>
        <w:t xml:space="preserve"> </w:t>
      </w:r>
      <w:r w:rsidR="00CB4A96" w:rsidRPr="00CB4A96">
        <w:rPr>
          <w:rFonts w:ascii="Times New Roman" w:eastAsia="Times New Roman" w:hAnsi="Times New Roman" w:cs="Times New Roman"/>
          <w:sz w:val="24"/>
          <w:szCs w:val="24"/>
        </w:rPr>
        <w:t xml:space="preserve">Инициативите за осигуряване на биосигурност и високи стандарти за хуманно отношение, спазване на добрите животновъдни практики, и изготвяне и прилагане на </w:t>
      </w:r>
      <w:r w:rsidR="001A57D9">
        <w:rPr>
          <w:rFonts w:ascii="Times New Roman" w:eastAsia="Times New Roman" w:hAnsi="Times New Roman" w:cs="Times New Roman"/>
          <w:sz w:val="24"/>
          <w:szCs w:val="24"/>
        </w:rPr>
        <w:t>планове</w:t>
      </w:r>
      <w:r w:rsidR="001A57D9" w:rsidRPr="00CB4A96">
        <w:rPr>
          <w:rFonts w:ascii="Times New Roman" w:eastAsia="Times New Roman" w:hAnsi="Times New Roman" w:cs="Times New Roman"/>
          <w:sz w:val="24"/>
          <w:szCs w:val="24"/>
        </w:rPr>
        <w:t xml:space="preserve"> </w:t>
      </w:r>
      <w:r w:rsidR="00CB4A96" w:rsidRPr="00CB4A96">
        <w:rPr>
          <w:rFonts w:ascii="Times New Roman" w:eastAsia="Times New Roman" w:hAnsi="Times New Roman" w:cs="Times New Roman"/>
          <w:sz w:val="24"/>
          <w:szCs w:val="24"/>
        </w:rPr>
        <w:t xml:space="preserve">и стандартни оперативни процедури за всеки обект, свързани с профилактика и контрол на болестите трябва да бъдат подкрепяни с всички възможни политики, тъй като са в основата на превенцията на редица здравни заплахи и по-този начин ще се осигурят по-безопасни и по-висококачествени храни. От друга страна с оглед и на усложнената епизоотологична обстановка със заразните болести по животните на територията на България и ЕС през последните години се наложиха нормативни промени в законодателната рамка, на базата на които се повишава и контрола, извършван от </w:t>
      </w:r>
      <w:r w:rsidR="00A630C2">
        <w:rPr>
          <w:rFonts w:ascii="Times New Roman" w:eastAsia="Times New Roman" w:hAnsi="Times New Roman" w:cs="Times New Roman"/>
          <w:sz w:val="24"/>
          <w:szCs w:val="24"/>
        </w:rPr>
        <w:t>БАБХ</w:t>
      </w:r>
      <w:r w:rsidR="00CB4A96" w:rsidRPr="00CB4A96">
        <w:rPr>
          <w:rFonts w:ascii="Times New Roman" w:eastAsia="Times New Roman" w:hAnsi="Times New Roman" w:cs="Times New Roman"/>
          <w:sz w:val="24"/>
          <w:szCs w:val="24"/>
        </w:rPr>
        <w:t xml:space="preserve"> </w:t>
      </w:r>
      <w:r w:rsidR="00CB4A96" w:rsidRPr="00CB4A96">
        <w:rPr>
          <w:rFonts w:ascii="Times New Roman" w:eastAsia="Times New Roman" w:hAnsi="Times New Roman" w:cs="Times New Roman"/>
          <w:sz w:val="24"/>
          <w:szCs w:val="24"/>
        </w:rPr>
        <w:lastRenderedPageBreak/>
        <w:t xml:space="preserve">в животновъдните обекти по отношение на превенцията и контрола на заболяванията и употребата на </w:t>
      </w:r>
      <w:r w:rsidR="00A630C2" w:rsidRPr="00CB4A96">
        <w:rPr>
          <w:rFonts w:ascii="Times New Roman" w:eastAsia="Times New Roman" w:hAnsi="Times New Roman" w:cs="Times New Roman"/>
          <w:sz w:val="24"/>
          <w:szCs w:val="24"/>
        </w:rPr>
        <w:t>ветеринарн</w:t>
      </w:r>
      <w:r w:rsidR="00A630C2">
        <w:rPr>
          <w:rFonts w:ascii="Times New Roman" w:eastAsia="Times New Roman" w:hAnsi="Times New Roman" w:cs="Times New Roman"/>
          <w:sz w:val="24"/>
          <w:szCs w:val="24"/>
        </w:rPr>
        <w:t>и лекарствени</w:t>
      </w:r>
      <w:r w:rsidR="00A630C2" w:rsidRPr="00CB4A96">
        <w:rPr>
          <w:rFonts w:ascii="Times New Roman" w:eastAsia="Times New Roman" w:hAnsi="Times New Roman" w:cs="Times New Roman"/>
          <w:sz w:val="24"/>
          <w:szCs w:val="24"/>
        </w:rPr>
        <w:t xml:space="preserve"> </w:t>
      </w:r>
      <w:r w:rsidR="00CB4A96" w:rsidRPr="00CB4A96">
        <w:rPr>
          <w:rFonts w:ascii="Times New Roman" w:eastAsia="Times New Roman" w:hAnsi="Times New Roman" w:cs="Times New Roman"/>
          <w:sz w:val="24"/>
          <w:szCs w:val="24"/>
        </w:rPr>
        <w:t>продукти</w:t>
      </w:r>
      <w:r w:rsidR="00C23855">
        <w:rPr>
          <w:rFonts w:ascii="Times New Roman" w:eastAsia="Times New Roman" w:hAnsi="Times New Roman" w:cs="Times New Roman"/>
          <w:sz w:val="24"/>
          <w:szCs w:val="24"/>
        </w:rPr>
        <w:t xml:space="preserve"> (</w:t>
      </w:r>
      <w:r w:rsidR="00A630C2">
        <w:rPr>
          <w:rFonts w:ascii="Times New Roman" w:eastAsia="Times New Roman" w:hAnsi="Times New Roman" w:cs="Times New Roman"/>
          <w:sz w:val="24"/>
          <w:szCs w:val="24"/>
        </w:rPr>
        <w:t>ВЛП</w:t>
      </w:r>
      <w:r w:rsidR="00C23855">
        <w:rPr>
          <w:rFonts w:ascii="Times New Roman" w:eastAsia="Times New Roman" w:hAnsi="Times New Roman" w:cs="Times New Roman"/>
          <w:sz w:val="24"/>
          <w:szCs w:val="24"/>
        </w:rPr>
        <w:t>)</w:t>
      </w:r>
      <w:r w:rsidR="00CB4A96" w:rsidRPr="00CB4A96">
        <w:rPr>
          <w:rFonts w:ascii="Times New Roman" w:eastAsia="Times New Roman" w:hAnsi="Times New Roman" w:cs="Times New Roman"/>
          <w:sz w:val="24"/>
          <w:szCs w:val="24"/>
        </w:rPr>
        <w:t xml:space="preserve"> в животновъдните обекти</w:t>
      </w:r>
      <w:r w:rsidR="00CB4A96">
        <w:rPr>
          <w:rFonts w:ascii="Times New Roman" w:eastAsia="Times New Roman" w:hAnsi="Times New Roman" w:cs="Times New Roman"/>
          <w:sz w:val="24"/>
          <w:szCs w:val="24"/>
        </w:rPr>
        <w:t>.</w:t>
      </w:r>
    </w:p>
    <w:p w14:paraId="3452763A" w14:textId="77777777" w:rsidR="000F17D1" w:rsidRPr="00997C23" w:rsidRDefault="00DA3641" w:rsidP="00C467DB">
      <w:pPr>
        <w:spacing w:after="0" w:line="360" w:lineRule="auto"/>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rPr>
        <w:t>Имуно</w:t>
      </w:r>
      <w:r w:rsidR="00CF0BBC" w:rsidRPr="00997C23">
        <w:rPr>
          <w:rFonts w:ascii="Times New Roman" w:eastAsia="Times New Roman" w:hAnsi="Times New Roman" w:cs="Times New Roman"/>
          <w:sz w:val="24"/>
          <w:szCs w:val="24"/>
        </w:rPr>
        <w:t xml:space="preserve">профилактиката </w:t>
      </w:r>
      <w:r w:rsidR="000930F8" w:rsidRPr="00997C23">
        <w:rPr>
          <w:rFonts w:ascii="Times New Roman" w:eastAsia="Times New Roman" w:hAnsi="Times New Roman" w:cs="Times New Roman"/>
          <w:sz w:val="24"/>
          <w:szCs w:val="24"/>
        </w:rPr>
        <w:t xml:space="preserve">следва да бъде стриктно провеждана като </w:t>
      </w:r>
      <w:r w:rsidR="00D228BB" w:rsidRPr="00997C23">
        <w:rPr>
          <w:rFonts w:ascii="Times New Roman" w:eastAsia="Times New Roman" w:hAnsi="Times New Roman" w:cs="Times New Roman"/>
          <w:sz w:val="24"/>
          <w:szCs w:val="24"/>
        </w:rPr>
        <w:t>най-е</w:t>
      </w:r>
      <w:r w:rsidR="00FC5E8E" w:rsidRPr="00997C23">
        <w:rPr>
          <w:rFonts w:ascii="Times New Roman" w:eastAsia="Times New Roman" w:hAnsi="Times New Roman" w:cs="Times New Roman"/>
          <w:sz w:val="24"/>
          <w:szCs w:val="24"/>
        </w:rPr>
        <w:t>фективно средство</w:t>
      </w:r>
      <w:r w:rsidR="00CF0BBC" w:rsidRPr="00997C23">
        <w:rPr>
          <w:rFonts w:ascii="Times New Roman" w:eastAsia="Times New Roman" w:hAnsi="Times New Roman" w:cs="Times New Roman"/>
          <w:sz w:val="24"/>
          <w:szCs w:val="24"/>
        </w:rPr>
        <w:t xml:space="preserve"> в борбата с инфекциите, </w:t>
      </w:r>
      <w:r w:rsidR="00E915B2">
        <w:rPr>
          <w:rFonts w:ascii="Times New Roman" w:eastAsia="Times New Roman" w:hAnsi="Times New Roman" w:cs="Times New Roman"/>
          <w:sz w:val="24"/>
          <w:szCs w:val="24"/>
        </w:rPr>
        <w:t>като тя</w:t>
      </w:r>
      <w:r w:rsidR="00E915B2" w:rsidRPr="00997C23">
        <w:rPr>
          <w:rFonts w:ascii="Times New Roman" w:eastAsia="Times New Roman" w:hAnsi="Times New Roman" w:cs="Times New Roman"/>
          <w:sz w:val="24"/>
          <w:szCs w:val="24"/>
        </w:rPr>
        <w:t xml:space="preserve"> </w:t>
      </w:r>
      <w:r w:rsidR="000930F8" w:rsidRPr="00997C23">
        <w:rPr>
          <w:rFonts w:ascii="Times New Roman" w:eastAsia="Times New Roman" w:hAnsi="Times New Roman" w:cs="Times New Roman"/>
          <w:sz w:val="24"/>
          <w:szCs w:val="24"/>
        </w:rPr>
        <w:t>води до намаляване на употребата на антиб</w:t>
      </w:r>
      <w:r w:rsidR="00D37BBD" w:rsidRPr="00997C23">
        <w:rPr>
          <w:rFonts w:ascii="Times New Roman" w:eastAsia="Times New Roman" w:hAnsi="Times New Roman" w:cs="Times New Roman"/>
          <w:sz w:val="24"/>
          <w:szCs w:val="24"/>
        </w:rPr>
        <w:t>и</w:t>
      </w:r>
      <w:r w:rsidR="000930F8" w:rsidRPr="00997C23">
        <w:rPr>
          <w:rFonts w:ascii="Times New Roman" w:eastAsia="Times New Roman" w:hAnsi="Times New Roman" w:cs="Times New Roman"/>
          <w:sz w:val="24"/>
          <w:szCs w:val="24"/>
        </w:rPr>
        <w:t xml:space="preserve">отици и </w:t>
      </w:r>
      <w:r w:rsidR="00F53E5D" w:rsidRPr="00997C23">
        <w:rPr>
          <w:rFonts w:ascii="Times New Roman" w:eastAsia="Times New Roman" w:hAnsi="Times New Roman" w:cs="Times New Roman"/>
          <w:sz w:val="24"/>
          <w:szCs w:val="24"/>
        </w:rPr>
        <w:t xml:space="preserve">индиректно </w:t>
      </w:r>
      <w:r w:rsidR="000930F8" w:rsidRPr="00997C23">
        <w:rPr>
          <w:rFonts w:ascii="Times New Roman" w:eastAsia="Times New Roman" w:hAnsi="Times New Roman" w:cs="Times New Roman"/>
          <w:sz w:val="24"/>
          <w:szCs w:val="24"/>
        </w:rPr>
        <w:t>влияе на</w:t>
      </w:r>
      <w:r w:rsidR="00F53E5D" w:rsidRPr="00997C23">
        <w:rPr>
          <w:rFonts w:ascii="Times New Roman" w:eastAsia="Times New Roman" w:hAnsi="Times New Roman" w:cs="Times New Roman"/>
          <w:sz w:val="24"/>
          <w:szCs w:val="24"/>
        </w:rPr>
        <w:t xml:space="preserve"> възможностите за възникване на</w:t>
      </w:r>
      <w:r w:rsidR="00CF0BBC" w:rsidRPr="00997C23">
        <w:rPr>
          <w:rFonts w:ascii="Times New Roman" w:eastAsia="Times New Roman" w:hAnsi="Times New Roman" w:cs="Times New Roman"/>
          <w:sz w:val="24"/>
          <w:szCs w:val="24"/>
        </w:rPr>
        <w:t xml:space="preserve"> резистентни бактерии.</w:t>
      </w:r>
      <w:r w:rsidR="008D6E1F" w:rsidRPr="00997C23">
        <w:rPr>
          <w:rFonts w:ascii="Times New Roman" w:eastAsia="Times New Roman" w:hAnsi="Times New Roman" w:cs="Times New Roman"/>
          <w:sz w:val="24"/>
          <w:szCs w:val="24"/>
        </w:rPr>
        <w:t xml:space="preserve"> Само за едно десетилетие ваксините срещу </w:t>
      </w:r>
      <w:r w:rsidR="008D6E1F" w:rsidRPr="00997C23">
        <w:rPr>
          <w:rFonts w:ascii="Times New Roman" w:eastAsia="Times New Roman" w:hAnsi="Times New Roman" w:cs="Times New Roman"/>
          <w:i/>
          <w:sz w:val="24"/>
          <w:szCs w:val="24"/>
        </w:rPr>
        <w:t>Haemophilus influenzae</w:t>
      </w:r>
      <w:r w:rsidR="008D6E1F" w:rsidRPr="00997C23">
        <w:rPr>
          <w:rFonts w:ascii="Times New Roman" w:eastAsia="Times New Roman" w:hAnsi="Times New Roman" w:cs="Times New Roman"/>
          <w:sz w:val="24"/>
          <w:szCs w:val="24"/>
        </w:rPr>
        <w:t xml:space="preserve"> тип B (Hib) и </w:t>
      </w:r>
      <w:r w:rsidR="008D6E1F" w:rsidRPr="00997C23">
        <w:rPr>
          <w:rFonts w:ascii="Times New Roman" w:eastAsia="Times New Roman" w:hAnsi="Times New Roman" w:cs="Times New Roman"/>
          <w:i/>
          <w:sz w:val="24"/>
          <w:szCs w:val="24"/>
        </w:rPr>
        <w:t>Streptococcus pneumoniae</w:t>
      </w:r>
      <w:r w:rsidR="008D6E1F" w:rsidRPr="00997C23">
        <w:rPr>
          <w:rFonts w:ascii="Times New Roman" w:eastAsia="Times New Roman" w:hAnsi="Times New Roman" w:cs="Times New Roman"/>
          <w:sz w:val="24"/>
          <w:szCs w:val="24"/>
        </w:rPr>
        <w:t xml:space="preserve"> повлияха драстично на нивата на резистентност </w:t>
      </w:r>
      <w:r w:rsidR="005A4B7C" w:rsidRPr="00997C23">
        <w:rPr>
          <w:rFonts w:ascii="Times New Roman" w:eastAsia="Times New Roman" w:hAnsi="Times New Roman" w:cs="Times New Roman"/>
          <w:sz w:val="24"/>
          <w:szCs w:val="24"/>
        </w:rPr>
        <w:fldChar w:fldCharType="begin" w:fldLock="1"/>
      </w:r>
      <w:r w:rsidR="009D0134" w:rsidRPr="00997C23">
        <w:rPr>
          <w:rFonts w:ascii="Times New Roman" w:eastAsia="Times New Roman" w:hAnsi="Times New Roman" w:cs="Times New Roman"/>
          <w:sz w:val="24"/>
          <w:szCs w:val="24"/>
        </w:rPr>
        <w:instrText>ADDIN CSL_CITATION {"citationItems":[{"id":"ITEM-1","itemData":{"DOI":"10.1080/21645515.2018.1476814","ISSN":"2164-554X","PMID":"29787323","abstract":"The problem of antimicrobial resistance (AMR) and the associated morbidity and mortality due to antibiotic resistant bacterial pathogens is not new. However, AMR has been increasing at an alarming rate with appearances of diseases caused by bacteria exhibiting resistance to not just one but multiple classes of antibiotics. The World Health Organization (WHO) supported by governments, health ministries and health agencies has formulated global action plans to combat the rise in AMR, supporting a number of proven initiatives such as antimicrobial stewardship, investments in development of new classes of antibiotics, and educational programs designed to eliminate inappropriate antibiotic use. Vaccines as tools to reduce AMR have historically been under-recognized, yet the positive effect in reducing AMR has been well established. For example Haemophilus influenzae type B (Hib) as well as Streptococcus pneumoniae (pneumococcal) conjugate vaccines have impressive track records in not only preventing life threatening diseases caused by these bacteria, but also reducing antibiotic use and AMR. This paper will describe the drivers of antibiotic use and subsequent development of AMR; it will make the case how existing vaccines are already participating in combatting AMR, describe future prospects for the role of new vaccines in development to reduce AMR, and highlight challenges associated with future vaccine development to combat AMR.","author":[{"dropping-particle":"","family":"Jansen","given":"Kathrin U","non-dropping-particle":"","parse-names":false,"suffix":""},{"dropping-particle":"","family":"Anderson","given":"Annaliesa S","non-dropping-particle":"","parse-names":false,"suffix":""}],"container-title":"Human vaccines &amp; immunotherapeutics","id":"ITEM-1","issue":"9","issued":{"date-parts":[["2018"]]},"page":"2142-2149","publisher":"Taylor &amp; Francis","title":"The role of vaccines in fighting antimicrobial resistance (AMR).","type":"article-journal","volume":"14"},"uris":["http://www.mendeley.com/documents/?uuid=8e215662-f98c-3a5f-b3d7-0f25d009b546"]}],"mendeley":{"formattedCitation":"[33]","plainTextFormattedCitation":"[33]","previouslyFormattedCitation":"(Jansen &amp; Anderson, 2018)"},"properties":{"noteIndex":0},"schema":"https://github.com/citation-style-language/schema/raw/master/csl-citation.json"}</w:instrText>
      </w:r>
      <w:r w:rsidR="005A4B7C" w:rsidRPr="00997C23">
        <w:rPr>
          <w:rFonts w:ascii="Times New Roman" w:eastAsia="Times New Roman" w:hAnsi="Times New Roman" w:cs="Times New Roman"/>
          <w:sz w:val="24"/>
          <w:szCs w:val="24"/>
        </w:rPr>
        <w:fldChar w:fldCharType="separate"/>
      </w:r>
      <w:r w:rsidR="009D0134" w:rsidRPr="00997C23">
        <w:rPr>
          <w:rFonts w:ascii="Times New Roman" w:eastAsia="Times New Roman" w:hAnsi="Times New Roman" w:cs="Times New Roman"/>
          <w:noProof/>
          <w:sz w:val="24"/>
          <w:szCs w:val="24"/>
        </w:rPr>
        <w:t>[33]</w:t>
      </w:r>
      <w:r w:rsidR="005A4B7C" w:rsidRPr="00997C23">
        <w:rPr>
          <w:rFonts w:ascii="Times New Roman" w:eastAsia="Times New Roman" w:hAnsi="Times New Roman" w:cs="Times New Roman"/>
          <w:sz w:val="24"/>
          <w:szCs w:val="24"/>
        </w:rPr>
        <w:fldChar w:fldCharType="end"/>
      </w:r>
      <w:r w:rsidR="00FC5E8E" w:rsidRPr="00997C23">
        <w:rPr>
          <w:rFonts w:ascii="Times New Roman" w:eastAsia="Times New Roman" w:hAnsi="Times New Roman" w:cs="Times New Roman"/>
          <w:sz w:val="24"/>
          <w:szCs w:val="24"/>
        </w:rPr>
        <w:t>.</w:t>
      </w:r>
    </w:p>
    <w:p w14:paraId="5A8E6E27" w14:textId="77777777" w:rsidR="00DD67CB" w:rsidRPr="00997C23" w:rsidRDefault="00DD67CB" w:rsidP="00C467DB">
      <w:pPr>
        <w:spacing w:after="0" w:line="360" w:lineRule="auto"/>
        <w:ind w:firstLine="709"/>
        <w:contextualSpacing/>
        <w:jc w:val="both"/>
        <w:rPr>
          <w:rFonts w:ascii="Times New Roman" w:hAnsi="Times New Roman" w:cs="Times New Roman"/>
          <w:sz w:val="24"/>
          <w:szCs w:val="24"/>
        </w:rPr>
      </w:pPr>
    </w:p>
    <w:p w14:paraId="2524BB44" w14:textId="77777777" w:rsidR="001B0E63" w:rsidRPr="00025214" w:rsidRDefault="00FB3C10" w:rsidP="00E843C8">
      <w:pPr>
        <w:pStyle w:val="Heading2"/>
        <w:spacing w:before="0" w:line="360" w:lineRule="auto"/>
        <w:jc w:val="both"/>
        <w:rPr>
          <w:rFonts w:ascii="Times New Roman" w:eastAsiaTheme="majorEastAsia" w:hAnsi="Times New Roman"/>
          <w:bCs w:val="0"/>
          <w:color w:val="auto"/>
          <w:sz w:val="24"/>
          <w:szCs w:val="24"/>
          <w:lang w:eastAsia="bg-BG"/>
        </w:rPr>
      </w:pPr>
      <w:bookmarkStart w:id="8" w:name="_Toc200721738"/>
      <w:r>
        <w:rPr>
          <w:rFonts w:ascii="Times New Roman" w:eastAsiaTheme="majorEastAsia" w:hAnsi="Times New Roman"/>
          <w:bCs w:val="0"/>
          <w:color w:val="auto"/>
          <w:sz w:val="24"/>
          <w:szCs w:val="24"/>
          <w:lang w:eastAsia="bg-BG"/>
        </w:rPr>
        <w:t>ОСНОВНА</w:t>
      </w:r>
      <w:r w:rsidR="00F55999" w:rsidRPr="001B0E63">
        <w:rPr>
          <w:rFonts w:ascii="Times New Roman" w:eastAsiaTheme="majorEastAsia" w:hAnsi="Times New Roman"/>
          <w:bCs w:val="0"/>
          <w:color w:val="auto"/>
          <w:sz w:val="24"/>
          <w:szCs w:val="24"/>
          <w:lang w:eastAsia="bg-BG"/>
        </w:rPr>
        <w:t xml:space="preserve"> ЦЕЛ 4. </w:t>
      </w:r>
      <w:r w:rsidR="00CB65E2" w:rsidRPr="00025214">
        <w:rPr>
          <w:rFonts w:ascii="Times New Roman" w:eastAsiaTheme="majorEastAsia" w:hAnsi="Times New Roman"/>
          <w:bCs w:val="0"/>
          <w:color w:val="auto"/>
          <w:sz w:val="24"/>
          <w:szCs w:val="24"/>
          <w:lang w:eastAsia="bg-BG"/>
        </w:rPr>
        <w:t>Оптимизиране на прилагането на антибиотици при хора и животни.</w:t>
      </w:r>
      <w:bookmarkEnd w:id="8"/>
      <w:r w:rsidR="00CB65E2" w:rsidRPr="00025214">
        <w:rPr>
          <w:rFonts w:ascii="Times New Roman" w:eastAsiaTheme="majorEastAsia" w:hAnsi="Times New Roman"/>
          <w:bCs w:val="0"/>
          <w:color w:val="auto"/>
          <w:sz w:val="24"/>
          <w:szCs w:val="24"/>
          <w:lang w:eastAsia="bg-BG"/>
        </w:rPr>
        <w:t xml:space="preserve"> </w:t>
      </w:r>
    </w:p>
    <w:p w14:paraId="0D30E52A" w14:textId="77777777" w:rsidR="003956E8" w:rsidRPr="00C467DB" w:rsidRDefault="00CB65E2" w:rsidP="00C467DB">
      <w:pPr>
        <w:spacing w:after="0" w:line="360" w:lineRule="auto"/>
        <w:ind w:firstLine="709"/>
        <w:jc w:val="both"/>
        <w:rPr>
          <w:rFonts w:ascii="Times New Roman" w:eastAsiaTheme="majorEastAsia" w:hAnsi="Times New Roman" w:cs="Times New Roman"/>
          <w:b/>
          <w:bCs/>
          <w:sz w:val="24"/>
          <w:szCs w:val="24"/>
          <w:lang w:eastAsia="bg-BG"/>
        </w:rPr>
      </w:pPr>
      <w:r w:rsidRPr="00C467DB">
        <w:rPr>
          <w:rFonts w:ascii="Times New Roman" w:eastAsiaTheme="majorEastAsia" w:hAnsi="Times New Roman" w:cs="Times New Roman"/>
          <w:bCs/>
          <w:sz w:val="24"/>
          <w:szCs w:val="24"/>
          <w:lang w:eastAsia="bg-BG"/>
        </w:rPr>
        <w:t>Съгласно</w:t>
      </w:r>
      <w:r w:rsidR="00CF0BBC" w:rsidRPr="00C467DB">
        <w:rPr>
          <w:rFonts w:ascii="Times New Roman" w:eastAsiaTheme="majorEastAsia" w:hAnsi="Times New Roman" w:cs="Times New Roman"/>
          <w:bCs/>
          <w:sz w:val="24"/>
          <w:szCs w:val="24"/>
          <w:lang w:eastAsia="bg-BG"/>
        </w:rPr>
        <w:t xml:space="preserve"> Закона за лекарствените продукти в хуманната медицина </w:t>
      </w:r>
      <w:r w:rsidR="003B3E7E" w:rsidRPr="00C467DB">
        <w:rPr>
          <w:rFonts w:ascii="Times New Roman" w:eastAsiaTheme="majorEastAsia" w:hAnsi="Times New Roman" w:cs="Times New Roman"/>
          <w:bCs/>
          <w:sz w:val="24"/>
          <w:szCs w:val="24"/>
          <w:lang w:eastAsia="bg-BG"/>
        </w:rPr>
        <w:t>(</w:t>
      </w:r>
      <w:r w:rsidR="00CA2015" w:rsidRPr="00C467DB">
        <w:rPr>
          <w:rFonts w:ascii="Times New Roman" w:eastAsiaTheme="majorEastAsia" w:hAnsi="Times New Roman" w:cs="Times New Roman"/>
          <w:bCs/>
          <w:sz w:val="24"/>
          <w:szCs w:val="24"/>
          <w:lang w:eastAsia="bg-BG"/>
        </w:rPr>
        <w:t>ЗЛПХМ</w:t>
      </w:r>
      <w:r w:rsidR="003B3E7E" w:rsidRPr="00C467DB">
        <w:rPr>
          <w:rFonts w:ascii="Times New Roman" w:eastAsiaTheme="majorEastAsia" w:hAnsi="Times New Roman" w:cs="Times New Roman"/>
          <w:bCs/>
          <w:sz w:val="24"/>
          <w:szCs w:val="24"/>
          <w:lang w:eastAsia="bg-BG"/>
        </w:rPr>
        <w:t>)</w:t>
      </w:r>
      <w:r w:rsidR="00CA2015" w:rsidRPr="00C467DB">
        <w:rPr>
          <w:rFonts w:ascii="Times New Roman" w:eastAsiaTheme="majorEastAsia" w:hAnsi="Times New Roman" w:cs="Times New Roman"/>
          <w:bCs/>
          <w:sz w:val="24"/>
          <w:szCs w:val="24"/>
          <w:lang w:eastAsia="bg-BG"/>
        </w:rPr>
        <w:t xml:space="preserve"> </w:t>
      </w:r>
      <w:r w:rsidR="005E0643" w:rsidRPr="00C467DB">
        <w:rPr>
          <w:rFonts w:ascii="Times New Roman" w:eastAsiaTheme="majorEastAsia" w:hAnsi="Times New Roman" w:cs="Times New Roman"/>
          <w:bCs/>
          <w:sz w:val="24"/>
          <w:szCs w:val="24"/>
          <w:lang w:eastAsia="bg-BG"/>
        </w:rPr>
        <w:t xml:space="preserve">и </w:t>
      </w:r>
      <w:r w:rsidR="00386396" w:rsidRPr="00C467DB">
        <w:rPr>
          <w:rFonts w:ascii="Times New Roman" w:eastAsiaTheme="majorEastAsia" w:hAnsi="Times New Roman" w:cs="Times New Roman"/>
          <w:bCs/>
          <w:sz w:val="24"/>
          <w:szCs w:val="24"/>
          <w:lang w:eastAsia="bg-BG"/>
        </w:rPr>
        <w:t xml:space="preserve">Наредба № 4 от 4 </w:t>
      </w:r>
      <w:r w:rsidR="009E5F44" w:rsidRPr="00C467DB">
        <w:rPr>
          <w:rFonts w:ascii="Times New Roman" w:eastAsiaTheme="majorEastAsia" w:hAnsi="Times New Roman" w:cs="Times New Roman"/>
          <w:bCs/>
          <w:sz w:val="24"/>
          <w:szCs w:val="24"/>
          <w:lang w:eastAsia="bg-BG"/>
        </w:rPr>
        <w:t>март</w:t>
      </w:r>
      <w:r w:rsidR="00386396" w:rsidRPr="00C467DB">
        <w:rPr>
          <w:rFonts w:ascii="Times New Roman" w:eastAsiaTheme="majorEastAsia" w:hAnsi="Times New Roman" w:cs="Times New Roman"/>
          <w:bCs/>
          <w:sz w:val="24"/>
          <w:szCs w:val="24"/>
          <w:lang w:eastAsia="bg-BG"/>
        </w:rPr>
        <w:t xml:space="preserve"> 2009 г. за условията и реда за предписване и отпускане на лекарствени продукти</w:t>
      </w:r>
      <w:r w:rsidR="00CA2015" w:rsidRPr="00C467DB">
        <w:rPr>
          <w:rFonts w:ascii="Times New Roman" w:eastAsiaTheme="majorEastAsia" w:hAnsi="Times New Roman" w:cs="Times New Roman"/>
          <w:b/>
          <w:bCs/>
          <w:sz w:val="24"/>
          <w:szCs w:val="24"/>
          <w:lang w:eastAsia="bg-BG"/>
        </w:rPr>
        <w:t xml:space="preserve"> </w:t>
      </w:r>
      <w:r w:rsidR="00E639EF" w:rsidRPr="00C467DB">
        <w:rPr>
          <w:rFonts w:ascii="Times New Roman" w:eastAsiaTheme="majorEastAsia" w:hAnsi="Times New Roman" w:cs="Times New Roman"/>
          <w:b/>
          <w:bCs/>
          <w:sz w:val="24"/>
          <w:szCs w:val="24"/>
          <w:lang w:eastAsia="bg-BG"/>
        </w:rPr>
        <w:t>(</w:t>
      </w:r>
      <w:r w:rsidR="00CA2015" w:rsidRPr="00C467DB">
        <w:rPr>
          <w:rFonts w:ascii="Times New Roman" w:hAnsi="Times New Roman" w:cs="Times New Roman"/>
          <w:sz w:val="24"/>
          <w:szCs w:val="24"/>
          <w:shd w:val="clear" w:color="auto" w:fill="FFFFFF"/>
        </w:rPr>
        <w:t>обн., ДВ,</w:t>
      </w:r>
      <w:r w:rsidR="00CB5DD7" w:rsidRPr="00C467DB">
        <w:rPr>
          <w:rFonts w:ascii="Times New Roman" w:hAnsi="Times New Roman" w:cs="Times New Roman"/>
          <w:sz w:val="24"/>
          <w:szCs w:val="24"/>
          <w:shd w:val="clear" w:color="auto" w:fill="FFFFFF"/>
        </w:rPr>
        <w:t xml:space="preserve"> </w:t>
      </w:r>
      <w:hyperlink r:id="rId12" w:tgtFrame="_blank" w:history="1">
        <w:r w:rsidR="00CA2015" w:rsidRPr="00C467DB">
          <w:rPr>
            <w:rStyle w:val="Hyperlink"/>
            <w:rFonts w:ascii="Times New Roman" w:hAnsi="Times New Roman" w:cs="Times New Roman"/>
            <w:color w:val="auto"/>
            <w:sz w:val="24"/>
            <w:szCs w:val="24"/>
            <w:u w:val="none"/>
            <w:shd w:val="clear" w:color="auto" w:fill="FFFFFF"/>
          </w:rPr>
          <w:t>бр. 21</w:t>
        </w:r>
      </w:hyperlink>
      <w:r w:rsidR="00CA2015" w:rsidRPr="00C467DB">
        <w:rPr>
          <w:rFonts w:ascii="Times New Roman" w:hAnsi="Times New Roman" w:cs="Times New Roman"/>
          <w:sz w:val="24"/>
          <w:szCs w:val="24"/>
          <w:shd w:val="clear" w:color="auto" w:fill="FFFFFF"/>
        </w:rPr>
        <w:t xml:space="preserve"> от 2009</w:t>
      </w:r>
      <w:r w:rsidR="00CB5DD7" w:rsidRPr="00C467DB">
        <w:rPr>
          <w:rFonts w:ascii="Times New Roman" w:hAnsi="Times New Roman" w:cs="Times New Roman"/>
          <w:sz w:val="24"/>
          <w:szCs w:val="24"/>
          <w:shd w:val="clear" w:color="auto" w:fill="FFFFFF"/>
        </w:rPr>
        <w:t>г.</w:t>
      </w:r>
      <w:r w:rsidR="00E639EF" w:rsidRPr="00C467DB">
        <w:rPr>
          <w:rFonts w:ascii="Times New Roman" w:hAnsi="Times New Roman" w:cs="Times New Roman"/>
          <w:sz w:val="24"/>
          <w:szCs w:val="24"/>
          <w:shd w:val="clear" w:color="auto" w:fill="FFFFFF"/>
        </w:rPr>
        <w:t>)</w:t>
      </w:r>
      <w:r w:rsidR="003B3E7E" w:rsidRPr="00C467DB">
        <w:rPr>
          <w:rFonts w:ascii="Times New Roman" w:hAnsi="Times New Roman" w:cs="Times New Roman"/>
          <w:sz w:val="24"/>
          <w:szCs w:val="24"/>
          <w:shd w:val="clear" w:color="auto" w:fill="FFFFFF"/>
        </w:rPr>
        <w:t xml:space="preserve"> </w:t>
      </w:r>
      <w:r w:rsidR="00386396" w:rsidRPr="00C467DB">
        <w:rPr>
          <w:rFonts w:ascii="Times New Roman" w:eastAsiaTheme="majorEastAsia" w:hAnsi="Times New Roman" w:cs="Times New Roman"/>
          <w:bCs/>
          <w:sz w:val="24"/>
          <w:szCs w:val="24"/>
          <w:lang w:eastAsia="bg-BG"/>
        </w:rPr>
        <w:t>медицинските специалисти,</w:t>
      </w:r>
      <w:r w:rsidR="00DD67CB" w:rsidRPr="00C467DB">
        <w:rPr>
          <w:rFonts w:ascii="Times New Roman" w:eastAsiaTheme="majorEastAsia" w:hAnsi="Times New Roman" w:cs="Times New Roman"/>
          <w:bCs/>
          <w:sz w:val="24"/>
          <w:szCs w:val="24"/>
          <w:lang w:eastAsia="bg-BG"/>
        </w:rPr>
        <w:t xml:space="preserve"> </w:t>
      </w:r>
      <w:r w:rsidR="00386396" w:rsidRPr="00C467DB">
        <w:rPr>
          <w:rFonts w:ascii="Times New Roman" w:eastAsiaTheme="majorEastAsia" w:hAnsi="Times New Roman" w:cs="Times New Roman"/>
          <w:bCs/>
          <w:sz w:val="24"/>
          <w:szCs w:val="24"/>
          <w:lang w:eastAsia="bg-BG"/>
        </w:rPr>
        <w:t xml:space="preserve">които </w:t>
      </w:r>
      <w:r w:rsidR="00DD67CB" w:rsidRPr="00C467DB">
        <w:rPr>
          <w:rFonts w:ascii="Times New Roman" w:eastAsiaTheme="majorEastAsia" w:hAnsi="Times New Roman" w:cs="Times New Roman"/>
          <w:bCs/>
          <w:sz w:val="24"/>
          <w:szCs w:val="24"/>
          <w:lang w:eastAsia="bg-BG"/>
        </w:rPr>
        <w:t xml:space="preserve">могат да предписват </w:t>
      </w:r>
      <w:r w:rsidR="000A27ED" w:rsidRPr="00C467DB">
        <w:rPr>
          <w:rFonts w:ascii="Times New Roman" w:eastAsiaTheme="majorEastAsia" w:hAnsi="Times New Roman" w:cs="Times New Roman"/>
          <w:bCs/>
          <w:sz w:val="24"/>
          <w:szCs w:val="24"/>
          <w:lang w:eastAsia="bg-BG"/>
        </w:rPr>
        <w:t>лекарства по лекарск</w:t>
      </w:r>
      <w:r w:rsidR="009E5F44" w:rsidRPr="00C467DB">
        <w:rPr>
          <w:rFonts w:ascii="Times New Roman" w:eastAsiaTheme="majorEastAsia" w:hAnsi="Times New Roman" w:cs="Times New Roman"/>
          <w:bCs/>
          <w:sz w:val="24"/>
          <w:szCs w:val="24"/>
          <w:lang w:eastAsia="bg-BG"/>
        </w:rPr>
        <w:t>о предписание и да издават рецепта</w:t>
      </w:r>
      <w:r w:rsidR="00386396" w:rsidRPr="00C467DB">
        <w:rPr>
          <w:rFonts w:ascii="Times New Roman" w:hAnsi="Times New Roman" w:cs="Times New Roman"/>
          <w:sz w:val="24"/>
          <w:szCs w:val="24"/>
        </w:rPr>
        <w:t xml:space="preserve"> </w:t>
      </w:r>
      <w:r w:rsidR="00386396" w:rsidRPr="00C467DB">
        <w:rPr>
          <w:rFonts w:ascii="Times New Roman" w:eastAsiaTheme="majorEastAsia" w:hAnsi="Times New Roman" w:cs="Times New Roman"/>
          <w:bCs/>
          <w:sz w:val="24"/>
          <w:szCs w:val="24"/>
          <w:lang w:eastAsia="bg-BG"/>
        </w:rPr>
        <w:t>са</w:t>
      </w:r>
      <w:r w:rsidR="00386396" w:rsidRPr="00C467DB">
        <w:rPr>
          <w:rFonts w:ascii="Times New Roman" w:hAnsi="Times New Roman" w:cs="Times New Roman"/>
          <w:sz w:val="24"/>
          <w:szCs w:val="24"/>
        </w:rPr>
        <w:t xml:space="preserve"> </w:t>
      </w:r>
      <w:r w:rsidR="00386396" w:rsidRPr="00C467DB">
        <w:rPr>
          <w:rFonts w:ascii="Times New Roman" w:eastAsiaTheme="majorEastAsia" w:hAnsi="Times New Roman" w:cs="Times New Roman"/>
          <w:bCs/>
          <w:sz w:val="24"/>
          <w:szCs w:val="24"/>
          <w:lang w:eastAsia="bg-BG"/>
        </w:rPr>
        <w:t>лекарите/лекарите по дентална медицина, упражняващи медицинската професия</w:t>
      </w:r>
      <w:r w:rsidR="00C60983">
        <w:rPr>
          <w:rFonts w:ascii="Times New Roman" w:eastAsiaTheme="majorEastAsia" w:hAnsi="Times New Roman" w:cs="Times New Roman"/>
          <w:bCs/>
          <w:strike/>
          <w:sz w:val="24"/>
          <w:szCs w:val="24"/>
          <w:lang w:eastAsia="bg-BG"/>
        </w:rPr>
        <w:t>.</w:t>
      </w:r>
      <w:r w:rsidR="00DA3641" w:rsidRPr="00DA3641">
        <w:rPr>
          <w:rFonts w:ascii="Times New Roman" w:eastAsiaTheme="majorEastAsia" w:hAnsi="Times New Roman" w:cs="Times New Roman"/>
          <w:bCs/>
          <w:sz w:val="24"/>
          <w:szCs w:val="24"/>
          <w:lang w:eastAsia="bg-BG"/>
        </w:rPr>
        <w:t xml:space="preserve"> </w:t>
      </w:r>
      <w:r w:rsidR="00DA3641">
        <w:rPr>
          <w:rFonts w:ascii="Times New Roman" w:eastAsiaTheme="majorEastAsia" w:hAnsi="Times New Roman" w:cs="Times New Roman"/>
          <w:bCs/>
          <w:sz w:val="24"/>
          <w:szCs w:val="24"/>
          <w:lang w:eastAsia="bg-BG"/>
        </w:rPr>
        <w:t xml:space="preserve">При спазване на условията, посочени в Регламент </w:t>
      </w:r>
      <w:r w:rsidR="00DA3641">
        <w:rPr>
          <w:rFonts w:ascii="Times New Roman" w:eastAsiaTheme="majorEastAsia" w:hAnsi="Times New Roman" w:cs="Times New Roman"/>
          <w:bCs/>
          <w:sz w:val="24"/>
          <w:szCs w:val="24"/>
          <w:lang w:val="en-US" w:eastAsia="bg-BG"/>
        </w:rPr>
        <w:t xml:space="preserve">(EC) </w:t>
      </w:r>
      <w:r w:rsidR="00DA3641">
        <w:rPr>
          <w:rFonts w:ascii="Times New Roman" w:eastAsiaTheme="majorEastAsia" w:hAnsi="Times New Roman" w:cs="Times New Roman"/>
          <w:bCs/>
          <w:sz w:val="24"/>
          <w:szCs w:val="24"/>
          <w:lang w:eastAsia="bg-BG"/>
        </w:rPr>
        <w:t>2019/6, в</w:t>
      </w:r>
      <w:r w:rsidR="001A5AFF" w:rsidRPr="001A5AFF">
        <w:rPr>
          <w:rFonts w:ascii="Times New Roman" w:eastAsiaTheme="majorEastAsia" w:hAnsi="Times New Roman" w:cs="Times New Roman"/>
          <w:bCs/>
          <w:sz w:val="24"/>
          <w:szCs w:val="24"/>
          <w:lang w:eastAsia="bg-BG"/>
        </w:rPr>
        <w:t>етеринарните лекари могат да предписват разрешени за употреба в страната лекарствени продукти за хуманна употреба, с изключение на лекарствени продукти, съдържащи наркотични вещества.</w:t>
      </w:r>
      <w:r w:rsidR="001A5AFF">
        <w:rPr>
          <w:rFonts w:ascii="Times New Roman" w:eastAsiaTheme="majorEastAsia" w:hAnsi="Times New Roman" w:cs="Times New Roman"/>
          <w:bCs/>
          <w:sz w:val="24"/>
          <w:szCs w:val="24"/>
          <w:lang w:eastAsia="bg-BG"/>
        </w:rPr>
        <w:t xml:space="preserve"> </w:t>
      </w:r>
      <w:r w:rsidR="00C60983">
        <w:rPr>
          <w:rFonts w:ascii="Times New Roman" w:eastAsiaTheme="majorEastAsia" w:hAnsi="Times New Roman" w:cs="Times New Roman"/>
          <w:bCs/>
          <w:sz w:val="24"/>
          <w:szCs w:val="24"/>
          <w:lang w:eastAsia="bg-BG"/>
        </w:rPr>
        <w:t>Считано от 01 април 2024 г. п</w:t>
      </w:r>
      <w:r w:rsidR="00C60983" w:rsidRPr="00C60983">
        <w:rPr>
          <w:rFonts w:ascii="Times New Roman" w:eastAsiaTheme="majorEastAsia" w:hAnsi="Times New Roman" w:cs="Times New Roman"/>
          <w:bCs/>
          <w:sz w:val="24"/>
          <w:szCs w:val="24"/>
          <w:lang w:eastAsia="bg-BG"/>
        </w:rPr>
        <w:t>редписването на лекарствени продукти,</w:t>
      </w:r>
      <w:r w:rsidR="00BA15C8">
        <w:rPr>
          <w:rFonts w:ascii="Times New Roman" w:eastAsiaTheme="majorEastAsia" w:hAnsi="Times New Roman" w:cs="Times New Roman"/>
          <w:bCs/>
          <w:sz w:val="24"/>
          <w:szCs w:val="24"/>
          <w:lang w:eastAsia="bg-BG"/>
        </w:rPr>
        <w:t xml:space="preserve"> </w:t>
      </w:r>
      <w:r w:rsidR="00C60983" w:rsidRPr="00C60983">
        <w:rPr>
          <w:rFonts w:ascii="Times New Roman" w:eastAsiaTheme="majorEastAsia" w:hAnsi="Times New Roman" w:cs="Times New Roman"/>
          <w:bCs/>
          <w:sz w:val="24"/>
          <w:szCs w:val="24"/>
          <w:lang w:eastAsia="bg-BG"/>
        </w:rPr>
        <w:t>класифиц</w:t>
      </w:r>
      <w:r w:rsidR="00417E64">
        <w:rPr>
          <w:rFonts w:ascii="Times New Roman" w:eastAsiaTheme="majorEastAsia" w:hAnsi="Times New Roman" w:cs="Times New Roman"/>
          <w:bCs/>
          <w:sz w:val="24"/>
          <w:szCs w:val="24"/>
          <w:lang w:eastAsia="bg-BG"/>
        </w:rPr>
        <w:t>ирани във фармакологична група „</w:t>
      </w:r>
      <w:r w:rsidR="00C60983" w:rsidRPr="00C60983">
        <w:rPr>
          <w:rFonts w:ascii="Times New Roman" w:eastAsiaTheme="majorEastAsia" w:hAnsi="Times New Roman" w:cs="Times New Roman"/>
          <w:bCs/>
          <w:sz w:val="24"/>
          <w:szCs w:val="24"/>
          <w:lang w:eastAsia="bg-BG"/>
        </w:rPr>
        <w:t xml:space="preserve">Антибактериални лекарствени продукти за системна </w:t>
      </w:r>
      <w:r w:rsidR="00417E64">
        <w:rPr>
          <w:rFonts w:ascii="Times New Roman" w:eastAsiaTheme="majorEastAsia" w:hAnsi="Times New Roman" w:cs="Times New Roman"/>
          <w:bCs/>
          <w:sz w:val="24"/>
          <w:szCs w:val="24"/>
          <w:lang w:eastAsia="bg-BG"/>
        </w:rPr>
        <w:t>употреба“</w:t>
      </w:r>
      <w:r w:rsidR="00C60983" w:rsidRPr="00C60983">
        <w:rPr>
          <w:rFonts w:ascii="Times New Roman" w:eastAsiaTheme="majorEastAsia" w:hAnsi="Times New Roman" w:cs="Times New Roman"/>
          <w:bCs/>
          <w:sz w:val="24"/>
          <w:szCs w:val="24"/>
          <w:lang w:eastAsia="bg-BG"/>
        </w:rPr>
        <w:t xml:space="preserve"> съгласно анатомо-терапевтично-химичната класификация на Световната здравна организация, се извършва само с електронно предписание.</w:t>
      </w:r>
      <w:r w:rsidR="00DD67CB" w:rsidRPr="00C467DB">
        <w:rPr>
          <w:rFonts w:ascii="Times New Roman" w:eastAsiaTheme="majorEastAsia" w:hAnsi="Times New Roman" w:cs="Times New Roman"/>
          <w:bCs/>
          <w:sz w:val="24"/>
          <w:szCs w:val="24"/>
          <w:lang w:eastAsia="bg-BG"/>
        </w:rPr>
        <w:t xml:space="preserve"> </w:t>
      </w:r>
      <w:r w:rsidR="009E5F44" w:rsidRPr="00C467DB">
        <w:rPr>
          <w:rFonts w:ascii="Times New Roman" w:eastAsiaTheme="majorEastAsia" w:hAnsi="Times New Roman" w:cs="Times New Roman"/>
          <w:bCs/>
          <w:sz w:val="24"/>
          <w:szCs w:val="24"/>
          <w:lang w:eastAsia="bg-BG"/>
        </w:rPr>
        <w:t xml:space="preserve">Аптеките могат да отпускат </w:t>
      </w:r>
      <w:r w:rsidR="00DD67CB" w:rsidRPr="00C467DB">
        <w:rPr>
          <w:rFonts w:ascii="Times New Roman" w:eastAsiaTheme="majorEastAsia" w:hAnsi="Times New Roman" w:cs="Times New Roman"/>
          <w:bCs/>
          <w:sz w:val="24"/>
          <w:szCs w:val="24"/>
          <w:lang w:eastAsia="bg-BG"/>
        </w:rPr>
        <w:t xml:space="preserve">антибиотици само по </w:t>
      </w:r>
      <w:r w:rsidR="000A27ED" w:rsidRPr="00C467DB">
        <w:rPr>
          <w:rFonts w:ascii="Times New Roman" w:eastAsiaTheme="majorEastAsia" w:hAnsi="Times New Roman" w:cs="Times New Roman"/>
          <w:bCs/>
          <w:sz w:val="24"/>
          <w:szCs w:val="24"/>
          <w:lang w:eastAsia="bg-BG"/>
        </w:rPr>
        <w:t>лекарс</w:t>
      </w:r>
      <w:r w:rsidR="00F12D64" w:rsidRPr="00C467DB">
        <w:rPr>
          <w:rFonts w:ascii="Times New Roman" w:eastAsiaTheme="majorEastAsia" w:hAnsi="Times New Roman" w:cs="Times New Roman"/>
          <w:bCs/>
          <w:sz w:val="24"/>
          <w:szCs w:val="24"/>
          <w:lang w:eastAsia="bg-BG"/>
        </w:rPr>
        <w:t>ко</w:t>
      </w:r>
      <w:r w:rsidR="00A630C2" w:rsidRPr="00C467DB">
        <w:rPr>
          <w:rFonts w:ascii="Times New Roman" w:eastAsiaTheme="majorEastAsia" w:hAnsi="Times New Roman" w:cs="Times New Roman"/>
          <w:bCs/>
          <w:sz w:val="24"/>
          <w:szCs w:val="24"/>
          <w:lang w:eastAsia="bg-BG"/>
        </w:rPr>
        <w:t xml:space="preserve"> </w:t>
      </w:r>
      <w:r w:rsidR="00417E64">
        <w:rPr>
          <w:rFonts w:ascii="Times New Roman" w:eastAsiaTheme="majorEastAsia" w:hAnsi="Times New Roman" w:cs="Times New Roman"/>
          <w:bCs/>
          <w:sz w:val="24"/>
          <w:szCs w:val="24"/>
          <w:lang w:eastAsia="bg-BG"/>
        </w:rPr>
        <w:t xml:space="preserve">предписание - </w:t>
      </w:r>
      <w:r w:rsidR="00DD67CB" w:rsidRPr="00C467DB">
        <w:rPr>
          <w:rFonts w:ascii="Times New Roman" w:eastAsiaTheme="majorEastAsia" w:hAnsi="Times New Roman" w:cs="Times New Roman"/>
          <w:bCs/>
          <w:sz w:val="24"/>
          <w:szCs w:val="24"/>
          <w:lang w:eastAsia="bg-BG"/>
        </w:rPr>
        <w:t>рецепта. ИАЛ</w:t>
      </w:r>
      <w:r w:rsidR="00D1796F" w:rsidRPr="00C467DB">
        <w:rPr>
          <w:rFonts w:ascii="Times New Roman" w:hAnsi="Times New Roman" w:cs="Times New Roman"/>
          <w:sz w:val="24"/>
          <w:szCs w:val="24"/>
        </w:rPr>
        <w:t xml:space="preserve"> </w:t>
      </w:r>
      <w:r w:rsidR="00D1796F" w:rsidRPr="00C467DB">
        <w:rPr>
          <w:rFonts w:ascii="Times New Roman" w:eastAsiaTheme="majorEastAsia" w:hAnsi="Times New Roman" w:cs="Times New Roman"/>
          <w:bCs/>
          <w:sz w:val="24"/>
          <w:szCs w:val="24"/>
          <w:lang w:eastAsia="bg-BG"/>
        </w:rPr>
        <w:t>упражнява</w:t>
      </w:r>
      <w:r w:rsidR="00DD67CB" w:rsidRPr="00C467DB">
        <w:rPr>
          <w:rFonts w:ascii="Times New Roman" w:eastAsiaTheme="majorEastAsia" w:hAnsi="Times New Roman" w:cs="Times New Roman"/>
          <w:bCs/>
          <w:sz w:val="24"/>
          <w:szCs w:val="24"/>
          <w:lang w:eastAsia="bg-BG"/>
        </w:rPr>
        <w:t xml:space="preserve"> </w:t>
      </w:r>
      <w:r w:rsidR="00D1796F" w:rsidRPr="00C467DB">
        <w:rPr>
          <w:rFonts w:ascii="Times New Roman" w:eastAsiaTheme="majorEastAsia" w:hAnsi="Times New Roman" w:cs="Times New Roman"/>
          <w:bCs/>
          <w:sz w:val="24"/>
          <w:szCs w:val="24"/>
          <w:lang w:eastAsia="bg-BG"/>
        </w:rPr>
        <w:t>цялостен контрол и надзор на пазара</w:t>
      </w:r>
      <w:r w:rsidR="001500CD" w:rsidRPr="00C467DB">
        <w:rPr>
          <w:rFonts w:ascii="Times New Roman" w:eastAsiaTheme="majorEastAsia" w:hAnsi="Times New Roman" w:cs="Times New Roman"/>
          <w:bCs/>
          <w:sz w:val="24"/>
          <w:szCs w:val="24"/>
          <w:lang w:eastAsia="bg-BG"/>
        </w:rPr>
        <w:t xml:space="preserve"> с лекарствени продукти</w:t>
      </w:r>
      <w:r w:rsidR="00D1796F" w:rsidRPr="00C467DB">
        <w:rPr>
          <w:rFonts w:ascii="Times New Roman" w:eastAsiaTheme="majorEastAsia" w:hAnsi="Times New Roman" w:cs="Times New Roman"/>
          <w:bCs/>
          <w:sz w:val="24"/>
          <w:szCs w:val="24"/>
          <w:lang w:eastAsia="bg-BG"/>
        </w:rPr>
        <w:t xml:space="preserve">, включително отпускането </w:t>
      </w:r>
      <w:r w:rsidR="00DD67CB" w:rsidRPr="00C467DB">
        <w:rPr>
          <w:rFonts w:ascii="Times New Roman" w:eastAsiaTheme="majorEastAsia" w:hAnsi="Times New Roman" w:cs="Times New Roman"/>
          <w:bCs/>
          <w:sz w:val="24"/>
          <w:szCs w:val="24"/>
          <w:lang w:eastAsia="bg-BG"/>
        </w:rPr>
        <w:t xml:space="preserve">на антибиотици в </w:t>
      </w:r>
      <w:r w:rsidR="003C3D85" w:rsidRPr="00C467DB">
        <w:rPr>
          <w:rFonts w:ascii="Times New Roman" w:eastAsiaTheme="majorEastAsia" w:hAnsi="Times New Roman" w:cs="Times New Roman"/>
          <w:bCs/>
          <w:sz w:val="24"/>
          <w:szCs w:val="24"/>
          <w:lang w:eastAsia="bg-BG"/>
        </w:rPr>
        <w:t>аптеките срещу представена рецепта</w:t>
      </w:r>
      <w:r w:rsidR="00CF0BBC" w:rsidRPr="00C467DB">
        <w:rPr>
          <w:rFonts w:ascii="Times New Roman" w:eastAsiaTheme="majorEastAsia" w:hAnsi="Times New Roman" w:cs="Times New Roman"/>
          <w:bCs/>
          <w:sz w:val="24"/>
          <w:szCs w:val="24"/>
          <w:lang w:eastAsia="bg-BG"/>
        </w:rPr>
        <w:t xml:space="preserve"> </w:t>
      </w:r>
      <w:r w:rsidR="00B1411B" w:rsidRPr="00C467DB">
        <w:rPr>
          <w:rFonts w:ascii="Times New Roman" w:eastAsiaTheme="majorEastAsia" w:hAnsi="Times New Roman" w:cs="Times New Roman"/>
          <w:bCs/>
          <w:sz w:val="24"/>
          <w:szCs w:val="24"/>
          <w:lang w:eastAsia="bg-BG"/>
        </w:rPr>
        <w:fldChar w:fldCharType="begin" w:fldLock="1"/>
      </w:r>
      <w:r w:rsidR="009D0134" w:rsidRPr="00C467DB">
        <w:rPr>
          <w:rFonts w:ascii="Times New Roman" w:eastAsiaTheme="majorEastAsia" w:hAnsi="Times New Roman" w:cs="Times New Roman"/>
          <w:bCs/>
          <w:sz w:val="24"/>
          <w:szCs w:val="24"/>
          <w:lang w:eastAsia="bg-BG"/>
        </w:rPr>
        <w:instrText>ADDIN CSL_CITATION {"citationItems":[{"id":"ITEM-1","itemData":{"DOI":"10.1016/B978-0-12-810477-4.00041-6","ISBN":"9780128104774","ISSN":"2214-4129","author":[{"dropping-particle":"","family":"Keuleyan","given":"Emma","non-dropping-particle":"","parse-names":false,"suffix":""},{"dropping-particle":"","family":"Kostyanev","given":"Tomislav","non-dropping-particle":"","parse-names":false,"suffix":""}],"chapter-number":"Antimicrob","container-title":"Antimicrobial Stewardship","editor":[{"dropping-particle":"","family":"C. Pulcini, O. Ergonul, F. Can","given":"B. Beovic (Eds)","non-dropping-particle":"","parse-names":false,"suffix":""}],"id":"ITEM-1","issued":{"date-parts":[["2017","1","1"]]},"page":"259-261","publisher":"Academic Press","publisher-place":"London","title":"Antimicrobial Stewardship in Bulgaria","type":"chapter","volume":"2"},"uris":["http://www.mendeley.com/documents/?uuid=46929b8a-5343-391d-b48d-af9166330dc4"]}],"mendeley":{"formattedCitation":"[21]","plainTextFormattedCitation":"[21]","previouslyFormattedCitation":"(Keuleyan &amp; Kostyanev, 2017)"},"properties":{"noteIndex":0},"schema":"https://github.com/citation-style-language/schema/raw/master/csl-citation.json"}</w:instrText>
      </w:r>
      <w:r w:rsidR="00B1411B" w:rsidRPr="00C467DB">
        <w:rPr>
          <w:rFonts w:ascii="Times New Roman" w:eastAsiaTheme="majorEastAsia" w:hAnsi="Times New Roman" w:cs="Times New Roman"/>
          <w:bCs/>
          <w:sz w:val="24"/>
          <w:szCs w:val="24"/>
          <w:lang w:eastAsia="bg-BG"/>
        </w:rPr>
        <w:fldChar w:fldCharType="separate"/>
      </w:r>
      <w:r w:rsidR="009D0134" w:rsidRPr="00C467DB">
        <w:rPr>
          <w:rFonts w:ascii="Times New Roman" w:eastAsiaTheme="majorEastAsia" w:hAnsi="Times New Roman" w:cs="Times New Roman"/>
          <w:bCs/>
          <w:sz w:val="24"/>
          <w:szCs w:val="24"/>
          <w:lang w:eastAsia="bg-BG"/>
        </w:rPr>
        <w:t>[21]</w:t>
      </w:r>
      <w:r w:rsidR="00B1411B" w:rsidRPr="00C467DB">
        <w:rPr>
          <w:rFonts w:ascii="Times New Roman" w:eastAsiaTheme="majorEastAsia" w:hAnsi="Times New Roman" w:cs="Times New Roman"/>
          <w:bCs/>
          <w:sz w:val="24"/>
          <w:szCs w:val="24"/>
          <w:lang w:eastAsia="bg-BG"/>
        </w:rPr>
        <w:fldChar w:fldCharType="end"/>
      </w:r>
      <w:r w:rsidR="009D7C12" w:rsidRPr="00C467DB">
        <w:rPr>
          <w:rFonts w:ascii="Times New Roman" w:eastAsiaTheme="majorEastAsia" w:hAnsi="Times New Roman" w:cs="Times New Roman"/>
          <w:bCs/>
          <w:sz w:val="24"/>
          <w:szCs w:val="24"/>
          <w:lang w:eastAsia="bg-BG"/>
        </w:rPr>
        <w:t>.</w:t>
      </w:r>
    </w:p>
    <w:p w14:paraId="27D43E59" w14:textId="77777777" w:rsidR="00DD67CB" w:rsidRPr="00C467DB" w:rsidRDefault="00DD67CB" w:rsidP="00C467DB">
      <w:pPr>
        <w:spacing w:after="0" w:line="360" w:lineRule="auto"/>
        <w:ind w:firstLine="709"/>
        <w:contextualSpacing/>
        <w:jc w:val="both"/>
        <w:rPr>
          <w:rFonts w:ascii="Times New Roman" w:hAnsi="Times New Roman" w:cs="Times New Roman"/>
          <w:sz w:val="24"/>
          <w:szCs w:val="24"/>
        </w:rPr>
      </w:pPr>
      <w:r w:rsidRPr="00C467DB">
        <w:rPr>
          <w:rFonts w:ascii="Times New Roman" w:hAnsi="Times New Roman" w:cs="Times New Roman"/>
          <w:sz w:val="24"/>
          <w:szCs w:val="24"/>
        </w:rPr>
        <w:t>Р</w:t>
      </w:r>
      <w:r w:rsidR="009D7C12" w:rsidRPr="00C467DB">
        <w:rPr>
          <w:rFonts w:ascii="Times New Roman" w:hAnsi="Times New Roman" w:cs="Times New Roman"/>
          <w:sz w:val="24"/>
          <w:szCs w:val="24"/>
        </w:rPr>
        <w:t>епублика</w:t>
      </w:r>
      <w:r w:rsidRPr="00C467DB">
        <w:rPr>
          <w:rFonts w:ascii="Times New Roman" w:hAnsi="Times New Roman" w:cs="Times New Roman"/>
          <w:sz w:val="24"/>
          <w:szCs w:val="24"/>
        </w:rPr>
        <w:t xml:space="preserve"> България участва активно в Европейската система за надзор </w:t>
      </w:r>
      <w:r w:rsidR="008928B1" w:rsidRPr="00C467DB">
        <w:rPr>
          <w:rFonts w:ascii="Times New Roman" w:hAnsi="Times New Roman" w:cs="Times New Roman"/>
          <w:sz w:val="24"/>
          <w:szCs w:val="24"/>
        </w:rPr>
        <w:t xml:space="preserve">на консумацията на антибиотици </w:t>
      </w:r>
      <w:r w:rsidRPr="00D01657">
        <w:rPr>
          <w:rFonts w:ascii="Times New Roman" w:hAnsi="Times New Roman" w:cs="Times New Roman"/>
          <w:sz w:val="24"/>
          <w:szCs w:val="24"/>
        </w:rPr>
        <w:t>ESAC-NET</w:t>
      </w:r>
      <w:r w:rsidRPr="00C467DB">
        <w:rPr>
          <w:rFonts w:ascii="Times New Roman" w:hAnsi="Times New Roman" w:cs="Times New Roman"/>
          <w:sz w:val="24"/>
          <w:szCs w:val="24"/>
        </w:rPr>
        <w:t xml:space="preserve"> още от създаването </w:t>
      </w:r>
      <w:r w:rsidR="00854D19" w:rsidRPr="00C467DB">
        <w:rPr>
          <w:rFonts w:ascii="Times New Roman" w:hAnsi="Times New Roman" w:cs="Times New Roman"/>
          <w:sz w:val="24"/>
          <w:szCs w:val="24"/>
        </w:rPr>
        <w:t xml:space="preserve">ѝ </w:t>
      </w:r>
      <w:r w:rsidRPr="00C467DB">
        <w:rPr>
          <w:rFonts w:ascii="Times New Roman" w:hAnsi="Times New Roman" w:cs="Times New Roman"/>
          <w:sz w:val="24"/>
          <w:szCs w:val="24"/>
        </w:rPr>
        <w:t xml:space="preserve">през </w:t>
      </w:r>
      <w:r w:rsidR="00CF0BBC" w:rsidRPr="00C467DB">
        <w:rPr>
          <w:rFonts w:ascii="Times New Roman" w:eastAsia="Times New Roman" w:hAnsi="Times New Roman" w:cs="Times New Roman"/>
          <w:sz w:val="24"/>
          <w:szCs w:val="24"/>
        </w:rPr>
        <w:t>1998</w:t>
      </w:r>
      <w:r w:rsidR="00BE7DAC" w:rsidRPr="00C467DB">
        <w:rPr>
          <w:rFonts w:ascii="Times New Roman" w:eastAsia="Times New Roman" w:hAnsi="Times New Roman" w:cs="Times New Roman"/>
          <w:sz w:val="24"/>
          <w:szCs w:val="24"/>
        </w:rPr>
        <w:t xml:space="preserve"> </w:t>
      </w:r>
      <w:r w:rsidR="00CF0BBC" w:rsidRPr="00C467DB">
        <w:rPr>
          <w:rFonts w:ascii="Times New Roman" w:eastAsia="Times New Roman" w:hAnsi="Times New Roman" w:cs="Times New Roman"/>
          <w:sz w:val="24"/>
          <w:szCs w:val="24"/>
        </w:rPr>
        <w:t>г</w:t>
      </w:r>
      <w:r w:rsidR="00854D19" w:rsidRPr="00C467DB">
        <w:rPr>
          <w:rFonts w:ascii="Times New Roman" w:eastAsia="Times New Roman" w:hAnsi="Times New Roman" w:cs="Times New Roman"/>
          <w:sz w:val="24"/>
          <w:szCs w:val="24"/>
        </w:rPr>
        <w:t>.</w:t>
      </w:r>
      <w:r w:rsidRPr="00C467DB">
        <w:rPr>
          <w:rFonts w:ascii="Times New Roman" w:hAnsi="Times New Roman" w:cs="Times New Roman"/>
          <w:sz w:val="24"/>
          <w:szCs w:val="24"/>
        </w:rPr>
        <w:t xml:space="preserve">, като докладва данни за употребата на </w:t>
      </w:r>
      <w:r w:rsidR="003B3E7E" w:rsidRPr="00C467DB">
        <w:rPr>
          <w:rFonts w:ascii="Times New Roman" w:hAnsi="Times New Roman" w:cs="Times New Roman"/>
          <w:sz w:val="24"/>
          <w:szCs w:val="24"/>
        </w:rPr>
        <w:t xml:space="preserve">антибиотици </w:t>
      </w:r>
      <w:r w:rsidRPr="00C467DB">
        <w:rPr>
          <w:rFonts w:ascii="Times New Roman" w:hAnsi="Times New Roman" w:cs="Times New Roman"/>
          <w:sz w:val="24"/>
          <w:szCs w:val="24"/>
        </w:rPr>
        <w:t xml:space="preserve">както в </w:t>
      </w:r>
      <w:r w:rsidR="00F530CE" w:rsidRPr="00C467DB">
        <w:rPr>
          <w:rFonts w:ascii="Times New Roman" w:hAnsi="Times New Roman" w:cs="Times New Roman"/>
          <w:sz w:val="24"/>
          <w:szCs w:val="24"/>
        </w:rPr>
        <w:t>болничната</w:t>
      </w:r>
      <w:r w:rsidRPr="00C467DB">
        <w:rPr>
          <w:rFonts w:ascii="Times New Roman" w:hAnsi="Times New Roman" w:cs="Times New Roman"/>
          <w:sz w:val="24"/>
          <w:szCs w:val="24"/>
        </w:rPr>
        <w:t xml:space="preserve">, така и в </w:t>
      </w:r>
      <w:r w:rsidR="00F530CE" w:rsidRPr="00C467DB">
        <w:rPr>
          <w:rFonts w:ascii="Times New Roman" w:hAnsi="Times New Roman" w:cs="Times New Roman"/>
          <w:sz w:val="24"/>
          <w:szCs w:val="24"/>
        </w:rPr>
        <w:t>извънболничната помощ</w:t>
      </w:r>
      <w:r w:rsidR="00F530CE" w:rsidRPr="00C467DB">
        <w:rPr>
          <w:rFonts w:ascii="Times New Roman" w:eastAsia="Times New Roman" w:hAnsi="Times New Roman" w:cs="Times New Roman"/>
          <w:sz w:val="24"/>
          <w:szCs w:val="24"/>
        </w:rPr>
        <w:t xml:space="preserve"> </w:t>
      </w:r>
      <w:r w:rsidR="00FA7DF1" w:rsidRPr="00C467DB">
        <w:rPr>
          <w:rFonts w:ascii="Times New Roman" w:hAnsi="Times New Roman" w:cs="Times New Roman"/>
          <w:sz w:val="24"/>
          <w:szCs w:val="24"/>
        </w:rPr>
        <w:fldChar w:fldCharType="begin" w:fldLock="1"/>
      </w:r>
      <w:r w:rsidR="009D0134" w:rsidRPr="00C467DB">
        <w:rPr>
          <w:rFonts w:ascii="Times New Roman" w:hAnsi="Times New Roman" w:cs="Times New Roman"/>
          <w:sz w:val="24"/>
          <w:szCs w:val="24"/>
        </w:rPr>
        <w:instrText>ADDIN CSL_CITATION {"citationItems":[{"id":"ITEM-1","itemData":{"author":[{"dropping-particle":"","family":"ECDC","given":"","non-dropping-particle":"","parse-names":false,"suffix":""}],"id":"ITEM-1","issued":{"date-parts":[["2018"]]},"title":"European Centre for Disease Prevention and Control. Antimicrobial consumption. In: ECDC. Annual epidemiological report 2017","type":"report"},"uris":["http://www.mendeley.com/documents/?uuid=7ee68bc2-13fd-4dce-8e73-3545658d6779"]}],"mendeley":{"formattedCitation":"[23]","plainTextFormattedCitation":"[23]","previouslyFormattedCitation":"(ECDC, 2018a)"},"properties":{"noteIndex":0},"schema":"https://github.com/citation-style-language/schema/raw/master/csl-citation.json"}</w:instrText>
      </w:r>
      <w:r w:rsidR="00FA7DF1" w:rsidRPr="00C467DB">
        <w:rPr>
          <w:rFonts w:ascii="Times New Roman" w:hAnsi="Times New Roman" w:cs="Times New Roman"/>
          <w:sz w:val="24"/>
          <w:szCs w:val="24"/>
        </w:rPr>
        <w:fldChar w:fldCharType="separate"/>
      </w:r>
      <w:r w:rsidR="009D0134" w:rsidRPr="00C467DB">
        <w:rPr>
          <w:rFonts w:ascii="Times New Roman" w:hAnsi="Times New Roman" w:cs="Times New Roman"/>
          <w:noProof/>
          <w:sz w:val="24"/>
          <w:szCs w:val="24"/>
        </w:rPr>
        <w:t>[23]</w:t>
      </w:r>
      <w:r w:rsidR="00FA7DF1" w:rsidRPr="00C467DB">
        <w:rPr>
          <w:rFonts w:ascii="Times New Roman" w:hAnsi="Times New Roman" w:cs="Times New Roman"/>
          <w:sz w:val="24"/>
          <w:szCs w:val="24"/>
        </w:rPr>
        <w:fldChar w:fldCharType="end"/>
      </w:r>
      <w:r w:rsidR="00854D19" w:rsidRPr="00C467DB">
        <w:rPr>
          <w:rFonts w:ascii="Times New Roman" w:hAnsi="Times New Roman" w:cs="Times New Roman"/>
          <w:sz w:val="24"/>
          <w:szCs w:val="24"/>
        </w:rPr>
        <w:t>.</w:t>
      </w:r>
    </w:p>
    <w:p w14:paraId="146897C1" w14:textId="77777777" w:rsidR="00DD67CB" w:rsidRPr="001A763F" w:rsidRDefault="00DD67CB" w:rsidP="00FF3B2E">
      <w:pPr>
        <w:pStyle w:val="Default"/>
        <w:spacing w:line="360" w:lineRule="auto"/>
        <w:ind w:firstLine="709"/>
        <w:jc w:val="both"/>
        <w:rPr>
          <w:rFonts w:ascii="EUAlbertina" w:hAnsi="EUAlbertina" w:cs="EUAlbertina"/>
          <w:lang w:val="bg-BG"/>
        </w:rPr>
      </w:pPr>
      <w:r w:rsidRPr="00C467DB">
        <w:t xml:space="preserve">В България всички </w:t>
      </w:r>
      <w:r w:rsidR="00A630C2" w:rsidRPr="00C467DB">
        <w:t>ВЛП</w:t>
      </w:r>
      <w:r w:rsidRPr="00C467DB">
        <w:t>, съдържащи антимикробни средства</w:t>
      </w:r>
      <w:r w:rsidR="00CF0BBC" w:rsidRPr="00C467DB">
        <w:rPr>
          <w:rFonts w:eastAsia="Times New Roman"/>
          <w:bCs/>
          <w:iCs/>
        </w:rPr>
        <w:t>,</w:t>
      </w:r>
      <w:r w:rsidRPr="00C467DB">
        <w:t xml:space="preserve"> са лекарства</w:t>
      </w:r>
      <w:r w:rsidR="00CF0BBC" w:rsidRPr="00C467DB">
        <w:rPr>
          <w:rFonts w:eastAsia="Times New Roman"/>
          <w:bCs/>
          <w:iCs/>
        </w:rPr>
        <w:t>,</w:t>
      </w:r>
      <w:r w:rsidRPr="00C467DB">
        <w:t xml:space="preserve"> продавани с рецепта. Търговци</w:t>
      </w:r>
      <w:r w:rsidR="00DA3641">
        <w:t>те</w:t>
      </w:r>
      <w:r w:rsidRPr="00C467DB">
        <w:t xml:space="preserve"> на едро</w:t>
      </w:r>
      <w:r w:rsidR="00DA3641">
        <w:t xml:space="preserve"> и дребно с ВЛП</w:t>
      </w:r>
      <w:r w:rsidRPr="00C467DB">
        <w:t>,</w:t>
      </w:r>
      <w:r w:rsidR="00C45507">
        <w:rPr>
          <w:lang w:val="bg-BG"/>
        </w:rPr>
        <w:t xml:space="preserve"> </w:t>
      </w:r>
      <w:r w:rsidR="00DA3641">
        <w:t>регистрираните ветеринарни лекари</w:t>
      </w:r>
      <w:r w:rsidRPr="00C467DB">
        <w:t xml:space="preserve"> и </w:t>
      </w:r>
      <w:r w:rsidR="00DA3641">
        <w:t>собствениците/ползвателите на животновъдни обекти</w:t>
      </w:r>
      <w:r w:rsidRPr="00C467DB">
        <w:t xml:space="preserve"> са задължени да съхраняват данни за всички прода</w:t>
      </w:r>
      <w:r w:rsidR="00DA3641">
        <w:t>дени/употребени</w:t>
      </w:r>
      <w:r w:rsidR="00417E64">
        <w:t xml:space="preserve"> ВЛП</w:t>
      </w:r>
      <w:r w:rsidRPr="00C467DB">
        <w:t xml:space="preserve"> и да предоставят тези </w:t>
      </w:r>
      <w:r w:rsidR="006D7B20">
        <w:t>данни</w:t>
      </w:r>
      <w:r w:rsidR="006D7B20" w:rsidRPr="00C467DB">
        <w:t xml:space="preserve"> </w:t>
      </w:r>
      <w:r w:rsidRPr="00C467DB">
        <w:t xml:space="preserve">на </w:t>
      </w:r>
      <w:r w:rsidR="00F530CE" w:rsidRPr="00C467DB">
        <w:t>БАБХ</w:t>
      </w:r>
      <w:r w:rsidRPr="00C467DB">
        <w:t xml:space="preserve"> </w:t>
      </w:r>
      <w:r w:rsidR="006D7B20">
        <w:t>при поискване.</w:t>
      </w:r>
      <w:r w:rsidR="008A5A74">
        <w:t xml:space="preserve"> Съгласно изискванията на чл. 57 от </w:t>
      </w:r>
      <w:r w:rsidR="008A5A74" w:rsidRPr="00C467DB">
        <w:t xml:space="preserve">Регламент (ЕС) № 2019/6 </w:t>
      </w:r>
      <w:r w:rsidR="008A5A74">
        <w:t xml:space="preserve">БАБХ събира данни за обема на продажбите и за употребата на антимикробни лекарствени продукти, по видове животни и по видове антимикробни лекарствени </w:t>
      </w:r>
      <w:r w:rsidR="008A5A74">
        <w:lastRenderedPageBreak/>
        <w:t xml:space="preserve">продукти, като ежегодно изпраща обобщени данни в Европейската агенция по лекарствата. Сроковете за предоставяне на данните и изискванията към формата им са посочени в </w:t>
      </w:r>
      <w:r w:rsidR="008A5A74" w:rsidRPr="00C467DB">
        <w:t>Регламент (ЕС) № 2019/6</w:t>
      </w:r>
      <w:r w:rsidR="008A5A74">
        <w:t xml:space="preserve"> и в следните актове по прилагането му: </w:t>
      </w:r>
      <w:r w:rsidR="00C45507" w:rsidRPr="00FF3B2E">
        <w:rPr>
          <w:rFonts w:eastAsia="Calibri"/>
          <w:bCs/>
          <w:iCs/>
          <w:color w:val="auto"/>
          <w:lang w:val="bg-BG"/>
        </w:rPr>
        <w:t xml:space="preserve">Делегиран Регламент </w:t>
      </w:r>
      <w:r w:rsidR="008A5A74" w:rsidRPr="00FF3B2E">
        <w:rPr>
          <w:rFonts w:eastAsia="Calibri"/>
          <w:bCs/>
          <w:iCs/>
          <w:color w:val="auto"/>
          <w:lang w:val="bg-BG"/>
        </w:rPr>
        <w:t xml:space="preserve">(ЕС) 2021/578 </w:t>
      </w:r>
      <w:r w:rsidR="00C45507" w:rsidRPr="00FF3B2E">
        <w:rPr>
          <w:rFonts w:eastAsia="Calibri"/>
          <w:bCs/>
          <w:iCs/>
          <w:color w:val="auto"/>
          <w:lang w:val="bg-BG"/>
        </w:rPr>
        <w:t xml:space="preserve">на Комисията </w:t>
      </w:r>
      <w:r w:rsidR="008A5A74" w:rsidRPr="00FF3B2E">
        <w:rPr>
          <w:rFonts w:eastAsia="Calibri"/>
          <w:bCs/>
          <w:iCs/>
          <w:color w:val="auto"/>
          <w:lang w:val="bg-BG"/>
        </w:rPr>
        <w:t>от 29 януари 2021 година за допълнение на Регламент (ЕС) 2019/6 на Европейския парламент и на Съвета по отношение на изискванията за събиране на данни за обема на продажбите и за употребата</w:t>
      </w:r>
      <w:r w:rsidR="00673F0F" w:rsidRPr="00FF3B2E">
        <w:rPr>
          <w:rFonts w:eastAsia="Calibri"/>
          <w:bCs/>
          <w:iCs/>
          <w:color w:val="auto"/>
          <w:lang w:val="bg-BG"/>
        </w:rPr>
        <w:t xml:space="preserve"> и </w:t>
      </w:r>
      <w:r w:rsidR="00C45507" w:rsidRPr="00FF3B2E">
        <w:rPr>
          <w:rFonts w:eastAsia="Calibri"/>
          <w:bCs/>
          <w:iCs/>
          <w:color w:val="auto"/>
        </w:rPr>
        <w:t xml:space="preserve">Регламент за изпълнение </w:t>
      </w:r>
      <w:r w:rsidR="00673F0F" w:rsidRPr="00FF3B2E">
        <w:rPr>
          <w:rFonts w:eastAsia="Calibri"/>
          <w:bCs/>
          <w:iCs/>
          <w:color w:val="auto"/>
        </w:rPr>
        <w:t xml:space="preserve">(ЕС) 2022/209 </w:t>
      </w:r>
      <w:r w:rsidR="00C45507" w:rsidRPr="00FF3B2E">
        <w:rPr>
          <w:rFonts w:eastAsia="Calibri"/>
          <w:bCs/>
          <w:iCs/>
          <w:color w:val="auto"/>
        </w:rPr>
        <w:t>на</w:t>
      </w:r>
      <w:r w:rsidR="00673F0F" w:rsidRPr="00FF3B2E">
        <w:rPr>
          <w:rFonts w:eastAsia="Calibri"/>
          <w:bCs/>
          <w:iCs/>
          <w:color w:val="auto"/>
        </w:rPr>
        <w:t xml:space="preserve"> </w:t>
      </w:r>
      <w:r w:rsidR="00C45507" w:rsidRPr="00FF3B2E">
        <w:rPr>
          <w:rFonts w:eastAsia="Calibri"/>
          <w:bCs/>
          <w:iCs/>
          <w:color w:val="auto"/>
        </w:rPr>
        <w:t xml:space="preserve">Комисията </w:t>
      </w:r>
      <w:r w:rsidR="00C45507">
        <w:rPr>
          <w:rFonts w:eastAsia="Calibri"/>
          <w:bCs/>
          <w:iCs/>
          <w:color w:val="auto"/>
          <w:lang w:val="bg-BG"/>
        </w:rPr>
        <w:t xml:space="preserve"> </w:t>
      </w:r>
      <w:r w:rsidR="00673F0F" w:rsidRPr="00FF3B2E">
        <w:rPr>
          <w:rFonts w:eastAsia="Calibri"/>
          <w:bCs/>
          <w:iCs/>
          <w:color w:val="auto"/>
        </w:rPr>
        <w:t>от 16 февруари 2022 година</w:t>
      </w:r>
      <w:r w:rsidR="00673F0F">
        <w:rPr>
          <w:rFonts w:eastAsia="Calibri"/>
          <w:bCs/>
          <w:iCs/>
        </w:rPr>
        <w:t xml:space="preserve"> </w:t>
      </w:r>
      <w:r w:rsidR="00673F0F" w:rsidRPr="00FF3B2E">
        <w:rPr>
          <w:rFonts w:eastAsia="Calibri"/>
          <w:bCs/>
          <w:iCs/>
          <w:color w:val="auto"/>
        </w:rPr>
        <w:t>за установяване на формата на данните, които трябва да се събират и докладват, за да се определи обемът на продажбите и употребата на антимикробни лекарствени продукти при животните в съответствие с Регламент (ЕС) 2019/6 на Европейския парламент и на Съвета</w:t>
      </w:r>
      <w:r w:rsidR="00673F0F">
        <w:rPr>
          <w:rFonts w:eastAsia="Calibri"/>
          <w:bCs/>
          <w:iCs/>
          <w:color w:val="auto"/>
          <w:lang w:val="bg-BG"/>
        </w:rPr>
        <w:t>.</w:t>
      </w:r>
    </w:p>
    <w:p w14:paraId="0B927C2B" w14:textId="77777777" w:rsidR="00D11AD8" w:rsidRPr="00C467DB" w:rsidRDefault="00C51C1C" w:rsidP="00673F0F">
      <w:pPr>
        <w:spacing w:after="0" w:line="360" w:lineRule="auto"/>
        <w:ind w:firstLine="709"/>
        <w:jc w:val="both"/>
        <w:rPr>
          <w:rFonts w:ascii="Times New Roman" w:hAnsi="Times New Roman" w:cs="Times New Roman"/>
          <w:sz w:val="24"/>
          <w:szCs w:val="24"/>
        </w:rPr>
      </w:pPr>
      <w:r w:rsidRPr="00C467DB">
        <w:rPr>
          <w:rFonts w:ascii="Times New Roman" w:hAnsi="Times New Roman" w:cs="Times New Roman"/>
          <w:sz w:val="24"/>
          <w:szCs w:val="24"/>
        </w:rPr>
        <w:t xml:space="preserve">Около 80% от антибиотиците в хуманната медицина се използват в </w:t>
      </w:r>
      <w:r w:rsidR="00F313E3" w:rsidRPr="00D01657">
        <w:rPr>
          <w:rFonts w:ascii="Times New Roman" w:hAnsi="Times New Roman" w:cs="Times New Roman"/>
          <w:sz w:val="24"/>
          <w:szCs w:val="24"/>
        </w:rPr>
        <w:t>извънбол</w:t>
      </w:r>
      <w:r w:rsidRPr="00D01657">
        <w:rPr>
          <w:rFonts w:ascii="Times New Roman" w:hAnsi="Times New Roman" w:cs="Times New Roman"/>
          <w:sz w:val="24"/>
          <w:szCs w:val="24"/>
        </w:rPr>
        <w:t>ничната помощ</w:t>
      </w:r>
      <w:r w:rsidRPr="00C467DB">
        <w:rPr>
          <w:rFonts w:ascii="Times New Roman" w:hAnsi="Times New Roman" w:cs="Times New Roman"/>
          <w:sz w:val="24"/>
          <w:szCs w:val="24"/>
        </w:rPr>
        <w:t xml:space="preserve"> – предимно </w:t>
      </w:r>
      <w:r w:rsidR="00CF0BBC" w:rsidRPr="00C467DB">
        <w:rPr>
          <w:rFonts w:ascii="Times New Roman" w:eastAsia="Calibri" w:hAnsi="Times New Roman" w:cs="Times New Roman"/>
          <w:bCs/>
          <w:iCs/>
          <w:sz w:val="24"/>
          <w:szCs w:val="24"/>
        </w:rPr>
        <w:t>за лечение на инфекции при децата, вкл. при инфекции на горните дихателни пътища</w:t>
      </w:r>
      <w:r w:rsidR="00BE7DAC" w:rsidRPr="00C467DB">
        <w:rPr>
          <w:rFonts w:ascii="Times New Roman" w:eastAsia="Calibri" w:hAnsi="Times New Roman" w:cs="Times New Roman"/>
          <w:bCs/>
          <w:iCs/>
          <w:sz w:val="24"/>
          <w:szCs w:val="24"/>
          <w:lang w:val="en-US"/>
        </w:rPr>
        <w:t>,</w:t>
      </w:r>
      <w:r w:rsidRPr="00C467DB">
        <w:rPr>
          <w:rFonts w:ascii="Times New Roman" w:hAnsi="Times New Roman" w:cs="Times New Roman"/>
          <w:sz w:val="24"/>
          <w:szCs w:val="24"/>
        </w:rPr>
        <w:t xml:space="preserve"> на средното ухо, при риносинуити и фарингити, при това 50 до 80% от тях</w:t>
      </w:r>
      <w:r w:rsidR="00417E64">
        <w:rPr>
          <w:rFonts w:ascii="Times New Roman" w:hAnsi="Times New Roman" w:cs="Times New Roman"/>
          <w:sz w:val="24"/>
          <w:szCs w:val="24"/>
        </w:rPr>
        <w:t>,</w:t>
      </w:r>
      <w:r w:rsidRPr="00C467DB">
        <w:rPr>
          <w:rFonts w:ascii="Times New Roman" w:hAnsi="Times New Roman" w:cs="Times New Roman"/>
          <w:sz w:val="24"/>
          <w:szCs w:val="24"/>
        </w:rPr>
        <w:t xml:space="preserve"> без да бъдат необходими, или </w:t>
      </w:r>
      <w:r w:rsidR="00D37BBD" w:rsidRPr="00C467DB">
        <w:rPr>
          <w:rFonts w:ascii="Times New Roman" w:hAnsi="Times New Roman" w:cs="Times New Roman"/>
          <w:sz w:val="24"/>
          <w:szCs w:val="24"/>
        </w:rPr>
        <w:t xml:space="preserve">да са </w:t>
      </w:r>
      <w:r w:rsidR="004919F7">
        <w:rPr>
          <w:rFonts w:ascii="Times New Roman" w:hAnsi="Times New Roman" w:cs="Times New Roman"/>
          <w:sz w:val="24"/>
          <w:szCs w:val="24"/>
        </w:rPr>
        <w:t>предписани</w:t>
      </w:r>
      <w:r w:rsidR="004919F7" w:rsidRPr="00C467DB">
        <w:rPr>
          <w:rFonts w:ascii="Times New Roman" w:hAnsi="Times New Roman" w:cs="Times New Roman"/>
          <w:sz w:val="24"/>
          <w:szCs w:val="24"/>
        </w:rPr>
        <w:t xml:space="preserve"> </w:t>
      </w:r>
      <w:r w:rsidRPr="00C467DB">
        <w:rPr>
          <w:rFonts w:ascii="Times New Roman" w:hAnsi="Times New Roman" w:cs="Times New Roman"/>
          <w:sz w:val="24"/>
          <w:szCs w:val="24"/>
        </w:rPr>
        <w:t>правилно</w:t>
      </w:r>
      <w:r w:rsidR="00CF0BBC" w:rsidRPr="00C467DB">
        <w:rPr>
          <w:rFonts w:ascii="Times New Roman" w:eastAsia="Calibri" w:hAnsi="Times New Roman" w:cs="Times New Roman"/>
          <w:bCs/>
          <w:iCs/>
          <w:sz w:val="24"/>
          <w:szCs w:val="24"/>
        </w:rPr>
        <w:t xml:space="preserve"> </w:t>
      </w:r>
      <w:r w:rsidR="00CF0BBC" w:rsidRPr="00C467DB">
        <w:rPr>
          <w:rFonts w:ascii="Times New Roman" w:eastAsia="Calibri" w:hAnsi="Times New Roman" w:cs="Times New Roman"/>
          <w:bCs/>
          <w:iCs/>
          <w:sz w:val="24"/>
          <w:szCs w:val="24"/>
          <w:lang w:val="en-US"/>
        </w:rPr>
        <w:t>(</w:t>
      </w:r>
      <w:r w:rsidR="004919F7" w:rsidRPr="00C467DB">
        <w:rPr>
          <w:rFonts w:ascii="Times New Roman" w:hAnsi="Times New Roman" w:cs="Times New Roman"/>
          <w:sz w:val="24"/>
          <w:szCs w:val="24"/>
        </w:rPr>
        <w:t>най-често се касае за самоограничаващи се инфекции</w:t>
      </w:r>
      <w:r w:rsidR="004919F7" w:rsidRPr="00C467DB">
        <w:rPr>
          <w:rFonts w:ascii="Times New Roman" w:eastAsia="Calibri" w:hAnsi="Times New Roman" w:cs="Times New Roman"/>
          <w:bCs/>
          <w:iCs/>
          <w:sz w:val="24"/>
          <w:szCs w:val="24"/>
        </w:rPr>
        <w:t xml:space="preserve"> </w:t>
      </w:r>
      <w:r w:rsidR="00CF0BBC" w:rsidRPr="00C467DB">
        <w:rPr>
          <w:rFonts w:ascii="Times New Roman" w:eastAsia="Calibri" w:hAnsi="Times New Roman" w:cs="Times New Roman"/>
          <w:bCs/>
          <w:iCs/>
          <w:sz w:val="24"/>
          <w:szCs w:val="24"/>
        </w:rPr>
        <w:t>причинени от</w:t>
      </w:r>
      <w:r w:rsidR="004919F7">
        <w:rPr>
          <w:rFonts w:ascii="Times New Roman" w:eastAsia="Calibri" w:hAnsi="Times New Roman" w:cs="Times New Roman"/>
          <w:bCs/>
          <w:iCs/>
          <w:sz w:val="24"/>
          <w:szCs w:val="24"/>
        </w:rPr>
        <w:t xml:space="preserve"> респираторни</w:t>
      </w:r>
      <w:r w:rsidR="00417E64">
        <w:rPr>
          <w:rFonts w:ascii="Times New Roman" w:eastAsia="Calibri" w:hAnsi="Times New Roman" w:cs="Times New Roman"/>
          <w:bCs/>
          <w:iCs/>
          <w:sz w:val="24"/>
          <w:szCs w:val="24"/>
        </w:rPr>
        <w:t xml:space="preserve"> вируси</w:t>
      </w:r>
      <w:r w:rsidRPr="00C467DB">
        <w:rPr>
          <w:rFonts w:ascii="Times New Roman" w:hAnsi="Times New Roman" w:cs="Times New Roman"/>
          <w:sz w:val="24"/>
          <w:szCs w:val="24"/>
        </w:rPr>
        <w:t xml:space="preserve"> и изискващи общоукрепващи лечебни мерки</w:t>
      </w:r>
      <w:r w:rsidR="00CF0BBC" w:rsidRPr="00C467DB">
        <w:rPr>
          <w:rFonts w:ascii="Times New Roman" w:eastAsia="Calibri" w:hAnsi="Times New Roman" w:cs="Times New Roman"/>
          <w:bCs/>
          <w:iCs/>
          <w:sz w:val="24"/>
          <w:szCs w:val="24"/>
          <w:lang w:val="en-US"/>
        </w:rPr>
        <w:t>)</w:t>
      </w:r>
      <w:r w:rsidR="00D37BBD" w:rsidRPr="00C467DB">
        <w:rPr>
          <w:rFonts w:ascii="Times New Roman" w:eastAsia="Calibri" w:hAnsi="Times New Roman" w:cs="Times New Roman"/>
          <w:bCs/>
          <w:iCs/>
          <w:sz w:val="24"/>
          <w:szCs w:val="24"/>
        </w:rPr>
        <w:t xml:space="preserve"> </w:t>
      </w:r>
      <w:r w:rsidR="00E448F6" w:rsidRPr="00C467DB">
        <w:rPr>
          <w:rFonts w:ascii="Times New Roman" w:hAnsi="Times New Roman" w:cs="Times New Roman"/>
          <w:bCs/>
          <w:iCs/>
          <w:sz w:val="24"/>
          <w:szCs w:val="24"/>
        </w:rPr>
        <w:fldChar w:fldCharType="begin" w:fldLock="1"/>
      </w:r>
      <w:r w:rsidR="009D0134" w:rsidRPr="00C467DB">
        <w:rPr>
          <w:rFonts w:ascii="Times New Roman" w:hAnsi="Times New Roman" w:cs="Times New Roman"/>
          <w:bCs/>
          <w:iCs/>
          <w:sz w:val="24"/>
          <w:szCs w:val="24"/>
        </w:rPr>
        <w:instrText>ADDIN CSL_CITATION {"citationItems":[{"id":"ITEM-1","itemData":{"DOI":"10.1093/heapro/dal034","ISSN":"1460-2245","author":[{"dropping-particle":"","family":"Wutzke","given":"Sonia E.","non-dropping-particle":"","parse-names":false,"suffix":""},{"dropping-particle":"","family":"Artist","given":"Margaret A.","non-dropping-particle":"","parse-names":false,"suffix":""},{"dropping-particle":"","family":"Kehoe","given":"Linda A.","non-dropping-particle":"","parse-names":false,"suffix":""},{"dropping-particle":"","family":"Fletcher","given":"Miriam","non-dropping-particle":"","parse-names":false,"suffix":""},{"dropping-particle":"","family":"Mackson","given":"Judith M.","non-dropping-particle":"","parse-names":false,"suffix":""},{"dropping-particle":"","family":"Weekes","given":"Lynn M.","non-dropping-particle":"","parse-names":false,"suffix":""}],"container-title":"Health Promotion International","id":"ITEM-1","issue":"1","issued":{"date-parts":[["2007","3","1"]]},"page":"53-64","publisher":"Narnia","title":"Evaluation of a national programme to reduce inappropriate use of antibiotics for upper respiratory tract infections: effects on consumer awareness, beliefs, attitudes and behaviour in Australia","type":"article-journal","volume":"22"},"uris":["http://www.mendeley.com/documents/?uuid=c84d8000-6c31-3f45-afeb-ea4c300733ab"]},{"id":"ITEM-2","itemData":{"DOI":"10.1017/ice.2014.41","ISSN":"0899-823X","author":[{"dropping-particle":"","family":"Drekonja","given":"Dimitri M.","non-dropping-particle":"","parse-names":false,"suffix":""},{"dropping-particle":"","family":"Filice","given":"Gregory A.","non-dropping-particle":"","parse-names":false,"suffix":""},{"dropping-particle":"","family":"Greer","given":"Nancy","non-dropping-particle":"","parse-names":false,"suffix":""},{"dropping-particle":"","family":"Olson","given":"Andrew","non-dropping-particle":"","parse-names":false,"suffix":""},{"dropping-particle":"","family":"MacDonald","given":"Roderick","non-dropping-particle":"","parse-names":false,"suffix":""},{"dropping-particle":"","family":"Rutks","given":"Indulis","non-dropping-particle":"","parse-names":false,"suffix":""},{"dropping-particle":"","family":"Wilt","given":"Timothy J.","non-dropping-particle":"","parse-names":false,"suffix":""}],"container-title":"Infection Control &amp; Hospital Epidemiology","id":"ITEM-2","issue":"2","issued":{"date-parts":[["2015","2","22"]]},"page":"142-152","title":"Antimicrobial Stewardship in Outpatient Settings: A Systematic Review","type":"article-journal","volume":"36"},"uris":["http://www.mendeley.com/documents/?uuid=8135ee57-6a53-3b86-934a-b47c8c707f58"]}],"mendeley":{"formattedCitation":"[34], [35]","plainTextFormattedCitation":"[34], [35]","previouslyFormattedCitation":"(Drekonja et al., 2015; Wutzke et al., 2007)"},"properties":{"noteIndex":0},"schema":"https://github.com/citation-style-language/schema/raw/master/csl-citation.json"}</w:instrText>
      </w:r>
      <w:r w:rsidR="00E448F6" w:rsidRPr="00C467DB">
        <w:rPr>
          <w:rFonts w:ascii="Times New Roman" w:hAnsi="Times New Roman" w:cs="Times New Roman"/>
          <w:bCs/>
          <w:iCs/>
          <w:sz w:val="24"/>
          <w:szCs w:val="24"/>
        </w:rPr>
        <w:fldChar w:fldCharType="separate"/>
      </w:r>
      <w:r w:rsidR="009D0134" w:rsidRPr="00C467DB">
        <w:rPr>
          <w:rFonts w:ascii="Times New Roman" w:hAnsi="Times New Roman" w:cs="Times New Roman"/>
          <w:bCs/>
          <w:iCs/>
          <w:noProof/>
          <w:sz w:val="24"/>
          <w:szCs w:val="24"/>
        </w:rPr>
        <w:t>[34], [35]</w:t>
      </w:r>
      <w:r w:rsidR="00E448F6" w:rsidRPr="00C467DB">
        <w:rPr>
          <w:rFonts w:ascii="Times New Roman" w:hAnsi="Times New Roman" w:cs="Times New Roman"/>
          <w:bCs/>
          <w:iCs/>
          <w:sz w:val="24"/>
          <w:szCs w:val="24"/>
        </w:rPr>
        <w:fldChar w:fldCharType="end"/>
      </w:r>
      <w:r w:rsidR="00E448F6" w:rsidRPr="00C467DB">
        <w:rPr>
          <w:rFonts w:ascii="Times New Roman" w:hAnsi="Times New Roman" w:cs="Times New Roman"/>
          <w:bCs/>
          <w:iCs/>
          <w:sz w:val="24"/>
          <w:szCs w:val="24"/>
        </w:rPr>
        <w:t>.</w:t>
      </w:r>
      <w:r w:rsidRPr="00C467DB">
        <w:rPr>
          <w:rFonts w:ascii="Times New Roman" w:hAnsi="Times New Roman" w:cs="Times New Roman"/>
          <w:sz w:val="24"/>
          <w:szCs w:val="24"/>
        </w:rPr>
        <w:t xml:space="preserve"> Масова практика е да не се извършва микробиологична диагноза и антибактериалната терапия </w:t>
      </w:r>
      <w:r w:rsidR="00CF0BBC" w:rsidRPr="00C467DB">
        <w:rPr>
          <w:rFonts w:ascii="Times New Roman" w:eastAsia="Calibri" w:hAnsi="Times New Roman" w:cs="Times New Roman"/>
          <w:bCs/>
          <w:iCs/>
          <w:sz w:val="24"/>
          <w:szCs w:val="24"/>
        </w:rPr>
        <w:t xml:space="preserve">да </w:t>
      </w:r>
      <w:r w:rsidRPr="00C467DB">
        <w:rPr>
          <w:rFonts w:ascii="Times New Roman" w:hAnsi="Times New Roman" w:cs="Times New Roman"/>
          <w:sz w:val="24"/>
          <w:szCs w:val="24"/>
        </w:rPr>
        <w:t xml:space="preserve">се провежда без уточняване </w:t>
      </w:r>
      <w:r w:rsidR="00CF0BBC" w:rsidRPr="00C467DB">
        <w:rPr>
          <w:rFonts w:ascii="Times New Roman" w:eastAsia="Calibri" w:hAnsi="Times New Roman" w:cs="Times New Roman"/>
          <w:bCs/>
          <w:iCs/>
          <w:sz w:val="24"/>
          <w:szCs w:val="24"/>
        </w:rPr>
        <w:t xml:space="preserve">на причинителя и </w:t>
      </w:r>
      <w:r w:rsidRPr="00C467DB">
        <w:rPr>
          <w:rFonts w:ascii="Times New Roman" w:hAnsi="Times New Roman" w:cs="Times New Roman"/>
          <w:sz w:val="24"/>
          <w:szCs w:val="24"/>
        </w:rPr>
        <w:t>резистентност</w:t>
      </w:r>
      <w:r w:rsidR="00BA610A" w:rsidRPr="00C467DB">
        <w:rPr>
          <w:rFonts w:ascii="Times New Roman" w:hAnsi="Times New Roman" w:cs="Times New Roman"/>
          <w:sz w:val="24"/>
          <w:szCs w:val="24"/>
        </w:rPr>
        <w:t>та</w:t>
      </w:r>
      <w:r w:rsidRPr="00C467DB">
        <w:rPr>
          <w:rFonts w:ascii="Times New Roman" w:hAnsi="Times New Roman" w:cs="Times New Roman"/>
          <w:sz w:val="24"/>
          <w:szCs w:val="24"/>
        </w:rPr>
        <w:t xml:space="preserve"> </w:t>
      </w:r>
      <w:r w:rsidR="00CF0BBC" w:rsidRPr="00C467DB">
        <w:rPr>
          <w:rFonts w:ascii="Times New Roman" w:eastAsia="Calibri" w:hAnsi="Times New Roman" w:cs="Times New Roman"/>
          <w:bCs/>
          <w:iCs/>
          <w:sz w:val="24"/>
          <w:szCs w:val="24"/>
        </w:rPr>
        <w:t>му,</w:t>
      </w:r>
      <w:r w:rsidRPr="00C467DB">
        <w:rPr>
          <w:rFonts w:ascii="Times New Roman" w:hAnsi="Times New Roman" w:cs="Times New Roman"/>
          <w:sz w:val="24"/>
          <w:szCs w:val="24"/>
        </w:rPr>
        <w:t xml:space="preserve"> което също е </w:t>
      </w:r>
      <w:r w:rsidR="00BA610A" w:rsidRPr="00C467DB">
        <w:rPr>
          <w:rFonts w:ascii="Times New Roman" w:hAnsi="Times New Roman" w:cs="Times New Roman"/>
          <w:sz w:val="24"/>
          <w:szCs w:val="24"/>
        </w:rPr>
        <w:t>доказан</w:t>
      </w:r>
      <w:r w:rsidR="00D37BBD" w:rsidRPr="00C467DB">
        <w:rPr>
          <w:rFonts w:ascii="Times New Roman" w:hAnsi="Times New Roman" w:cs="Times New Roman"/>
          <w:sz w:val="24"/>
          <w:szCs w:val="24"/>
        </w:rPr>
        <w:t>а</w:t>
      </w:r>
      <w:r w:rsidR="00BA610A" w:rsidRPr="00C467DB">
        <w:rPr>
          <w:rFonts w:ascii="Times New Roman" w:hAnsi="Times New Roman" w:cs="Times New Roman"/>
          <w:sz w:val="24"/>
          <w:szCs w:val="24"/>
        </w:rPr>
        <w:t xml:space="preserve"> </w:t>
      </w:r>
      <w:r w:rsidRPr="00C467DB">
        <w:rPr>
          <w:rFonts w:ascii="Times New Roman" w:hAnsi="Times New Roman" w:cs="Times New Roman"/>
          <w:sz w:val="24"/>
          <w:szCs w:val="24"/>
        </w:rPr>
        <w:t xml:space="preserve">предпоставка за </w:t>
      </w:r>
      <w:r w:rsidR="00BA610A" w:rsidRPr="00C467DB">
        <w:rPr>
          <w:rFonts w:ascii="Times New Roman" w:hAnsi="Times New Roman" w:cs="Times New Roman"/>
          <w:sz w:val="24"/>
          <w:szCs w:val="24"/>
        </w:rPr>
        <w:t>с</w:t>
      </w:r>
      <w:r w:rsidRPr="00C467DB">
        <w:rPr>
          <w:rFonts w:ascii="Times New Roman" w:hAnsi="Times New Roman" w:cs="Times New Roman"/>
          <w:sz w:val="24"/>
          <w:szCs w:val="24"/>
        </w:rPr>
        <w:t>ъздаване и разпространение на лекарствена рези</w:t>
      </w:r>
      <w:r w:rsidR="00C45507" w:rsidRPr="00C467DB">
        <w:rPr>
          <w:rFonts w:ascii="Times New Roman" w:hAnsi="Times New Roman" w:cs="Times New Roman"/>
          <w:sz w:val="24"/>
          <w:szCs w:val="24"/>
        </w:rPr>
        <w:t>с</w:t>
      </w:r>
      <w:r w:rsidRPr="00C467DB">
        <w:rPr>
          <w:rFonts w:ascii="Times New Roman" w:hAnsi="Times New Roman" w:cs="Times New Roman"/>
          <w:sz w:val="24"/>
          <w:szCs w:val="24"/>
        </w:rPr>
        <w:t>тентост</w:t>
      </w:r>
      <w:r w:rsidR="00CF0BBC" w:rsidRPr="00C467DB">
        <w:rPr>
          <w:rFonts w:ascii="Times New Roman" w:eastAsia="Calibri" w:hAnsi="Times New Roman" w:cs="Times New Roman"/>
          <w:bCs/>
          <w:iCs/>
          <w:sz w:val="24"/>
          <w:szCs w:val="24"/>
        </w:rPr>
        <w:t>, в допълнение към неуспешното лечение.</w:t>
      </w:r>
      <w:r w:rsidR="00D11AD8" w:rsidRPr="00C467DB">
        <w:rPr>
          <w:rFonts w:ascii="Times New Roman" w:hAnsi="Times New Roman" w:cs="Times New Roman"/>
          <w:sz w:val="24"/>
          <w:szCs w:val="24"/>
        </w:rPr>
        <w:t xml:space="preserve"> </w:t>
      </w:r>
    </w:p>
    <w:p w14:paraId="0DB221D1" w14:textId="77777777" w:rsidR="00C51C1C" w:rsidRPr="00C467DB" w:rsidRDefault="0057297B" w:rsidP="00C467D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До 2019</w:t>
      </w:r>
      <w:r w:rsidR="00AC3303">
        <w:rPr>
          <w:rFonts w:ascii="Times New Roman" w:hAnsi="Times New Roman" w:cs="Times New Roman"/>
          <w:sz w:val="24"/>
          <w:szCs w:val="24"/>
        </w:rPr>
        <w:t xml:space="preserve"> </w:t>
      </w:r>
      <w:r>
        <w:rPr>
          <w:rFonts w:ascii="Times New Roman" w:hAnsi="Times New Roman" w:cs="Times New Roman"/>
          <w:sz w:val="24"/>
          <w:szCs w:val="24"/>
        </w:rPr>
        <w:t>г</w:t>
      </w:r>
      <w:r w:rsidR="00AC3303">
        <w:rPr>
          <w:rFonts w:ascii="Times New Roman" w:hAnsi="Times New Roman" w:cs="Times New Roman"/>
          <w:sz w:val="24"/>
          <w:szCs w:val="24"/>
        </w:rPr>
        <w:t>.</w:t>
      </w:r>
      <w:r>
        <w:rPr>
          <w:rFonts w:ascii="Times New Roman" w:hAnsi="Times New Roman" w:cs="Times New Roman"/>
          <w:sz w:val="24"/>
          <w:szCs w:val="24"/>
        </w:rPr>
        <w:t xml:space="preserve"> докладваните нива на антибиотична </w:t>
      </w:r>
      <w:r w:rsidRPr="00C467DB">
        <w:rPr>
          <w:rFonts w:ascii="Times New Roman" w:hAnsi="Times New Roman" w:cs="Times New Roman"/>
          <w:sz w:val="24"/>
          <w:szCs w:val="24"/>
        </w:rPr>
        <w:t xml:space="preserve">консумация </w:t>
      </w:r>
      <w:r>
        <w:rPr>
          <w:rFonts w:ascii="Times New Roman" w:hAnsi="Times New Roman" w:cs="Times New Roman"/>
          <w:sz w:val="24"/>
          <w:szCs w:val="24"/>
        </w:rPr>
        <w:t xml:space="preserve">в България бяха съпоставими със </w:t>
      </w:r>
      <w:r w:rsidR="00251407" w:rsidRPr="00C467DB">
        <w:rPr>
          <w:rFonts w:ascii="Times New Roman" w:hAnsi="Times New Roman" w:cs="Times New Roman"/>
          <w:sz w:val="24"/>
          <w:szCs w:val="24"/>
        </w:rPr>
        <w:t>средн</w:t>
      </w:r>
      <w:r w:rsidR="00251407">
        <w:rPr>
          <w:rFonts w:ascii="Times New Roman" w:hAnsi="Times New Roman" w:cs="Times New Roman"/>
          <w:sz w:val="24"/>
          <w:szCs w:val="24"/>
        </w:rPr>
        <w:t>ите</w:t>
      </w:r>
      <w:r w:rsidR="00251407" w:rsidRPr="00C467DB">
        <w:rPr>
          <w:rFonts w:ascii="Times New Roman" w:hAnsi="Times New Roman" w:cs="Times New Roman"/>
          <w:sz w:val="24"/>
          <w:szCs w:val="24"/>
        </w:rPr>
        <w:t xml:space="preserve"> </w:t>
      </w:r>
      <w:r w:rsidR="00D11AD8" w:rsidRPr="00C467DB">
        <w:rPr>
          <w:rFonts w:ascii="Times New Roman" w:hAnsi="Times New Roman" w:cs="Times New Roman"/>
          <w:sz w:val="24"/>
          <w:szCs w:val="24"/>
        </w:rPr>
        <w:t>за Е</w:t>
      </w:r>
      <w:r w:rsidR="00215709" w:rsidRPr="00C467DB">
        <w:rPr>
          <w:rFonts w:ascii="Times New Roman" w:hAnsi="Times New Roman" w:cs="Times New Roman"/>
          <w:sz w:val="24"/>
          <w:szCs w:val="24"/>
        </w:rPr>
        <w:t>С</w:t>
      </w:r>
      <w:r>
        <w:rPr>
          <w:rFonts w:ascii="Times New Roman" w:hAnsi="Times New Roman" w:cs="Times New Roman"/>
          <w:sz w:val="24"/>
          <w:szCs w:val="24"/>
        </w:rPr>
        <w:t>.</w:t>
      </w:r>
      <w:r w:rsidR="00251407">
        <w:rPr>
          <w:rFonts w:ascii="Times New Roman" w:hAnsi="Times New Roman" w:cs="Times New Roman"/>
          <w:sz w:val="24"/>
          <w:szCs w:val="24"/>
        </w:rPr>
        <w:t xml:space="preserve"> </w:t>
      </w:r>
      <w:r>
        <w:rPr>
          <w:rFonts w:ascii="Times New Roman" w:hAnsi="Times New Roman" w:cs="Times New Roman"/>
          <w:sz w:val="24"/>
          <w:szCs w:val="24"/>
        </w:rPr>
        <w:t>По-време на пан</w:t>
      </w:r>
      <w:r w:rsidR="006A1C56">
        <w:rPr>
          <w:rFonts w:ascii="Times New Roman" w:hAnsi="Times New Roman" w:cs="Times New Roman"/>
          <w:sz w:val="24"/>
          <w:szCs w:val="24"/>
        </w:rPr>
        <w:t xml:space="preserve">демията и след това, </w:t>
      </w:r>
      <w:r w:rsidR="00252FDD">
        <w:rPr>
          <w:rFonts w:ascii="Times New Roman" w:hAnsi="Times New Roman" w:cs="Times New Roman"/>
          <w:sz w:val="24"/>
          <w:szCs w:val="24"/>
        </w:rPr>
        <w:t>ситуацията се</w:t>
      </w:r>
      <w:r w:rsidR="006A1C56">
        <w:rPr>
          <w:rFonts w:ascii="Times New Roman" w:hAnsi="Times New Roman" w:cs="Times New Roman"/>
          <w:sz w:val="24"/>
          <w:szCs w:val="24"/>
        </w:rPr>
        <w:t xml:space="preserve"> промени и п</w:t>
      </w:r>
      <w:r w:rsidR="00252FDD">
        <w:rPr>
          <w:rFonts w:ascii="Times New Roman" w:hAnsi="Times New Roman" w:cs="Times New Roman"/>
          <w:sz w:val="24"/>
          <w:szCs w:val="24"/>
        </w:rPr>
        <w:t>онастоящем България заема водещо</w:t>
      </w:r>
      <w:r w:rsidR="006A1C56">
        <w:rPr>
          <w:rFonts w:ascii="Times New Roman" w:hAnsi="Times New Roman" w:cs="Times New Roman"/>
          <w:sz w:val="24"/>
          <w:szCs w:val="24"/>
        </w:rPr>
        <w:t xml:space="preserve"> </w:t>
      </w:r>
      <w:r w:rsidR="00252FDD">
        <w:rPr>
          <w:rFonts w:ascii="Times New Roman" w:hAnsi="Times New Roman" w:cs="Times New Roman"/>
          <w:sz w:val="24"/>
          <w:szCs w:val="24"/>
        </w:rPr>
        <w:t>място</w:t>
      </w:r>
      <w:r w:rsidR="006A1C56">
        <w:rPr>
          <w:rFonts w:ascii="Times New Roman" w:hAnsi="Times New Roman" w:cs="Times New Roman"/>
          <w:sz w:val="24"/>
          <w:szCs w:val="24"/>
        </w:rPr>
        <w:t xml:space="preserve"> по употреба на антибиотици в Европа. </w:t>
      </w:r>
      <w:r w:rsidR="006A1C56" w:rsidRPr="001A763F">
        <w:rPr>
          <w:rFonts w:ascii="Times New Roman" w:hAnsi="Times New Roman" w:cs="Times New Roman"/>
          <w:sz w:val="24"/>
          <w:szCs w:val="24"/>
        </w:rPr>
        <w:t>Н</w:t>
      </w:r>
      <w:r w:rsidR="00215709" w:rsidRPr="001A763F">
        <w:rPr>
          <w:rFonts w:ascii="Times New Roman" w:hAnsi="Times New Roman" w:cs="Times New Roman"/>
          <w:sz w:val="24"/>
          <w:szCs w:val="24"/>
        </w:rPr>
        <w:t>алице са</w:t>
      </w:r>
      <w:r w:rsidR="00D11AD8" w:rsidRPr="001A763F">
        <w:rPr>
          <w:rFonts w:ascii="Times New Roman" w:hAnsi="Times New Roman" w:cs="Times New Roman"/>
          <w:sz w:val="24"/>
          <w:szCs w:val="24"/>
        </w:rPr>
        <w:t xml:space="preserve"> </w:t>
      </w:r>
      <w:r w:rsidR="006A1C56" w:rsidRPr="00417E64">
        <w:rPr>
          <w:rFonts w:ascii="Times New Roman" w:hAnsi="Times New Roman" w:cs="Times New Roman"/>
          <w:sz w:val="24"/>
          <w:szCs w:val="24"/>
        </w:rPr>
        <w:t>множество</w:t>
      </w:r>
      <w:r w:rsidR="006A1C56" w:rsidRPr="001A763F">
        <w:rPr>
          <w:rFonts w:ascii="Times New Roman" w:hAnsi="Times New Roman" w:cs="Times New Roman"/>
          <w:sz w:val="24"/>
          <w:szCs w:val="24"/>
        </w:rPr>
        <w:t xml:space="preserve"> </w:t>
      </w:r>
      <w:r w:rsidR="00D11AD8" w:rsidRPr="001A763F">
        <w:rPr>
          <w:rFonts w:ascii="Times New Roman" w:hAnsi="Times New Roman" w:cs="Times New Roman"/>
          <w:sz w:val="24"/>
          <w:szCs w:val="24"/>
        </w:rPr>
        <w:t xml:space="preserve">тревожни </w:t>
      </w:r>
      <w:r w:rsidR="00D11AD8" w:rsidRPr="00417E64">
        <w:rPr>
          <w:rFonts w:ascii="Times New Roman" w:hAnsi="Times New Roman" w:cs="Times New Roman"/>
          <w:sz w:val="24"/>
          <w:szCs w:val="24"/>
        </w:rPr>
        <w:t>тенденции</w:t>
      </w:r>
      <w:r w:rsidR="00165D23" w:rsidRPr="00417E64">
        <w:rPr>
          <w:rFonts w:ascii="Times New Roman" w:hAnsi="Times New Roman" w:cs="Times New Roman"/>
          <w:sz w:val="24"/>
          <w:szCs w:val="24"/>
        </w:rPr>
        <w:t xml:space="preserve"> </w:t>
      </w:r>
      <w:r w:rsidR="00165D23" w:rsidRPr="00417E64">
        <w:rPr>
          <w:rFonts w:ascii="Times New Roman" w:hAnsi="Times New Roman" w:cs="Times New Roman"/>
          <w:sz w:val="24"/>
          <w:szCs w:val="24"/>
        </w:rPr>
        <w:fldChar w:fldCharType="begin" w:fldLock="1"/>
      </w:r>
      <w:r w:rsidR="009D0134" w:rsidRPr="00417E64">
        <w:rPr>
          <w:rFonts w:ascii="Times New Roman" w:hAnsi="Times New Roman" w:cs="Times New Roman"/>
          <w:sz w:val="24"/>
          <w:szCs w:val="24"/>
        </w:rPr>
        <w:instrText>ADDIN CSL_CITATION {"citationItems":[{"id":"ITEM-1","itemData":{"author":[{"dropping-particle":"","family":"ECDC","given":"","non-dropping-particle":"","parse-names":false,"suffix":""}],"id":"ITEM-1","issued":{"date-parts":[["2018"]]},"title":"European Centre for Disease Prevention and Control. Antimicrobial consumption. In: ECDC. Annual epidemiological report 2017","type":"report"},"uris":["http://www.mendeley.com/documents/?uuid=7ee68bc2-13fd-4dce-8e73-3545658d6779"]}],"mendeley":{"formattedCitation":"[23]","plainTextFormattedCitation":"[23]","previouslyFormattedCitation":"(ECDC, 2018a)"},"properties":{"noteIndex":0},"schema":"https://github.com/citation-style-language/schema/raw/master/csl-citation.json"}</w:instrText>
      </w:r>
      <w:r w:rsidR="00165D23" w:rsidRPr="00417E64">
        <w:rPr>
          <w:rFonts w:ascii="Times New Roman" w:hAnsi="Times New Roman" w:cs="Times New Roman"/>
          <w:sz w:val="24"/>
          <w:szCs w:val="24"/>
        </w:rPr>
        <w:fldChar w:fldCharType="separate"/>
      </w:r>
      <w:r w:rsidR="009D0134" w:rsidRPr="00417E64">
        <w:rPr>
          <w:rFonts w:ascii="Times New Roman" w:hAnsi="Times New Roman" w:cs="Times New Roman"/>
          <w:noProof/>
          <w:sz w:val="24"/>
          <w:szCs w:val="24"/>
        </w:rPr>
        <w:t>[23]</w:t>
      </w:r>
      <w:r w:rsidR="00165D23" w:rsidRPr="00417E64">
        <w:rPr>
          <w:rFonts w:ascii="Times New Roman" w:hAnsi="Times New Roman" w:cs="Times New Roman"/>
          <w:sz w:val="24"/>
          <w:szCs w:val="24"/>
        </w:rPr>
        <w:fldChar w:fldCharType="end"/>
      </w:r>
      <w:r w:rsidR="00D11AD8" w:rsidRPr="00417E64">
        <w:rPr>
          <w:rFonts w:ascii="Times New Roman" w:hAnsi="Times New Roman" w:cs="Times New Roman"/>
          <w:sz w:val="24"/>
          <w:szCs w:val="24"/>
        </w:rPr>
        <w:t>.</w:t>
      </w:r>
      <w:r w:rsidR="00CF0BBC" w:rsidRPr="00417E64">
        <w:rPr>
          <w:rFonts w:ascii="Times New Roman" w:eastAsia="Calibri" w:hAnsi="Times New Roman" w:cs="Times New Roman"/>
          <w:bCs/>
          <w:iCs/>
          <w:sz w:val="24"/>
          <w:szCs w:val="24"/>
          <w:lang w:val="en-US"/>
        </w:rPr>
        <w:t xml:space="preserve"> </w:t>
      </w:r>
      <w:r w:rsidR="00315023" w:rsidRPr="00417E64">
        <w:rPr>
          <w:rFonts w:ascii="Times New Roman" w:hAnsi="Times New Roman" w:cs="Times New Roman"/>
          <w:sz w:val="24"/>
          <w:szCs w:val="24"/>
        </w:rPr>
        <w:t>Данните</w:t>
      </w:r>
      <w:r w:rsidR="00315023" w:rsidRPr="00C467DB">
        <w:rPr>
          <w:rFonts w:ascii="Times New Roman" w:hAnsi="Times New Roman" w:cs="Times New Roman"/>
          <w:sz w:val="24"/>
          <w:szCs w:val="24"/>
        </w:rPr>
        <w:t xml:space="preserve"> за</w:t>
      </w:r>
      <w:r w:rsidR="00C51C1C" w:rsidRPr="00C467DB">
        <w:rPr>
          <w:rFonts w:ascii="Times New Roman" w:hAnsi="Times New Roman" w:cs="Times New Roman"/>
          <w:sz w:val="24"/>
          <w:szCs w:val="24"/>
        </w:rPr>
        <w:t xml:space="preserve"> макролиди (azithromycin, clarithromycin) </w:t>
      </w:r>
      <w:r w:rsidR="00315023" w:rsidRPr="00C467DB">
        <w:rPr>
          <w:rFonts w:ascii="Times New Roman" w:hAnsi="Times New Roman" w:cs="Times New Roman"/>
          <w:sz w:val="24"/>
          <w:szCs w:val="24"/>
        </w:rPr>
        <w:t>показват,</w:t>
      </w:r>
      <w:r w:rsidR="00C51C1C" w:rsidRPr="00C467DB">
        <w:rPr>
          <w:rFonts w:ascii="Times New Roman" w:hAnsi="Times New Roman" w:cs="Times New Roman"/>
          <w:sz w:val="24"/>
          <w:szCs w:val="24"/>
        </w:rPr>
        <w:t xml:space="preserve"> че за 15</w:t>
      </w:r>
      <w:r w:rsidR="00CF0BBC" w:rsidRPr="00C467DB">
        <w:rPr>
          <w:rFonts w:ascii="Times New Roman" w:eastAsia="Calibri" w:hAnsi="Times New Roman" w:cs="Times New Roman"/>
          <w:bCs/>
          <w:iCs/>
          <w:sz w:val="24"/>
          <w:szCs w:val="24"/>
        </w:rPr>
        <w:t>-</w:t>
      </w:r>
      <w:r w:rsidR="00C51C1C" w:rsidRPr="00C467DB">
        <w:rPr>
          <w:rFonts w:ascii="Times New Roman" w:hAnsi="Times New Roman" w:cs="Times New Roman"/>
          <w:sz w:val="24"/>
          <w:szCs w:val="24"/>
        </w:rPr>
        <w:t xml:space="preserve">годишен период в България </w:t>
      </w:r>
      <w:r w:rsidR="00315023" w:rsidRPr="00C467DB">
        <w:rPr>
          <w:rFonts w:ascii="Times New Roman" w:hAnsi="Times New Roman" w:cs="Times New Roman"/>
          <w:sz w:val="24"/>
          <w:szCs w:val="24"/>
        </w:rPr>
        <w:t>употребата им</w:t>
      </w:r>
      <w:r w:rsidR="00C51C1C" w:rsidRPr="00C467DB">
        <w:rPr>
          <w:rFonts w:ascii="Times New Roman" w:hAnsi="Times New Roman" w:cs="Times New Roman"/>
          <w:sz w:val="24"/>
          <w:szCs w:val="24"/>
        </w:rPr>
        <w:t xml:space="preserve"> е нараснала </w:t>
      </w:r>
      <w:r w:rsidR="00AE6A34">
        <w:rPr>
          <w:rFonts w:ascii="Times New Roman" w:hAnsi="Times New Roman" w:cs="Times New Roman"/>
          <w:sz w:val="24"/>
          <w:szCs w:val="24"/>
        </w:rPr>
        <w:t xml:space="preserve">със </w:t>
      </w:r>
      <w:r w:rsidR="00FA6511">
        <w:rPr>
          <w:rFonts w:ascii="Times New Roman" w:hAnsi="Times New Roman" w:cs="Times New Roman"/>
          <w:sz w:val="24"/>
          <w:szCs w:val="24"/>
        </w:rPr>
        <w:t>8</w:t>
      </w:r>
      <w:r w:rsidR="00AE6A34">
        <w:rPr>
          <w:rFonts w:ascii="Times New Roman" w:hAnsi="Times New Roman" w:cs="Times New Roman"/>
          <w:sz w:val="24"/>
          <w:szCs w:val="24"/>
        </w:rPr>
        <w:t>0%</w:t>
      </w:r>
      <w:r w:rsidR="00D11AD8" w:rsidRPr="00C467DB">
        <w:rPr>
          <w:rFonts w:ascii="Times New Roman" w:hAnsi="Times New Roman" w:cs="Times New Roman"/>
          <w:sz w:val="24"/>
          <w:szCs w:val="24"/>
        </w:rPr>
        <w:t xml:space="preserve"> в обществото</w:t>
      </w:r>
      <w:r w:rsidR="006A46EA" w:rsidRPr="00C467DB">
        <w:rPr>
          <w:rFonts w:ascii="Times New Roman" w:hAnsi="Times New Roman" w:cs="Times New Roman"/>
          <w:sz w:val="24"/>
          <w:szCs w:val="24"/>
        </w:rPr>
        <w:t xml:space="preserve"> </w:t>
      </w:r>
      <w:r w:rsidR="0013502D" w:rsidRPr="00C467DB">
        <w:rPr>
          <w:rFonts w:ascii="Times New Roman" w:hAnsi="Times New Roman" w:cs="Times New Roman"/>
          <w:sz w:val="24"/>
          <w:szCs w:val="24"/>
        </w:rPr>
        <w:t xml:space="preserve">за разлика от </w:t>
      </w:r>
      <w:r w:rsidR="00CF0BBC" w:rsidRPr="00C467DB">
        <w:rPr>
          <w:rFonts w:ascii="Times New Roman" w:eastAsia="Calibri" w:hAnsi="Times New Roman" w:cs="Times New Roman"/>
          <w:bCs/>
          <w:iCs/>
          <w:sz w:val="24"/>
          <w:szCs w:val="24"/>
        </w:rPr>
        <w:t xml:space="preserve">държавите в Западна и </w:t>
      </w:r>
      <w:r w:rsidR="00F8764D" w:rsidRPr="00C467DB">
        <w:rPr>
          <w:rFonts w:ascii="Times New Roman" w:eastAsia="Calibri" w:hAnsi="Times New Roman" w:cs="Times New Roman"/>
          <w:bCs/>
          <w:iCs/>
          <w:sz w:val="24"/>
          <w:szCs w:val="24"/>
        </w:rPr>
        <w:t xml:space="preserve">Централна </w:t>
      </w:r>
      <w:r w:rsidR="00CF0BBC" w:rsidRPr="00C467DB">
        <w:rPr>
          <w:rFonts w:ascii="Times New Roman" w:eastAsia="Calibri" w:hAnsi="Times New Roman" w:cs="Times New Roman"/>
          <w:bCs/>
          <w:iCs/>
          <w:sz w:val="24"/>
          <w:szCs w:val="24"/>
        </w:rPr>
        <w:t>Европа</w:t>
      </w:r>
      <w:r w:rsidR="0013502D" w:rsidRPr="00C467DB">
        <w:rPr>
          <w:rFonts w:ascii="Times New Roman" w:hAnsi="Times New Roman" w:cs="Times New Roman"/>
          <w:sz w:val="24"/>
          <w:szCs w:val="24"/>
        </w:rPr>
        <w:t xml:space="preserve">, където тенденциите са стабилни или </w:t>
      </w:r>
      <w:r w:rsidR="00CF0BBC" w:rsidRPr="00C467DB">
        <w:rPr>
          <w:rFonts w:ascii="Times New Roman" w:eastAsia="Calibri" w:hAnsi="Times New Roman" w:cs="Times New Roman"/>
          <w:bCs/>
          <w:iCs/>
          <w:sz w:val="24"/>
          <w:szCs w:val="24"/>
        </w:rPr>
        <w:t xml:space="preserve">вече </w:t>
      </w:r>
      <w:r w:rsidR="0013502D" w:rsidRPr="00C467DB">
        <w:rPr>
          <w:rFonts w:ascii="Times New Roman" w:hAnsi="Times New Roman" w:cs="Times New Roman"/>
          <w:sz w:val="24"/>
          <w:szCs w:val="24"/>
        </w:rPr>
        <w:t>низходящи</w:t>
      </w:r>
      <w:r w:rsidR="00CF0BBC" w:rsidRPr="00C467DB">
        <w:rPr>
          <w:rFonts w:ascii="Times New Roman" w:eastAsia="Calibri" w:hAnsi="Times New Roman" w:cs="Times New Roman"/>
          <w:bCs/>
          <w:iCs/>
          <w:sz w:val="24"/>
          <w:szCs w:val="24"/>
        </w:rPr>
        <w:t>. Резултатът е висок относителен дял на макролидна резистентност при пневмококи, стрептококи и стафилококи, и при причинител</w:t>
      </w:r>
      <w:r w:rsidR="00AE701A" w:rsidRPr="00C467DB">
        <w:rPr>
          <w:rFonts w:ascii="Times New Roman" w:eastAsia="Calibri" w:hAnsi="Times New Roman" w:cs="Times New Roman"/>
          <w:bCs/>
          <w:iCs/>
          <w:sz w:val="24"/>
          <w:szCs w:val="24"/>
        </w:rPr>
        <w:t>я</w:t>
      </w:r>
      <w:r w:rsidR="00CF0BBC" w:rsidRPr="00C467DB">
        <w:rPr>
          <w:rFonts w:ascii="Times New Roman" w:eastAsia="Calibri" w:hAnsi="Times New Roman" w:cs="Times New Roman"/>
          <w:bCs/>
          <w:iCs/>
          <w:sz w:val="24"/>
          <w:szCs w:val="24"/>
        </w:rPr>
        <w:t xml:space="preserve"> </w:t>
      </w:r>
      <w:r w:rsidR="00F8764D" w:rsidRPr="00C467DB">
        <w:rPr>
          <w:rFonts w:ascii="Times New Roman" w:eastAsia="Calibri" w:hAnsi="Times New Roman" w:cs="Times New Roman"/>
          <w:bCs/>
          <w:iCs/>
          <w:sz w:val="24"/>
          <w:szCs w:val="24"/>
        </w:rPr>
        <w:t xml:space="preserve">на </w:t>
      </w:r>
      <w:r w:rsidR="00CF0BBC" w:rsidRPr="00C467DB">
        <w:rPr>
          <w:rFonts w:ascii="Times New Roman" w:eastAsia="Calibri" w:hAnsi="Times New Roman" w:cs="Times New Roman"/>
          <w:bCs/>
          <w:iCs/>
          <w:sz w:val="24"/>
          <w:szCs w:val="24"/>
        </w:rPr>
        <w:t xml:space="preserve">стомашна и дуоденална язва и карцином </w:t>
      </w:r>
      <w:r w:rsidR="00CF0BBC" w:rsidRPr="00C467DB">
        <w:rPr>
          <w:rFonts w:ascii="Times New Roman" w:eastAsia="Calibri" w:hAnsi="Times New Roman" w:cs="Times New Roman"/>
          <w:bCs/>
          <w:i/>
          <w:iCs/>
          <w:sz w:val="24"/>
          <w:szCs w:val="24"/>
          <w:lang w:val="en-US"/>
        </w:rPr>
        <w:t>Helicobacter pylori</w:t>
      </w:r>
      <w:r w:rsidR="00CF0BBC" w:rsidRPr="00C467DB">
        <w:rPr>
          <w:rFonts w:ascii="Times New Roman" w:eastAsia="Calibri" w:hAnsi="Times New Roman" w:cs="Times New Roman"/>
          <w:bCs/>
          <w:iCs/>
          <w:sz w:val="24"/>
          <w:szCs w:val="24"/>
        </w:rPr>
        <w:t>.</w:t>
      </w:r>
      <w:r w:rsidR="0013502D" w:rsidRPr="00C467DB">
        <w:rPr>
          <w:rFonts w:ascii="Times New Roman" w:hAnsi="Times New Roman" w:cs="Times New Roman"/>
          <w:sz w:val="24"/>
          <w:szCs w:val="24"/>
        </w:rPr>
        <w:t xml:space="preserve"> </w:t>
      </w:r>
      <w:r w:rsidR="00C51C1C" w:rsidRPr="00C467DB">
        <w:rPr>
          <w:rFonts w:ascii="Times New Roman" w:hAnsi="Times New Roman" w:cs="Times New Roman"/>
          <w:sz w:val="24"/>
          <w:szCs w:val="24"/>
        </w:rPr>
        <w:t xml:space="preserve">Подобна е ситуацията при употребата на пеницилини </w:t>
      </w:r>
      <w:r w:rsidR="00CF0BBC" w:rsidRPr="00C467DB">
        <w:rPr>
          <w:rFonts w:ascii="Times New Roman" w:eastAsia="Calibri" w:hAnsi="Times New Roman" w:cs="Times New Roman"/>
          <w:bCs/>
          <w:iCs/>
          <w:sz w:val="24"/>
          <w:szCs w:val="24"/>
        </w:rPr>
        <w:t>с</w:t>
      </w:r>
      <w:r w:rsidR="00C51C1C" w:rsidRPr="00C467DB">
        <w:rPr>
          <w:rFonts w:ascii="Times New Roman" w:hAnsi="Times New Roman" w:cs="Times New Roman"/>
          <w:sz w:val="24"/>
          <w:szCs w:val="24"/>
        </w:rPr>
        <w:t xml:space="preserve"> бета-лактамазни инхибитор</w:t>
      </w:r>
      <w:r w:rsidR="0013502D" w:rsidRPr="00C467DB">
        <w:rPr>
          <w:rFonts w:ascii="Times New Roman" w:hAnsi="Times New Roman" w:cs="Times New Roman"/>
          <w:sz w:val="24"/>
          <w:szCs w:val="24"/>
        </w:rPr>
        <w:t>и (amoxicillin/clavulanic acid)</w:t>
      </w:r>
      <w:r w:rsidR="00BA610A" w:rsidRPr="00C467DB">
        <w:rPr>
          <w:rFonts w:ascii="Times New Roman" w:hAnsi="Times New Roman" w:cs="Times New Roman"/>
          <w:sz w:val="24"/>
          <w:szCs w:val="24"/>
        </w:rPr>
        <w:t xml:space="preserve"> и флуорохинолони (</w:t>
      </w:r>
      <w:r w:rsidR="00CF0BBC" w:rsidRPr="00C467DB">
        <w:rPr>
          <w:rFonts w:ascii="Times New Roman" w:eastAsia="Calibri" w:hAnsi="Times New Roman" w:cs="Times New Roman"/>
          <w:bCs/>
          <w:iCs/>
          <w:sz w:val="24"/>
          <w:szCs w:val="24"/>
          <w:lang w:val="en-US"/>
        </w:rPr>
        <w:t>Ciprofloxacin, Levofloxacin</w:t>
      </w:r>
      <w:r w:rsidR="00CF0BBC" w:rsidRPr="00C467DB">
        <w:rPr>
          <w:rFonts w:ascii="Times New Roman" w:eastAsia="Calibri" w:hAnsi="Times New Roman" w:cs="Times New Roman"/>
          <w:bCs/>
          <w:iCs/>
          <w:sz w:val="24"/>
          <w:szCs w:val="24"/>
        </w:rPr>
        <w:t>), масово предписвани при инфекции на дихателните пътища и уроинфекции, последните – и при диариен синдром</w:t>
      </w:r>
      <w:r w:rsidR="00F8764D" w:rsidRPr="00C467DB">
        <w:rPr>
          <w:rFonts w:ascii="Times New Roman" w:eastAsia="Calibri" w:hAnsi="Times New Roman" w:cs="Times New Roman"/>
          <w:bCs/>
          <w:iCs/>
          <w:sz w:val="24"/>
          <w:szCs w:val="24"/>
        </w:rPr>
        <w:t>.</w:t>
      </w:r>
      <w:r w:rsidR="00215709" w:rsidRPr="00C467DB">
        <w:rPr>
          <w:rFonts w:ascii="Times New Roman" w:hAnsi="Times New Roman" w:cs="Times New Roman"/>
          <w:sz w:val="24"/>
          <w:szCs w:val="24"/>
        </w:rPr>
        <w:t xml:space="preserve"> България е на едно от последните места в ЕС по употреба на тясно спектърни пеницилини, които са първо средство на избор при инфекции на </w:t>
      </w:r>
      <w:r w:rsidR="00D37BBD" w:rsidRPr="00C467DB">
        <w:rPr>
          <w:rFonts w:ascii="Times New Roman" w:hAnsi="Times New Roman" w:cs="Times New Roman"/>
          <w:sz w:val="24"/>
          <w:szCs w:val="24"/>
        </w:rPr>
        <w:t>горните дихателни пътища</w:t>
      </w:r>
      <w:r w:rsidR="00D74CFD" w:rsidRPr="00C467DB">
        <w:rPr>
          <w:rFonts w:ascii="Times New Roman" w:hAnsi="Times New Roman" w:cs="Times New Roman"/>
          <w:sz w:val="24"/>
          <w:szCs w:val="24"/>
        </w:rPr>
        <w:t xml:space="preserve"> </w:t>
      </w:r>
      <w:r w:rsidR="00D74CFD" w:rsidRPr="00C467DB">
        <w:rPr>
          <w:rFonts w:ascii="Times New Roman" w:hAnsi="Times New Roman" w:cs="Times New Roman"/>
          <w:sz w:val="24"/>
          <w:szCs w:val="24"/>
        </w:rPr>
        <w:fldChar w:fldCharType="begin" w:fldLock="1"/>
      </w:r>
      <w:r w:rsidR="009D0134" w:rsidRPr="00C467DB">
        <w:rPr>
          <w:rFonts w:ascii="Times New Roman" w:hAnsi="Times New Roman" w:cs="Times New Roman"/>
          <w:sz w:val="24"/>
          <w:szCs w:val="24"/>
        </w:rPr>
        <w:instrText>ADDIN CSL_CITATION {"citationItems":[{"id":"ITEM-1","itemData":{"author":[{"dropping-particle":"","family":"ECDC","given":"","non-dropping-particle":"","parse-names":false,"suffix":""}],"id":"ITEM-1","issued":{"date-parts":[["2018"]]},"title":"European Centre for Disease Prevention and Control. Antimicrobial consumption. In: ECDC. Annual epidemiological report 2017","type":"report"},"uris":["http://www.mendeley.com/documents/?uuid=7ee68bc2-13fd-4dce-8e73-3545658d6779"]}],"mendeley":{"formattedCitation":"[23]","plainTextFormattedCitation":"[23]","previouslyFormattedCitation":"(ECDC, 2018a)"},"properties":{"noteIndex":0},"schema":"https://github.com/citation-style-language/schema/raw/master/csl-citation.json"}</w:instrText>
      </w:r>
      <w:r w:rsidR="00D74CFD" w:rsidRPr="00C467DB">
        <w:rPr>
          <w:rFonts w:ascii="Times New Roman" w:hAnsi="Times New Roman" w:cs="Times New Roman"/>
          <w:sz w:val="24"/>
          <w:szCs w:val="24"/>
        </w:rPr>
        <w:fldChar w:fldCharType="separate"/>
      </w:r>
      <w:r w:rsidR="009D0134" w:rsidRPr="00C467DB">
        <w:rPr>
          <w:rFonts w:ascii="Times New Roman" w:hAnsi="Times New Roman" w:cs="Times New Roman"/>
          <w:sz w:val="24"/>
          <w:szCs w:val="24"/>
        </w:rPr>
        <w:t>[23]</w:t>
      </w:r>
      <w:r w:rsidR="00D74CFD" w:rsidRPr="00C467DB">
        <w:rPr>
          <w:rFonts w:ascii="Times New Roman" w:hAnsi="Times New Roman" w:cs="Times New Roman"/>
          <w:sz w:val="24"/>
          <w:szCs w:val="24"/>
        </w:rPr>
        <w:fldChar w:fldCharType="end"/>
      </w:r>
      <w:r w:rsidR="00F8764D" w:rsidRPr="00C467DB">
        <w:rPr>
          <w:rFonts w:ascii="Times New Roman" w:hAnsi="Times New Roman" w:cs="Times New Roman"/>
          <w:sz w:val="24"/>
          <w:szCs w:val="24"/>
        </w:rPr>
        <w:t>.</w:t>
      </w:r>
      <w:r w:rsidR="00CF0BBC" w:rsidRPr="00C467DB">
        <w:rPr>
          <w:rFonts w:ascii="Times New Roman" w:hAnsi="Times New Roman" w:cs="Times New Roman"/>
          <w:sz w:val="24"/>
          <w:szCs w:val="24"/>
        </w:rPr>
        <w:t xml:space="preserve"> </w:t>
      </w:r>
    </w:p>
    <w:p w14:paraId="05C7F824" w14:textId="77777777" w:rsidR="00BA610A" w:rsidRPr="00C467DB" w:rsidRDefault="00CF0BBC" w:rsidP="00C467DB">
      <w:pPr>
        <w:spacing w:after="0" w:line="360" w:lineRule="auto"/>
        <w:ind w:firstLine="709"/>
        <w:jc w:val="both"/>
        <w:rPr>
          <w:rFonts w:ascii="Times New Roman" w:hAnsi="Times New Roman" w:cs="Times New Roman"/>
          <w:sz w:val="24"/>
          <w:szCs w:val="24"/>
        </w:rPr>
      </w:pPr>
      <w:r w:rsidRPr="00C467DB">
        <w:rPr>
          <w:rFonts w:ascii="Times New Roman" w:eastAsia="Calibri" w:hAnsi="Times New Roman" w:cs="Times New Roman"/>
          <w:bCs/>
          <w:iCs/>
          <w:sz w:val="24"/>
          <w:szCs w:val="24"/>
        </w:rPr>
        <w:lastRenderedPageBreak/>
        <w:t>Другият основен</w:t>
      </w:r>
      <w:r w:rsidR="00595615" w:rsidRPr="00C467DB">
        <w:rPr>
          <w:rFonts w:ascii="Times New Roman" w:hAnsi="Times New Roman" w:cs="Times New Roman"/>
          <w:sz w:val="24"/>
          <w:szCs w:val="24"/>
        </w:rPr>
        <w:t xml:space="preserve"> проблем</w:t>
      </w:r>
      <w:r w:rsidR="00D37BBD" w:rsidRPr="00C467DB">
        <w:rPr>
          <w:rFonts w:ascii="Times New Roman" w:hAnsi="Times New Roman" w:cs="Times New Roman"/>
          <w:sz w:val="24"/>
          <w:szCs w:val="24"/>
        </w:rPr>
        <w:t xml:space="preserve"> в </w:t>
      </w:r>
      <w:r w:rsidR="00F530CE" w:rsidRPr="00C467DB">
        <w:rPr>
          <w:rFonts w:ascii="Times New Roman" w:hAnsi="Times New Roman" w:cs="Times New Roman"/>
          <w:sz w:val="24"/>
          <w:szCs w:val="24"/>
        </w:rPr>
        <w:t xml:space="preserve">лечебните </w:t>
      </w:r>
      <w:r w:rsidR="0037776B" w:rsidRPr="00C467DB">
        <w:rPr>
          <w:rFonts w:ascii="Times New Roman" w:eastAsia="Calibri" w:hAnsi="Times New Roman" w:cs="Times New Roman"/>
          <w:bCs/>
          <w:iCs/>
          <w:sz w:val="24"/>
          <w:szCs w:val="24"/>
        </w:rPr>
        <w:t>заведения за извънболнична помощ</w:t>
      </w:r>
      <w:r w:rsidRPr="00C467DB">
        <w:rPr>
          <w:rFonts w:ascii="Times New Roman" w:eastAsia="Calibri" w:hAnsi="Times New Roman" w:cs="Times New Roman"/>
          <w:bCs/>
          <w:iCs/>
          <w:sz w:val="24"/>
          <w:szCs w:val="24"/>
        </w:rPr>
        <w:t xml:space="preserve"> </w:t>
      </w:r>
      <w:r w:rsidR="00595615" w:rsidRPr="00C467DB">
        <w:rPr>
          <w:rFonts w:ascii="Times New Roman" w:hAnsi="Times New Roman" w:cs="Times New Roman"/>
          <w:sz w:val="24"/>
          <w:szCs w:val="24"/>
        </w:rPr>
        <w:t xml:space="preserve">е </w:t>
      </w:r>
      <w:r w:rsidR="00595615" w:rsidRPr="00D01657">
        <w:rPr>
          <w:rFonts w:ascii="Times New Roman" w:hAnsi="Times New Roman" w:cs="Times New Roman"/>
          <w:sz w:val="24"/>
          <w:szCs w:val="24"/>
        </w:rPr>
        <w:t>свръхупотребата на трето</w:t>
      </w:r>
      <w:r w:rsidR="00DD727F" w:rsidRPr="00D01657">
        <w:rPr>
          <w:rFonts w:ascii="Times New Roman" w:hAnsi="Times New Roman" w:cs="Times New Roman"/>
          <w:sz w:val="24"/>
          <w:szCs w:val="24"/>
        </w:rPr>
        <w:t>-</w:t>
      </w:r>
      <w:r w:rsidRPr="00D01657">
        <w:rPr>
          <w:rFonts w:ascii="Times New Roman" w:eastAsia="Calibri" w:hAnsi="Times New Roman" w:cs="Times New Roman"/>
          <w:bCs/>
          <w:iCs/>
          <w:sz w:val="24"/>
          <w:szCs w:val="24"/>
        </w:rPr>
        <w:t>генерационния</w:t>
      </w:r>
      <w:r w:rsidR="00595615" w:rsidRPr="00D01657">
        <w:rPr>
          <w:rFonts w:ascii="Times New Roman" w:hAnsi="Times New Roman" w:cs="Times New Roman"/>
          <w:sz w:val="24"/>
          <w:szCs w:val="24"/>
        </w:rPr>
        <w:t xml:space="preserve"> цефалоспорин </w:t>
      </w:r>
      <w:r w:rsidRPr="00D01657">
        <w:rPr>
          <w:rFonts w:ascii="Times New Roman" w:eastAsia="Calibri" w:hAnsi="Times New Roman" w:cs="Times New Roman"/>
          <w:bCs/>
          <w:iCs/>
          <w:sz w:val="24"/>
          <w:szCs w:val="24"/>
          <w:lang w:val="en-US"/>
        </w:rPr>
        <w:t>Cefixime</w:t>
      </w:r>
      <w:r w:rsidR="00DD727F" w:rsidRPr="00D01657">
        <w:rPr>
          <w:rFonts w:ascii="Times New Roman" w:hAnsi="Times New Roman" w:cs="Times New Roman"/>
          <w:sz w:val="24"/>
          <w:szCs w:val="24"/>
        </w:rPr>
        <w:t>,</w:t>
      </w:r>
      <w:r w:rsidR="00DD727F" w:rsidRPr="00C467DB">
        <w:rPr>
          <w:rFonts w:ascii="Times New Roman" w:hAnsi="Times New Roman" w:cs="Times New Roman"/>
          <w:sz w:val="24"/>
          <w:szCs w:val="24"/>
        </w:rPr>
        <w:t xml:space="preserve"> която за последните 10 години е нараснала </w:t>
      </w:r>
      <w:r w:rsidR="00AE6A34">
        <w:rPr>
          <w:rFonts w:ascii="Times New Roman" w:hAnsi="Times New Roman" w:cs="Times New Roman"/>
          <w:sz w:val="24"/>
          <w:szCs w:val="24"/>
        </w:rPr>
        <w:t xml:space="preserve">с </w:t>
      </w:r>
      <w:r w:rsidR="003B031B">
        <w:rPr>
          <w:rFonts w:ascii="Times New Roman" w:hAnsi="Times New Roman" w:cs="Times New Roman"/>
          <w:sz w:val="24"/>
          <w:szCs w:val="24"/>
        </w:rPr>
        <w:t>3</w:t>
      </w:r>
      <w:r w:rsidR="00AE6A34">
        <w:rPr>
          <w:rFonts w:ascii="Times New Roman" w:hAnsi="Times New Roman" w:cs="Times New Roman"/>
          <w:sz w:val="24"/>
          <w:szCs w:val="24"/>
        </w:rPr>
        <w:t>00%</w:t>
      </w:r>
      <w:r w:rsidR="00D74CFD" w:rsidRPr="00C467DB">
        <w:rPr>
          <w:rFonts w:ascii="Times New Roman" w:hAnsi="Times New Roman" w:cs="Times New Roman"/>
          <w:sz w:val="24"/>
          <w:szCs w:val="24"/>
        </w:rPr>
        <w:t xml:space="preserve"> </w:t>
      </w:r>
      <w:r w:rsidR="00D74CFD" w:rsidRPr="00C467DB">
        <w:rPr>
          <w:rFonts w:ascii="Times New Roman" w:hAnsi="Times New Roman" w:cs="Times New Roman"/>
          <w:sz w:val="24"/>
          <w:szCs w:val="24"/>
        </w:rPr>
        <w:fldChar w:fldCharType="begin" w:fldLock="1"/>
      </w:r>
      <w:r w:rsidR="009D0134" w:rsidRPr="00C467DB">
        <w:rPr>
          <w:rFonts w:ascii="Times New Roman" w:hAnsi="Times New Roman" w:cs="Times New Roman"/>
          <w:sz w:val="24"/>
          <w:szCs w:val="24"/>
        </w:rPr>
        <w:instrText>ADDIN CSL_CITATION {"citationItems":[{"id":"ITEM-1","itemData":{"author":[{"dropping-particle":"","family":"ECDC","given":"","non-dropping-particle":"","parse-names":false,"suffix":""}],"id":"ITEM-1","issued":{"date-parts":[["2018"]]},"title":"European Centre for Disease Prevention and Control. Antimicrobial consumption. In: ECDC. Annual epidemiological report 2017","type":"report"},"uris":["http://www.mendeley.com/documents/?uuid=7ee68bc2-13fd-4dce-8e73-3545658d6779"]}],"mendeley":{"formattedCitation":"[23]","plainTextFormattedCitation":"[23]","previouslyFormattedCitation":"(ECDC, 2018a)"},"properties":{"noteIndex":0},"schema":"https://github.com/citation-style-language/schema/raw/master/csl-citation.json"}</w:instrText>
      </w:r>
      <w:r w:rsidR="00D74CFD" w:rsidRPr="00C467DB">
        <w:rPr>
          <w:rFonts w:ascii="Times New Roman" w:hAnsi="Times New Roman" w:cs="Times New Roman"/>
          <w:sz w:val="24"/>
          <w:szCs w:val="24"/>
        </w:rPr>
        <w:fldChar w:fldCharType="separate"/>
      </w:r>
      <w:r w:rsidR="009D0134" w:rsidRPr="00C467DB">
        <w:rPr>
          <w:rFonts w:ascii="Times New Roman" w:hAnsi="Times New Roman" w:cs="Times New Roman"/>
          <w:sz w:val="24"/>
          <w:szCs w:val="24"/>
        </w:rPr>
        <w:t>[23]</w:t>
      </w:r>
      <w:r w:rsidR="00D74CFD" w:rsidRPr="00C467DB">
        <w:rPr>
          <w:rFonts w:ascii="Times New Roman" w:hAnsi="Times New Roman" w:cs="Times New Roman"/>
          <w:sz w:val="24"/>
          <w:szCs w:val="24"/>
        </w:rPr>
        <w:fldChar w:fldCharType="end"/>
      </w:r>
      <w:r w:rsidR="00D37BBD" w:rsidRPr="00C467DB">
        <w:rPr>
          <w:rFonts w:ascii="Times New Roman" w:hAnsi="Times New Roman" w:cs="Times New Roman"/>
          <w:sz w:val="24"/>
          <w:szCs w:val="24"/>
        </w:rPr>
        <w:t>.</w:t>
      </w:r>
      <w:r w:rsidR="00BE7DAC" w:rsidRPr="00C467DB">
        <w:rPr>
          <w:rFonts w:ascii="Times New Roman" w:eastAsia="Calibri" w:hAnsi="Times New Roman" w:cs="Times New Roman"/>
          <w:bCs/>
          <w:iCs/>
          <w:sz w:val="24"/>
          <w:szCs w:val="24"/>
          <w:lang w:val="en-US"/>
        </w:rPr>
        <w:t xml:space="preserve"> </w:t>
      </w:r>
      <w:r w:rsidR="001E076F" w:rsidRPr="00C467DB">
        <w:rPr>
          <w:rFonts w:ascii="Times New Roman" w:hAnsi="Times New Roman" w:cs="Times New Roman"/>
          <w:sz w:val="24"/>
          <w:szCs w:val="24"/>
        </w:rPr>
        <w:t xml:space="preserve">Свръхупотребата на цефалоспорини от трето поколение </w:t>
      </w:r>
      <w:r w:rsidRPr="00C467DB">
        <w:rPr>
          <w:rFonts w:ascii="Times New Roman" w:eastAsia="Calibri" w:hAnsi="Times New Roman" w:cs="Times New Roman"/>
          <w:bCs/>
          <w:iCs/>
          <w:sz w:val="24"/>
          <w:szCs w:val="24"/>
        </w:rPr>
        <w:t>е генерален фактор</w:t>
      </w:r>
      <w:r w:rsidR="001E076F" w:rsidRPr="00C467DB">
        <w:rPr>
          <w:rFonts w:ascii="Times New Roman" w:hAnsi="Times New Roman" w:cs="Times New Roman"/>
          <w:sz w:val="24"/>
          <w:szCs w:val="24"/>
        </w:rPr>
        <w:t xml:space="preserve"> за </w:t>
      </w:r>
      <w:r w:rsidRPr="00C467DB">
        <w:rPr>
          <w:rFonts w:ascii="Times New Roman" w:eastAsia="Calibri" w:hAnsi="Times New Roman" w:cs="Times New Roman"/>
          <w:bCs/>
          <w:iCs/>
          <w:sz w:val="24"/>
          <w:szCs w:val="24"/>
        </w:rPr>
        <w:t>развитие</w:t>
      </w:r>
      <w:r w:rsidR="00FD6D41" w:rsidRPr="00C467DB">
        <w:rPr>
          <w:rFonts w:ascii="Times New Roman" w:hAnsi="Times New Roman" w:cs="Times New Roman"/>
          <w:sz w:val="24"/>
          <w:szCs w:val="24"/>
        </w:rPr>
        <w:t xml:space="preserve"> и разпространение</w:t>
      </w:r>
      <w:r w:rsidR="001E076F" w:rsidRPr="00C467DB">
        <w:rPr>
          <w:rFonts w:ascii="Times New Roman" w:hAnsi="Times New Roman" w:cs="Times New Roman"/>
          <w:sz w:val="24"/>
          <w:szCs w:val="24"/>
        </w:rPr>
        <w:t xml:space="preserve"> на резистентност, пример за което </w:t>
      </w:r>
      <w:r w:rsidRPr="00C467DB">
        <w:rPr>
          <w:rFonts w:ascii="Times New Roman" w:eastAsia="Calibri" w:hAnsi="Times New Roman" w:cs="Times New Roman"/>
          <w:bCs/>
          <w:iCs/>
          <w:sz w:val="24"/>
          <w:szCs w:val="24"/>
        </w:rPr>
        <w:t>са</w:t>
      </w:r>
      <w:r w:rsidR="001E076F" w:rsidRPr="00C467DB">
        <w:rPr>
          <w:rFonts w:ascii="Times New Roman" w:hAnsi="Times New Roman" w:cs="Times New Roman"/>
          <w:sz w:val="24"/>
          <w:szCs w:val="24"/>
        </w:rPr>
        <w:t xml:space="preserve"> рязкото </w:t>
      </w:r>
      <w:r w:rsidR="00D37BBD" w:rsidRPr="00C467DB">
        <w:rPr>
          <w:rFonts w:ascii="Times New Roman" w:hAnsi="Times New Roman" w:cs="Times New Roman"/>
          <w:sz w:val="24"/>
          <w:szCs w:val="24"/>
        </w:rPr>
        <w:t xml:space="preserve">увеличение </w:t>
      </w:r>
      <w:r w:rsidR="001E076F" w:rsidRPr="00C467DB">
        <w:rPr>
          <w:rFonts w:ascii="Times New Roman" w:hAnsi="Times New Roman" w:cs="Times New Roman"/>
          <w:sz w:val="24"/>
          <w:szCs w:val="24"/>
        </w:rPr>
        <w:t>на случаите на</w:t>
      </w:r>
      <w:r w:rsidR="00FD6D41" w:rsidRPr="00C467DB">
        <w:rPr>
          <w:rFonts w:ascii="Times New Roman" w:hAnsi="Times New Roman" w:cs="Times New Roman"/>
          <w:sz w:val="24"/>
          <w:szCs w:val="24"/>
        </w:rPr>
        <w:t xml:space="preserve"> гонорея</w:t>
      </w:r>
      <w:r w:rsidRPr="00C467DB">
        <w:rPr>
          <w:rFonts w:ascii="Times New Roman" w:eastAsia="Calibri" w:hAnsi="Times New Roman" w:cs="Times New Roman"/>
          <w:bCs/>
          <w:iCs/>
          <w:sz w:val="24"/>
          <w:szCs w:val="24"/>
        </w:rPr>
        <w:t>,</w:t>
      </w:r>
      <w:r w:rsidR="00FD6D41" w:rsidRPr="00C467DB">
        <w:rPr>
          <w:rFonts w:ascii="Times New Roman" w:hAnsi="Times New Roman" w:cs="Times New Roman"/>
          <w:sz w:val="24"/>
          <w:szCs w:val="24"/>
        </w:rPr>
        <w:t xml:space="preserve"> причинени от мултирезистенни щамове </w:t>
      </w:r>
      <w:r w:rsidR="00431E31" w:rsidRPr="00C467DB">
        <w:rPr>
          <w:rFonts w:ascii="Times New Roman" w:eastAsia="Calibri" w:hAnsi="Times New Roman" w:cs="Times New Roman"/>
          <w:bCs/>
          <w:iCs/>
          <w:sz w:val="24"/>
          <w:szCs w:val="24"/>
        </w:rPr>
        <w:fldChar w:fldCharType="begin" w:fldLock="1"/>
      </w:r>
      <w:r w:rsidR="009D0134" w:rsidRPr="00C467DB">
        <w:rPr>
          <w:rFonts w:ascii="Times New Roman" w:eastAsia="Calibri" w:hAnsi="Times New Roman" w:cs="Times New Roman"/>
          <w:bCs/>
          <w:iCs/>
          <w:sz w:val="24"/>
          <w:szCs w:val="24"/>
        </w:rPr>
        <w:instrText>ADDIN CSL_CITATION {"citationItems":[{"id":"ITEM-1","itemData":{"DOI":"10.1128/AAC.05760-11","ISSN":"0066-4804","PMID":"22155830","abstract":"&lt;p&gt; Recently, the first &lt;named-content content-type=\"genus-species\" type=\"simple\"&gt;Neisseria gonorrhoeae&lt;/named-content&gt; strain (H041) highly resistant to the expanded-spectrum cephalosporins (ESCs) ceftriaxone and cefixime, which are the last remaining options for first-line gonorrhea treatment, was isolated in Japan. Here, we confirm and characterize a second strain (F89) with high-level cefixime and ceftriaxone resistance which was isolated in France and most likely caused a treatment failure with cefixime. F89 was examined using six species-confirmatory tests, antibiograms (33 antimicrobials), &lt;italic&gt;porB&lt;/italic&gt; sequencing, &lt;named-content content-type=\"genus-species\" type=\"simple\"&gt;N. gonorrhoeae&lt;/named-content&gt; multiantigen sequence typing (NG-MAST), multilocus sequence typing (MLST), and sequencing of known gonococcal resistance determinants ( &lt;italic&gt;penA&lt;/italic&gt; , &lt;italic&gt;mtrR&lt;/italic&gt; , &lt;italic&gt;penB&lt;/italic&gt; , &lt;italic&gt;ponA&lt;/italic&gt; , and &lt;italic&gt;pilQ&lt;/italic&gt; ). F89 was assigned to MLST sequence type 1901 (ST1901) and NG-MAST ST1407, which is a successful gonococcal clone that has spread globally. F89 has high-level resistance to cefixime (MIC = 4 μg/ml) and ceftriaxone (MIC = 1 to 2 μg/ml) and resistance to most other antimicrobials examined. A novel &lt;italic&gt;penA&lt;/italic&gt; mosaic allele ( &lt;italic&gt;penA-CI&lt;/italic&gt; ), which was &lt;italic&gt;penA-XXXIV&lt;/italic&gt; with an additional A501P alteration in penicillin-binding protein 2, was the primary determinant for high-level ESC resistance, as determined by transformation into a set of recipient strains. &lt;named-content content-type=\"genus-species\" type=\"simple\"&gt;N. gonorrhoeae&lt;/named-content&gt; appears to be emerging as a superbug, and in certain circumstances and settings, gonorrhea may become untreatable. Investigations of the biological fitness and enhanced understanding and monitoring of the ESC-resistant clones and their international transmission are required. Enhanced disease control activities, antimicrobial resistance control and surveillance worldwide, and public health response plans for global (and national) perspectives are also crucial. Nevertheless, new treatment strategies and/or drugs and, ideally, a vaccine are essential to develop for efficacious gonorrhea management. &lt;/p&gt;","author":[{"dropping-particle":"","family":"Unemo","given":"Magnus","non-dropping-particle":"","parse-names":false,"suffix":""},{"dropping-particle":"","family":"Golparian","given":"Daniel","non-dropping-particle":"","parse-names":false,"suffix":""},{"dropping-particle":"","family":"Nicholas","given":"Robert","non-dropping-particle":"","parse-names":false,"suffix":""},{"dropping-particle":"","family":"Ohnishi","given":"Makoto","non-dropping-particle":"","parse-names":false,"suffix":""},{"dropping-particle":"","family":"Gallay","given":"Anne","non-dropping-particle":"","parse-names":false,"suffix":""},{"dropping-particle":"","family":"Sednaoui","given":"Patrice","non-dropping-particle":"","parse-names":false,"suffix":""}],"container-title":"Antimicrobial Agents and Chemotherapy","id":"ITEM-1","issue":"3","issued":{"date-parts":[["2012","3"]]},"page":"1273-1280","title":"High-Level Cefixime- and Ceftriaxone-Resistant Neisseria gonorrhoeae in France: Novel &lt;i&gt;penA&lt;/i&gt; Mosaic Allele in a Successful International Clone Causes Treatment Failure","type":"article-journal","volume":"56"},"uris":["http://www.mendeley.com/documents/?uuid=40d0bb97-5f19-33e0-b6de-0a56c2b837c5"]}],"mendeley":{"formattedCitation":"[39]","plainTextFormattedCitation":"[39]","previouslyFormattedCitation":"(Unemo et al., 2012)"},"properties":{"noteIndex":0},"schema":"https://github.com/citation-style-language/schema/raw/master/csl-citation.json"}</w:instrText>
      </w:r>
      <w:r w:rsidR="00431E31" w:rsidRPr="00C467DB">
        <w:rPr>
          <w:rFonts w:ascii="Times New Roman" w:eastAsia="Calibri" w:hAnsi="Times New Roman" w:cs="Times New Roman"/>
          <w:bCs/>
          <w:iCs/>
          <w:sz w:val="24"/>
          <w:szCs w:val="24"/>
        </w:rPr>
        <w:fldChar w:fldCharType="separate"/>
      </w:r>
      <w:r w:rsidR="009D0134" w:rsidRPr="00C467DB">
        <w:rPr>
          <w:rFonts w:ascii="Times New Roman" w:eastAsia="Calibri" w:hAnsi="Times New Roman" w:cs="Times New Roman"/>
          <w:bCs/>
          <w:iCs/>
          <w:sz w:val="24"/>
          <w:szCs w:val="24"/>
        </w:rPr>
        <w:t>[39]</w:t>
      </w:r>
      <w:r w:rsidR="00431E31" w:rsidRPr="00C467DB">
        <w:rPr>
          <w:rFonts w:ascii="Times New Roman" w:eastAsia="Calibri" w:hAnsi="Times New Roman" w:cs="Times New Roman"/>
          <w:bCs/>
          <w:iCs/>
          <w:sz w:val="24"/>
          <w:szCs w:val="24"/>
        </w:rPr>
        <w:fldChar w:fldCharType="end"/>
      </w:r>
      <w:r w:rsidR="00BE7DAC" w:rsidRPr="00C467DB">
        <w:rPr>
          <w:rFonts w:ascii="Times New Roman" w:eastAsia="Calibri" w:hAnsi="Times New Roman" w:cs="Times New Roman"/>
          <w:bCs/>
          <w:iCs/>
          <w:sz w:val="24"/>
          <w:szCs w:val="24"/>
          <w:lang w:val="en-US"/>
        </w:rPr>
        <w:t xml:space="preserve"> </w:t>
      </w:r>
      <w:r w:rsidRPr="00C467DB">
        <w:rPr>
          <w:rFonts w:ascii="Times New Roman" w:eastAsia="Calibri" w:hAnsi="Times New Roman" w:cs="Times New Roman"/>
          <w:bCs/>
          <w:iCs/>
          <w:sz w:val="24"/>
          <w:szCs w:val="24"/>
        </w:rPr>
        <w:t xml:space="preserve">и главоломното нарастване на щамовете </w:t>
      </w:r>
      <w:r w:rsidRPr="00C467DB">
        <w:rPr>
          <w:rFonts w:ascii="Times New Roman" w:eastAsia="Calibri" w:hAnsi="Times New Roman" w:cs="Times New Roman"/>
          <w:bCs/>
          <w:i/>
          <w:iCs/>
          <w:sz w:val="24"/>
          <w:szCs w:val="24"/>
          <w:lang w:val="en-US"/>
        </w:rPr>
        <w:t>Enterobacterales</w:t>
      </w:r>
      <w:r w:rsidRPr="00C467DB">
        <w:rPr>
          <w:rFonts w:ascii="Times New Roman" w:eastAsia="Calibri" w:hAnsi="Times New Roman" w:cs="Times New Roman"/>
          <w:bCs/>
          <w:i/>
          <w:iCs/>
          <w:sz w:val="24"/>
          <w:szCs w:val="24"/>
        </w:rPr>
        <w:t xml:space="preserve"> </w:t>
      </w:r>
      <w:r w:rsidR="00AE6A34">
        <w:rPr>
          <w:rFonts w:ascii="Times New Roman" w:eastAsia="Calibri" w:hAnsi="Times New Roman" w:cs="Times New Roman"/>
          <w:bCs/>
          <w:iCs/>
          <w:sz w:val="24"/>
          <w:szCs w:val="24"/>
        </w:rPr>
        <w:t>продуценти на</w:t>
      </w:r>
      <w:r w:rsidR="00AE6A34" w:rsidRPr="00C467DB">
        <w:rPr>
          <w:rFonts w:ascii="Times New Roman" w:eastAsia="Calibri" w:hAnsi="Times New Roman" w:cs="Times New Roman"/>
          <w:bCs/>
          <w:iCs/>
          <w:sz w:val="24"/>
          <w:szCs w:val="24"/>
        </w:rPr>
        <w:t xml:space="preserve"> </w:t>
      </w:r>
      <w:r w:rsidRPr="00C467DB">
        <w:rPr>
          <w:rFonts w:ascii="Times New Roman" w:eastAsia="Calibri" w:hAnsi="Times New Roman" w:cs="Times New Roman"/>
          <w:bCs/>
          <w:iCs/>
          <w:sz w:val="24"/>
          <w:szCs w:val="24"/>
          <w:lang w:val="en-US"/>
        </w:rPr>
        <w:t>ESBL</w:t>
      </w:r>
      <w:r w:rsidRPr="00C467DB">
        <w:rPr>
          <w:rFonts w:ascii="Times New Roman" w:eastAsia="Calibri" w:hAnsi="Times New Roman" w:cs="Times New Roman"/>
          <w:bCs/>
          <w:iCs/>
          <w:sz w:val="24"/>
          <w:szCs w:val="24"/>
        </w:rPr>
        <w:t>.</w:t>
      </w:r>
      <w:r w:rsidR="00431E31" w:rsidRPr="00C467DB">
        <w:rPr>
          <w:rFonts w:ascii="Times New Roman" w:hAnsi="Times New Roman" w:cs="Times New Roman"/>
          <w:sz w:val="24"/>
          <w:szCs w:val="24"/>
        </w:rPr>
        <w:t xml:space="preserve"> </w:t>
      </w:r>
      <w:r w:rsidR="000F0CC1" w:rsidRPr="00C467DB">
        <w:rPr>
          <w:rFonts w:ascii="Times New Roman" w:hAnsi="Times New Roman" w:cs="Times New Roman"/>
          <w:sz w:val="24"/>
          <w:szCs w:val="24"/>
        </w:rPr>
        <w:t>В</w:t>
      </w:r>
      <w:r w:rsidR="00065349" w:rsidRPr="00C467DB">
        <w:rPr>
          <w:rFonts w:ascii="Times New Roman" w:hAnsi="Times New Roman" w:cs="Times New Roman"/>
          <w:sz w:val="24"/>
          <w:szCs w:val="24"/>
        </w:rPr>
        <w:t xml:space="preserve">сички изброени </w:t>
      </w:r>
      <w:r w:rsidR="0034244C" w:rsidRPr="00C467DB">
        <w:rPr>
          <w:rFonts w:ascii="Times New Roman" w:hAnsi="Times New Roman" w:cs="Times New Roman"/>
          <w:sz w:val="24"/>
          <w:szCs w:val="24"/>
        </w:rPr>
        <w:t>груп</w:t>
      </w:r>
      <w:r w:rsidR="00065349" w:rsidRPr="00C467DB">
        <w:rPr>
          <w:rFonts w:ascii="Times New Roman" w:hAnsi="Times New Roman" w:cs="Times New Roman"/>
          <w:sz w:val="24"/>
          <w:szCs w:val="24"/>
        </w:rPr>
        <w:t>и</w:t>
      </w:r>
      <w:r w:rsidR="0034244C" w:rsidRPr="00C467DB">
        <w:rPr>
          <w:rFonts w:ascii="Times New Roman" w:hAnsi="Times New Roman" w:cs="Times New Roman"/>
          <w:sz w:val="24"/>
          <w:szCs w:val="24"/>
        </w:rPr>
        <w:t xml:space="preserve"> антибиотици са </w:t>
      </w:r>
      <w:r w:rsidR="00431E31" w:rsidRPr="00C467DB">
        <w:rPr>
          <w:rFonts w:ascii="Times New Roman" w:hAnsi="Times New Roman" w:cs="Times New Roman"/>
          <w:sz w:val="24"/>
          <w:szCs w:val="24"/>
        </w:rPr>
        <w:t>дефинирани</w:t>
      </w:r>
      <w:r w:rsidR="0034244C" w:rsidRPr="00C467DB">
        <w:rPr>
          <w:rFonts w:ascii="Times New Roman" w:hAnsi="Times New Roman" w:cs="Times New Roman"/>
          <w:sz w:val="24"/>
          <w:szCs w:val="24"/>
        </w:rPr>
        <w:t xml:space="preserve"> </w:t>
      </w:r>
      <w:r w:rsidR="00065349" w:rsidRPr="00C467DB">
        <w:rPr>
          <w:rFonts w:ascii="Times New Roman" w:hAnsi="Times New Roman" w:cs="Times New Roman"/>
          <w:sz w:val="24"/>
          <w:szCs w:val="24"/>
        </w:rPr>
        <w:t xml:space="preserve">като критично важни </w:t>
      </w:r>
      <w:r w:rsidR="0034244C" w:rsidRPr="00C467DB">
        <w:rPr>
          <w:rFonts w:ascii="Times New Roman" w:hAnsi="Times New Roman" w:cs="Times New Roman"/>
          <w:sz w:val="24"/>
          <w:szCs w:val="24"/>
        </w:rPr>
        <w:t xml:space="preserve">в списъка на СЗО </w:t>
      </w:r>
      <w:r w:rsidR="00065349" w:rsidRPr="00C467DB">
        <w:rPr>
          <w:rFonts w:ascii="Times New Roman" w:hAnsi="Times New Roman" w:cs="Times New Roman"/>
          <w:sz w:val="24"/>
          <w:szCs w:val="24"/>
        </w:rPr>
        <w:t>и употребата им изисква строг контрол</w:t>
      </w:r>
      <w:r w:rsidRPr="00C467DB">
        <w:rPr>
          <w:rFonts w:ascii="Times New Roman" w:eastAsia="Calibri" w:hAnsi="Times New Roman" w:cs="Times New Roman"/>
          <w:bCs/>
          <w:iCs/>
          <w:sz w:val="24"/>
          <w:szCs w:val="24"/>
          <w:lang w:val="en-US"/>
        </w:rPr>
        <w:t xml:space="preserve"> </w:t>
      </w:r>
      <w:r w:rsidR="004F4E14" w:rsidRPr="00C467DB">
        <w:rPr>
          <w:rFonts w:ascii="Times New Roman" w:eastAsia="Calibri" w:hAnsi="Times New Roman" w:cs="Times New Roman"/>
          <w:bCs/>
          <w:iCs/>
          <w:sz w:val="24"/>
          <w:szCs w:val="24"/>
        </w:rPr>
        <w:fldChar w:fldCharType="begin" w:fldLock="1"/>
      </w:r>
      <w:r w:rsidR="009D0134" w:rsidRPr="00C467DB">
        <w:rPr>
          <w:rFonts w:ascii="Times New Roman" w:eastAsia="Calibri" w:hAnsi="Times New Roman" w:cs="Times New Roman"/>
          <w:bCs/>
          <w:iCs/>
          <w:sz w:val="24"/>
          <w:szCs w:val="24"/>
        </w:rPr>
        <w:instrText>ADDIN CSL_CITATION {"citationItems":[{"id":"ITEM-1","itemData":{"author":[{"dropping-particle":"","family":"WHO","given":"","non-dropping-particle":"","parse-names":false,"suffix":""}],"container-title":"WHO","id":"ITEM-1","issued":{"date-parts":[["2017"]]},"publisher":"World Health Organization","title":"Global priority list of antibiotic-resistant bacteria to guide research, discovery, and development of new antibiotics","type":"report"},"uris":["http://www.mendeley.com/documents/?uuid=bd7ad264-7ea8-381b-84d9-f3187ad25996"]}],"mendeley":{"formattedCitation":"[18]","plainTextFormattedCitation":"[18]","previouslyFormattedCitation":"(WHO, 2017)"},"properties":{"noteIndex":0},"schema":"https://github.com/citation-style-language/schema/raw/master/csl-citation.json"}</w:instrText>
      </w:r>
      <w:r w:rsidR="004F4E14" w:rsidRPr="00C467DB">
        <w:rPr>
          <w:rFonts w:ascii="Times New Roman" w:eastAsia="Calibri" w:hAnsi="Times New Roman" w:cs="Times New Roman"/>
          <w:bCs/>
          <w:iCs/>
          <w:sz w:val="24"/>
          <w:szCs w:val="24"/>
        </w:rPr>
        <w:fldChar w:fldCharType="separate"/>
      </w:r>
      <w:r w:rsidR="009D0134" w:rsidRPr="00C467DB">
        <w:rPr>
          <w:rFonts w:ascii="Times New Roman" w:eastAsia="Calibri" w:hAnsi="Times New Roman" w:cs="Times New Roman"/>
          <w:bCs/>
          <w:iCs/>
          <w:noProof/>
          <w:sz w:val="24"/>
          <w:szCs w:val="24"/>
        </w:rPr>
        <w:t>[18]</w:t>
      </w:r>
      <w:r w:rsidR="004F4E14" w:rsidRPr="00C467DB">
        <w:rPr>
          <w:rFonts w:ascii="Times New Roman" w:eastAsia="Calibri" w:hAnsi="Times New Roman" w:cs="Times New Roman"/>
          <w:bCs/>
          <w:iCs/>
          <w:sz w:val="24"/>
          <w:szCs w:val="24"/>
        </w:rPr>
        <w:fldChar w:fldCharType="end"/>
      </w:r>
      <w:r w:rsidR="004F4E14" w:rsidRPr="00C467DB">
        <w:rPr>
          <w:rFonts w:ascii="Times New Roman" w:eastAsia="Calibri" w:hAnsi="Times New Roman" w:cs="Times New Roman"/>
          <w:bCs/>
          <w:iCs/>
          <w:sz w:val="24"/>
          <w:szCs w:val="24"/>
        </w:rPr>
        <w:t>.</w:t>
      </w:r>
    </w:p>
    <w:p w14:paraId="63872CCE" w14:textId="77777777" w:rsidR="00C51C1C" w:rsidRPr="00C467DB" w:rsidRDefault="00C51C1C" w:rsidP="00C467DB">
      <w:pPr>
        <w:spacing w:after="0" w:line="360" w:lineRule="auto"/>
        <w:ind w:firstLine="709"/>
        <w:jc w:val="both"/>
        <w:rPr>
          <w:rFonts w:ascii="Times New Roman" w:hAnsi="Times New Roman" w:cs="Times New Roman"/>
          <w:sz w:val="24"/>
          <w:szCs w:val="24"/>
        </w:rPr>
      </w:pPr>
      <w:r w:rsidRPr="00C467DB">
        <w:rPr>
          <w:rFonts w:ascii="Times New Roman" w:hAnsi="Times New Roman" w:cs="Times New Roman"/>
          <w:sz w:val="24"/>
          <w:szCs w:val="24"/>
        </w:rPr>
        <w:t xml:space="preserve">Макар относителният дял на антибиотиците, </w:t>
      </w:r>
      <w:r w:rsidRPr="00D01657">
        <w:rPr>
          <w:rFonts w:ascii="Times New Roman" w:hAnsi="Times New Roman" w:cs="Times New Roman"/>
          <w:sz w:val="24"/>
          <w:szCs w:val="24"/>
        </w:rPr>
        <w:t xml:space="preserve">използвани в </w:t>
      </w:r>
      <w:r w:rsidR="009B69A7" w:rsidRPr="00D01657">
        <w:rPr>
          <w:rFonts w:ascii="Times New Roman" w:hAnsi="Times New Roman" w:cs="Times New Roman"/>
          <w:sz w:val="24"/>
          <w:szCs w:val="24"/>
        </w:rPr>
        <w:t>лечебните заведения за болнична помощ</w:t>
      </w:r>
      <w:r w:rsidRPr="00D01657">
        <w:rPr>
          <w:rFonts w:ascii="Times New Roman" w:hAnsi="Times New Roman" w:cs="Times New Roman"/>
          <w:sz w:val="24"/>
          <w:szCs w:val="24"/>
        </w:rPr>
        <w:t xml:space="preserve"> да е по-малък, селективния</w:t>
      </w:r>
      <w:r w:rsidRPr="00C467DB">
        <w:rPr>
          <w:rFonts w:ascii="Times New Roman" w:hAnsi="Times New Roman" w:cs="Times New Roman"/>
          <w:sz w:val="24"/>
          <w:szCs w:val="24"/>
        </w:rPr>
        <w:t xml:space="preserve">т антибиотичен натиск </w:t>
      </w:r>
      <w:r w:rsidR="00561257" w:rsidRPr="00C467DB">
        <w:rPr>
          <w:rFonts w:ascii="Times New Roman" w:hAnsi="Times New Roman" w:cs="Times New Roman"/>
          <w:sz w:val="24"/>
          <w:szCs w:val="24"/>
        </w:rPr>
        <w:t>тук</w:t>
      </w:r>
      <w:r w:rsidRPr="00C467DB">
        <w:rPr>
          <w:rFonts w:ascii="Times New Roman" w:hAnsi="Times New Roman" w:cs="Times New Roman"/>
          <w:sz w:val="24"/>
          <w:szCs w:val="24"/>
        </w:rPr>
        <w:t xml:space="preserve"> е много по-голям. </w:t>
      </w:r>
      <w:r w:rsidR="00CF0BBC" w:rsidRPr="00C467DB">
        <w:rPr>
          <w:rFonts w:ascii="Times New Roman" w:eastAsia="Calibri" w:hAnsi="Times New Roman" w:cs="Times New Roman"/>
          <w:bCs/>
          <w:iCs/>
          <w:sz w:val="24"/>
          <w:szCs w:val="24"/>
        </w:rPr>
        <w:t>Именно болниците са местата, където първоначално възникват резистентните щамове</w:t>
      </w:r>
      <w:r w:rsidR="00D37BBD" w:rsidRPr="00C467DB">
        <w:rPr>
          <w:rFonts w:ascii="Times New Roman" w:eastAsia="Calibri" w:hAnsi="Times New Roman" w:cs="Times New Roman"/>
          <w:bCs/>
          <w:iCs/>
          <w:sz w:val="24"/>
          <w:szCs w:val="24"/>
        </w:rPr>
        <w:t xml:space="preserve"> </w:t>
      </w:r>
      <w:r w:rsidR="008705C1" w:rsidRPr="00C467DB">
        <w:rPr>
          <w:rFonts w:ascii="Times New Roman" w:eastAsia="Calibri" w:hAnsi="Times New Roman" w:cs="Times New Roman"/>
          <w:bCs/>
          <w:iCs/>
          <w:sz w:val="24"/>
          <w:szCs w:val="24"/>
          <w:lang w:val="en-US"/>
        </w:rPr>
        <w:fldChar w:fldCharType="begin" w:fldLock="1"/>
      </w:r>
      <w:r w:rsidR="009D0134" w:rsidRPr="00C467DB">
        <w:rPr>
          <w:rFonts w:ascii="Times New Roman" w:eastAsia="Calibri" w:hAnsi="Times New Roman" w:cs="Times New Roman"/>
          <w:bCs/>
          <w:iCs/>
          <w:sz w:val="24"/>
          <w:szCs w:val="24"/>
          <w:lang w:val="en-US"/>
        </w:rPr>
        <w:instrText>ADDIN CSL_CITATION {"citationItems":[{"id":"ITEM-1","itemData":{"author":[{"dropping-particle":"","family":"Савов","given":"Е","non-dropping-particle":"","parse-names":false,"suffix":""}],"id":"ITEM-1","issued":{"date-parts":[["2015"]]},"page":"175","publisher":"Военно издателство ЕООД","publisher-place":"София","title":"Bad bugs no drugs. На прага ли сме на пост-антибиотичния апокалипсис ?","type":"chapter"},"uris":["http://www.mendeley.com/documents/?uuid=0cf49395-d7ff-45f4-b28f-a49449e358a8"]},{"id":"ITEM-2","itemData":{"DOI":"10.1093/cid/ciw118","ISSN":"1058-4838","author":[{"dropping-particle":"","family":"Barlam","given":"Tamar F","non-dropping-particle":"","parse-names":false,"suffix":""},{"dropping-particle":"","family":"Cosgrove","given":"Sara E","non-dropping-particle":"","parse-names":false,"suffix":""},{"dropping-particle":"","family":"Abbo","given":"Lilian M","non-dropping-particle":"","parse-names":false,"suffix":""},{"dropping-particle":"","family":"MacDougall","given":"Conan","non-dropping-particle":"","parse-names":false,"suffix":""},{"dropping-particle":"","family":"Schuetz","given":"Audrey N","non-dropping-particle":"","parse-names":false,"suffix":""},{"dropping-particle":"","family":"Septimus","given":"Edward J","non-dropping-particle":"","parse-names":false,"suffix":""},{"dropping-particle":"","family":"Srinivasan","given":"Arjun","non-dropping-particle":"","parse-names":false,"suffix":""},{"dropping-particle":"","family":"Dellit","given":"Timothy H","non-dropping-particle":"","parse-names":false,"suffix":""},{"dropping-particle":"","family":"Falck-Ytter","given":"Yngve T","non-dropping-particle":"","parse-names":false,"suffix":""},{"dropping-particle":"","family":"Fishman","given":"Neil O","non-dropping-particle":"","parse-names":false,"suffix":""},{"dropping-particle":"","family":"Hamilton","given":"Cindy W","non-dropping-particle":"","parse-names":false,"suffix":""},{"dropping-particle":"","family":"Jenkins","given":"Timothy C","non-dropping-particle":"","parse-names":false,"suffix":""},{"dropping-particle":"","family":"Lipsett","given":"Pamela A","non-dropping-particle":"","parse-names":false,"suffix":""},{"dropping-particle":"","family":"Malani","given":"Preeti N","non-dropping-particle":"","parse-names":false,"suffix":""},{"dropping-particle":"","family":"May","given":"Larissa S","non-dropping-particle":"","parse-names":false,"suffix":""},{"dropping-particle":"","family":"Moran","given":"Gregory J","non-dropping-particle":"","parse-names":false,"suffix":""},{"dropping-particle":"","family":"Neuhauser","given":"Melinda M","non-dropping-particle":"","parse-names":false,"suffix":""},{"dropping-particle":"","family":"Newland","given":"Jason G","non-dropping-particle":"","parse-names":false,"suffix":""},{"dropping-particle":"","family":"Ohl","given":"Christopher A","non-dropping-particle":"","parse-names":false,"suffix":""},{"dropping-particle":"","family":"Samore","given":"Matthew H","non-dropping-particle":"","parse-names":false,"suffix":""},{"dropping-particle":"","family":"Seo","given":"Susan K","non-dropping-particle":"","parse-names":false,"suffix":""},{"dropping-particle":"","family":"Trivedi","given":"Kavita K","non-dropping-particle":"","parse-names":false,"suffix":""}],"container-title":"Clinical Infectious Diseases","id":"ITEM-2","issue":"10","issued":{"date-parts":[["2016"]]},"page":"e51-e77","publisher":"Oxford University Press (OUP)","title":"Implementing an Antibiotic Stewardship Program: Guidelines by the Infectious Diseases Society of America and the Society for Healthcare Epidemiology of America","type":"article-journal","volume":"62"},"uris":["http://www.mendeley.com/documents/?uuid=9b01f1ec-06a3-4610-98f8-5b4ae4d9357a"]}],"mendeley":{"formattedCitation":"[2], [8]","plainTextFormattedCitation":"[2], [8]","previouslyFormattedCitation":"(Barlam et al., 2016; Савов, 2015)"},"properties":{"noteIndex":0},"schema":"https://github.com/citation-style-language/schema/raw/master/csl-citation.json"}</w:instrText>
      </w:r>
      <w:r w:rsidR="008705C1" w:rsidRPr="00C467DB">
        <w:rPr>
          <w:rFonts w:ascii="Times New Roman" w:eastAsia="Calibri" w:hAnsi="Times New Roman" w:cs="Times New Roman"/>
          <w:bCs/>
          <w:iCs/>
          <w:sz w:val="24"/>
          <w:szCs w:val="24"/>
          <w:lang w:val="en-US"/>
        </w:rPr>
        <w:fldChar w:fldCharType="separate"/>
      </w:r>
      <w:r w:rsidR="009D0134" w:rsidRPr="00C467DB">
        <w:rPr>
          <w:rFonts w:ascii="Times New Roman" w:eastAsia="Calibri" w:hAnsi="Times New Roman" w:cs="Times New Roman"/>
          <w:bCs/>
          <w:iCs/>
          <w:noProof/>
          <w:sz w:val="24"/>
          <w:szCs w:val="24"/>
          <w:lang w:val="en-US"/>
        </w:rPr>
        <w:t>[2], [8]</w:t>
      </w:r>
      <w:r w:rsidR="008705C1" w:rsidRPr="00C467DB">
        <w:rPr>
          <w:rFonts w:ascii="Times New Roman" w:eastAsia="Calibri" w:hAnsi="Times New Roman" w:cs="Times New Roman"/>
          <w:bCs/>
          <w:iCs/>
          <w:sz w:val="24"/>
          <w:szCs w:val="24"/>
          <w:lang w:val="en-US"/>
        </w:rPr>
        <w:fldChar w:fldCharType="end"/>
      </w:r>
      <w:r w:rsidR="00CF0BBC" w:rsidRPr="00C467DB">
        <w:rPr>
          <w:rFonts w:ascii="Times New Roman" w:eastAsia="Calibri" w:hAnsi="Times New Roman" w:cs="Times New Roman"/>
          <w:bCs/>
          <w:iCs/>
          <w:sz w:val="24"/>
          <w:szCs w:val="24"/>
        </w:rPr>
        <w:t>. Доказано е също</w:t>
      </w:r>
      <w:r w:rsidR="00561257" w:rsidRPr="00C467DB">
        <w:rPr>
          <w:rFonts w:ascii="Times New Roman" w:hAnsi="Times New Roman" w:cs="Times New Roman"/>
          <w:sz w:val="24"/>
          <w:szCs w:val="24"/>
        </w:rPr>
        <w:t>,</w:t>
      </w:r>
      <w:r w:rsidR="002B118C" w:rsidRPr="00C467DB">
        <w:rPr>
          <w:rFonts w:ascii="Times New Roman" w:hAnsi="Times New Roman" w:cs="Times New Roman"/>
          <w:sz w:val="24"/>
          <w:szCs w:val="24"/>
        </w:rPr>
        <w:t xml:space="preserve"> че</w:t>
      </w:r>
      <w:r w:rsidRPr="00C467DB">
        <w:rPr>
          <w:rFonts w:ascii="Times New Roman" w:hAnsi="Times New Roman" w:cs="Times New Roman"/>
          <w:sz w:val="24"/>
          <w:szCs w:val="24"/>
        </w:rPr>
        <w:t xml:space="preserve"> неправилната антибиотична профилактика в хирургията</w:t>
      </w:r>
      <w:r w:rsidR="002B118C" w:rsidRPr="00C467DB">
        <w:rPr>
          <w:rFonts w:ascii="Times New Roman" w:hAnsi="Times New Roman" w:cs="Times New Roman"/>
          <w:sz w:val="24"/>
          <w:szCs w:val="24"/>
        </w:rPr>
        <w:t xml:space="preserve"> и</w:t>
      </w:r>
      <w:r w:rsidRPr="00C467DB">
        <w:rPr>
          <w:rFonts w:ascii="Times New Roman" w:hAnsi="Times New Roman" w:cs="Times New Roman"/>
          <w:sz w:val="24"/>
          <w:szCs w:val="24"/>
        </w:rPr>
        <w:t xml:space="preserve"> </w:t>
      </w:r>
      <w:r w:rsidR="002B118C" w:rsidRPr="00C467DB">
        <w:rPr>
          <w:rFonts w:ascii="Times New Roman" w:hAnsi="Times New Roman" w:cs="Times New Roman"/>
          <w:sz w:val="24"/>
          <w:szCs w:val="24"/>
        </w:rPr>
        <w:t>некоректната емпирична антибиотична терапия</w:t>
      </w:r>
      <w:r w:rsidR="00561257" w:rsidRPr="00C467DB">
        <w:rPr>
          <w:rFonts w:ascii="Times New Roman" w:hAnsi="Times New Roman" w:cs="Times New Roman"/>
          <w:sz w:val="24"/>
          <w:szCs w:val="24"/>
        </w:rPr>
        <w:t>, несъобразени с локалните особености на резистентността,</w:t>
      </w:r>
      <w:r w:rsidR="002B118C" w:rsidRPr="00C467DB">
        <w:rPr>
          <w:rFonts w:ascii="Times New Roman" w:hAnsi="Times New Roman" w:cs="Times New Roman"/>
          <w:sz w:val="24"/>
          <w:szCs w:val="24"/>
        </w:rPr>
        <w:t xml:space="preserve"> са </w:t>
      </w:r>
      <w:r w:rsidR="00CF0BBC" w:rsidRPr="00C467DB">
        <w:rPr>
          <w:rFonts w:ascii="Times New Roman" w:eastAsia="Calibri" w:hAnsi="Times New Roman" w:cs="Times New Roman"/>
          <w:bCs/>
          <w:iCs/>
          <w:sz w:val="24"/>
          <w:szCs w:val="24"/>
        </w:rPr>
        <w:t xml:space="preserve">сред </w:t>
      </w:r>
      <w:r w:rsidR="002B118C" w:rsidRPr="00C467DB">
        <w:rPr>
          <w:rFonts w:ascii="Times New Roman" w:hAnsi="Times New Roman" w:cs="Times New Roman"/>
          <w:sz w:val="24"/>
          <w:szCs w:val="24"/>
        </w:rPr>
        <w:t>основните фактори</w:t>
      </w:r>
      <w:r w:rsidR="00CF0BBC" w:rsidRPr="00C467DB">
        <w:rPr>
          <w:rFonts w:ascii="Times New Roman" w:eastAsia="Calibri" w:hAnsi="Times New Roman" w:cs="Times New Roman"/>
          <w:bCs/>
          <w:iCs/>
          <w:sz w:val="24"/>
          <w:szCs w:val="24"/>
        </w:rPr>
        <w:t>, допринасящи</w:t>
      </w:r>
      <w:r w:rsidRPr="00C467DB">
        <w:rPr>
          <w:rFonts w:ascii="Times New Roman" w:hAnsi="Times New Roman" w:cs="Times New Roman"/>
          <w:sz w:val="24"/>
          <w:szCs w:val="24"/>
        </w:rPr>
        <w:t xml:space="preserve"> за </w:t>
      </w:r>
      <w:r w:rsidR="002B118C" w:rsidRPr="00C467DB">
        <w:rPr>
          <w:rFonts w:ascii="Times New Roman" w:hAnsi="Times New Roman" w:cs="Times New Roman"/>
          <w:sz w:val="24"/>
          <w:szCs w:val="24"/>
        </w:rPr>
        <w:t xml:space="preserve">проблемите </w:t>
      </w:r>
      <w:r w:rsidR="00561257" w:rsidRPr="00C467DB">
        <w:rPr>
          <w:rFonts w:ascii="Times New Roman" w:hAnsi="Times New Roman" w:cs="Times New Roman"/>
          <w:sz w:val="24"/>
          <w:szCs w:val="24"/>
        </w:rPr>
        <w:t xml:space="preserve">с АМР </w:t>
      </w:r>
      <w:r w:rsidR="002B118C" w:rsidRPr="00C467DB">
        <w:rPr>
          <w:rFonts w:ascii="Times New Roman" w:hAnsi="Times New Roman" w:cs="Times New Roman"/>
          <w:sz w:val="24"/>
          <w:szCs w:val="24"/>
        </w:rPr>
        <w:t>в болниците</w:t>
      </w:r>
      <w:r w:rsidR="00CF0BBC" w:rsidRPr="00C467DB">
        <w:rPr>
          <w:rFonts w:ascii="Times New Roman" w:eastAsia="Calibri" w:hAnsi="Times New Roman" w:cs="Times New Roman"/>
          <w:bCs/>
          <w:iCs/>
          <w:sz w:val="24"/>
          <w:szCs w:val="24"/>
          <w:lang w:val="en-US"/>
        </w:rPr>
        <w:t xml:space="preserve"> </w:t>
      </w:r>
      <w:r w:rsidR="003B5F3E" w:rsidRPr="00C467DB">
        <w:rPr>
          <w:rFonts w:ascii="Times New Roman" w:hAnsi="Times New Roman" w:cs="Times New Roman"/>
          <w:sz w:val="24"/>
          <w:szCs w:val="24"/>
        </w:rPr>
        <w:fldChar w:fldCharType="begin" w:fldLock="1"/>
      </w:r>
      <w:r w:rsidR="009D0134" w:rsidRPr="00C467DB">
        <w:rPr>
          <w:rFonts w:ascii="Times New Roman" w:hAnsi="Times New Roman" w:cs="Times New Roman"/>
          <w:sz w:val="24"/>
          <w:szCs w:val="24"/>
        </w:rPr>
        <w:instrText>ADDIN CSL_CITATION {"citationItems":[{"id":"ITEM-1","itemData":{"DOI":"10.1016/B978-0-12-810477-4.00041-6","ISBN":"9780128104774","ISSN":"2214-4129","author":[{"dropping-particle":"","family":"Keuleyan","given":"Emma","non-dropping-particle":"","parse-names":false,"suffix":""},{"dropping-particle":"","family":"Kostyanev","given":"Tomislav","non-dropping-particle":"","parse-names":false,"suffix":""}],"chapter-number":"Antimicrob","container-title":"Antimicrobial Stewardship","editor":[{"dropping-particle":"","family":"C. Pulcini, O. Ergonul, F. Can","given":"B. Beovic (Eds)","non-dropping-particle":"","parse-names":false,"suffix":""}],"id":"ITEM-1","issued":{"date-parts":[["2017","1","1"]]},"page":"259-261","publisher":"Academic Press","publisher-place":"London","title":"Antimicrobial Stewardship in Bulgaria","type":"chapter","volume":"2"},"uris":["http://www.mendeley.com/documents/?uuid=46929b8a-5343-391d-b48d-af9166330dc4"]},{"id":"ITEM-2","itemData":{"DOI":"10.1016/j.ijantimicag.2016.06.015","ISSN":"0924-8579","author":[{"dropping-particle":"","family":"Levy Hara","given":"Gabriel","non-dropping-particle":"","parse-names":false,"suffix":""},{"dropping-particle":"","family":"Kanj","given":"Souha S","non-dropping-particle":"","parse-names":false,"suffix":""},{"dropping-particle":"","family":"Pagani","given":"Leonardo","non-dropping-particle":"","parse-names":false,"suffix":""},{"dropping-particle":"","family":"Abbo","given":"Lilian","non-dropping-particle":"","parse-names":false,"suffix":""},{"dropping-particle":"","family":"Endimiani","given":"Andrea","non-dropping-particle":"","parse-names":false,"suffix":""},{"dropping-particle":"","family":"Wertheim","given":"Heiman F L","non-dropping-particle":"","parse-names":false,"suffix":""},{"dropping-particle":"","family":"Amábile-Cuevas","given":"Carlos","non-dropping-particle":"","parse-names":false,"suffix":""},{"dropping-particle":"","family":"Tattevin","given":"Pierre","non-dropping-particle":"","parse-names":false,"suffix":""},{"dropping-particle":"","family":"Mehtar","given":"Shaheen","non-dropping-particle":"","parse-names":false,"suffix":""},{"dropping-particle":"","family":"Lopes Cardoso","given":"Fernando","non-dropping-particle":"","parse-names":false,"suffix":""},{"dropping-particle":"","family":"Unal","given":"Serhat","non-dropping-particle":"","parse-names":false,"suffix":""},{"dropping-particle":"","family":"Gould","given":"Ian","non-dropping-particle":"","parse-names":false,"suffix":""}],"container-title":"International Journal of Antimicrobial Agents","id":"ITEM-2","issue":"3","issued":{"date-parts":[["2016"]]},"page":"239-246","publisher":"Elsevier BV","title":"Ten key points for the appropriate use of antibiotics in hospitalised patients: a consensus from the Antimicrobial Stewardship and Resistance Working Groups of the International Society of Chemotherapy","type":"article-journal","volume":"48"},"uris":["http://www.mendeley.com/documents/?uuid=1d8c951f-3913-406a-8d6f-fab2d011bf58"]}],"mendeley":{"formattedCitation":"[21], [40]","plainTextFormattedCitation":"[21], [40]","previouslyFormattedCitation":"(Keuleyan &amp; Kostyanev, 2017; Levy Hara et al., 2016)"},"properties":{"noteIndex":0},"schema":"https://github.com/citation-style-language/schema/raw/master/csl-citation.json"}</w:instrText>
      </w:r>
      <w:r w:rsidR="003B5F3E" w:rsidRPr="00C467DB">
        <w:rPr>
          <w:rFonts w:ascii="Times New Roman" w:hAnsi="Times New Roman" w:cs="Times New Roman"/>
          <w:sz w:val="24"/>
          <w:szCs w:val="24"/>
        </w:rPr>
        <w:fldChar w:fldCharType="separate"/>
      </w:r>
      <w:r w:rsidR="009D0134" w:rsidRPr="00C467DB">
        <w:rPr>
          <w:rFonts w:ascii="Times New Roman" w:hAnsi="Times New Roman" w:cs="Times New Roman"/>
          <w:noProof/>
          <w:sz w:val="24"/>
          <w:szCs w:val="24"/>
        </w:rPr>
        <w:t>[21], [40]</w:t>
      </w:r>
      <w:r w:rsidR="003B5F3E" w:rsidRPr="00C467DB">
        <w:rPr>
          <w:rFonts w:ascii="Times New Roman" w:hAnsi="Times New Roman" w:cs="Times New Roman"/>
          <w:sz w:val="24"/>
          <w:szCs w:val="24"/>
        </w:rPr>
        <w:fldChar w:fldCharType="end"/>
      </w:r>
      <w:r w:rsidR="009B69A7" w:rsidRPr="00C467DB">
        <w:rPr>
          <w:rFonts w:ascii="Times New Roman" w:hAnsi="Times New Roman" w:cs="Times New Roman"/>
          <w:sz w:val="24"/>
          <w:szCs w:val="24"/>
        </w:rPr>
        <w:t>.</w:t>
      </w:r>
    </w:p>
    <w:p w14:paraId="53CECFB9" w14:textId="77777777" w:rsidR="0042713C" w:rsidRPr="00C467DB" w:rsidRDefault="003B5F3E" w:rsidP="00C467DB">
      <w:pPr>
        <w:spacing w:after="0" w:line="360" w:lineRule="auto"/>
        <w:ind w:firstLine="709"/>
        <w:contextualSpacing/>
        <w:jc w:val="both"/>
        <w:rPr>
          <w:rFonts w:ascii="Times New Roman" w:hAnsi="Times New Roman" w:cs="Times New Roman"/>
          <w:sz w:val="24"/>
          <w:szCs w:val="24"/>
        </w:rPr>
      </w:pPr>
      <w:r w:rsidRPr="00C467DB">
        <w:rPr>
          <w:rFonts w:ascii="Times New Roman" w:hAnsi="Times New Roman" w:cs="Times New Roman"/>
          <w:sz w:val="24"/>
          <w:szCs w:val="24"/>
        </w:rPr>
        <w:t xml:space="preserve">Основните </w:t>
      </w:r>
      <w:r w:rsidR="00C51C1C" w:rsidRPr="00C467DB">
        <w:rPr>
          <w:rFonts w:ascii="Times New Roman" w:hAnsi="Times New Roman" w:cs="Times New Roman"/>
          <w:sz w:val="24"/>
          <w:szCs w:val="24"/>
        </w:rPr>
        <w:t xml:space="preserve">проблеми </w:t>
      </w:r>
      <w:r w:rsidR="00CF0BBC" w:rsidRPr="00C467DB">
        <w:rPr>
          <w:rFonts w:ascii="Times New Roman" w:eastAsia="Times New Roman" w:hAnsi="Times New Roman" w:cs="Times New Roman"/>
          <w:bCs/>
          <w:iCs/>
          <w:sz w:val="24"/>
          <w:szCs w:val="24"/>
        </w:rPr>
        <w:t xml:space="preserve">за възникването на </w:t>
      </w:r>
      <w:r w:rsidR="00CF0BBC" w:rsidRPr="00C467DB">
        <w:rPr>
          <w:rFonts w:ascii="Times New Roman" w:eastAsia="Times New Roman" w:hAnsi="Times New Roman" w:cs="Times New Roman"/>
          <w:bCs/>
          <w:iCs/>
          <w:sz w:val="24"/>
          <w:szCs w:val="24"/>
          <w:lang w:val="en-US"/>
        </w:rPr>
        <w:t>MDR</w:t>
      </w:r>
      <w:r w:rsidR="00D37BBD"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 xml:space="preserve">микроорганизми в </w:t>
      </w:r>
      <w:r w:rsidR="009B69A7" w:rsidRPr="00C467DB">
        <w:rPr>
          <w:rFonts w:ascii="Times New Roman" w:eastAsia="Times New Roman" w:hAnsi="Times New Roman" w:cs="Times New Roman"/>
          <w:bCs/>
          <w:iCs/>
          <w:sz w:val="24"/>
          <w:szCs w:val="24"/>
        </w:rPr>
        <w:t>лечебните заведения за болнична помощ</w:t>
      </w:r>
      <w:r w:rsidR="00CF0BBC" w:rsidRPr="00C467DB">
        <w:rPr>
          <w:rFonts w:ascii="Times New Roman" w:eastAsia="Times New Roman" w:hAnsi="Times New Roman" w:cs="Times New Roman"/>
          <w:bCs/>
          <w:iCs/>
          <w:sz w:val="24"/>
          <w:szCs w:val="24"/>
        </w:rPr>
        <w:t xml:space="preserve"> </w:t>
      </w:r>
      <w:r w:rsidR="00C51C1C" w:rsidRPr="00C467DB">
        <w:rPr>
          <w:rFonts w:ascii="Times New Roman" w:hAnsi="Times New Roman" w:cs="Times New Roman"/>
          <w:sz w:val="24"/>
          <w:szCs w:val="24"/>
        </w:rPr>
        <w:t xml:space="preserve">са свързани </w:t>
      </w:r>
      <w:r w:rsidR="00197E71" w:rsidRPr="00C467DB">
        <w:rPr>
          <w:rFonts w:ascii="Times New Roman" w:hAnsi="Times New Roman" w:cs="Times New Roman"/>
          <w:bCs/>
          <w:iCs/>
          <w:sz w:val="24"/>
          <w:szCs w:val="24"/>
        </w:rPr>
        <w:t xml:space="preserve">отново </w:t>
      </w:r>
      <w:r w:rsidR="00C51C1C" w:rsidRPr="00C467DB">
        <w:rPr>
          <w:rFonts w:ascii="Times New Roman" w:hAnsi="Times New Roman" w:cs="Times New Roman"/>
          <w:sz w:val="24"/>
          <w:szCs w:val="24"/>
        </w:rPr>
        <w:t xml:space="preserve">със </w:t>
      </w:r>
      <w:r w:rsidR="00CF0BBC" w:rsidRPr="00C467DB">
        <w:rPr>
          <w:rFonts w:ascii="Times New Roman" w:eastAsia="Times New Roman" w:hAnsi="Times New Roman" w:cs="Times New Roman"/>
          <w:bCs/>
          <w:iCs/>
          <w:sz w:val="24"/>
          <w:szCs w:val="24"/>
        </w:rPr>
        <w:t>свръхконсумацията</w:t>
      </w:r>
      <w:r w:rsidR="00C51C1C" w:rsidRPr="00C467DB">
        <w:rPr>
          <w:rFonts w:ascii="Times New Roman" w:hAnsi="Times New Roman" w:cs="Times New Roman"/>
          <w:sz w:val="24"/>
          <w:szCs w:val="24"/>
        </w:rPr>
        <w:t xml:space="preserve"> на цефалоспорини от трета генерация</w:t>
      </w:r>
      <w:r w:rsidR="00CF0BBC" w:rsidRPr="00C467DB">
        <w:rPr>
          <w:rFonts w:ascii="Times New Roman" w:eastAsia="Times New Roman" w:hAnsi="Times New Roman" w:cs="Times New Roman"/>
          <w:bCs/>
          <w:iCs/>
          <w:sz w:val="24"/>
          <w:szCs w:val="24"/>
        </w:rPr>
        <w:t xml:space="preserve">, и по-специално с широкото използване на </w:t>
      </w:r>
      <w:r w:rsidR="00CF0BBC" w:rsidRPr="00C467DB">
        <w:rPr>
          <w:rFonts w:ascii="Times New Roman" w:eastAsia="Times New Roman" w:hAnsi="Times New Roman" w:cs="Times New Roman"/>
          <w:b/>
          <w:bCs/>
          <w:iCs/>
          <w:sz w:val="24"/>
          <w:szCs w:val="24"/>
          <w:lang w:val="en-US"/>
        </w:rPr>
        <w:t>Ceftriaxone</w:t>
      </w:r>
      <w:r w:rsidR="00CF0BBC" w:rsidRPr="00C467DB">
        <w:rPr>
          <w:rFonts w:ascii="Times New Roman" w:eastAsia="Times New Roman" w:hAnsi="Times New Roman" w:cs="Times New Roman"/>
          <w:b/>
          <w:bCs/>
          <w:iCs/>
          <w:sz w:val="24"/>
          <w:szCs w:val="24"/>
        </w:rPr>
        <w:t xml:space="preserve"> </w:t>
      </w:r>
      <w:r w:rsidR="008B52F0" w:rsidRPr="00C467DB">
        <w:rPr>
          <w:rFonts w:ascii="Times New Roman" w:eastAsia="Times New Roman" w:hAnsi="Times New Roman" w:cs="Times New Roman"/>
          <w:bCs/>
          <w:iCs/>
          <w:sz w:val="24"/>
          <w:szCs w:val="24"/>
          <w:lang w:val="en-US"/>
        </w:rPr>
        <w:fldChar w:fldCharType="begin" w:fldLock="1"/>
      </w:r>
      <w:r w:rsidR="009D0134" w:rsidRPr="00C467DB">
        <w:rPr>
          <w:rFonts w:ascii="Times New Roman" w:eastAsia="Times New Roman" w:hAnsi="Times New Roman" w:cs="Times New Roman"/>
          <w:bCs/>
          <w:iCs/>
          <w:sz w:val="24"/>
          <w:szCs w:val="24"/>
          <w:lang w:val="en-US"/>
        </w:rPr>
        <w:instrText>ADDIN CSL_CITATION {"citationItems":[{"id":"ITEM-1","itemData":{"author":[{"dropping-particle":"","family":"ECDC","given":"","non-dropping-particle":"","parse-names":false,"suffix":""}],"id":"ITEM-1","issued":{"date-parts":[["2018"]]},"title":"European Centre for Disease Prevention and Control. Antimicrobial consumption. In: ECDC. Annual epidemiological report 2017","type":"report"},"uris":["http://www.mendeley.com/documents/?uuid=7ee68bc2-13fd-4dce-8e73-3545658d6779"]}],"mendeley":{"formattedCitation":"[23]","plainTextFormattedCitation":"[23]","previouslyFormattedCitation":"(ECDC, 2018a)"},"properties":{"noteIndex":0},"schema":"https://github.com/citation-style-language/schema/raw/master/csl-citation.json"}</w:instrText>
      </w:r>
      <w:r w:rsidR="008B52F0" w:rsidRPr="00C467DB">
        <w:rPr>
          <w:rFonts w:ascii="Times New Roman" w:eastAsia="Times New Roman" w:hAnsi="Times New Roman" w:cs="Times New Roman"/>
          <w:bCs/>
          <w:iCs/>
          <w:sz w:val="24"/>
          <w:szCs w:val="24"/>
          <w:lang w:val="en-US"/>
        </w:rPr>
        <w:fldChar w:fldCharType="separate"/>
      </w:r>
      <w:r w:rsidR="009D0134" w:rsidRPr="00C467DB">
        <w:rPr>
          <w:rFonts w:ascii="Times New Roman" w:eastAsia="Times New Roman" w:hAnsi="Times New Roman" w:cs="Times New Roman"/>
          <w:bCs/>
          <w:iCs/>
          <w:noProof/>
          <w:sz w:val="24"/>
          <w:szCs w:val="24"/>
          <w:lang w:val="en-US"/>
        </w:rPr>
        <w:t>[23]</w:t>
      </w:r>
      <w:r w:rsidR="008B52F0" w:rsidRPr="00C467DB">
        <w:rPr>
          <w:rFonts w:ascii="Times New Roman" w:eastAsia="Times New Roman" w:hAnsi="Times New Roman" w:cs="Times New Roman"/>
          <w:bCs/>
          <w:iCs/>
          <w:sz w:val="24"/>
          <w:szCs w:val="24"/>
          <w:lang w:val="en-US"/>
        </w:rPr>
        <w:fldChar w:fldCharType="end"/>
      </w:r>
      <w:r w:rsidR="00CF0BBC" w:rsidRPr="00C467DB">
        <w:rPr>
          <w:rFonts w:ascii="Times New Roman" w:eastAsia="Times New Roman" w:hAnsi="Times New Roman" w:cs="Times New Roman"/>
          <w:bCs/>
          <w:iCs/>
          <w:sz w:val="24"/>
          <w:szCs w:val="24"/>
        </w:rPr>
        <w:t xml:space="preserve">. Това допринася за ендемичното ниво на </w:t>
      </w:r>
      <w:r w:rsidR="00CF0BBC" w:rsidRPr="00C467DB">
        <w:rPr>
          <w:rFonts w:ascii="Times New Roman" w:eastAsia="Times New Roman" w:hAnsi="Times New Roman" w:cs="Times New Roman"/>
          <w:bCs/>
          <w:iCs/>
          <w:sz w:val="24"/>
          <w:szCs w:val="24"/>
          <w:lang w:val="en-US"/>
        </w:rPr>
        <w:t>ESBL</w:t>
      </w:r>
      <w:r w:rsidR="00CF0BBC" w:rsidRPr="00C467DB">
        <w:rPr>
          <w:rFonts w:ascii="Times New Roman" w:eastAsia="Times New Roman" w:hAnsi="Times New Roman" w:cs="Times New Roman"/>
          <w:bCs/>
          <w:iCs/>
          <w:sz w:val="24"/>
          <w:szCs w:val="24"/>
        </w:rPr>
        <w:t>-продуциращи</w:t>
      </w:r>
      <w:r w:rsidR="00CF0BBC" w:rsidRPr="00C467DB">
        <w:rPr>
          <w:rFonts w:ascii="Times New Roman" w:eastAsia="Times New Roman" w:hAnsi="Times New Roman" w:cs="Times New Roman"/>
          <w:bCs/>
          <w:iCs/>
          <w:sz w:val="24"/>
          <w:szCs w:val="24"/>
          <w:lang w:val="en-US"/>
        </w:rPr>
        <w:t xml:space="preserve"> </w:t>
      </w:r>
      <w:r w:rsidR="00CF0BBC" w:rsidRPr="00C467DB">
        <w:rPr>
          <w:rFonts w:ascii="Times New Roman" w:eastAsia="Times New Roman" w:hAnsi="Times New Roman" w:cs="Times New Roman"/>
          <w:bCs/>
          <w:i/>
          <w:iCs/>
          <w:sz w:val="24"/>
          <w:szCs w:val="24"/>
          <w:lang w:val="en-US"/>
        </w:rPr>
        <w:t>Enterobacterales</w:t>
      </w:r>
      <w:r w:rsidR="00CF0BBC" w:rsidRPr="00C467DB">
        <w:rPr>
          <w:rFonts w:ascii="Times New Roman" w:eastAsia="Times New Roman" w:hAnsi="Times New Roman" w:cs="Times New Roman"/>
          <w:bCs/>
          <w:iCs/>
          <w:sz w:val="24"/>
          <w:szCs w:val="24"/>
        </w:rPr>
        <w:t>, които остават чувствителни само на карбапенеми</w:t>
      </w:r>
      <w:r w:rsidR="00811A5A">
        <w:rPr>
          <w:rFonts w:ascii="Times New Roman" w:eastAsia="Times New Roman" w:hAnsi="Times New Roman" w:cs="Times New Roman"/>
          <w:bCs/>
          <w:iCs/>
          <w:sz w:val="24"/>
          <w:szCs w:val="24"/>
        </w:rPr>
        <w:t xml:space="preserve"> и колистин</w:t>
      </w:r>
      <w:r w:rsidR="00CF0BBC" w:rsidRPr="00C467DB">
        <w:rPr>
          <w:rFonts w:ascii="Times New Roman" w:eastAsia="Times New Roman" w:hAnsi="Times New Roman" w:cs="Times New Roman"/>
          <w:bCs/>
          <w:iCs/>
          <w:sz w:val="24"/>
          <w:szCs w:val="24"/>
        </w:rPr>
        <w:t xml:space="preserve">; способства за </w:t>
      </w:r>
      <w:r w:rsidR="00CD33F2" w:rsidRPr="00C467DB">
        <w:rPr>
          <w:rFonts w:ascii="Times New Roman" w:eastAsia="Times New Roman" w:hAnsi="Times New Roman" w:cs="Times New Roman"/>
          <w:bCs/>
          <w:iCs/>
          <w:sz w:val="24"/>
          <w:szCs w:val="24"/>
        </w:rPr>
        <w:t>селек</w:t>
      </w:r>
      <w:r w:rsidR="00CD33F2">
        <w:rPr>
          <w:rFonts w:ascii="Times New Roman" w:eastAsia="Times New Roman" w:hAnsi="Times New Roman" w:cs="Times New Roman"/>
          <w:bCs/>
          <w:iCs/>
          <w:sz w:val="24"/>
          <w:szCs w:val="24"/>
        </w:rPr>
        <w:t>тиране</w:t>
      </w:r>
      <w:r w:rsidR="00CD33F2" w:rsidRPr="00C467DB">
        <w:rPr>
          <w:rFonts w:ascii="Times New Roman" w:eastAsia="Times New Roman" w:hAnsi="Times New Roman" w:cs="Times New Roman"/>
          <w:bCs/>
          <w:iCs/>
          <w:sz w:val="24"/>
          <w:szCs w:val="24"/>
        </w:rPr>
        <w:t xml:space="preserve"> </w:t>
      </w:r>
      <w:r w:rsidR="00CF0BBC" w:rsidRPr="00C467DB">
        <w:rPr>
          <w:rFonts w:ascii="Times New Roman" w:eastAsia="Times New Roman" w:hAnsi="Times New Roman" w:cs="Times New Roman"/>
          <w:bCs/>
          <w:iCs/>
          <w:sz w:val="24"/>
          <w:szCs w:val="24"/>
        </w:rPr>
        <w:t xml:space="preserve">на ентерококи, които са естествено резистентни, </w:t>
      </w:r>
      <w:r w:rsidR="009B69A7" w:rsidRPr="00C467DB">
        <w:rPr>
          <w:rFonts w:ascii="Times New Roman" w:eastAsia="Times New Roman" w:hAnsi="Times New Roman" w:cs="Times New Roman"/>
          <w:bCs/>
          <w:iCs/>
          <w:sz w:val="24"/>
          <w:szCs w:val="24"/>
        </w:rPr>
        <w:t xml:space="preserve">устойчиви </w:t>
      </w:r>
      <w:r w:rsidR="00CF0BBC" w:rsidRPr="00C467DB">
        <w:rPr>
          <w:rFonts w:ascii="Times New Roman" w:eastAsia="Times New Roman" w:hAnsi="Times New Roman" w:cs="Times New Roman"/>
          <w:bCs/>
          <w:iCs/>
          <w:sz w:val="24"/>
          <w:szCs w:val="24"/>
        </w:rPr>
        <w:t xml:space="preserve">щамове </w:t>
      </w:r>
      <w:r w:rsidR="00CF0BBC" w:rsidRPr="00C467DB">
        <w:rPr>
          <w:rFonts w:ascii="Times New Roman" w:eastAsia="Times New Roman" w:hAnsi="Times New Roman" w:cs="Times New Roman"/>
          <w:bCs/>
          <w:iCs/>
          <w:sz w:val="24"/>
          <w:szCs w:val="24"/>
          <w:lang w:val="en-US"/>
        </w:rPr>
        <w:t>MRSA</w:t>
      </w:r>
      <w:r w:rsidR="00811A5A">
        <w:rPr>
          <w:rFonts w:ascii="Times New Roman" w:eastAsia="Times New Roman" w:hAnsi="Times New Roman" w:cs="Times New Roman"/>
          <w:bCs/>
          <w:iCs/>
          <w:sz w:val="24"/>
          <w:szCs w:val="24"/>
          <w:lang w:val="en-US"/>
        </w:rPr>
        <w:t xml:space="preserve"> </w:t>
      </w:r>
      <w:r w:rsidR="00811A5A">
        <w:rPr>
          <w:rFonts w:ascii="Times New Roman" w:eastAsia="Times New Roman" w:hAnsi="Times New Roman" w:cs="Times New Roman"/>
          <w:bCs/>
          <w:iCs/>
          <w:sz w:val="24"/>
          <w:szCs w:val="24"/>
        </w:rPr>
        <w:t xml:space="preserve">и резистентни </w:t>
      </w:r>
      <w:r w:rsidR="00811A5A" w:rsidRPr="001A763F">
        <w:rPr>
          <w:rFonts w:ascii="Times New Roman" w:eastAsia="Times New Roman" w:hAnsi="Times New Roman" w:cs="Times New Roman"/>
          <w:bCs/>
          <w:i/>
          <w:iCs/>
          <w:sz w:val="24"/>
          <w:szCs w:val="24"/>
          <w:lang w:val="en-US"/>
        </w:rPr>
        <w:t>N. gono</w:t>
      </w:r>
      <w:r w:rsidR="00811A5A">
        <w:rPr>
          <w:rFonts w:ascii="Times New Roman" w:eastAsia="Times New Roman" w:hAnsi="Times New Roman" w:cs="Times New Roman"/>
          <w:bCs/>
          <w:i/>
          <w:iCs/>
          <w:sz w:val="24"/>
          <w:szCs w:val="24"/>
          <w:lang w:val="en-US"/>
        </w:rPr>
        <w:t>r</w:t>
      </w:r>
      <w:r w:rsidR="00811A5A" w:rsidRPr="001A763F">
        <w:rPr>
          <w:rFonts w:ascii="Times New Roman" w:eastAsia="Times New Roman" w:hAnsi="Times New Roman" w:cs="Times New Roman"/>
          <w:bCs/>
          <w:i/>
          <w:iCs/>
          <w:sz w:val="24"/>
          <w:szCs w:val="24"/>
          <w:lang w:val="en-US"/>
        </w:rPr>
        <w:t>rhoeae</w:t>
      </w:r>
      <w:r w:rsidR="00CF0BBC" w:rsidRPr="00C467DB">
        <w:rPr>
          <w:rFonts w:ascii="Times New Roman" w:eastAsia="Times New Roman" w:hAnsi="Times New Roman" w:cs="Times New Roman"/>
          <w:bCs/>
          <w:iCs/>
          <w:sz w:val="24"/>
          <w:szCs w:val="24"/>
          <w:lang w:val="en-US"/>
        </w:rPr>
        <w:t xml:space="preserve"> </w:t>
      </w:r>
      <w:r w:rsidR="0020087E" w:rsidRPr="00C467DB">
        <w:rPr>
          <w:rFonts w:ascii="Times New Roman" w:eastAsia="Times New Roman" w:hAnsi="Times New Roman" w:cs="Times New Roman"/>
          <w:bCs/>
          <w:iCs/>
          <w:sz w:val="24"/>
          <w:szCs w:val="24"/>
        </w:rPr>
        <w:fldChar w:fldCharType="begin" w:fldLock="1"/>
      </w:r>
      <w:r w:rsidR="009D0134" w:rsidRPr="00C467DB">
        <w:rPr>
          <w:rFonts w:ascii="Times New Roman" w:eastAsia="Times New Roman" w:hAnsi="Times New Roman" w:cs="Times New Roman"/>
          <w:bCs/>
          <w:iCs/>
          <w:sz w:val="24"/>
          <w:szCs w:val="24"/>
        </w:rPr>
        <w:instrText>ADDIN CSL_CITATION {"citationItems":[{"id":"ITEM-1","itemData":{"ISSN":"0269-4727","PMID":"1464634","abstract":"We investigated the relationship between the amount of ceftriaxone used in our hospital and the evolution of the rate of resistance among Enterobacter species isolates. We reviewed all positive microbiological reports for Enterobacter species and the pharmacy records for the ceftriaxone consumption during four semesters over 4 consecutive years. The resistance to ceftriaxone among Enterobacter species rose from 10 to 27% while the amount of ceftriaxone used almost trebled during the study period. In order to investigate the relationship between the use of an antibiotic and the emergence of resistance to it, we studied the development of ceftriaxone resistance in Enterobacter species and the use of this drug at the Centre Hospitalier Universitaire Vaudois (CHUV) each year between 1983 and 1986. The consumption of ceftriaxone more than doubled between 1983 and 1984, and since then has increased only slowly. Within 2 years the rate of Enterobacter species resistance to ceftriaxone has jumped from about 10% between 1983 and 1985 to 27% in 1986. As no particular modification in the preventive methods of hospital hygiene and no epidemics occurred during the period of our study, we conclude that the increase in the prescribing of ceftriaxone probably played a central role in the increased number of resistant strains of Enterobacter species.","author":[{"dropping-particle":"","family":"Conus","given":"P","non-dropping-particle":"","parse-names":false,"suffix":""},{"dropping-particle":"","family":"Francioli","given":"P","non-dropping-particle":"","parse-names":false,"suffix":""}],"container-title":"Journal of clinical pharmacy and therapeutics","id":"ITEM-1","issue":"5","issued":{"date-parts":[["1992","10"]]},"page":"303-5","title":"Relationship between ceftriaxone use and resistance of Enterobacter species.","type":"article-journal","volume":"17"},"uris":["http://www.mendeley.com/documents/?uuid=d89b671c-1d60-3bb1-b18a-67f6f634421d"]},{"id":"ITEM-2","itemData":{"DOI":"10.1179/joc.2011.23.6.341","ISSN":"1120-009X","PMID":"22233817","abstract":"As a cost-saving measure, the Drug and Therapeutics Committee (DTC) removed ceftriaxone from the list of restricted antibiotics in May, 2008, which permitted its use as a first-line antibiotic. To evaluate the impact of this change, the occurrence of extended-spectrum beta-lactamase (ESBL)-positive bacterial strains and antibiotic consumption were monitored for 2 years before and after the intervention. In the post-intervention period, ceftriaxone utilization increased, while total antibiotic utilization did not change significantly. The utilization of all restricted antibiotics decreased (p &lt;0.05) in the post-intervention period. Utilization of carbapenems increased (p &lt;0.05), while utilization of quinolones increased nonsignificantly. The density of resistant ESBLs increased (p = 0.001) from 0.99 to 1.34 per 1000 bed-days from the pre- to the postintervention period. Ceftriaxone use was significantly correlated with ESBL occurrence (p &lt;0.005). It can be concluded that ceftriaxone de-restriction increased the occurrence of ESBLs and the utilization of carbapemens.","author":[{"dropping-particle":"","family":"Bacic Vrca","given":"V","non-dropping-particle":"","parse-names":false,"suffix":""},{"dropping-particle":"","family":"Marusic","given":"S.","non-dropping-particle":"","parse-names":false,"suffix":""},{"dropping-particle":"","family":"Ciric-Crncec","given":"M","non-dropping-particle":"","parse-names":false,"suffix":""},{"dropping-particle":"","family":"Mayer","given":"L","non-dropping-particle":"","parse-names":false,"suffix":""},{"dropping-particle":"","family":"Mayer","given":"L","non-dropping-particle":"","parse-names":false,"suffix":""}],"container-title":"Journal of Chemotherapy","id":"ITEM-2","issue":"6","issued":{"date-parts":[["2011","12","18"]]},"page":"341-344","title":"Impact of Ceftriaxone De-restriction on the Occurrence of ESBL-Positive Bacterial Strains and Antibiotic Consumption","type":"article-journal","volume":"23"},"uris":["http://www.mendeley.com/documents/?uuid=40acddb7-c66c-36a3-8849-4d4364f96e2d"]}],"mendeley":{"formattedCitation":"[41], [42]","plainTextFormattedCitation":"[41], [42]","previouslyFormattedCitation":"(Bacic Vrca, Marusic, Ciric-Crncec, Mayer, &amp; Mayer, 2011; Conus &amp; Francioli, 1992)"},"properties":{"noteIndex":0},"schema":"https://github.com/citation-style-language/schema/raw/master/csl-citation.json"}</w:instrText>
      </w:r>
      <w:r w:rsidR="0020087E" w:rsidRPr="00C467DB">
        <w:rPr>
          <w:rFonts w:ascii="Times New Roman" w:eastAsia="Times New Roman" w:hAnsi="Times New Roman" w:cs="Times New Roman"/>
          <w:bCs/>
          <w:iCs/>
          <w:sz w:val="24"/>
          <w:szCs w:val="24"/>
        </w:rPr>
        <w:fldChar w:fldCharType="separate"/>
      </w:r>
      <w:r w:rsidR="009D0134" w:rsidRPr="00C467DB">
        <w:rPr>
          <w:rFonts w:ascii="Times New Roman" w:eastAsia="Times New Roman" w:hAnsi="Times New Roman" w:cs="Times New Roman"/>
          <w:bCs/>
          <w:iCs/>
          <w:noProof/>
          <w:sz w:val="24"/>
          <w:szCs w:val="24"/>
        </w:rPr>
        <w:t>[41], [42]</w:t>
      </w:r>
      <w:r w:rsidR="0020087E" w:rsidRPr="00C467DB">
        <w:rPr>
          <w:rFonts w:ascii="Times New Roman" w:eastAsia="Times New Roman" w:hAnsi="Times New Roman" w:cs="Times New Roman"/>
          <w:bCs/>
          <w:iCs/>
          <w:sz w:val="24"/>
          <w:szCs w:val="24"/>
        </w:rPr>
        <w:fldChar w:fldCharType="end"/>
      </w:r>
      <w:r w:rsidR="00CF0BBC" w:rsidRPr="00C467DB">
        <w:rPr>
          <w:rFonts w:ascii="Times New Roman" w:eastAsia="Times New Roman" w:hAnsi="Times New Roman" w:cs="Times New Roman"/>
          <w:bCs/>
          <w:iCs/>
          <w:sz w:val="24"/>
          <w:szCs w:val="24"/>
        </w:rPr>
        <w:t>.</w:t>
      </w:r>
      <w:r w:rsidR="00C51C1C" w:rsidRPr="00C467DB">
        <w:rPr>
          <w:rFonts w:ascii="Times New Roman" w:hAnsi="Times New Roman" w:cs="Times New Roman"/>
          <w:sz w:val="24"/>
          <w:szCs w:val="24"/>
        </w:rPr>
        <w:t xml:space="preserve"> В много </w:t>
      </w:r>
      <w:r w:rsidR="00575548" w:rsidRPr="00C467DB">
        <w:rPr>
          <w:rFonts w:ascii="Times New Roman" w:hAnsi="Times New Roman" w:cs="Times New Roman"/>
          <w:bCs/>
          <w:iCs/>
          <w:sz w:val="24"/>
          <w:szCs w:val="24"/>
        </w:rPr>
        <w:t>лечебни заведения за болнична помощ</w:t>
      </w:r>
      <w:r w:rsidR="00C51C1C" w:rsidRPr="00C467DB">
        <w:rPr>
          <w:rFonts w:ascii="Times New Roman" w:hAnsi="Times New Roman" w:cs="Times New Roman"/>
          <w:sz w:val="24"/>
          <w:szCs w:val="24"/>
        </w:rPr>
        <w:t xml:space="preserve">, неправилно провежданата периоперативна профилактика </w:t>
      </w:r>
      <w:r w:rsidR="00CF0BBC" w:rsidRPr="00C467DB">
        <w:rPr>
          <w:rFonts w:ascii="Times New Roman" w:eastAsia="Times New Roman" w:hAnsi="Times New Roman" w:cs="Times New Roman"/>
          <w:bCs/>
          <w:iCs/>
          <w:sz w:val="24"/>
          <w:szCs w:val="24"/>
        </w:rPr>
        <w:t>с</w:t>
      </w:r>
      <w:r w:rsidR="00C51C1C" w:rsidRPr="00C467DB">
        <w:rPr>
          <w:rFonts w:ascii="Times New Roman" w:hAnsi="Times New Roman" w:cs="Times New Roman"/>
          <w:sz w:val="24"/>
          <w:szCs w:val="24"/>
        </w:rPr>
        <w:t xml:space="preserve"> </w:t>
      </w:r>
      <w:r w:rsidR="00575548" w:rsidRPr="00C467DB">
        <w:rPr>
          <w:rFonts w:ascii="Times New Roman" w:hAnsi="Times New Roman" w:cs="Times New Roman"/>
          <w:b/>
          <w:sz w:val="24"/>
          <w:szCs w:val="24"/>
        </w:rPr>
        <w:t>С</w:t>
      </w:r>
      <w:r w:rsidR="00C51C1C" w:rsidRPr="00C467DB">
        <w:rPr>
          <w:rFonts w:ascii="Times New Roman" w:hAnsi="Times New Roman" w:cs="Times New Roman"/>
          <w:b/>
          <w:sz w:val="24"/>
          <w:szCs w:val="24"/>
        </w:rPr>
        <w:t>eftriaxone,</w:t>
      </w:r>
      <w:r w:rsidR="00C51C1C" w:rsidRPr="00C467DB">
        <w:rPr>
          <w:rFonts w:ascii="Times New Roman" w:hAnsi="Times New Roman" w:cs="Times New Roman"/>
          <w:sz w:val="24"/>
          <w:szCs w:val="24"/>
        </w:rPr>
        <w:t xml:space="preserve"> както и </w:t>
      </w:r>
      <w:r w:rsidR="005B6802">
        <w:rPr>
          <w:rFonts w:ascii="Times New Roman" w:hAnsi="Times New Roman" w:cs="Times New Roman"/>
          <w:sz w:val="24"/>
          <w:szCs w:val="24"/>
        </w:rPr>
        <w:t>свръх употребата му като</w:t>
      </w:r>
      <w:r w:rsidR="00C51C1C" w:rsidRPr="00C467DB">
        <w:rPr>
          <w:rFonts w:ascii="Times New Roman" w:hAnsi="Times New Roman" w:cs="Times New Roman"/>
          <w:sz w:val="24"/>
          <w:szCs w:val="24"/>
        </w:rPr>
        <w:t xml:space="preserve"> терапия, доведе до бърза селекция и разпространение на щамове </w:t>
      </w:r>
      <w:r w:rsidR="00CF0BBC" w:rsidRPr="00C467DB">
        <w:rPr>
          <w:rFonts w:ascii="Times New Roman" w:eastAsia="Times New Roman" w:hAnsi="Times New Roman" w:cs="Times New Roman"/>
          <w:bCs/>
          <w:i/>
          <w:iCs/>
          <w:sz w:val="24"/>
          <w:szCs w:val="24"/>
          <w:lang w:val="en-US"/>
        </w:rPr>
        <w:t>Enterobacterales</w:t>
      </w:r>
      <w:r w:rsidR="00CF0BBC" w:rsidRPr="00C467DB">
        <w:rPr>
          <w:rFonts w:ascii="Times New Roman" w:eastAsia="Times New Roman" w:hAnsi="Times New Roman" w:cs="Times New Roman"/>
          <w:bCs/>
          <w:iCs/>
          <w:sz w:val="24"/>
          <w:szCs w:val="24"/>
          <w:lang w:val="en-US"/>
        </w:rPr>
        <w:t xml:space="preserve">, </w:t>
      </w:r>
      <w:r w:rsidR="00C51C1C" w:rsidRPr="00C467DB">
        <w:rPr>
          <w:rFonts w:ascii="Times New Roman" w:hAnsi="Times New Roman" w:cs="Times New Roman"/>
          <w:sz w:val="24"/>
          <w:szCs w:val="24"/>
        </w:rPr>
        <w:t>продуценти на ESBL.</w:t>
      </w:r>
      <w:r w:rsidR="0042713C" w:rsidRPr="00C467DB">
        <w:rPr>
          <w:rFonts w:ascii="Times New Roman" w:hAnsi="Times New Roman" w:cs="Times New Roman"/>
          <w:sz w:val="24"/>
          <w:szCs w:val="24"/>
        </w:rPr>
        <w:t xml:space="preserve"> </w:t>
      </w:r>
      <w:r w:rsidR="00BF7263" w:rsidRPr="00C467DB">
        <w:rPr>
          <w:rFonts w:ascii="Times New Roman" w:hAnsi="Times New Roman" w:cs="Times New Roman"/>
          <w:sz w:val="24"/>
          <w:szCs w:val="24"/>
        </w:rPr>
        <w:t>В отговор на</w:t>
      </w:r>
      <w:r w:rsidR="0042713C" w:rsidRPr="00C467DB">
        <w:rPr>
          <w:rFonts w:ascii="Times New Roman" w:hAnsi="Times New Roman" w:cs="Times New Roman"/>
          <w:sz w:val="24"/>
          <w:szCs w:val="24"/>
        </w:rPr>
        <w:t xml:space="preserve"> </w:t>
      </w:r>
      <w:r w:rsidR="00CF0BBC" w:rsidRPr="00C467DB">
        <w:rPr>
          <w:rFonts w:ascii="Times New Roman" w:eastAsia="Times New Roman" w:hAnsi="Times New Roman" w:cs="Times New Roman"/>
          <w:bCs/>
          <w:iCs/>
          <w:sz w:val="24"/>
          <w:szCs w:val="24"/>
        </w:rPr>
        <w:t>липсата</w:t>
      </w:r>
      <w:r w:rsidR="00BE7DAC" w:rsidRPr="00C467DB">
        <w:rPr>
          <w:rFonts w:ascii="Times New Roman" w:eastAsia="Times New Roman" w:hAnsi="Times New Roman" w:cs="Times New Roman"/>
          <w:bCs/>
          <w:iCs/>
          <w:sz w:val="24"/>
          <w:szCs w:val="24"/>
        </w:rPr>
        <w:t xml:space="preserve"> на </w:t>
      </w:r>
      <w:r w:rsidR="0042713C" w:rsidRPr="00C467DB">
        <w:rPr>
          <w:rFonts w:ascii="Times New Roman" w:hAnsi="Times New Roman" w:cs="Times New Roman"/>
          <w:sz w:val="24"/>
          <w:szCs w:val="24"/>
        </w:rPr>
        <w:t xml:space="preserve">ефективност на </w:t>
      </w:r>
      <w:r w:rsidR="00575548" w:rsidRPr="00C467DB">
        <w:rPr>
          <w:rFonts w:ascii="Times New Roman" w:eastAsia="Times New Roman" w:hAnsi="Times New Roman" w:cs="Times New Roman"/>
          <w:bCs/>
          <w:iCs/>
          <w:sz w:val="24"/>
          <w:szCs w:val="24"/>
        </w:rPr>
        <w:t>С</w:t>
      </w:r>
      <w:r w:rsidR="00BE7DAC" w:rsidRPr="00C467DB">
        <w:rPr>
          <w:rFonts w:ascii="Times New Roman" w:eastAsia="Times New Roman" w:hAnsi="Times New Roman" w:cs="Times New Roman"/>
          <w:bCs/>
          <w:iCs/>
          <w:sz w:val="24"/>
          <w:szCs w:val="24"/>
        </w:rPr>
        <w:t>eftriaxone,</w:t>
      </w:r>
      <w:r w:rsidR="00CF0BBC" w:rsidRPr="00C467DB">
        <w:rPr>
          <w:rFonts w:ascii="Times New Roman" w:eastAsia="Times New Roman" w:hAnsi="Times New Roman" w:cs="Times New Roman"/>
          <w:bCs/>
          <w:iCs/>
          <w:sz w:val="24"/>
          <w:szCs w:val="24"/>
          <w:lang w:val="en-US"/>
        </w:rPr>
        <w:t xml:space="preserve"> </w:t>
      </w:r>
      <w:r w:rsidR="00CF0BBC" w:rsidRPr="00C467DB">
        <w:rPr>
          <w:rFonts w:ascii="Times New Roman" w:eastAsia="Times New Roman" w:hAnsi="Times New Roman" w:cs="Times New Roman"/>
          <w:bCs/>
          <w:iCs/>
          <w:sz w:val="24"/>
          <w:szCs w:val="24"/>
        </w:rPr>
        <w:t>свързана с поли-резистентност на причинителите с ESBL, клиницисти</w:t>
      </w:r>
      <w:r w:rsidR="00D81AB2" w:rsidRPr="00C467DB">
        <w:rPr>
          <w:rFonts w:ascii="Times New Roman" w:eastAsia="Times New Roman" w:hAnsi="Times New Roman" w:cs="Times New Roman"/>
          <w:bCs/>
          <w:iCs/>
          <w:sz w:val="24"/>
          <w:szCs w:val="24"/>
        </w:rPr>
        <w:t>те</w:t>
      </w:r>
      <w:r w:rsidR="0042713C" w:rsidRPr="00C467DB">
        <w:rPr>
          <w:rFonts w:ascii="Times New Roman" w:hAnsi="Times New Roman" w:cs="Times New Roman"/>
          <w:sz w:val="24"/>
          <w:szCs w:val="24"/>
        </w:rPr>
        <w:t xml:space="preserve"> </w:t>
      </w:r>
      <w:r w:rsidR="00BF7263" w:rsidRPr="00C467DB">
        <w:rPr>
          <w:rFonts w:ascii="Times New Roman" w:hAnsi="Times New Roman" w:cs="Times New Roman"/>
          <w:sz w:val="24"/>
          <w:szCs w:val="24"/>
        </w:rPr>
        <w:t>започнаха да лекуват масово с</w:t>
      </w:r>
      <w:r w:rsidR="0042713C" w:rsidRPr="00C467DB">
        <w:rPr>
          <w:rFonts w:ascii="Times New Roman" w:hAnsi="Times New Roman" w:cs="Times New Roman"/>
          <w:sz w:val="24"/>
          <w:szCs w:val="24"/>
        </w:rPr>
        <w:t xml:space="preserve"> карбапен</w:t>
      </w:r>
      <w:r w:rsidR="00BF7263" w:rsidRPr="00C467DB">
        <w:rPr>
          <w:rFonts w:ascii="Times New Roman" w:hAnsi="Times New Roman" w:cs="Times New Roman"/>
          <w:sz w:val="24"/>
          <w:szCs w:val="24"/>
        </w:rPr>
        <w:t>еми</w:t>
      </w:r>
      <w:r w:rsidR="00CF0BBC" w:rsidRPr="00C467DB">
        <w:rPr>
          <w:rFonts w:ascii="Times New Roman" w:eastAsia="Times New Roman" w:hAnsi="Times New Roman" w:cs="Times New Roman"/>
          <w:bCs/>
          <w:iCs/>
          <w:sz w:val="24"/>
          <w:szCs w:val="24"/>
        </w:rPr>
        <w:t xml:space="preserve"> </w:t>
      </w:r>
      <w:r w:rsidR="00D37BBD"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които са резервни антибиотици, от последна възможност</w:t>
      </w:r>
      <w:r w:rsidR="00D37BBD"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w:t>
      </w:r>
      <w:r w:rsidR="00BF7263" w:rsidRPr="00C467DB">
        <w:rPr>
          <w:rFonts w:ascii="Times New Roman" w:hAnsi="Times New Roman" w:cs="Times New Roman"/>
          <w:sz w:val="24"/>
          <w:szCs w:val="24"/>
        </w:rPr>
        <w:t xml:space="preserve"> което пък от своя страна доведе до рязко повишаване на инфекциите </w:t>
      </w:r>
      <w:r w:rsidR="00D81AB2" w:rsidRPr="00C467DB">
        <w:rPr>
          <w:rFonts w:ascii="Times New Roman" w:hAnsi="Times New Roman" w:cs="Times New Roman"/>
          <w:sz w:val="24"/>
          <w:szCs w:val="24"/>
        </w:rPr>
        <w:t xml:space="preserve">с </w:t>
      </w:r>
      <w:r w:rsidR="00BF7263" w:rsidRPr="00C467DB">
        <w:rPr>
          <w:rFonts w:ascii="Times New Roman" w:hAnsi="Times New Roman" w:cs="Times New Roman"/>
          <w:sz w:val="24"/>
          <w:szCs w:val="24"/>
        </w:rPr>
        <w:t>ентеробактерии</w:t>
      </w:r>
      <w:r w:rsidR="0049121E" w:rsidRPr="00C467DB">
        <w:rPr>
          <w:rFonts w:ascii="Times New Roman" w:hAnsi="Times New Roman" w:cs="Times New Roman"/>
          <w:sz w:val="24"/>
          <w:szCs w:val="24"/>
          <w:lang w:val="en-US"/>
        </w:rPr>
        <w:t xml:space="preserve"> </w:t>
      </w:r>
      <w:r w:rsidR="00CF0BBC" w:rsidRPr="00C467DB">
        <w:rPr>
          <w:rFonts w:ascii="Times New Roman" w:eastAsia="Times New Roman" w:hAnsi="Times New Roman" w:cs="Times New Roman"/>
          <w:bCs/>
          <w:iCs/>
          <w:sz w:val="24"/>
          <w:szCs w:val="24"/>
        </w:rPr>
        <w:t xml:space="preserve">и Грам-отрицателни неферментативни микроорганизми </w:t>
      </w:r>
      <w:r w:rsidR="00CF0BBC" w:rsidRPr="00C467DB">
        <w:rPr>
          <w:rFonts w:ascii="Times New Roman" w:eastAsia="Times New Roman" w:hAnsi="Times New Roman" w:cs="Times New Roman"/>
          <w:bCs/>
          <w:iCs/>
          <w:sz w:val="24"/>
          <w:szCs w:val="24"/>
          <w:lang w:val="en-US"/>
        </w:rPr>
        <w:t>(</w:t>
      </w:r>
      <w:r w:rsidR="00CF0BBC" w:rsidRPr="00C467DB">
        <w:rPr>
          <w:rFonts w:ascii="Times New Roman" w:eastAsia="Times New Roman" w:hAnsi="Times New Roman" w:cs="Times New Roman"/>
          <w:bCs/>
          <w:i/>
          <w:iCs/>
          <w:sz w:val="24"/>
          <w:szCs w:val="24"/>
          <w:lang w:val="en-US"/>
        </w:rPr>
        <w:t>A. baumannii, P. aeruginosa</w:t>
      </w:r>
      <w:r w:rsidR="00CF0BBC" w:rsidRPr="00C467DB">
        <w:rPr>
          <w:rFonts w:ascii="Times New Roman" w:eastAsia="Times New Roman" w:hAnsi="Times New Roman" w:cs="Times New Roman"/>
          <w:bCs/>
          <w:iCs/>
          <w:sz w:val="24"/>
          <w:szCs w:val="24"/>
          <w:lang w:val="en-US"/>
        </w:rPr>
        <w:t>) -</w:t>
      </w:r>
      <w:r w:rsidR="00CF0BBC" w:rsidRPr="00C467DB">
        <w:rPr>
          <w:rFonts w:ascii="Times New Roman" w:eastAsia="Times New Roman" w:hAnsi="Times New Roman" w:cs="Times New Roman"/>
          <w:bCs/>
          <w:iCs/>
          <w:sz w:val="24"/>
          <w:szCs w:val="24"/>
        </w:rPr>
        <w:t xml:space="preserve"> </w:t>
      </w:r>
      <w:r w:rsidR="00BF7263" w:rsidRPr="00C467DB">
        <w:rPr>
          <w:rFonts w:ascii="Times New Roman" w:hAnsi="Times New Roman" w:cs="Times New Roman"/>
          <w:sz w:val="24"/>
          <w:szCs w:val="24"/>
        </w:rPr>
        <w:t>продуценти на карабапенемази</w:t>
      </w:r>
      <w:r w:rsidR="00D009DC" w:rsidRPr="00C467DB">
        <w:rPr>
          <w:rFonts w:ascii="Times New Roman" w:hAnsi="Times New Roman" w:cs="Times New Roman"/>
          <w:sz w:val="24"/>
          <w:szCs w:val="24"/>
        </w:rPr>
        <w:t xml:space="preserve"> </w:t>
      </w:r>
      <w:r w:rsidR="00D009DC" w:rsidRPr="00C467DB">
        <w:rPr>
          <w:rFonts w:ascii="Times New Roman" w:hAnsi="Times New Roman" w:cs="Times New Roman"/>
          <w:sz w:val="24"/>
          <w:szCs w:val="24"/>
        </w:rPr>
        <w:fldChar w:fldCharType="begin" w:fldLock="1"/>
      </w:r>
      <w:r w:rsidR="009D0134" w:rsidRPr="00C467DB">
        <w:rPr>
          <w:rFonts w:ascii="Times New Roman" w:hAnsi="Times New Roman" w:cs="Times New Roman"/>
          <w:sz w:val="24"/>
          <w:szCs w:val="24"/>
        </w:rPr>
        <w:instrText>ADDIN CSL_CITATION {"citationItems":[{"id":"ITEM-1","itemData":{"author":[{"dropping-particle":"","family":"Иванов","given":"И. Н.","non-dropping-particle":"","parse-names":false,"suffix":""},{"dropping-particle":"","family":"Недялков","given":"М.","non-dropping-particle":"","parse-names":false,"suffix":""},{"dropping-particle":"","family":"Иванова","given":"К.","non-dropping-particle":"","parse-names":false,"suffix":""},{"dropping-particle":"","family":"Колектив","given":"И","non-dropping-particle":"","parse-names":false,"suffix":""}],"container-title":"XVII-ти Национален конгрес по Клинична микробиология и Инфекции на Българската асоциация на микробиолозите, 9-11 май, 2018г., Парк-хотел «Москва», гр. София","id":"ITEM-1","issued":{"date-parts":[["2019"]]},"publisher-place":"София","title":"Доклад на Националния референтен център по микробна лекарствена резистентност и антибиотична консумация","type":"paper-conference"},"uris":["http://www.mendeley.com/documents/?uuid=4a376991-57df-445c-a4ea-bd7567bbdb22"]}],"mendeley":{"formattedCitation":"[26]","plainTextFormattedCitation":"[26]","previouslyFormattedCitation":"(Иванов et al., 2019)"},"properties":{"noteIndex":0},"schema":"https://github.com/citation-style-language/schema/raw/master/csl-citation.json"}</w:instrText>
      </w:r>
      <w:r w:rsidR="00D009DC" w:rsidRPr="00C467DB">
        <w:rPr>
          <w:rFonts w:ascii="Times New Roman" w:hAnsi="Times New Roman" w:cs="Times New Roman"/>
          <w:sz w:val="24"/>
          <w:szCs w:val="24"/>
        </w:rPr>
        <w:fldChar w:fldCharType="separate"/>
      </w:r>
      <w:r w:rsidR="009D0134" w:rsidRPr="00C467DB">
        <w:rPr>
          <w:rFonts w:ascii="Times New Roman" w:hAnsi="Times New Roman" w:cs="Times New Roman"/>
          <w:noProof/>
          <w:sz w:val="24"/>
          <w:szCs w:val="24"/>
        </w:rPr>
        <w:t>[26]</w:t>
      </w:r>
      <w:r w:rsidR="00D009DC" w:rsidRPr="00C467DB">
        <w:rPr>
          <w:rFonts w:ascii="Times New Roman" w:hAnsi="Times New Roman" w:cs="Times New Roman"/>
          <w:sz w:val="24"/>
          <w:szCs w:val="24"/>
        </w:rPr>
        <w:fldChar w:fldCharType="end"/>
      </w:r>
      <w:r w:rsidR="00D009DC" w:rsidRPr="00C467DB">
        <w:rPr>
          <w:rFonts w:ascii="Times New Roman" w:hAnsi="Times New Roman" w:cs="Times New Roman"/>
          <w:sz w:val="24"/>
          <w:szCs w:val="24"/>
        </w:rPr>
        <w:t>.</w:t>
      </w:r>
      <w:r w:rsidR="0049121E" w:rsidRPr="00C467DB">
        <w:rPr>
          <w:rFonts w:ascii="Times New Roman" w:hAnsi="Times New Roman" w:cs="Times New Roman"/>
          <w:sz w:val="24"/>
          <w:szCs w:val="24"/>
          <w:lang w:val="en-US"/>
        </w:rPr>
        <w:t xml:space="preserve"> </w:t>
      </w:r>
      <w:r w:rsidR="0049121E" w:rsidRPr="00C467DB">
        <w:rPr>
          <w:rFonts w:ascii="Times New Roman" w:hAnsi="Times New Roman" w:cs="Times New Roman"/>
          <w:sz w:val="24"/>
          <w:szCs w:val="24"/>
        </w:rPr>
        <w:t xml:space="preserve">След </w:t>
      </w:r>
      <w:r w:rsidR="001350A4">
        <w:rPr>
          <w:rFonts w:ascii="Times New Roman" w:hAnsi="Times New Roman" w:cs="Times New Roman"/>
          <w:sz w:val="24"/>
          <w:szCs w:val="24"/>
        </w:rPr>
        <w:t xml:space="preserve">получаването на </w:t>
      </w:r>
      <w:r w:rsidR="003A0E1C">
        <w:rPr>
          <w:rFonts w:ascii="Times New Roman" w:hAnsi="Times New Roman" w:cs="Times New Roman"/>
          <w:sz w:val="24"/>
          <w:szCs w:val="24"/>
        </w:rPr>
        <w:t>разрешение за употреба и утвърждаването на цена</w:t>
      </w:r>
      <w:r w:rsidR="001350A4" w:rsidRPr="00C467DB">
        <w:rPr>
          <w:rFonts w:ascii="Times New Roman" w:hAnsi="Times New Roman" w:cs="Times New Roman"/>
          <w:sz w:val="24"/>
          <w:szCs w:val="24"/>
        </w:rPr>
        <w:t xml:space="preserve"> </w:t>
      </w:r>
      <w:r w:rsidR="0049121E" w:rsidRPr="00C467DB">
        <w:rPr>
          <w:rFonts w:ascii="Times New Roman" w:hAnsi="Times New Roman" w:cs="Times New Roman"/>
          <w:sz w:val="24"/>
          <w:szCs w:val="24"/>
        </w:rPr>
        <w:t xml:space="preserve">на </w:t>
      </w:r>
      <w:r w:rsidR="001350A4">
        <w:rPr>
          <w:rFonts w:ascii="Times New Roman" w:hAnsi="Times New Roman" w:cs="Times New Roman"/>
          <w:sz w:val="24"/>
          <w:szCs w:val="24"/>
        </w:rPr>
        <w:t>лекарствен продукт</w:t>
      </w:r>
      <w:r w:rsidR="00CD33F2">
        <w:rPr>
          <w:rFonts w:ascii="Times New Roman" w:hAnsi="Times New Roman" w:cs="Times New Roman"/>
          <w:sz w:val="24"/>
          <w:szCs w:val="24"/>
        </w:rPr>
        <w:t xml:space="preserve"> с </w:t>
      </w:r>
      <w:r w:rsidR="001350A4">
        <w:rPr>
          <w:rFonts w:ascii="Times New Roman" w:hAnsi="Times New Roman" w:cs="Times New Roman"/>
          <w:sz w:val="24"/>
          <w:szCs w:val="24"/>
        </w:rPr>
        <w:t xml:space="preserve">международно непатентно наименование </w:t>
      </w:r>
      <w:r w:rsidR="00CF0BBC" w:rsidRPr="00C467DB">
        <w:rPr>
          <w:rFonts w:ascii="Times New Roman" w:eastAsia="Times New Roman" w:hAnsi="Times New Roman" w:cs="Times New Roman"/>
          <w:bCs/>
          <w:iCs/>
          <w:sz w:val="24"/>
          <w:szCs w:val="24"/>
          <w:lang w:val="en-US"/>
        </w:rPr>
        <w:t>Colistin</w:t>
      </w:r>
      <w:r w:rsidR="00CF0BBC" w:rsidRPr="00C467DB">
        <w:rPr>
          <w:rFonts w:ascii="Times New Roman" w:eastAsia="Times New Roman" w:hAnsi="Times New Roman" w:cs="Times New Roman"/>
          <w:bCs/>
          <w:iCs/>
          <w:sz w:val="24"/>
          <w:szCs w:val="24"/>
        </w:rPr>
        <w:t xml:space="preserve"> у нас</w:t>
      </w:r>
      <w:r w:rsidR="0049121E" w:rsidRPr="00C467DB">
        <w:rPr>
          <w:rFonts w:ascii="Times New Roman" w:hAnsi="Times New Roman" w:cs="Times New Roman"/>
          <w:sz w:val="24"/>
          <w:szCs w:val="24"/>
        </w:rPr>
        <w:t xml:space="preserve"> </w:t>
      </w:r>
      <w:r w:rsidR="005C033F" w:rsidRPr="00C467DB">
        <w:rPr>
          <w:rFonts w:ascii="Times New Roman" w:hAnsi="Times New Roman" w:cs="Times New Roman"/>
          <w:sz w:val="24"/>
          <w:szCs w:val="24"/>
        </w:rPr>
        <w:t xml:space="preserve">през </w:t>
      </w:r>
      <w:r w:rsidR="00197E71" w:rsidRPr="00C467DB">
        <w:rPr>
          <w:rFonts w:ascii="Times New Roman" w:hAnsi="Times New Roman" w:cs="Times New Roman"/>
          <w:bCs/>
          <w:iCs/>
          <w:sz w:val="24"/>
          <w:szCs w:val="24"/>
        </w:rPr>
        <w:t>201</w:t>
      </w:r>
      <w:r w:rsidR="001350A4">
        <w:rPr>
          <w:rFonts w:ascii="Times New Roman" w:hAnsi="Times New Roman" w:cs="Times New Roman"/>
          <w:bCs/>
          <w:iCs/>
          <w:sz w:val="24"/>
          <w:szCs w:val="24"/>
        </w:rPr>
        <w:t>3</w:t>
      </w:r>
      <w:r w:rsidR="004B12A7" w:rsidRPr="00C467DB">
        <w:rPr>
          <w:rFonts w:ascii="Times New Roman" w:hAnsi="Times New Roman" w:cs="Times New Roman"/>
          <w:bCs/>
          <w:iCs/>
          <w:sz w:val="24"/>
          <w:szCs w:val="24"/>
        </w:rPr>
        <w:t xml:space="preserve"> </w:t>
      </w:r>
      <w:r w:rsidR="00197E71" w:rsidRPr="00C467DB">
        <w:rPr>
          <w:rFonts w:ascii="Times New Roman" w:hAnsi="Times New Roman" w:cs="Times New Roman"/>
          <w:bCs/>
          <w:iCs/>
          <w:sz w:val="24"/>
          <w:szCs w:val="24"/>
        </w:rPr>
        <w:t>г</w:t>
      </w:r>
      <w:r w:rsidR="004B12A7" w:rsidRPr="00C467DB">
        <w:rPr>
          <w:rFonts w:ascii="Times New Roman" w:hAnsi="Times New Roman" w:cs="Times New Roman"/>
          <w:bCs/>
          <w:iCs/>
          <w:sz w:val="24"/>
          <w:szCs w:val="24"/>
        </w:rPr>
        <w:t>.</w:t>
      </w:r>
      <w:r w:rsidR="00197E71" w:rsidRPr="00C467DB">
        <w:rPr>
          <w:rFonts w:ascii="Times New Roman" w:hAnsi="Times New Roman" w:cs="Times New Roman"/>
          <w:bCs/>
          <w:iCs/>
          <w:sz w:val="24"/>
          <w:szCs w:val="24"/>
        </w:rPr>
        <w:t xml:space="preserve"> </w:t>
      </w:r>
      <w:r w:rsidR="0049121E" w:rsidRPr="00C467DB">
        <w:rPr>
          <w:rFonts w:ascii="Times New Roman" w:hAnsi="Times New Roman" w:cs="Times New Roman"/>
          <w:sz w:val="24"/>
          <w:szCs w:val="24"/>
        </w:rPr>
        <w:t xml:space="preserve">и </w:t>
      </w:r>
      <w:r w:rsidR="00EA0B60" w:rsidRPr="00C467DB">
        <w:rPr>
          <w:rFonts w:ascii="Times New Roman" w:hAnsi="Times New Roman" w:cs="Times New Roman"/>
          <w:sz w:val="24"/>
          <w:szCs w:val="24"/>
        </w:rPr>
        <w:t>нарастващата</w:t>
      </w:r>
      <w:r w:rsidR="0049121E" w:rsidRPr="00C467DB">
        <w:rPr>
          <w:rFonts w:ascii="Times New Roman" w:hAnsi="Times New Roman" w:cs="Times New Roman"/>
          <w:sz w:val="24"/>
          <w:szCs w:val="24"/>
        </w:rPr>
        <w:t xml:space="preserve"> му </w:t>
      </w:r>
      <w:r w:rsidR="00EA0B60" w:rsidRPr="00C467DB">
        <w:rPr>
          <w:rFonts w:ascii="Times New Roman" w:hAnsi="Times New Roman" w:cs="Times New Roman"/>
          <w:sz w:val="24"/>
          <w:szCs w:val="24"/>
        </w:rPr>
        <w:t>роля като средство на последен избор за терапия</w:t>
      </w:r>
      <w:r w:rsidR="00CF0BBC" w:rsidRPr="00C467DB">
        <w:rPr>
          <w:rFonts w:ascii="Times New Roman" w:eastAsia="Times New Roman" w:hAnsi="Times New Roman" w:cs="Times New Roman"/>
          <w:bCs/>
          <w:iCs/>
          <w:sz w:val="24"/>
          <w:szCs w:val="24"/>
        </w:rPr>
        <w:t xml:space="preserve"> при Грам-отрицателни бактерии, въпреки риска от нефротоксичност </w:t>
      </w:r>
      <w:r w:rsidR="00AE701A"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и само при ограничен брой инфекции</w:t>
      </w:r>
      <w:r w:rsidR="00AE701A"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w:t>
      </w:r>
      <w:r w:rsidR="0049121E" w:rsidRPr="00C467DB">
        <w:rPr>
          <w:rFonts w:ascii="Times New Roman" w:hAnsi="Times New Roman" w:cs="Times New Roman"/>
          <w:sz w:val="24"/>
          <w:szCs w:val="24"/>
        </w:rPr>
        <w:t xml:space="preserve"> доведе и до </w:t>
      </w:r>
      <w:r w:rsidR="005C033F" w:rsidRPr="00C467DB">
        <w:rPr>
          <w:rFonts w:ascii="Times New Roman" w:hAnsi="Times New Roman" w:cs="Times New Roman"/>
          <w:sz w:val="24"/>
          <w:szCs w:val="24"/>
        </w:rPr>
        <w:t>експанзия</w:t>
      </w:r>
      <w:r w:rsidR="00EA0B60" w:rsidRPr="00C467DB">
        <w:rPr>
          <w:rFonts w:ascii="Times New Roman" w:hAnsi="Times New Roman" w:cs="Times New Roman"/>
          <w:sz w:val="24"/>
          <w:szCs w:val="24"/>
        </w:rPr>
        <w:t>та</w:t>
      </w:r>
      <w:r w:rsidR="005C033F" w:rsidRPr="00C467DB">
        <w:rPr>
          <w:rFonts w:ascii="Times New Roman" w:hAnsi="Times New Roman" w:cs="Times New Roman"/>
          <w:sz w:val="24"/>
          <w:szCs w:val="24"/>
        </w:rPr>
        <w:t xml:space="preserve"> на екстензивно </w:t>
      </w:r>
      <w:r w:rsidR="00AE701A"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с много широк спектър на резистентност</w:t>
      </w:r>
      <w:r w:rsidR="00AE701A" w:rsidRPr="00C467DB">
        <w:rPr>
          <w:rFonts w:ascii="Times New Roman" w:eastAsia="Times New Roman" w:hAnsi="Times New Roman" w:cs="Times New Roman"/>
          <w:bCs/>
          <w:iCs/>
          <w:sz w:val="24"/>
          <w:szCs w:val="24"/>
        </w:rPr>
        <w:t>)</w:t>
      </w:r>
      <w:r w:rsidR="00CF0BBC" w:rsidRPr="00C467DB">
        <w:rPr>
          <w:rFonts w:ascii="Times New Roman" w:eastAsia="Times New Roman" w:hAnsi="Times New Roman" w:cs="Times New Roman"/>
          <w:bCs/>
          <w:iCs/>
          <w:sz w:val="24"/>
          <w:szCs w:val="24"/>
        </w:rPr>
        <w:t xml:space="preserve"> </w:t>
      </w:r>
      <w:r w:rsidR="005C033F" w:rsidRPr="00C467DB">
        <w:rPr>
          <w:rFonts w:ascii="Times New Roman" w:hAnsi="Times New Roman" w:cs="Times New Roman"/>
          <w:sz w:val="24"/>
          <w:szCs w:val="24"/>
        </w:rPr>
        <w:t>и панрезистентни щамове.</w:t>
      </w:r>
    </w:p>
    <w:p w14:paraId="4003D3D5" w14:textId="77777777" w:rsidR="00CF0BBC" w:rsidRPr="00C467DB" w:rsidRDefault="00CF0BBC" w:rsidP="00C467DB">
      <w:pPr>
        <w:spacing w:after="0" w:line="360" w:lineRule="auto"/>
        <w:ind w:firstLine="709"/>
        <w:jc w:val="both"/>
        <w:rPr>
          <w:rFonts w:ascii="Times New Roman" w:eastAsia="Calibri" w:hAnsi="Times New Roman" w:cs="Times New Roman"/>
          <w:color w:val="000000"/>
          <w:sz w:val="24"/>
          <w:szCs w:val="24"/>
          <w:lang w:eastAsia="en-GB"/>
        </w:rPr>
      </w:pPr>
      <w:r w:rsidRPr="00D01657">
        <w:rPr>
          <w:rFonts w:ascii="Times New Roman" w:eastAsia="Calibri" w:hAnsi="Times New Roman" w:cs="Times New Roman"/>
          <w:color w:val="000000"/>
          <w:sz w:val="24"/>
          <w:szCs w:val="24"/>
          <w:lang w:eastAsia="en-GB"/>
        </w:rPr>
        <w:lastRenderedPageBreak/>
        <w:t>Съответно, в Националн</w:t>
      </w:r>
      <w:r w:rsidR="003B3E7E" w:rsidRPr="00D01657">
        <w:rPr>
          <w:rFonts w:ascii="Times New Roman" w:eastAsia="Calibri" w:hAnsi="Times New Roman" w:cs="Times New Roman"/>
          <w:color w:val="000000"/>
          <w:sz w:val="24"/>
          <w:szCs w:val="24"/>
          <w:lang w:eastAsia="en-GB"/>
        </w:rPr>
        <w:t>ата</w:t>
      </w:r>
      <w:r w:rsidRPr="00D01657">
        <w:rPr>
          <w:rFonts w:ascii="Times New Roman" w:eastAsia="Calibri" w:hAnsi="Times New Roman" w:cs="Times New Roman"/>
          <w:color w:val="000000"/>
          <w:sz w:val="24"/>
          <w:szCs w:val="24"/>
          <w:lang w:eastAsia="en-GB"/>
        </w:rPr>
        <w:t xml:space="preserve"> </w:t>
      </w:r>
      <w:r w:rsidR="00446D1B" w:rsidRPr="00D01657">
        <w:rPr>
          <w:rFonts w:ascii="Times New Roman" w:eastAsia="Calibri" w:hAnsi="Times New Roman" w:cs="Times New Roman"/>
          <w:color w:val="000000"/>
          <w:sz w:val="24"/>
          <w:szCs w:val="24"/>
          <w:lang w:eastAsia="en-GB"/>
        </w:rPr>
        <w:t>п</w:t>
      </w:r>
      <w:r w:rsidR="00882F2E" w:rsidRPr="00D01657">
        <w:rPr>
          <w:rFonts w:ascii="Times New Roman" w:eastAsia="Calibri" w:hAnsi="Times New Roman" w:cs="Times New Roman"/>
          <w:color w:val="000000"/>
          <w:sz w:val="24"/>
          <w:szCs w:val="24"/>
          <w:lang w:eastAsia="en-GB"/>
        </w:rPr>
        <w:t>рограма</w:t>
      </w:r>
      <w:r w:rsidRPr="00C467DB">
        <w:rPr>
          <w:rFonts w:ascii="Times New Roman" w:eastAsia="Calibri" w:hAnsi="Times New Roman" w:cs="Times New Roman"/>
          <w:b/>
          <w:color w:val="000000"/>
          <w:sz w:val="24"/>
          <w:szCs w:val="24"/>
          <w:lang w:eastAsia="en-GB"/>
        </w:rPr>
        <w:t xml:space="preserve"> </w:t>
      </w:r>
      <w:r w:rsidRPr="00C467DB">
        <w:rPr>
          <w:rFonts w:ascii="Times New Roman" w:eastAsia="Calibri" w:hAnsi="Times New Roman" w:cs="Times New Roman"/>
          <w:color w:val="000000"/>
          <w:sz w:val="24"/>
          <w:szCs w:val="24"/>
          <w:lang w:eastAsia="en-GB"/>
        </w:rPr>
        <w:t>е заложено създаване и усъвършенстване у нас на световно</w:t>
      </w:r>
      <w:r w:rsidR="006E257A" w:rsidRPr="00C467DB">
        <w:rPr>
          <w:rFonts w:ascii="Times New Roman" w:eastAsia="Calibri" w:hAnsi="Times New Roman" w:cs="Times New Roman"/>
          <w:color w:val="000000"/>
          <w:sz w:val="24"/>
          <w:szCs w:val="24"/>
          <w:lang w:eastAsia="en-GB"/>
        </w:rPr>
        <w:t xml:space="preserve"> </w:t>
      </w:r>
      <w:r w:rsidRPr="00C467DB">
        <w:rPr>
          <w:rFonts w:ascii="Times New Roman" w:eastAsia="Calibri" w:hAnsi="Times New Roman" w:cs="Times New Roman"/>
          <w:color w:val="000000"/>
          <w:sz w:val="24"/>
          <w:szCs w:val="24"/>
          <w:lang w:eastAsia="en-GB"/>
        </w:rPr>
        <w:t xml:space="preserve">утвърден механизъм за управление на антибиотичната политика – </w:t>
      </w:r>
      <w:r w:rsidR="006E257A" w:rsidRPr="00C467DB">
        <w:rPr>
          <w:rFonts w:ascii="Times New Roman" w:eastAsia="Calibri" w:hAnsi="Times New Roman" w:cs="Times New Roman"/>
          <w:color w:val="000000"/>
          <w:sz w:val="24"/>
          <w:szCs w:val="24"/>
          <w:lang w:eastAsia="en-GB"/>
        </w:rPr>
        <w:t xml:space="preserve">т.нар. </w:t>
      </w:r>
      <w:r w:rsidR="0008464E">
        <w:rPr>
          <w:rFonts w:ascii="Times New Roman" w:eastAsia="Calibri" w:hAnsi="Times New Roman" w:cs="Times New Roman"/>
          <w:color w:val="000000"/>
          <w:sz w:val="24"/>
          <w:szCs w:val="24"/>
          <w:lang w:eastAsia="en-GB"/>
        </w:rPr>
        <w:t>„</w:t>
      </w:r>
      <w:r w:rsidRPr="00C467DB">
        <w:rPr>
          <w:rFonts w:ascii="Times New Roman" w:eastAsia="Calibri" w:hAnsi="Times New Roman" w:cs="Times New Roman"/>
          <w:color w:val="000000"/>
          <w:sz w:val="24"/>
          <w:szCs w:val="24"/>
          <w:lang w:val="en-US" w:eastAsia="en-GB"/>
        </w:rPr>
        <w:t xml:space="preserve">Antimicrobial stewardship” </w:t>
      </w:r>
      <w:r w:rsidR="006E257A" w:rsidRPr="00C467DB">
        <w:rPr>
          <w:rFonts w:ascii="Times New Roman" w:eastAsia="Calibri" w:hAnsi="Times New Roman" w:cs="Times New Roman"/>
          <w:color w:val="000000"/>
          <w:sz w:val="24"/>
          <w:szCs w:val="24"/>
          <w:lang w:val="en-US" w:eastAsia="en-GB"/>
        </w:rPr>
        <w:t>-</w:t>
      </w:r>
      <w:r w:rsidR="006E257A" w:rsidRPr="00C467DB">
        <w:rPr>
          <w:rFonts w:ascii="Times New Roman" w:eastAsia="Calibri" w:hAnsi="Times New Roman" w:cs="Times New Roman"/>
          <w:color w:val="000000"/>
          <w:sz w:val="24"/>
          <w:szCs w:val="24"/>
          <w:lang w:eastAsia="en-GB"/>
        </w:rPr>
        <w:t xml:space="preserve"> </w:t>
      </w:r>
      <w:r w:rsidR="006E257A" w:rsidRPr="00C467DB">
        <w:rPr>
          <w:rFonts w:ascii="Times New Roman" w:eastAsia="Calibri" w:hAnsi="Times New Roman" w:cs="Times New Roman"/>
          <w:sz w:val="24"/>
          <w:szCs w:val="24"/>
          <w:lang w:val="en-US"/>
        </w:rPr>
        <w:t>мултидисциплинарна</w:t>
      </w:r>
      <w:r w:rsidR="006E257A" w:rsidRPr="00C467DB">
        <w:rPr>
          <w:rFonts w:ascii="Times New Roman" w:eastAsia="Calibri" w:hAnsi="Times New Roman" w:cs="Times New Roman"/>
          <w:sz w:val="24"/>
          <w:szCs w:val="24"/>
        </w:rPr>
        <w:t>,</w:t>
      </w:r>
      <w:r w:rsidRPr="00C467DB">
        <w:rPr>
          <w:rFonts w:ascii="Times New Roman" w:eastAsia="Calibri" w:hAnsi="Times New Roman" w:cs="Times New Roman"/>
          <w:sz w:val="24"/>
          <w:szCs w:val="24"/>
          <w:lang w:val="en-US"/>
        </w:rPr>
        <w:t xml:space="preserve"> консенсусно приета, подсигурена с човешки и финансови ресурси и </w:t>
      </w:r>
      <w:r w:rsidR="00D009DC" w:rsidRPr="00C467DB">
        <w:rPr>
          <w:rFonts w:ascii="Times New Roman" w:eastAsia="Calibri" w:hAnsi="Times New Roman" w:cs="Times New Roman"/>
          <w:sz w:val="24"/>
          <w:szCs w:val="24"/>
        </w:rPr>
        <w:t>п</w:t>
      </w:r>
      <w:r w:rsidRPr="00C467DB">
        <w:rPr>
          <w:rFonts w:ascii="Times New Roman" w:eastAsia="Calibri" w:hAnsi="Times New Roman" w:cs="Times New Roman"/>
          <w:sz w:val="24"/>
          <w:szCs w:val="24"/>
          <w:lang w:val="en-US"/>
        </w:rPr>
        <w:t>равителствено</w:t>
      </w:r>
      <w:r w:rsidR="006E257A" w:rsidRPr="00C467DB">
        <w:rPr>
          <w:rFonts w:ascii="Times New Roman" w:eastAsia="Calibri" w:hAnsi="Times New Roman" w:cs="Times New Roman"/>
          <w:sz w:val="24"/>
          <w:szCs w:val="24"/>
        </w:rPr>
        <w:t xml:space="preserve"> </w:t>
      </w:r>
      <w:r w:rsidRPr="00C467DB">
        <w:rPr>
          <w:rFonts w:ascii="Times New Roman" w:eastAsia="Calibri" w:hAnsi="Times New Roman" w:cs="Times New Roman"/>
          <w:sz w:val="24"/>
          <w:szCs w:val="24"/>
          <w:lang w:val="en-US"/>
        </w:rPr>
        <w:t xml:space="preserve">ангажирана </w:t>
      </w:r>
      <w:r w:rsidRPr="00C467DB">
        <w:rPr>
          <w:rFonts w:ascii="Times New Roman" w:eastAsia="Calibri" w:hAnsi="Times New Roman" w:cs="Times New Roman"/>
          <w:sz w:val="24"/>
          <w:szCs w:val="24"/>
        </w:rPr>
        <w:t>стратегия, гарантираща оптимален антибиотичен избор за пациента, по-ниски разходи</w:t>
      </w:r>
      <w:r w:rsidR="009A36E1" w:rsidRPr="00C467DB">
        <w:rPr>
          <w:rFonts w:ascii="Times New Roman" w:eastAsia="Calibri" w:hAnsi="Times New Roman" w:cs="Times New Roman"/>
          <w:sz w:val="24"/>
          <w:szCs w:val="24"/>
        </w:rPr>
        <w:t xml:space="preserve"> </w:t>
      </w:r>
      <w:r w:rsidR="006E257A" w:rsidRPr="00C467DB">
        <w:rPr>
          <w:rFonts w:ascii="Times New Roman" w:eastAsia="Calibri" w:hAnsi="Times New Roman" w:cs="Times New Roman"/>
          <w:sz w:val="24"/>
          <w:szCs w:val="24"/>
        </w:rPr>
        <w:t xml:space="preserve">и </w:t>
      </w:r>
      <w:r w:rsidRPr="00C467DB">
        <w:rPr>
          <w:rFonts w:ascii="Times New Roman" w:eastAsia="Calibri" w:hAnsi="Times New Roman" w:cs="Times New Roman"/>
          <w:sz w:val="24"/>
          <w:szCs w:val="24"/>
        </w:rPr>
        <w:t xml:space="preserve">ограничаване на антибиотичната резистентност </w:t>
      </w:r>
      <w:r w:rsidR="00412DE2" w:rsidRPr="00C467DB">
        <w:rPr>
          <w:rFonts w:ascii="Times New Roman" w:eastAsia="Times New Roman" w:hAnsi="Times New Roman" w:cs="Times New Roman"/>
          <w:color w:val="000000"/>
          <w:sz w:val="24"/>
          <w:szCs w:val="24"/>
          <w:lang w:eastAsia="bg-BG"/>
        </w:rPr>
        <w:fldChar w:fldCharType="begin" w:fldLock="1"/>
      </w:r>
      <w:r w:rsidR="009D0134" w:rsidRPr="00C467DB">
        <w:rPr>
          <w:rFonts w:ascii="Times New Roman" w:eastAsia="Times New Roman" w:hAnsi="Times New Roman" w:cs="Times New Roman"/>
          <w:color w:val="000000"/>
          <w:sz w:val="24"/>
          <w:szCs w:val="24"/>
          <w:lang w:eastAsia="bg-BG"/>
        </w:rPr>
        <w:instrText>ADDIN CSL_CITATION {"citationItems":[{"id":"ITEM-1","itemData":{"DOI":"10.1093/cid/ciw118","ISSN":"1058-4838","author":[{"dropping-particle":"","family":"Barlam","given":"Tamar F","non-dropping-particle":"","parse-names":false,"suffix":""},{"dropping-particle":"","family":"Cosgrove","given":"Sara E","non-dropping-particle":"","parse-names":false,"suffix":""},{"dropping-particle":"","family":"Abbo","given":"Lilian M","non-dropping-particle":"","parse-names":false,"suffix":""},{"dropping-particle":"","family":"MacDougall","given":"Conan","non-dropping-particle":"","parse-names":false,"suffix":""},{"dropping-particle":"","family":"Schuetz","given":"Audrey N","non-dropping-particle":"","parse-names":false,"suffix":""},{"dropping-particle":"","family":"Septimus","given":"Edward J","non-dropping-particle":"","parse-names":false,"suffix":""},{"dropping-particle":"","family":"Srinivasan","given":"Arjun","non-dropping-particle":"","parse-names":false,"suffix":""},{"dropping-particle":"","family":"Dellit","given":"Timothy H","non-dropping-particle":"","parse-names":false,"suffix":""},{"dropping-particle":"","family":"Falck-Ytter","given":"Yngve T","non-dropping-particle":"","parse-names":false,"suffix":""},{"dropping-particle":"","family":"Fishman","given":"Neil O","non-dropping-particle":"","parse-names":false,"suffix":""},{"dropping-particle":"","family":"Hamilton","given":"Cindy W","non-dropping-particle":"","parse-names":false,"suffix":""},{"dropping-particle":"","family":"Jenkins","given":"Timothy C","non-dropping-particle":"","parse-names":false,"suffix":""},{"dropping-particle":"","family":"Lipsett","given":"Pamela A","non-dropping-particle":"","parse-names":false,"suffix":""},{"dropping-particle":"","family":"Malani","given":"Preeti N","non-dropping-particle":"","parse-names":false,"suffix":""},{"dropping-particle":"","family":"May","given":"Larissa S","non-dropping-particle":"","parse-names":false,"suffix":""},{"dropping-particle":"","family":"Moran","given":"Gregory J","non-dropping-particle":"","parse-names":false,"suffix":""},{"dropping-particle":"","family":"Neuhauser","given":"Melinda M","non-dropping-particle":"","parse-names":false,"suffix":""},{"dropping-particle":"","family":"Newland","given":"Jason G","non-dropping-particle":"","parse-names":false,"suffix":""},{"dropping-particle":"","family":"Ohl","given":"Christopher A","non-dropping-particle":"","parse-names":false,"suffix":""},{"dropping-particle":"","family":"Samore","given":"Matthew H","non-dropping-particle":"","parse-names":false,"suffix":""},{"dropping-particle":"","family":"Seo","given":"Susan K","non-dropping-particle":"","parse-names":false,"suffix":""},{"dropping-particle":"","family":"Trivedi","given":"Kavita K","non-dropping-particle":"","parse-names":false,"suffix":""}],"container-title":"Clinical Infectious Diseases","id":"ITEM-1","issue":"10","issued":{"date-parts":[["2016"]]},"page":"e51-e77","publisher":"Oxford University Press (OUP)","title":"Implementing an Antibiotic Stewardship Program: Guidelines by the Infectious Diseases Society of America and the Society for Healthcare Epidemiology of America","type":"article-journal","volume":"62"},"uris":["http://www.mendeley.com/documents/?uuid=9b01f1ec-06a3-4610-98f8-5b4ae4d9357a"]},{"id":"ITEM-2","itemData":{"DOI":"10.1016/j.ijantimicag.2016.06.015","ISSN":"0924-8579","author":[{"dropping-particle":"","family":"Levy Hara","given":"Gabriel","non-dropping-particle":"","parse-names":false,"suffix":""},{"dropping-particle":"","family":"Kanj","given":"Souha S","non-dropping-particle":"","parse-names":false,"suffix":""},{"dropping-particle":"","family":"Pagani","given":"Leonardo","non-dropping-particle":"","parse-names":false,"suffix":""},{"dropping-particle":"","family":"Abbo","given":"Lilian","non-dropping-particle":"","parse-names":false,"suffix":""},{"dropping-particle":"","family":"Endimiani","given":"Andrea","non-dropping-particle":"","parse-names":false,"suffix":""},{"dropping-particle":"","family":"Wertheim","given":"Heiman F L","non-dropping-particle":"","parse-names":false,"suffix":""},{"dropping-particle":"","family":"Amábile-Cuevas","given":"Carlos","non-dropping-particle":"","parse-names":false,"suffix":""},{"dropping-particle":"","family":"Tattevin","given":"Pierre","non-dropping-particle":"","parse-names":false,"suffix":""},{"dropping-particle":"","family":"Mehtar","given":"Shaheen","non-dropping-particle":"","parse-names":false,"suffix":""},{"dropping-particle":"","family":"Lopes Cardoso","given":"Fernando","non-dropping-particle":"","parse-names":false,"suffix":""},{"dropping-particle":"","family":"Unal","given":"Serhat","non-dropping-particle":"","parse-names":false,"suffix":""},{"dropping-particle":"","family":"Gould","given":"Ian","non-dropping-particle":"","parse-names":false,"suffix":""}],"container-title":"International Journal of Antimicrobial Agents","id":"ITEM-2","issue":"3","issued":{"date-parts":[["2016"]]},"page":"239-246","publisher":"Elsevier BV","title":"Ten key points for the appropriate use of antibiotics in hospitalised patients: a consensus from the Antimicrobial Stewardship and Resistance Working Groups of the International Society of Chemotherapy","type":"article-journal","volume":"48"},"uris":["http://www.mendeley.com/documents/?uuid=1d8c951f-3913-406a-8d6f-fab2d011bf58"]},{"id":"ITEM-3","itemData":{"DOI":"10.1093/jacamr/dlz005","ISSN":"2632-1823","author":[{"dropping-particle":"","family":"Biomerieux","given":"","non-dropping-particle":"","parse-names":false,"suffix":""}],"container-title":"JAC-Antimicrobial Resistance","id":"ITEM-3","issue":"1","issued":{"date-parts":[["2019"]]},"publisher":"Oxford University Press (OUP)","title":"Antimicrobial Stewardship—a practical guide to implementation in hospitals","type":"article-journal","volume":"1"},"uris":["http://www.mendeley.com/documents/?uuid=bdd0db95-6eb1-44ab-94e4-7c71071206b6"]}],"mendeley":{"formattedCitation":"[8], [40], [43]","plainTextFormattedCitation":"[8], [40], [43]","previouslyFormattedCitation":"(Barlam et al., 2016; Biomerieux, 2019; Levy Hara et al., 2016)"},"properties":{"noteIndex":0},"schema":"https://github.com/citation-style-language/schema/raw/master/csl-citation.json"}</w:instrText>
      </w:r>
      <w:r w:rsidR="00412DE2" w:rsidRPr="00C467DB">
        <w:rPr>
          <w:rFonts w:ascii="Times New Roman" w:eastAsia="Times New Roman" w:hAnsi="Times New Roman" w:cs="Times New Roman"/>
          <w:color w:val="000000"/>
          <w:sz w:val="24"/>
          <w:szCs w:val="24"/>
          <w:lang w:eastAsia="bg-BG"/>
        </w:rPr>
        <w:fldChar w:fldCharType="separate"/>
      </w:r>
      <w:r w:rsidR="009D0134" w:rsidRPr="00C467DB">
        <w:rPr>
          <w:rFonts w:ascii="Times New Roman" w:eastAsia="Times New Roman" w:hAnsi="Times New Roman" w:cs="Times New Roman"/>
          <w:noProof/>
          <w:color w:val="000000"/>
          <w:sz w:val="24"/>
          <w:szCs w:val="24"/>
          <w:lang w:eastAsia="bg-BG"/>
        </w:rPr>
        <w:t>[8], [40], [43]</w:t>
      </w:r>
      <w:r w:rsidR="00412DE2" w:rsidRPr="00C467DB">
        <w:rPr>
          <w:rFonts w:ascii="Times New Roman" w:eastAsia="Times New Roman" w:hAnsi="Times New Roman" w:cs="Times New Roman"/>
          <w:color w:val="000000"/>
          <w:sz w:val="24"/>
          <w:szCs w:val="24"/>
          <w:lang w:eastAsia="bg-BG"/>
        </w:rPr>
        <w:fldChar w:fldCharType="end"/>
      </w:r>
      <w:r w:rsidR="001A5AFF">
        <w:rPr>
          <w:rFonts w:ascii="Times New Roman" w:eastAsia="Times New Roman" w:hAnsi="Times New Roman" w:cs="Times New Roman"/>
          <w:color w:val="000000"/>
          <w:sz w:val="24"/>
          <w:szCs w:val="24"/>
          <w:lang w:eastAsia="bg-BG"/>
        </w:rPr>
        <w:t>.</w:t>
      </w:r>
    </w:p>
    <w:p w14:paraId="6DE2743C" w14:textId="77777777" w:rsidR="00CE7190" w:rsidRDefault="00CF0BBC" w:rsidP="00C467DB">
      <w:pPr>
        <w:spacing w:after="0" w:line="360" w:lineRule="auto"/>
        <w:ind w:firstLine="709"/>
        <w:jc w:val="both"/>
        <w:rPr>
          <w:rFonts w:ascii="Times New Roman" w:hAnsi="Times New Roman" w:cs="Times New Roman"/>
          <w:color w:val="000000"/>
          <w:sz w:val="24"/>
          <w:szCs w:val="24"/>
        </w:rPr>
      </w:pPr>
      <w:r w:rsidRPr="00D01657">
        <w:rPr>
          <w:rFonts w:ascii="Times New Roman" w:hAnsi="Times New Roman" w:cs="Times New Roman"/>
          <w:color w:val="000000"/>
          <w:sz w:val="24"/>
          <w:szCs w:val="24"/>
          <w:lang w:eastAsia="en-GB"/>
        </w:rPr>
        <w:t>По отношение на прилагането на антибиотици във ветеринарния сектор,</w:t>
      </w:r>
      <w:r w:rsidRPr="00C467DB">
        <w:rPr>
          <w:rFonts w:ascii="Times New Roman" w:hAnsi="Times New Roman" w:cs="Times New Roman"/>
          <w:color w:val="000000"/>
          <w:sz w:val="24"/>
          <w:szCs w:val="24"/>
          <w:lang w:eastAsia="en-GB"/>
        </w:rPr>
        <w:t xml:space="preserve"> като</w:t>
      </w:r>
      <w:r w:rsidR="00DC1733" w:rsidRPr="00C467DB">
        <w:rPr>
          <w:rFonts w:ascii="Times New Roman" w:hAnsi="Times New Roman" w:cs="Times New Roman"/>
          <w:color w:val="000000"/>
          <w:sz w:val="24"/>
          <w:szCs w:val="24"/>
          <w:lang w:eastAsia="en-GB"/>
        </w:rPr>
        <w:t xml:space="preserve"> </w:t>
      </w:r>
      <w:r w:rsidR="00DD67CB" w:rsidRPr="00C467DB">
        <w:rPr>
          <w:rFonts w:ascii="Times New Roman" w:hAnsi="Times New Roman" w:cs="Times New Roman"/>
          <w:color w:val="000000"/>
          <w:sz w:val="24"/>
          <w:szCs w:val="24"/>
        </w:rPr>
        <w:t>член на Европейския съюз</w:t>
      </w:r>
      <w:r w:rsidRPr="00C467DB">
        <w:rPr>
          <w:rFonts w:ascii="Times New Roman" w:hAnsi="Times New Roman" w:cs="Times New Roman"/>
          <w:color w:val="000000"/>
          <w:sz w:val="24"/>
          <w:szCs w:val="24"/>
          <w:lang w:eastAsia="en-GB"/>
        </w:rPr>
        <w:t>,</w:t>
      </w:r>
      <w:r w:rsidR="00DD67CB" w:rsidRPr="00C467DB">
        <w:rPr>
          <w:rFonts w:ascii="Times New Roman" w:hAnsi="Times New Roman" w:cs="Times New Roman"/>
          <w:color w:val="000000"/>
          <w:sz w:val="24"/>
          <w:szCs w:val="24"/>
        </w:rPr>
        <w:t xml:space="preserve"> в Република България се спазват и прилагат разпоредбите на пряко приложимото право на ЕС в сектора на фуражите. </w:t>
      </w:r>
    </w:p>
    <w:p w14:paraId="2392042E" w14:textId="77777777" w:rsidR="00CE7190" w:rsidRPr="00C467DB" w:rsidRDefault="00CE7190" w:rsidP="00CE7190">
      <w:pPr>
        <w:pStyle w:val="CM1"/>
        <w:spacing w:line="360" w:lineRule="auto"/>
        <w:ind w:firstLine="709"/>
        <w:jc w:val="both"/>
        <w:rPr>
          <w:rFonts w:ascii="Times New Roman" w:hAnsi="Times New Roman" w:cs="Times New Roman"/>
        </w:rPr>
      </w:pPr>
      <w:r w:rsidRPr="00C467DB">
        <w:rPr>
          <w:rFonts w:ascii="Times New Roman" w:hAnsi="Times New Roman" w:cs="Times New Roman"/>
        </w:rPr>
        <w:t xml:space="preserve">През 2016- 2018 г. регулаторната рамка на ЕС беше преразгледана и са приети два нови регламента във ветеринарната сфера: Регламент (ЕС) № 2019/6 относно ветеринарните лекарствени продукти и </w:t>
      </w:r>
      <w:hyperlink r:id="rId13" w:history="1">
        <w:r w:rsidRPr="00C467DB">
          <w:rPr>
            <w:rFonts w:ascii="Times New Roman" w:hAnsi="Times New Roman" w:cs="Times New Roman"/>
            <w:lang w:val="en"/>
          </w:rPr>
          <w:t>за отмяна на Директива 2001/82/ЕО</w:t>
        </w:r>
      </w:hyperlink>
      <w:r w:rsidRPr="00C467DB">
        <w:rPr>
          <w:rFonts w:ascii="Times New Roman" w:hAnsi="Times New Roman" w:cs="Times New Roman"/>
        </w:rPr>
        <w:t xml:space="preserve"> и Регламент 2019/4 относно производството, пускането на пазара и употребата на медикаментозни фуражи и </w:t>
      </w:r>
      <w:r w:rsidRPr="00C467DB">
        <w:rPr>
          <w:rFonts w:ascii="Times New Roman" w:hAnsi="Times New Roman" w:cs="Times New Roman"/>
          <w:bCs/>
          <w:color w:val="19161B"/>
        </w:rPr>
        <w:t>за изменение на Регламент (ЕО) № 183/2005 на Европейския парламент и на Съвета и за отмяна на Директива 90/167/ЕИО на Съвета</w:t>
      </w:r>
      <w:r w:rsidRPr="00C467DB">
        <w:rPr>
          <w:rFonts w:ascii="Times New Roman" w:hAnsi="Times New Roman" w:cs="Times New Roman"/>
        </w:rPr>
        <w:t>. Двата регламента се прилагат от 28.01.2022 г. и определят  широк набор от мерки за насърчаване на отговорната употреба  на  антимикробни средства и борба с антимикробната резистентност при животните.</w:t>
      </w:r>
    </w:p>
    <w:p w14:paraId="33B71F38" w14:textId="77777777" w:rsidR="000E281B" w:rsidRPr="00C467DB" w:rsidRDefault="00DD67CB" w:rsidP="00C467DB">
      <w:pPr>
        <w:spacing w:after="0" w:line="360" w:lineRule="auto"/>
        <w:ind w:firstLine="709"/>
        <w:jc w:val="both"/>
        <w:rPr>
          <w:rFonts w:ascii="Times New Roman" w:hAnsi="Times New Roman" w:cs="Times New Roman"/>
          <w:color w:val="000000"/>
          <w:sz w:val="24"/>
          <w:szCs w:val="24"/>
        </w:rPr>
      </w:pPr>
      <w:r w:rsidRPr="00C467DB">
        <w:rPr>
          <w:rFonts w:ascii="Times New Roman" w:hAnsi="Times New Roman" w:cs="Times New Roman"/>
          <w:color w:val="000000"/>
          <w:sz w:val="24"/>
          <w:szCs w:val="24"/>
        </w:rPr>
        <w:t>Условията за прилагане и изпълнение на законодателството на ЕС в сектор „Фуражи“ е осигурено със Закона за фуражите</w:t>
      </w:r>
      <w:r w:rsidR="00E639EF" w:rsidRPr="00C467DB">
        <w:rPr>
          <w:rFonts w:ascii="Times New Roman" w:hAnsi="Times New Roman" w:cs="Times New Roman"/>
          <w:color w:val="000000"/>
          <w:sz w:val="24"/>
          <w:szCs w:val="24"/>
        </w:rPr>
        <w:t xml:space="preserve"> (</w:t>
      </w:r>
      <w:r w:rsidR="00F530CE" w:rsidRPr="00C467DB">
        <w:rPr>
          <w:rFonts w:ascii="Times New Roman" w:hAnsi="Times New Roman" w:cs="Times New Roman"/>
          <w:sz w:val="24"/>
          <w:szCs w:val="24"/>
          <w:shd w:val="clear" w:color="auto" w:fill="FFFFFF"/>
        </w:rPr>
        <w:t xml:space="preserve">обн., ДВ, </w:t>
      </w:r>
      <w:hyperlink r:id="rId14" w:tgtFrame="_blank" w:history="1">
        <w:r w:rsidR="00F530CE" w:rsidRPr="00C467DB">
          <w:rPr>
            <w:rStyle w:val="Hyperlink"/>
            <w:rFonts w:ascii="Times New Roman" w:hAnsi="Times New Roman" w:cs="Times New Roman"/>
            <w:color w:val="auto"/>
            <w:sz w:val="24"/>
            <w:szCs w:val="24"/>
            <w:u w:val="none"/>
            <w:shd w:val="clear" w:color="auto" w:fill="FFFFFF"/>
          </w:rPr>
          <w:t>бр. 55</w:t>
        </w:r>
      </w:hyperlink>
      <w:r w:rsidR="00F530CE" w:rsidRPr="00C467DB">
        <w:rPr>
          <w:rFonts w:ascii="Times New Roman" w:hAnsi="Times New Roman" w:cs="Times New Roman"/>
          <w:sz w:val="24"/>
          <w:szCs w:val="24"/>
          <w:shd w:val="clear" w:color="auto" w:fill="FFFFFF"/>
        </w:rPr>
        <w:t xml:space="preserve"> от 2006 г.</w:t>
      </w:r>
      <w:r w:rsidR="00E639EF" w:rsidRPr="00C467DB">
        <w:rPr>
          <w:rFonts w:ascii="Times New Roman" w:hAnsi="Times New Roman" w:cs="Times New Roman"/>
          <w:sz w:val="24"/>
          <w:szCs w:val="24"/>
          <w:shd w:val="clear" w:color="auto" w:fill="FFFFFF"/>
        </w:rPr>
        <w:t>)</w:t>
      </w:r>
      <w:r w:rsidRPr="00C467DB">
        <w:rPr>
          <w:rFonts w:ascii="Times New Roman" w:hAnsi="Times New Roman" w:cs="Times New Roman"/>
          <w:color w:val="000000"/>
          <w:sz w:val="24"/>
          <w:szCs w:val="24"/>
        </w:rPr>
        <w:t xml:space="preserve">. Напълно е хармонизирана законодателната рамка за </w:t>
      </w:r>
      <w:r w:rsidR="00E56278" w:rsidRPr="00C467DB">
        <w:rPr>
          <w:rFonts w:ascii="Times New Roman" w:hAnsi="Times New Roman" w:cs="Times New Roman"/>
          <w:color w:val="000000"/>
          <w:sz w:val="24"/>
          <w:szCs w:val="24"/>
        </w:rPr>
        <w:t>производството</w:t>
      </w:r>
      <w:r w:rsidRPr="00C467DB">
        <w:rPr>
          <w:rFonts w:ascii="Times New Roman" w:hAnsi="Times New Roman" w:cs="Times New Roman"/>
          <w:color w:val="000000"/>
          <w:sz w:val="24"/>
          <w:szCs w:val="24"/>
        </w:rPr>
        <w:t xml:space="preserve"> и употребата на медикаментозни фуражи при храненето на животните, считано от 2006</w:t>
      </w:r>
      <w:r w:rsidR="003B3E7E" w:rsidRPr="00C467DB">
        <w:rPr>
          <w:rFonts w:ascii="Times New Roman" w:hAnsi="Times New Roman" w:cs="Times New Roman"/>
          <w:color w:val="000000"/>
          <w:sz w:val="24"/>
          <w:szCs w:val="24"/>
        </w:rPr>
        <w:t xml:space="preserve"> </w:t>
      </w:r>
      <w:r w:rsidRPr="00C467DB">
        <w:rPr>
          <w:rFonts w:ascii="Times New Roman" w:hAnsi="Times New Roman" w:cs="Times New Roman"/>
          <w:color w:val="000000"/>
          <w:sz w:val="24"/>
          <w:szCs w:val="24"/>
        </w:rPr>
        <w:t>г</w:t>
      </w:r>
      <w:r w:rsidR="004C2ACE" w:rsidRPr="00C467DB">
        <w:rPr>
          <w:rFonts w:ascii="Times New Roman" w:hAnsi="Times New Roman" w:cs="Times New Roman"/>
          <w:color w:val="000000"/>
          <w:sz w:val="24"/>
          <w:szCs w:val="24"/>
        </w:rPr>
        <w:t>.</w:t>
      </w:r>
      <w:r w:rsidR="000E281B" w:rsidRPr="00C467DB">
        <w:rPr>
          <w:rFonts w:ascii="Times New Roman" w:hAnsi="Times New Roman" w:cs="Times New Roman"/>
          <w:color w:val="000000"/>
          <w:sz w:val="24"/>
          <w:szCs w:val="24"/>
        </w:rPr>
        <w:t xml:space="preserve"> </w:t>
      </w:r>
    </w:p>
    <w:p w14:paraId="13357E43" w14:textId="77777777" w:rsidR="00AC3303" w:rsidRPr="00AC3303" w:rsidRDefault="002B2191" w:rsidP="00AC3303">
      <w:pPr>
        <w:spacing w:after="0" w:line="360" w:lineRule="auto"/>
        <w:ind w:firstLine="709"/>
        <w:jc w:val="both"/>
        <w:rPr>
          <w:rFonts w:ascii="Times New Roman" w:hAnsi="Times New Roman" w:cs="Times New Roman"/>
          <w:color w:val="000000"/>
          <w:sz w:val="24"/>
          <w:szCs w:val="24"/>
        </w:rPr>
      </w:pPr>
      <w:r w:rsidRPr="00C467DB">
        <w:rPr>
          <w:rFonts w:ascii="Times New Roman" w:hAnsi="Times New Roman" w:cs="Times New Roman"/>
          <w:color w:val="000000"/>
          <w:sz w:val="24"/>
          <w:szCs w:val="24"/>
        </w:rPr>
        <w:t xml:space="preserve">От 01.01.2006 г. е в сила забрана за използването на антибиотици като растежни стимулатори. Операторите в сектора на фуражите в Република България са длъжни да спазват правните изисквания за хигиената на фуражите и прилагат най-добрите практики в производството на безопасни и балансирани по хранителен състав фуражи. Съгласно разпоредбите на Регламент (ЕО) № 178/2002, въведен с разпоредбата на чл. 24 от Закона за фуражите, отговорност на операторите е да гарантират безопасността и подходящия състав на фуражите. Те също така трябва да гарантират, че всички съставки отговарят на необходимите стандарти и че производственият процес не позволява фуражите да бъдат замърсени с вещества, които биха могли да застрашат безопасността на фуражите. Операторите в сектора на фуражите, които произвеждат медикаментозни фуражи, са одобрени за тяхното производство от </w:t>
      </w:r>
      <w:r w:rsidR="00F530CE" w:rsidRPr="00C467DB">
        <w:rPr>
          <w:rFonts w:ascii="Times New Roman" w:hAnsi="Times New Roman" w:cs="Times New Roman"/>
          <w:color w:val="000000"/>
          <w:sz w:val="24"/>
          <w:szCs w:val="24"/>
        </w:rPr>
        <w:t>БАБХ</w:t>
      </w:r>
      <w:r w:rsidRPr="00C467DB">
        <w:rPr>
          <w:rFonts w:ascii="Times New Roman" w:hAnsi="Times New Roman" w:cs="Times New Roman"/>
          <w:color w:val="000000"/>
          <w:sz w:val="24"/>
          <w:szCs w:val="24"/>
        </w:rPr>
        <w:t xml:space="preserve">. Те трябва да спазват всички </w:t>
      </w:r>
      <w:r w:rsidR="00F530CE" w:rsidRPr="00C467DB">
        <w:rPr>
          <w:rFonts w:ascii="Times New Roman" w:hAnsi="Times New Roman" w:cs="Times New Roman"/>
          <w:color w:val="000000"/>
          <w:sz w:val="24"/>
          <w:szCs w:val="24"/>
        </w:rPr>
        <w:t xml:space="preserve">нормативни </w:t>
      </w:r>
      <w:r w:rsidRPr="00C467DB">
        <w:rPr>
          <w:rFonts w:ascii="Times New Roman" w:hAnsi="Times New Roman" w:cs="Times New Roman"/>
          <w:color w:val="000000"/>
          <w:sz w:val="24"/>
          <w:szCs w:val="24"/>
        </w:rPr>
        <w:t xml:space="preserve">изисквания за медикаментозните фуражи и могат да произвеждат само медикаментозни фуражи в състава, на които са включени лицензирани за употреба </w:t>
      </w:r>
      <w:r w:rsidR="002B1C8E" w:rsidRPr="00C467DB">
        <w:rPr>
          <w:rFonts w:ascii="Times New Roman" w:hAnsi="Times New Roman" w:cs="Times New Roman"/>
          <w:color w:val="000000"/>
          <w:sz w:val="24"/>
          <w:szCs w:val="24"/>
        </w:rPr>
        <w:t>ветеринарни лек</w:t>
      </w:r>
      <w:r w:rsidR="00742FCC" w:rsidRPr="00C467DB">
        <w:rPr>
          <w:rFonts w:ascii="Times New Roman" w:hAnsi="Times New Roman" w:cs="Times New Roman"/>
          <w:color w:val="000000"/>
          <w:sz w:val="24"/>
          <w:szCs w:val="24"/>
        </w:rPr>
        <w:t>а</w:t>
      </w:r>
      <w:r w:rsidR="002B1C8E" w:rsidRPr="00C467DB">
        <w:rPr>
          <w:rFonts w:ascii="Times New Roman" w:hAnsi="Times New Roman" w:cs="Times New Roman"/>
          <w:color w:val="000000"/>
          <w:sz w:val="24"/>
          <w:szCs w:val="24"/>
        </w:rPr>
        <w:t xml:space="preserve">рствени </w:t>
      </w:r>
      <w:r w:rsidRPr="00C467DB">
        <w:rPr>
          <w:rFonts w:ascii="Times New Roman" w:hAnsi="Times New Roman" w:cs="Times New Roman"/>
          <w:color w:val="000000"/>
          <w:sz w:val="24"/>
          <w:szCs w:val="24"/>
        </w:rPr>
        <w:t xml:space="preserve">продукти и в съответствие с предписанията на регистриран ветеринарен </w:t>
      </w:r>
      <w:r w:rsidRPr="00C467DB">
        <w:rPr>
          <w:rFonts w:ascii="Times New Roman" w:hAnsi="Times New Roman" w:cs="Times New Roman"/>
          <w:color w:val="000000"/>
          <w:sz w:val="24"/>
          <w:szCs w:val="24"/>
        </w:rPr>
        <w:lastRenderedPageBreak/>
        <w:t>лекар. Тези оператори трябва да спазват добрите производствени практики и да осигурят подходящо смесване, за да гарантират хомогенност на антимикробните средства във фуражите. Те трябва да предприемат действия за избягване на кръстосаното замърсяване и да сведат до минимум преноса на антимикробни средства в следващи партиди фуражи. В съответствие със законодателството на ЕС, медикаментозните фуражи трябва да бъдат подходящо етикетирани и да се доставят на крайния потребител само срещу представяне на валидна рецепта от регистриран ветеринарен лекар. Операторите са длъжни да съхраняват подробни данни за употребяваните антимикробни средства, за произведените медикаментозни фуражи и за местоназначението и животните</w:t>
      </w:r>
      <w:r w:rsidR="004C2ACE" w:rsidRPr="00C467DB">
        <w:rPr>
          <w:rFonts w:ascii="Times New Roman" w:hAnsi="Times New Roman" w:cs="Times New Roman"/>
          <w:color w:val="000000"/>
          <w:sz w:val="24"/>
          <w:szCs w:val="24"/>
        </w:rPr>
        <w:t>,</w:t>
      </w:r>
      <w:r w:rsidRPr="00C467DB">
        <w:rPr>
          <w:rFonts w:ascii="Times New Roman" w:hAnsi="Times New Roman" w:cs="Times New Roman"/>
          <w:color w:val="000000"/>
          <w:sz w:val="24"/>
          <w:szCs w:val="24"/>
        </w:rPr>
        <w:t xml:space="preserve"> които са изхранени</w:t>
      </w:r>
      <w:r w:rsidR="004C2ACE" w:rsidRPr="00C467DB">
        <w:rPr>
          <w:rFonts w:ascii="Times New Roman" w:hAnsi="Times New Roman" w:cs="Times New Roman"/>
          <w:color w:val="000000"/>
          <w:sz w:val="24"/>
          <w:szCs w:val="24"/>
        </w:rPr>
        <w:t xml:space="preserve"> с тях</w:t>
      </w:r>
      <w:r w:rsidRPr="00C467DB">
        <w:rPr>
          <w:rFonts w:ascii="Times New Roman" w:hAnsi="Times New Roman" w:cs="Times New Roman"/>
          <w:color w:val="000000"/>
          <w:sz w:val="24"/>
          <w:szCs w:val="24"/>
        </w:rPr>
        <w:t xml:space="preserve">. За спазването от страна на операторите и фермерите на изискванията за употреба на медикаментозните фуражи </w:t>
      </w:r>
      <w:r w:rsidR="002B1C8E" w:rsidRPr="00C467DB">
        <w:rPr>
          <w:rFonts w:ascii="Times New Roman" w:hAnsi="Times New Roman" w:cs="Times New Roman"/>
          <w:color w:val="000000"/>
          <w:sz w:val="24"/>
          <w:szCs w:val="24"/>
        </w:rPr>
        <w:t>БАБХ</w:t>
      </w:r>
      <w:r w:rsidRPr="00C467DB">
        <w:rPr>
          <w:rFonts w:ascii="Times New Roman" w:hAnsi="Times New Roman" w:cs="Times New Roman"/>
          <w:color w:val="000000"/>
          <w:sz w:val="24"/>
          <w:szCs w:val="24"/>
        </w:rPr>
        <w:t xml:space="preserve"> извършва контрол. Със Закона за фуражите производителите на медикаментозни фуражи са длъжни в края на всяко тримесечие да предоставят информация за произведените и реализирани от тях медикаментозни фуражи. </w:t>
      </w:r>
      <w:r w:rsidR="00AC3303" w:rsidRPr="00AC3303">
        <w:rPr>
          <w:rFonts w:ascii="Times New Roman" w:hAnsi="Times New Roman" w:cs="Times New Roman"/>
          <w:color w:val="000000"/>
          <w:sz w:val="24"/>
          <w:szCs w:val="24"/>
        </w:rPr>
        <w:t>Съгласно разпоредбата на чл. 18 от Регламент 2019/4, с чл. 55з от Закона за фуражите е въведена процедура за събиране и обезвреждането на медикаментозни фуражи и/или на междинни продукти с изтекъл срок на годност или от които лицата, които отглеждат животни, са получили по-голямо количество от реално използваното количество за лечението, предписано във ветеринарната рецепта за медикаментозен фураж. Информацията за място, където се събират неизползваните медикаментозни фуражи и/или междинни продукти е публикувана на електронната страница на БАБХ в рубрика „За Бизнеса“, подрубрика „Фуражи“ и се поддържа актуална. Информацията е д</w:t>
      </w:r>
      <w:r w:rsidR="007453CB">
        <w:rPr>
          <w:rFonts w:ascii="Times New Roman" w:hAnsi="Times New Roman" w:cs="Times New Roman"/>
          <w:color w:val="000000"/>
          <w:sz w:val="24"/>
          <w:szCs w:val="24"/>
        </w:rPr>
        <w:t>о</w:t>
      </w:r>
      <w:r w:rsidR="00AC3303" w:rsidRPr="00AC3303">
        <w:rPr>
          <w:rFonts w:ascii="Times New Roman" w:hAnsi="Times New Roman" w:cs="Times New Roman"/>
          <w:color w:val="000000"/>
          <w:sz w:val="24"/>
          <w:szCs w:val="24"/>
        </w:rPr>
        <w:t>стъпна на следния линк:</w:t>
      </w:r>
    </w:p>
    <w:p w14:paraId="06399ECB" w14:textId="77777777" w:rsidR="002B2191" w:rsidRPr="00C467DB" w:rsidRDefault="004758B3" w:rsidP="00AC3303">
      <w:pPr>
        <w:spacing w:after="0" w:line="360" w:lineRule="auto"/>
        <w:ind w:firstLine="709"/>
        <w:jc w:val="both"/>
        <w:rPr>
          <w:rFonts w:ascii="Times New Roman" w:hAnsi="Times New Roman" w:cs="Times New Roman"/>
          <w:color w:val="000000"/>
          <w:sz w:val="24"/>
          <w:szCs w:val="24"/>
        </w:rPr>
      </w:pPr>
      <w:hyperlink r:id="rId15" w:history="1">
        <w:r w:rsidR="00AC3303" w:rsidRPr="002A2CB9">
          <w:rPr>
            <w:rStyle w:val="Hyperlink"/>
            <w:rFonts w:ascii="Times New Roman" w:hAnsi="Times New Roman" w:cs="Times New Roman"/>
            <w:sz w:val="24"/>
            <w:szCs w:val="24"/>
          </w:rPr>
          <w:t>https://bfsa.egov.bg/wps/wcm/connect/bfsa.egov.bg19113/fef85e57-13fc-44a6-a811-1d76e4e7c005/00+Informaciya+55z%2C+al.+3.pdf?MOD=AJPERES&amp;CVID=pnhy-Ol</w:t>
        </w:r>
      </w:hyperlink>
      <w:r w:rsidR="00AC3303">
        <w:rPr>
          <w:rFonts w:ascii="Times New Roman" w:hAnsi="Times New Roman" w:cs="Times New Roman"/>
          <w:color w:val="000000"/>
          <w:sz w:val="24"/>
          <w:szCs w:val="24"/>
        </w:rPr>
        <w:t xml:space="preserve"> </w:t>
      </w:r>
    </w:p>
    <w:p w14:paraId="6B8D8C0A" w14:textId="77777777" w:rsidR="007049B7" w:rsidRDefault="002B2191" w:rsidP="00D37E44">
      <w:pPr>
        <w:spacing w:after="0" w:line="360" w:lineRule="auto"/>
        <w:ind w:firstLine="709"/>
        <w:contextualSpacing/>
        <w:jc w:val="both"/>
        <w:rPr>
          <w:rFonts w:ascii="Times New Roman" w:hAnsi="Times New Roman" w:cs="Times New Roman"/>
          <w:color w:val="000000"/>
          <w:sz w:val="24"/>
          <w:szCs w:val="24"/>
          <w:lang w:val="en-US"/>
        </w:rPr>
      </w:pPr>
      <w:r w:rsidRPr="00C467DB">
        <w:rPr>
          <w:rFonts w:ascii="Times New Roman" w:hAnsi="Times New Roman" w:cs="Times New Roman"/>
          <w:color w:val="000000"/>
          <w:sz w:val="24"/>
          <w:szCs w:val="24"/>
        </w:rPr>
        <w:t>Една от най-ефективните възможни мерки за ограничаване на разширяването на АМР е общо намаляване на употребата на антимикробни средства. Това се постига най-добре чрез мерки за предотвратяване възникването на инфекции (</w:t>
      </w:r>
      <w:r w:rsidR="002B1C8E" w:rsidRPr="00C467DB">
        <w:rPr>
          <w:rFonts w:ascii="Times New Roman" w:hAnsi="Times New Roman" w:cs="Times New Roman"/>
          <w:color w:val="000000"/>
          <w:sz w:val="24"/>
          <w:szCs w:val="24"/>
        </w:rPr>
        <w:t>спазване на добри животновъдни практики</w:t>
      </w:r>
      <w:r w:rsidRPr="00C467DB">
        <w:rPr>
          <w:rFonts w:ascii="Times New Roman" w:hAnsi="Times New Roman" w:cs="Times New Roman"/>
          <w:color w:val="000000"/>
          <w:sz w:val="24"/>
          <w:szCs w:val="24"/>
        </w:rPr>
        <w:t>, биологична сигурност, ваксинация и т.н.), целенасочена употреба на антимикробни</w:t>
      </w:r>
      <w:r w:rsidRPr="00C467DB">
        <w:rPr>
          <w:rFonts w:ascii="Times New Roman" w:hAnsi="Times New Roman" w:cs="Times New Roman"/>
          <w:sz w:val="24"/>
          <w:szCs w:val="24"/>
        </w:rPr>
        <w:t xml:space="preserve"> </w:t>
      </w:r>
      <w:r w:rsidRPr="00C467DB">
        <w:rPr>
          <w:rFonts w:ascii="Times New Roman" w:hAnsi="Times New Roman" w:cs="Times New Roman"/>
          <w:color w:val="000000"/>
          <w:sz w:val="24"/>
          <w:szCs w:val="24"/>
        </w:rPr>
        <w:t>продукти чрез поставяне на точна диагноза</w:t>
      </w:r>
      <w:r w:rsidR="004C2ACE" w:rsidRPr="00C467DB">
        <w:rPr>
          <w:rFonts w:ascii="Times New Roman" w:hAnsi="Times New Roman" w:cs="Times New Roman"/>
          <w:color w:val="000000"/>
          <w:sz w:val="24"/>
          <w:szCs w:val="24"/>
        </w:rPr>
        <w:t>,</w:t>
      </w:r>
      <w:r w:rsidRPr="00C467DB">
        <w:rPr>
          <w:rFonts w:ascii="Times New Roman" w:hAnsi="Times New Roman" w:cs="Times New Roman"/>
          <w:color w:val="000000"/>
          <w:sz w:val="24"/>
          <w:szCs w:val="24"/>
        </w:rPr>
        <w:t xml:space="preserve"> базирана на доказателства, насоки за подход при антибиотично лечение и прилагане на правилните схеми на лечение. С цел насърчаване на подхода за разумна употреба на антимикробни средства във ветеринарната медицина, на интернет страницата на БАБХ са публикувани Насоките на ЕК за разумната употреба на антимикробни средства във ветеринарната медицина (2015/C 299/04)</w:t>
      </w:r>
      <w:r w:rsidR="00202B44">
        <w:rPr>
          <w:rFonts w:ascii="Times New Roman" w:hAnsi="Times New Roman" w:cs="Times New Roman"/>
          <w:color w:val="000000"/>
          <w:sz w:val="24"/>
          <w:szCs w:val="24"/>
        </w:rPr>
        <w:t>.</w:t>
      </w:r>
      <w:r w:rsidR="007453CB">
        <w:rPr>
          <w:rFonts w:ascii="Times New Roman" w:hAnsi="Times New Roman" w:cs="Times New Roman"/>
          <w:color w:val="000000"/>
          <w:sz w:val="24"/>
          <w:szCs w:val="24"/>
        </w:rPr>
        <w:t xml:space="preserve"> </w:t>
      </w:r>
      <w:r w:rsidR="00202B44">
        <w:rPr>
          <w:rFonts w:ascii="Times New Roman" w:hAnsi="Times New Roman" w:cs="Times New Roman"/>
          <w:color w:val="000000"/>
          <w:sz w:val="24"/>
          <w:szCs w:val="24"/>
        </w:rPr>
        <w:t xml:space="preserve">Ежегодно БАБХ провежда </w:t>
      </w:r>
      <w:r w:rsidRPr="00C467DB">
        <w:rPr>
          <w:rFonts w:ascii="Times New Roman" w:hAnsi="Times New Roman" w:cs="Times New Roman"/>
          <w:color w:val="000000"/>
          <w:sz w:val="24"/>
          <w:szCs w:val="24"/>
        </w:rPr>
        <w:t>работн</w:t>
      </w:r>
      <w:r w:rsidR="00202B44">
        <w:rPr>
          <w:rFonts w:ascii="Times New Roman" w:hAnsi="Times New Roman" w:cs="Times New Roman"/>
          <w:color w:val="000000"/>
          <w:sz w:val="24"/>
          <w:szCs w:val="24"/>
        </w:rPr>
        <w:t>и</w:t>
      </w:r>
      <w:r w:rsidRPr="00C467DB">
        <w:rPr>
          <w:rFonts w:ascii="Times New Roman" w:hAnsi="Times New Roman" w:cs="Times New Roman"/>
          <w:color w:val="000000"/>
          <w:sz w:val="24"/>
          <w:szCs w:val="24"/>
        </w:rPr>
        <w:t xml:space="preserve"> срещ</w:t>
      </w:r>
      <w:r w:rsidR="00202B44">
        <w:rPr>
          <w:rFonts w:ascii="Times New Roman" w:hAnsi="Times New Roman" w:cs="Times New Roman"/>
          <w:color w:val="000000"/>
          <w:sz w:val="24"/>
          <w:szCs w:val="24"/>
        </w:rPr>
        <w:t>и</w:t>
      </w:r>
      <w:r w:rsidRPr="00C467DB">
        <w:rPr>
          <w:rFonts w:ascii="Times New Roman" w:hAnsi="Times New Roman" w:cs="Times New Roman"/>
          <w:color w:val="000000"/>
          <w:sz w:val="24"/>
          <w:szCs w:val="24"/>
        </w:rPr>
        <w:t xml:space="preserve"> с представители на Българския ветеринарен съюз и Сдружението на производителите, вносителите и </w:t>
      </w:r>
      <w:r w:rsidRPr="00C467DB">
        <w:rPr>
          <w:rFonts w:ascii="Times New Roman" w:hAnsi="Times New Roman" w:cs="Times New Roman"/>
          <w:color w:val="000000"/>
          <w:sz w:val="24"/>
          <w:szCs w:val="24"/>
        </w:rPr>
        <w:lastRenderedPageBreak/>
        <w:t>търговците на ВМП</w:t>
      </w:r>
      <w:r w:rsidR="00202B44">
        <w:rPr>
          <w:rFonts w:ascii="Times New Roman" w:hAnsi="Times New Roman" w:cs="Times New Roman"/>
          <w:color w:val="000000"/>
          <w:sz w:val="24"/>
          <w:szCs w:val="24"/>
        </w:rPr>
        <w:t>, на които се обсъждат въпроси свързани с търговията и уп</w:t>
      </w:r>
      <w:r w:rsidR="005408F1">
        <w:rPr>
          <w:rFonts w:ascii="Times New Roman" w:hAnsi="Times New Roman" w:cs="Times New Roman"/>
          <w:color w:val="000000"/>
          <w:sz w:val="24"/>
          <w:szCs w:val="24"/>
        </w:rPr>
        <w:t>о</w:t>
      </w:r>
      <w:r w:rsidR="00202B44">
        <w:rPr>
          <w:rFonts w:ascii="Times New Roman" w:hAnsi="Times New Roman" w:cs="Times New Roman"/>
          <w:color w:val="000000"/>
          <w:sz w:val="24"/>
          <w:szCs w:val="24"/>
        </w:rPr>
        <w:t>требата на антимикробни лекарствени продукти при животните</w:t>
      </w:r>
      <w:r w:rsidRPr="00C467DB">
        <w:rPr>
          <w:rFonts w:ascii="Times New Roman" w:hAnsi="Times New Roman" w:cs="Times New Roman"/>
          <w:color w:val="000000"/>
          <w:sz w:val="24"/>
          <w:szCs w:val="24"/>
        </w:rPr>
        <w:t xml:space="preserve">. </w:t>
      </w:r>
    </w:p>
    <w:p w14:paraId="3042419D" w14:textId="77777777" w:rsidR="007049B7" w:rsidRDefault="002B2191" w:rsidP="00D37E44">
      <w:pPr>
        <w:spacing w:after="0" w:line="360" w:lineRule="auto"/>
        <w:ind w:firstLine="709"/>
        <w:contextualSpacing/>
        <w:jc w:val="both"/>
        <w:rPr>
          <w:rFonts w:ascii="Times New Roman" w:hAnsi="Times New Roman" w:cs="Times New Roman"/>
          <w:color w:val="000000"/>
          <w:sz w:val="24"/>
          <w:szCs w:val="24"/>
        </w:rPr>
      </w:pPr>
      <w:r w:rsidRPr="00C467DB">
        <w:rPr>
          <w:rFonts w:ascii="Times New Roman" w:hAnsi="Times New Roman" w:cs="Times New Roman"/>
          <w:color w:val="000000"/>
          <w:sz w:val="24"/>
          <w:szCs w:val="24"/>
        </w:rPr>
        <w:t>От 2011 г. БАБХ участва в инициативата ESVAC (Европейска система за надзор на консумацията на ветеринарни антимикробни средства) към Европейската агенция по лекарствата (ЕАЛ)</w:t>
      </w:r>
      <w:r w:rsidR="00407418" w:rsidRPr="00C467DB">
        <w:rPr>
          <w:rFonts w:ascii="Times New Roman" w:hAnsi="Times New Roman" w:cs="Times New Roman"/>
          <w:color w:val="000000"/>
          <w:sz w:val="24"/>
          <w:szCs w:val="24"/>
          <w:lang w:val="en-US"/>
        </w:rPr>
        <w:t xml:space="preserve"> </w:t>
      </w:r>
      <w:r w:rsidR="00407418" w:rsidRPr="00C467DB">
        <w:rPr>
          <w:rFonts w:ascii="Times New Roman" w:hAnsi="Times New Roman" w:cs="Times New Roman"/>
          <w:color w:val="000000"/>
          <w:sz w:val="24"/>
          <w:szCs w:val="24"/>
        </w:rPr>
        <w:t>за събиране на данни за обемите продажби на антимикробни ВЛП</w:t>
      </w:r>
      <w:r w:rsidR="007049B7">
        <w:rPr>
          <w:rFonts w:ascii="Times New Roman" w:hAnsi="Times New Roman" w:cs="Times New Roman"/>
          <w:color w:val="000000"/>
          <w:sz w:val="24"/>
          <w:szCs w:val="24"/>
        </w:rPr>
        <w:t>.</w:t>
      </w:r>
      <w:r w:rsidR="00C20CF8">
        <w:rPr>
          <w:rFonts w:ascii="Times New Roman" w:hAnsi="Times New Roman" w:cs="Times New Roman"/>
          <w:color w:val="000000"/>
          <w:sz w:val="24"/>
          <w:szCs w:val="24"/>
        </w:rPr>
        <w:t xml:space="preserve"> Тринадесетият доклад</w:t>
      </w:r>
      <w:r w:rsidR="007049B7">
        <w:rPr>
          <w:rFonts w:ascii="Times New Roman" w:hAnsi="Times New Roman" w:cs="Times New Roman"/>
          <w:color w:val="000000"/>
          <w:sz w:val="24"/>
          <w:szCs w:val="24"/>
        </w:rPr>
        <w:t xml:space="preserve"> </w:t>
      </w:r>
      <w:r w:rsidR="00C20CF8">
        <w:rPr>
          <w:rFonts w:ascii="Times New Roman" w:hAnsi="Times New Roman" w:cs="Times New Roman"/>
          <w:color w:val="000000"/>
          <w:sz w:val="24"/>
          <w:szCs w:val="24"/>
        </w:rPr>
        <w:t xml:space="preserve">на </w:t>
      </w:r>
      <w:r w:rsidR="00C20CF8" w:rsidRPr="00C20CF8">
        <w:rPr>
          <w:rFonts w:ascii="Times New Roman" w:hAnsi="Times New Roman" w:cs="Times New Roman"/>
          <w:color w:val="000000"/>
          <w:sz w:val="24"/>
          <w:szCs w:val="24"/>
        </w:rPr>
        <w:t xml:space="preserve">ESVAC </w:t>
      </w:r>
      <w:r w:rsidR="00C20CF8">
        <w:rPr>
          <w:rFonts w:ascii="Times New Roman" w:hAnsi="Times New Roman" w:cs="Times New Roman"/>
          <w:color w:val="000000"/>
          <w:sz w:val="24"/>
          <w:szCs w:val="24"/>
        </w:rPr>
        <w:t xml:space="preserve">„Продажби на ветеринарни антимикробни продукти в 31 европейски държави през 2022“ </w:t>
      </w:r>
      <w:r w:rsidR="00202B44">
        <w:rPr>
          <w:rFonts w:ascii="Times New Roman" w:hAnsi="Times New Roman" w:cs="Times New Roman"/>
          <w:color w:val="000000"/>
          <w:sz w:val="24"/>
          <w:szCs w:val="24"/>
          <w:lang w:val="en-US"/>
        </w:rPr>
        <w:t>(</w:t>
      </w:r>
      <w:r w:rsidR="00202B44">
        <w:rPr>
          <w:rFonts w:ascii="Times New Roman" w:hAnsi="Times New Roman" w:cs="Times New Roman"/>
          <w:color w:val="000000"/>
          <w:sz w:val="24"/>
          <w:szCs w:val="24"/>
        </w:rPr>
        <w:t xml:space="preserve">European Medicines Agency, </w:t>
      </w:r>
      <w:r w:rsidR="00202B44" w:rsidRPr="00344CCA">
        <w:rPr>
          <w:rFonts w:ascii="Times New Roman" w:hAnsi="Times New Roman" w:cs="Times New Roman"/>
          <w:i/>
          <w:iCs/>
          <w:color w:val="000000"/>
          <w:sz w:val="24"/>
          <w:szCs w:val="24"/>
        </w:rPr>
        <w:t>Sales of veterinary antimicrobial agents in 31 European countries in 2022 – Trends from 2010 to 2022 – Thirteenth ESVAC report</w:t>
      </w:r>
      <w:r w:rsidR="00202B44" w:rsidRPr="00344CCA">
        <w:rPr>
          <w:rFonts w:ascii="Times New Roman" w:hAnsi="Times New Roman" w:cs="Times New Roman"/>
          <w:color w:val="000000"/>
          <w:sz w:val="24"/>
          <w:szCs w:val="24"/>
        </w:rPr>
        <w:t>, Publications Office of the European Union, 2023,</w:t>
      </w:r>
      <w:r w:rsidR="00202B44">
        <w:rPr>
          <w:rFonts w:ascii="Times New Roman" w:hAnsi="Times New Roman" w:cs="Times New Roman"/>
          <w:color w:val="000000"/>
          <w:sz w:val="24"/>
          <w:szCs w:val="24"/>
        </w:rPr>
        <w:t xml:space="preserve"> достъпен на: </w:t>
      </w:r>
      <w:hyperlink r:id="rId16" w:tgtFrame="_blank" w:history="1">
        <w:r w:rsidR="00202B44" w:rsidRPr="00344CCA">
          <w:rPr>
            <w:rStyle w:val="Hyperlink"/>
            <w:rFonts w:ascii="Times New Roman" w:hAnsi="Times New Roman" w:cs="Times New Roman"/>
            <w:b/>
            <w:bCs/>
            <w:sz w:val="24"/>
            <w:szCs w:val="24"/>
          </w:rPr>
          <w:t>https://data.europa.eu/doi/10.2809/895656</w:t>
        </w:r>
      </w:hyperlink>
      <w:r w:rsidR="00202B44">
        <w:rPr>
          <w:rFonts w:ascii="Times New Roman" w:hAnsi="Times New Roman" w:cs="Times New Roman"/>
          <w:color w:val="000000"/>
          <w:sz w:val="24"/>
          <w:szCs w:val="24"/>
          <w:lang w:val="en-US"/>
        </w:rPr>
        <w:t>)</w:t>
      </w:r>
      <w:r w:rsidR="00C20CF8">
        <w:rPr>
          <w:rFonts w:ascii="Times New Roman" w:hAnsi="Times New Roman" w:cs="Times New Roman"/>
          <w:color w:val="000000"/>
          <w:sz w:val="24"/>
          <w:szCs w:val="24"/>
        </w:rPr>
        <w:t xml:space="preserve"> показва тенденциите </w:t>
      </w:r>
      <w:r w:rsidR="00543107">
        <w:rPr>
          <w:rFonts w:ascii="Times New Roman" w:hAnsi="Times New Roman" w:cs="Times New Roman"/>
          <w:color w:val="000000"/>
          <w:sz w:val="24"/>
          <w:szCs w:val="24"/>
        </w:rPr>
        <w:t>от 2010 до 2022 г.</w:t>
      </w:r>
      <w:r w:rsidR="00C20CF8">
        <w:rPr>
          <w:rFonts w:ascii="Times New Roman" w:hAnsi="Times New Roman" w:cs="Times New Roman"/>
          <w:color w:val="000000"/>
          <w:sz w:val="24"/>
          <w:szCs w:val="24"/>
        </w:rPr>
        <w:t xml:space="preserve"> </w:t>
      </w:r>
      <w:r w:rsidR="00543107" w:rsidRPr="00543107">
        <w:rPr>
          <w:rFonts w:ascii="Times New Roman" w:hAnsi="Times New Roman" w:cs="Times New Roman"/>
          <w:color w:val="000000"/>
          <w:sz w:val="24"/>
          <w:szCs w:val="24"/>
        </w:rPr>
        <w:t>Количествата</w:t>
      </w:r>
      <w:r w:rsidR="00202B44">
        <w:rPr>
          <w:rFonts w:ascii="Times New Roman" w:hAnsi="Times New Roman" w:cs="Times New Roman"/>
          <w:color w:val="000000"/>
          <w:sz w:val="24"/>
          <w:szCs w:val="24"/>
        </w:rPr>
        <w:t xml:space="preserve"> продадени в България</w:t>
      </w:r>
      <w:r w:rsidR="00543107" w:rsidRPr="00543107">
        <w:rPr>
          <w:rFonts w:ascii="Times New Roman" w:hAnsi="Times New Roman" w:cs="Times New Roman"/>
          <w:color w:val="000000"/>
          <w:sz w:val="24"/>
          <w:szCs w:val="24"/>
        </w:rPr>
        <w:t xml:space="preserve"> антимикробни продукти са остойностени в </w:t>
      </w:r>
      <w:r w:rsidR="00202B44">
        <w:rPr>
          <w:rFonts w:ascii="Times New Roman" w:hAnsi="Times New Roman" w:cs="Times New Roman"/>
          <w:color w:val="000000"/>
          <w:sz w:val="24"/>
          <w:szCs w:val="24"/>
        </w:rPr>
        <w:t>милиграми</w:t>
      </w:r>
      <w:r w:rsidR="00543107" w:rsidRPr="00543107">
        <w:rPr>
          <w:rFonts w:ascii="Times New Roman" w:hAnsi="Times New Roman" w:cs="Times New Roman"/>
          <w:color w:val="000000"/>
          <w:sz w:val="24"/>
          <w:szCs w:val="24"/>
        </w:rPr>
        <w:t xml:space="preserve"> </w:t>
      </w:r>
      <w:r w:rsidR="00202B44">
        <w:rPr>
          <w:rFonts w:ascii="Times New Roman" w:hAnsi="Times New Roman" w:cs="Times New Roman"/>
          <w:color w:val="000000"/>
          <w:sz w:val="24"/>
          <w:szCs w:val="24"/>
        </w:rPr>
        <w:t xml:space="preserve">активно вещество </w:t>
      </w:r>
      <w:r w:rsidR="00543107" w:rsidRPr="00543107">
        <w:rPr>
          <w:rFonts w:ascii="Times New Roman" w:hAnsi="Times New Roman" w:cs="Times New Roman"/>
          <w:color w:val="000000"/>
          <w:sz w:val="24"/>
          <w:szCs w:val="24"/>
        </w:rPr>
        <w:t>н</w:t>
      </w:r>
      <w:r w:rsidR="00543107">
        <w:rPr>
          <w:rFonts w:ascii="Times New Roman" w:hAnsi="Times New Roman" w:cs="Times New Roman"/>
          <w:color w:val="000000"/>
          <w:sz w:val="24"/>
          <w:szCs w:val="24"/>
        </w:rPr>
        <w:t>а популационна единица (mg/PCU). С</w:t>
      </w:r>
      <w:r w:rsidR="00C20CF8">
        <w:rPr>
          <w:rFonts w:ascii="Times New Roman" w:hAnsi="Times New Roman" w:cs="Times New Roman"/>
          <w:color w:val="000000"/>
          <w:sz w:val="24"/>
          <w:szCs w:val="24"/>
        </w:rPr>
        <w:t>ъгласно доклада данните за България по отношение на животните, от които се произвеждат храни, включително коне и риба, отглеждана в стопанства са следните:</w:t>
      </w:r>
    </w:p>
    <w:p w14:paraId="78DBDFC0" w14:textId="77777777" w:rsidR="00C20CF8" w:rsidRDefault="00C20CF8" w:rsidP="00C20CF8">
      <w:pPr>
        <w:spacing w:after="0" w:line="360" w:lineRule="auto"/>
        <w:ind w:firstLine="709"/>
        <w:jc w:val="both"/>
        <w:rPr>
          <w:rFonts w:ascii="Times New Roman" w:hAnsi="Times New Roman" w:cs="Times New Roman"/>
          <w:color w:val="000000"/>
          <w:sz w:val="24"/>
          <w:szCs w:val="24"/>
        </w:rPr>
      </w:pPr>
      <w:r w:rsidRPr="00B1400C">
        <w:rPr>
          <w:rFonts w:ascii="Times New Roman" w:hAnsi="Times New Roman" w:cs="Times New Roman"/>
          <w:noProof/>
          <w:color w:val="000000"/>
          <w:sz w:val="24"/>
          <w:szCs w:val="24"/>
          <w:lang w:eastAsia="bg-BG"/>
        </w:rPr>
        <w:drawing>
          <wp:anchor distT="0" distB="0" distL="114300" distR="114300" simplePos="0" relativeHeight="251658752" behindDoc="0" locked="0" layoutInCell="1" allowOverlap="1" wp14:anchorId="1063686D" wp14:editId="50A9CE9A">
            <wp:simplePos x="0" y="0"/>
            <wp:positionH relativeFrom="column">
              <wp:posOffset>2758445</wp:posOffset>
            </wp:positionH>
            <wp:positionV relativeFrom="paragraph">
              <wp:posOffset>-2716839</wp:posOffset>
            </wp:positionV>
            <wp:extent cx="184150" cy="5773053"/>
            <wp:effectExtent l="6032"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184150" cy="57730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3C00A" w14:textId="77777777" w:rsidR="007049B7" w:rsidRDefault="007049B7" w:rsidP="00C20CF8">
      <w:pPr>
        <w:spacing w:after="0" w:line="360" w:lineRule="auto"/>
        <w:jc w:val="both"/>
        <w:rPr>
          <w:rFonts w:ascii="Times New Roman" w:hAnsi="Times New Roman" w:cs="Times New Roman"/>
          <w:color w:val="000000"/>
          <w:sz w:val="24"/>
          <w:szCs w:val="24"/>
        </w:rPr>
      </w:pPr>
      <w:r w:rsidRPr="00B1400C">
        <w:rPr>
          <w:rFonts w:ascii="Times New Roman" w:hAnsi="Times New Roman" w:cs="Times New Roman"/>
          <w:noProof/>
          <w:color w:val="000000"/>
          <w:sz w:val="24"/>
          <w:szCs w:val="24"/>
          <w:lang w:eastAsia="bg-BG"/>
        </w:rPr>
        <w:drawing>
          <wp:inline distT="0" distB="0" distL="0" distR="0" wp14:anchorId="1D67BBD8" wp14:editId="2F9E1567">
            <wp:extent cx="1474951" cy="5765686"/>
            <wp:effectExtent l="7302"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473835" cy="5761324"/>
                    </a:xfrm>
                    <a:prstGeom prst="rect">
                      <a:avLst/>
                    </a:prstGeom>
                    <a:noFill/>
                    <a:ln>
                      <a:noFill/>
                    </a:ln>
                  </pic:spPr>
                </pic:pic>
              </a:graphicData>
            </a:graphic>
          </wp:inline>
        </w:drawing>
      </w:r>
    </w:p>
    <w:p w14:paraId="448AF9B4" w14:textId="77777777" w:rsidR="00F73224" w:rsidRDefault="007049B7" w:rsidP="00C467DB">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w:t>
      </w:r>
      <w:r w:rsidR="00407418" w:rsidRPr="00C467DB">
        <w:rPr>
          <w:rFonts w:ascii="Times New Roman" w:hAnsi="Times New Roman" w:cs="Times New Roman"/>
          <w:color w:val="000000"/>
          <w:sz w:val="24"/>
          <w:szCs w:val="24"/>
        </w:rPr>
        <w:t xml:space="preserve">ъгласно изискванията на Регламент </w:t>
      </w:r>
      <w:r w:rsidR="00407418" w:rsidRPr="00C467DB">
        <w:rPr>
          <w:rFonts w:ascii="Times New Roman" w:hAnsi="Times New Roman" w:cs="Times New Roman"/>
          <w:color w:val="000000"/>
          <w:sz w:val="24"/>
          <w:szCs w:val="24"/>
          <w:lang w:val="en-US"/>
        </w:rPr>
        <w:t>(E</w:t>
      </w:r>
      <w:r w:rsidR="00407418" w:rsidRPr="00C467DB">
        <w:rPr>
          <w:rFonts w:ascii="Times New Roman" w:hAnsi="Times New Roman" w:cs="Times New Roman"/>
          <w:color w:val="000000"/>
          <w:sz w:val="24"/>
          <w:szCs w:val="24"/>
        </w:rPr>
        <w:t>С</w:t>
      </w:r>
      <w:r w:rsidR="00407418" w:rsidRPr="00C467DB">
        <w:rPr>
          <w:rFonts w:ascii="Times New Roman" w:hAnsi="Times New Roman" w:cs="Times New Roman"/>
          <w:color w:val="000000"/>
          <w:sz w:val="24"/>
          <w:szCs w:val="24"/>
          <w:lang w:val="en-US"/>
        </w:rPr>
        <w:t>)</w:t>
      </w:r>
      <w:r w:rsidR="00407418" w:rsidRPr="00C467DB">
        <w:rPr>
          <w:rFonts w:ascii="Times New Roman" w:hAnsi="Times New Roman" w:cs="Times New Roman"/>
          <w:color w:val="000000"/>
          <w:sz w:val="24"/>
          <w:szCs w:val="24"/>
        </w:rPr>
        <w:t xml:space="preserve"> 2019/6 на Европейския парламент и на Съвета, </w:t>
      </w:r>
      <w:r w:rsidR="00202B44">
        <w:rPr>
          <w:rFonts w:ascii="Times New Roman" w:hAnsi="Times New Roman" w:cs="Times New Roman"/>
          <w:color w:val="000000"/>
          <w:sz w:val="24"/>
          <w:szCs w:val="24"/>
        </w:rPr>
        <w:t xml:space="preserve">освен за продажбите, </w:t>
      </w:r>
      <w:r w:rsidR="00407418" w:rsidRPr="00C467DB">
        <w:rPr>
          <w:rFonts w:ascii="Times New Roman" w:hAnsi="Times New Roman" w:cs="Times New Roman"/>
          <w:color w:val="000000"/>
          <w:sz w:val="24"/>
          <w:szCs w:val="24"/>
        </w:rPr>
        <w:t>през 2024</w:t>
      </w:r>
      <w:r w:rsidR="00B84F2A">
        <w:rPr>
          <w:rFonts w:ascii="Times New Roman" w:hAnsi="Times New Roman" w:cs="Times New Roman"/>
          <w:color w:val="000000"/>
          <w:sz w:val="24"/>
          <w:szCs w:val="24"/>
        </w:rPr>
        <w:t xml:space="preserve"> </w:t>
      </w:r>
      <w:r w:rsidR="00407418" w:rsidRPr="00C467DB">
        <w:rPr>
          <w:rFonts w:ascii="Times New Roman" w:hAnsi="Times New Roman" w:cs="Times New Roman"/>
          <w:color w:val="000000"/>
          <w:sz w:val="24"/>
          <w:szCs w:val="24"/>
        </w:rPr>
        <w:t xml:space="preserve">г. </w:t>
      </w:r>
      <w:r w:rsidR="00202B44">
        <w:rPr>
          <w:rFonts w:ascii="Times New Roman" w:hAnsi="Times New Roman" w:cs="Times New Roman"/>
          <w:color w:val="000000"/>
          <w:sz w:val="24"/>
          <w:szCs w:val="24"/>
        </w:rPr>
        <w:t>БАБХ</w:t>
      </w:r>
      <w:r w:rsidR="00407418" w:rsidRPr="00C467DB">
        <w:rPr>
          <w:rFonts w:ascii="Times New Roman" w:hAnsi="Times New Roman" w:cs="Times New Roman"/>
          <w:color w:val="000000"/>
          <w:sz w:val="24"/>
          <w:szCs w:val="24"/>
        </w:rPr>
        <w:t xml:space="preserve"> стартира </w:t>
      </w:r>
      <w:r w:rsidR="002B2191" w:rsidRPr="00C467DB">
        <w:rPr>
          <w:rFonts w:ascii="Times New Roman" w:hAnsi="Times New Roman" w:cs="Times New Roman"/>
          <w:color w:val="000000"/>
          <w:sz w:val="24"/>
          <w:szCs w:val="24"/>
        </w:rPr>
        <w:t>събиране и предоставяне на данни</w:t>
      </w:r>
      <w:r w:rsidR="00202B44">
        <w:rPr>
          <w:rFonts w:ascii="Times New Roman" w:hAnsi="Times New Roman" w:cs="Times New Roman"/>
          <w:color w:val="000000"/>
          <w:sz w:val="24"/>
          <w:szCs w:val="24"/>
        </w:rPr>
        <w:t xml:space="preserve"> и</w:t>
      </w:r>
      <w:r w:rsidR="002B2191" w:rsidRPr="00C467DB">
        <w:rPr>
          <w:rFonts w:ascii="Times New Roman" w:hAnsi="Times New Roman" w:cs="Times New Roman"/>
          <w:color w:val="000000"/>
          <w:sz w:val="24"/>
          <w:szCs w:val="24"/>
        </w:rPr>
        <w:t xml:space="preserve"> за употребата на антимикробни </w:t>
      </w:r>
      <w:r w:rsidR="00447827" w:rsidRPr="00C467DB">
        <w:rPr>
          <w:rFonts w:ascii="Times New Roman" w:hAnsi="Times New Roman" w:cs="Times New Roman"/>
          <w:color w:val="000000"/>
          <w:sz w:val="24"/>
          <w:szCs w:val="24"/>
        </w:rPr>
        <w:t xml:space="preserve">продукти </w:t>
      </w:r>
      <w:r w:rsidR="002B2191" w:rsidRPr="00C467DB">
        <w:rPr>
          <w:rFonts w:ascii="Times New Roman" w:hAnsi="Times New Roman" w:cs="Times New Roman"/>
          <w:color w:val="000000"/>
          <w:sz w:val="24"/>
          <w:szCs w:val="24"/>
        </w:rPr>
        <w:t>по видове животни.</w:t>
      </w:r>
      <w:r w:rsidR="00202B44">
        <w:rPr>
          <w:rFonts w:ascii="Times New Roman" w:hAnsi="Times New Roman" w:cs="Times New Roman"/>
          <w:color w:val="000000"/>
          <w:sz w:val="24"/>
          <w:szCs w:val="24"/>
        </w:rPr>
        <w:t xml:space="preserve"> За целта</w:t>
      </w:r>
      <w:r w:rsidR="00055CDB">
        <w:rPr>
          <w:rFonts w:ascii="Times New Roman" w:hAnsi="Times New Roman" w:cs="Times New Roman"/>
          <w:color w:val="000000"/>
          <w:sz w:val="24"/>
          <w:szCs w:val="24"/>
        </w:rPr>
        <w:t>,</w:t>
      </w:r>
      <w:r w:rsidR="00202B44">
        <w:rPr>
          <w:rFonts w:ascii="Times New Roman" w:hAnsi="Times New Roman" w:cs="Times New Roman"/>
          <w:color w:val="000000"/>
          <w:sz w:val="24"/>
          <w:szCs w:val="24"/>
        </w:rPr>
        <w:t xml:space="preserve"> и в съответствие с изискванията на</w:t>
      </w:r>
      <w:r w:rsidR="00055CDB">
        <w:rPr>
          <w:rFonts w:ascii="Times New Roman" w:hAnsi="Times New Roman" w:cs="Times New Roman"/>
          <w:color w:val="000000"/>
          <w:sz w:val="24"/>
          <w:szCs w:val="24"/>
        </w:rPr>
        <w:t xml:space="preserve"> </w:t>
      </w:r>
      <w:r w:rsidR="00055CDB" w:rsidRPr="00055CDB">
        <w:rPr>
          <w:rFonts w:ascii="Times New Roman" w:hAnsi="Times New Roman" w:cs="Times New Roman"/>
          <w:color w:val="000000"/>
          <w:sz w:val="24"/>
          <w:szCs w:val="24"/>
        </w:rPr>
        <w:t xml:space="preserve">Регламент (ЕС) № 2019/6 и актовете по прилагането му, в БАБХ бе разработена и въведена в употреба електронна полу-автоматизирана система </w:t>
      </w:r>
      <w:r w:rsidR="00055CDB">
        <w:rPr>
          <w:rFonts w:ascii="Times New Roman" w:hAnsi="Times New Roman" w:cs="Times New Roman"/>
          <w:color w:val="000000"/>
          <w:sz w:val="24"/>
          <w:szCs w:val="24"/>
          <w:lang w:val="en-US"/>
        </w:rPr>
        <w:t xml:space="preserve">(AMR Tool) </w:t>
      </w:r>
      <w:r w:rsidR="00055CDB" w:rsidRPr="00055CDB">
        <w:rPr>
          <w:rFonts w:ascii="Times New Roman" w:hAnsi="Times New Roman" w:cs="Times New Roman"/>
          <w:color w:val="000000"/>
          <w:sz w:val="24"/>
          <w:szCs w:val="24"/>
        </w:rPr>
        <w:t>за събиране и обобщаване на данните, предоставяни от притежателите на разрешения за търговия с ВЛП</w:t>
      </w:r>
      <w:r w:rsidR="00B76600">
        <w:rPr>
          <w:rFonts w:ascii="Times New Roman" w:hAnsi="Times New Roman" w:cs="Times New Roman"/>
          <w:color w:val="000000"/>
          <w:sz w:val="24"/>
          <w:szCs w:val="24"/>
        </w:rPr>
        <w:t xml:space="preserve"> (или техни представители</w:t>
      </w:r>
      <w:r w:rsidR="00A21F8F">
        <w:rPr>
          <w:rFonts w:ascii="Times New Roman" w:hAnsi="Times New Roman" w:cs="Times New Roman"/>
          <w:color w:val="000000"/>
          <w:sz w:val="24"/>
          <w:szCs w:val="24"/>
          <w:lang w:val="en-US"/>
        </w:rPr>
        <w:t xml:space="preserve"> </w:t>
      </w:r>
      <w:r w:rsidR="00A21F8F">
        <w:rPr>
          <w:rFonts w:ascii="Times New Roman" w:hAnsi="Times New Roman" w:cs="Times New Roman"/>
          <w:color w:val="000000"/>
          <w:sz w:val="24"/>
          <w:szCs w:val="24"/>
        </w:rPr>
        <w:t>в България</w:t>
      </w:r>
      <w:r w:rsidR="00B76600">
        <w:rPr>
          <w:rFonts w:ascii="Times New Roman" w:hAnsi="Times New Roman" w:cs="Times New Roman"/>
          <w:color w:val="000000"/>
          <w:sz w:val="24"/>
          <w:szCs w:val="24"/>
        </w:rPr>
        <w:t>),</w:t>
      </w:r>
      <w:r w:rsidR="00055CDB" w:rsidRPr="00055CDB">
        <w:rPr>
          <w:rFonts w:ascii="Times New Roman" w:hAnsi="Times New Roman" w:cs="Times New Roman"/>
          <w:color w:val="000000"/>
          <w:sz w:val="24"/>
          <w:szCs w:val="24"/>
        </w:rPr>
        <w:t xml:space="preserve"> и регистрираните ветеринарни лекари.</w:t>
      </w:r>
    </w:p>
    <w:p w14:paraId="229A3F77" w14:textId="77777777" w:rsidR="00D87D38" w:rsidRDefault="00F73224" w:rsidP="00247BCD">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w:t>
      </w:r>
      <w:r w:rsidRPr="001A763F">
        <w:rPr>
          <w:rFonts w:ascii="Times New Roman" w:hAnsi="Times New Roman" w:cs="Times New Roman"/>
          <w:color w:val="000000"/>
          <w:sz w:val="24"/>
          <w:szCs w:val="24"/>
        </w:rPr>
        <w:t>31 март 2025 г. Европейската агенция по лекарствата публикува първия Доклад за надзора върху продажбите и употребата на антимикробни продукти във ветеринарната медицина, съдържащ предоставените от държавите членки данни за 2023</w:t>
      </w:r>
      <w:r w:rsidR="00B84F2A">
        <w:rPr>
          <w:rFonts w:ascii="Times New Roman" w:hAnsi="Times New Roman" w:cs="Times New Roman"/>
          <w:color w:val="000000"/>
          <w:sz w:val="24"/>
          <w:szCs w:val="24"/>
        </w:rPr>
        <w:t xml:space="preserve"> </w:t>
      </w:r>
      <w:r w:rsidRPr="001A763F">
        <w:rPr>
          <w:rFonts w:ascii="Times New Roman" w:hAnsi="Times New Roman" w:cs="Times New Roman"/>
          <w:color w:val="000000"/>
          <w:sz w:val="24"/>
          <w:szCs w:val="24"/>
        </w:rPr>
        <w:t xml:space="preserve">г. (European sales and use of antimicrobials for veterinary medicine: Annual surveillance report for 2023, </w:t>
      </w:r>
      <w:hyperlink r:id="rId19" w:history="1">
        <w:r w:rsidRPr="00247BCD">
          <w:rPr>
            <w:rStyle w:val="Hyperlink"/>
            <w:rFonts w:ascii="Times New Roman" w:hAnsi="Times New Roman" w:cs="Times New Roman"/>
            <w:sz w:val="24"/>
            <w:szCs w:val="24"/>
          </w:rPr>
          <w:t>https://www.ema.europa.eu/en/veterinary-regulatory-overview/antimicrobial-resistance-veterinary-medicine/european-sales-use-antimicrobials-veterinary-medicine-esuavet-annual-surveillance-reports</w:t>
        </w:r>
      </w:hyperlink>
      <w:r w:rsidRPr="00247BCD">
        <w:rPr>
          <w:rFonts w:ascii="Times New Roman" w:hAnsi="Times New Roman" w:cs="Times New Roman"/>
          <w:color w:val="000000"/>
          <w:sz w:val="24"/>
          <w:szCs w:val="24"/>
        </w:rPr>
        <w:t>)</w:t>
      </w:r>
      <w:r>
        <w:rPr>
          <w:rFonts w:ascii="Times New Roman" w:hAnsi="Times New Roman" w:cs="Times New Roman"/>
          <w:color w:val="000000"/>
          <w:sz w:val="24"/>
          <w:szCs w:val="24"/>
        </w:rPr>
        <w:t>. Въведена е нова методология за изчисляване на к</w:t>
      </w:r>
      <w:r w:rsidRPr="00543107">
        <w:rPr>
          <w:rFonts w:ascii="Times New Roman" w:hAnsi="Times New Roman" w:cs="Times New Roman"/>
          <w:color w:val="000000"/>
          <w:sz w:val="24"/>
          <w:szCs w:val="24"/>
        </w:rPr>
        <w:t>оличествата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продадени и употребени антимикробни средс</w:t>
      </w:r>
      <w:r w:rsidR="005408F1">
        <w:rPr>
          <w:rFonts w:ascii="Times New Roman" w:hAnsi="Times New Roman" w:cs="Times New Roman"/>
          <w:color w:val="000000"/>
          <w:sz w:val="24"/>
          <w:szCs w:val="24"/>
        </w:rPr>
        <w:t>т</w:t>
      </w:r>
      <w:r>
        <w:rPr>
          <w:rFonts w:ascii="Times New Roman" w:hAnsi="Times New Roman" w:cs="Times New Roman"/>
          <w:color w:val="000000"/>
          <w:sz w:val="24"/>
          <w:szCs w:val="24"/>
        </w:rPr>
        <w:t>ва, като остойностяването е</w:t>
      </w:r>
      <w:r w:rsidRPr="00543107">
        <w:rPr>
          <w:rFonts w:ascii="Times New Roman" w:hAnsi="Times New Roman" w:cs="Times New Roman"/>
          <w:color w:val="000000"/>
          <w:sz w:val="24"/>
          <w:szCs w:val="24"/>
        </w:rPr>
        <w:t xml:space="preserve"> в </w:t>
      </w:r>
      <w:r w:rsidR="00247BCD">
        <w:rPr>
          <w:rFonts w:ascii="Times New Roman" w:hAnsi="Times New Roman" w:cs="Times New Roman"/>
          <w:color w:val="000000"/>
          <w:sz w:val="24"/>
          <w:szCs w:val="24"/>
        </w:rPr>
        <w:t>„</w:t>
      </w:r>
      <w:r>
        <w:rPr>
          <w:rFonts w:ascii="Times New Roman" w:hAnsi="Times New Roman" w:cs="Times New Roman"/>
          <w:color w:val="000000"/>
          <w:sz w:val="24"/>
          <w:szCs w:val="24"/>
        </w:rPr>
        <w:t>милиграми</w:t>
      </w:r>
      <w:r w:rsidRPr="005431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активно вещество </w:t>
      </w:r>
      <w:r w:rsidRPr="00543107">
        <w:rPr>
          <w:rFonts w:ascii="Times New Roman" w:hAnsi="Times New Roman" w:cs="Times New Roman"/>
          <w:color w:val="000000"/>
          <w:sz w:val="24"/>
          <w:szCs w:val="24"/>
        </w:rPr>
        <w:t>н</w:t>
      </w:r>
      <w:r>
        <w:rPr>
          <w:rFonts w:ascii="Times New Roman" w:hAnsi="Times New Roman" w:cs="Times New Roman"/>
          <w:color w:val="000000"/>
          <w:sz w:val="24"/>
          <w:szCs w:val="24"/>
        </w:rPr>
        <w:t>а килограм биомаса</w:t>
      </w:r>
      <w:r w:rsidR="00247BCD">
        <w:rPr>
          <w:rFonts w:ascii="Times New Roman" w:hAnsi="Times New Roman" w:cs="Times New Roman"/>
          <w:color w:val="000000"/>
          <w:sz w:val="24"/>
          <w:szCs w:val="24"/>
        </w:rPr>
        <w:t>“, вместо на „популационна единица“. Новият знаменател включва повече видове и категории животни, включително такива отглеждан</w:t>
      </w:r>
      <w:r w:rsidR="00B76600">
        <w:rPr>
          <w:rFonts w:ascii="Times New Roman" w:hAnsi="Times New Roman" w:cs="Times New Roman"/>
          <w:color w:val="000000"/>
          <w:sz w:val="24"/>
          <w:szCs w:val="24"/>
        </w:rPr>
        <w:t>и</w:t>
      </w:r>
      <w:r w:rsidR="00247BCD">
        <w:rPr>
          <w:rFonts w:ascii="Times New Roman" w:hAnsi="Times New Roman" w:cs="Times New Roman"/>
          <w:color w:val="000000"/>
          <w:sz w:val="24"/>
          <w:szCs w:val="24"/>
        </w:rPr>
        <w:t xml:space="preserve"> само за разплод, което ще доведе до по-голяма достоверност на докладваните данни.</w:t>
      </w:r>
      <w:r w:rsidR="00D87D38">
        <w:rPr>
          <w:rFonts w:ascii="Times New Roman" w:hAnsi="Times New Roman" w:cs="Times New Roman"/>
          <w:color w:val="000000"/>
          <w:sz w:val="24"/>
          <w:szCs w:val="24"/>
        </w:rPr>
        <w:t xml:space="preserve"> Съгласно доклада, </w:t>
      </w:r>
      <w:r w:rsidR="00D87D38" w:rsidRPr="0039101B">
        <w:rPr>
          <w:rFonts w:ascii="Times New Roman" w:hAnsi="Times New Roman" w:cs="Times New Roman"/>
          <w:color w:val="000000"/>
          <w:sz w:val="24"/>
          <w:szCs w:val="24"/>
        </w:rPr>
        <w:t>продажбите на антимикробни ВЛП за употреба при животни, отглеждани за производство на храни, представляват 98,4% от всички отчетени продажби.</w:t>
      </w:r>
      <w:r w:rsidR="00C426F7" w:rsidRPr="0039101B">
        <w:rPr>
          <w:rFonts w:ascii="Times New Roman" w:hAnsi="Times New Roman" w:cs="Times New Roman"/>
          <w:color w:val="000000"/>
          <w:sz w:val="24"/>
          <w:szCs w:val="24"/>
        </w:rPr>
        <w:t xml:space="preserve"> </w:t>
      </w:r>
      <w:r w:rsidR="00D87D38" w:rsidRPr="0039101B">
        <w:rPr>
          <w:rFonts w:ascii="Times New Roman" w:hAnsi="Times New Roman" w:cs="Times New Roman"/>
          <w:color w:val="000000"/>
          <w:sz w:val="24"/>
          <w:szCs w:val="24"/>
        </w:rPr>
        <w:t>Наблюдава се голяма разлика между държавите с най-високи и най-ниски продажби, вариращи от 6,0 mg/kg до 112,9 mg/kg</w:t>
      </w:r>
      <w:r w:rsidR="00C426F7" w:rsidRPr="0039101B">
        <w:rPr>
          <w:rFonts w:ascii="Times New Roman" w:hAnsi="Times New Roman" w:cs="Times New Roman"/>
          <w:color w:val="000000"/>
          <w:sz w:val="24"/>
          <w:szCs w:val="24"/>
        </w:rPr>
        <w:t xml:space="preserve"> биомаса</w:t>
      </w:r>
      <w:r w:rsidR="00D87D38" w:rsidRPr="0039101B">
        <w:rPr>
          <w:rFonts w:ascii="Times New Roman" w:hAnsi="Times New Roman" w:cs="Times New Roman"/>
          <w:color w:val="000000"/>
          <w:sz w:val="24"/>
          <w:szCs w:val="24"/>
        </w:rPr>
        <w:t xml:space="preserve">, </w:t>
      </w:r>
      <w:r w:rsidR="00C426F7" w:rsidRPr="0039101B">
        <w:rPr>
          <w:rFonts w:ascii="Times New Roman" w:hAnsi="Times New Roman" w:cs="Times New Roman"/>
          <w:color w:val="000000"/>
          <w:sz w:val="24"/>
          <w:szCs w:val="24"/>
        </w:rPr>
        <w:t>а средните</w:t>
      </w:r>
      <w:r w:rsidR="00D87D38" w:rsidRPr="0039101B">
        <w:rPr>
          <w:rFonts w:ascii="Times New Roman" w:hAnsi="Times New Roman" w:cs="Times New Roman"/>
          <w:color w:val="000000"/>
          <w:sz w:val="24"/>
          <w:szCs w:val="24"/>
        </w:rPr>
        <w:t xml:space="preserve"> продажби за ЕС са 45,1 mg/kg. Най-продаваният клас антимикробни средства за животни, отглеждани за производство на храни, са пеницилините (31,4%), следвани от тетрациклините (21,6%) и сулфонамидите (10,1%). Като цяло моделите на продажби на различните класове антимикробни средства варират значително в 27-те държави от ЕС. Това важи и за класовете антимикробни сре</w:t>
      </w:r>
      <w:r w:rsidR="00C426F7" w:rsidRPr="0039101B">
        <w:rPr>
          <w:rFonts w:ascii="Times New Roman" w:hAnsi="Times New Roman" w:cs="Times New Roman"/>
          <w:color w:val="000000"/>
          <w:sz w:val="24"/>
          <w:szCs w:val="24"/>
        </w:rPr>
        <w:t xml:space="preserve">дства, </w:t>
      </w:r>
      <w:r w:rsidR="00C426F7" w:rsidRPr="00AE127B">
        <w:rPr>
          <w:rFonts w:ascii="Times New Roman" w:hAnsi="Times New Roman" w:cs="Times New Roman"/>
          <w:color w:val="000000"/>
          <w:sz w:val="24"/>
          <w:szCs w:val="24"/>
        </w:rPr>
        <w:t>включени в категория</w:t>
      </w:r>
      <w:r w:rsidR="00C426F7" w:rsidRPr="0039101B">
        <w:rPr>
          <w:rFonts w:ascii="Times New Roman" w:hAnsi="Times New Roman" w:cs="Times New Roman"/>
          <w:color w:val="000000"/>
          <w:sz w:val="24"/>
          <w:szCs w:val="24"/>
        </w:rPr>
        <w:t xml:space="preserve"> </w:t>
      </w:r>
      <w:r w:rsidR="00AE127B">
        <w:rPr>
          <w:rFonts w:ascii="Times New Roman" w:hAnsi="Times New Roman" w:cs="Times New Roman"/>
          <w:color w:val="000000"/>
          <w:sz w:val="24"/>
          <w:szCs w:val="24"/>
        </w:rPr>
        <w:t>В</w:t>
      </w:r>
      <w:r w:rsidR="00C426F7" w:rsidRPr="0039101B">
        <w:rPr>
          <w:rFonts w:ascii="Times New Roman" w:hAnsi="Times New Roman" w:cs="Times New Roman"/>
          <w:color w:val="000000"/>
          <w:sz w:val="24"/>
          <w:szCs w:val="24"/>
        </w:rPr>
        <w:t xml:space="preserve"> </w:t>
      </w:r>
      <w:r w:rsidR="00B76600">
        <w:rPr>
          <w:rFonts w:ascii="Times New Roman" w:hAnsi="Times New Roman" w:cs="Times New Roman"/>
          <w:color w:val="000000"/>
          <w:sz w:val="24"/>
          <w:szCs w:val="24"/>
        </w:rPr>
        <w:t>с</w:t>
      </w:r>
      <w:r w:rsidR="005408F1">
        <w:rPr>
          <w:rFonts w:ascii="Times New Roman" w:hAnsi="Times New Roman" w:cs="Times New Roman"/>
          <w:color w:val="000000"/>
          <w:sz w:val="24"/>
          <w:szCs w:val="24"/>
        </w:rPr>
        <w:t>ъ</w:t>
      </w:r>
      <w:r w:rsidR="00C426F7" w:rsidRPr="0039101B">
        <w:rPr>
          <w:rFonts w:ascii="Times New Roman" w:hAnsi="Times New Roman" w:cs="Times New Roman"/>
          <w:color w:val="000000"/>
          <w:sz w:val="24"/>
          <w:szCs w:val="24"/>
        </w:rPr>
        <w:t>гласно класификацията AMEG (</w:t>
      </w:r>
      <w:r w:rsidR="00D87D38" w:rsidRPr="0039101B">
        <w:rPr>
          <w:rFonts w:ascii="Times New Roman" w:hAnsi="Times New Roman" w:cs="Times New Roman"/>
          <w:color w:val="000000"/>
          <w:sz w:val="24"/>
          <w:szCs w:val="24"/>
        </w:rPr>
        <w:t>цефалоспорини от 3-то и 4-то поколение, флуорохинолони, други хинолони и полимиксини</w:t>
      </w:r>
      <w:r w:rsidR="00C426F7" w:rsidRPr="0039101B">
        <w:rPr>
          <w:rFonts w:ascii="Times New Roman" w:hAnsi="Times New Roman" w:cs="Times New Roman"/>
          <w:color w:val="000000"/>
          <w:sz w:val="24"/>
          <w:szCs w:val="24"/>
        </w:rPr>
        <w:t>)</w:t>
      </w:r>
      <w:r w:rsidR="00D87D38" w:rsidRPr="0039101B">
        <w:rPr>
          <w:rFonts w:ascii="Times New Roman" w:hAnsi="Times New Roman" w:cs="Times New Roman"/>
          <w:color w:val="000000"/>
          <w:sz w:val="24"/>
          <w:szCs w:val="24"/>
        </w:rPr>
        <w:t>. От обобщените продажби за животни, отглеждани за производство на храни, 85,9%</w:t>
      </w:r>
      <w:r w:rsidR="00C426F7" w:rsidRPr="0039101B">
        <w:rPr>
          <w:rFonts w:ascii="Times New Roman" w:hAnsi="Times New Roman" w:cs="Times New Roman"/>
          <w:color w:val="000000"/>
          <w:sz w:val="24"/>
          <w:szCs w:val="24"/>
        </w:rPr>
        <w:t xml:space="preserve"> се отнасят до фармацевтични </w:t>
      </w:r>
      <w:r w:rsidR="00D87D38" w:rsidRPr="0039101B">
        <w:rPr>
          <w:rFonts w:ascii="Times New Roman" w:hAnsi="Times New Roman" w:cs="Times New Roman"/>
          <w:color w:val="000000"/>
          <w:sz w:val="24"/>
          <w:szCs w:val="24"/>
        </w:rPr>
        <w:t>форми, използв</w:t>
      </w:r>
      <w:r w:rsidR="00C426F7" w:rsidRPr="0039101B">
        <w:rPr>
          <w:rFonts w:ascii="Times New Roman" w:hAnsi="Times New Roman" w:cs="Times New Roman"/>
          <w:color w:val="000000"/>
          <w:sz w:val="24"/>
          <w:szCs w:val="24"/>
        </w:rPr>
        <w:t>ани предимно за групово третиране.</w:t>
      </w:r>
    </w:p>
    <w:p w14:paraId="1281803D" w14:textId="77777777" w:rsidR="002B2191" w:rsidRPr="00C467DB" w:rsidRDefault="002B2191" w:rsidP="00247BCD">
      <w:pPr>
        <w:spacing w:after="0" w:line="360" w:lineRule="auto"/>
        <w:ind w:firstLine="709"/>
        <w:jc w:val="both"/>
        <w:rPr>
          <w:rFonts w:ascii="Times New Roman" w:hAnsi="Times New Roman" w:cs="Times New Roman"/>
          <w:color w:val="000000"/>
          <w:sz w:val="24"/>
          <w:szCs w:val="24"/>
        </w:rPr>
      </w:pPr>
      <w:r w:rsidRPr="00C467DB">
        <w:rPr>
          <w:rFonts w:ascii="Times New Roman" w:hAnsi="Times New Roman" w:cs="Times New Roman"/>
          <w:color w:val="000000"/>
          <w:sz w:val="24"/>
          <w:szCs w:val="24"/>
        </w:rPr>
        <w:t xml:space="preserve">Анализът на данните ще повиши информираността и разбирането за проблема сред професионалистите и другите заинтересовани лица и ще даде възможност за научнообосновано </w:t>
      </w:r>
      <w:r w:rsidR="002B1C8E" w:rsidRPr="00C467DB">
        <w:rPr>
          <w:rFonts w:ascii="Times New Roman" w:hAnsi="Times New Roman" w:cs="Times New Roman"/>
          <w:color w:val="000000"/>
          <w:sz w:val="24"/>
          <w:szCs w:val="24"/>
        </w:rPr>
        <w:t xml:space="preserve">планиране </w:t>
      </w:r>
      <w:r w:rsidRPr="00C467DB">
        <w:rPr>
          <w:rFonts w:ascii="Times New Roman" w:hAnsi="Times New Roman" w:cs="Times New Roman"/>
          <w:color w:val="000000"/>
          <w:sz w:val="24"/>
          <w:szCs w:val="24"/>
        </w:rPr>
        <w:t xml:space="preserve">на мерките за ограничаване на АМР във ветеринарния сектор и фокусиране на контрола върху най-често използваните антибиотици при животните. </w:t>
      </w:r>
    </w:p>
    <w:p w14:paraId="0D216CFE" w14:textId="77777777" w:rsidR="006B7EA4" w:rsidRDefault="002B2191" w:rsidP="006B7EA4">
      <w:pPr>
        <w:pStyle w:val="Default"/>
        <w:spacing w:line="360" w:lineRule="auto"/>
        <w:ind w:firstLine="709"/>
        <w:jc w:val="both"/>
        <w:rPr>
          <w:rFonts w:ascii="EUAlbertina" w:hAnsi="EUAlbertina" w:cs="EUAlbertina"/>
          <w:lang w:val="bg-BG"/>
        </w:rPr>
      </w:pPr>
      <w:r w:rsidRPr="00C467DB">
        <w:t xml:space="preserve">Чрез процедурите </w:t>
      </w:r>
      <w:r w:rsidR="00120237">
        <w:t>за разрешаване на търговията</w:t>
      </w:r>
      <w:r w:rsidRPr="00C467DB">
        <w:t xml:space="preserve"> на </w:t>
      </w:r>
      <w:r w:rsidR="002B1C8E" w:rsidRPr="00C467DB">
        <w:t>ВЛП</w:t>
      </w:r>
      <w:r w:rsidRPr="00C467DB">
        <w:t>, системата за фармакологична бдителност и контрола върху производството, търговията и употребата на</w:t>
      </w:r>
      <w:r w:rsidRPr="00C467DB">
        <w:rPr>
          <w:lang w:val="en-US"/>
        </w:rPr>
        <w:t xml:space="preserve"> </w:t>
      </w:r>
      <w:r w:rsidR="002B1C8E" w:rsidRPr="00C467DB">
        <w:t xml:space="preserve">ВЛП </w:t>
      </w:r>
      <w:r w:rsidRPr="00C467DB">
        <w:t xml:space="preserve">се търси баланс между наличието на ефикасни </w:t>
      </w:r>
      <w:r w:rsidR="00736CC9" w:rsidRPr="00C467DB">
        <w:t>антимикробни</w:t>
      </w:r>
      <w:r w:rsidRPr="00C467DB">
        <w:t xml:space="preserve"> продукти и борбата с</w:t>
      </w:r>
      <w:r w:rsidRPr="00C467DB">
        <w:rPr>
          <w:lang w:val="en-US"/>
        </w:rPr>
        <w:t xml:space="preserve"> </w:t>
      </w:r>
      <w:r w:rsidRPr="00C467DB">
        <w:t>резистентността.</w:t>
      </w:r>
      <w:r w:rsidRPr="00C467DB">
        <w:rPr>
          <w:lang w:val="en-US"/>
        </w:rPr>
        <w:t xml:space="preserve"> </w:t>
      </w:r>
      <w:r w:rsidRPr="00C467DB">
        <w:t>За да се гарантира ефикасността на антимикробните продукти, които вече са</w:t>
      </w:r>
      <w:r w:rsidRPr="00C467DB">
        <w:rPr>
          <w:lang w:val="en-US"/>
        </w:rPr>
        <w:t xml:space="preserve"> </w:t>
      </w:r>
      <w:r w:rsidR="00120237">
        <w:t>разрешени за търговия</w:t>
      </w:r>
      <w:r w:rsidRPr="00C467DB">
        <w:t>, е необходимо извършване на наблюдение и анализ на техните</w:t>
      </w:r>
      <w:r w:rsidRPr="00C467DB">
        <w:rPr>
          <w:lang w:val="en-US"/>
        </w:rPr>
        <w:t xml:space="preserve"> </w:t>
      </w:r>
      <w:r w:rsidRPr="00C467DB">
        <w:t>продажби и използване, съпоставено с мониторинг на данните за промени в</w:t>
      </w:r>
      <w:r w:rsidRPr="00C467DB">
        <w:rPr>
          <w:lang w:val="en-US"/>
        </w:rPr>
        <w:t xml:space="preserve"> </w:t>
      </w:r>
      <w:r w:rsidRPr="00C467DB">
        <w:t xml:space="preserve">чувствителността на целевите </w:t>
      </w:r>
      <w:r w:rsidR="00CF0BBC" w:rsidRPr="00C467DB">
        <w:rPr>
          <w:rFonts w:eastAsia="Times New Roman"/>
          <w:lang w:eastAsia="bg-BG"/>
        </w:rPr>
        <w:t>причинители</w:t>
      </w:r>
      <w:r w:rsidR="00DC1733" w:rsidRPr="00C467DB">
        <w:rPr>
          <w:rFonts w:eastAsia="Times New Roman"/>
          <w:lang w:eastAsia="bg-BG"/>
        </w:rPr>
        <w:t xml:space="preserve"> </w:t>
      </w:r>
      <w:r w:rsidR="00CF0BBC" w:rsidRPr="00C467DB">
        <w:rPr>
          <w:rFonts w:eastAsia="Times New Roman"/>
          <w:lang w:eastAsia="bg-BG"/>
        </w:rPr>
        <w:t>особено</w:t>
      </w:r>
      <w:r w:rsidRPr="00C467DB">
        <w:t xml:space="preserve"> когато има доказателства за промяна в</w:t>
      </w:r>
      <w:r w:rsidRPr="00C467DB">
        <w:rPr>
          <w:lang w:val="en-US"/>
        </w:rPr>
        <w:t xml:space="preserve"> </w:t>
      </w:r>
      <w:r w:rsidRPr="00C467DB">
        <w:t xml:space="preserve">съотношението полза/риск на </w:t>
      </w:r>
      <w:r w:rsidR="00120237">
        <w:t xml:space="preserve"> разрешените за търговия</w:t>
      </w:r>
      <w:r w:rsidRPr="00C467DB">
        <w:t xml:space="preserve"> продукти. За нови антимикробни</w:t>
      </w:r>
      <w:r w:rsidRPr="00C467DB">
        <w:rPr>
          <w:lang w:val="en-US"/>
        </w:rPr>
        <w:t xml:space="preserve"> </w:t>
      </w:r>
      <w:r w:rsidRPr="00C467DB">
        <w:t xml:space="preserve">продукти притежателите на </w:t>
      </w:r>
      <w:r w:rsidR="00120237">
        <w:t>разрешения за търговия</w:t>
      </w:r>
      <w:r w:rsidRPr="00C467DB">
        <w:t xml:space="preserve"> трябва да се насърчават да въвеждат</w:t>
      </w:r>
      <w:r w:rsidRPr="00C467DB">
        <w:rPr>
          <w:lang w:val="en-US"/>
        </w:rPr>
        <w:t xml:space="preserve"> </w:t>
      </w:r>
      <w:r w:rsidR="00882F2E" w:rsidRPr="00C467DB">
        <w:t>П</w:t>
      </w:r>
      <w:r w:rsidR="008E32BB" w:rsidRPr="00C467DB">
        <w:t>ланове</w:t>
      </w:r>
      <w:r w:rsidRPr="00C467DB">
        <w:t xml:space="preserve"> за наблюдение на чувствителността при целевите </w:t>
      </w:r>
      <w:r w:rsidR="00CF0BBC" w:rsidRPr="00C467DB">
        <w:rPr>
          <w:rFonts w:eastAsia="Times New Roman"/>
          <w:lang w:eastAsia="bg-BG"/>
        </w:rPr>
        <w:t>причинители</w:t>
      </w:r>
      <w:r w:rsidRPr="00C467DB">
        <w:t>, включително чрез</w:t>
      </w:r>
      <w:r w:rsidRPr="00C467DB">
        <w:rPr>
          <w:lang w:val="en-US"/>
        </w:rPr>
        <w:t xml:space="preserve"> </w:t>
      </w:r>
      <w:r w:rsidRPr="00C467DB">
        <w:t>вземане на проби и тестове за определяне на чувствителност.</w:t>
      </w:r>
      <w:r w:rsidRPr="00C467DB">
        <w:rPr>
          <w:lang w:val="en-US"/>
        </w:rPr>
        <w:t xml:space="preserve"> </w:t>
      </w:r>
      <w:r w:rsidR="00120237">
        <w:t>Разрешаването за търговия</w:t>
      </w:r>
      <w:r w:rsidR="00120237" w:rsidRPr="00C467DB">
        <w:t xml:space="preserve"> </w:t>
      </w:r>
      <w:r w:rsidRPr="00C467DB">
        <w:t>на продукти, които съдържат комбинация от антибиотици, особено ако</w:t>
      </w:r>
      <w:r w:rsidRPr="00C467DB">
        <w:rPr>
          <w:lang w:val="en-US"/>
        </w:rPr>
        <w:t xml:space="preserve"> </w:t>
      </w:r>
      <w:r w:rsidRPr="00C467DB">
        <w:t>те включват критично важни антимикробни субстанции, трябва да се сведе до разумния</w:t>
      </w:r>
      <w:r w:rsidRPr="00C467DB">
        <w:rPr>
          <w:lang w:val="en-US"/>
        </w:rPr>
        <w:t xml:space="preserve"> </w:t>
      </w:r>
      <w:r w:rsidRPr="00C467DB">
        <w:t xml:space="preserve">минимум, особено когато целта е избягване на </w:t>
      </w:r>
      <w:r w:rsidRPr="00C467DB">
        <w:lastRenderedPageBreak/>
        <w:t>необходимостта от поставяне на точна</w:t>
      </w:r>
      <w:r w:rsidRPr="00C467DB">
        <w:rPr>
          <w:lang w:val="en-US"/>
        </w:rPr>
        <w:t xml:space="preserve"> </w:t>
      </w:r>
      <w:r w:rsidRPr="00C467DB">
        <w:t xml:space="preserve">диагноза, и когато те са предназначени за масово третиране. Към настоящия момент от показанията за употреба в кратките характеристики, етикети и листовки на </w:t>
      </w:r>
      <w:r w:rsidR="00120237">
        <w:t>разрешените за търговия</w:t>
      </w:r>
      <w:r w:rsidR="00120237" w:rsidRPr="00C467DB">
        <w:t xml:space="preserve"> </w:t>
      </w:r>
      <w:r w:rsidRPr="00C467DB">
        <w:t xml:space="preserve">антимикробни </w:t>
      </w:r>
      <w:r w:rsidR="00343F5C" w:rsidRPr="00C467DB">
        <w:t xml:space="preserve">ВЛП </w:t>
      </w:r>
      <w:r w:rsidRPr="00C467DB">
        <w:t>е отпаднала възможността за прилагането</w:t>
      </w:r>
      <w:r w:rsidRPr="00C467DB">
        <w:rPr>
          <w:lang w:val="en-US"/>
        </w:rPr>
        <w:t xml:space="preserve"> </w:t>
      </w:r>
      <w:r w:rsidRPr="00C467DB">
        <w:t>им с</w:t>
      </w:r>
      <w:r w:rsidRPr="00C467DB">
        <w:rPr>
          <w:lang w:val="en-US"/>
        </w:rPr>
        <w:t xml:space="preserve"> </w:t>
      </w:r>
      <w:r w:rsidRPr="00C467DB">
        <w:t>профилактична цел</w:t>
      </w:r>
      <w:r w:rsidR="00120237">
        <w:t xml:space="preserve">, в съответствие с изискванията на </w:t>
      </w:r>
      <w:r w:rsidR="00120237" w:rsidRPr="00055CDB">
        <w:t>Регламент (ЕС) № 2019/6</w:t>
      </w:r>
      <w:r w:rsidRPr="00C467DB">
        <w:t>. Информацията, включена в кратката характеристика на продуктите, е</w:t>
      </w:r>
      <w:r w:rsidRPr="00C467DB">
        <w:rPr>
          <w:lang w:val="en-US"/>
        </w:rPr>
        <w:t xml:space="preserve"> </w:t>
      </w:r>
      <w:r w:rsidRPr="00C467DB">
        <w:t>инструмент за регулиране, която определя условията за ефективно използване на</w:t>
      </w:r>
      <w:r w:rsidRPr="00C467DB">
        <w:rPr>
          <w:lang w:val="en-US"/>
        </w:rPr>
        <w:t xml:space="preserve"> </w:t>
      </w:r>
      <w:r w:rsidRPr="00C467DB">
        <w:t xml:space="preserve">антимикробни </w:t>
      </w:r>
      <w:r w:rsidR="00343F5C" w:rsidRPr="00C467DB">
        <w:t xml:space="preserve">ВЛП </w:t>
      </w:r>
      <w:r w:rsidRPr="00C467DB">
        <w:t>и определя мерките за управление на риска, даващи възможност за</w:t>
      </w:r>
      <w:r w:rsidRPr="00C467DB">
        <w:rPr>
          <w:lang w:val="en-US"/>
        </w:rPr>
        <w:t xml:space="preserve"> </w:t>
      </w:r>
      <w:r w:rsidRPr="00C467DB">
        <w:t>безопасна употреба и за свеждане до минимум на развитието на АМР. Информацията от</w:t>
      </w:r>
      <w:r w:rsidRPr="00C467DB">
        <w:rPr>
          <w:lang w:val="en-US"/>
        </w:rPr>
        <w:t xml:space="preserve"> </w:t>
      </w:r>
      <w:r w:rsidRPr="00C467DB">
        <w:t>кратката характеристика на продуктите е поместена в етикетите и листовките на</w:t>
      </w:r>
      <w:r w:rsidRPr="00C467DB">
        <w:rPr>
          <w:lang w:val="en-US"/>
        </w:rPr>
        <w:t xml:space="preserve"> </w:t>
      </w:r>
      <w:r w:rsidRPr="00C467DB">
        <w:t>продуктите и по този начин се превръща в основно средство за комуникация с</w:t>
      </w:r>
      <w:r w:rsidRPr="00C467DB">
        <w:rPr>
          <w:lang w:val="en-US"/>
        </w:rPr>
        <w:t xml:space="preserve"> </w:t>
      </w:r>
      <w:r w:rsidRPr="00C467DB">
        <w:t>ветеринарните лекари. Показанията за употреба трябва да бъдат така формулирани, че да</w:t>
      </w:r>
      <w:r w:rsidRPr="00C467DB">
        <w:rPr>
          <w:lang w:val="en-US"/>
        </w:rPr>
        <w:t xml:space="preserve"> </w:t>
      </w:r>
      <w:r w:rsidRPr="00C467DB">
        <w:t>изразяват ясно предназначението на показанията на продукта и общите показания (тези,</w:t>
      </w:r>
      <w:r w:rsidRPr="00C467DB">
        <w:rPr>
          <w:lang w:val="en-US"/>
        </w:rPr>
        <w:t xml:space="preserve"> </w:t>
      </w:r>
      <w:r w:rsidRPr="00C467DB">
        <w:t>които не включват поименно целеви патогенни микроорганизми) трябва да се избягват. Трябва да има ясни указания, за да се избегне по-малко терапевтично дозиране и продължителността на лечението трябва да се ограничава до времето, необходимо за окончателно излекуване. В кратката характеристика на продуктите подробно трябва да бъдат разгледани фармакодинамичните свойства и фармакокинетичните особености и да</w:t>
      </w:r>
      <w:r w:rsidRPr="00C467DB">
        <w:rPr>
          <w:lang w:val="en-US"/>
        </w:rPr>
        <w:t xml:space="preserve"> </w:t>
      </w:r>
      <w:r w:rsidRPr="00C467DB">
        <w:t>бъде включена информация за механизмите на възникване на резистентност, за да се даде</w:t>
      </w:r>
      <w:r w:rsidRPr="00C467DB">
        <w:rPr>
          <w:lang w:val="en-US"/>
        </w:rPr>
        <w:t xml:space="preserve"> </w:t>
      </w:r>
      <w:r w:rsidRPr="00C467DB">
        <w:t xml:space="preserve">възможност на отговорния ветеринарен лекар за информиран избор. Счита се, че груповото метафилактично третиране в интензивното животновъдство генерира голяма част от ветеринарната антимикробна употреба. С цел прилагане на обоснован подход </w:t>
      </w:r>
      <w:r w:rsidR="00CE7190">
        <w:t xml:space="preserve">и в съответствие с изискванията на </w:t>
      </w:r>
      <w:r w:rsidR="00CE7190" w:rsidRPr="00055CDB">
        <w:t xml:space="preserve">Регламент (ЕС) № 2019/6 </w:t>
      </w:r>
      <w:r w:rsidR="00CE7190">
        <w:t xml:space="preserve">за метафилактично прилагане на антимикробни ВЛП, </w:t>
      </w:r>
      <w:r w:rsidRPr="00C467DB">
        <w:t xml:space="preserve">са предприети мерки за включване на ясни насоки в кратките характеристики на продуктите по отношение на епидемиологични обстоятелства, при които метафилактичната употреба е доказана като ефективна и ползите от нея са обосновани. Употребата на антимикробни </w:t>
      </w:r>
      <w:r w:rsidR="00343F5C" w:rsidRPr="00C467DB">
        <w:t xml:space="preserve">ВЛП </w:t>
      </w:r>
      <w:r w:rsidRPr="00C467DB">
        <w:t xml:space="preserve">извън показанията им за употреба или по т. нар. „каскаден метод“ трябва да бъде ограничена до антимикробни продукти с по-тесен спектър и по-нисък риск, което да намали използването на критично важните антимикробни средства. </w:t>
      </w:r>
      <w:r w:rsidR="00DF5030" w:rsidRPr="00C467DB">
        <w:t xml:space="preserve">В тази връзка БАБХ </w:t>
      </w:r>
      <w:r w:rsidR="00CE7190">
        <w:t xml:space="preserve">е </w:t>
      </w:r>
      <w:r w:rsidR="00DF5030" w:rsidRPr="00C467DB">
        <w:t>публикува</w:t>
      </w:r>
      <w:r w:rsidR="00CE7190">
        <w:t>ла</w:t>
      </w:r>
      <w:r w:rsidR="00DF5030" w:rsidRPr="00C467DB">
        <w:t xml:space="preserve"> Инструкция</w:t>
      </w:r>
      <w:r w:rsidR="00DF5030" w:rsidRPr="00C467DB">
        <w:rPr>
          <w:lang w:val="en-US"/>
        </w:rPr>
        <w:t xml:space="preserve"> </w:t>
      </w:r>
      <w:r w:rsidR="00DF5030" w:rsidRPr="00C467DB">
        <w:t>за</w:t>
      </w:r>
      <w:r w:rsidR="00DF5030" w:rsidRPr="00C467DB">
        <w:rPr>
          <w:lang w:val="en-US"/>
        </w:rPr>
        <w:t xml:space="preserve"> </w:t>
      </w:r>
      <w:r w:rsidR="00DF5030" w:rsidRPr="00C467DB">
        <w:t xml:space="preserve">прилагане на ветеринарномедицински продукти по каскаден принцип и </w:t>
      </w:r>
      <w:r w:rsidR="00CE7190">
        <w:t>е утвърден нов</w:t>
      </w:r>
      <w:r w:rsidR="00DF5030" w:rsidRPr="00C467DB">
        <w:t xml:space="preserve"> образец на ветеринарна рецепта за отпускане на ВЛП по лекарско предписание</w:t>
      </w:r>
      <w:r w:rsidR="00CE7190">
        <w:t xml:space="preserve">, в съответствие с изискванията на </w:t>
      </w:r>
      <w:r w:rsidR="00CE7190" w:rsidRPr="00055CDB">
        <w:t>Регламент (ЕС) № 2019/6</w:t>
      </w:r>
      <w:r w:rsidR="00DF5030" w:rsidRPr="00C467DB">
        <w:t xml:space="preserve">. </w:t>
      </w:r>
      <w:r w:rsidRPr="00C467DB">
        <w:t>Използването на каскадния метод за антимикробни субстанции,</w:t>
      </w:r>
      <w:r w:rsidRPr="00C467DB">
        <w:rPr>
          <w:lang w:val="en-US"/>
        </w:rPr>
        <w:t xml:space="preserve"> </w:t>
      </w:r>
      <w:r w:rsidRPr="00C467DB">
        <w:t>разрешени за хуманна употреба,</w:t>
      </w:r>
      <w:r w:rsidR="006604BD" w:rsidRPr="00C467DB">
        <w:t xml:space="preserve"> се допуска само в случай, че субстанциите не </w:t>
      </w:r>
      <w:r w:rsidR="00D479DD" w:rsidRPr="00C467DB">
        <w:t>са запазени изключително за употреба при хора,</w:t>
      </w:r>
      <w:r w:rsidR="006604BD" w:rsidRPr="00C467DB">
        <w:t xml:space="preserve"> съгласно </w:t>
      </w:r>
      <w:r w:rsidR="00D479DD" w:rsidRPr="00C467DB">
        <w:t xml:space="preserve">Регламент </w:t>
      </w:r>
      <w:r w:rsidR="00D479DD" w:rsidRPr="00C467DB">
        <w:rPr>
          <w:lang w:val="en-US"/>
        </w:rPr>
        <w:t>(E</w:t>
      </w:r>
      <w:r w:rsidR="00D479DD" w:rsidRPr="00C467DB">
        <w:t>С</w:t>
      </w:r>
      <w:r w:rsidR="00D479DD" w:rsidRPr="00C467DB">
        <w:rPr>
          <w:lang w:val="en-US"/>
        </w:rPr>
        <w:t>)</w:t>
      </w:r>
      <w:r w:rsidR="00D479DD" w:rsidRPr="00C467DB">
        <w:t xml:space="preserve"> 2019/6, като</w:t>
      </w:r>
      <w:r w:rsidRPr="00C467DB">
        <w:t xml:space="preserve"> </w:t>
      </w:r>
      <w:r w:rsidR="006604BD" w:rsidRPr="00C467DB">
        <w:t>при</w:t>
      </w:r>
      <w:r w:rsidRPr="00C467DB">
        <w:t xml:space="preserve"> животни, чиято</w:t>
      </w:r>
      <w:r w:rsidRPr="00C467DB">
        <w:rPr>
          <w:lang w:val="en-US"/>
        </w:rPr>
        <w:t xml:space="preserve"> </w:t>
      </w:r>
      <w:r w:rsidRPr="00C467DB">
        <w:t>продукция е предназначена за консумация от хора</w:t>
      </w:r>
      <w:r w:rsidR="00D479DD" w:rsidRPr="00C467DB">
        <w:t xml:space="preserve">, </w:t>
      </w:r>
      <w:r w:rsidR="00D479DD" w:rsidRPr="00C467DB">
        <w:lastRenderedPageBreak/>
        <w:t>такава употреба</w:t>
      </w:r>
      <w:r w:rsidRPr="00C467DB">
        <w:t xml:space="preserve"> </w:t>
      </w:r>
      <w:r w:rsidR="006604BD" w:rsidRPr="00C467DB">
        <w:t xml:space="preserve">се допуска </w:t>
      </w:r>
      <w:r w:rsidR="00D479DD" w:rsidRPr="00C467DB">
        <w:t xml:space="preserve">и </w:t>
      </w:r>
      <w:r w:rsidRPr="00C467DB">
        <w:t xml:space="preserve">при условие, че за субстанцията има определени максимално допустими стойности на остатъчни количества. </w:t>
      </w:r>
      <w:r w:rsidR="00CE7190">
        <w:t xml:space="preserve">Запазените за употреба само при хора антимикробни средства, които не могат да бъдат използвани при животни, са посочени в </w:t>
      </w:r>
      <w:r w:rsidR="00B52C5B" w:rsidRPr="00CE7190">
        <w:t xml:space="preserve">Регламент за изпълнение </w:t>
      </w:r>
      <w:r w:rsidR="00CE7190" w:rsidRPr="00CE7190">
        <w:t xml:space="preserve">(ЕС) 2022/1255 </w:t>
      </w:r>
      <w:r w:rsidR="00B52C5B" w:rsidRPr="00CE7190">
        <w:t>на</w:t>
      </w:r>
      <w:r w:rsidR="00CE7190" w:rsidRPr="00CE7190">
        <w:t xml:space="preserve"> </w:t>
      </w:r>
      <w:r w:rsidR="00B52C5B" w:rsidRPr="00CE7190">
        <w:t>Комисията</w:t>
      </w:r>
      <w:r w:rsidR="00CE7190" w:rsidRPr="00CE7190">
        <w:t xml:space="preserve"> от 19 юли 2022 година за определяне на антимикробни средства или групи антимикробни средства, запазени за лечението на някои инфекции при хората</w:t>
      </w:r>
      <w:r w:rsidR="00CE7190" w:rsidRPr="00A21F8F">
        <w:t>,</w:t>
      </w:r>
      <w:r w:rsidR="006B7EA4" w:rsidRPr="001A763F">
        <w:rPr>
          <w:lang w:val="bg-BG"/>
        </w:rPr>
        <w:t xml:space="preserve"> който се прилага от 09.02.2023</w:t>
      </w:r>
      <w:r w:rsidR="00B52C5B">
        <w:rPr>
          <w:lang w:val="bg-BG"/>
        </w:rPr>
        <w:t xml:space="preserve"> </w:t>
      </w:r>
      <w:r w:rsidR="006B7EA4" w:rsidRPr="001A763F">
        <w:rPr>
          <w:lang w:val="bg-BG"/>
        </w:rPr>
        <w:t>г.</w:t>
      </w:r>
    </w:p>
    <w:p w14:paraId="565F1507" w14:textId="77777777" w:rsidR="0089012D" w:rsidRDefault="000F6118" w:rsidP="0089012D">
      <w:pPr>
        <w:pStyle w:val="Default"/>
        <w:spacing w:line="360" w:lineRule="auto"/>
        <w:ind w:firstLine="709"/>
        <w:jc w:val="both"/>
        <w:rPr>
          <w:lang w:val="bg-BG"/>
        </w:rPr>
      </w:pPr>
      <w:r w:rsidRPr="001A763F">
        <w:rPr>
          <w:lang w:val="bg-BG"/>
        </w:rPr>
        <w:t>При използването на антимикробни средства при животни по „каскаден метод“</w:t>
      </w:r>
      <w:r>
        <w:rPr>
          <w:rFonts w:ascii="EUAlbertina" w:hAnsi="EUAlbertina" w:cs="EUAlbertina"/>
          <w:lang w:val="bg-BG"/>
        </w:rPr>
        <w:t xml:space="preserve"> </w:t>
      </w:r>
      <w:r w:rsidRPr="000F6118">
        <w:t xml:space="preserve">ветеринарните лекари трябва да се съобразяват и с условията посочени в </w:t>
      </w:r>
      <w:r w:rsidR="00B52C5B" w:rsidRPr="000F6118">
        <w:t xml:space="preserve">Регламент за изпълнение </w:t>
      </w:r>
      <w:r w:rsidRPr="000F6118">
        <w:t xml:space="preserve">(ЕС) 2024/1973 </w:t>
      </w:r>
      <w:r w:rsidR="00B52C5B" w:rsidRPr="000F6118">
        <w:t xml:space="preserve">на Комисията </w:t>
      </w:r>
      <w:r w:rsidRPr="000F6118">
        <w:t>от 18 юли 2024 година за създаване на списък с антимикробни средства, които не трябва да се използват в съответствие с членове 112 и 113 от Регламент (ЕС) 2019/6 на Европейския парламент и на Съвета или които се използват в съответствие с тези членове само при определени условия, който регламент ще се прилага от 08.08.2026</w:t>
      </w:r>
      <w:r w:rsidR="00B52C5B">
        <w:rPr>
          <w:lang w:val="bg-BG"/>
        </w:rPr>
        <w:t xml:space="preserve"> </w:t>
      </w:r>
      <w:r w:rsidRPr="000F6118">
        <w:t>г.</w:t>
      </w:r>
      <w:r w:rsidR="0089012D">
        <w:rPr>
          <w:lang w:val="bg-BG"/>
        </w:rPr>
        <w:t xml:space="preserve"> </w:t>
      </w:r>
      <w:r w:rsidR="00F112DB">
        <w:rPr>
          <w:lang w:val="bg-BG"/>
        </w:rPr>
        <w:t>Р</w:t>
      </w:r>
      <w:r w:rsidR="00F34596">
        <w:rPr>
          <w:lang w:val="bg-BG"/>
        </w:rPr>
        <w:t xml:space="preserve">егламент за изпълнение </w:t>
      </w:r>
      <w:r w:rsidR="00F112DB">
        <w:rPr>
          <w:lang w:val="bg-BG"/>
        </w:rPr>
        <w:t>за въвеждане на правила за</w:t>
      </w:r>
      <w:r w:rsidR="00F34596">
        <w:rPr>
          <w:lang w:val="bg-BG"/>
        </w:rPr>
        <w:t xml:space="preserve"> каскадната употреба на лекарствени продукти при водни животни предстои да бъде публикуван от Европейската комисия.</w:t>
      </w:r>
    </w:p>
    <w:p w14:paraId="18B695B2" w14:textId="77777777" w:rsidR="0089012D" w:rsidRPr="000F6118" w:rsidRDefault="0089012D" w:rsidP="00D37E44">
      <w:pPr>
        <w:pStyle w:val="Default"/>
        <w:spacing w:line="360" w:lineRule="auto"/>
        <w:ind w:firstLine="709"/>
        <w:jc w:val="both"/>
      </w:pPr>
      <w:r w:rsidRPr="0089012D">
        <w:t>За недопускане неправи</w:t>
      </w:r>
      <w:r w:rsidR="00B52C5B" w:rsidRPr="0089012D">
        <w:t>л</w:t>
      </w:r>
      <w:r w:rsidRPr="0089012D">
        <w:t xml:space="preserve">но прилагане и дозиране с храната или водата за пиене на антимикробни ВЛП </w:t>
      </w:r>
      <w:r w:rsidRPr="00F34596">
        <w:t>в животновъдните обекти, от страна на ветеринарните лекари и фермерите</w:t>
      </w:r>
      <w:r w:rsidRPr="0089012D">
        <w:t xml:space="preserve"> трябва да се спазва </w:t>
      </w:r>
      <w:r w:rsidR="00B52C5B" w:rsidRPr="0089012D">
        <w:t xml:space="preserve">Делегиран регламент </w:t>
      </w:r>
      <w:r w:rsidRPr="0089012D">
        <w:t xml:space="preserve">(ЕС) 2024/1159 </w:t>
      </w:r>
      <w:r w:rsidR="00B52C5B" w:rsidRPr="0089012D">
        <w:t>на</w:t>
      </w:r>
      <w:r w:rsidRPr="0089012D">
        <w:t xml:space="preserve"> </w:t>
      </w:r>
      <w:r w:rsidR="00B52C5B" w:rsidRPr="0089012D">
        <w:t xml:space="preserve">Комисията </w:t>
      </w:r>
      <w:r w:rsidRPr="0089012D">
        <w:t>от 7 февруари 2024 година за допълнение на Регламент (ЕС) 2019/6 на Европейския парламент и на Съвета чрез определяне на правила относно подходящите мерки за гарантиране на ефективната и безопасна употреба на ветеринарните лекарствени продукти, разрешени и предписвани за прилагане през устата по начини, различни от употребата им под формата на медикаментозни фуражи, и даването на животните, отглеждани за производство на храни, от лицето, което отглежда животните. Този регламен</w:t>
      </w:r>
      <w:r w:rsidR="00D37E44">
        <w:t>т ще се прилага от 09.11.2025г.</w:t>
      </w:r>
    </w:p>
    <w:p w14:paraId="2F999393" w14:textId="77777777" w:rsidR="008928B1" w:rsidRPr="00C467DB" w:rsidRDefault="00CF0BBC" w:rsidP="00C467DB">
      <w:pPr>
        <w:spacing w:after="0" w:line="360" w:lineRule="auto"/>
        <w:ind w:firstLine="709"/>
        <w:contextualSpacing/>
        <w:jc w:val="both"/>
        <w:rPr>
          <w:rFonts w:ascii="Times New Roman" w:hAnsi="Times New Roman" w:cs="Times New Roman"/>
          <w:sz w:val="24"/>
          <w:szCs w:val="24"/>
        </w:rPr>
      </w:pPr>
      <w:r w:rsidRPr="00D01657">
        <w:rPr>
          <w:rFonts w:ascii="Times New Roman" w:eastAsia="Times New Roman" w:hAnsi="Times New Roman" w:cs="Times New Roman"/>
          <w:sz w:val="24"/>
          <w:szCs w:val="24"/>
        </w:rPr>
        <w:t>Съответно, в Националн</w:t>
      </w:r>
      <w:r w:rsidR="008E32BB" w:rsidRPr="00D01657">
        <w:rPr>
          <w:rFonts w:ascii="Times New Roman" w:eastAsia="Times New Roman" w:hAnsi="Times New Roman" w:cs="Times New Roman"/>
          <w:sz w:val="24"/>
          <w:szCs w:val="24"/>
        </w:rPr>
        <w:t>ата</w:t>
      </w:r>
      <w:r w:rsidRPr="00D01657">
        <w:rPr>
          <w:rFonts w:ascii="Times New Roman" w:eastAsia="Times New Roman" w:hAnsi="Times New Roman" w:cs="Times New Roman"/>
          <w:sz w:val="24"/>
          <w:szCs w:val="24"/>
        </w:rPr>
        <w:t xml:space="preserve"> </w:t>
      </w:r>
      <w:r w:rsidR="00D253D9" w:rsidRPr="00D01657">
        <w:rPr>
          <w:rFonts w:ascii="Times New Roman" w:eastAsia="Times New Roman" w:hAnsi="Times New Roman" w:cs="Times New Roman"/>
          <w:sz w:val="24"/>
          <w:szCs w:val="24"/>
        </w:rPr>
        <w:t>п</w:t>
      </w:r>
      <w:r w:rsidR="00882F2E" w:rsidRPr="00D01657">
        <w:rPr>
          <w:rFonts w:ascii="Times New Roman" w:eastAsia="Times New Roman" w:hAnsi="Times New Roman" w:cs="Times New Roman"/>
          <w:sz w:val="24"/>
          <w:szCs w:val="24"/>
        </w:rPr>
        <w:t>рограма</w:t>
      </w:r>
      <w:r w:rsidR="00DD67CB" w:rsidRPr="00C467DB">
        <w:rPr>
          <w:rFonts w:ascii="Times New Roman" w:hAnsi="Times New Roman" w:cs="Times New Roman"/>
          <w:sz w:val="24"/>
          <w:szCs w:val="24"/>
        </w:rPr>
        <w:t xml:space="preserve"> са </w:t>
      </w:r>
      <w:r w:rsidR="008E32BB" w:rsidRPr="00C467DB">
        <w:rPr>
          <w:rFonts w:ascii="Times New Roman" w:hAnsi="Times New Roman" w:cs="Times New Roman"/>
          <w:sz w:val="24"/>
          <w:szCs w:val="24"/>
        </w:rPr>
        <w:t>план</w:t>
      </w:r>
      <w:r w:rsidR="00DD67CB" w:rsidRPr="00C467DB">
        <w:rPr>
          <w:rFonts w:ascii="Times New Roman" w:hAnsi="Times New Roman" w:cs="Times New Roman"/>
          <w:sz w:val="24"/>
          <w:szCs w:val="24"/>
        </w:rPr>
        <w:t>ирани редица дейности за разви</w:t>
      </w:r>
      <w:r w:rsidR="00E71B53" w:rsidRPr="00C467DB">
        <w:rPr>
          <w:rFonts w:ascii="Times New Roman" w:hAnsi="Times New Roman" w:cs="Times New Roman"/>
          <w:sz w:val="24"/>
          <w:szCs w:val="24"/>
        </w:rPr>
        <w:t>тие</w:t>
      </w:r>
      <w:r w:rsidR="00DD67CB" w:rsidRPr="00C467DB">
        <w:rPr>
          <w:rFonts w:ascii="Times New Roman" w:hAnsi="Times New Roman" w:cs="Times New Roman"/>
          <w:sz w:val="24"/>
          <w:szCs w:val="24"/>
        </w:rPr>
        <w:t xml:space="preserve"> на системите за надзор на консумацията </w:t>
      </w:r>
      <w:r w:rsidR="000A477E" w:rsidRPr="00C467DB">
        <w:rPr>
          <w:rFonts w:ascii="Times New Roman" w:hAnsi="Times New Roman" w:cs="Times New Roman"/>
          <w:sz w:val="24"/>
          <w:szCs w:val="24"/>
        </w:rPr>
        <w:t xml:space="preserve">на антимикробни средства </w:t>
      </w:r>
      <w:r w:rsidR="00DD67CB" w:rsidRPr="00C467DB">
        <w:rPr>
          <w:rFonts w:ascii="Times New Roman" w:hAnsi="Times New Roman" w:cs="Times New Roman"/>
          <w:sz w:val="24"/>
          <w:szCs w:val="24"/>
        </w:rPr>
        <w:t>и в двата сектора, както и мониторинг на околната среда.</w:t>
      </w:r>
      <w:r w:rsidR="008928B1" w:rsidRPr="00C467DB">
        <w:rPr>
          <w:rFonts w:ascii="Times New Roman" w:hAnsi="Times New Roman" w:cs="Times New Roman"/>
          <w:sz w:val="24"/>
          <w:szCs w:val="24"/>
        </w:rPr>
        <w:t xml:space="preserve"> Също така са заложени специфични механизми за засилване на надзора и контрола върху продажбата на антибиотици.</w:t>
      </w:r>
    </w:p>
    <w:p w14:paraId="31BF33F0" w14:textId="77777777" w:rsidR="00E71B53" w:rsidRPr="00C467DB" w:rsidRDefault="00E71B53" w:rsidP="00C467DB">
      <w:pPr>
        <w:autoSpaceDE w:val="0"/>
        <w:autoSpaceDN w:val="0"/>
        <w:adjustRightInd w:val="0"/>
        <w:spacing w:after="0" w:line="360" w:lineRule="auto"/>
        <w:ind w:firstLine="709"/>
        <w:jc w:val="both"/>
        <w:rPr>
          <w:rFonts w:ascii="Times New Roman" w:hAnsi="Times New Roman" w:cs="Times New Roman"/>
          <w:b/>
          <w:sz w:val="24"/>
          <w:szCs w:val="24"/>
        </w:rPr>
      </w:pPr>
    </w:p>
    <w:p w14:paraId="0F38473F" w14:textId="77777777" w:rsidR="000A477E" w:rsidRPr="00025214" w:rsidRDefault="00FB3C10" w:rsidP="00E843C8">
      <w:pPr>
        <w:pStyle w:val="Heading2"/>
        <w:spacing w:before="0" w:line="360" w:lineRule="auto"/>
        <w:jc w:val="both"/>
        <w:rPr>
          <w:rFonts w:ascii="Times New Roman" w:eastAsiaTheme="majorEastAsia" w:hAnsi="Times New Roman"/>
          <w:bCs w:val="0"/>
          <w:color w:val="auto"/>
          <w:sz w:val="24"/>
          <w:szCs w:val="24"/>
          <w:lang w:eastAsia="bg-BG"/>
        </w:rPr>
      </w:pPr>
      <w:bookmarkStart w:id="9" w:name="_Toc200721739"/>
      <w:r>
        <w:rPr>
          <w:rFonts w:ascii="Times New Roman" w:eastAsiaTheme="majorEastAsia" w:hAnsi="Times New Roman"/>
          <w:bCs w:val="0"/>
          <w:color w:val="auto"/>
          <w:sz w:val="24"/>
          <w:szCs w:val="24"/>
          <w:lang w:eastAsia="bg-BG"/>
        </w:rPr>
        <w:t>ОСНОВНА</w:t>
      </w:r>
      <w:r w:rsidR="00F55999">
        <w:rPr>
          <w:rFonts w:ascii="Times New Roman" w:eastAsiaTheme="majorEastAsia" w:hAnsi="Times New Roman"/>
          <w:bCs w:val="0"/>
          <w:color w:val="auto"/>
          <w:sz w:val="24"/>
          <w:szCs w:val="24"/>
          <w:lang w:eastAsia="bg-BG"/>
        </w:rPr>
        <w:t xml:space="preserve"> ЦЕЛ 5.</w:t>
      </w:r>
      <w:r w:rsidR="00F55999" w:rsidRPr="00E50EDE">
        <w:rPr>
          <w:rFonts w:ascii="Times New Roman" w:eastAsiaTheme="majorEastAsia" w:hAnsi="Times New Roman"/>
          <w:bCs w:val="0"/>
          <w:color w:val="auto"/>
          <w:sz w:val="24"/>
          <w:szCs w:val="24"/>
          <w:lang w:eastAsia="bg-BG"/>
        </w:rPr>
        <w:t xml:space="preserve"> </w:t>
      </w:r>
      <w:r w:rsidR="00164287" w:rsidRPr="00025214">
        <w:rPr>
          <w:rFonts w:ascii="Times New Roman" w:eastAsiaTheme="majorEastAsia" w:hAnsi="Times New Roman"/>
          <w:bCs w:val="0"/>
          <w:color w:val="auto"/>
          <w:sz w:val="24"/>
          <w:szCs w:val="24"/>
          <w:lang w:eastAsia="bg-BG"/>
        </w:rPr>
        <w:t>Осигуряване на ефективно управление и координация, мониторинг и оценка на Националн</w:t>
      </w:r>
      <w:r w:rsidR="008E32BB">
        <w:rPr>
          <w:rFonts w:ascii="Times New Roman" w:eastAsiaTheme="majorEastAsia" w:hAnsi="Times New Roman"/>
          <w:bCs w:val="0"/>
          <w:color w:val="auto"/>
          <w:sz w:val="24"/>
          <w:szCs w:val="24"/>
          <w:lang w:eastAsia="bg-BG"/>
        </w:rPr>
        <w:t>ата</w:t>
      </w:r>
      <w:r w:rsidR="00164287" w:rsidRPr="00025214">
        <w:rPr>
          <w:rFonts w:ascii="Times New Roman" w:eastAsiaTheme="majorEastAsia" w:hAnsi="Times New Roman"/>
          <w:bCs w:val="0"/>
          <w:color w:val="auto"/>
          <w:sz w:val="24"/>
          <w:szCs w:val="24"/>
          <w:lang w:eastAsia="bg-BG"/>
        </w:rPr>
        <w:t xml:space="preserve"> </w:t>
      </w:r>
      <w:r w:rsidR="00882F2E">
        <w:rPr>
          <w:rFonts w:ascii="Times New Roman" w:eastAsiaTheme="majorEastAsia" w:hAnsi="Times New Roman"/>
          <w:bCs w:val="0"/>
          <w:color w:val="auto"/>
          <w:sz w:val="24"/>
          <w:szCs w:val="24"/>
          <w:lang w:eastAsia="bg-BG"/>
        </w:rPr>
        <w:t>Програма</w:t>
      </w:r>
      <w:r w:rsidR="00164287" w:rsidRPr="00025214">
        <w:rPr>
          <w:rFonts w:ascii="Times New Roman" w:eastAsiaTheme="majorEastAsia" w:hAnsi="Times New Roman"/>
          <w:bCs w:val="0"/>
          <w:color w:val="auto"/>
          <w:sz w:val="24"/>
          <w:szCs w:val="24"/>
          <w:lang w:eastAsia="bg-BG"/>
        </w:rPr>
        <w:t xml:space="preserve"> за действие срещу АМР</w:t>
      </w:r>
      <w:r w:rsidR="00D37E44">
        <w:rPr>
          <w:rFonts w:ascii="Times New Roman" w:eastAsiaTheme="majorEastAsia" w:hAnsi="Times New Roman"/>
          <w:bCs w:val="0"/>
          <w:color w:val="auto"/>
          <w:sz w:val="24"/>
          <w:szCs w:val="24"/>
          <w:lang w:eastAsia="bg-BG"/>
        </w:rPr>
        <w:t>.</w:t>
      </w:r>
      <w:bookmarkEnd w:id="9"/>
      <w:r w:rsidR="00164287" w:rsidRPr="00025214">
        <w:rPr>
          <w:rFonts w:ascii="Times New Roman" w:eastAsiaTheme="majorEastAsia" w:hAnsi="Times New Roman"/>
          <w:bCs w:val="0"/>
          <w:color w:val="auto"/>
          <w:sz w:val="24"/>
          <w:szCs w:val="24"/>
          <w:lang w:eastAsia="bg-BG"/>
        </w:rPr>
        <w:t xml:space="preserve"> </w:t>
      </w:r>
    </w:p>
    <w:p w14:paraId="7D11F32E" w14:textId="77777777" w:rsidR="000A477E" w:rsidRPr="00997C23" w:rsidRDefault="000A477E"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Създаване на</w:t>
      </w:r>
      <w:r w:rsidR="003B662A">
        <w:rPr>
          <w:rFonts w:ascii="Times New Roman" w:hAnsi="Times New Roman" w:cs="Times New Roman"/>
          <w:sz w:val="24"/>
          <w:szCs w:val="24"/>
        </w:rPr>
        <w:t xml:space="preserve"> Междуведомствен координационен съвет </w:t>
      </w:r>
      <w:r w:rsidR="003B662A">
        <w:rPr>
          <w:rFonts w:ascii="Times New Roman" w:hAnsi="Times New Roman" w:cs="Times New Roman"/>
          <w:sz w:val="24"/>
          <w:szCs w:val="24"/>
          <w:lang w:val="en-US"/>
        </w:rPr>
        <w:t>(</w:t>
      </w:r>
      <w:r w:rsidR="003B662A">
        <w:rPr>
          <w:rFonts w:ascii="Times New Roman" w:hAnsi="Times New Roman" w:cs="Times New Roman"/>
          <w:sz w:val="24"/>
          <w:szCs w:val="24"/>
        </w:rPr>
        <w:t>МКС</w:t>
      </w:r>
      <w:r w:rsidR="003B662A">
        <w:rPr>
          <w:rFonts w:ascii="Times New Roman" w:hAnsi="Times New Roman" w:cs="Times New Roman"/>
          <w:sz w:val="24"/>
          <w:szCs w:val="24"/>
          <w:lang w:val="en-US"/>
        </w:rPr>
        <w:t>)</w:t>
      </w:r>
      <w:r w:rsidRPr="00997C23">
        <w:rPr>
          <w:rFonts w:ascii="Times New Roman" w:hAnsi="Times New Roman" w:cs="Times New Roman"/>
          <w:sz w:val="24"/>
          <w:szCs w:val="24"/>
        </w:rPr>
        <w:t xml:space="preserve"> по АМР, включващ експерти от МЗ, </w:t>
      </w:r>
      <w:r w:rsidR="008E32BB">
        <w:rPr>
          <w:rFonts w:ascii="Times New Roman" w:hAnsi="Times New Roman" w:cs="Times New Roman"/>
          <w:sz w:val="24"/>
          <w:szCs w:val="24"/>
        </w:rPr>
        <w:t>Министерство на земеделието</w:t>
      </w:r>
      <w:r w:rsidR="00C24EC8">
        <w:rPr>
          <w:rFonts w:ascii="Times New Roman" w:hAnsi="Times New Roman" w:cs="Times New Roman"/>
          <w:sz w:val="24"/>
          <w:szCs w:val="24"/>
        </w:rPr>
        <w:t xml:space="preserve"> и храните (МЗХ</w:t>
      </w:r>
      <w:r w:rsidR="008E32BB">
        <w:rPr>
          <w:rFonts w:ascii="Times New Roman" w:hAnsi="Times New Roman" w:cs="Times New Roman"/>
          <w:sz w:val="24"/>
          <w:szCs w:val="24"/>
        </w:rPr>
        <w:t>)</w:t>
      </w:r>
      <w:r w:rsidRPr="00997C23">
        <w:rPr>
          <w:rFonts w:ascii="Times New Roman" w:hAnsi="Times New Roman" w:cs="Times New Roman"/>
          <w:sz w:val="24"/>
          <w:szCs w:val="24"/>
        </w:rPr>
        <w:t xml:space="preserve">, МОСВ </w:t>
      </w:r>
      <w:r w:rsidR="003B662A">
        <w:rPr>
          <w:rFonts w:ascii="Times New Roman" w:hAnsi="Times New Roman" w:cs="Times New Roman"/>
          <w:sz w:val="24"/>
          <w:szCs w:val="24"/>
        </w:rPr>
        <w:t xml:space="preserve">и </w:t>
      </w:r>
      <w:r w:rsidR="008E32BB">
        <w:rPr>
          <w:rFonts w:ascii="Times New Roman" w:hAnsi="Times New Roman" w:cs="Times New Roman"/>
          <w:sz w:val="24"/>
          <w:szCs w:val="24"/>
        </w:rPr>
        <w:t>Министерство на образованието и науката (</w:t>
      </w:r>
      <w:r w:rsidR="003B662A">
        <w:rPr>
          <w:rFonts w:ascii="Times New Roman" w:hAnsi="Times New Roman" w:cs="Times New Roman"/>
          <w:sz w:val="24"/>
          <w:szCs w:val="24"/>
        </w:rPr>
        <w:t>МОН</w:t>
      </w:r>
      <w:r w:rsidR="008E32BB">
        <w:rPr>
          <w:rFonts w:ascii="Times New Roman" w:hAnsi="Times New Roman" w:cs="Times New Roman"/>
          <w:sz w:val="24"/>
          <w:szCs w:val="24"/>
        </w:rPr>
        <w:t>)</w:t>
      </w:r>
      <w:r w:rsidR="003B662A">
        <w:rPr>
          <w:rFonts w:ascii="Times New Roman" w:hAnsi="Times New Roman" w:cs="Times New Roman"/>
          <w:sz w:val="24"/>
          <w:szCs w:val="24"/>
        </w:rPr>
        <w:t xml:space="preserve"> </w:t>
      </w:r>
      <w:r w:rsidRPr="00997C23">
        <w:rPr>
          <w:rFonts w:ascii="Times New Roman" w:hAnsi="Times New Roman" w:cs="Times New Roman"/>
          <w:sz w:val="24"/>
          <w:szCs w:val="24"/>
        </w:rPr>
        <w:t>с цел координиране на мерките и действията, анализ</w:t>
      </w:r>
      <w:r w:rsidR="003B662A">
        <w:rPr>
          <w:rFonts w:ascii="Times New Roman" w:hAnsi="Times New Roman" w:cs="Times New Roman"/>
          <w:sz w:val="24"/>
          <w:szCs w:val="24"/>
        </w:rPr>
        <w:t xml:space="preserve"> </w:t>
      </w:r>
      <w:r w:rsidRPr="00997C23">
        <w:rPr>
          <w:rFonts w:ascii="Times New Roman" w:hAnsi="Times New Roman" w:cs="Times New Roman"/>
          <w:sz w:val="24"/>
          <w:szCs w:val="24"/>
        </w:rPr>
        <w:t>на данните.</w:t>
      </w:r>
      <w:r w:rsidR="003B662A">
        <w:rPr>
          <w:rFonts w:ascii="Times New Roman" w:hAnsi="Times New Roman" w:cs="Times New Roman"/>
          <w:sz w:val="24"/>
          <w:szCs w:val="24"/>
        </w:rPr>
        <w:t xml:space="preserve"> </w:t>
      </w:r>
      <w:r w:rsidR="003B662A" w:rsidRPr="00997C23">
        <w:rPr>
          <w:rFonts w:ascii="Times New Roman" w:hAnsi="Times New Roman" w:cs="Times New Roman"/>
          <w:sz w:val="24"/>
          <w:szCs w:val="24"/>
        </w:rPr>
        <w:t xml:space="preserve">Създаване на постоянно действащи експертни съвети или </w:t>
      </w:r>
      <w:r w:rsidR="003B662A" w:rsidRPr="00997C23">
        <w:rPr>
          <w:rFonts w:ascii="Times New Roman" w:hAnsi="Times New Roman" w:cs="Times New Roman"/>
          <w:sz w:val="24"/>
          <w:szCs w:val="24"/>
        </w:rPr>
        <w:lastRenderedPageBreak/>
        <w:t>контактни точки по АМР към институциите</w:t>
      </w:r>
      <w:r w:rsidR="008E32BB">
        <w:rPr>
          <w:rFonts w:ascii="Times New Roman" w:hAnsi="Times New Roman" w:cs="Times New Roman"/>
          <w:sz w:val="24"/>
          <w:szCs w:val="24"/>
        </w:rPr>
        <w:t xml:space="preserve"> -</w:t>
      </w:r>
      <w:r w:rsidR="003B662A" w:rsidRPr="00997C23">
        <w:rPr>
          <w:rFonts w:ascii="Times New Roman" w:hAnsi="Times New Roman" w:cs="Times New Roman"/>
          <w:sz w:val="24"/>
          <w:szCs w:val="24"/>
        </w:rPr>
        <w:t xml:space="preserve"> изпълнители с цел оперативно координиране на изпълнението на националн</w:t>
      </w:r>
      <w:r w:rsidR="008E32BB">
        <w:rPr>
          <w:rFonts w:ascii="Times New Roman" w:hAnsi="Times New Roman" w:cs="Times New Roman"/>
          <w:sz w:val="24"/>
          <w:szCs w:val="24"/>
        </w:rPr>
        <w:t>ата</w:t>
      </w:r>
      <w:r w:rsidR="003B662A" w:rsidRPr="00997C23">
        <w:rPr>
          <w:rFonts w:ascii="Times New Roman" w:hAnsi="Times New Roman" w:cs="Times New Roman"/>
          <w:sz w:val="24"/>
          <w:szCs w:val="24"/>
        </w:rPr>
        <w:t xml:space="preserve"> </w:t>
      </w:r>
      <w:r w:rsidR="00882F2E">
        <w:rPr>
          <w:rFonts w:ascii="Times New Roman" w:hAnsi="Times New Roman" w:cs="Times New Roman"/>
          <w:sz w:val="24"/>
          <w:szCs w:val="24"/>
        </w:rPr>
        <w:t>Програма</w:t>
      </w:r>
      <w:r w:rsidR="003B662A" w:rsidRPr="00997C23">
        <w:rPr>
          <w:rFonts w:ascii="Times New Roman" w:hAnsi="Times New Roman" w:cs="Times New Roman"/>
          <w:sz w:val="24"/>
          <w:szCs w:val="24"/>
        </w:rPr>
        <w:t xml:space="preserve"> за действие срещу АМР в съответните сфери и оценка на предприетите съгласно т</w:t>
      </w:r>
      <w:r w:rsidR="008E32BB">
        <w:rPr>
          <w:rFonts w:ascii="Times New Roman" w:hAnsi="Times New Roman" w:cs="Times New Roman"/>
          <w:sz w:val="24"/>
          <w:szCs w:val="24"/>
        </w:rPr>
        <w:t>а</w:t>
      </w:r>
      <w:r w:rsidR="003B662A" w:rsidRPr="00997C23">
        <w:rPr>
          <w:rFonts w:ascii="Times New Roman" w:hAnsi="Times New Roman" w:cs="Times New Roman"/>
          <w:sz w:val="24"/>
          <w:szCs w:val="24"/>
        </w:rPr>
        <w:t xml:space="preserve">зи </w:t>
      </w:r>
      <w:r w:rsidR="00882F2E">
        <w:rPr>
          <w:rFonts w:ascii="Times New Roman" w:hAnsi="Times New Roman" w:cs="Times New Roman"/>
          <w:sz w:val="24"/>
          <w:szCs w:val="24"/>
        </w:rPr>
        <w:t>Програма</w:t>
      </w:r>
      <w:r w:rsidR="003B662A" w:rsidRPr="00997C23">
        <w:rPr>
          <w:rFonts w:ascii="Times New Roman" w:hAnsi="Times New Roman" w:cs="Times New Roman"/>
          <w:sz w:val="24"/>
          <w:szCs w:val="24"/>
        </w:rPr>
        <w:t xml:space="preserve"> мерки и действия</w:t>
      </w:r>
      <w:r w:rsidR="00C14723">
        <w:rPr>
          <w:rFonts w:ascii="Times New Roman" w:hAnsi="Times New Roman" w:cs="Times New Roman"/>
          <w:sz w:val="24"/>
          <w:szCs w:val="24"/>
        </w:rPr>
        <w:t>.</w:t>
      </w:r>
    </w:p>
    <w:p w14:paraId="34AB2DDD" w14:textId="77777777" w:rsidR="00545B5A"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НЦЗПБ и БАБХ са двете основни звена, отговорни съответно за надзора на А</w:t>
      </w:r>
      <w:r w:rsidR="008E32BB">
        <w:rPr>
          <w:rFonts w:ascii="Times New Roman" w:hAnsi="Times New Roman" w:cs="Times New Roman"/>
          <w:sz w:val="24"/>
          <w:szCs w:val="24"/>
        </w:rPr>
        <w:t>М</w:t>
      </w:r>
      <w:r w:rsidRPr="00997C23">
        <w:rPr>
          <w:rFonts w:ascii="Times New Roman" w:hAnsi="Times New Roman" w:cs="Times New Roman"/>
          <w:sz w:val="24"/>
          <w:szCs w:val="24"/>
        </w:rPr>
        <w:t xml:space="preserve">Р в хуманната и ветеринарната медицина, </w:t>
      </w:r>
      <w:r w:rsidR="00493D22" w:rsidRPr="00997C23">
        <w:rPr>
          <w:rFonts w:ascii="Times New Roman" w:hAnsi="Times New Roman" w:cs="Times New Roman"/>
          <w:sz w:val="24"/>
          <w:szCs w:val="24"/>
        </w:rPr>
        <w:t xml:space="preserve">а </w:t>
      </w:r>
      <w:r w:rsidRPr="00997C23">
        <w:rPr>
          <w:rFonts w:ascii="Times New Roman" w:hAnsi="Times New Roman" w:cs="Times New Roman"/>
          <w:sz w:val="24"/>
          <w:szCs w:val="24"/>
        </w:rPr>
        <w:t>в допълнение на равнопоставена основа следва да се развива сътрудничеството със специалистите по надзора на околната среда и водите. Добрата колаборация би позволила навременно идентифициране, оповестяване и предприемане на адекватни мерки при откриване на необичайни типове резистентност и мултирезистентни клонове с епидемичен/епизоотичен потенциал</w:t>
      </w:r>
      <w:r w:rsidR="00493D22" w:rsidRPr="00997C23">
        <w:rPr>
          <w:rFonts w:ascii="Times New Roman" w:hAnsi="Times New Roman" w:cs="Times New Roman"/>
          <w:sz w:val="24"/>
          <w:szCs w:val="24"/>
        </w:rPr>
        <w:t xml:space="preserve"> със специална насоченост към </w:t>
      </w:r>
      <w:r w:rsidRPr="00997C23">
        <w:rPr>
          <w:rFonts w:ascii="Times New Roman" w:hAnsi="Times New Roman" w:cs="Times New Roman"/>
          <w:sz w:val="24"/>
          <w:szCs w:val="24"/>
        </w:rPr>
        <w:t>ранно</w:t>
      </w:r>
      <w:r w:rsidR="00493D22" w:rsidRPr="00997C23">
        <w:rPr>
          <w:rFonts w:ascii="Times New Roman" w:hAnsi="Times New Roman" w:cs="Times New Roman"/>
          <w:sz w:val="24"/>
          <w:szCs w:val="24"/>
        </w:rPr>
        <w:t>то</w:t>
      </w:r>
      <w:r w:rsidRPr="00997C23">
        <w:rPr>
          <w:rFonts w:ascii="Times New Roman" w:hAnsi="Times New Roman" w:cs="Times New Roman"/>
          <w:sz w:val="24"/>
          <w:szCs w:val="24"/>
        </w:rPr>
        <w:t xml:space="preserve"> откриване на новопоявяващи</w:t>
      </w:r>
      <w:r w:rsidR="00493D22" w:rsidRPr="00997C23">
        <w:rPr>
          <w:rFonts w:ascii="Times New Roman" w:hAnsi="Times New Roman" w:cs="Times New Roman"/>
          <w:sz w:val="24"/>
          <w:szCs w:val="24"/>
        </w:rPr>
        <w:t xml:space="preserve"> се </w:t>
      </w:r>
      <w:r w:rsidRPr="00997C23">
        <w:rPr>
          <w:rFonts w:ascii="Times New Roman" w:hAnsi="Times New Roman" w:cs="Times New Roman"/>
          <w:sz w:val="24"/>
          <w:szCs w:val="24"/>
        </w:rPr>
        <w:t xml:space="preserve">резистентни генотипове. </w:t>
      </w:r>
    </w:p>
    <w:p w14:paraId="260B3E65" w14:textId="77777777" w:rsidR="00545B5A"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 xml:space="preserve">Заключенията от доклада, касаещ извършената съвместна визита на експерти от </w:t>
      </w:r>
      <w:r w:rsidR="00FC6880">
        <w:rPr>
          <w:rFonts w:ascii="Times New Roman" w:hAnsi="Times New Roman" w:cs="Times New Roman"/>
          <w:sz w:val="24"/>
          <w:szCs w:val="24"/>
        </w:rPr>
        <w:t>Европейски център за превенция и контрол на заболяванията (</w:t>
      </w:r>
      <w:r w:rsidRPr="00997C23">
        <w:rPr>
          <w:rFonts w:ascii="Times New Roman" w:hAnsi="Times New Roman" w:cs="Times New Roman"/>
          <w:sz w:val="24"/>
          <w:szCs w:val="24"/>
        </w:rPr>
        <w:t>ECDC</w:t>
      </w:r>
      <w:r w:rsidR="00FC6880">
        <w:rPr>
          <w:rFonts w:ascii="Times New Roman" w:hAnsi="Times New Roman" w:cs="Times New Roman"/>
          <w:sz w:val="24"/>
          <w:szCs w:val="24"/>
        </w:rPr>
        <w:t>)</w:t>
      </w:r>
      <w:r w:rsidRPr="00997C23">
        <w:rPr>
          <w:rFonts w:ascii="Times New Roman" w:hAnsi="Times New Roman" w:cs="Times New Roman"/>
          <w:sz w:val="24"/>
          <w:szCs w:val="24"/>
        </w:rPr>
        <w:t xml:space="preserve"> и ЕК през октомври 2018</w:t>
      </w:r>
      <w:r w:rsidR="00493D22" w:rsidRPr="00997C23">
        <w:rPr>
          <w:rFonts w:ascii="Times New Roman" w:hAnsi="Times New Roman" w:cs="Times New Roman"/>
          <w:sz w:val="24"/>
          <w:szCs w:val="24"/>
        </w:rPr>
        <w:t xml:space="preserve"> </w:t>
      </w:r>
      <w:r w:rsidRPr="00997C23">
        <w:rPr>
          <w:rFonts w:ascii="Times New Roman" w:hAnsi="Times New Roman" w:cs="Times New Roman"/>
          <w:sz w:val="24"/>
          <w:szCs w:val="24"/>
        </w:rPr>
        <w:t>г</w:t>
      </w:r>
      <w:r w:rsidR="00493D22" w:rsidRPr="00997C23">
        <w:rPr>
          <w:rFonts w:ascii="Times New Roman" w:hAnsi="Times New Roman" w:cs="Times New Roman"/>
          <w:sz w:val="24"/>
          <w:szCs w:val="24"/>
        </w:rPr>
        <w:t>.</w:t>
      </w:r>
      <w:r w:rsidRPr="00997C23">
        <w:rPr>
          <w:rFonts w:ascii="Times New Roman" w:hAnsi="Times New Roman" w:cs="Times New Roman"/>
          <w:sz w:val="24"/>
          <w:szCs w:val="24"/>
        </w:rPr>
        <w:t xml:space="preserve"> са категорични, че в България са налице редица пропуски в контрола на АМР на всички нива, какт</w:t>
      </w:r>
      <w:r w:rsidR="00D37E44">
        <w:rPr>
          <w:rFonts w:ascii="Times New Roman" w:hAnsi="Times New Roman" w:cs="Times New Roman"/>
          <w:sz w:val="24"/>
          <w:szCs w:val="24"/>
        </w:rPr>
        <w:t>о и неефективен междусекторен п</w:t>
      </w:r>
      <w:r w:rsidRPr="00997C23">
        <w:rPr>
          <w:rFonts w:ascii="Times New Roman" w:hAnsi="Times New Roman" w:cs="Times New Roman"/>
          <w:sz w:val="24"/>
          <w:szCs w:val="24"/>
        </w:rPr>
        <w:t>одход към проблема</w:t>
      </w:r>
      <w:r w:rsidR="00493D22" w:rsidRPr="00997C23">
        <w:rPr>
          <w:rFonts w:ascii="Times New Roman" w:hAnsi="Times New Roman" w:cs="Times New Roman"/>
          <w:sz w:val="24"/>
          <w:szCs w:val="24"/>
        </w:rPr>
        <w:t xml:space="preserve"> </w:t>
      </w:r>
      <w:r w:rsidRPr="00997C23">
        <w:rPr>
          <w:rFonts w:ascii="Times New Roman" w:hAnsi="Times New Roman" w:cs="Times New Roman"/>
          <w:sz w:val="24"/>
          <w:szCs w:val="24"/>
        </w:rPr>
        <w:t>[44].</w:t>
      </w:r>
    </w:p>
    <w:p w14:paraId="18656AA2" w14:textId="77777777" w:rsidR="00545B5A"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Съответно, в Националн</w:t>
      </w:r>
      <w:r w:rsidR="00A75B2D">
        <w:rPr>
          <w:rFonts w:ascii="Times New Roman" w:hAnsi="Times New Roman" w:cs="Times New Roman"/>
          <w:sz w:val="24"/>
          <w:szCs w:val="24"/>
        </w:rPr>
        <w:t>ата</w:t>
      </w:r>
      <w:r w:rsidRPr="00997C23">
        <w:rPr>
          <w:rFonts w:ascii="Times New Roman" w:hAnsi="Times New Roman" w:cs="Times New Roman"/>
          <w:sz w:val="24"/>
          <w:szCs w:val="24"/>
        </w:rPr>
        <w:t xml:space="preserve"> </w:t>
      </w:r>
      <w:r w:rsidR="00882F2E">
        <w:rPr>
          <w:rFonts w:ascii="Times New Roman" w:hAnsi="Times New Roman" w:cs="Times New Roman"/>
          <w:sz w:val="24"/>
          <w:szCs w:val="24"/>
        </w:rPr>
        <w:t>Програма</w:t>
      </w:r>
      <w:r w:rsidRPr="00997C23">
        <w:rPr>
          <w:rFonts w:ascii="Times New Roman" w:hAnsi="Times New Roman" w:cs="Times New Roman"/>
          <w:sz w:val="24"/>
          <w:szCs w:val="24"/>
        </w:rPr>
        <w:t xml:space="preserve"> са </w:t>
      </w:r>
      <w:r w:rsidR="00A75B2D">
        <w:rPr>
          <w:rFonts w:ascii="Times New Roman" w:hAnsi="Times New Roman" w:cs="Times New Roman"/>
          <w:sz w:val="24"/>
          <w:szCs w:val="24"/>
        </w:rPr>
        <w:t>план</w:t>
      </w:r>
      <w:r w:rsidRPr="00997C23">
        <w:rPr>
          <w:rFonts w:ascii="Times New Roman" w:hAnsi="Times New Roman" w:cs="Times New Roman"/>
          <w:sz w:val="24"/>
          <w:szCs w:val="24"/>
        </w:rPr>
        <w:t xml:space="preserve">ирани редица дейности за бъдещо развитие и единен междусекторен подход за справяне с проблема. </w:t>
      </w:r>
    </w:p>
    <w:p w14:paraId="05B87656" w14:textId="77777777" w:rsidR="00545B5A"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Борбата с АМР изисква комплексен подход, който да обедини всички заинтересовани страни с цел постигане на ефективно намаляване и ограничаване на появата и разпространението на резистентност, чрез рационално прилагане на антибиотиците, трайно и устойчиво намаляване на общия обем на използваните антимикробни средства в хуманната медицина и животновъдството и запазване</w:t>
      </w:r>
      <w:r w:rsidR="00493D22" w:rsidRPr="00997C23">
        <w:rPr>
          <w:rFonts w:ascii="Times New Roman" w:hAnsi="Times New Roman" w:cs="Times New Roman"/>
          <w:sz w:val="24"/>
          <w:szCs w:val="24"/>
        </w:rPr>
        <w:t xml:space="preserve"> </w:t>
      </w:r>
      <w:r w:rsidRPr="00997C23">
        <w:rPr>
          <w:rFonts w:ascii="Times New Roman" w:hAnsi="Times New Roman" w:cs="Times New Roman"/>
          <w:sz w:val="24"/>
          <w:szCs w:val="24"/>
        </w:rPr>
        <w:t>ефективността на антибиотиците за лечение на инфекциите.</w:t>
      </w:r>
    </w:p>
    <w:p w14:paraId="10A07E89" w14:textId="77777777" w:rsidR="00545B5A"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Водещите ангажирани министерства в изпълнението на Националн</w:t>
      </w:r>
      <w:r w:rsidR="00A75B2D">
        <w:rPr>
          <w:rFonts w:ascii="Times New Roman" w:hAnsi="Times New Roman" w:cs="Times New Roman"/>
          <w:sz w:val="24"/>
          <w:szCs w:val="24"/>
        </w:rPr>
        <w:t>ата</w:t>
      </w:r>
      <w:r w:rsidRPr="00997C23">
        <w:rPr>
          <w:rFonts w:ascii="Times New Roman" w:hAnsi="Times New Roman" w:cs="Times New Roman"/>
          <w:sz w:val="24"/>
          <w:szCs w:val="24"/>
        </w:rPr>
        <w:t xml:space="preserve"> </w:t>
      </w:r>
      <w:r w:rsidR="00882F2E">
        <w:rPr>
          <w:rFonts w:ascii="Times New Roman" w:hAnsi="Times New Roman" w:cs="Times New Roman"/>
          <w:sz w:val="24"/>
          <w:szCs w:val="24"/>
        </w:rPr>
        <w:t>Програма</w:t>
      </w:r>
      <w:r w:rsidRPr="00997C23">
        <w:rPr>
          <w:rFonts w:ascii="Times New Roman" w:hAnsi="Times New Roman" w:cs="Times New Roman"/>
          <w:sz w:val="24"/>
          <w:szCs w:val="24"/>
        </w:rPr>
        <w:t>, обединени под мотото „Едно здраве“, са равнопоставени: Министерството на здравеопазването, Министерството на земеделието</w:t>
      </w:r>
      <w:r w:rsidR="00263793">
        <w:rPr>
          <w:rFonts w:ascii="Times New Roman" w:hAnsi="Times New Roman" w:cs="Times New Roman"/>
          <w:sz w:val="24"/>
          <w:szCs w:val="24"/>
        </w:rPr>
        <w:t xml:space="preserve"> и храните</w:t>
      </w:r>
      <w:r w:rsidRPr="00997C23">
        <w:rPr>
          <w:rFonts w:ascii="Times New Roman" w:hAnsi="Times New Roman" w:cs="Times New Roman"/>
          <w:sz w:val="24"/>
          <w:szCs w:val="24"/>
        </w:rPr>
        <w:t xml:space="preserve">, Министерството на околната среда и водите, както и водещите участващи в тях институции: напр. НЦЗПБ, БАБХ, </w:t>
      </w:r>
      <w:r w:rsidR="009911C7">
        <w:rPr>
          <w:rFonts w:ascii="Times New Roman" w:hAnsi="Times New Roman" w:cs="Times New Roman"/>
          <w:sz w:val="24"/>
          <w:szCs w:val="24"/>
        </w:rPr>
        <w:t xml:space="preserve">университети </w:t>
      </w:r>
      <w:r w:rsidRPr="00997C23">
        <w:rPr>
          <w:rFonts w:ascii="Times New Roman" w:hAnsi="Times New Roman" w:cs="Times New Roman"/>
          <w:sz w:val="24"/>
          <w:szCs w:val="24"/>
        </w:rPr>
        <w:t xml:space="preserve">и др. </w:t>
      </w:r>
    </w:p>
    <w:p w14:paraId="78231792" w14:textId="77777777" w:rsidR="00493D22" w:rsidRPr="00997C23" w:rsidRDefault="00545B5A" w:rsidP="00C467DB">
      <w:pPr>
        <w:autoSpaceDE w:val="0"/>
        <w:autoSpaceDN w:val="0"/>
        <w:adjustRightInd w:val="0"/>
        <w:spacing w:after="0" w:line="360" w:lineRule="auto"/>
        <w:ind w:firstLine="709"/>
        <w:jc w:val="both"/>
        <w:rPr>
          <w:rFonts w:ascii="Times New Roman" w:hAnsi="Times New Roman" w:cs="Times New Roman"/>
          <w:sz w:val="24"/>
          <w:szCs w:val="24"/>
        </w:rPr>
      </w:pPr>
      <w:r w:rsidRPr="00997C23">
        <w:rPr>
          <w:rFonts w:ascii="Times New Roman" w:hAnsi="Times New Roman" w:cs="Times New Roman"/>
          <w:sz w:val="24"/>
          <w:szCs w:val="24"/>
        </w:rPr>
        <w:t>Конкретните ръководни и отговорни институции са посочени в</w:t>
      </w:r>
      <w:r w:rsidR="008E08BC" w:rsidRPr="00997C23">
        <w:rPr>
          <w:rFonts w:ascii="Times New Roman" w:hAnsi="Times New Roman" w:cs="Times New Roman"/>
          <w:sz w:val="24"/>
          <w:szCs w:val="24"/>
        </w:rPr>
        <w:t xml:space="preserve"> </w:t>
      </w:r>
      <w:r w:rsidR="009A36E1" w:rsidRPr="00997C23">
        <w:rPr>
          <w:rFonts w:ascii="Times New Roman" w:hAnsi="Times New Roman" w:cs="Times New Roman"/>
          <w:sz w:val="24"/>
          <w:szCs w:val="24"/>
        </w:rPr>
        <w:t>Работната програма на Национал</w:t>
      </w:r>
      <w:r w:rsidR="00493D22" w:rsidRPr="00997C23">
        <w:rPr>
          <w:rFonts w:ascii="Times New Roman" w:hAnsi="Times New Roman" w:cs="Times New Roman"/>
          <w:sz w:val="24"/>
          <w:szCs w:val="24"/>
        </w:rPr>
        <w:t>н</w:t>
      </w:r>
      <w:r w:rsidR="00A75B2D">
        <w:rPr>
          <w:rFonts w:ascii="Times New Roman" w:hAnsi="Times New Roman" w:cs="Times New Roman"/>
          <w:sz w:val="24"/>
          <w:szCs w:val="24"/>
        </w:rPr>
        <w:t>ата</w:t>
      </w:r>
      <w:r w:rsidR="009A36E1" w:rsidRPr="00997C23">
        <w:rPr>
          <w:rFonts w:ascii="Times New Roman" w:hAnsi="Times New Roman" w:cs="Times New Roman"/>
          <w:sz w:val="24"/>
          <w:szCs w:val="24"/>
        </w:rPr>
        <w:t xml:space="preserve"> </w:t>
      </w:r>
      <w:r w:rsidR="00D253D9">
        <w:rPr>
          <w:rFonts w:ascii="Times New Roman" w:hAnsi="Times New Roman" w:cs="Times New Roman"/>
          <w:sz w:val="24"/>
          <w:szCs w:val="24"/>
        </w:rPr>
        <w:t>п</w:t>
      </w:r>
      <w:r w:rsidR="00882F2E">
        <w:rPr>
          <w:rFonts w:ascii="Times New Roman" w:hAnsi="Times New Roman" w:cs="Times New Roman"/>
          <w:sz w:val="24"/>
          <w:szCs w:val="24"/>
        </w:rPr>
        <w:t>рограма</w:t>
      </w:r>
      <w:r w:rsidR="009A36E1" w:rsidRPr="00997C23">
        <w:rPr>
          <w:rFonts w:ascii="Times New Roman" w:hAnsi="Times New Roman" w:cs="Times New Roman"/>
          <w:sz w:val="24"/>
          <w:szCs w:val="24"/>
        </w:rPr>
        <w:t xml:space="preserve"> – Приложение № 1.</w:t>
      </w:r>
      <w:r w:rsidRPr="00997C23">
        <w:rPr>
          <w:rFonts w:ascii="Times New Roman" w:hAnsi="Times New Roman" w:cs="Times New Roman"/>
          <w:sz w:val="24"/>
          <w:szCs w:val="24"/>
        </w:rPr>
        <w:t xml:space="preserve"> </w:t>
      </w:r>
    </w:p>
    <w:p w14:paraId="754C3904" w14:textId="77777777" w:rsidR="00B92D70" w:rsidRPr="00997C23" w:rsidRDefault="008E08BC" w:rsidP="00EE37D8">
      <w:pPr>
        <w:autoSpaceDE w:val="0"/>
        <w:autoSpaceDN w:val="0"/>
        <w:adjustRightInd w:val="0"/>
        <w:spacing w:after="0" w:line="360" w:lineRule="auto"/>
        <w:ind w:firstLine="709"/>
        <w:jc w:val="both"/>
        <w:rPr>
          <w:rFonts w:ascii="Times New Roman" w:eastAsia="Calibri" w:hAnsi="Times New Roman" w:cs="Times New Roman"/>
          <w:sz w:val="24"/>
          <w:szCs w:val="24"/>
          <w:lang w:val="en-US"/>
        </w:rPr>
      </w:pPr>
      <w:r w:rsidRPr="00997C23">
        <w:rPr>
          <w:rFonts w:ascii="Times New Roman" w:hAnsi="Times New Roman" w:cs="Times New Roman"/>
          <w:sz w:val="24"/>
          <w:szCs w:val="24"/>
        </w:rPr>
        <w:t>Към Националн</w:t>
      </w:r>
      <w:r w:rsidR="00A75B2D">
        <w:rPr>
          <w:rFonts w:ascii="Times New Roman" w:hAnsi="Times New Roman" w:cs="Times New Roman"/>
          <w:sz w:val="24"/>
          <w:szCs w:val="24"/>
        </w:rPr>
        <w:t>ата</w:t>
      </w:r>
      <w:r w:rsidRPr="00997C23">
        <w:rPr>
          <w:rFonts w:ascii="Times New Roman" w:hAnsi="Times New Roman" w:cs="Times New Roman"/>
          <w:sz w:val="24"/>
          <w:szCs w:val="24"/>
        </w:rPr>
        <w:t xml:space="preserve"> </w:t>
      </w:r>
      <w:r w:rsidR="00D253D9">
        <w:rPr>
          <w:rFonts w:ascii="Times New Roman" w:hAnsi="Times New Roman" w:cs="Times New Roman"/>
          <w:sz w:val="24"/>
          <w:szCs w:val="24"/>
        </w:rPr>
        <w:t>п</w:t>
      </w:r>
      <w:r w:rsidR="00882F2E">
        <w:rPr>
          <w:rFonts w:ascii="Times New Roman" w:hAnsi="Times New Roman" w:cs="Times New Roman"/>
          <w:sz w:val="24"/>
          <w:szCs w:val="24"/>
        </w:rPr>
        <w:t>рограма</w:t>
      </w:r>
      <w:r w:rsidRPr="00997C23">
        <w:rPr>
          <w:rFonts w:ascii="Times New Roman" w:hAnsi="Times New Roman" w:cs="Times New Roman"/>
          <w:sz w:val="24"/>
          <w:szCs w:val="24"/>
        </w:rPr>
        <w:t xml:space="preserve"> </w:t>
      </w:r>
      <w:r w:rsidR="00493D22" w:rsidRPr="00997C23">
        <w:rPr>
          <w:rFonts w:ascii="Times New Roman" w:hAnsi="Times New Roman" w:cs="Times New Roman"/>
          <w:sz w:val="24"/>
          <w:szCs w:val="24"/>
        </w:rPr>
        <w:t xml:space="preserve">е </w:t>
      </w:r>
      <w:r w:rsidR="001B51A6">
        <w:rPr>
          <w:rFonts w:ascii="Times New Roman" w:hAnsi="Times New Roman" w:cs="Times New Roman"/>
          <w:sz w:val="24"/>
          <w:szCs w:val="24"/>
        </w:rPr>
        <w:t>изготвен Ф</w:t>
      </w:r>
      <w:r w:rsidRPr="00997C23">
        <w:rPr>
          <w:rFonts w:ascii="Times New Roman" w:hAnsi="Times New Roman" w:cs="Times New Roman"/>
          <w:sz w:val="24"/>
          <w:szCs w:val="24"/>
        </w:rPr>
        <w:t xml:space="preserve">инансов </w:t>
      </w:r>
      <w:r w:rsidR="001B51A6">
        <w:rPr>
          <w:rFonts w:ascii="Times New Roman" w:hAnsi="Times New Roman" w:cs="Times New Roman"/>
          <w:sz w:val="24"/>
          <w:szCs w:val="24"/>
        </w:rPr>
        <w:t>п</w:t>
      </w:r>
      <w:r w:rsidR="00A75B2D">
        <w:rPr>
          <w:rFonts w:ascii="Times New Roman" w:hAnsi="Times New Roman" w:cs="Times New Roman"/>
          <w:sz w:val="24"/>
          <w:szCs w:val="24"/>
        </w:rPr>
        <w:t>лан</w:t>
      </w:r>
      <w:r w:rsidRPr="00997C23">
        <w:rPr>
          <w:rFonts w:ascii="Times New Roman" w:hAnsi="Times New Roman" w:cs="Times New Roman"/>
          <w:sz w:val="24"/>
          <w:szCs w:val="24"/>
        </w:rPr>
        <w:t xml:space="preserve"> </w:t>
      </w:r>
      <w:r w:rsidR="00493D22" w:rsidRPr="00997C23">
        <w:rPr>
          <w:rFonts w:ascii="Times New Roman" w:hAnsi="Times New Roman" w:cs="Times New Roman"/>
          <w:sz w:val="24"/>
          <w:szCs w:val="24"/>
        </w:rPr>
        <w:t xml:space="preserve">с </w:t>
      </w:r>
      <w:r w:rsidR="00D80F93" w:rsidRPr="00997C23">
        <w:rPr>
          <w:rFonts w:ascii="Times New Roman" w:hAnsi="Times New Roman" w:cs="Times New Roman"/>
          <w:sz w:val="24"/>
          <w:szCs w:val="24"/>
        </w:rPr>
        <w:t xml:space="preserve">необходимите средства за обезпечаване </w:t>
      </w:r>
      <w:r w:rsidR="00A5097E" w:rsidRPr="00997C23">
        <w:rPr>
          <w:rFonts w:ascii="Times New Roman" w:hAnsi="Times New Roman" w:cs="Times New Roman"/>
          <w:sz w:val="24"/>
          <w:szCs w:val="24"/>
        </w:rPr>
        <w:t xml:space="preserve">на </w:t>
      </w:r>
      <w:r w:rsidR="00D80F93" w:rsidRPr="00997C23">
        <w:rPr>
          <w:rFonts w:ascii="Times New Roman" w:hAnsi="Times New Roman" w:cs="Times New Roman"/>
          <w:sz w:val="24"/>
          <w:szCs w:val="24"/>
        </w:rPr>
        <w:t>изпълнението</w:t>
      </w:r>
      <w:r w:rsidR="00A5097E" w:rsidRPr="00997C23">
        <w:rPr>
          <w:rFonts w:ascii="Times New Roman" w:hAnsi="Times New Roman" w:cs="Times New Roman"/>
          <w:sz w:val="24"/>
          <w:szCs w:val="24"/>
        </w:rPr>
        <w:t xml:space="preserve"> на</w:t>
      </w:r>
      <w:r w:rsidR="00D80F93" w:rsidRPr="00997C23">
        <w:rPr>
          <w:rFonts w:ascii="Times New Roman" w:hAnsi="Times New Roman" w:cs="Times New Roman"/>
          <w:sz w:val="24"/>
          <w:szCs w:val="24"/>
        </w:rPr>
        <w:t xml:space="preserve"> дейностите</w:t>
      </w:r>
      <w:r w:rsidR="00A5097E" w:rsidRPr="00997C23">
        <w:rPr>
          <w:rFonts w:ascii="Times New Roman" w:hAnsi="Times New Roman" w:cs="Times New Roman"/>
          <w:sz w:val="24"/>
          <w:szCs w:val="24"/>
        </w:rPr>
        <w:t>,</w:t>
      </w:r>
      <w:r w:rsidR="00D80F93" w:rsidRPr="00997C23">
        <w:rPr>
          <w:rFonts w:ascii="Times New Roman" w:hAnsi="Times New Roman" w:cs="Times New Roman"/>
          <w:sz w:val="24"/>
          <w:szCs w:val="24"/>
        </w:rPr>
        <w:t xml:space="preserve"> заложени в </w:t>
      </w:r>
      <w:r w:rsidRPr="00997C23">
        <w:rPr>
          <w:rFonts w:ascii="Times New Roman" w:hAnsi="Times New Roman" w:cs="Times New Roman"/>
          <w:sz w:val="24"/>
          <w:szCs w:val="24"/>
        </w:rPr>
        <w:t>работната програма</w:t>
      </w:r>
      <w:r w:rsidR="009B4515" w:rsidRPr="00997C23">
        <w:rPr>
          <w:rFonts w:ascii="Times New Roman" w:hAnsi="Times New Roman" w:cs="Times New Roman"/>
          <w:sz w:val="24"/>
          <w:szCs w:val="24"/>
        </w:rPr>
        <w:t xml:space="preserve"> </w:t>
      </w:r>
      <w:r w:rsidR="00EE37D8">
        <w:rPr>
          <w:rFonts w:ascii="Times New Roman" w:hAnsi="Times New Roman" w:cs="Times New Roman"/>
          <w:sz w:val="24"/>
          <w:szCs w:val="24"/>
        </w:rPr>
        <w:t>–</w:t>
      </w:r>
      <w:r w:rsidR="000E281B">
        <w:rPr>
          <w:rFonts w:ascii="Times New Roman" w:hAnsi="Times New Roman" w:cs="Times New Roman"/>
          <w:sz w:val="24"/>
          <w:szCs w:val="24"/>
        </w:rPr>
        <w:t xml:space="preserve"> Приложение </w:t>
      </w:r>
      <w:r w:rsidR="009B4515" w:rsidRPr="00997C23">
        <w:rPr>
          <w:rFonts w:ascii="Times New Roman" w:hAnsi="Times New Roman" w:cs="Times New Roman"/>
          <w:sz w:val="24"/>
          <w:szCs w:val="24"/>
        </w:rPr>
        <w:t>№</w:t>
      </w:r>
      <w:r w:rsidR="009B4515" w:rsidRPr="00997C23">
        <w:rPr>
          <w:rFonts w:ascii="Times New Roman" w:hAnsi="Times New Roman" w:cs="Times New Roman"/>
          <w:sz w:val="24"/>
          <w:szCs w:val="24"/>
          <w:lang w:val="en-US"/>
        </w:rPr>
        <w:t xml:space="preserve"> 2</w:t>
      </w:r>
      <w:r w:rsidR="009B4515" w:rsidRPr="00997C23">
        <w:rPr>
          <w:rFonts w:ascii="Times New Roman" w:hAnsi="Times New Roman" w:cs="Times New Roman"/>
          <w:sz w:val="24"/>
          <w:szCs w:val="24"/>
        </w:rPr>
        <w:t>.</w:t>
      </w:r>
    </w:p>
    <w:p w14:paraId="08344DC3" w14:textId="77777777" w:rsidR="00A301EB" w:rsidRPr="00997C23" w:rsidRDefault="00A301EB" w:rsidP="00E843C8">
      <w:pPr>
        <w:spacing w:after="0" w:line="360" w:lineRule="auto"/>
        <w:jc w:val="both"/>
        <w:rPr>
          <w:rFonts w:ascii="Times New Roman" w:eastAsia="Times New Roman" w:hAnsi="Times New Roman" w:cs="Times New Roman"/>
          <w:color w:val="000000"/>
          <w:sz w:val="24"/>
          <w:szCs w:val="24"/>
          <w:lang w:eastAsia="bg-BG"/>
        </w:rPr>
        <w:sectPr w:rsidR="00A301EB" w:rsidRPr="00997C23" w:rsidSect="00A13346">
          <w:footerReference w:type="default" r:id="rId20"/>
          <w:pgSz w:w="11906" w:h="16838" w:code="9"/>
          <w:pgMar w:top="1134" w:right="1134" w:bottom="567" w:left="1701" w:header="709" w:footer="709" w:gutter="0"/>
          <w:cols w:space="708"/>
          <w:titlePg/>
          <w:docGrid w:linePitch="360"/>
        </w:sectPr>
      </w:pPr>
      <w:bookmarkStart w:id="10" w:name="_Toc5553879"/>
    </w:p>
    <w:bookmarkEnd w:id="10"/>
    <w:p w14:paraId="5997D654" w14:textId="77777777" w:rsidR="00631363" w:rsidRDefault="0034180B" w:rsidP="006F4E3D">
      <w:pPr>
        <w:spacing w:after="0" w:line="360" w:lineRule="auto"/>
        <w:ind w:left="11328"/>
        <w:jc w:val="right"/>
        <w:rPr>
          <w:rFonts w:ascii="Times New Roman" w:hAnsi="Times New Roman" w:cs="Times New Roman"/>
          <w:sz w:val="24"/>
          <w:szCs w:val="24"/>
        </w:rPr>
      </w:pPr>
      <w:r w:rsidRPr="006F4E3D">
        <w:rPr>
          <w:rFonts w:ascii="Times New Roman" w:hAnsi="Times New Roman" w:cs="Times New Roman"/>
          <w:sz w:val="24"/>
          <w:szCs w:val="24"/>
        </w:rPr>
        <w:lastRenderedPageBreak/>
        <w:t>Приложение № 1</w:t>
      </w:r>
    </w:p>
    <w:p w14:paraId="31063FF7" w14:textId="77777777" w:rsidR="00503C65" w:rsidRPr="00503C65" w:rsidRDefault="00503C65" w:rsidP="00503C65">
      <w:pPr>
        <w:keepNext/>
        <w:keepLines/>
        <w:spacing w:after="0" w:line="360" w:lineRule="auto"/>
        <w:jc w:val="center"/>
        <w:outlineLvl w:val="1"/>
        <w:rPr>
          <w:rFonts w:ascii="Times New Roman" w:eastAsiaTheme="majorEastAsia" w:hAnsi="Times New Roman" w:cs="Times New Roman"/>
          <w:b/>
          <w:sz w:val="24"/>
          <w:szCs w:val="24"/>
          <w:lang w:eastAsia="bg-BG"/>
        </w:rPr>
      </w:pPr>
      <w:bookmarkStart w:id="11" w:name="_Toc200721740"/>
      <w:r w:rsidRPr="00503C65">
        <w:rPr>
          <w:rFonts w:ascii="Times New Roman" w:eastAsiaTheme="majorEastAsia" w:hAnsi="Times New Roman" w:cs="Times New Roman"/>
          <w:b/>
          <w:sz w:val="24"/>
          <w:szCs w:val="24"/>
          <w:lang w:eastAsia="bg-BG"/>
        </w:rPr>
        <w:t>РАБОТНА ПРОГРАМА</w:t>
      </w:r>
      <w:bookmarkEnd w:id="11"/>
    </w:p>
    <w:p w14:paraId="57D0AC56" w14:textId="77777777" w:rsidR="00503C65" w:rsidRDefault="00503C65" w:rsidP="00503C65">
      <w:pPr>
        <w:spacing w:after="0" w:line="360" w:lineRule="auto"/>
        <w:jc w:val="center"/>
        <w:rPr>
          <w:rFonts w:ascii="Times New Roman" w:hAnsi="Times New Roman" w:cs="Times New Roman"/>
          <w:b/>
          <w:spacing w:val="5"/>
          <w:kern w:val="28"/>
          <w:sz w:val="24"/>
          <w:szCs w:val="24"/>
        </w:rPr>
      </w:pPr>
      <w:r w:rsidRPr="00503C65">
        <w:rPr>
          <w:rFonts w:ascii="Times New Roman" w:hAnsi="Times New Roman" w:cs="Times New Roman"/>
          <w:b/>
          <w:bCs/>
          <w:sz w:val="24"/>
          <w:szCs w:val="24"/>
        </w:rPr>
        <w:t xml:space="preserve">НА </w:t>
      </w:r>
      <w:r w:rsidRPr="00503C65">
        <w:rPr>
          <w:rFonts w:ascii="Times New Roman" w:hAnsi="Times New Roman" w:cs="Times New Roman"/>
          <w:b/>
          <w:spacing w:val="5"/>
          <w:kern w:val="28"/>
          <w:sz w:val="24"/>
          <w:szCs w:val="24"/>
        </w:rPr>
        <w:t xml:space="preserve">НАЦИОНАЛНАТА ПРОГРАМА ЗА </w:t>
      </w:r>
      <w:r w:rsidRPr="00503C65">
        <w:rPr>
          <w:rFonts w:ascii="Times New Roman" w:hAnsi="Times New Roman" w:cs="Times New Roman"/>
          <w:b/>
          <w:sz w:val="24"/>
          <w:szCs w:val="24"/>
          <w:lang w:eastAsia="bg-BG"/>
        </w:rPr>
        <w:t>ДЕЙСТВИЕ СРЕЩУ</w:t>
      </w:r>
      <w:r w:rsidRPr="00503C65">
        <w:rPr>
          <w:rFonts w:ascii="Times New Roman" w:hAnsi="Times New Roman" w:cs="Times New Roman"/>
          <w:b/>
          <w:spacing w:val="5"/>
          <w:kern w:val="28"/>
          <w:sz w:val="24"/>
          <w:szCs w:val="24"/>
        </w:rPr>
        <w:t xml:space="preserve"> АНТИМИКРОБНАТА РЕЗИСТЕНТНОСТ</w:t>
      </w:r>
    </w:p>
    <w:p w14:paraId="7B7055A0" w14:textId="77777777" w:rsidR="00503C65" w:rsidRPr="00503C65" w:rsidRDefault="00503C65" w:rsidP="00503C65">
      <w:pPr>
        <w:spacing w:after="0" w:line="360" w:lineRule="auto"/>
        <w:jc w:val="center"/>
        <w:rPr>
          <w:rFonts w:ascii="Times New Roman" w:hAnsi="Times New Roman" w:cs="Times New Roman"/>
          <w:b/>
          <w:spacing w:val="5"/>
          <w:kern w:val="28"/>
          <w:sz w:val="24"/>
          <w:szCs w:val="24"/>
        </w:rPr>
      </w:pPr>
      <w:r w:rsidRPr="00503C65">
        <w:rPr>
          <w:rFonts w:ascii="Times New Roman" w:hAnsi="Times New Roman" w:cs="Times New Roman"/>
          <w:b/>
          <w:spacing w:val="5"/>
          <w:kern w:val="28"/>
          <w:sz w:val="24"/>
          <w:szCs w:val="24"/>
        </w:rPr>
        <w:t>2026</w:t>
      </w:r>
      <w:r w:rsidRPr="00503C65">
        <w:rPr>
          <w:rFonts w:ascii="Times New Roman" w:eastAsia="Calibri" w:hAnsi="Times New Roman" w:cs="Times New Roman"/>
          <w:sz w:val="24"/>
          <w:szCs w:val="24"/>
        </w:rPr>
        <w:t xml:space="preserve"> – </w:t>
      </w:r>
      <w:r w:rsidRPr="00503C65">
        <w:rPr>
          <w:rFonts w:ascii="Times New Roman" w:hAnsi="Times New Roman" w:cs="Times New Roman"/>
          <w:b/>
          <w:spacing w:val="5"/>
          <w:kern w:val="28"/>
          <w:sz w:val="24"/>
          <w:szCs w:val="24"/>
        </w:rPr>
        <w:t>2029</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21"/>
        <w:gridCol w:w="5511"/>
        <w:gridCol w:w="1701"/>
        <w:gridCol w:w="1134"/>
        <w:gridCol w:w="2268"/>
        <w:gridCol w:w="1843"/>
        <w:gridCol w:w="2131"/>
      </w:tblGrid>
      <w:tr w:rsidR="00503C65" w:rsidRPr="002262A7" w14:paraId="01FCF5D1" w14:textId="77777777" w:rsidTr="00C315DE">
        <w:trPr>
          <w:trHeight w:val="903"/>
          <w:tblHeader/>
        </w:trPr>
        <w:tc>
          <w:tcPr>
            <w:tcW w:w="721" w:type="dxa"/>
            <w:vMerge w:val="restart"/>
            <w:vAlign w:val="center"/>
          </w:tcPr>
          <w:p w14:paraId="1F91DB08" w14:textId="77777777" w:rsidR="00503C65" w:rsidRPr="002262A7" w:rsidRDefault="00503C65" w:rsidP="00C315DE">
            <w:pPr>
              <w:spacing w:after="0" w:line="276" w:lineRule="auto"/>
              <w:rPr>
                <w:rFonts w:ascii="Times New Roman" w:hAnsi="Times New Roman" w:cs="Times New Roman"/>
                <w:b/>
                <w:bCs/>
                <w:sz w:val="24"/>
                <w:szCs w:val="24"/>
              </w:rPr>
            </w:pPr>
            <w:r w:rsidRPr="002262A7">
              <w:rPr>
                <w:rFonts w:ascii="Times New Roman" w:hAnsi="Times New Roman" w:cs="Times New Roman"/>
                <w:b/>
                <w:bCs/>
                <w:sz w:val="24"/>
                <w:szCs w:val="24"/>
              </w:rPr>
              <w:t>№ по ред</w:t>
            </w:r>
          </w:p>
        </w:tc>
        <w:tc>
          <w:tcPr>
            <w:tcW w:w="5511" w:type="dxa"/>
            <w:vMerge w:val="restart"/>
            <w:vAlign w:val="center"/>
          </w:tcPr>
          <w:p w14:paraId="398C77C8" w14:textId="77777777" w:rsidR="00503C65" w:rsidRPr="002262A7" w:rsidRDefault="00503C65" w:rsidP="00C315DE">
            <w:pPr>
              <w:spacing w:after="0" w:line="276" w:lineRule="auto"/>
              <w:jc w:val="both"/>
              <w:rPr>
                <w:rFonts w:ascii="Times New Roman" w:hAnsi="Times New Roman" w:cs="Times New Roman"/>
                <w:b/>
                <w:bCs/>
                <w:sz w:val="24"/>
                <w:szCs w:val="24"/>
              </w:rPr>
            </w:pPr>
            <w:r w:rsidRPr="002262A7">
              <w:rPr>
                <w:rFonts w:ascii="Times New Roman" w:hAnsi="Times New Roman" w:cs="Times New Roman"/>
                <w:b/>
                <w:bCs/>
                <w:sz w:val="24"/>
                <w:szCs w:val="24"/>
              </w:rPr>
              <w:t>Дейност</w:t>
            </w:r>
          </w:p>
        </w:tc>
        <w:tc>
          <w:tcPr>
            <w:tcW w:w="1701" w:type="dxa"/>
            <w:vMerge w:val="restart"/>
            <w:vAlign w:val="center"/>
          </w:tcPr>
          <w:p w14:paraId="5CDBFE22" w14:textId="77777777" w:rsidR="00503C65" w:rsidRPr="002262A7" w:rsidRDefault="00503C65" w:rsidP="00C315DE">
            <w:pPr>
              <w:spacing w:after="0" w:line="276" w:lineRule="auto"/>
              <w:jc w:val="both"/>
              <w:rPr>
                <w:rFonts w:ascii="Times New Roman" w:hAnsi="Times New Roman" w:cs="Times New Roman"/>
                <w:b/>
                <w:bCs/>
                <w:sz w:val="24"/>
                <w:szCs w:val="24"/>
              </w:rPr>
            </w:pPr>
            <w:r w:rsidRPr="002262A7">
              <w:rPr>
                <w:rFonts w:ascii="Times New Roman" w:hAnsi="Times New Roman" w:cs="Times New Roman"/>
                <w:b/>
                <w:bCs/>
                <w:sz w:val="24"/>
                <w:szCs w:val="24"/>
              </w:rPr>
              <w:t>Отговорни институции/</w:t>
            </w:r>
            <w:r w:rsidRPr="002262A7">
              <w:rPr>
                <w:rFonts w:ascii="Times New Roman" w:hAnsi="Times New Roman" w:cs="Times New Roman"/>
                <w:b/>
                <w:bCs/>
                <w:sz w:val="24"/>
                <w:szCs w:val="24"/>
              </w:rPr>
              <w:br/>
              <w:t>Изпълнители</w:t>
            </w:r>
          </w:p>
        </w:tc>
        <w:tc>
          <w:tcPr>
            <w:tcW w:w="1134" w:type="dxa"/>
            <w:vMerge w:val="restart"/>
            <w:vAlign w:val="center"/>
          </w:tcPr>
          <w:p w14:paraId="7EB14D51" w14:textId="77777777" w:rsidR="00503C65" w:rsidRPr="002262A7" w:rsidRDefault="00503C65" w:rsidP="00C315DE">
            <w:pPr>
              <w:spacing w:after="0" w:line="276" w:lineRule="auto"/>
              <w:jc w:val="both"/>
              <w:rPr>
                <w:rFonts w:ascii="Times New Roman" w:hAnsi="Times New Roman" w:cs="Times New Roman"/>
                <w:b/>
                <w:bCs/>
                <w:sz w:val="24"/>
                <w:szCs w:val="24"/>
              </w:rPr>
            </w:pPr>
            <w:r w:rsidRPr="002262A7">
              <w:rPr>
                <w:rFonts w:ascii="Times New Roman" w:hAnsi="Times New Roman" w:cs="Times New Roman"/>
                <w:b/>
                <w:bCs/>
                <w:sz w:val="24"/>
                <w:szCs w:val="24"/>
              </w:rPr>
              <w:t>Срок</w:t>
            </w:r>
          </w:p>
        </w:tc>
        <w:tc>
          <w:tcPr>
            <w:tcW w:w="2268" w:type="dxa"/>
            <w:vMerge w:val="restart"/>
            <w:vAlign w:val="center"/>
          </w:tcPr>
          <w:p w14:paraId="72F01D00" w14:textId="77777777" w:rsidR="00503C65" w:rsidRPr="008634C1" w:rsidRDefault="00503C65" w:rsidP="00C315DE">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на индикатора </w:t>
            </w:r>
          </w:p>
        </w:tc>
        <w:tc>
          <w:tcPr>
            <w:tcW w:w="3974" w:type="dxa"/>
            <w:gridSpan w:val="2"/>
            <w:vAlign w:val="center"/>
          </w:tcPr>
          <w:p w14:paraId="00957D85" w14:textId="77777777" w:rsidR="00503C65" w:rsidRPr="002262A7" w:rsidRDefault="00503C65" w:rsidP="00C315DE">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Индикатори за изпълнение </w:t>
            </w:r>
          </w:p>
        </w:tc>
      </w:tr>
      <w:tr w:rsidR="00503C65" w:rsidRPr="002262A7" w14:paraId="7DC95B66" w14:textId="77777777" w:rsidTr="00C315DE">
        <w:trPr>
          <w:trHeight w:val="365"/>
          <w:tblHeader/>
        </w:trPr>
        <w:tc>
          <w:tcPr>
            <w:tcW w:w="721" w:type="dxa"/>
            <w:vMerge/>
            <w:vAlign w:val="center"/>
          </w:tcPr>
          <w:p w14:paraId="606F03A1" w14:textId="77777777" w:rsidR="00503C65" w:rsidRPr="002262A7" w:rsidRDefault="00503C65" w:rsidP="00C315DE">
            <w:pPr>
              <w:spacing w:after="0" w:line="276" w:lineRule="auto"/>
              <w:rPr>
                <w:rFonts w:ascii="Times New Roman" w:hAnsi="Times New Roman" w:cs="Times New Roman"/>
                <w:b/>
                <w:bCs/>
                <w:sz w:val="24"/>
                <w:szCs w:val="24"/>
              </w:rPr>
            </w:pPr>
          </w:p>
        </w:tc>
        <w:tc>
          <w:tcPr>
            <w:tcW w:w="5511" w:type="dxa"/>
            <w:vMerge/>
            <w:vAlign w:val="center"/>
          </w:tcPr>
          <w:p w14:paraId="1DEB1F60" w14:textId="77777777" w:rsidR="00503C65" w:rsidRPr="002262A7" w:rsidRDefault="00503C65" w:rsidP="00C315DE">
            <w:pPr>
              <w:spacing w:after="0" w:line="276" w:lineRule="auto"/>
              <w:jc w:val="both"/>
              <w:rPr>
                <w:rFonts w:ascii="Times New Roman" w:hAnsi="Times New Roman" w:cs="Times New Roman"/>
                <w:b/>
                <w:bCs/>
                <w:sz w:val="24"/>
                <w:szCs w:val="24"/>
              </w:rPr>
            </w:pPr>
          </w:p>
        </w:tc>
        <w:tc>
          <w:tcPr>
            <w:tcW w:w="1701" w:type="dxa"/>
            <w:vMerge/>
            <w:vAlign w:val="center"/>
          </w:tcPr>
          <w:p w14:paraId="601F75F9" w14:textId="77777777" w:rsidR="00503C65" w:rsidRPr="002262A7" w:rsidRDefault="00503C65" w:rsidP="00C315DE">
            <w:pPr>
              <w:spacing w:after="0" w:line="276" w:lineRule="auto"/>
              <w:jc w:val="both"/>
              <w:rPr>
                <w:rFonts w:ascii="Times New Roman" w:hAnsi="Times New Roman" w:cs="Times New Roman"/>
                <w:b/>
                <w:bCs/>
                <w:sz w:val="24"/>
                <w:szCs w:val="24"/>
              </w:rPr>
            </w:pPr>
          </w:p>
        </w:tc>
        <w:tc>
          <w:tcPr>
            <w:tcW w:w="1134" w:type="dxa"/>
            <w:vMerge/>
            <w:vAlign w:val="center"/>
          </w:tcPr>
          <w:p w14:paraId="31FDB1F7" w14:textId="77777777" w:rsidR="00503C65" w:rsidRPr="002262A7" w:rsidRDefault="00503C65" w:rsidP="00C315DE">
            <w:pPr>
              <w:spacing w:after="0" w:line="276" w:lineRule="auto"/>
              <w:jc w:val="both"/>
              <w:rPr>
                <w:rFonts w:ascii="Times New Roman" w:hAnsi="Times New Roman" w:cs="Times New Roman"/>
                <w:b/>
                <w:bCs/>
                <w:sz w:val="24"/>
                <w:szCs w:val="24"/>
              </w:rPr>
            </w:pPr>
          </w:p>
        </w:tc>
        <w:tc>
          <w:tcPr>
            <w:tcW w:w="2268" w:type="dxa"/>
            <w:vMerge/>
            <w:vAlign w:val="center"/>
          </w:tcPr>
          <w:p w14:paraId="6CA128C5" w14:textId="77777777" w:rsidR="00503C65" w:rsidRPr="002262A7" w:rsidDel="00B90904" w:rsidRDefault="00503C65" w:rsidP="00C315DE">
            <w:pPr>
              <w:spacing w:after="0" w:line="276" w:lineRule="auto"/>
              <w:jc w:val="both"/>
              <w:rPr>
                <w:rFonts w:ascii="Times New Roman" w:hAnsi="Times New Roman" w:cs="Times New Roman"/>
                <w:b/>
                <w:bCs/>
                <w:sz w:val="24"/>
                <w:szCs w:val="24"/>
              </w:rPr>
            </w:pPr>
          </w:p>
        </w:tc>
        <w:tc>
          <w:tcPr>
            <w:tcW w:w="1843" w:type="dxa"/>
            <w:vAlign w:val="center"/>
          </w:tcPr>
          <w:p w14:paraId="7DA5F7D0" w14:textId="77777777" w:rsidR="00503C65" w:rsidRDefault="00503C65" w:rsidP="00C315DE">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Текущ</w:t>
            </w:r>
          </w:p>
        </w:tc>
        <w:tc>
          <w:tcPr>
            <w:tcW w:w="2131" w:type="dxa"/>
            <w:vAlign w:val="center"/>
          </w:tcPr>
          <w:p w14:paraId="6320D647" w14:textId="77777777" w:rsidR="00503C65" w:rsidRDefault="00503C65" w:rsidP="00C315DE">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Целеви</w:t>
            </w:r>
          </w:p>
        </w:tc>
      </w:tr>
      <w:tr w:rsidR="00503C65" w:rsidRPr="002262A7" w14:paraId="14CDB458" w14:textId="77777777" w:rsidTr="00C315DE">
        <w:tc>
          <w:tcPr>
            <w:tcW w:w="721" w:type="dxa"/>
            <w:vAlign w:val="center"/>
          </w:tcPr>
          <w:p w14:paraId="30C450B1" w14:textId="77777777" w:rsidR="00503C65" w:rsidRPr="002262A7" w:rsidRDefault="00503C65" w:rsidP="00C315DE">
            <w:pPr>
              <w:spacing w:after="0" w:line="276" w:lineRule="auto"/>
              <w:jc w:val="center"/>
              <w:rPr>
                <w:rFonts w:ascii="Times New Roman" w:hAnsi="Times New Roman" w:cs="Times New Roman"/>
                <w:b/>
                <w:bCs/>
                <w:sz w:val="24"/>
                <w:szCs w:val="24"/>
              </w:rPr>
            </w:pPr>
          </w:p>
        </w:tc>
        <w:tc>
          <w:tcPr>
            <w:tcW w:w="14588" w:type="dxa"/>
            <w:gridSpan w:val="6"/>
            <w:vAlign w:val="center"/>
          </w:tcPr>
          <w:p w14:paraId="76585ADB" w14:textId="77777777" w:rsidR="00503C65" w:rsidRPr="00725AD6" w:rsidRDefault="00503C65" w:rsidP="00C315DE">
            <w:pPr>
              <w:widowControl w:val="0"/>
              <w:spacing w:after="0" w:line="276" w:lineRule="auto"/>
              <w:rPr>
                <w:rFonts w:ascii="Times New Roman" w:eastAsiaTheme="majorEastAsia" w:hAnsi="Times New Roman" w:cs="Times New Roman"/>
                <w:b/>
                <w:bCs/>
                <w:sz w:val="24"/>
                <w:szCs w:val="24"/>
                <w:lang w:eastAsia="bg-BG"/>
              </w:rPr>
            </w:pPr>
            <w:r w:rsidRPr="00725AD6">
              <w:rPr>
                <w:rFonts w:ascii="Times New Roman" w:eastAsiaTheme="majorEastAsia" w:hAnsi="Times New Roman" w:cs="Times New Roman"/>
                <w:b/>
                <w:bCs/>
                <w:sz w:val="24"/>
                <w:szCs w:val="24"/>
                <w:lang w:eastAsia="bg-BG"/>
              </w:rPr>
              <w:t>Основна цел 1:</w:t>
            </w:r>
          </w:p>
          <w:p w14:paraId="36A28B7B" w14:textId="77777777" w:rsidR="00503C65" w:rsidRPr="002262A7" w:rsidRDefault="00503C65" w:rsidP="00C315DE">
            <w:pPr>
              <w:widowControl w:val="0"/>
              <w:spacing w:after="0" w:line="276" w:lineRule="auto"/>
              <w:rPr>
                <w:rFonts w:ascii="Times New Roman" w:hAnsi="Times New Roman"/>
                <w:b/>
                <w:bCs/>
                <w:sz w:val="24"/>
                <w:szCs w:val="24"/>
              </w:rPr>
            </w:pPr>
            <w:r w:rsidRPr="00725AD6">
              <w:rPr>
                <w:rFonts w:ascii="Times New Roman" w:eastAsiaTheme="majorEastAsia" w:hAnsi="Times New Roman" w:cs="Times New Roman"/>
                <w:b/>
                <w:bCs/>
                <w:sz w:val="24"/>
                <w:szCs w:val="24"/>
                <w:lang w:eastAsia="bg-BG"/>
              </w:rPr>
              <w:t>Повишаване на обществената и професионална осведоменост и знания за рисковете от развитие на АМР чрез ефективна комуникация, образование и обучение.</w:t>
            </w:r>
          </w:p>
        </w:tc>
      </w:tr>
      <w:tr w:rsidR="00503C65" w:rsidRPr="002262A7" w14:paraId="6C5ABD41" w14:textId="77777777" w:rsidTr="00C315DE">
        <w:tc>
          <w:tcPr>
            <w:tcW w:w="721" w:type="dxa"/>
            <w:vAlign w:val="center"/>
          </w:tcPr>
          <w:p w14:paraId="328C5276" w14:textId="77777777" w:rsidR="00503C65" w:rsidRPr="00553DE1" w:rsidRDefault="00503C65" w:rsidP="00C315DE">
            <w:pPr>
              <w:spacing w:after="0" w:line="276" w:lineRule="auto"/>
              <w:jc w:val="right"/>
              <w:rPr>
                <w:rFonts w:ascii="Times New Roman" w:hAnsi="Times New Roman" w:cs="Times New Roman"/>
                <w:sz w:val="24"/>
                <w:szCs w:val="24"/>
              </w:rPr>
            </w:pPr>
            <w:r w:rsidRPr="00553DE1">
              <w:rPr>
                <w:rFonts w:ascii="Times New Roman" w:hAnsi="Times New Roman" w:cs="Times New Roman"/>
                <w:b/>
                <w:sz w:val="24"/>
                <w:szCs w:val="24"/>
              </w:rPr>
              <w:t>1.1.</w:t>
            </w:r>
          </w:p>
        </w:tc>
        <w:tc>
          <w:tcPr>
            <w:tcW w:w="5511" w:type="dxa"/>
            <w:vAlign w:val="center"/>
          </w:tcPr>
          <w:p w14:paraId="4C443F13" w14:textId="77777777" w:rsidR="00503C65" w:rsidRPr="00297E77" w:rsidRDefault="00503C65" w:rsidP="00C315DE">
            <w:pPr>
              <w:widowControl w:val="0"/>
              <w:spacing w:after="0" w:line="276" w:lineRule="auto"/>
              <w:rPr>
                <w:rFonts w:ascii="Times New Roman" w:hAnsi="Times New Roman" w:cs="Times New Roman"/>
                <w:kern w:val="24"/>
                <w:sz w:val="24"/>
                <w:szCs w:val="24"/>
              </w:rPr>
            </w:pPr>
            <w:r w:rsidRPr="00553DE1">
              <w:rPr>
                <w:rFonts w:ascii="Times New Roman" w:hAnsi="Times New Roman" w:cs="Times New Roman"/>
                <w:sz w:val="24"/>
                <w:szCs w:val="24"/>
              </w:rPr>
              <w:t xml:space="preserve">Провеждане на срезови анкетни проучвания за оценка на информираността, знанията и промените в поведението по отношение на антибиотиците и АМР и анализ при 4 таргетни групи:  </w:t>
            </w:r>
          </w:p>
          <w:p w14:paraId="71349D4E" w14:textId="77777777" w:rsidR="00503C65" w:rsidRPr="0010137E" w:rsidRDefault="00503C65" w:rsidP="00C315DE">
            <w:pPr>
              <w:widowControl w:val="0"/>
              <w:spacing w:after="0" w:line="276" w:lineRule="auto"/>
              <w:rPr>
                <w:rFonts w:ascii="Times New Roman" w:hAnsi="Times New Roman" w:cs="Times New Roman"/>
                <w:kern w:val="24"/>
                <w:sz w:val="24"/>
                <w:szCs w:val="24"/>
              </w:rPr>
            </w:pPr>
            <w:r w:rsidRPr="0010137E">
              <w:rPr>
                <w:rFonts w:ascii="Times New Roman" w:hAnsi="Times New Roman" w:cs="Times New Roman"/>
                <w:kern w:val="24"/>
                <w:sz w:val="24"/>
                <w:szCs w:val="24"/>
              </w:rPr>
              <w:t>- на обществото;</w:t>
            </w:r>
          </w:p>
          <w:p w14:paraId="0A83BEA3" w14:textId="77777777" w:rsidR="00503C65" w:rsidRPr="00A935AC" w:rsidRDefault="00503C65" w:rsidP="00C315DE">
            <w:pPr>
              <w:widowControl w:val="0"/>
              <w:spacing w:after="0" w:line="276" w:lineRule="auto"/>
              <w:rPr>
                <w:rFonts w:ascii="Times New Roman" w:hAnsi="Times New Roman" w:cs="Times New Roman"/>
                <w:kern w:val="24"/>
                <w:sz w:val="24"/>
                <w:szCs w:val="24"/>
              </w:rPr>
            </w:pPr>
            <w:r w:rsidRPr="006F0152">
              <w:rPr>
                <w:rFonts w:ascii="Times New Roman" w:hAnsi="Times New Roman" w:cs="Times New Roman"/>
                <w:kern w:val="24"/>
                <w:sz w:val="24"/>
                <w:szCs w:val="24"/>
              </w:rPr>
              <w:t>- на обучаващите се с</w:t>
            </w:r>
            <w:r w:rsidRPr="00A935AC">
              <w:rPr>
                <w:rFonts w:ascii="Times New Roman" w:hAnsi="Times New Roman" w:cs="Times New Roman"/>
                <w:kern w:val="24"/>
                <w:sz w:val="24"/>
                <w:szCs w:val="24"/>
              </w:rPr>
              <w:t xml:space="preserve">туденти в медицински специалности, вкл. ветеринарна медицина; </w:t>
            </w:r>
          </w:p>
          <w:p w14:paraId="7B352C15" w14:textId="77777777" w:rsidR="00503C65" w:rsidRPr="0024776D" w:rsidRDefault="00503C65" w:rsidP="00C315DE">
            <w:pPr>
              <w:widowControl w:val="0"/>
              <w:spacing w:after="0" w:line="276" w:lineRule="auto"/>
              <w:rPr>
                <w:rFonts w:ascii="Times New Roman" w:hAnsi="Times New Roman" w:cs="Times New Roman"/>
                <w:kern w:val="24"/>
                <w:sz w:val="24"/>
                <w:szCs w:val="24"/>
              </w:rPr>
            </w:pPr>
            <w:r w:rsidRPr="0024776D">
              <w:rPr>
                <w:rFonts w:ascii="Times New Roman" w:hAnsi="Times New Roman" w:cs="Times New Roman"/>
                <w:kern w:val="24"/>
                <w:sz w:val="24"/>
                <w:szCs w:val="24"/>
              </w:rPr>
              <w:t>- на медицинските специалисти в хуманната и ветеринарната медицина;</w:t>
            </w:r>
          </w:p>
          <w:p w14:paraId="41E91CA9" w14:textId="77777777" w:rsidR="00503C65" w:rsidRPr="00442189" w:rsidRDefault="00503C65" w:rsidP="00C315DE">
            <w:pPr>
              <w:widowControl w:val="0"/>
              <w:spacing w:after="0" w:line="276" w:lineRule="auto"/>
              <w:rPr>
                <w:rFonts w:ascii="Times New Roman" w:hAnsi="Times New Roman" w:cs="Times New Roman"/>
                <w:kern w:val="24"/>
                <w:sz w:val="24"/>
                <w:szCs w:val="24"/>
              </w:rPr>
            </w:pPr>
            <w:r w:rsidRPr="00442189">
              <w:rPr>
                <w:rFonts w:ascii="Times New Roman" w:hAnsi="Times New Roman" w:cs="Times New Roman"/>
                <w:kern w:val="24"/>
                <w:sz w:val="24"/>
                <w:szCs w:val="24"/>
              </w:rPr>
              <w:t>- на фермери.</w:t>
            </w:r>
          </w:p>
        </w:tc>
        <w:tc>
          <w:tcPr>
            <w:tcW w:w="1701" w:type="dxa"/>
            <w:vAlign w:val="center"/>
          </w:tcPr>
          <w:p w14:paraId="26FD6320" w14:textId="77777777" w:rsidR="00503C65" w:rsidRPr="00D53BB0" w:rsidRDefault="00503C65" w:rsidP="00C315DE">
            <w:pPr>
              <w:widowControl w:val="0"/>
              <w:spacing w:after="0" w:line="276" w:lineRule="auto"/>
              <w:rPr>
                <w:rFonts w:ascii="Times New Roman" w:eastAsia="Calibri" w:hAnsi="Times New Roman" w:cs="Times New Roman"/>
                <w:sz w:val="24"/>
                <w:szCs w:val="24"/>
              </w:rPr>
            </w:pPr>
            <w:r w:rsidRPr="00D53BB0">
              <w:rPr>
                <w:rFonts w:ascii="Times New Roman" w:eastAsia="Calibri" w:hAnsi="Times New Roman" w:cs="Times New Roman"/>
                <w:sz w:val="24"/>
                <w:szCs w:val="24"/>
              </w:rPr>
              <w:t>НЦЗПБ,</w:t>
            </w:r>
          </w:p>
          <w:p w14:paraId="61D09365" w14:textId="77777777" w:rsidR="00503C65" w:rsidRPr="00E47047" w:rsidRDefault="00503C65" w:rsidP="00C315DE">
            <w:pPr>
              <w:widowControl w:val="0"/>
              <w:spacing w:after="0" w:line="276" w:lineRule="auto"/>
              <w:rPr>
                <w:rFonts w:ascii="Times New Roman" w:eastAsia="Calibri" w:hAnsi="Times New Roman" w:cs="Times New Roman"/>
                <w:sz w:val="24"/>
                <w:szCs w:val="24"/>
              </w:rPr>
            </w:pPr>
            <w:r w:rsidRPr="00E47047">
              <w:rPr>
                <w:rFonts w:ascii="Times New Roman" w:eastAsia="Calibri" w:hAnsi="Times New Roman" w:cs="Times New Roman"/>
                <w:sz w:val="24"/>
                <w:szCs w:val="24"/>
              </w:rPr>
              <w:t>НЦОЗА,</w:t>
            </w:r>
          </w:p>
          <w:p w14:paraId="19B3828E" w14:textId="77777777" w:rsidR="00503C65" w:rsidRPr="00553DE1" w:rsidRDefault="00503C65" w:rsidP="00C315DE">
            <w:pPr>
              <w:widowControl w:val="0"/>
              <w:spacing w:after="0" w:line="276" w:lineRule="auto"/>
              <w:rPr>
                <w:rFonts w:ascii="Times New Roman" w:eastAsia="Calibri" w:hAnsi="Times New Roman" w:cs="Times New Roman"/>
                <w:sz w:val="24"/>
                <w:szCs w:val="24"/>
              </w:rPr>
            </w:pPr>
            <w:r w:rsidRPr="00553DE1">
              <w:rPr>
                <w:rFonts w:ascii="Times New Roman" w:eastAsia="Calibri" w:hAnsi="Times New Roman" w:cs="Times New Roman"/>
                <w:sz w:val="24"/>
                <w:szCs w:val="24"/>
              </w:rPr>
              <w:t xml:space="preserve">ЦОРХВ, </w:t>
            </w:r>
          </w:p>
          <w:p w14:paraId="16A4348A" w14:textId="77777777" w:rsidR="00503C65" w:rsidRPr="00553DE1" w:rsidRDefault="00503C65" w:rsidP="00C315DE">
            <w:pPr>
              <w:widowControl w:val="0"/>
              <w:spacing w:after="0" w:line="276" w:lineRule="auto"/>
              <w:rPr>
                <w:rFonts w:ascii="Times New Roman" w:eastAsia="Calibri" w:hAnsi="Times New Roman" w:cs="Times New Roman"/>
                <w:sz w:val="24"/>
                <w:szCs w:val="24"/>
              </w:rPr>
            </w:pPr>
            <w:r w:rsidRPr="00553DE1">
              <w:rPr>
                <w:rFonts w:ascii="Times New Roman" w:eastAsia="Calibri" w:hAnsi="Times New Roman" w:cs="Times New Roman"/>
                <w:sz w:val="24"/>
                <w:szCs w:val="24"/>
              </w:rPr>
              <w:t xml:space="preserve">БАБХ, НПО, </w:t>
            </w:r>
          </w:p>
          <w:p w14:paraId="34805964" w14:textId="77777777" w:rsidR="00503C65" w:rsidRPr="00553DE1" w:rsidRDefault="00503C65" w:rsidP="00C315DE">
            <w:pPr>
              <w:widowControl w:val="0"/>
              <w:spacing w:after="0" w:line="276" w:lineRule="auto"/>
              <w:rPr>
                <w:rFonts w:ascii="Times New Roman" w:eastAsia="Calibri" w:hAnsi="Times New Roman" w:cs="Times New Roman"/>
                <w:sz w:val="24"/>
                <w:szCs w:val="24"/>
              </w:rPr>
            </w:pPr>
            <w:r w:rsidRPr="00553DE1">
              <w:rPr>
                <w:rFonts w:ascii="Times New Roman" w:eastAsia="Calibri" w:hAnsi="Times New Roman" w:cs="Times New Roman"/>
                <w:sz w:val="24"/>
                <w:szCs w:val="24"/>
              </w:rPr>
              <w:t>ВУ, РЗИ</w:t>
            </w:r>
          </w:p>
        </w:tc>
        <w:tc>
          <w:tcPr>
            <w:tcW w:w="1134" w:type="dxa"/>
            <w:vAlign w:val="center"/>
          </w:tcPr>
          <w:p w14:paraId="3AF22134" w14:textId="77777777" w:rsidR="00503C65" w:rsidRPr="00553DE1" w:rsidRDefault="00503C65" w:rsidP="00C315DE">
            <w:pPr>
              <w:widowControl w:val="0"/>
              <w:spacing w:after="0" w:line="276" w:lineRule="auto"/>
              <w:rPr>
                <w:rFonts w:ascii="Times New Roman" w:eastAsia="Calibri" w:hAnsi="Times New Roman" w:cs="Times New Roman"/>
                <w:sz w:val="24"/>
                <w:szCs w:val="24"/>
              </w:rPr>
            </w:pPr>
            <w:r w:rsidRPr="00553DE1">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553DE1">
              <w:rPr>
                <w:rFonts w:ascii="Times New Roman" w:eastAsia="Calibri" w:hAnsi="Times New Roman" w:cs="Times New Roman"/>
                <w:sz w:val="24"/>
                <w:szCs w:val="24"/>
              </w:rPr>
              <w:t xml:space="preserve"> – 202</w:t>
            </w:r>
            <w:r>
              <w:rPr>
                <w:rFonts w:ascii="Times New Roman" w:eastAsia="Calibri" w:hAnsi="Times New Roman" w:cs="Times New Roman"/>
                <w:sz w:val="24"/>
                <w:szCs w:val="24"/>
              </w:rPr>
              <w:t>9</w:t>
            </w:r>
          </w:p>
        </w:tc>
        <w:tc>
          <w:tcPr>
            <w:tcW w:w="2268" w:type="dxa"/>
            <w:vAlign w:val="center"/>
          </w:tcPr>
          <w:p w14:paraId="75F0937E" w14:textId="77777777" w:rsidR="00503C65" w:rsidRPr="00553DE1" w:rsidRDefault="00503C65" w:rsidP="00C315DE">
            <w:pPr>
              <w:widowControl w:val="0"/>
              <w:tabs>
                <w:tab w:val="left" w:pos="377"/>
              </w:tabs>
              <w:spacing w:after="0" w:line="276" w:lineRule="auto"/>
              <w:contextualSpacing/>
              <w:rPr>
                <w:rFonts w:ascii="Times New Roman" w:eastAsia="Calibri" w:hAnsi="Times New Roman" w:cs="Times New Roman"/>
                <w:sz w:val="24"/>
                <w:szCs w:val="24"/>
              </w:rPr>
            </w:pPr>
            <w:r w:rsidRPr="00553DE1">
              <w:rPr>
                <w:rFonts w:ascii="Times New Roman" w:eastAsia="Calibri" w:hAnsi="Times New Roman" w:cs="Times New Roman"/>
                <w:sz w:val="24"/>
                <w:szCs w:val="24"/>
              </w:rPr>
              <w:t xml:space="preserve">Брой проведени срезови анкетни проучвания в началото и края на програмния период  </w:t>
            </w:r>
          </w:p>
        </w:tc>
        <w:tc>
          <w:tcPr>
            <w:tcW w:w="1843" w:type="dxa"/>
            <w:vAlign w:val="center"/>
          </w:tcPr>
          <w:p w14:paraId="29572D2E" w14:textId="77777777" w:rsidR="00503C65" w:rsidRPr="008634C1" w:rsidRDefault="00503C65" w:rsidP="00C315DE">
            <w:pPr>
              <w:widowControl w:val="0"/>
              <w:tabs>
                <w:tab w:val="left" w:pos="377"/>
              </w:tabs>
              <w:spacing w:after="0" w:line="276" w:lineRule="auto"/>
              <w:contextualSpacing/>
              <w:rPr>
                <w:rFonts w:ascii="Times New Roman" w:eastAsia="Calibri" w:hAnsi="Times New Roman" w:cs="Times New Roman"/>
                <w:sz w:val="24"/>
                <w:szCs w:val="24"/>
                <w:lang w:val="en-US"/>
              </w:rPr>
            </w:pPr>
            <w:r w:rsidRPr="008634C1">
              <w:rPr>
                <w:rFonts w:ascii="Times New Roman" w:eastAsia="Calibri" w:hAnsi="Times New Roman" w:cs="Times New Roman"/>
                <w:sz w:val="24"/>
                <w:szCs w:val="24"/>
                <w:lang w:val="en-US"/>
              </w:rPr>
              <w:t>0</w:t>
            </w:r>
          </w:p>
        </w:tc>
        <w:tc>
          <w:tcPr>
            <w:tcW w:w="2131" w:type="dxa"/>
            <w:vAlign w:val="center"/>
          </w:tcPr>
          <w:p w14:paraId="106D007A" w14:textId="77777777" w:rsidR="00503C65" w:rsidRPr="008634C1" w:rsidRDefault="00503C65" w:rsidP="00C315DE">
            <w:pPr>
              <w:widowControl w:val="0"/>
              <w:tabs>
                <w:tab w:val="left" w:pos="377"/>
              </w:tabs>
              <w:spacing w:after="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анкетни проучвания за хуманна медицина за 2 таргетни гр. -студенти и лекари; </w:t>
            </w:r>
          </w:p>
          <w:p w14:paraId="40B7F5BA" w14:textId="77777777" w:rsidR="00503C65" w:rsidRPr="008634C1" w:rsidRDefault="00503C65" w:rsidP="00C315DE">
            <w:pPr>
              <w:widowControl w:val="0"/>
              <w:tabs>
                <w:tab w:val="left" w:pos="377"/>
              </w:tabs>
              <w:spacing w:after="0" w:line="276" w:lineRule="auto"/>
              <w:contextualSpacing/>
              <w:rPr>
                <w:rFonts w:ascii="Times New Roman" w:eastAsia="Calibri" w:hAnsi="Times New Roman" w:cs="Times New Roman"/>
                <w:sz w:val="24"/>
                <w:szCs w:val="24"/>
              </w:rPr>
            </w:pPr>
            <w:r w:rsidRPr="008634C1">
              <w:rPr>
                <w:rFonts w:ascii="Times New Roman" w:eastAsia="Calibri" w:hAnsi="Times New Roman" w:cs="Times New Roman"/>
                <w:sz w:val="24"/>
                <w:szCs w:val="24"/>
                <w:lang w:val="en-US"/>
              </w:rPr>
              <w:t>2</w:t>
            </w:r>
            <w:r>
              <w:rPr>
                <w:rFonts w:ascii="Times New Roman" w:eastAsia="Calibri" w:hAnsi="Times New Roman" w:cs="Times New Roman"/>
                <w:sz w:val="24"/>
                <w:szCs w:val="24"/>
              </w:rPr>
              <w:t xml:space="preserve"> анкетни проучвания (БАБХ), разработени от </w:t>
            </w:r>
            <w:r w:rsidRPr="00553DE1">
              <w:rPr>
                <w:rFonts w:ascii="Times New Roman" w:eastAsia="Calibri" w:hAnsi="Times New Roman" w:cs="Times New Roman"/>
                <w:sz w:val="24"/>
                <w:szCs w:val="24"/>
                <w:lang w:val="en-US"/>
              </w:rPr>
              <w:t xml:space="preserve">ЦОРХВ </w:t>
            </w:r>
            <w:r>
              <w:rPr>
                <w:rFonts w:ascii="Times New Roman" w:eastAsia="Calibri" w:hAnsi="Times New Roman" w:cs="Times New Roman"/>
                <w:sz w:val="24"/>
                <w:szCs w:val="24"/>
              </w:rPr>
              <w:t xml:space="preserve">за </w:t>
            </w:r>
            <w:r>
              <w:rPr>
                <w:rFonts w:ascii="Times New Roman" w:eastAsia="Calibri" w:hAnsi="Times New Roman" w:cs="Times New Roman"/>
                <w:sz w:val="24"/>
                <w:szCs w:val="24"/>
                <w:lang w:val="en-US"/>
              </w:rPr>
              <w:t xml:space="preserve">3 таргетни групи </w:t>
            </w:r>
            <w:r w:rsidRPr="00553DE1">
              <w:rPr>
                <w:rFonts w:ascii="Times New Roman" w:eastAsia="Calibri" w:hAnsi="Times New Roman" w:cs="Times New Roman"/>
                <w:sz w:val="24"/>
                <w:szCs w:val="24"/>
                <w:lang w:val="en-US"/>
              </w:rPr>
              <w:t>(студенти ветеринарна медици</w:t>
            </w:r>
            <w:r>
              <w:rPr>
                <w:rFonts w:ascii="Times New Roman" w:eastAsia="Calibri" w:hAnsi="Times New Roman" w:cs="Times New Roman"/>
                <w:sz w:val="24"/>
                <w:szCs w:val="24"/>
                <w:lang w:val="en-US"/>
              </w:rPr>
              <w:t>на; ветеринарни лекари и фермер</w:t>
            </w:r>
            <w:r>
              <w:rPr>
                <w:rFonts w:ascii="Times New Roman" w:eastAsia="Calibri" w:hAnsi="Times New Roman" w:cs="Times New Roman"/>
                <w:sz w:val="24"/>
                <w:szCs w:val="24"/>
              </w:rPr>
              <w:t>и</w:t>
            </w:r>
            <w:r w:rsidRPr="00553DE1">
              <w:rPr>
                <w:rFonts w:ascii="Times New Roman" w:eastAsia="Calibri" w:hAnsi="Times New Roman" w:cs="Times New Roman"/>
                <w:sz w:val="24"/>
                <w:szCs w:val="24"/>
                <w:lang w:val="en-US"/>
              </w:rPr>
              <w:t>)</w:t>
            </w:r>
            <w:r>
              <w:rPr>
                <w:rFonts w:ascii="Times New Roman" w:eastAsia="Calibri" w:hAnsi="Times New Roman" w:cs="Times New Roman"/>
                <w:sz w:val="24"/>
                <w:szCs w:val="24"/>
              </w:rPr>
              <w:t>.</w:t>
            </w:r>
          </w:p>
        </w:tc>
      </w:tr>
      <w:tr w:rsidR="00503C65" w:rsidRPr="002262A7" w14:paraId="4D760560" w14:textId="77777777" w:rsidTr="00C315DE">
        <w:tc>
          <w:tcPr>
            <w:tcW w:w="721" w:type="dxa"/>
            <w:vAlign w:val="center"/>
          </w:tcPr>
          <w:p w14:paraId="701B5AE6" w14:textId="77777777" w:rsidR="00503C65" w:rsidRPr="00BF7298" w:rsidRDefault="00503C65" w:rsidP="00C315DE">
            <w:pPr>
              <w:spacing w:after="0" w:line="276" w:lineRule="auto"/>
              <w:jc w:val="right"/>
              <w:rPr>
                <w:rFonts w:ascii="Times New Roman" w:hAnsi="Times New Roman" w:cs="Times New Roman"/>
                <w:b/>
                <w:sz w:val="24"/>
                <w:szCs w:val="24"/>
              </w:rPr>
            </w:pPr>
            <w:r w:rsidRPr="00553DE1">
              <w:rPr>
                <w:rFonts w:ascii="Times New Roman" w:hAnsi="Times New Roman" w:cs="Times New Roman"/>
                <w:b/>
                <w:sz w:val="24"/>
                <w:szCs w:val="24"/>
              </w:rPr>
              <w:lastRenderedPageBreak/>
              <w:t>1.2.</w:t>
            </w:r>
          </w:p>
        </w:tc>
        <w:tc>
          <w:tcPr>
            <w:tcW w:w="5511" w:type="dxa"/>
            <w:vAlign w:val="center"/>
          </w:tcPr>
          <w:p w14:paraId="647B2629" w14:textId="77777777" w:rsidR="00503C65" w:rsidRPr="006F0152" w:rsidRDefault="00503C65" w:rsidP="00C315DE">
            <w:pPr>
              <w:spacing w:after="0" w:line="276" w:lineRule="auto"/>
              <w:rPr>
                <w:rFonts w:ascii="Times New Roman" w:hAnsi="Times New Roman" w:cs="Times New Roman"/>
                <w:b/>
                <w:bCs/>
                <w:kern w:val="24"/>
                <w:sz w:val="24"/>
                <w:szCs w:val="24"/>
              </w:rPr>
            </w:pPr>
            <w:r w:rsidRPr="00297E77">
              <w:rPr>
                <w:rFonts w:ascii="Times New Roman" w:hAnsi="Times New Roman" w:cs="Times New Roman"/>
                <w:kern w:val="24"/>
                <w:sz w:val="24"/>
                <w:szCs w:val="24"/>
              </w:rPr>
              <w:t xml:space="preserve">Повишаване на обществената осведоменост и разбиране за причините, рисковете и последиците </w:t>
            </w:r>
            <w:r w:rsidRPr="0010137E">
              <w:rPr>
                <w:rFonts w:ascii="Times New Roman" w:hAnsi="Times New Roman" w:cs="Times New Roman"/>
                <w:kern w:val="24"/>
                <w:sz w:val="24"/>
                <w:szCs w:val="24"/>
              </w:rPr>
              <w:t>от развитие на АМР, както и за значението и контрола на инфекциите чрез провеждане на информационни кампании, пресконференции и разпространение на образователни материали.</w:t>
            </w:r>
          </w:p>
        </w:tc>
        <w:tc>
          <w:tcPr>
            <w:tcW w:w="1701" w:type="dxa"/>
            <w:vAlign w:val="center"/>
          </w:tcPr>
          <w:p w14:paraId="6373CF6E" w14:textId="77777777" w:rsidR="00503C65" w:rsidRPr="00152A66" w:rsidRDefault="00503C65" w:rsidP="00C315DE">
            <w:pPr>
              <w:widowControl w:val="0"/>
              <w:spacing w:after="0" w:line="276" w:lineRule="auto"/>
              <w:rPr>
                <w:rFonts w:ascii="Times New Roman" w:hAnsi="Times New Roman" w:cs="Times New Roman"/>
                <w:sz w:val="24"/>
                <w:szCs w:val="24"/>
              </w:rPr>
            </w:pPr>
            <w:r w:rsidRPr="00A935AC">
              <w:rPr>
                <w:rFonts w:ascii="Times New Roman" w:eastAsia="Calibri" w:hAnsi="Times New Roman" w:cs="Times New Roman"/>
                <w:sz w:val="24"/>
                <w:szCs w:val="24"/>
              </w:rPr>
              <w:t>НЦЗПБ</w:t>
            </w:r>
            <w:r w:rsidRPr="0024776D">
              <w:rPr>
                <w:rFonts w:ascii="Times New Roman" w:eastAsia="STKaiti" w:hAnsi="Times New Roman" w:cs="Times New Roman"/>
                <w:sz w:val="24"/>
                <w:szCs w:val="24"/>
                <w:lang w:eastAsia="zh-CN"/>
              </w:rPr>
              <w:t xml:space="preserve">, РЗИ, </w:t>
            </w:r>
            <w:r w:rsidRPr="00442189">
              <w:rPr>
                <w:rFonts w:ascii="Times New Roman" w:eastAsia="Calibri" w:hAnsi="Times New Roman" w:cs="Times New Roman"/>
                <w:sz w:val="24"/>
                <w:szCs w:val="24"/>
              </w:rPr>
              <w:t xml:space="preserve">НЦОЗА, </w:t>
            </w:r>
            <w:r w:rsidRPr="00152A66">
              <w:rPr>
                <w:rFonts w:ascii="Times New Roman" w:hAnsi="Times New Roman" w:cs="Times New Roman"/>
                <w:sz w:val="24"/>
                <w:szCs w:val="24"/>
              </w:rPr>
              <w:t>БАБХ, ЦОРХВ, браншови организации, НПО</w:t>
            </w:r>
          </w:p>
        </w:tc>
        <w:tc>
          <w:tcPr>
            <w:tcW w:w="1134" w:type="dxa"/>
            <w:vAlign w:val="center"/>
          </w:tcPr>
          <w:p w14:paraId="6CE99550"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9847D2">
              <w:rPr>
                <w:rFonts w:ascii="Times New Roman" w:eastAsia="Calibri" w:hAnsi="Times New Roman" w:cs="Times New Roman"/>
                <w:sz w:val="24"/>
                <w:szCs w:val="24"/>
              </w:rPr>
              <w:t xml:space="preserve"> – </w:t>
            </w:r>
            <w:r w:rsidRPr="00E4704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5811FC8C" w14:textId="77777777" w:rsidR="00503C65" w:rsidRPr="00553DE1" w:rsidRDefault="00503C65" w:rsidP="00C315DE">
            <w:pPr>
              <w:spacing w:after="0" w:line="276" w:lineRule="auto"/>
              <w:rPr>
                <w:rFonts w:ascii="Times New Roman" w:hAnsi="Times New Roman" w:cs="Times New Roman"/>
                <w:sz w:val="24"/>
                <w:szCs w:val="24"/>
              </w:rPr>
            </w:pPr>
            <w:r w:rsidRPr="00553DE1">
              <w:rPr>
                <w:rFonts w:ascii="Times New Roman" w:hAnsi="Times New Roman" w:cs="Times New Roman"/>
                <w:color w:val="000000"/>
                <w:sz w:val="24"/>
                <w:szCs w:val="24"/>
              </w:rPr>
              <w:t xml:space="preserve">Брой отпечатени образователни материали, изработени клипове, проведени национални кампании, пресконференции. </w:t>
            </w:r>
          </w:p>
        </w:tc>
        <w:tc>
          <w:tcPr>
            <w:tcW w:w="1843" w:type="dxa"/>
            <w:vAlign w:val="center"/>
          </w:tcPr>
          <w:p w14:paraId="451262A6" w14:textId="77777777" w:rsidR="00503C65" w:rsidRPr="008634C1" w:rsidRDefault="00503C65" w:rsidP="00C315DE">
            <w:pPr>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6D5F4156"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НЦЗПБ - 2 образователни брошури, 1 клип;</w:t>
            </w:r>
          </w:p>
          <w:p w14:paraId="7A5A6192"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БАБХ – 3 броя комуникации във ветеринарната сфера;</w:t>
            </w:r>
          </w:p>
          <w:p w14:paraId="785E1C71" w14:textId="77777777" w:rsidR="00503C65" w:rsidRPr="008634C1" w:rsidRDefault="00503C65" w:rsidP="00C315DE">
            <w:pPr>
              <w:spacing w:after="0" w:line="276" w:lineRule="auto"/>
              <w:rPr>
                <w:rFonts w:ascii="Times New Roman" w:hAnsi="Times New Roman" w:cs="Times New Roman"/>
                <w:sz w:val="24"/>
                <w:szCs w:val="24"/>
                <w:highlight w:val="yellow"/>
              </w:rPr>
            </w:pPr>
            <w:r w:rsidRPr="00553DE1">
              <w:rPr>
                <w:rFonts w:ascii="Times New Roman" w:hAnsi="Times New Roman" w:cs="Times New Roman"/>
                <w:sz w:val="24"/>
                <w:szCs w:val="24"/>
                <w:lang w:val="en-US"/>
              </w:rPr>
              <w:t>ЦОРХВ – 1 наръчник за фермера и 3 вида образователни материали</w:t>
            </w:r>
            <w:r>
              <w:rPr>
                <w:rFonts w:ascii="Times New Roman" w:hAnsi="Times New Roman" w:cs="Times New Roman"/>
                <w:sz w:val="24"/>
                <w:szCs w:val="24"/>
              </w:rPr>
              <w:t>.</w:t>
            </w:r>
          </w:p>
        </w:tc>
      </w:tr>
      <w:tr w:rsidR="00503C65" w:rsidRPr="002262A7" w14:paraId="6B773698" w14:textId="77777777" w:rsidTr="00C315DE">
        <w:tc>
          <w:tcPr>
            <w:tcW w:w="721" w:type="dxa"/>
            <w:vAlign w:val="center"/>
          </w:tcPr>
          <w:p w14:paraId="43B90420" w14:textId="77777777" w:rsidR="00503C65" w:rsidRPr="00BF7298" w:rsidRDefault="00503C65" w:rsidP="00C315DE">
            <w:pPr>
              <w:spacing w:after="0" w:line="276" w:lineRule="auto"/>
              <w:jc w:val="right"/>
              <w:rPr>
                <w:rFonts w:ascii="Times New Roman" w:hAnsi="Times New Roman" w:cs="Times New Roman"/>
                <w:b/>
                <w:sz w:val="24"/>
                <w:szCs w:val="24"/>
              </w:rPr>
            </w:pPr>
            <w:r w:rsidRPr="00BF7298">
              <w:rPr>
                <w:rFonts w:ascii="Times New Roman" w:hAnsi="Times New Roman" w:cs="Times New Roman"/>
                <w:b/>
                <w:sz w:val="24"/>
                <w:szCs w:val="24"/>
              </w:rPr>
              <w:t>1.3.</w:t>
            </w:r>
          </w:p>
        </w:tc>
        <w:tc>
          <w:tcPr>
            <w:tcW w:w="5511" w:type="dxa"/>
            <w:vAlign w:val="center"/>
          </w:tcPr>
          <w:p w14:paraId="2BE007B5" w14:textId="77777777" w:rsidR="00503C65" w:rsidRPr="0024776D" w:rsidRDefault="00503C65" w:rsidP="00C315DE">
            <w:pPr>
              <w:spacing w:after="0" w:line="276" w:lineRule="auto"/>
              <w:rPr>
                <w:rFonts w:ascii="Times New Roman" w:hAnsi="Times New Roman" w:cs="Times New Roman"/>
                <w:kern w:val="24"/>
                <w:sz w:val="24"/>
                <w:szCs w:val="24"/>
              </w:rPr>
            </w:pPr>
            <w:r w:rsidRPr="00297E77">
              <w:rPr>
                <w:rFonts w:ascii="Times New Roman" w:eastAsia="Times New Roman" w:hAnsi="Times New Roman" w:cs="Times New Roman"/>
                <w:kern w:val="24"/>
                <w:sz w:val="24"/>
                <w:szCs w:val="24"/>
              </w:rPr>
              <w:t>Допълване и ус</w:t>
            </w:r>
            <w:r w:rsidRPr="009804BE">
              <w:rPr>
                <w:rFonts w:ascii="Times New Roman" w:eastAsia="Times New Roman" w:hAnsi="Times New Roman" w:cs="Times New Roman"/>
                <w:kern w:val="24"/>
                <w:sz w:val="24"/>
                <w:szCs w:val="24"/>
              </w:rPr>
              <w:t>ъвършенстване при необходимост на съществуващите</w:t>
            </w:r>
            <w:r w:rsidRPr="0010137E">
              <w:rPr>
                <w:rFonts w:ascii="Times New Roman" w:hAnsi="Times New Roman" w:cs="Times New Roman"/>
                <w:kern w:val="24"/>
                <w:sz w:val="24"/>
                <w:szCs w:val="24"/>
              </w:rPr>
              <w:t xml:space="preserve"> учебни програми (професионални и университетски) за студенти в областта на хуманната (в т. ч. денталната) медицина, здравните грижи, фармацията, ветеринарната медицина и зооинжинерството, хранително-вкусоват</w:t>
            </w:r>
            <w:r w:rsidRPr="006F0152">
              <w:rPr>
                <w:rFonts w:ascii="Times New Roman" w:hAnsi="Times New Roman" w:cs="Times New Roman"/>
                <w:kern w:val="24"/>
                <w:sz w:val="24"/>
                <w:szCs w:val="24"/>
              </w:rPr>
              <w:t xml:space="preserve">а промишленост и селското </w:t>
            </w:r>
            <w:r w:rsidRPr="00A935AC">
              <w:rPr>
                <w:rFonts w:ascii="Times New Roman" w:eastAsia="Times New Roman" w:hAnsi="Times New Roman" w:cs="Times New Roman"/>
                <w:kern w:val="24"/>
                <w:sz w:val="24"/>
                <w:szCs w:val="24"/>
              </w:rPr>
              <w:t>стопанство по въпросите з</w:t>
            </w:r>
            <w:r w:rsidRPr="0024776D">
              <w:rPr>
                <w:rFonts w:ascii="Times New Roman" w:hAnsi="Times New Roman" w:cs="Times New Roman"/>
                <w:kern w:val="24"/>
                <w:sz w:val="24"/>
                <w:szCs w:val="24"/>
              </w:rPr>
              <w:t>а антибиотиците, антимикробната химиотерапия, антибиотичната резистентност, антибиотичната политика и превенцията и контрола на инфекциите.</w:t>
            </w:r>
          </w:p>
        </w:tc>
        <w:tc>
          <w:tcPr>
            <w:tcW w:w="1701" w:type="dxa"/>
            <w:vAlign w:val="center"/>
          </w:tcPr>
          <w:p w14:paraId="4C947A8D" w14:textId="77777777" w:rsidR="00503C65" w:rsidRPr="00442189" w:rsidRDefault="00503C65" w:rsidP="00C315DE">
            <w:pPr>
              <w:autoSpaceDE w:val="0"/>
              <w:autoSpaceDN w:val="0"/>
              <w:adjustRightInd w:val="0"/>
              <w:spacing w:after="0" w:line="276" w:lineRule="auto"/>
              <w:rPr>
                <w:rFonts w:ascii="Times New Roman" w:hAnsi="Times New Roman" w:cs="Times New Roman"/>
                <w:sz w:val="24"/>
                <w:szCs w:val="24"/>
              </w:rPr>
            </w:pPr>
            <w:r w:rsidRPr="00442189">
              <w:rPr>
                <w:rFonts w:ascii="Times New Roman" w:hAnsi="Times New Roman" w:cs="Times New Roman"/>
                <w:sz w:val="24"/>
                <w:szCs w:val="24"/>
              </w:rPr>
              <w:t>МЗ, МЗХ, МОН, БАБХ, НЦЗПБ, МОСВ, ВУ</w:t>
            </w:r>
          </w:p>
        </w:tc>
        <w:tc>
          <w:tcPr>
            <w:tcW w:w="1134" w:type="dxa"/>
            <w:vAlign w:val="center"/>
          </w:tcPr>
          <w:p w14:paraId="772E5E38"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7</w:t>
            </w:r>
            <w:r w:rsidRPr="009847D2">
              <w:rPr>
                <w:rFonts w:ascii="Times New Roman" w:eastAsia="Calibri" w:hAnsi="Times New Roman" w:cs="Times New Roman"/>
                <w:sz w:val="24"/>
                <w:szCs w:val="24"/>
              </w:rPr>
              <w:t xml:space="preserve"> – </w:t>
            </w:r>
            <w:r w:rsidRPr="00E47047">
              <w:rPr>
                <w:rFonts w:ascii="Times New Roman" w:hAnsi="Times New Roman" w:cs="Times New Roman"/>
                <w:sz w:val="24"/>
                <w:szCs w:val="24"/>
              </w:rPr>
              <w:t>202</w:t>
            </w:r>
            <w:r>
              <w:rPr>
                <w:rFonts w:ascii="Times New Roman" w:hAnsi="Times New Roman" w:cs="Times New Roman"/>
                <w:sz w:val="24"/>
                <w:szCs w:val="24"/>
              </w:rPr>
              <w:t>8</w:t>
            </w:r>
          </w:p>
        </w:tc>
        <w:tc>
          <w:tcPr>
            <w:tcW w:w="2268" w:type="dxa"/>
            <w:vAlign w:val="center"/>
          </w:tcPr>
          <w:p w14:paraId="48E172DE" w14:textId="77777777" w:rsidR="00503C65" w:rsidRPr="00BF7298" w:rsidRDefault="00503C65" w:rsidP="00C315DE">
            <w:pPr>
              <w:autoSpaceDE w:val="0"/>
              <w:autoSpaceDN w:val="0"/>
              <w:adjustRightInd w:val="0"/>
              <w:spacing w:after="0" w:line="276" w:lineRule="auto"/>
              <w:rPr>
                <w:rFonts w:ascii="Times New Roman" w:hAnsi="Times New Roman" w:cs="Times New Roman"/>
                <w:kern w:val="24"/>
                <w:sz w:val="24"/>
                <w:szCs w:val="24"/>
              </w:rPr>
            </w:pPr>
            <w:r w:rsidRPr="00BF7298">
              <w:rPr>
                <w:rFonts w:ascii="Times New Roman" w:hAnsi="Times New Roman" w:cs="Times New Roman"/>
                <w:sz w:val="24"/>
                <w:szCs w:val="24"/>
              </w:rPr>
              <w:t>Брой на ВУ, които са актуализирали и/или създали нови учебни програми.</w:t>
            </w:r>
            <w:r w:rsidRPr="00BF7298">
              <w:rPr>
                <w:rFonts w:ascii="Times New Roman" w:hAnsi="Times New Roman" w:cs="Times New Roman"/>
                <w:kern w:val="24"/>
                <w:sz w:val="24"/>
                <w:szCs w:val="24"/>
              </w:rPr>
              <w:t xml:space="preserve"> </w:t>
            </w:r>
          </w:p>
          <w:p w14:paraId="0C00977A" w14:textId="77777777" w:rsidR="00503C65" w:rsidRPr="00BF7298" w:rsidRDefault="00503C65" w:rsidP="00C315DE">
            <w:pPr>
              <w:autoSpaceDE w:val="0"/>
              <w:autoSpaceDN w:val="0"/>
              <w:adjustRightInd w:val="0"/>
              <w:spacing w:after="0" w:line="276" w:lineRule="auto"/>
              <w:rPr>
                <w:rFonts w:ascii="Times New Roman" w:hAnsi="Times New Roman" w:cs="Times New Roman"/>
                <w:sz w:val="24"/>
                <w:szCs w:val="24"/>
              </w:rPr>
            </w:pPr>
            <w:r w:rsidRPr="00BF7298">
              <w:rPr>
                <w:rFonts w:ascii="Times New Roman" w:hAnsi="Times New Roman" w:cs="Times New Roman"/>
                <w:kern w:val="24"/>
                <w:sz w:val="24"/>
                <w:szCs w:val="24"/>
              </w:rPr>
              <w:t>Брой на обучени специалисти чрез новите/актуализирани учебни програми/планове.</w:t>
            </w:r>
          </w:p>
        </w:tc>
        <w:tc>
          <w:tcPr>
            <w:tcW w:w="1843" w:type="dxa"/>
            <w:vAlign w:val="center"/>
          </w:tcPr>
          <w:p w14:paraId="0DBFDB38"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1449BA27" w14:textId="77777777" w:rsidR="00503C65" w:rsidRPr="00BF7298"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8634C1">
              <w:rPr>
                <w:rFonts w:ascii="Times New Roman" w:hAnsi="Times New Roman" w:cs="Times New Roman"/>
                <w:sz w:val="24"/>
                <w:szCs w:val="24"/>
              </w:rPr>
              <w:t xml:space="preserve"> ВУ (ЛТУ, ТРУ, МУ-Плевен</w:t>
            </w:r>
            <w:r>
              <w:rPr>
                <w:rFonts w:ascii="Times New Roman" w:hAnsi="Times New Roman" w:cs="Times New Roman"/>
                <w:sz w:val="24"/>
                <w:szCs w:val="24"/>
              </w:rPr>
              <w:t>, МУ София</w:t>
            </w:r>
            <w:r w:rsidRPr="008634C1">
              <w:rPr>
                <w:rFonts w:ascii="Times New Roman" w:hAnsi="Times New Roman" w:cs="Times New Roman"/>
                <w:sz w:val="24"/>
                <w:szCs w:val="24"/>
              </w:rPr>
              <w:t>)</w:t>
            </w:r>
          </w:p>
        </w:tc>
      </w:tr>
      <w:tr w:rsidR="00503C65" w:rsidRPr="002262A7" w14:paraId="0ACE4AF8" w14:textId="77777777" w:rsidTr="00C315DE">
        <w:tc>
          <w:tcPr>
            <w:tcW w:w="721" w:type="dxa"/>
            <w:vMerge w:val="restart"/>
            <w:vAlign w:val="center"/>
          </w:tcPr>
          <w:p w14:paraId="5776498C"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1.4.</w:t>
            </w:r>
          </w:p>
        </w:tc>
        <w:tc>
          <w:tcPr>
            <w:tcW w:w="5511" w:type="dxa"/>
            <w:tcBorders>
              <w:bottom w:val="single" w:sz="4" w:space="0" w:color="auto"/>
            </w:tcBorders>
            <w:vAlign w:val="center"/>
          </w:tcPr>
          <w:p w14:paraId="6FF06216" w14:textId="77777777" w:rsidR="00503C65" w:rsidRPr="002262A7" w:rsidRDefault="00503C65" w:rsidP="00C315DE">
            <w:pPr>
              <w:widowControl w:val="0"/>
              <w:spacing w:after="0" w:line="276" w:lineRule="auto"/>
              <w:rPr>
                <w:rFonts w:ascii="Times New Roman" w:hAnsi="Times New Roman" w:cs="Times New Roman"/>
                <w:b/>
                <w:bCs/>
                <w:kern w:val="24"/>
                <w:sz w:val="24"/>
                <w:szCs w:val="24"/>
              </w:rPr>
            </w:pPr>
            <w:r w:rsidRPr="002262A7">
              <w:rPr>
                <w:rFonts w:ascii="Times New Roman" w:hAnsi="Times New Roman" w:cs="Times New Roman"/>
                <w:kern w:val="24"/>
                <w:sz w:val="24"/>
                <w:szCs w:val="24"/>
              </w:rPr>
              <w:t xml:space="preserve">Организиране и провеждане на следдипломни обучения в системата на продължаващото медицинско обучение на медицински специалисти по теми, свързани с АМР, антибиотичната </w:t>
            </w:r>
            <w:r w:rsidRPr="002262A7">
              <w:rPr>
                <w:rFonts w:ascii="Times New Roman" w:hAnsi="Times New Roman" w:cs="Times New Roman"/>
                <w:kern w:val="24"/>
                <w:sz w:val="24"/>
                <w:szCs w:val="24"/>
              </w:rPr>
              <w:lastRenderedPageBreak/>
              <w:t>политика и контрола на инфекциите в това число:</w:t>
            </w:r>
          </w:p>
        </w:tc>
        <w:tc>
          <w:tcPr>
            <w:tcW w:w="1701" w:type="dxa"/>
            <w:tcBorders>
              <w:bottom w:val="single" w:sz="4" w:space="0" w:color="auto"/>
            </w:tcBorders>
            <w:vAlign w:val="center"/>
          </w:tcPr>
          <w:p w14:paraId="73EFEB36" w14:textId="77777777" w:rsidR="00503C65" w:rsidRPr="002262A7" w:rsidRDefault="00503C65" w:rsidP="00C315DE">
            <w:pPr>
              <w:spacing w:after="0" w:line="276" w:lineRule="auto"/>
              <w:rPr>
                <w:rFonts w:ascii="Times New Roman" w:hAnsi="Times New Roman" w:cs="Times New Roman"/>
                <w:sz w:val="24"/>
                <w:szCs w:val="24"/>
              </w:rPr>
            </w:pPr>
          </w:p>
        </w:tc>
        <w:tc>
          <w:tcPr>
            <w:tcW w:w="1134" w:type="dxa"/>
            <w:vMerge w:val="restart"/>
            <w:vAlign w:val="center"/>
          </w:tcPr>
          <w:p w14:paraId="561F7552"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2268" w:type="dxa"/>
            <w:vMerge w:val="restart"/>
            <w:vAlign w:val="center"/>
          </w:tcPr>
          <w:p w14:paraId="0FE4AAA0"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Брой </w:t>
            </w:r>
            <w:r>
              <w:rPr>
                <w:rFonts w:ascii="Times New Roman" w:hAnsi="Times New Roman" w:cs="Times New Roman"/>
                <w:sz w:val="24"/>
                <w:szCs w:val="24"/>
              </w:rPr>
              <w:t xml:space="preserve">медицински специалисти, преминали форма на продължаващо </w:t>
            </w:r>
            <w:r>
              <w:rPr>
                <w:rFonts w:ascii="Times New Roman" w:hAnsi="Times New Roman" w:cs="Times New Roman"/>
                <w:sz w:val="24"/>
                <w:szCs w:val="24"/>
              </w:rPr>
              <w:lastRenderedPageBreak/>
              <w:t>обучение или придобита специалност</w:t>
            </w:r>
          </w:p>
        </w:tc>
        <w:tc>
          <w:tcPr>
            <w:tcW w:w="1843" w:type="dxa"/>
            <w:vMerge w:val="restart"/>
            <w:vAlign w:val="center"/>
          </w:tcPr>
          <w:p w14:paraId="52727BD0"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0</w:t>
            </w:r>
          </w:p>
        </w:tc>
        <w:tc>
          <w:tcPr>
            <w:tcW w:w="2131" w:type="dxa"/>
            <w:vMerge w:val="restart"/>
            <w:vAlign w:val="center"/>
          </w:tcPr>
          <w:p w14:paraId="0D04C38A"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НЦЗПБ съвместно с ВУ – 80 обучени специалисти</w:t>
            </w:r>
          </w:p>
        </w:tc>
      </w:tr>
      <w:tr w:rsidR="00503C65" w:rsidRPr="002262A7" w14:paraId="1CA3EB01" w14:textId="77777777" w:rsidTr="00C315DE">
        <w:tc>
          <w:tcPr>
            <w:tcW w:w="721" w:type="dxa"/>
            <w:vMerge/>
            <w:vAlign w:val="center"/>
          </w:tcPr>
          <w:p w14:paraId="271ECAA9"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tcBorders>
              <w:top w:val="single" w:sz="4" w:space="0" w:color="auto"/>
              <w:bottom w:val="single" w:sz="4" w:space="0" w:color="auto"/>
            </w:tcBorders>
            <w:vAlign w:val="center"/>
          </w:tcPr>
          <w:p w14:paraId="63518292" w14:textId="77777777" w:rsidR="00503C65" w:rsidRPr="002262A7" w:rsidRDefault="00503C65" w:rsidP="00C315DE">
            <w:pPr>
              <w:widowControl w:val="0"/>
              <w:spacing w:after="0" w:line="276" w:lineRule="auto"/>
              <w:ind w:left="113" w:hanging="113"/>
              <w:rPr>
                <w:rFonts w:ascii="Times New Roman" w:hAnsi="Times New Roman" w:cs="Times New Roman"/>
                <w:kern w:val="24"/>
                <w:sz w:val="24"/>
                <w:szCs w:val="24"/>
              </w:rPr>
            </w:pPr>
            <w:r w:rsidRPr="002262A7">
              <w:rPr>
                <w:rFonts w:ascii="Times New Roman" w:hAnsi="Times New Roman" w:cs="Times New Roman"/>
                <w:kern w:val="24"/>
                <w:sz w:val="24"/>
                <w:szCs w:val="24"/>
              </w:rPr>
              <w:t xml:space="preserve">- организиране и провеждане на семинари по теми, свързани с АМР за професионални и неправителствени организации; </w:t>
            </w:r>
          </w:p>
        </w:tc>
        <w:tc>
          <w:tcPr>
            <w:tcW w:w="1701" w:type="dxa"/>
            <w:tcBorders>
              <w:top w:val="single" w:sz="4" w:space="0" w:color="auto"/>
              <w:bottom w:val="single" w:sz="4" w:space="0" w:color="auto"/>
            </w:tcBorders>
            <w:vAlign w:val="center"/>
          </w:tcPr>
          <w:p w14:paraId="490AF853" w14:textId="77777777" w:rsidR="00503C65" w:rsidRPr="002262A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ВУ</w:t>
            </w:r>
            <w:r w:rsidRPr="002262A7">
              <w:rPr>
                <w:rFonts w:ascii="Times New Roman" w:hAnsi="Times New Roman" w:cs="Times New Roman"/>
                <w:sz w:val="24"/>
                <w:szCs w:val="24"/>
              </w:rPr>
              <w:t>, НЦЗПБ, БЛС,</w:t>
            </w:r>
            <w:r>
              <w:rPr>
                <w:rFonts w:ascii="Times New Roman" w:hAnsi="Times New Roman" w:cs="Times New Roman"/>
                <w:sz w:val="24"/>
                <w:szCs w:val="24"/>
              </w:rPr>
              <w:t xml:space="preserve"> БЗС,</w:t>
            </w:r>
            <w:r w:rsidRPr="002262A7">
              <w:rPr>
                <w:rFonts w:ascii="Times New Roman" w:hAnsi="Times New Roman" w:cs="Times New Roman"/>
                <w:sz w:val="24"/>
                <w:szCs w:val="24"/>
              </w:rPr>
              <w:t xml:space="preserve"> БФС, БАПЗГ, </w:t>
            </w:r>
            <w:r w:rsidRPr="005067DE">
              <w:rPr>
                <w:rFonts w:ascii="Times New Roman" w:hAnsi="Times New Roman" w:cs="Times New Roman"/>
                <w:sz w:val="24"/>
                <w:szCs w:val="24"/>
              </w:rPr>
              <w:t>БСЛАФ, БАПФ</w:t>
            </w:r>
            <w:r>
              <w:rPr>
                <w:rFonts w:ascii="Times New Roman" w:hAnsi="Times New Roman" w:cs="Times New Roman"/>
                <w:sz w:val="24"/>
                <w:szCs w:val="24"/>
              </w:rPr>
              <w:t>,</w:t>
            </w:r>
            <w:r w:rsidRPr="005067DE">
              <w:rPr>
                <w:rFonts w:ascii="Times New Roman" w:hAnsi="Times New Roman" w:cs="Times New Roman"/>
                <w:sz w:val="24"/>
                <w:szCs w:val="24"/>
              </w:rPr>
              <w:t xml:space="preserve"> </w:t>
            </w:r>
            <w:r w:rsidRPr="002262A7">
              <w:rPr>
                <w:rFonts w:ascii="Times New Roman" w:hAnsi="Times New Roman" w:cs="Times New Roman"/>
                <w:sz w:val="24"/>
                <w:szCs w:val="24"/>
              </w:rPr>
              <w:t xml:space="preserve">НЦОЗА, ПОБФБ, НСОПЛБ </w:t>
            </w:r>
          </w:p>
        </w:tc>
        <w:tc>
          <w:tcPr>
            <w:tcW w:w="1134" w:type="dxa"/>
            <w:vMerge/>
            <w:vAlign w:val="center"/>
          </w:tcPr>
          <w:p w14:paraId="44E56776"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Merge/>
            <w:vAlign w:val="center"/>
          </w:tcPr>
          <w:p w14:paraId="2FBEF581" w14:textId="77777777" w:rsidR="00503C65" w:rsidRPr="002262A7" w:rsidRDefault="00503C65" w:rsidP="00C315DE">
            <w:pPr>
              <w:spacing w:after="0" w:line="276" w:lineRule="auto"/>
              <w:rPr>
                <w:rFonts w:ascii="Times New Roman" w:hAnsi="Times New Roman" w:cs="Times New Roman"/>
                <w:sz w:val="24"/>
                <w:szCs w:val="24"/>
              </w:rPr>
            </w:pPr>
          </w:p>
        </w:tc>
        <w:tc>
          <w:tcPr>
            <w:tcW w:w="1843" w:type="dxa"/>
            <w:vMerge/>
            <w:vAlign w:val="center"/>
          </w:tcPr>
          <w:p w14:paraId="4BDD3552" w14:textId="77777777" w:rsidR="00503C65" w:rsidRPr="002262A7" w:rsidRDefault="00503C65" w:rsidP="00C315DE">
            <w:pPr>
              <w:spacing w:after="0" w:line="276" w:lineRule="auto"/>
              <w:rPr>
                <w:rFonts w:ascii="Times New Roman" w:hAnsi="Times New Roman" w:cs="Times New Roman"/>
                <w:sz w:val="24"/>
                <w:szCs w:val="24"/>
              </w:rPr>
            </w:pPr>
          </w:p>
        </w:tc>
        <w:tc>
          <w:tcPr>
            <w:tcW w:w="2131" w:type="dxa"/>
            <w:vMerge/>
            <w:vAlign w:val="center"/>
          </w:tcPr>
          <w:p w14:paraId="0053745E"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3924A886" w14:textId="77777777" w:rsidTr="00C315DE">
        <w:tc>
          <w:tcPr>
            <w:tcW w:w="721" w:type="dxa"/>
            <w:vMerge/>
            <w:vAlign w:val="center"/>
          </w:tcPr>
          <w:p w14:paraId="577B4953"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tcBorders>
              <w:top w:val="single" w:sz="4" w:space="0" w:color="auto"/>
            </w:tcBorders>
            <w:vAlign w:val="center"/>
          </w:tcPr>
          <w:p w14:paraId="2FB8D3B7" w14:textId="77777777" w:rsidR="00503C65" w:rsidRPr="002262A7" w:rsidRDefault="00503C65" w:rsidP="00C315DE">
            <w:pPr>
              <w:spacing w:after="0" w:line="276" w:lineRule="auto"/>
              <w:ind w:left="113" w:hanging="113"/>
              <w:rPr>
                <w:rFonts w:ascii="Times New Roman" w:hAnsi="Times New Roman" w:cs="Times New Roman"/>
                <w:sz w:val="24"/>
                <w:szCs w:val="24"/>
              </w:rPr>
            </w:pPr>
            <w:r w:rsidRPr="002262A7">
              <w:rPr>
                <w:rFonts w:ascii="Times New Roman" w:hAnsi="Times New Roman" w:cs="Times New Roman"/>
                <w:kern w:val="24"/>
                <w:sz w:val="24"/>
                <w:szCs w:val="24"/>
              </w:rPr>
              <w:t>- провеждане на специализирани курсове за повишаване на квалификацията на лекари, ветеринарни лекари, специалисти по здравни грижи, лекари по дентална медицина и фармацевти с цел повишаване на знанията и разбирането на рисковете от развитие на АМР. Курсовете за курсистите са безплатни.</w:t>
            </w:r>
          </w:p>
        </w:tc>
        <w:tc>
          <w:tcPr>
            <w:tcW w:w="1701" w:type="dxa"/>
            <w:tcBorders>
              <w:top w:val="single" w:sz="4" w:space="0" w:color="auto"/>
            </w:tcBorders>
            <w:vAlign w:val="center"/>
          </w:tcPr>
          <w:p w14:paraId="609ECFCC"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ВУ</w:t>
            </w:r>
            <w:r w:rsidRPr="002262A7">
              <w:rPr>
                <w:rFonts w:ascii="Times New Roman" w:hAnsi="Times New Roman" w:cs="Times New Roman"/>
                <w:sz w:val="24"/>
                <w:szCs w:val="24"/>
              </w:rPr>
              <w:t xml:space="preserve">, НЦЗПБ, БЛС, </w:t>
            </w:r>
            <w:r>
              <w:rPr>
                <w:rFonts w:ascii="Times New Roman" w:hAnsi="Times New Roman" w:cs="Times New Roman"/>
                <w:sz w:val="24"/>
                <w:szCs w:val="24"/>
              </w:rPr>
              <w:t xml:space="preserve">БЗС, </w:t>
            </w:r>
            <w:r w:rsidRPr="002262A7">
              <w:rPr>
                <w:rFonts w:ascii="Times New Roman" w:hAnsi="Times New Roman" w:cs="Times New Roman"/>
                <w:sz w:val="24"/>
                <w:szCs w:val="24"/>
              </w:rPr>
              <w:t xml:space="preserve">БФС, БАПЗГ, </w:t>
            </w:r>
            <w:r>
              <w:rPr>
                <w:rFonts w:ascii="Times New Roman" w:hAnsi="Times New Roman" w:cs="Times New Roman"/>
                <w:sz w:val="24"/>
                <w:szCs w:val="24"/>
              </w:rPr>
              <w:t>БСЛАФ, БАПФ</w:t>
            </w:r>
          </w:p>
        </w:tc>
        <w:tc>
          <w:tcPr>
            <w:tcW w:w="1134" w:type="dxa"/>
            <w:vMerge/>
            <w:vAlign w:val="center"/>
          </w:tcPr>
          <w:p w14:paraId="4796A76A"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Merge/>
            <w:vAlign w:val="center"/>
          </w:tcPr>
          <w:p w14:paraId="79A17355" w14:textId="77777777" w:rsidR="00503C65" w:rsidRPr="002262A7" w:rsidRDefault="00503C65" w:rsidP="00C315DE">
            <w:pPr>
              <w:spacing w:after="0" w:line="276" w:lineRule="auto"/>
              <w:rPr>
                <w:rFonts w:ascii="Times New Roman" w:hAnsi="Times New Roman" w:cs="Times New Roman"/>
                <w:sz w:val="24"/>
                <w:szCs w:val="24"/>
              </w:rPr>
            </w:pPr>
          </w:p>
        </w:tc>
        <w:tc>
          <w:tcPr>
            <w:tcW w:w="1843" w:type="dxa"/>
            <w:vMerge/>
            <w:vAlign w:val="center"/>
          </w:tcPr>
          <w:p w14:paraId="41D27E50" w14:textId="77777777" w:rsidR="00503C65" w:rsidRPr="002262A7" w:rsidRDefault="00503C65" w:rsidP="00C315DE">
            <w:pPr>
              <w:spacing w:after="0" w:line="276" w:lineRule="auto"/>
              <w:rPr>
                <w:rFonts w:ascii="Times New Roman" w:hAnsi="Times New Roman" w:cs="Times New Roman"/>
                <w:sz w:val="24"/>
                <w:szCs w:val="24"/>
              </w:rPr>
            </w:pPr>
          </w:p>
        </w:tc>
        <w:tc>
          <w:tcPr>
            <w:tcW w:w="2131" w:type="dxa"/>
            <w:vMerge/>
            <w:vAlign w:val="center"/>
          </w:tcPr>
          <w:p w14:paraId="43449569"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1C19456F" w14:textId="77777777" w:rsidTr="00C315DE">
        <w:tc>
          <w:tcPr>
            <w:tcW w:w="721" w:type="dxa"/>
            <w:vAlign w:val="center"/>
          </w:tcPr>
          <w:p w14:paraId="4E61EC2E" w14:textId="77777777" w:rsidR="00503C65" w:rsidRPr="00BF7298" w:rsidRDefault="00503C65" w:rsidP="00C315DE">
            <w:pPr>
              <w:spacing w:after="0" w:line="276" w:lineRule="auto"/>
              <w:jc w:val="right"/>
              <w:rPr>
                <w:rFonts w:ascii="Times New Roman" w:hAnsi="Times New Roman" w:cs="Times New Roman"/>
                <w:b/>
                <w:sz w:val="24"/>
                <w:szCs w:val="24"/>
              </w:rPr>
            </w:pPr>
            <w:r w:rsidRPr="00BF7298">
              <w:rPr>
                <w:rFonts w:ascii="Times New Roman" w:hAnsi="Times New Roman" w:cs="Times New Roman"/>
                <w:b/>
                <w:sz w:val="24"/>
                <w:szCs w:val="24"/>
              </w:rPr>
              <w:t>1.5.</w:t>
            </w:r>
          </w:p>
        </w:tc>
        <w:tc>
          <w:tcPr>
            <w:tcW w:w="5511" w:type="dxa"/>
            <w:vAlign w:val="center"/>
          </w:tcPr>
          <w:p w14:paraId="1DAE6FD6" w14:textId="77777777" w:rsidR="00503C65" w:rsidRPr="00297E77" w:rsidRDefault="00503C65" w:rsidP="00C315DE">
            <w:pPr>
              <w:spacing w:after="0" w:line="276" w:lineRule="auto"/>
              <w:rPr>
                <w:rFonts w:ascii="Times New Roman" w:hAnsi="Times New Roman" w:cs="Times New Roman"/>
                <w:sz w:val="24"/>
                <w:szCs w:val="24"/>
              </w:rPr>
            </w:pPr>
            <w:r w:rsidRPr="00297E77">
              <w:rPr>
                <w:rFonts w:ascii="Times New Roman" w:hAnsi="Times New Roman" w:cs="Times New Roman"/>
                <w:sz w:val="24"/>
                <w:szCs w:val="24"/>
              </w:rPr>
              <w:t xml:space="preserve">Специализирано обучение на земеделските производители (фермери) по разработване и прилагане на добри животновъдни практики при отглеждане на селскостопански животни. </w:t>
            </w:r>
          </w:p>
        </w:tc>
        <w:tc>
          <w:tcPr>
            <w:tcW w:w="1701" w:type="dxa"/>
            <w:vAlign w:val="center"/>
          </w:tcPr>
          <w:p w14:paraId="48053763"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ВУ, БВС, БАБХ и браншови организации</w:t>
            </w:r>
          </w:p>
        </w:tc>
        <w:tc>
          <w:tcPr>
            <w:tcW w:w="1134" w:type="dxa"/>
            <w:vAlign w:val="center"/>
          </w:tcPr>
          <w:p w14:paraId="0B2AB838" w14:textId="77777777" w:rsidR="00503C65" w:rsidRPr="0024776D" w:rsidRDefault="00503C65" w:rsidP="00C315DE">
            <w:pPr>
              <w:spacing w:after="0" w:line="276" w:lineRule="auto"/>
              <w:rPr>
                <w:rFonts w:ascii="Times New Roman" w:hAnsi="Times New Roman" w:cs="Times New Roman"/>
                <w:sz w:val="24"/>
                <w:szCs w:val="24"/>
              </w:rPr>
            </w:pPr>
            <w:r w:rsidRPr="006F0152">
              <w:rPr>
                <w:rFonts w:ascii="Times New Roman" w:hAnsi="Times New Roman" w:cs="Times New Roman"/>
                <w:sz w:val="24"/>
                <w:szCs w:val="24"/>
              </w:rPr>
              <w:t>202</w:t>
            </w:r>
            <w:r>
              <w:rPr>
                <w:rFonts w:ascii="Times New Roman" w:hAnsi="Times New Roman" w:cs="Times New Roman"/>
                <w:sz w:val="24"/>
                <w:szCs w:val="24"/>
              </w:rPr>
              <w:t>6</w:t>
            </w:r>
            <w:r w:rsidRPr="00A935AC">
              <w:rPr>
                <w:rFonts w:ascii="Times New Roman" w:eastAsia="Calibri" w:hAnsi="Times New Roman" w:cs="Times New Roman"/>
                <w:sz w:val="24"/>
                <w:szCs w:val="24"/>
              </w:rPr>
              <w:t xml:space="preserve"> – </w:t>
            </w:r>
            <w:r w:rsidRPr="0024776D">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00E9FB5D" w14:textId="77777777" w:rsidR="00503C65" w:rsidRPr="00D53BB0" w:rsidRDefault="00503C65" w:rsidP="00C315DE">
            <w:pPr>
              <w:spacing w:after="0" w:line="276" w:lineRule="auto"/>
              <w:rPr>
                <w:rFonts w:ascii="Times New Roman" w:hAnsi="Times New Roman" w:cs="Times New Roman"/>
                <w:sz w:val="24"/>
                <w:szCs w:val="24"/>
              </w:rPr>
            </w:pPr>
            <w:r w:rsidRPr="00442189">
              <w:rPr>
                <w:rFonts w:ascii="Times New Roman" w:hAnsi="Times New Roman" w:cs="Times New Roman"/>
                <w:sz w:val="24"/>
                <w:szCs w:val="24"/>
              </w:rPr>
              <w:t>Участие на фермери в специализирани о</w:t>
            </w:r>
            <w:r w:rsidRPr="00D53BB0">
              <w:rPr>
                <w:rFonts w:ascii="Times New Roman" w:hAnsi="Times New Roman" w:cs="Times New Roman"/>
                <w:sz w:val="24"/>
                <w:szCs w:val="24"/>
              </w:rPr>
              <w:t xml:space="preserve">бучения по въпросите на АМР и разумната употреба на ВЛП и изискванията за биосигурност в животновъдните обекти. Брой на </w:t>
            </w:r>
            <w:r w:rsidRPr="00D53BB0">
              <w:rPr>
                <w:rFonts w:ascii="Times New Roman" w:hAnsi="Times New Roman" w:cs="Times New Roman"/>
                <w:sz w:val="24"/>
                <w:szCs w:val="24"/>
              </w:rPr>
              <w:lastRenderedPageBreak/>
              <w:t>обучени фермери и приложени добри практики, резултати от контрола, осъществяван от компетентните органи.</w:t>
            </w:r>
          </w:p>
        </w:tc>
        <w:tc>
          <w:tcPr>
            <w:tcW w:w="1843" w:type="dxa"/>
            <w:vAlign w:val="center"/>
          </w:tcPr>
          <w:p w14:paraId="2B5CC90C" w14:textId="77777777" w:rsidR="00503C65" w:rsidRPr="008634C1" w:rsidRDefault="00503C65" w:rsidP="00C315DE">
            <w:pPr>
              <w:spacing w:after="0" w:line="276" w:lineRule="auto"/>
              <w:rPr>
                <w:rFonts w:ascii="Times New Roman" w:hAnsi="Times New Roman" w:cs="Times New Roman"/>
                <w:sz w:val="24"/>
                <w:szCs w:val="24"/>
                <w:lang w:val="en-US"/>
              </w:rPr>
            </w:pPr>
            <w:r w:rsidRPr="009847D2">
              <w:rPr>
                <w:rFonts w:ascii="Times New Roman" w:hAnsi="Times New Roman" w:cs="Times New Roman"/>
                <w:sz w:val="24"/>
                <w:szCs w:val="24"/>
                <w:lang w:val="en-US"/>
              </w:rPr>
              <w:lastRenderedPageBreak/>
              <w:t>0</w:t>
            </w:r>
          </w:p>
        </w:tc>
        <w:tc>
          <w:tcPr>
            <w:tcW w:w="2131" w:type="dxa"/>
            <w:vAlign w:val="center"/>
          </w:tcPr>
          <w:p w14:paraId="219995EC" w14:textId="77777777" w:rsidR="00503C65" w:rsidRPr="00BF7298"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3 (БАБХ - по 1 обучение на година относно ВЛП и АМР)</w:t>
            </w:r>
          </w:p>
        </w:tc>
      </w:tr>
      <w:tr w:rsidR="00503C65" w:rsidRPr="002262A7" w14:paraId="5A396C20" w14:textId="77777777" w:rsidTr="00C315DE">
        <w:trPr>
          <w:cantSplit/>
        </w:trPr>
        <w:tc>
          <w:tcPr>
            <w:tcW w:w="721" w:type="dxa"/>
            <w:vAlign w:val="center"/>
          </w:tcPr>
          <w:p w14:paraId="1089621F"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1.6.</w:t>
            </w:r>
          </w:p>
        </w:tc>
        <w:tc>
          <w:tcPr>
            <w:tcW w:w="5511" w:type="dxa"/>
            <w:vAlign w:val="center"/>
          </w:tcPr>
          <w:p w14:paraId="0185F03B"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kern w:val="24"/>
                <w:sz w:val="24"/>
                <w:szCs w:val="24"/>
              </w:rPr>
              <w:t>Допълване и усъвършенстване при необходимост на съществуващи учебни програми за придобиване на специалност в системата на здравеопазването по въпросите на антимикробна химиотерапия, антибиотична политика и превенция и контрол на инфекциите.</w:t>
            </w:r>
          </w:p>
          <w:p w14:paraId="0A5DC2AB" w14:textId="77777777" w:rsidR="00503C65" w:rsidRPr="002262A7" w:rsidRDefault="00503C65" w:rsidP="00C315DE">
            <w:pPr>
              <w:spacing w:after="0" w:line="276" w:lineRule="auto"/>
              <w:rPr>
                <w:rFonts w:ascii="Times New Roman" w:hAnsi="Times New Roman" w:cs="Times New Roman"/>
                <w:kern w:val="24"/>
                <w:sz w:val="24"/>
                <w:szCs w:val="24"/>
              </w:rPr>
            </w:pPr>
            <w:r w:rsidRPr="002262A7">
              <w:rPr>
                <w:rFonts w:ascii="Times New Roman" w:hAnsi="Times New Roman" w:cs="Times New Roman"/>
                <w:sz w:val="24"/>
                <w:szCs w:val="24"/>
              </w:rPr>
              <w:t>Провеждане на специализирани курсове по антимикробна химиотерапия за специализанти по клинични, дентални и фармацевтични специалности</w:t>
            </w:r>
            <w:r>
              <w:rPr>
                <w:rFonts w:ascii="Times New Roman" w:hAnsi="Times New Roman" w:cs="Times New Roman"/>
                <w:sz w:val="24"/>
                <w:szCs w:val="24"/>
              </w:rPr>
              <w:t>.</w:t>
            </w:r>
          </w:p>
        </w:tc>
        <w:tc>
          <w:tcPr>
            <w:tcW w:w="1701" w:type="dxa"/>
            <w:vAlign w:val="center"/>
          </w:tcPr>
          <w:p w14:paraId="4A01D0EF"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МЗ, </w:t>
            </w:r>
            <w:r>
              <w:rPr>
                <w:rFonts w:ascii="Times New Roman" w:hAnsi="Times New Roman" w:cs="Times New Roman"/>
                <w:sz w:val="24"/>
                <w:szCs w:val="24"/>
              </w:rPr>
              <w:t>НЦЗПБ, ВУ</w:t>
            </w:r>
            <w:r w:rsidRPr="002262A7">
              <w:rPr>
                <w:rFonts w:ascii="Times New Roman" w:hAnsi="Times New Roman" w:cs="Times New Roman"/>
                <w:sz w:val="24"/>
                <w:szCs w:val="24"/>
              </w:rPr>
              <w:t xml:space="preserve">, БЛС, БЗС, БФС, БАПЗГ, </w:t>
            </w:r>
            <w:r w:rsidRPr="005067DE">
              <w:rPr>
                <w:rFonts w:ascii="Times New Roman" w:hAnsi="Times New Roman" w:cs="Times New Roman"/>
                <w:sz w:val="24"/>
                <w:szCs w:val="24"/>
              </w:rPr>
              <w:t xml:space="preserve">БСЛАФ, </w:t>
            </w:r>
            <w:r w:rsidRPr="002262A7">
              <w:rPr>
                <w:rFonts w:ascii="Times New Roman" w:hAnsi="Times New Roman" w:cs="Times New Roman"/>
                <w:sz w:val="24"/>
                <w:szCs w:val="24"/>
              </w:rPr>
              <w:t>БАПФ, Медицински университети</w:t>
            </w:r>
          </w:p>
        </w:tc>
        <w:tc>
          <w:tcPr>
            <w:tcW w:w="1134" w:type="dxa"/>
            <w:vAlign w:val="center"/>
          </w:tcPr>
          <w:p w14:paraId="42B92E00"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8</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55269349"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Брой актуализирали и/или създали нови учебни програми за Придобиване на специалност в системата на здравеопазването.</w:t>
            </w:r>
          </w:p>
        </w:tc>
        <w:tc>
          <w:tcPr>
            <w:tcW w:w="1843" w:type="dxa"/>
            <w:vAlign w:val="center"/>
          </w:tcPr>
          <w:p w14:paraId="43ED36D4" w14:textId="77777777" w:rsidR="00503C65" w:rsidRPr="002262A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7E5D3EA6" w14:textId="77777777" w:rsidR="00503C65" w:rsidRPr="002262A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НЦЗПБ и Медицински университети – 1 бр. (Микробиология)</w:t>
            </w:r>
          </w:p>
        </w:tc>
      </w:tr>
      <w:tr w:rsidR="00503C65" w:rsidRPr="002262A7" w14:paraId="1AC41956" w14:textId="77777777" w:rsidTr="00C315DE">
        <w:tc>
          <w:tcPr>
            <w:tcW w:w="721" w:type="dxa"/>
            <w:vAlign w:val="center"/>
          </w:tcPr>
          <w:p w14:paraId="67F5F159" w14:textId="77777777" w:rsidR="00503C65" w:rsidRPr="00297E77" w:rsidRDefault="00503C65" w:rsidP="00C315DE">
            <w:pPr>
              <w:spacing w:after="0" w:line="276" w:lineRule="auto"/>
              <w:jc w:val="right"/>
              <w:rPr>
                <w:rFonts w:ascii="Times New Roman" w:hAnsi="Times New Roman" w:cs="Times New Roman"/>
                <w:b/>
                <w:sz w:val="24"/>
                <w:szCs w:val="24"/>
              </w:rPr>
            </w:pPr>
            <w:r w:rsidRPr="00C2013A">
              <w:rPr>
                <w:rFonts w:ascii="Times New Roman" w:hAnsi="Times New Roman" w:cs="Times New Roman"/>
                <w:b/>
                <w:sz w:val="24"/>
                <w:szCs w:val="24"/>
              </w:rPr>
              <w:t>1.7.</w:t>
            </w:r>
          </w:p>
        </w:tc>
        <w:tc>
          <w:tcPr>
            <w:tcW w:w="5511" w:type="dxa"/>
            <w:vAlign w:val="center"/>
          </w:tcPr>
          <w:p w14:paraId="6138C87C" w14:textId="77777777" w:rsidR="00503C65" w:rsidRPr="00A935AC" w:rsidRDefault="00503C65" w:rsidP="00C315DE">
            <w:pPr>
              <w:spacing w:after="0" w:line="276" w:lineRule="auto"/>
              <w:rPr>
                <w:rFonts w:ascii="Times New Roman" w:hAnsi="Times New Roman" w:cs="Times New Roman"/>
                <w:kern w:val="24"/>
                <w:sz w:val="24"/>
                <w:szCs w:val="24"/>
              </w:rPr>
            </w:pPr>
            <w:r w:rsidRPr="0010137E">
              <w:rPr>
                <w:rFonts w:ascii="Times New Roman" w:hAnsi="Times New Roman" w:cs="Times New Roman"/>
                <w:kern w:val="24"/>
                <w:sz w:val="24"/>
                <w:szCs w:val="24"/>
              </w:rPr>
              <w:t>Разработване и въвеждане на обучителни материали по АМР</w:t>
            </w:r>
            <w:r w:rsidRPr="006F0152">
              <w:rPr>
                <w:rFonts w:ascii="Times New Roman" w:hAnsi="Times New Roman" w:cs="Times New Roman"/>
                <w:sz w:val="24"/>
                <w:szCs w:val="24"/>
              </w:rPr>
              <w:t xml:space="preserve"> </w:t>
            </w:r>
            <w:r w:rsidRPr="00A935AC">
              <w:rPr>
                <w:rFonts w:ascii="Times New Roman" w:hAnsi="Times New Roman" w:cs="Times New Roman"/>
                <w:kern w:val="24"/>
                <w:sz w:val="24"/>
                <w:szCs w:val="24"/>
              </w:rPr>
              <w:t>за собственици и работещи във ферми, собственици на домашни любимци, зоомагазини и приюти.</w:t>
            </w:r>
          </w:p>
        </w:tc>
        <w:tc>
          <w:tcPr>
            <w:tcW w:w="1701" w:type="dxa"/>
            <w:vAlign w:val="center"/>
          </w:tcPr>
          <w:p w14:paraId="5A701F20" w14:textId="77777777" w:rsidR="00503C65" w:rsidRPr="00442189" w:rsidRDefault="00503C65" w:rsidP="00C315DE">
            <w:pPr>
              <w:widowControl w:val="0"/>
              <w:spacing w:after="0" w:line="276" w:lineRule="auto"/>
              <w:rPr>
                <w:rFonts w:ascii="Times New Roman" w:hAnsi="Times New Roman" w:cs="Times New Roman"/>
                <w:sz w:val="24"/>
                <w:szCs w:val="24"/>
              </w:rPr>
            </w:pPr>
            <w:r w:rsidRPr="0024776D">
              <w:rPr>
                <w:rFonts w:ascii="Times New Roman" w:hAnsi="Times New Roman" w:cs="Times New Roman"/>
                <w:sz w:val="24"/>
                <w:szCs w:val="24"/>
              </w:rPr>
              <w:t>БАБХ</w:t>
            </w:r>
            <w:r w:rsidRPr="00442189">
              <w:rPr>
                <w:rFonts w:ascii="Times New Roman" w:hAnsi="Times New Roman" w:cs="Times New Roman"/>
                <w:sz w:val="24"/>
                <w:szCs w:val="24"/>
              </w:rPr>
              <w:t xml:space="preserve">, ТРУ, ЛТУ, ЦОРХВ </w:t>
            </w:r>
          </w:p>
        </w:tc>
        <w:tc>
          <w:tcPr>
            <w:tcW w:w="1134" w:type="dxa"/>
            <w:vAlign w:val="center"/>
          </w:tcPr>
          <w:p w14:paraId="1A6705EA"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9847D2">
              <w:rPr>
                <w:rFonts w:ascii="Times New Roman" w:eastAsia="Calibri" w:hAnsi="Times New Roman" w:cs="Times New Roman"/>
                <w:sz w:val="24"/>
                <w:szCs w:val="24"/>
              </w:rPr>
              <w:t xml:space="preserve"> – </w:t>
            </w:r>
            <w:r w:rsidRPr="00E4704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7D5A9C13" w14:textId="77777777" w:rsidR="00503C65" w:rsidRPr="00C2013A" w:rsidRDefault="00503C65" w:rsidP="00C315DE">
            <w:pPr>
              <w:widowControl w:val="0"/>
              <w:spacing w:after="0" w:line="276" w:lineRule="auto"/>
              <w:rPr>
                <w:rFonts w:ascii="Times New Roman" w:hAnsi="Times New Roman" w:cs="Times New Roman"/>
                <w:sz w:val="24"/>
                <w:szCs w:val="24"/>
              </w:rPr>
            </w:pPr>
            <w:r w:rsidRPr="00C2013A">
              <w:rPr>
                <w:rFonts w:ascii="Times New Roman" w:hAnsi="Times New Roman" w:cs="Times New Roman"/>
                <w:sz w:val="24"/>
                <w:szCs w:val="24"/>
              </w:rPr>
              <w:t>Изготвени брошури, наръчник за зоомагазини и приюти и оповестяването им на интернет страниците на съответните институции.</w:t>
            </w:r>
          </w:p>
          <w:p w14:paraId="18227C57" w14:textId="77777777" w:rsidR="00503C65" w:rsidRPr="00C2013A" w:rsidRDefault="00503C65" w:rsidP="00C315DE">
            <w:pPr>
              <w:widowControl w:val="0"/>
              <w:spacing w:after="0" w:line="276" w:lineRule="auto"/>
              <w:rPr>
                <w:rFonts w:ascii="Times New Roman" w:hAnsi="Times New Roman" w:cs="Times New Roman"/>
                <w:sz w:val="24"/>
                <w:szCs w:val="24"/>
              </w:rPr>
            </w:pPr>
            <w:r w:rsidRPr="00C2013A">
              <w:rPr>
                <w:rFonts w:ascii="Times New Roman" w:hAnsi="Times New Roman" w:cs="Times New Roman"/>
                <w:sz w:val="24"/>
                <w:szCs w:val="24"/>
              </w:rPr>
              <w:lastRenderedPageBreak/>
              <w:t xml:space="preserve">Брой разпространени брошури и наръчници. </w:t>
            </w:r>
          </w:p>
        </w:tc>
        <w:tc>
          <w:tcPr>
            <w:tcW w:w="1843" w:type="dxa"/>
            <w:vAlign w:val="center"/>
          </w:tcPr>
          <w:p w14:paraId="7E08DDC2" w14:textId="77777777" w:rsidR="00503C65" w:rsidRPr="008634C1" w:rsidRDefault="00503C65" w:rsidP="00C315DE">
            <w:pPr>
              <w:widowControl w:val="0"/>
              <w:spacing w:after="0" w:line="276" w:lineRule="auto"/>
              <w:rPr>
                <w:rFonts w:ascii="Times New Roman" w:hAnsi="Times New Roman" w:cs="Times New Roman"/>
                <w:sz w:val="24"/>
                <w:szCs w:val="24"/>
                <w:lang w:val="en-US"/>
              </w:rPr>
            </w:pPr>
            <w:r w:rsidRPr="00C2013A">
              <w:rPr>
                <w:rFonts w:ascii="Times New Roman" w:hAnsi="Times New Roman" w:cs="Times New Roman"/>
                <w:sz w:val="24"/>
                <w:szCs w:val="24"/>
                <w:lang w:val="en-US"/>
              </w:rPr>
              <w:lastRenderedPageBreak/>
              <w:t>0</w:t>
            </w:r>
          </w:p>
        </w:tc>
        <w:tc>
          <w:tcPr>
            <w:tcW w:w="2131" w:type="dxa"/>
            <w:vAlign w:val="center"/>
          </w:tcPr>
          <w:p w14:paraId="3530589C" w14:textId="77777777" w:rsidR="00503C65" w:rsidRPr="008634C1" w:rsidRDefault="00503C65" w:rsidP="00C315DE">
            <w:pPr>
              <w:widowControl w:val="0"/>
              <w:spacing w:after="0" w:line="276" w:lineRule="auto"/>
              <w:rPr>
                <w:rFonts w:ascii="Times New Roman" w:hAnsi="Times New Roman" w:cs="Times New Roman"/>
                <w:sz w:val="24"/>
                <w:szCs w:val="24"/>
                <w:highlight w:val="yellow"/>
              </w:rPr>
            </w:pPr>
            <w:r w:rsidRPr="00BF7298">
              <w:rPr>
                <w:rFonts w:ascii="Times New Roman" w:hAnsi="Times New Roman" w:cs="Times New Roman"/>
                <w:sz w:val="24"/>
                <w:szCs w:val="24"/>
              </w:rPr>
              <w:t>3 бр. (БАБХ) - по една комуникация за фермери, за стопани на домашни любимци и за приюти</w:t>
            </w:r>
            <w:r>
              <w:rPr>
                <w:rFonts w:ascii="Times New Roman" w:hAnsi="Times New Roman" w:cs="Times New Roman"/>
                <w:sz w:val="24"/>
                <w:szCs w:val="24"/>
              </w:rPr>
              <w:t xml:space="preserve"> и </w:t>
            </w:r>
            <w:r w:rsidRPr="00BF7298">
              <w:rPr>
                <w:rFonts w:ascii="Times New Roman" w:hAnsi="Times New Roman" w:cs="Times New Roman"/>
                <w:sz w:val="24"/>
                <w:szCs w:val="24"/>
              </w:rPr>
              <w:t xml:space="preserve">1 бр./комплект обучителни </w:t>
            </w:r>
            <w:r w:rsidRPr="00BF7298">
              <w:rPr>
                <w:rFonts w:ascii="Times New Roman" w:hAnsi="Times New Roman" w:cs="Times New Roman"/>
                <w:sz w:val="24"/>
                <w:szCs w:val="24"/>
              </w:rPr>
              <w:lastRenderedPageBreak/>
              <w:t>материали (ЦОРХВ)</w:t>
            </w:r>
          </w:p>
        </w:tc>
      </w:tr>
      <w:tr w:rsidR="00503C65" w:rsidRPr="002262A7" w14:paraId="75E56B88" w14:textId="77777777" w:rsidTr="00C315DE">
        <w:tc>
          <w:tcPr>
            <w:tcW w:w="721" w:type="dxa"/>
            <w:vAlign w:val="center"/>
          </w:tcPr>
          <w:p w14:paraId="700CC8B6"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lastRenderedPageBreak/>
              <w:t>1.8.</w:t>
            </w:r>
          </w:p>
        </w:tc>
        <w:tc>
          <w:tcPr>
            <w:tcW w:w="5511" w:type="dxa"/>
            <w:vAlign w:val="center"/>
          </w:tcPr>
          <w:p w14:paraId="357CF178" w14:textId="77777777" w:rsidR="00503C65" w:rsidRPr="002262A7" w:rsidRDefault="00503C65" w:rsidP="00C315DE">
            <w:pPr>
              <w:spacing w:after="0" w:line="276" w:lineRule="auto"/>
              <w:rPr>
                <w:rFonts w:ascii="Times New Roman" w:hAnsi="Times New Roman" w:cs="Times New Roman"/>
                <w:sz w:val="24"/>
                <w:szCs w:val="24"/>
              </w:rPr>
            </w:pPr>
            <w:r w:rsidRPr="00EB6522">
              <w:rPr>
                <w:rFonts w:ascii="Times New Roman" w:hAnsi="Times New Roman" w:cs="Times New Roman"/>
                <w:kern w:val="24"/>
                <w:sz w:val="24"/>
                <w:szCs w:val="24"/>
              </w:rPr>
              <w:t>Разработване, отпечатване и разпространение на обучителни материали и изготвяне на наръчник по АМР, насочени към учителите, заети в средното образование.</w:t>
            </w:r>
            <w:r w:rsidRPr="002262A7">
              <w:rPr>
                <w:rFonts w:ascii="Times New Roman" w:hAnsi="Times New Roman" w:cs="Times New Roman"/>
                <w:kern w:val="24"/>
                <w:sz w:val="24"/>
                <w:szCs w:val="24"/>
              </w:rPr>
              <w:t xml:space="preserve"> </w:t>
            </w:r>
          </w:p>
        </w:tc>
        <w:tc>
          <w:tcPr>
            <w:tcW w:w="1701" w:type="dxa"/>
            <w:vAlign w:val="center"/>
          </w:tcPr>
          <w:p w14:paraId="15484C1B"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МЗ</w:t>
            </w:r>
            <w:r w:rsidRPr="002262A7">
              <w:rPr>
                <w:rFonts w:ascii="Times New Roman" w:eastAsia="Times New Roman" w:hAnsi="Times New Roman" w:cs="Times New Roman"/>
                <w:sz w:val="24"/>
                <w:szCs w:val="24"/>
                <w:lang w:eastAsia="zh-CN"/>
              </w:rPr>
              <w:t>, НЦЗПБ, РЗИ</w:t>
            </w:r>
            <w:r>
              <w:rPr>
                <w:rFonts w:ascii="Times New Roman" w:eastAsia="Times New Roman" w:hAnsi="Times New Roman" w:cs="Times New Roman"/>
                <w:sz w:val="24"/>
                <w:szCs w:val="24"/>
                <w:lang w:eastAsia="zh-CN"/>
              </w:rPr>
              <w:t xml:space="preserve">, </w:t>
            </w:r>
            <w:r w:rsidRPr="002262A7">
              <w:rPr>
                <w:rFonts w:ascii="Times New Roman" w:hAnsi="Times New Roman" w:cs="Times New Roman"/>
                <w:sz w:val="24"/>
                <w:szCs w:val="24"/>
              </w:rPr>
              <w:t>МОН</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РУО</w:t>
            </w:r>
          </w:p>
        </w:tc>
        <w:tc>
          <w:tcPr>
            <w:tcW w:w="1134" w:type="dxa"/>
            <w:vAlign w:val="center"/>
          </w:tcPr>
          <w:p w14:paraId="119C748A"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3A2F859C"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Изготвен и разпространен наръчник за учителите; </w:t>
            </w:r>
          </w:p>
          <w:p w14:paraId="4C258358"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Брой на ползватели на e-bug.</w:t>
            </w:r>
          </w:p>
          <w:p w14:paraId="562CA05B"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Брой отпечатени брошури и др.</w:t>
            </w:r>
          </w:p>
          <w:p w14:paraId="0910B7A7" w14:textId="77777777" w:rsidR="00503C65" w:rsidRPr="002262A7" w:rsidRDefault="00503C65" w:rsidP="00C315DE">
            <w:pPr>
              <w:widowControl w:val="0"/>
              <w:spacing w:after="4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Брой достигнати лица. </w:t>
            </w:r>
          </w:p>
        </w:tc>
        <w:tc>
          <w:tcPr>
            <w:tcW w:w="1843" w:type="dxa"/>
            <w:vAlign w:val="center"/>
          </w:tcPr>
          <w:p w14:paraId="6162270E" w14:textId="77777777" w:rsidR="00503C65" w:rsidRPr="002262A7" w:rsidRDefault="00503C65" w:rsidP="00C315DE">
            <w:pPr>
              <w:widowControl w:val="0"/>
              <w:spacing w:after="4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0D81366E" w14:textId="77777777" w:rsidR="00503C65" w:rsidRDefault="00503C65" w:rsidP="00C315DE">
            <w:pPr>
              <w:widowControl w:val="0"/>
              <w:spacing w:after="40" w:line="276" w:lineRule="auto"/>
              <w:rPr>
                <w:rFonts w:ascii="Times New Roman" w:hAnsi="Times New Roman" w:cs="Times New Roman"/>
                <w:sz w:val="24"/>
                <w:szCs w:val="24"/>
              </w:rPr>
            </w:pPr>
            <w:r>
              <w:rPr>
                <w:rFonts w:ascii="Times New Roman" w:hAnsi="Times New Roman" w:cs="Times New Roman"/>
                <w:sz w:val="24"/>
                <w:szCs w:val="24"/>
              </w:rPr>
              <w:t>НЦЗПБ – превод на платформата е-</w:t>
            </w:r>
            <w:r>
              <w:rPr>
                <w:rFonts w:ascii="Times New Roman" w:hAnsi="Times New Roman" w:cs="Times New Roman"/>
                <w:sz w:val="24"/>
                <w:szCs w:val="24"/>
                <w:lang w:val="en-US"/>
              </w:rPr>
              <w:t xml:space="preserve">bug </w:t>
            </w:r>
            <w:r>
              <w:rPr>
                <w:rFonts w:ascii="Times New Roman" w:hAnsi="Times New Roman" w:cs="Times New Roman"/>
                <w:sz w:val="24"/>
                <w:szCs w:val="24"/>
              </w:rPr>
              <w:t>на български</w:t>
            </w:r>
            <w:r w:rsidR="004A7020">
              <w:rPr>
                <w:rFonts w:ascii="Times New Roman" w:hAnsi="Times New Roman" w:cs="Times New Roman"/>
                <w:sz w:val="24"/>
                <w:szCs w:val="24"/>
              </w:rPr>
              <w:t>.</w:t>
            </w:r>
          </w:p>
          <w:p w14:paraId="3111D47B" w14:textId="77777777" w:rsidR="0087461C" w:rsidRPr="00EB6522" w:rsidRDefault="0087461C" w:rsidP="00C315DE">
            <w:pPr>
              <w:widowControl w:val="0"/>
              <w:spacing w:after="40" w:line="276" w:lineRule="auto"/>
              <w:rPr>
                <w:rFonts w:ascii="Times New Roman" w:hAnsi="Times New Roman" w:cs="Times New Roman"/>
                <w:sz w:val="24"/>
                <w:szCs w:val="24"/>
              </w:rPr>
            </w:pPr>
            <w:r w:rsidRPr="00EB6522">
              <w:rPr>
                <w:rFonts w:ascii="Times New Roman" w:hAnsi="Times New Roman" w:cs="Times New Roman"/>
                <w:sz w:val="24"/>
                <w:szCs w:val="24"/>
              </w:rPr>
              <w:t>500 брошури;</w:t>
            </w:r>
          </w:p>
          <w:p w14:paraId="14114735" w14:textId="77777777" w:rsidR="0087461C" w:rsidRPr="00F81C57" w:rsidRDefault="0087461C" w:rsidP="00C315DE">
            <w:pPr>
              <w:widowControl w:val="0"/>
              <w:spacing w:after="40" w:line="276" w:lineRule="auto"/>
              <w:rPr>
                <w:rFonts w:ascii="Times New Roman" w:hAnsi="Times New Roman" w:cs="Times New Roman"/>
                <w:sz w:val="24"/>
                <w:szCs w:val="24"/>
              </w:rPr>
            </w:pPr>
            <w:r w:rsidRPr="00EB6522">
              <w:rPr>
                <w:rFonts w:ascii="Times New Roman" w:hAnsi="Times New Roman" w:cs="Times New Roman"/>
                <w:sz w:val="24"/>
                <w:szCs w:val="24"/>
              </w:rPr>
              <w:t>500 лица.</w:t>
            </w:r>
          </w:p>
        </w:tc>
      </w:tr>
      <w:tr w:rsidR="00503C65" w:rsidRPr="002262A7" w14:paraId="7F22B974" w14:textId="77777777" w:rsidTr="00C315DE">
        <w:tc>
          <w:tcPr>
            <w:tcW w:w="721" w:type="dxa"/>
            <w:vAlign w:val="center"/>
          </w:tcPr>
          <w:p w14:paraId="7D5B31D8" w14:textId="77777777" w:rsidR="00503C65" w:rsidRPr="00297E77" w:rsidRDefault="00503C65" w:rsidP="00C315DE">
            <w:pPr>
              <w:spacing w:after="0" w:line="276" w:lineRule="auto"/>
              <w:jc w:val="right"/>
              <w:rPr>
                <w:rFonts w:ascii="Times New Roman" w:hAnsi="Times New Roman" w:cs="Times New Roman"/>
                <w:b/>
                <w:sz w:val="24"/>
                <w:szCs w:val="24"/>
              </w:rPr>
            </w:pPr>
            <w:r w:rsidRPr="00297E77">
              <w:rPr>
                <w:rFonts w:ascii="Times New Roman" w:hAnsi="Times New Roman" w:cs="Times New Roman"/>
                <w:b/>
                <w:sz w:val="24"/>
                <w:szCs w:val="24"/>
              </w:rPr>
              <w:t>1.9.</w:t>
            </w:r>
          </w:p>
        </w:tc>
        <w:tc>
          <w:tcPr>
            <w:tcW w:w="5511" w:type="dxa"/>
            <w:vAlign w:val="center"/>
          </w:tcPr>
          <w:p w14:paraId="2E942BF9" w14:textId="77777777" w:rsidR="00503C65" w:rsidRPr="0024776D"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 xml:space="preserve">Включване на </w:t>
            </w:r>
            <w:r w:rsidRPr="006F0152">
              <w:rPr>
                <w:rFonts w:ascii="Times New Roman" w:hAnsi="Times New Roman" w:cs="Times New Roman"/>
                <w:kern w:val="24"/>
                <w:sz w:val="24"/>
                <w:szCs w:val="24"/>
              </w:rPr>
              <w:t>познанията за антибиотиците</w:t>
            </w:r>
            <w:r w:rsidRPr="00A935AC">
              <w:rPr>
                <w:rFonts w:ascii="Times New Roman" w:hAnsi="Times New Roman" w:cs="Times New Roman"/>
                <w:sz w:val="24"/>
                <w:szCs w:val="24"/>
              </w:rPr>
              <w:t>, на хигиенните изисквания, превенцията и контрола на инфек</w:t>
            </w:r>
            <w:r w:rsidRPr="0024776D">
              <w:rPr>
                <w:rFonts w:ascii="Times New Roman" w:hAnsi="Times New Roman" w:cs="Times New Roman"/>
                <w:sz w:val="24"/>
                <w:szCs w:val="24"/>
              </w:rPr>
              <w:t>циите в учебните програми на професионалните гимназии, подготвящи кадри за животновъдството и земеделието.</w:t>
            </w:r>
          </w:p>
        </w:tc>
        <w:tc>
          <w:tcPr>
            <w:tcW w:w="1701" w:type="dxa"/>
            <w:vAlign w:val="center"/>
          </w:tcPr>
          <w:p w14:paraId="0567B6B8" w14:textId="77777777" w:rsidR="00503C65" w:rsidRPr="00442189" w:rsidRDefault="00503C65" w:rsidP="00C315DE">
            <w:pPr>
              <w:widowControl w:val="0"/>
              <w:spacing w:after="40" w:line="276" w:lineRule="auto"/>
              <w:rPr>
                <w:rFonts w:ascii="Times New Roman" w:hAnsi="Times New Roman" w:cs="Times New Roman"/>
                <w:sz w:val="24"/>
                <w:szCs w:val="24"/>
                <w:lang w:val="en-US"/>
              </w:rPr>
            </w:pPr>
            <w:r w:rsidRPr="00442189">
              <w:rPr>
                <w:rFonts w:ascii="Times New Roman" w:hAnsi="Times New Roman" w:cs="Times New Roman"/>
                <w:sz w:val="24"/>
                <w:szCs w:val="24"/>
              </w:rPr>
              <w:t xml:space="preserve">МЗХ, МОН, БАБХ и професионални гимназии, подготвящи кадри за животновъдството и земеделието </w:t>
            </w:r>
          </w:p>
        </w:tc>
        <w:tc>
          <w:tcPr>
            <w:tcW w:w="1134" w:type="dxa"/>
            <w:vAlign w:val="center"/>
          </w:tcPr>
          <w:p w14:paraId="76D95A5A"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9847D2">
              <w:rPr>
                <w:rFonts w:ascii="Times New Roman" w:eastAsia="Calibri" w:hAnsi="Times New Roman" w:cs="Times New Roman"/>
                <w:sz w:val="24"/>
                <w:szCs w:val="24"/>
              </w:rPr>
              <w:t xml:space="preserve"> – </w:t>
            </w:r>
            <w:r w:rsidRPr="00E4704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0B6C20AA" w14:textId="77777777" w:rsidR="00503C65" w:rsidRPr="00297E77" w:rsidRDefault="00503C65" w:rsidP="00C315DE">
            <w:pPr>
              <w:widowControl w:val="0"/>
              <w:spacing w:after="0" w:line="276" w:lineRule="auto"/>
              <w:rPr>
                <w:rFonts w:ascii="Times New Roman" w:hAnsi="Times New Roman" w:cs="Times New Roman"/>
                <w:sz w:val="24"/>
                <w:szCs w:val="24"/>
              </w:rPr>
            </w:pPr>
            <w:r w:rsidRPr="00297E77">
              <w:rPr>
                <w:rFonts w:ascii="Times New Roman" w:hAnsi="Times New Roman" w:cs="Times New Roman"/>
                <w:sz w:val="24"/>
                <w:szCs w:val="24"/>
              </w:rPr>
              <w:t>Повишаване на знанията/ промени в поведението в посока - здравите животни не се нуждаят от лечение.</w:t>
            </w:r>
          </w:p>
        </w:tc>
        <w:tc>
          <w:tcPr>
            <w:tcW w:w="1843" w:type="dxa"/>
            <w:vAlign w:val="center"/>
          </w:tcPr>
          <w:p w14:paraId="4E2DD7DF" w14:textId="77777777" w:rsidR="00503C65" w:rsidRPr="008634C1" w:rsidRDefault="00503C65" w:rsidP="00C315DE">
            <w:pPr>
              <w:widowControl w:val="0"/>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4FBF761B" w14:textId="77777777" w:rsidR="00503C65" w:rsidRPr="00297E77" w:rsidRDefault="00503C65" w:rsidP="00C315DE">
            <w:pPr>
              <w:widowControl w:val="0"/>
              <w:spacing w:after="0" w:line="276" w:lineRule="auto"/>
              <w:rPr>
                <w:rFonts w:ascii="Times New Roman" w:hAnsi="Times New Roman" w:cs="Times New Roman"/>
                <w:sz w:val="24"/>
                <w:szCs w:val="24"/>
              </w:rPr>
            </w:pPr>
            <w:r w:rsidRPr="008634C1">
              <w:rPr>
                <w:rFonts w:ascii="Times New Roman" w:hAnsi="Times New Roman" w:cs="Times New Roman"/>
                <w:sz w:val="24"/>
                <w:szCs w:val="24"/>
                <w:lang w:val="en-US"/>
              </w:rPr>
              <w:t>4</w:t>
            </w:r>
            <w:r w:rsidRPr="008634C1">
              <w:rPr>
                <w:rFonts w:ascii="Times New Roman" w:hAnsi="Times New Roman" w:cs="Times New Roman"/>
                <w:sz w:val="24"/>
                <w:szCs w:val="24"/>
              </w:rPr>
              <w:t xml:space="preserve"> бр. </w:t>
            </w:r>
            <w:r>
              <w:rPr>
                <w:rFonts w:ascii="Times New Roman" w:hAnsi="Times New Roman" w:cs="Times New Roman"/>
                <w:sz w:val="24"/>
                <w:szCs w:val="24"/>
              </w:rPr>
              <w:t>професионални гимназии</w:t>
            </w:r>
            <w:r w:rsidRPr="008634C1">
              <w:rPr>
                <w:rFonts w:ascii="Times New Roman" w:hAnsi="Times New Roman" w:cs="Times New Roman"/>
                <w:sz w:val="24"/>
                <w:szCs w:val="24"/>
              </w:rPr>
              <w:t xml:space="preserve"> (Стара Загора, Добрич, Костинброд и Ловеч)</w:t>
            </w:r>
          </w:p>
        </w:tc>
      </w:tr>
      <w:tr w:rsidR="00503C65" w:rsidRPr="002262A7" w14:paraId="4AA704DE" w14:textId="77777777" w:rsidTr="00C315DE">
        <w:tc>
          <w:tcPr>
            <w:tcW w:w="721" w:type="dxa"/>
            <w:vAlign w:val="center"/>
          </w:tcPr>
          <w:p w14:paraId="72319A90"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1.10.</w:t>
            </w:r>
          </w:p>
        </w:tc>
        <w:tc>
          <w:tcPr>
            <w:tcW w:w="5511" w:type="dxa"/>
            <w:vAlign w:val="center"/>
          </w:tcPr>
          <w:p w14:paraId="7403773A" w14:textId="77777777" w:rsidR="00503C65" w:rsidRPr="00EB6522" w:rsidRDefault="00503C65" w:rsidP="00C315DE">
            <w:pPr>
              <w:spacing w:after="0" w:line="276" w:lineRule="auto"/>
              <w:rPr>
                <w:rFonts w:ascii="Times New Roman" w:hAnsi="Times New Roman" w:cs="Times New Roman"/>
                <w:sz w:val="24"/>
                <w:szCs w:val="24"/>
              </w:rPr>
            </w:pPr>
            <w:r w:rsidRPr="00EB6522">
              <w:rPr>
                <w:rFonts w:ascii="Times New Roman" w:hAnsi="Times New Roman" w:cs="Times New Roman"/>
                <w:bCs/>
                <w:sz w:val="24"/>
                <w:szCs w:val="24"/>
              </w:rPr>
              <w:t>Разработване на обучителни материали и провеждане на семинари по ограничаване свръхупотребата на</w:t>
            </w:r>
            <w:r w:rsidRPr="00EB6522">
              <w:rPr>
                <w:rFonts w:ascii="Times New Roman" w:hAnsi="Times New Roman" w:cs="Times New Roman"/>
                <w:b/>
                <w:bCs/>
                <w:sz w:val="24"/>
                <w:szCs w:val="24"/>
              </w:rPr>
              <w:t xml:space="preserve"> </w:t>
            </w:r>
          </w:p>
          <w:p w14:paraId="4401E215" w14:textId="77777777" w:rsidR="00503C65" w:rsidRPr="002262A7" w:rsidRDefault="00503C65" w:rsidP="00C315DE">
            <w:pPr>
              <w:spacing w:after="40" w:line="276" w:lineRule="auto"/>
              <w:rPr>
                <w:rFonts w:ascii="Times New Roman" w:hAnsi="Times New Roman" w:cs="Times New Roman"/>
                <w:sz w:val="24"/>
                <w:szCs w:val="24"/>
                <w:lang w:val="en-US"/>
              </w:rPr>
            </w:pPr>
            <w:r w:rsidRPr="00EB6522">
              <w:rPr>
                <w:rFonts w:ascii="Times New Roman" w:hAnsi="Times New Roman" w:cs="Times New Roman"/>
                <w:sz w:val="24"/>
                <w:szCs w:val="24"/>
              </w:rPr>
              <w:lastRenderedPageBreak/>
              <w:t>антибиотици в хуманната медицина</w:t>
            </w:r>
            <w:r w:rsidRPr="00EB6522">
              <w:rPr>
                <w:rFonts w:ascii="Times New Roman" w:hAnsi="Times New Roman" w:cs="Times New Roman"/>
                <w:sz w:val="24"/>
                <w:szCs w:val="24"/>
                <w:lang w:val="en-US"/>
              </w:rPr>
              <w:t>,</w:t>
            </w:r>
            <w:r w:rsidRPr="00EB6522">
              <w:rPr>
                <w:rFonts w:ascii="Times New Roman" w:hAnsi="Times New Roman" w:cs="Times New Roman"/>
                <w:sz w:val="24"/>
                <w:szCs w:val="24"/>
              </w:rPr>
              <w:t xml:space="preserve"> доказано</w:t>
            </w:r>
            <w:r w:rsidRPr="002262A7">
              <w:rPr>
                <w:rFonts w:ascii="Times New Roman" w:hAnsi="Times New Roman" w:cs="Times New Roman"/>
                <w:sz w:val="24"/>
                <w:szCs w:val="24"/>
              </w:rPr>
              <w:t xml:space="preserve"> асоциирани с развитие и разпространение на АМР, като например цефтриаксон и цефиксим</w:t>
            </w:r>
            <w:r>
              <w:rPr>
                <w:rFonts w:ascii="Times New Roman" w:hAnsi="Times New Roman" w:cs="Times New Roman"/>
                <w:sz w:val="24"/>
                <w:szCs w:val="24"/>
              </w:rPr>
              <w:t>.</w:t>
            </w:r>
          </w:p>
        </w:tc>
        <w:tc>
          <w:tcPr>
            <w:tcW w:w="1701" w:type="dxa"/>
            <w:vAlign w:val="center"/>
          </w:tcPr>
          <w:p w14:paraId="174B1CC5" w14:textId="77777777" w:rsidR="00503C65" w:rsidRPr="002262A7" w:rsidRDefault="00503C65" w:rsidP="00C315DE">
            <w:pPr>
              <w:widowControl w:val="0"/>
              <w:spacing w:after="0" w:line="276" w:lineRule="auto"/>
              <w:rPr>
                <w:rFonts w:ascii="Times New Roman" w:hAnsi="Times New Roman" w:cs="Times New Roman"/>
                <w:color w:val="000000"/>
                <w:sz w:val="24"/>
                <w:szCs w:val="24"/>
              </w:rPr>
            </w:pPr>
            <w:r w:rsidRPr="002262A7">
              <w:rPr>
                <w:rFonts w:ascii="Times New Roman" w:hAnsi="Times New Roman" w:cs="Times New Roman"/>
                <w:sz w:val="24"/>
                <w:szCs w:val="24"/>
              </w:rPr>
              <w:lastRenderedPageBreak/>
              <w:t xml:space="preserve">БЛС, НЦЗПБ </w:t>
            </w:r>
          </w:p>
        </w:tc>
        <w:tc>
          <w:tcPr>
            <w:tcW w:w="1134" w:type="dxa"/>
            <w:vAlign w:val="center"/>
          </w:tcPr>
          <w:p w14:paraId="379B5C93"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9</w:t>
            </w:r>
          </w:p>
        </w:tc>
        <w:tc>
          <w:tcPr>
            <w:tcW w:w="2268" w:type="dxa"/>
            <w:vAlign w:val="center"/>
          </w:tcPr>
          <w:p w14:paraId="5E3B5748"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Брой отпечатени образователни материали, проведени </w:t>
            </w:r>
            <w:r w:rsidRPr="002262A7">
              <w:rPr>
                <w:rFonts w:ascii="Times New Roman" w:hAnsi="Times New Roman" w:cs="Times New Roman"/>
                <w:sz w:val="24"/>
                <w:szCs w:val="24"/>
              </w:rPr>
              <w:lastRenderedPageBreak/>
              <w:t>семинари.</w:t>
            </w:r>
          </w:p>
          <w:p w14:paraId="259043DE"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Брой достигнати лица</w:t>
            </w:r>
          </w:p>
        </w:tc>
        <w:tc>
          <w:tcPr>
            <w:tcW w:w="1843" w:type="dxa"/>
            <w:vAlign w:val="center"/>
          </w:tcPr>
          <w:p w14:paraId="2A8865E7" w14:textId="77777777" w:rsidR="00503C65" w:rsidRPr="002262A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0</w:t>
            </w:r>
          </w:p>
        </w:tc>
        <w:tc>
          <w:tcPr>
            <w:tcW w:w="2131" w:type="dxa"/>
            <w:vAlign w:val="center"/>
          </w:tcPr>
          <w:p w14:paraId="4DBA28FB" w14:textId="77777777" w:rsidR="00503C65"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НЦЗПБ - организиране на 2 семинара</w:t>
            </w:r>
            <w:r w:rsidR="0087461C">
              <w:rPr>
                <w:rFonts w:ascii="Times New Roman" w:hAnsi="Times New Roman" w:cs="Times New Roman"/>
                <w:sz w:val="24"/>
                <w:szCs w:val="24"/>
              </w:rPr>
              <w:t>;</w:t>
            </w:r>
          </w:p>
          <w:p w14:paraId="79C30BC2" w14:textId="77777777" w:rsidR="0087461C" w:rsidRPr="002262A7" w:rsidRDefault="0087461C" w:rsidP="00C315DE">
            <w:pPr>
              <w:widowControl w:val="0"/>
              <w:spacing w:after="0" w:line="276" w:lineRule="auto"/>
              <w:rPr>
                <w:rFonts w:ascii="Times New Roman" w:hAnsi="Times New Roman" w:cs="Times New Roman"/>
                <w:sz w:val="24"/>
                <w:szCs w:val="24"/>
              </w:rPr>
            </w:pPr>
            <w:r w:rsidRPr="00EB6522">
              <w:rPr>
                <w:rFonts w:ascii="Times New Roman" w:hAnsi="Times New Roman" w:cs="Times New Roman"/>
                <w:sz w:val="24"/>
                <w:szCs w:val="24"/>
              </w:rPr>
              <w:t xml:space="preserve">2 бр. обучителни </w:t>
            </w:r>
            <w:r w:rsidRPr="00EB6522">
              <w:rPr>
                <w:rFonts w:ascii="Times New Roman" w:hAnsi="Times New Roman" w:cs="Times New Roman"/>
                <w:sz w:val="24"/>
                <w:szCs w:val="24"/>
              </w:rPr>
              <w:lastRenderedPageBreak/>
              <w:t>материали.</w:t>
            </w:r>
          </w:p>
        </w:tc>
      </w:tr>
      <w:tr w:rsidR="00503C65" w:rsidRPr="002262A7" w14:paraId="3A26E3A8" w14:textId="77777777" w:rsidTr="00C315DE">
        <w:trPr>
          <w:cantSplit/>
        </w:trPr>
        <w:tc>
          <w:tcPr>
            <w:tcW w:w="721" w:type="dxa"/>
            <w:vAlign w:val="center"/>
          </w:tcPr>
          <w:p w14:paraId="04728800"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lastRenderedPageBreak/>
              <w:t>2.</w:t>
            </w:r>
          </w:p>
        </w:tc>
        <w:tc>
          <w:tcPr>
            <w:tcW w:w="14588" w:type="dxa"/>
            <w:gridSpan w:val="6"/>
            <w:vAlign w:val="center"/>
          </w:tcPr>
          <w:p w14:paraId="38D82930" w14:textId="77777777" w:rsidR="00503C65" w:rsidRPr="002262A7" w:rsidRDefault="00503C65" w:rsidP="00C315DE">
            <w:pPr>
              <w:widowControl w:val="0"/>
              <w:spacing w:after="0" w:line="276" w:lineRule="auto"/>
              <w:rPr>
                <w:rFonts w:ascii="Times New Roman" w:eastAsiaTheme="majorEastAsia" w:hAnsi="Times New Roman" w:cs="Times New Roman"/>
                <w:b/>
                <w:bCs/>
                <w:sz w:val="24"/>
                <w:szCs w:val="24"/>
                <w:lang w:eastAsia="bg-BG"/>
              </w:rPr>
            </w:pPr>
            <w:r w:rsidRPr="002262A7">
              <w:rPr>
                <w:rFonts w:ascii="Times New Roman" w:eastAsiaTheme="majorEastAsia" w:hAnsi="Times New Roman" w:cs="Times New Roman"/>
                <w:b/>
                <w:bCs/>
                <w:sz w:val="24"/>
                <w:szCs w:val="24"/>
                <w:lang w:eastAsia="bg-BG"/>
              </w:rPr>
              <w:t>Основна цел 2:</w:t>
            </w:r>
          </w:p>
          <w:p w14:paraId="57B0F153" w14:textId="77777777" w:rsidR="00503C65" w:rsidRPr="00D51F14" w:rsidRDefault="00503C65" w:rsidP="00C315DE">
            <w:pPr>
              <w:widowControl w:val="0"/>
              <w:spacing w:after="0" w:line="276" w:lineRule="auto"/>
              <w:rPr>
                <w:rFonts w:ascii="Times New Roman" w:hAnsi="Times New Roman" w:cs="Times New Roman"/>
                <w:sz w:val="24"/>
                <w:szCs w:val="24"/>
                <w:lang w:val="en-US"/>
              </w:rPr>
            </w:pPr>
            <w:r w:rsidRPr="002262A7">
              <w:rPr>
                <w:rFonts w:ascii="Times New Roman" w:eastAsiaTheme="majorEastAsia" w:hAnsi="Times New Roman" w:cs="Times New Roman"/>
                <w:b/>
                <w:bCs/>
                <w:sz w:val="24"/>
                <w:szCs w:val="24"/>
                <w:lang w:eastAsia="bg-BG"/>
              </w:rPr>
              <w:t>Повишаване и укрепване на базата от данни, знания и доказателства за АМР в страната, получени чрез наблюдение и изследване</w:t>
            </w:r>
            <w:r>
              <w:rPr>
                <w:rFonts w:ascii="Times New Roman" w:eastAsiaTheme="majorEastAsia" w:hAnsi="Times New Roman" w:cs="Times New Roman"/>
                <w:b/>
                <w:bCs/>
                <w:sz w:val="24"/>
                <w:szCs w:val="24"/>
                <w:lang w:eastAsia="bg-BG"/>
              </w:rPr>
              <w:t>.</w:t>
            </w:r>
          </w:p>
        </w:tc>
      </w:tr>
      <w:tr w:rsidR="00503C65" w:rsidRPr="002262A7" w14:paraId="3DC12CB0" w14:textId="77777777" w:rsidTr="00C315DE">
        <w:tc>
          <w:tcPr>
            <w:tcW w:w="721" w:type="dxa"/>
            <w:vAlign w:val="center"/>
          </w:tcPr>
          <w:p w14:paraId="00F86A18" w14:textId="77777777" w:rsidR="00503C65" w:rsidRPr="009804BE" w:rsidRDefault="00503C65" w:rsidP="00C315DE">
            <w:pPr>
              <w:spacing w:after="0" w:line="276" w:lineRule="auto"/>
              <w:jc w:val="right"/>
              <w:rPr>
                <w:rFonts w:ascii="Times New Roman" w:hAnsi="Times New Roman" w:cs="Times New Roman"/>
                <w:b/>
                <w:sz w:val="24"/>
                <w:szCs w:val="24"/>
              </w:rPr>
            </w:pPr>
            <w:r w:rsidRPr="009804BE">
              <w:rPr>
                <w:rFonts w:ascii="Times New Roman" w:hAnsi="Times New Roman" w:cs="Times New Roman"/>
                <w:b/>
                <w:sz w:val="24"/>
                <w:szCs w:val="24"/>
              </w:rPr>
              <w:t>2.1.</w:t>
            </w:r>
          </w:p>
        </w:tc>
        <w:tc>
          <w:tcPr>
            <w:tcW w:w="5511" w:type="dxa"/>
            <w:vAlign w:val="center"/>
          </w:tcPr>
          <w:p w14:paraId="550AC7D3"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Определяне на функционално свързани Национални референтни лаборатории по АМР, съответно обслужващи хуманния, ветеринарния сектор и околната среда и водите.</w:t>
            </w:r>
          </w:p>
        </w:tc>
        <w:tc>
          <w:tcPr>
            <w:tcW w:w="1701" w:type="dxa"/>
            <w:vAlign w:val="center"/>
          </w:tcPr>
          <w:p w14:paraId="19A0D0D5" w14:textId="77777777" w:rsidR="00503C65" w:rsidRPr="00A935AC" w:rsidRDefault="00503C65" w:rsidP="00C315DE">
            <w:pPr>
              <w:spacing w:after="0" w:line="276" w:lineRule="auto"/>
              <w:rPr>
                <w:rFonts w:ascii="Times New Roman" w:hAnsi="Times New Roman" w:cs="Times New Roman"/>
                <w:sz w:val="24"/>
                <w:szCs w:val="24"/>
              </w:rPr>
            </w:pPr>
            <w:r w:rsidRPr="006F0152">
              <w:rPr>
                <w:rFonts w:ascii="Times New Roman" w:hAnsi="Times New Roman" w:cs="Times New Roman"/>
                <w:sz w:val="24"/>
                <w:szCs w:val="24"/>
              </w:rPr>
              <w:t xml:space="preserve">МЗХ, БАБХ, </w:t>
            </w:r>
            <w:r w:rsidRPr="00A935AC">
              <w:rPr>
                <w:rFonts w:ascii="Times New Roman" w:hAnsi="Times New Roman" w:cs="Times New Roman"/>
                <w:sz w:val="24"/>
                <w:szCs w:val="24"/>
              </w:rPr>
              <w:t>НЦЗПБ</w:t>
            </w:r>
          </w:p>
        </w:tc>
        <w:tc>
          <w:tcPr>
            <w:tcW w:w="1134" w:type="dxa"/>
            <w:vAlign w:val="center"/>
          </w:tcPr>
          <w:p w14:paraId="49783EE4" w14:textId="77777777" w:rsidR="00503C65" w:rsidRPr="00D53BB0" w:rsidRDefault="00503C65" w:rsidP="00C315DE">
            <w:pPr>
              <w:spacing w:after="0" w:line="276" w:lineRule="auto"/>
              <w:rPr>
                <w:rFonts w:ascii="Times New Roman" w:hAnsi="Times New Roman" w:cs="Times New Roman"/>
                <w:sz w:val="24"/>
                <w:szCs w:val="24"/>
              </w:rPr>
            </w:pPr>
            <w:r w:rsidRPr="0024776D">
              <w:rPr>
                <w:rFonts w:ascii="Times New Roman" w:hAnsi="Times New Roman" w:cs="Times New Roman"/>
                <w:sz w:val="24"/>
                <w:szCs w:val="24"/>
              </w:rPr>
              <w:t>202</w:t>
            </w:r>
            <w:r>
              <w:rPr>
                <w:rFonts w:ascii="Times New Roman" w:hAnsi="Times New Roman" w:cs="Times New Roman"/>
                <w:sz w:val="24"/>
                <w:szCs w:val="24"/>
              </w:rPr>
              <w:t>6</w:t>
            </w:r>
            <w:r w:rsidRPr="00442189">
              <w:rPr>
                <w:rFonts w:ascii="Times New Roman" w:eastAsia="Calibri" w:hAnsi="Times New Roman" w:cs="Times New Roman"/>
                <w:sz w:val="24"/>
                <w:szCs w:val="24"/>
              </w:rPr>
              <w:t xml:space="preserve"> – </w:t>
            </w:r>
            <w:r w:rsidRPr="00D53BB0">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25117D8F" w14:textId="77777777" w:rsidR="00503C65" w:rsidRPr="00E47047" w:rsidRDefault="00503C65" w:rsidP="00C315DE">
            <w:pPr>
              <w:widowControl w:val="0"/>
              <w:spacing w:after="0" w:line="276" w:lineRule="auto"/>
              <w:rPr>
                <w:rFonts w:ascii="Times New Roman" w:hAnsi="Times New Roman" w:cs="Times New Roman"/>
                <w:sz w:val="24"/>
                <w:szCs w:val="24"/>
              </w:rPr>
            </w:pPr>
            <w:r w:rsidRPr="00E47047">
              <w:rPr>
                <w:rFonts w:ascii="Times New Roman" w:hAnsi="Times New Roman" w:cs="Times New Roman"/>
                <w:sz w:val="24"/>
                <w:szCs w:val="24"/>
              </w:rPr>
              <w:t xml:space="preserve">Определени лаборатории </w:t>
            </w:r>
          </w:p>
        </w:tc>
        <w:tc>
          <w:tcPr>
            <w:tcW w:w="1843" w:type="dxa"/>
            <w:vAlign w:val="center"/>
          </w:tcPr>
          <w:p w14:paraId="2B0A8A6D" w14:textId="77777777" w:rsidR="00503C65"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(НЦЗПБ); </w:t>
            </w:r>
          </w:p>
          <w:p w14:paraId="4E6D4945" w14:textId="77777777" w:rsidR="00503C65" w:rsidRPr="009804BE" w:rsidRDefault="00503C65" w:rsidP="00C315DE">
            <w:pPr>
              <w:widowControl w:val="0"/>
              <w:spacing w:after="0" w:line="276" w:lineRule="auto"/>
              <w:rPr>
                <w:rFonts w:ascii="Times New Roman" w:hAnsi="Times New Roman" w:cs="Times New Roman"/>
                <w:sz w:val="24"/>
                <w:szCs w:val="24"/>
              </w:rPr>
            </w:pPr>
            <w:r w:rsidRPr="008634C1">
              <w:rPr>
                <w:rFonts w:ascii="Times New Roman" w:hAnsi="Times New Roman" w:cs="Times New Roman"/>
                <w:sz w:val="24"/>
                <w:szCs w:val="24"/>
              </w:rPr>
              <w:t>1 (във ветеринарния сектор има определена НРЛ)</w:t>
            </w:r>
          </w:p>
        </w:tc>
        <w:tc>
          <w:tcPr>
            <w:tcW w:w="2131" w:type="dxa"/>
            <w:vAlign w:val="center"/>
          </w:tcPr>
          <w:p w14:paraId="51A0B575" w14:textId="77777777" w:rsidR="00503C65" w:rsidRPr="00CE024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1 (НЦЗПБ);</w:t>
            </w:r>
          </w:p>
          <w:p w14:paraId="1D5E17BB" w14:textId="77777777" w:rsidR="00503C65" w:rsidRPr="008634C1" w:rsidRDefault="00503C65" w:rsidP="00C315DE">
            <w:pPr>
              <w:widowControl w:val="0"/>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1</w:t>
            </w:r>
            <w:r w:rsidRPr="009804BE">
              <w:rPr>
                <w:rFonts w:ascii="Times New Roman" w:hAnsi="Times New Roman" w:cs="Times New Roman"/>
                <w:sz w:val="24"/>
                <w:szCs w:val="24"/>
              </w:rPr>
              <w:t xml:space="preserve"> </w:t>
            </w:r>
            <w:r w:rsidRPr="009804BE">
              <w:rPr>
                <w:rFonts w:ascii="Times New Roman" w:hAnsi="Times New Roman" w:cs="Times New Roman"/>
                <w:sz w:val="24"/>
                <w:szCs w:val="24"/>
                <w:lang w:val="en-US"/>
              </w:rPr>
              <w:t>(</w:t>
            </w:r>
            <w:r w:rsidRPr="009804BE">
              <w:rPr>
                <w:rFonts w:ascii="Times New Roman" w:hAnsi="Times New Roman" w:cs="Times New Roman"/>
                <w:sz w:val="24"/>
                <w:szCs w:val="24"/>
              </w:rPr>
              <w:t xml:space="preserve">поддържане </w:t>
            </w:r>
            <w:r>
              <w:rPr>
                <w:rFonts w:ascii="Times New Roman" w:hAnsi="Times New Roman" w:cs="Times New Roman"/>
                <w:sz w:val="24"/>
                <w:szCs w:val="24"/>
              </w:rPr>
              <w:t>статута</w:t>
            </w:r>
            <w:r w:rsidRPr="009804BE">
              <w:rPr>
                <w:rFonts w:ascii="Times New Roman" w:hAnsi="Times New Roman" w:cs="Times New Roman"/>
                <w:sz w:val="24"/>
                <w:szCs w:val="24"/>
              </w:rPr>
              <w:t xml:space="preserve"> на НРЛ във ветеринарния сектор</w:t>
            </w:r>
            <w:r w:rsidRPr="009804BE">
              <w:rPr>
                <w:rFonts w:ascii="Times New Roman" w:hAnsi="Times New Roman" w:cs="Times New Roman"/>
                <w:sz w:val="24"/>
                <w:szCs w:val="24"/>
                <w:lang w:val="en-US"/>
              </w:rPr>
              <w:t>)</w:t>
            </w:r>
          </w:p>
        </w:tc>
      </w:tr>
      <w:tr w:rsidR="00503C65" w:rsidRPr="002262A7" w14:paraId="2113888C" w14:textId="77777777" w:rsidTr="00C315DE">
        <w:tc>
          <w:tcPr>
            <w:tcW w:w="721" w:type="dxa"/>
            <w:vMerge w:val="restart"/>
            <w:vAlign w:val="center"/>
          </w:tcPr>
          <w:p w14:paraId="36DC27EA"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2.2.</w:t>
            </w:r>
          </w:p>
        </w:tc>
        <w:tc>
          <w:tcPr>
            <w:tcW w:w="5511" w:type="dxa"/>
            <w:tcBorders>
              <w:bottom w:val="single" w:sz="4" w:space="0" w:color="auto"/>
            </w:tcBorders>
            <w:vAlign w:val="center"/>
          </w:tcPr>
          <w:p w14:paraId="36F41CE4" w14:textId="77777777" w:rsidR="00503C65" w:rsidRPr="002262A7" w:rsidRDefault="00503C65" w:rsidP="00C315DE">
            <w:pPr>
              <w:spacing w:after="0" w:line="276" w:lineRule="auto"/>
              <w:rPr>
                <w:rFonts w:ascii="Times New Roman" w:hAnsi="Times New Roman" w:cs="Times New Roman"/>
                <w:kern w:val="24"/>
                <w:sz w:val="24"/>
                <w:szCs w:val="24"/>
              </w:rPr>
            </w:pPr>
            <w:r w:rsidRPr="002262A7">
              <w:rPr>
                <w:rFonts w:ascii="Times New Roman" w:hAnsi="Times New Roman" w:cs="Times New Roman"/>
                <w:kern w:val="24"/>
                <w:sz w:val="24"/>
                <w:szCs w:val="24"/>
              </w:rPr>
              <w:t xml:space="preserve">Укрепване на капацитета за диагностика и мониторинг на националните референтни и държавните лаборатории в /т.ч. лабораториите в държавните лечебни заведения/ в хуманната, ветеринарната медицина и околната среда, занимаващи се с изследване на АМР и остатъчни количества антибиотици: </w:t>
            </w:r>
          </w:p>
        </w:tc>
        <w:tc>
          <w:tcPr>
            <w:tcW w:w="1701" w:type="dxa"/>
            <w:vMerge w:val="restart"/>
            <w:vAlign w:val="center"/>
          </w:tcPr>
          <w:p w14:paraId="4E052B59"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БАБХ, НЦЗПБ, ИАОС, РЗИ</w:t>
            </w:r>
          </w:p>
        </w:tc>
        <w:tc>
          <w:tcPr>
            <w:tcW w:w="1134" w:type="dxa"/>
            <w:vMerge w:val="restart"/>
            <w:vAlign w:val="center"/>
          </w:tcPr>
          <w:p w14:paraId="375CCAFA"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6242" w:type="dxa"/>
            <w:gridSpan w:val="3"/>
            <w:tcBorders>
              <w:bottom w:val="single" w:sz="4" w:space="0" w:color="auto"/>
            </w:tcBorders>
            <w:vAlign w:val="center"/>
          </w:tcPr>
          <w:p w14:paraId="7DE3A3E5" w14:textId="77777777" w:rsidR="00503C65" w:rsidRPr="002262A7" w:rsidRDefault="00503C65" w:rsidP="00C315DE">
            <w:pPr>
              <w:widowControl w:val="0"/>
              <w:spacing w:after="0" w:line="276" w:lineRule="auto"/>
              <w:rPr>
                <w:rFonts w:ascii="Times New Roman" w:hAnsi="Times New Roman" w:cs="Times New Roman"/>
                <w:sz w:val="24"/>
                <w:szCs w:val="24"/>
              </w:rPr>
            </w:pPr>
          </w:p>
        </w:tc>
      </w:tr>
      <w:tr w:rsidR="00503C65" w:rsidRPr="002262A7" w14:paraId="60158B47" w14:textId="77777777" w:rsidTr="00C315DE">
        <w:tc>
          <w:tcPr>
            <w:tcW w:w="721" w:type="dxa"/>
            <w:vMerge/>
            <w:vAlign w:val="center"/>
          </w:tcPr>
          <w:p w14:paraId="056A1C2F"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tcBorders>
              <w:top w:val="single" w:sz="4" w:space="0" w:color="auto"/>
              <w:bottom w:val="single" w:sz="4" w:space="0" w:color="auto"/>
            </w:tcBorders>
            <w:vAlign w:val="center"/>
          </w:tcPr>
          <w:p w14:paraId="52C7E8D3" w14:textId="77777777" w:rsidR="00503C65" w:rsidRPr="0010137E" w:rsidRDefault="00503C65" w:rsidP="00C315DE">
            <w:pPr>
              <w:spacing w:after="0" w:line="276" w:lineRule="auto"/>
              <w:ind w:left="113" w:hanging="113"/>
              <w:rPr>
                <w:rFonts w:ascii="Times New Roman" w:hAnsi="Times New Roman" w:cs="Times New Roman"/>
                <w:kern w:val="24"/>
                <w:sz w:val="24"/>
                <w:szCs w:val="24"/>
              </w:rPr>
            </w:pPr>
            <w:r w:rsidRPr="009804BE">
              <w:rPr>
                <w:rFonts w:ascii="Times New Roman" w:hAnsi="Times New Roman" w:cs="Times New Roman"/>
                <w:sz w:val="24"/>
                <w:szCs w:val="24"/>
              </w:rPr>
              <w:t>- повишаване и поддържане на диагностичните възможности на националните референтни лаборатории</w:t>
            </w:r>
            <w:r w:rsidRPr="0010137E">
              <w:rPr>
                <w:rFonts w:ascii="Times New Roman" w:hAnsi="Times New Roman" w:cs="Times New Roman"/>
                <w:kern w:val="24"/>
                <w:sz w:val="24"/>
                <w:szCs w:val="24"/>
              </w:rPr>
              <w:t xml:space="preserve"> чрез осъвременяване на апаратурата;</w:t>
            </w:r>
          </w:p>
        </w:tc>
        <w:tc>
          <w:tcPr>
            <w:tcW w:w="1701" w:type="dxa"/>
            <w:vMerge/>
            <w:vAlign w:val="center"/>
          </w:tcPr>
          <w:p w14:paraId="5A3BD7DE" w14:textId="77777777" w:rsidR="00503C65" w:rsidRPr="009804BE" w:rsidRDefault="00503C65" w:rsidP="00C315DE">
            <w:pPr>
              <w:spacing w:after="0" w:line="276" w:lineRule="auto"/>
              <w:rPr>
                <w:rFonts w:ascii="Times New Roman" w:hAnsi="Times New Roman" w:cs="Times New Roman"/>
                <w:sz w:val="24"/>
                <w:szCs w:val="24"/>
              </w:rPr>
            </w:pPr>
          </w:p>
        </w:tc>
        <w:tc>
          <w:tcPr>
            <w:tcW w:w="1134" w:type="dxa"/>
            <w:vMerge/>
            <w:vAlign w:val="center"/>
          </w:tcPr>
          <w:p w14:paraId="44D54B18" w14:textId="77777777" w:rsidR="00503C65" w:rsidRPr="009804BE" w:rsidRDefault="00503C65" w:rsidP="00C315DE">
            <w:pPr>
              <w:spacing w:after="0" w:line="276" w:lineRule="auto"/>
              <w:rPr>
                <w:rFonts w:ascii="Times New Roman" w:hAnsi="Times New Roman" w:cs="Times New Roman"/>
                <w:sz w:val="24"/>
                <w:szCs w:val="24"/>
              </w:rPr>
            </w:pPr>
          </w:p>
        </w:tc>
        <w:tc>
          <w:tcPr>
            <w:tcW w:w="2268" w:type="dxa"/>
            <w:tcBorders>
              <w:top w:val="single" w:sz="4" w:space="0" w:color="auto"/>
              <w:bottom w:val="single" w:sz="4" w:space="0" w:color="auto"/>
            </w:tcBorders>
            <w:vAlign w:val="center"/>
          </w:tcPr>
          <w:p w14:paraId="45AEC3B1" w14:textId="77777777" w:rsidR="00503C65" w:rsidRPr="009804BE" w:rsidRDefault="00503C65" w:rsidP="00C315DE">
            <w:pPr>
              <w:widowControl w:val="0"/>
              <w:spacing w:after="0" w:line="276" w:lineRule="auto"/>
              <w:rPr>
                <w:rFonts w:ascii="Times New Roman" w:hAnsi="Times New Roman" w:cs="Times New Roman"/>
                <w:sz w:val="24"/>
                <w:szCs w:val="24"/>
              </w:rPr>
            </w:pPr>
            <w:r w:rsidRPr="009804BE">
              <w:rPr>
                <w:rFonts w:ascii="Times New Roman" w:hAnsi="Times New Roman" w:cs="Times New Roman"/>
                <w:sz w:val="24"/>
                <w:szCs w:val="24"/>
              </w:rPr>
              <w:t>Модернизирана апаратура, брой извършени анализи/изследвания</w:t>
            </w:r>
          </w:p>
        </w:tc>
        <w:tc>
          <w:tcPr>
            <w:tcW w:w="1843" w:type="dxa"/>
            <w:tcBorders>
              <w:top w:val="single" w:sz="4" w:space="0" w:color="auto"/>
              <w:bottom w:val="single" w:sz="4" w:space="0" w:color="auto"/>
            </w:tcBorders>
            <w:vAlign w:val="center"/>
          </w:tcPr>
          <w:p w14:paraId="5C962D53" w14:textId="77777777" w:rsidR="00503C65" w:rsidRDefault="00503C65" w:rsidP="00C315DE">
            <w:pPr>
              <w:widowControl w:val="0"/>
              <w:spacing w:after="0" w:line="276" w:lineRule="auto"/>
              <w:rPr>
                <w:rFonts w:ascii="Times New Roman" w:hAnsi="Times New Roman" w:cs="Times New Roman"/>
                <w:sz w:val="24"/>
                <w:szCs w:val="24"/>
                <w:lang w:val="en-US"/>
              </w:rPr>
            </w:pPr>
            <w:r w:rsidRPr="009804BE">
              <w:rPr>
                <w:rFonts w:ascii="Times New Roman" w:hAnsi="Times New Roman" w:cs="Times New Roman"/>
                <w:sz w:val="24"/>
                <w:szCs w:val="24"/>
                <w:lang w:val="en-US"/>
              </w:rPr>
              <w:t>0</w:t>
            </w:r>
            <w:r>
              <w:rPr>
                <w:rFonts w:ascii="Times New Roman" w:hAnsi="Times New Roman" w:cs="Times New Roman"/>
                <w:sz w:val="24"/>
                <w:szCs w:val="24"/>
              </w:rPr>
              <w:t xml:space="preserve"> </w:t>
            </w:r>
          </w:p>
          <w:p w14:paraId="0855A2B2" w14:textId="77777777" w:rsidR="00503C65" w:rsidRDefault="00503C65" w:rsidP="00C315DE">
            <w:pPr>
              <w:widowControl w:val="0"/>
              <w:spacing w:after="0" w:line="276" w:lineRule="auto"/>
              <w:rPr>
                <w:rFonts w:ascii="Times New Roman" w:hAnsi="Times New Roman" w:cs="Times New Roman"/>
                <w:sz w:val="24"/>
                <w:szCs w:val="24"/>
              </w:rPr>
            </w:pPr>
          </w:p>
          <w:p w14:paraId="584F3C76" w14:textId="77777777" w:rsidR="00503C65" w:rsidRDefault="00503C65" w:rsidP="00C315DE">
            <w:pPr>
              <w:widowControl w:val="0"/>
              <w:spacing w:after="0" w:line="276" w:lineRule="auto"/>
              <w:rPr>
                <w:rFonts w:ascii="Times New Roman" w:hAnsi="Times New Roman" w:cs="Times New Roman"/>
                <w:sz w:val="24"/>
                <w:szCs w:val="24"/>
              </w:rPr>
            </w:pPr>
          </w:p>
          <w:p w14:paraId="72CF64BD" w14:textId="77777777" w:rsidR="00503C65" w:rsidRDefault="00503C65" w:rsidP="00C315DE">
            <w:pPr>
              <w:widowControl w:val="0"/>
              <w:spacing w:after="0" w:line="276" w:lineRule="auto"/>
              <w:rPr>
                <w:rFonts w:ascii="Times New Roman" w:hAnsi="Times New Roman" w:cs="Times New Roman"/>
                <w:sz w:val="24"/>
                <w:szCs w:val="24"/>
              </w:rPr>
            </w:pPr>
          </w:p>
          <w:p w14:paraId="195899C1" w14:textId="77777777" w:rsidR="00503C65" w:rsidRDefault="00503C65" w:rsidP="00C315DE">
            <w:pPr>
              <w:widowControl w:val="0"/>
              <w:spacing w:after="0" w:line="276" w:lineRule="auto"/>
              <w:rPr>
                <w:rFonts w:ascii="Times New Roman" w:hAnsi="Times New Roman" w:cs="Times New Roman"/>
                <w:sz w:val="24"/>
                <w:szCs w:val="24"/>
              </w:rPr>
            </w:pPr>
          </w:p>
          <w:p w14:paraId="770F3496" w14:textId="77777777" w:rsidR="00503C65" w:rsidRDefault="00503C65" w:rsidP="00C315DE">
            <w:pPr>
              <w:widowControl w:val="0"/>
              <w:spacing w:after="0" w:line="276" w:lineRule="auto"/>
              <w:rPr>
                <w:rFonts w:ascii="Times New Roman" w:hAnsi="Times New Roman" w:cs="Times New Roman"/>
                <w:sz w:val="24"/>
                <w:szCs w:val="24"/>
              </w:rPr>
            </w:pPr>
          </w:p>
          <w:p w14:paraId="1D615688" w14:textId="77777777" w:rsidR="00503C65" w:rsidRDefault="00503C65" w:rsidP="00C315DE">
            <w:pPr>
              <w:widowControl w:val="0"/>
              <w:spacing w:after="0" w:line="276" w:lineRule="auto"/>
              <w:rPr>
                <w:rFonts w:ascii="Times New Roman" w:hAnsi="Times New Roman" w:cs="Times New Roman"/>
                <w:sz w:val="24"/>
                <w:szCs w:val="24"/>
              </w:rPr>
            </w:pPr>
          </w:p>
          <w:p w14:paraId="3A415295" w14:textId="77777777" w:rsidR="00503C65" w:rsidRDefault="00503C65" w:rsidP="00C315DE">
            <w:pPr>
              <w:widowControl w:val="0"/>
              <w:spacing w:after="0" w:line="276" w:lineRule="auto"/>
              <w:rPr>
                <w:rFonts w:ascii="Times New Roman" w:hAnsi="Times New Roman" w:cs="Times New Roman"/>
                <w:sz w:val="24"/>
                <w:szCs w:val="24"/>
              </w:rPr>
            </w:pPr>
          </w:p>
          <w:p w14:paraId="7709FA4A" w14:textId="77777777" w:rsidR="00503C65" w:rsidRDefault="00503C65" w:rsidP="00C315DE">
            <w:pPr>
              <w:widowControl w:val="0"/>
              <w:spacing w:after="0" w:line="276" w:lineRule="auto"/>
              <w:rPr>
                <w:rFonts w:ascii="Times New Roman" w:hAnsi="Times New Roman" w:cs="Times New Roman"/>
                <w:sz w:val="24"/>
                <w:szCs w:val="24"/>
              </w:rPr>
            </w:pPr>
          </w:p>
          <w:p w14:paraId="54D3D2C1" w14:textId="77777777" w:rsidR="00503C65" w:rsidRDefault="00503C65" w:rsidP="00C315DE">
            <w:pPr>
              <w:widowControl w:val="0"/>
              <w:spacing w:after="0" w:line="276" w:lineRule="auto"/>
              <w:rPr>
                <w:rFonts w:ascii="Times New Roman" w:hAnsi="Times New Roman" w:cs="Times New Roman"/>
                <w:sz w:val="24"/>
                <w:szCs w:val="24"/>
              </w:rPr>
            </w:pPr>
          </w:p>
          <w:p w14:paraId="5D492947" w14:textId="77777777" w:rsidR="00503C65" w:rsidRPr="002B365E"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386 бр. изследвания (НЦЗП);</w:t>
            </w:r>
          </w:p>
          <w:p w14:paraId="5AC16999" w14:textId="77777777" w:rsidR="00503C65" w:rsidRPr="00860F42"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lang w:val="en-US"/>
              </w:rPr>
              <w:t xml:space="preserve">752 </w:t>
            </w:r>
            <w:r>
              <w:rPr>
                <w:rFonts w:ascii="Times New Roman" w:hAnsi="Times New Roman" w:cs="Times New Roman"/>
                <w:sz w:val="24"/>
                <w:szCs w:val="24"/>
              </w:rPr>
              <w:t>бр. (ветеринарен сектор)</w:t>
            </w:r>
          </w:p>
        </w:tc>
        <w:tc>
          <w:tcPr>
            <w:tcW w:w="2131" w:type="dxa"/>
            <w:tcBorders>
              <w:top w:val="single" w:sz="4" w:space="0" w:color="auto"/>
              <w:bottom w:val="single" w:sz="4" w:space="0" w:color="auto"/>
            </w:tcBorders>
            <w:vAlign w:val="center"/>
          </w:tcPr>
          <w:p w14:paraId="48FD067F" w14:textId="77777777" w:rsidR="00503C65"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бр. </w:t>
            </w:r>
            <w:r w:rsidRPr="00860F42">
              <w:rPr>
                <w:rFonts w:ascii="Times New Roman" w:hAnsi="Times New Roman" w:cs="Times New Roman"/>
                <w:sz w:val="24"/>
                <w:szCs w:val="24"/>
              </w:rPr>
              <w:t>м</w:t>
            </w:r>
            <w:r>
              <w:rPr>
                <w:rFonts w:ascii="Times New Roman" w:hAnsi="Times New Roman" w:cs="Times New Roman"/>
                <w:sz w:val="24"/>
                <w:szCs w:val="24"/>
              </w:rPr>
              <w:t xml:space="preserve">одернизирана  </w:t>
            </w:r>
            <w:r w:rsidRPr="00860F42">
              <w:rPr>
                <w:rFonts w:ascii="Times New Roman" w:hAnsi="Times New Roman" w:cs="Times New Roman"/>
                <w:sz w:val="24"/>
                <w:szCs w:val="24"/>
              </w:rPr>
              <w:t>апаратура</w:t>
            </w:r>
            <w:r>
              <w:rPr>
                <w:rFonts w:ascii="Times New Roman" w:hAnsi="Times New Roman" w:cs="Times New Roman"/>
                <w:sz w:val="24"/>
                <w:szCs w:val="24"/>
              </w:rPr>
              <w:t xml:space="preserve"> (ветеринарен сектор</w:t>
            </w:r>
            <w:r w:rsidRPr="00860F42">
              <w:rPr>
                <w:rFonts w:ascii="Times New Roman" w:hAnsi="Times New Roman" w:cs="Times New Roman"/>
                <w:sz w:val="24"/>
                <w:szCs w:val="24"/>
              </w:rPr>
              <w:t>)</w:t>
            </w:r>
          </w:p>
          <w:p w14:paraId="2DEF0FE7" w14:textId="77777777" w:rsidR="00503C65"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бр. модернизирани апарата и комп. системи (хуманна </w:t>
            </w:r>
            <w:r>
              <w:rPr>
                <w:rFonts w:ascii="Times New Roman" w:hAnsi="Times New Roman" w:cs="Times New Roman"/>
                <w:sz w:val="24"/>
                <w:szCs w:val="24"/>
              </w:rPr>
              <w:lastRenderedPageBreak/>
              <w:t>медицина)</w:t>
            </w:r>
          </w:p>
          <w:p w14:paraId="4741DB9F" w14:textId="77777777" w:rsidR="00503C65"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500 бр. изследвания (НЦЗПБ);</w:t>
            </w:r>
          </w:p>
          <w:p w14:paraId="44934046" w14:textId="77777777" w:rsidR="00503C65" w:rsidRPr="009804BE" w:rsidRDefault="00503C65" w:rsidP="00C315DE">
            <w:pPr>
              <w:widowControl w:val="0"/>
              <w:spacing w:after="0" w:line="276" w:lineRule="auto"/>
              <w:rPr>
                <w:rFonts w:ascii="Times New Roman" w:hAnsi="Times New Roman" w:cs="Times New Roman"/>
                <w:sz w:val="24"/>
                <w:szCs w:val="24"/>
              </w:rPr>
            </w:pPr>
            <w:r w:rsidRPr="00860F42">
              <w:rPr>
                <w:rFonts w:ascii="Times New Roman" w:hAnsi="Times New Roman" w:cs="Times New Roman"/>
                <w:sz w:val="24"/>
                <w:szCs w:val="24"/>
              </w:rPr>
              <w:t>1000 бр.</w:t>
            </w:r>
            <w:r>
              <w:rPr>
                <w:rFonts w:ascii="Times New Roman" w:hAnsi="Times New Roman" w:cs="Times New Roman"/>
                <w:sz w:val="24"/>
                <w:szCs w:val="24"/>
              </w:rPr>
              <w:t xml:space="preserve"> (ветеринарен сектор)</w:t>
            </w:r>
          </w:p>
        </w:tc>
      </w:tr>
      <w:tr w:rsidR="00503C65" w:rsidRPr="002262A7" w14:paraId="3DE57665" w14:textId="77777777" w:rsidTr="00C315DE">
        <w:tc>
          <w:tcPr>
            <w:tcW w:w="721" w:type="dxa"/>
            <w:vMerge/>
            <w:vAlign w:val="center"/>
          </w:tcPr>
          <w:p w14:paraId="358D186E"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tcBorders>
              <w:top w:val="single" w:sz="4" w:space="0" w:color="auto"/>
            </w:tcBorders>
            <w:vAlign w:val="center"/>
          </w:tcPr>
          <w:p w14:paraId="00EF148C" w14:textId="77777777" w:rsidR="00503C65" w:rsidRPr="009804BE" w:rsidRDefault="00503C65" w:rsidP="00C315DE">
            <w:pPr>
              <w:spacing w:after="0" w:line="276" w:lineRule="auto"/>
              <w:ind w:left="113" w:hanging="113"/>
              <w:rPr>
                <w:rFonts w:ascii="Times New Roman" w:hAnsi="Times New Roman" w:cs="Times New Roman"/>
                <w:sz w:val="24"/>
                <w:szCs w:val="24"/>
              </w:rPr>
            </w:pPr>
            <w:r w:rsidRPr="009804BE">
              <w:rPr>
                <w:rFonts w:ascii="Times New Roman" w:hAnsi="Times New Roman" w:cs="Times New Roman"/>
                <w:sz w:val="24"/>
                <w:szCs w:val="24"/>
              </w:rPr>
              <w:t>- повишаване на кадровия капацитет на националните референтни лаборатории за ранно откриване на новопоявяващи се резистентни генотипове чрез създаване на специализирани екипи от експерти.</w:t>
            </w:r>
          </w:p>
        </w:tc>
        <w:tc>
          <w:tcPr>
            <w:tcW w:w="1701" w:type="dxa"/>
            <w:vMerge/>
            <w:vAlign w:val="center"/>
          </w:tcPr>
          <w:p w14:paraId="6EF3F781" w14:textId="77777777" w:rsidR="00503C65" w:rsidRPr="009804BE" w:rsidRDefault="00503C65" w:rsidP="00C315DE">
            <w:pPr>
              <w:spacing w:after="0" w:line="276" w:lineRule="auto"/>
              <w:rPr>
                <w:rFonts w:ascii="Times New Roman" w:hAnsi="Times New Roman" w:cs="Times New Roman"/>
                <w:sz w:val="24"/>
                <w:szCs w:val="24"/>
              </w:rPr>
            </w:pPr>
          </w:p>
        </w:tc>
        <w:tc>
          <w:tcPr>
            <w:tcW w:w="1134" w:type="dxa"/>
            <w:vMerge/>
            <w:vAlign w:val="center"/>
          </w:tcPr>
          <w:p w14:paraId="206AF5FE" w14:textId="77777777" w:rsidR="00503C65" w:rsidRPr="009804BE" w:rsidRDefault="00503C65" w:rsidP="00C315DE">
            <w:pPr>
              <w:spacing w:after="0" w:line="276" w:lineRule="auto"/>
              <w:rPr>
                <w:rFonts w:ascii="Times New Roman" w:hAnsi="Times New Roman" w:cs="Times New Roman"/>
                <w:sz w:val="24"/>
                <w:szCs w:val="24"/>
              </w:rPr>
            </w:pPr>
          </w:p>
        </w:tc>
        <w:tc>
          <w:tcPr>
            <w:tcW w:w="2268" w:type="dxa"/>
            <w:tcBorders>
              <w:top w:val="single" w:sz="4" w:space="0" w:color="auto"/>
            </w:tcBorders>
            <w:vAlign w:val="center"/>
          </w:tcPr>
          <w:p w14:paraId="426BE678" w14:textId="77777777" w:rsidR="00503C65" w:rsidRPr="009804BE" w:rsidRDefault="00503C65" w:rsidP="00C315DE">
            <w:pPr>
              <w:widowControl w:val="0"/>
              <w:spacing w:after="0" w:line="276" w:lineRule="auto"/>
              <w:rPr>
                <w:rFonts w:ascii="Times New Roman" w:hAnsi="Times New Roman" w:cs="Times New Roman"/>
                <w:sz w:val="24"/>
                <w:szCs w:val="24"/>
              </w:rPr>
            </w:pPr>
            <w:r w:rsidRPr="009804BE">
              <w:rPr>
                <w:rFonts w:ascii="Times New Roman" w:hAnsi="Times New Roman" w:cs="Times New Roman"/>
                <w:sz w:val="24"/>
                <w:szCs w:val="24"/>
              </w:rPr>
              <w:t xml:space="preserve">Брой достигнати лаборатории </w:t>
            </w:r>
          </w:p>
        </w:tc>
        <w:tc>
          <w:tcPr>
            <w:tcW w:w="1843" w:type="dxa"/>
            <w:tcBorders>
              <w:top w:val="single" w:sz="4" w:space="0" w:color="auto"/>
            </w:tcBorders>
            <w:vAlign w:val="center"/>
          </w:tcPr>
          <w:p w14:paraId="4075513A" w14:textId="77777777" w:rsidR="00503C65" w:rsidRPr="00031753" w:rsidRDefault="00503C65" w:rsidP="00C315DE">
            <w:pPr>
              <w:widowControl w:val="0"/>
              <w:spacing w:after="0" w:line="276" w:lineRule="auto"/>
              <w:rPr>
                <w:rFonts w:ascii="Times New Roman" w:hAnsi="Times New Roman" w:cs="Times New Roman"/>
                <w:sz w:val="24"/>
                <w:szCs w:val="24"/>
              </w:rPr>
            </w:pPr>
            <w:r w:rsidRPr="009804BE">
              <w:rPr>
                <w:rFonts w:ascii="Times New Roman" w:hAnsi="Times New Roman" w:cs="Times New Roman"/>
                <w:sz w:val="24"/>
                <w:szCs w:val="24"/>
                <w:lang w:val="en-US"/>
              </w:rPr>
              <w:t>0</w:t>
            </w:r>
            <w:r>
              <w:rPr>
                <w:rFonts w:ascii="Times New Roman" w:hAnsi="Times New Roman" w:cs="Times New Roman"/>
                <w:sz w:val="24"/>
                <w:szCs w:val="24"/>
              </w:rPr>
              <w:t xml:space="preserve"> </w:t>
            </w:r>
          </w:p>
        </w:tc>
        <w:tc>
          <w:tcPr>
            <w:tcW w:w="2131" w:type="dxa"/>
            <w:tcBorders>
              <w:top w:val="single" w:sz="4" w:space="0" w:color="auto"/>
            </w:tcBorders>
            <w:vAlign w:val="center"/>
          </w:tcPr>
          <w:p w14:paraId="6FB9EA6B" w14:textId="77777777" w:rsidR="00503C65" w:rsidRPr="008634C1"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1 лаборатория и 1 екип от биоинформатици (хуманен сектор)</w:t>
            </w:r>
          </w:p>
          <w:p w14:paraId="4A630E98" w14:textId="77777777" w:rsidR="00503C65" w:rsidRDefault="00503C65" w:rsidP="00C315DE">
            <w:pPr>
              <w:widowControl w:val="0"/>
              <w:spacing w:after="0" w:line="276" w:lineRule="auto"/>
              <w:rPr>
                <w:rFonts w:ascii="Times New Roman" w:hAnsi="Times New Roman" w:cs="Times New Roman"/>
                <w:sz w:val="24"/>
                <w:szCs w:val="24"/>
              </w:rPr>
            </w:pPr>
            <w:r w:rsidRPr="009804BE">
              <w:rPr>
                <w:rFonts w:ascii="Times New Roman" w:hAnsi="Times New Roman" w:cs="Times New Roman"/>
                <w:sz w:val="24"/>
                <w:szCs w:val="24"/>
                <w:lang w:val="en-US"/>
              </w:rPr>
              <w:t>1</w:t>
            </w:r>
            <w:r>
              <w:rPr>
                <w:rFonts w:ascii="Times New Roman" w:hAnsi="Times New Roman" w:cs="Times New Roman"/>
                <w:sz w:val="24"/>
                <w:szCs w:val="24"/>
              </w:rPr>
              <w:t xml:space="preserve"> лаборатория (ветеринарен сектор)</w:t>
            </w:r>
          </w:p>
          <w:p w14:paraId="5533C3A5" w14:textId="77777777" w:rsidR="00503C65" w:rsidRPr="00031753" w:rsidRDefault="00503C65" w:rsidP="00C315DE">
            <w:pPr>
              <w:widowControl w:val="0"/>
              <w:spacing w:after="0" w:line="276" w:lineRule="auto"/>
              <w:rPr>
                <w:rFonts w:ascii="Times New Roman" w:hAnsi="Times New Roman" w:cs="Times New Roman"/>
                <w:sz w:val="24"/>
                <w:szCs w:val="24"/>
              </w:rPr>
            </w:pPr>
          </w:p>
        </w:tc>
      </w:tr>
      <w:tr w:rsidR="00503C65" w:rsidRPr="002262A7" w14:paraId="7D754DCA" w14:textId="77777777" w:rsidTr="00C315DE">
        <w:tc>
          <w:tcPr>
            <w:tcW w:w="721" w:type="dxa"/>
            <w:vMerge w:val="restart"/>
            <w:vAlign w:val="center"/>
          </w:tcPr>
          <w:p w14:paraId="26FBD849"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2.3.</w:t>
            </w:r>
          </w:p>
        </w:tc>
        <w:tc>
          <w:tcPr>
            <w:tcW w:w="5511" w:type="dxa"/>
            <w:vAlign w:val="center"/>
          </w:tcPr>
          <w:p w14:paraId="26A528F6"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Провеждане на обучение и контрол на качеството в</w:t>
            </w:r>
            <w:r w:rsidRPr="002262A7">
              <w:rPr>
                <w:rFonts w:ascii="Times New Roman" w:hAnsi="Times New Roman" w:cs="Times New Roman"/>
                <w:sz w:val="24"/>
                <w:szCs w:val="24"/>
                <w:lang w:val="en-US"/>
              </w:rPr>
              <w:t xml:space="preserve"> </w:t>
            </w:r>
            <w:r w:rsidRPr="002262A7">
              <w:rPr>
                <w:rFonts w:ascii="Times New Roman" w:hAnsi="Times New Roman" w:cs="Times New Roman"/>
                <w:sz w:val="24"/>
                <w:szCs w:val="24"/>
              </w:rPr>
              <w:t xml:space="preserve">микробиологичната лабораторна мрежа в страната, вкл. и лаборатории без договор с НЗОК: </w:t>
            </w:r>
          </w:p>
        </w:tc>
        <w:tc>
          <w:tcPr>
            <w:tcW w:w="1701" w:type="dxa"/>
            <w:vMerge w:val="restart"/>
            <w:vAlign w:val="center"/>
          </w:tcPr>
          <w:p w14:paraId="292120F0"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НЦЗПБ, РЗИ, БАБХ</w:t>
            </w:r>
          </w:p>
        </w:tc>
        <w:tc>
          <w:tcPr>
            <w:tcW w:w="1134" w:type="dxa"/>
            <w:vMerge w:val="restart"/>
            <w:vAlign w:val="center"/>
          </w:tcPr>
          <w:p w14:paraId="76F95A2C"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6242" w:type="dxa"/>
            <w:gridSpan w:val="3"/>
            <w:vAlign w:val="center"/>
          </w:tcPr>
          <w:p w14:paraId="570532A8"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0E15B822" w14:textId="77777777" w:rsidTr="00C315DE">
        <w:tc>
          <w:tcPr>
            <w:tcW w:w="721" w:type="dxa"/>
            <w:vMerge/>
            <w:vAlign w:val="center"/>
          </w:tcPr>
          <w:p w14:paraId="18363AC4"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737938C2" w14:textId="77777777" w:rsidR="00503C65" w:rsidRPr="009804BE" w:rsidRDefault="00503C65" w:rsidP="00C315DE">
            <w:pPr>
              <w:spacing w:after="0" w:line="276" w:lineRule="auto"/>
              <w:ind w:left="113" w:hanging="113"/>
              <w:rPr>
                <w:rFonts w:ascii="Times New Roman" w:hAnsi="Times New Roman" w:cs="Times New Roman"/>
                <w:kern w:val="24"/>
                <w:sz w:val="24"/>
                <w:szCs w:val="24"/>
              </w:rPr>
            </w:pPr>
            <w:r w:rsidRPr="009804BE">
              <w:rPr>
                <w:rFonts w:ascii="Times New Roman" w:hAnsi="Times New Roman" w:cs="Times New Roman"/>
                <w:kern w:val="24"/>
                <w:sz w:val="24"/>
                <w:szCs w:val="24"/>
              </w:rPr>
              <w:t>- обучение по прилагане на добри лабораторни практики;</w:t>
            </w:r>
          </w:p>
        </w:tc>
        <w:tc>
          <w:tcPr>
            <w:tcW w:w="1701" w:type="dxa"/>
            <w:vMerge/>
            <w:vAlign w:val="center"/>
          </w:tcPr>
          <w:p w14:paraId="0C83563A" w14:textId="77777777" w:rsidR="00503C65" w:rsidRPr="009804BE" w:rsidRDefault="00503C65" w:rsidP="00C315DE">
            <w:pPr>
              <w:widowControl w:val="0"/>
              <w:spacing w:after="0" w:line="276" w:lineRule="auto"/>
              <w:rPr>
                <w:rFonts w:ascii="Times New Roman" w:hAnsi="Times New Roman" w:cs="Times New Roman"/>
                <w:sz w:val="24"/>
                <w:szCs w:val="24"/>
              </w:rPr>
            </w:pPr>
          </w:p>
        </w:tc>
        <w:tc>
          <w:tcPr>
            <w:tcW w:w="1134" w:type="dxa"/>
            <w:vMerge/>
            <w:vAlign w:val="center"/>
          </w:tcPr>
          <w:p w14:paraId="258FAA57" w14:textId="77777777" w:rsidR="00503C65" w:rsidRPr="009804BE" w:rsidRDefault="00503C65" w:rsidP="00C315DE">
            <w:pPr>
              <w:spacing w:after="0" w:line="276" w:lineRule="auto"/>
              <w:rPr>
                <w:rFonts w:ascii="Times New Roman" w:hAnsi="Times New Roman" w:cs="Times New Roman"/>
                <w:sz w:val="24"/>
                <w:szCs w:val="24"/>
              </w:rPr>
            </w:pPr>
          </w:p>
        </w:tc>
        <w:tc>
          <w:tcPr>
            <w:tcW w:w="2268" w:type="dxa"/>
            <w:vAlign w:val="center"/>
          </w:tcPr>
          <w:p w14:paraId="13869916"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Брой достигнати лаборатории.</w:t>
            </w:r>
          </w:p>
          <w:p w14:paraId="2DAB8D6D"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Брой обучени лица.</w:t>
            </w:r>
          </w:p>
        </w:tc>
        <w:tc>
          <w:tcPr>
            <w:tcW w:w="1843" w:type="dxa"/>
            <w:vAlign w:val="center"/>
          </w:tcPr>
          <w:p w14:paraId="295D5D6D" w14:textId="77777777" w:rsidR="00503C65" w:rsidRPr="009804BE"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15 обучени (хуманен сектор)</w:t>
            </w:r>
          </w:p>
        </w:tc>
        <w:tc>
          <w:tcPr>
            <w:tcW w:w="2131" w:type="dxa"/>
            <w:vAlign w:val="center"/>
          </w:tcPr>
          <w:p w14:paraId="7DD5D55E"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НЦЗПБ – 60 обучени кадри</w:t>
            </w:r>
          </w:p>
          <w:p w14:paraId="0F676EE3" w14:textId="77777777" w:rsidR="00503C65" w:rsidRPr="009804BE" w:rsidRDefault="00503C65" w:rsidP="00C315DE">
            <w:pPr>
              <w:spacing w:after="0" w:line="276" w:lineRule="auto"/>
              <w:rPr>
                <w:rFonts w:ascii="Times New Roman" w:hAnsi="Times New Roman" w:cs="Times New Roman"/>
                <w:sz w:val="24"/>
                <w:szCs w:val="24"/>
              </w:rPr>
            </w:pPr>
            <w:r w:rsidRPr="00860F42">
              <w:rPr>
                <w:rFonts w:ascii="Times New Roman" w:hAnsi="Times New Roman" w:cs="Times New Roman"/>
                <w:sz w:val="24"/>
                <w:szCs w:val="24"/>
              </w:rPr>
              <w:t>5 лаборатории</w:t>
            </w:r>
          </w:p>
        </w:tc>
      </w:tr>
      <w:tr w:rsidR="00503C65" w:rsidRPr="002262A7" w14:paraId="33A4C5D2" w14:textId="77777777" w:rsidTr="00C315DE">
        <w:tc>
          <w:tcPr>
            <w:tcW w:w="721" w:type="dxa"/>
            <w:vMerge/>
            <w:vAlign w:val="center"/>
          </w:tcPr>
          <w:p w14:paraId="7245B6A2"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777C4D39" w14:textId="77777777" w:rsidR="00503C65" w:rsidRPr="009804BE" w:rsidRDefault="00503C65" w:rsidP="00C315DE">
            <w:pPr>
              <w:spacing w:after="0" w:line="276" w:lineRule="auto"/>
              <w:ind w:left="113" w:hanging="113"/>
              <w:rPr>
                <w:rFonts w:ascii="Times New Roman" w:hAnsi="Times New Roman" w:cs="Times New Roman"/>
                <w:kern w:val="24"/>
                <w:sz w:val="24"/>
                <w:szCs w:val="24"/>
              </w:rPr>
            </w:pPr>
            <w:r w:rsidRPr="009804BE">
              <w:rPr>
                <w:rFonts w:ascii="Times New Roman" w:hAnsi="Times New Roman" w:cs="Times New Roman"/>
                <w:kern w:val="24"/>
                <w:sz w:val="24"/>
                <w:szCs w:val="24"/>
              </w:rPr>
              <w:t xml:space="preserve">- създаване и поддържане на списък към НЦЗПБ / БАБХ / НДНИВМИ на лабораториите, извършващи контрол на АМР; </w:t>
            </w:r>
          </w:p>
        </w:tc>
        <w:tc>
          <w:tcPr>
            <w:tcW w:w="1701" w:type="dxa"/>
            <w:vMerge/>
            <w:vAlign w:val="center"/>
          </w:tcPr>
          <w:p w14:paraId="76AB84F5" w14:textId="77777777" w:rsidR="00503C65" w:rsidRPr="009804BE" w:rsidRDefault="00503C65" w:rsidP="00C315DE">
            <w:pPr>
              <w:widowControl w:val="0"/>
              <w:spacing w:after="0" w:line="276" w:lineRule="auto"/>
              <w:rPr>
                <w:rFonts w:ascii="Times New Roman" w:hAnsi="Times New Roman" w:cs="Times New Roman"/>
                <w:sz w:val="24"/>
                <w:szCs w:val="24"/>
              </w:rPr>
            </w:pPr>
          </w:p>
        </w:tc>
        <w:tc>
          <w:tcPr>
            <w:tcW w:w="1134" w:type="dxa"/>
            <w:vMerge/>
            <w:vAlign w:val="center"/>
          </w:tcPr>
          <w:p w14:paraId="2D189195" w14:textId="77777777" w:rsidR="00503C65" w:rsidRPr="009804BE" w:rsidRDefault="00503C65" w:rsidP="00C315DE">
            <w:pPr>
              <w:spacing w:after="0" w:line="276" w:lineRule="auto"/>
              <w:rPr>
                <w:rFonts w:ascii="Times New Roman" w:hAnsi="Times New Roman" w:cs="Times New Roman"/>
                <w:sz w:val="24"/>
                <w:szCs w:val="24"/>
              </w:rPr>
            </w:pPr>
          </w:p>
        </w:tc>
        <w:tc>
          <w:tcPr>
            <w:tcW w:w="2268" w:type="dxa"/>
            <w:vMerge w:val="restart"/>
            <w:vAlign w:val="center"/>
          </w:tcPr>
          <w:p w14:paraId="2295CE3B"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 xml:space="preserve">Брой ветеринарно-дигностични лаборатории извън системата на БАБХ, които са били регистрирани </w:t>
            </w:r>
            <w:r w:rsidRPr="009804BE">
              <w:rPr>
                <w:rFonts w:ascii="Times New Roman" w:hAnsi="Times New Roman" w:cs="Times New Roman"/>
                <w:sz w:val="24"/>
                <w:szCs w:val="24"/>
              </w:rPr>
              <w:lastRenderedPageBreak/>
              <w:t>в системи за оценка на качеството.</w:t>
            </w:r>
          </w:p>
        </w:tc>
        <w:tc>
          <w:tcPr>
            <w:tcW w:w="1843" w:type="dxa"/>
            <w:vMerge w:val="restart"/>
            <w:vAlign w:val="center"/>
          </w:tcPr>
          <w:p w14:paraId="681583C0" w14:textId="77777777" w:rsidR="00503C65"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lang w:val="en-US"/>
              </w:rPr>
              <w:lastRenderedPageBreak/>
              <w:t>0</w:t>
            </w:r>
            <w:r>
              <w:rPr>
                <w:rFonts w:ascii="Times New Roman" w:hAnsi="Times New Roman" w:cs="Times New Roman"/>
                <w:sz w:val="24"/>
                <w:szCs w:val="24"/>
              </w:rPr>
              <w:t xml:space="preserve"> </w:t>
            </w:r>
          </w:p>
          <w:p w14:paraId="1C6C402F" w14:textId="77777777" w:rsidR="00503C65" w:rsidRDefault="00503C65" w:rsidP="00C315DE">
            <w:pPr>
              <w:spacing w:after="0" w:line="276" w:lineRule="auto"/>
              <w:rPr>
                <w:rFonts w:ascii="Times New Roman" w:hAnsi="Times New Roman" w:cs="Times New Roman"/>
                <w:sz w:val="24"/>
                <w:szCs w:val="24"/>
              </w:rPr>
            </w:pPr>
          </w:p>
          <w:p w14:paraId="7FE6FFF8" w14:textId="77777777" w:rsidR="00503C65" w:rsidRDefault="00503C65" w:rsidP="00C315DE">
            <w:pPr>
              <w:spacing w:after="0" w:line="276" w:lineRule="auto"/>
              <w:rPr>
                <w:rFonts w:ascii="Times New Roman" w:hAnsi="Times New Roman" w:cs="Times New Roman"/>
                <w:sz w:val="24"/>
                <w:szCs w:val="24"/>
              </w:rPr>
            </w:pPr>
          </w:p>
          <w:p w14:paraId="5BF6D670" w14:textId="77777777" w:rsidR="00503C65" w:rsidRDefault="00503C65" w:rsidP="00C315DE">
            <w:pPr>
              <w:spacing w:after="0" w:line="276" w:lineRule="auto"/>
              <w:rPr>
                <w:rFonts w:ascii="Times New Roman" w:hAnsi="Times New Roman" w:cs="Times New Roman"/>
                <w:sz w:val="24"/>
                <w:szCs w:val="24"/>
              </w:rPr>
            </w:pPr>
          </w:p>
          <w:p w14:paraId="278D5E95"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p w14:paraId="75723013" w14:textId="77777777" w:rsidR="00503C65" w:rsidRDefault="00503C65" w:rsidP="00C315DE">
            <w:pPr>
              <w:spacing w:after="0" w:line="276" w:lineRule="auto"/>
              <w:rPr>
                <w:rFonts w:ascii="Times New Roman" w:hAnsi="Times New Roman" w:cs="Times New Roman"/>
                <w:sz w:val="24"/>
                <w:szCs w:val="24"/>
              </w:rPr>
            </w:pPr>
          </w:p>
          <w:p w14:paraId="38AB40B7" w14:textId="77777777" w:rsidR="00503C65" w:rsidRDefault="00503C65" w:rsidP="00C315DE">
            <w:pPr>
              <w:spacing w:after="0" w:line="276" w:lineRule="auto"/>
              <w:rPr>
                <w:rFonts w:ascii="Times New Roman" w:hAnsi="Times New Roman" w:cs="Times New Roman"/>
                <w:sz w:val="24"/>
                <w:szCs w:val="24"/>
              </w:rPr>
            </w:pPr>
          </w:p>
          <w:p w14:paraId="1CDE710B" w14:textId="77777777" w:rsidR="00503C65" w:rsidRDefault="00503C65" w:rsidP="00C315DE">
            <w:pPr>
              <w:spacing w:after="0" w:line="276" w:lineRule="auto"/>
              <w:rPr>
                <w:rFonts w:ascii="Times New Roman" w:hAnsi="Times New Roman" w:cs="Times New Roman"/>
                <w:sz w:val="24"/>
                <w:szCs w:val="24"/>
              </w:rPr>
            </w:pPr>
          </w:p>
          <w:p w14:paraId="1CA36E31"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p w14:paraId="44C7144F" w14:textId="77777777" w:rsidR="00503C65" w:rsidRPr="00031753" w:rsidRDefault="00503C65" w:rsidP="00C315DE">
            <w:pPr>
              <w:spacing w:after="0" w:line="276" w:lineRule="auto"/>
              <w:rPr>
                <w:rFonts w:ascii="Times New Roman" w:hAnsi="Times New Roman" w:cs="Times New Roman"/>
                <w:sz w:val="24"/>
                <w:szCs w:val="24"/>
              </w:rPr>
            </w:pPr>
          </w:p>
        </w:tc>
        <w:tc>
          <w:tcPr>
            <w:tcW w:w="2131" w:type="dxa"/>
            <w:vMerge w:val="restart"/>
            <w:vAlign w:val="center"/>
          </w:tcPr>
          <w:p w14:paraId="2462F19E" w14:textId="77777777" w:rsidR="00503C65"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lastRenderedPageBreak/>
              <w:t>1</w:t>
            </w:r>
          </w:p>
          <w:p w14:paraId="02DC08DA" w14:textId="77777777" w:rsidR="00503C65" w:rsidRDefault="00503C65" w:rsidP="00C315DE">
            <w:pPr>
              <w:spacing w:after="0" w:line="276" w:lineRule="auto"/>
              <w:rPr>
                <w:rFonts w:ascii="Times New Roman" w:hAnsi="Times New Roman" w:cs="Times New Roman"/>
                <w:sz w:val="24"/>
                <w:szCs w:val="24"/>
              </w:rPr>
            </w:pPr>
          </w:p>
          <w:p w14:paraId="4E4C4D7D" w14:textId="77777777" w:rsidR="00503C65" w:rsidRDefault="00503C65" w:rsidP="00C315DE">
            <w:pPr>
              <w:spacing w:after="0" w:line="276" w:lineRule="auto"/>
              <w:rPr>
                <w:rFonts w:ascii="Times New Roman" w:hAnsi="Times New Roman" w:cs="Times New Roman"/>
                <w:sz w:val="24"/>
                <w:szCs w:val="24"/>
              </w:rPr>
            </w:pPr>
          </w:p>
          <w:p w14:paraId="60459A63" w14:textId="77777777" w:rsidR="00503C65" w:rsidRDefault="00503C65" w:rsidP="00C315DE">
            <w:pPr>
              <w:spacing w:after="0" w:line="276" w:lineRule="auto"/>
              <w:rPr>
                <w:rFonts w:ascii="Times New Roman" w:hAnsi="Times New Roman" w:cs="Times New Roman"/>
                <w:sz w:val="24"/>
                <w:szCs w:val="24"/>
              </w:rPr>
            </w:pPr>
          </w:p>
          <w:p w14:paraId="6940C0F9"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w:t>
            </w:r>
          </w:p>
          <w:p w14:paraId="7437F7B5" w14:textId="77777777" w:rsidR="00503C65" w:rsidRDefault="00503C65" w:rsidP="00C315DE">
            <w:pPr>
              <w:spacing w:after="0" w:line="276" w:lineRule="auto"/>
              <w:rPr>
                <w:rFonts w:ascii="Times New Roman" w:hAnsi="Times New Roman" w:cs="Times New Roman"/>
                <w:sz w:val="24"/>
                <w:szCs w:val="24"/>
              </w:rPr>
            </w:pPr>
          </w:p>
          <w:p w14:paraId="2226C022" w14:textId="77777777" w:rsidR="00503C65" w:rsidRDefault="00503C65" w:rsidP="00C315DE">
            <w:pPr>
              <w:spacing w:after="0" w:line="276" w:lineRule="auto"/>
              <w:rPr>
                <w:rFonts w:ascii="Times New Roman" w:hAnsi="Times New Roman" w:cs="Times New Roman"/>
                <w:sz w:val="24"/>
                <w:szCs w:val="24"/>
              </w:rPr>
            </w:pPr>
          </w:p>
          <w:p w14:paraId="43A5A90D" w14:textId="77777777" w:rsidR="00503C65" w:rsidRDefault="00503C65" w:rsidP="00C315DE">
            <w:pPr>
              <w:spacing w:after="0" w:line="276" w:lineRule="auto"/>
              <w:rPr>
                <w:rFonts w:ascii="Times New Roman" w:hAnsi="Times New Roman" w:cs="Times New Roman"/>
                <w:sz w:val="24"/>
                <w:szCs w:val="24"/>
              </w:rPr>
            </w:pPr>
          </w:p>
          <w:p w14:paraId="45532340"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w:t>
            </w:r>
          </w:p>
          <w:p w14:paraId="217C2BB0" w14:textId="77777777" w:rsidR="00503C65" w:rsidRPr="009804BE" w:rsidRDefault="00503C65" w:rsidP="00C315DE">
            <w:pPr>
              <w:spacing w:after="0" w:line="276" w:lineRule="auto"/>
              <w:rPr>
                <w:rFonts w:ascii="Times New Roman" w:hAnsi="Times New Roman" w:cs="Times New Roman"/>
                <w:sz w:val="24"/>
                <w:szCs w:val="24"/>
              </w:rPr>
            </w:pPr>
          </w:p>
        </w:tc>
      </w:tr>
      <w:tr w:rsidR="00503C65" w:rsidRPr="002262A7" w14:paraId="61FEE6B9" w14:textId="77777777" w:rsidTr="00C315DE">
        <w:tc>
          <w:tcPr>
            <w:tcW w:w="721" w:type="dxa"/>
            <w:vMerge/>
            <w:vAlign w:val="center"/>
          </w:tcPr>
          <w:p w14:paraId="5345DCAF"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3A3005C8" w14:textId="77777777" w:rsidR="00503C65" w:rsidRPr="0010137E" w:rsidRDefault="00503C65" w:rsidP="00C315DE">
            <w:pPr>
              <w:spacing w:after="0" w:line="276" w:lineRule="auto"/>
              <w:ind w:left="113" w:hanging="113"/>
              <w:rPr>
                <w:rFonts w:ascii="Times New Roman" w:hAnsi="Times New Roman" w:cs="Times New Roman"/>
                <w:kern w:val="24"/>
                <w:sz w:val="24"/>
                <w:szCs w:val="24"/>
              </w:rPr>
            </w:pPr>
            <w:r w:rsidRPr="009804BE">
              <w:rPr>
                <w:rFonts w:ascii="Times New Roman" w:hAnsi="Times New Roman" w:cs="Times New Roman"/>
                <w:kern w:val="24"/>
                <w:sz w:val="24"/>
                <w:szCs w:val="24"/>
              </w:rPr>
              <w:t>- хармонизиране на методите / СОП за вземане и транспорт на материали за изпитване на лабораториите, включени в списъка;</w:t>
            </w:r>
          </w:p>
        </w:tc>
        <w:tc>
          <w:tcPr>
            <w:tcW w:w="1701" w:type="dxa"/>
            <w:vMerge/>
            <w:vAlign w:val="center"/>
          </w:tcPr>
          <w:p w14:paraId="5F5AAC2F" w14:textId="77777777" w:rsidR="00503C65" w:rsidRPr="002262A7" w:rsidRDefault="00503C65" w:rsidP="00C315DE">
            <w:pPr>
              <w:widowControl w:val="0"/>
              <w:spacing w:after="0" w:line="276" w:lineRule="auto"/>
              <w:rPr>
                <w:rFonts w:ascii="Times New Roman" w:hAnsi="Times New Roman" w:cs="Times New Roman"/>
                <w:sz w:val="24"/>
                <w:szCs w:val="24"/>
              </w:rPr>
            </w:pPr>
          </w:p>
        </w:tc>
        <w:tc>
          <w:tcPr>
            <w:tcW w:w="1134" w:type="dxa"/>
            <w:vMerge/>
            <w:vAlign w:val="center"/>
          </w:tcPr>
          <w:p w14:paraId="348C81CF"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Merge/>
            <w:vAlign w:val="center"/>
          </w:tcPr>
          <w:p w14:paraId="0D5CA9E9" w14:textId="77777777" w:rsidR="00503C65" w:rsidRPr="002262A7" w:rsidRDefault="00503C65" w:rsidP="00C315DE">
            <w:pPr>
              <w:spacing w:after="0" w:line="276" w:lineRule="auto"/>
              <w:rPr>
                <w:rFonts w:ascii="Times New Roman" w:hAnsi="Times New Roman" w:cs="Times New Roman"/>
                <w:sz w:val="24"/>
                <w:szCs w:val="24"/>
              </w:rPr>
            </w:pPr>
          </w:p>
        </w:tc>
        <w:tc>
          <w:tcPr>
            <w:tcW w:w="1843" w:type="dxa"/>
            <w:vMerge/>
            <w:vAlign w:val="center"/>
          </w:tcPr>
          <w:p w14:paraId="36EEFC9A" w14:textId="77777777" w:rsidR="00503C65" w:rsidRPr="002262A7" w:rsidRDefault="00503C65" w:rsidP="00C315DE">
            <w:pPr>
              <w:spacing w:after="0" w:line="276" w:lineRule="auto"/>
              <w:rPr>
                <w:rFonts w:ascii="Times New Roman" w:hAnsi="Times New Roman" w:cs="Times New Roman"/>
                <w:sz w:val="24"/>
                <w:szCs w:val="24"/>
              </w:rPr>
            </w:pPr>
          </w:p>
        </w:tc>
        <w:tc>
          <w:tcPr>
            <w:tcW w:w="2131" w:type="dxa"/>
            <w:vMerge/>
            <w:vAlign w:val="center"/>
          </w:tcPr>
          <w:p w14:paraId="095D7930"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7596C004" w14:textId="77777777" w:rsidTr="00C315DE">
        <w:tc>
          <w:tcPr>
            <w:tcW w:w="721" w:type="dxa"/>
            <w:vMerge/>
            <w:vAlign w:val="center"/>
          </w:tcPr>
          <w:p w14:paraId="0AE64192"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3E6E22E7" w14:textId="77777777" w:rsidR="00503C65" w:rsidRPr="00A935AC" w:rsidRDefault="00503C65" w:rsidP="00C315DE">
            <w:pPr>
              <w:spacing w:after="0" w:line="276" w:lineRule="auto"/>
              <w:ind w:left="113" w:hanging="113"/>
              <w:rPr>
                <w:rFonts w:ascii="Times New Roman" w:hAnsi="Times New Roman" w:cs="Times New Roman"/>
                <w:sz w:val="24"/>
                <w:szCs w:val="24"/>
              </w:rPr>
            </w:pPr>
            <w:r w:rsidRPr="009804BE">
              <w:rPr>
                <w:rFonts w:ascii="Times New Roman" w:hAnsi="Times New Roman" w:cs="Times New Roman"/>
                <w:kern w:val="24"/>
                <w:sz w:val="24"/>
                <w:szCs w:val="24"/>
              </w:rPr>
              <w:t>- включване на ветеринарно-диагностични лаборатории, извършващи микробиологични изследвания извън системата на БАБХ, в провежданите от Н</w:t>
            </w:r>
            <w:r w:rsidRPr="0010137E">
              <w:rPr>
                <w:rFonts w:ascii="Times New Roman" w:hAnsi="Times New Roman" w:cs="Times New Roman"/>
                <w:kern w:val="24"/>
                <w:sz w:val="24"/>
                <w:szCs w:val="24"/>
              </w:rPr>
              <w:t>РЛ междулабораторни изпитв</w:t>
            </w:r>
            <w:r w:rsidRPr="006F0152">
              <w:rPr>
                <w:rFonts w:ascii="Times New Roman" w:hAnsi="Times New Roman" w:cs="Times New Roman"/>
                <w:kern w:val="24"/>
                <w:sz w:val="24"/>
                <w:szCs w:val="24"/>
              </w:rPr>
              <w:t>ания за оценка на качеството.</w:t>
            </w:r>
          </w:p>
        </w:tc>
        <w:tc>
          <w:tcPr>
            <w:tcW w:w="1701" w:type="dxa"/>
            <w:vMerge/>
            <w:vAlign w:val="center"/>
          </w:tcPr>
          <w:p w14:paraId="223DDFD8" w14:textId="77777777" w:rsidR="00503C65" w:rsidRPr="002262A7" w:rsidRDefault="00503C65" w:rsidP="00C315DE">
            <w:pPr>
              <w:widowControl w:val="0"/>
              <w:spacing w:after="0" w:line="276" w:lineRule="auto"/>
              <w:rPr>
                <w:rFonts w:ascii="Times New Roman" w:hAnsi="Times New Roman" w:cs="Times New Roman"/>
                <w:sz w:val="24"/>
                <w:szCs w:val="24"/>
              </w:rPr>
            </w:pPr>
          </w:p>
        </w:tc>
        <w:tc>
          <w:tcPr>
            <w:tcW w:w="1134" w:type="dxa"/>
            <w:vMerge/>
            <w:vAlign w:val="center"/>
          </w:tcPr>
          <w:p w14:paraId="3AC138D6"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Merge/>
            <w:vAlign w:val="center"/>
          </w:tcPr>
          <w:p w14:paraId="21AE3BA4" w14:textId="77777777" w:rsidR="00503C65" w:rsidRPr="002262A7" w:rsidRDefault="00503C65" w:rsidP="00C315DE">
            <w:pPr>
              <w:spacing w:after="0" w:line="276" w:lineRule="auto"/>
              <w:rPr>
                <w:rFonts w:ascii="Times New Roman" w:hAnsi="Times New Roman" w:cs="Times New Roman"/>
                <w:sz w:val="24"/>
                <w:szCs w:val="24"/>
              </w:rPr>
            </w:pPr>
          </w:p>
        </w:tc>
        <w:tc>
          <w:tcPr>
            <w:tcW w:w="1843" w:type="dxa"/>
            <w:vMerge/>
            <w:vAlign w:val="center"/>
          </w:tcPr>
          <w:p w14:paraId="3432CA83" w14:textId="77777777" w:rsidR="00503C65" w:rsidRPr="002262A7" w:rsidRDefault="00503C65" w:rsidP="00C315DE">
            <w:pPr>
              <w:spacing w:after="0" w:line="276" w:lineRule="auto"/>
              <w:rPr>
                <w:rFonts w:ascii="Times New Roman" w:hAnsi="Times New Roman" w:cs="Times New Roman"/>
                <w:sz w:val="24"/>
                <w:szCs w:val="24"/>
              </w:rPr>
            </w:pPr>
          </w:p>
        </w:tc>
        <w:tc>
          <w:tcPr>
            <w:tcW w:w="2131" w:type="dxa"/>
            <w:vMerge/>
            <w:vAlign w:val="center"/>
          </w:tcPr>
          <w:p w14:paraId="1B8FC574"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309EE79D" w14:textId="77777777" w:rsidTr="00C315DE">
        <w:tc>
          <w:tcPr>
            <w:tcW w:w="721" w:type="dxa"/>
            <w:vAlign w:val="center"/>
          </w:tcPr>
          <w:p w14:paraId="3351413B" w14:textId="77777777" w:rsidR="00503C65" w:rsidRPr="009804BE" w:rsidRDefault="00503C65" w:rsidP="00C315DE">
            <w:pPr>
              <w:spacing w:after="0" w:line="276" w:lineRule="auto"/>
              <w:jc w:val="right"/>
              <w:rPr>
                <w:rFonts w:ascii="Times New Roman" w:hAnsi="Times New Roman" w:cs="Times New Roman"/>
                <w:b/>
                <w:sz w:val="24"/>
                <w:szCs w:val="24"/>
              </w:rPr>
            </w:pPr>
            <w:r w:rsidRPr="009804BE">
              <w:rPr>
                <w:rFonts w:ascii="Times New Roman" w:hAnsi="Times New Roman" w:cs="Times New Roman"/>
                <w:b/>
                <w:sz w:val="24"/>
                <w:szCs w:val="24"/>
              </w:rPr>
              <w:t>2.4.</w:t>
            </w:r>
          </w:p>
        </w:tc>
        <w:tc>
          <w:tcPr>
            <w:tcW w:w="5511" w:type="dxa"/>
            <w:vAlign w:val="center"/>
          </w:tcPr>
          <w:p w14:paraId="4F403DF0"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 xml:space="preserve">Разработване, изграждане и поддръжка на нови и актуализиране на съществуващите системи за надзор на АМР и остатъчни количества антибиотици в хуманния (система за надзор BulSTAR (НЦЗПБ)), ветеринарния сектор и околната среда и водите с цел: </w:t>
            </w:r>
          </w:p>
          <w:p w14:paraId="6E95014B" w14:textId="77777777" w:rsidR="00503C65" w:rsidRPr="009804BE" w:rsidRDefault="00503C65" w:rsidP="00C315DE">
            <w:pPr>
              <w:widowControl w:val="0"/>
              <w:spacing w:after="0" w:line="276" w:lineRule="auto"/>
              <w:ind w:left="113" w:hanging="113"/>
              <w:rPr>
                <w:rFonts w:ascii="Times New Roman" w:hAnsi="Times New Roman" w:cs="Times New Roman"/>
                <w:sz w:val="24"/>
                <w:szCs w:val="24"/>
              </w:rPr>
            </w:pPr>
            <w:r w:rsidRPr="009804BE">
              <w:rPr>
                <w:rFonts w:ascii="Times New Roman" w:hAnsi="Times New Roman" w:cs="Times New Roman"/>
                <w:sz w:val="24"/>
                <w:szCs w:val="24"/>
              </w:rPr>
              <w:t xml:space="preserve">- хармонизиране на базите данни; </w:t>
            </w:r>
          </w:p>
          <w:p w14:paraId="655F83AB" w14:textId="77777777" w:rsidR="00503C65" w:rsidRPr="009804BE" w:rsidRDefault="00503C65" w:rsidP="00C315DE">
            <w:pPr>
              <w:widowControl w:val="0"/>
              <w:spacing w:after="0" w:line="276" w:lineRule="auto"/>
              <w:ind w:left="113" w:hanging="113"/>
              <w:rPr>
                <w:rFonts w:ascii="Times New Roman" w:hAnsi="Times New Roman" w:cs="Times New Roman"/>
                <w:sz w:val="24"/>
                <w:szCs w:val="24"/>
              </w:rPr>
            </w:pPr>
            <w:r w:rsidRPr="009804BE">
              <w:rPr>
                <w:rFonts w:ascii="Times New Roman" w:hAnsi="Times New Roman" w:cs="Times New Roman"/>
                <w:sz w:val="24"/>
                <w:szCs w:val="24"/>
              </w:rPr>
              <w:t xml:space="preserve">- изготвяне на комбинирани доклади на национално и регионално/областно ниво; </w:t>
            </w:r>
          </w:p>
          <w:p w14:paraId="1C4B26D7" w14:textId="77777777" w:rsidR="00503C65" w:rsidRPr="009804BE" w:rsidRDefault="00503C65" w:rsidP="00C315DE">
            <w:pPr>
              <w:widowControl w:val="0"/>
              <w:spacing w:after="0" w:line="276" w:lineRule="auto"/>
              <w:ind w:left="113" w:hanging="113"/>
              <w:rPr>
                <w:rFonts w:ascii="Times New Roman" w:hAnsi="Times New Roman" w:cs="Times New Roman"/>
                <w:sz w:val="24"/>
                <w:szCs w:val="24"/>
              </w:rPr>
            </w:pPr>
            <w:r w:rsidRPr="009804BE">
              <w:rPr>
                <w:rFonts w:ascii="Times New Roman" w:hAnsi="Times New Roman" w:cs="Times New Roman"/>
                <w:sz w:val="24"/>
                <w:szCs w:val="24"/>
              </w:rPr>
              <w:t>- електронно докладване и анализ на резистентността и остатъчните количества антибиотици в средата, с възможност за обмен на данни;</w:t>
            </w:r>
          </w:p>
          <w:p w14:paraId="0A1DD948" w14:textId="77777777" w:rsidR="00503C65" w:rsidRPr="009804BE" w:rsidRDefault="00503C65" w:rsidP="00C315DE">
            <w:pPr>
              <w:widowControl w:val="0"/>
              <w:spacing w:after="0" w:line="276" w:lineRule="auto"/>
              <w:ind w:left="113" w:hanging="113"/>
              <w:rPr>
                <w:rFonts w:ascii="Times New Roman" w:hAnsi="Times New Roman" w:cs="Times New Roman"/>
                <w:kern w:val="24"/>
                <w:sz w:val="24"/>
                <w:szCs w:val="24"/>
              </w:rPr>
            </w:pPr>
            <w:r w:rsidRPr="009804BE">
              <w:rPr>
                <w:rFonts w:ascii="Times New Roman" w:hAnsi="Times New Roman" w:cs="Times New Roman"/>
                <w:sz w:val="24"/>
                <w:szCs w:val="24"/>
              </w:rPr>
              <w:t>- надграждане на съществуващата система за надзор BulSTAR (НЦЗПБ) за базиране на облачна технология с нови модули съобразно потребностите на МЗ, МЗХ и МОСВ.</w:t>
            </w:r>
          </w:p>
        </w:tc>
        <w:tc>
          <w:tcPr>
            <w:tcW w:w="1701" w:type="dxa"/>
            <w:vAlign w:val="center"/>
          </w:tcPr>
          <w:p w14:paraId="36254419" w14:textId="77777777" w:rsidR="00503C65" w:rsidRPr="009804BE" w:rsidRDefault="00503C65" w:rsidP="00C315DE">
            <w:pPr>
              <w:widowControl w:val="0"/>
              <w:spacing w:after="0" w:line="276" w:lineRule="auto"/>
              <w:rPr>
                <w:rFonts w:ascii="Times New Roman" w:hAnsi="Times New Roman" w:cs="Times New Roman"/>
                <w:sz w:val="24"/>
                <w:szCs w:val="24"/>
              </w:rPr>
            </w:pPr>
            <w:r w:rsidRPr="009804BE">
              <w:rPr>
                <w:rFonts w:ascii="Times New Roman" w:hAnsi="Times New Roman" w:cs="Times New Roman"/>
                <w:sz w:val="24"/>
                <w:szCs w:val="24"/>
              </w:rPr>
              <w:t>НЦЗПБ, БАБХ, МОСВ</w:t>
            </w:r>
          </w:p>
        </w:tc>
        <w:tc>
          <w:tcPr>
            <w:tcW w:w="1134" w:type="dxa"/>
            <w:vAlign w:val="center"/>
          </w:tcPr>
          <w:p w14:paraId="4EB23B9D"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202</w:t>
            </w:r>
            <w:r>
              <w:rPr>
                <w:rFonts w:ascii="Times New Roman" w:hAnsi="Times New Roman" w:cs="Times New Roman"/>
                <w:sz w:val="24"/>
                <w:szCs w:val="24"/>
              </w:rPr>
              <w:t>6</w:t>
            </w:r>
            <w:r w:rsidRPr="009804BE">
              <w:rPr>
                <w:rFonts w:ascii="Times New Roman" w:eastAsia="Calibri" w:hAnsi="Times New Roman" w:cs="Times New Roman"/>
                <w:sz w:val="24"/>
                <w:szCs w:val="24"/>
              </w:rPr>
              <w:t xml:space="preserve"> – </w:t>
            </w:r>
            <w:r w:rsidRPr="009804BE">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26A5C948" w14:textId="77777777" w:rsidR="00503C65" w:rsidRPr="009804BE" w:rsidRDefault="00503C65" w:rsidP="00C315DE">
            <w:pPr>
              <w:spacing w:after="0" w:line="276" w:lineRule="auto"/>
              <w:rPr>
                <w:rFonts w:ascii="Times New Roman" w:hAnsi="Times New Roman" w:cs="Times New Roman"/>
                <w:sz w:val="24"/>
                <w:szCs w:val="24"/>
              </w:rPr>
            </w:pPr>
            <w:r w:rsidRPr="009804BE">
              <w:rPr>
                <w:rFonts w:ascii="Times New Roman" w:hAnsi="Times New Roman" w:cs="Times New Roman"/>
                <w:sz w:val="24"/>
                <w:szCs w:val="24"/>
              </w:rPr>
              <w:t>Функциониращи системи за събиране, анализ и докладване на данни, съвместими с европейските и глобални системи за надзор на АМР и мониторинг на остатъчни количества антибиотици.</w:t>
            </w:r>
          </w:p>
        </w:tc>
        <w:tc>
          <w:tcPr>
            <w:tcW w:w="1843" w:type="dxa"/>
            <w:vAlign w:val="center"/>
          </w:tcPr>
          <w:p w14:paraId="4127A16E"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бр. остаряла система „БулСтар“ (НЦЗПБ);</w:t>
            </w:r>
          </w:p>
          <w:p w14:paraId="2868BD5F" w14:textId="77777777" w:rsidR="00503C65" w:rsidRPr="009804BE"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 (ветеринарен сектор)</w:t>
            </w:r>
          </w:p>
        </w:tc>
        <w:tc>
          <w:tcPr>
            <w:tcW w:w="2131" w:type="dxa"/>
            <w:vAlign w:val="center"/>
          </w:tcPr>
          <w:p w14:paraId="5535B921"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актуализирана и интегрирана онлайн, система (НЦЗПБ);</w:t>
            </w:r>
          </w:p>
          <w:p w14:paraId="090C1C1B" w14:textId="77777777" w:rsidR="00503C65" w:rsidRPr="009804BE" w:rsidRDefault="00503C65" w:rsidP="00C315DE">
            <w:pPr>
              <w:spacing w:after="0" w:line="276" w:lineRule="auto"/>
              <w:rPr>
                <w:rFonts w:ascii="Times New Roman" w:hAnsi="Times New Roman" w:cs="Times New Roman"/>
                <w:sz w:val="24"/>
                <w:szCs w:val="24"/>
              </w:rPr>
            </w:pPr>
            <w:r w:rsidRPr="00AD6AB6">
              <w:rPr>
                <w:rFonts w:ascii="Times New Roman" w:hAnsi="Times New Roman" w:cs="Times New Roman"/>
                <w:sz w:val="24"/>
                <w:szCs w:val="24"/>
              </w:rPr>
              <w:t>2 (ветеринарен сектор НРЛ– събиране на данни АМР и НРЛ за данни остатъчни количества)</w:t>
            </w:r>
          </w:p>
        </w:tc>
      </w:tr>
      <w:tr w:rsidR="00503C65" w:rsidRPr="002262A7" w14:paraId="3E3B6C07" w14:textId="77777777" w:rsidTr="00C315DE">
        <w:tc>
          <w:tcPr>
            <w:tcW w:w="721" w:type="dxa"/>
            <w:vAlign w:val="center"/>
          </w:tcPr>
          <w:p w14:paraId="5B284787" w14:textId="77777777" w:rsidR="00503C65" w:rsidRPr="0010137E" w:rsidRDefault="00503C65" w:rsidP="00C315DE">
            <w:pPr>
              <w:spacing w:after="0" w:line="276" w:lineRule="auto"/>
              <w:jc w:val="right"/>
              <w:rPr>
                <w:rFonts w:ascii="Times New Roman" w:hAnsi="Times New Roman" w:cs="Times New Roman"/>
                <w:b/>
                <w:sz w:val="24"/>
                <w:szCs w:val="24"/>
              </w:rPr>
            </w:pPr>
            <w:r w:rsidRPr="0010137E">
              <w:rPr>
                <w:rFonts w:ascii="Times New Roman" w:hAnsi="Times New Roman" w:cs="Times New Roman"/>
                <w:b/>
                <w:sz w:val="24"/>
                <w:szCs w:val="24"/>
              </w:rPr>
              <w:t>2.5.</w:t>
            </w:r>
          </w:p>
        </w:tc>
        <w:tc>
          <w:tcPr>
            <w:tcW w:w="5511" w:type="dxa"/>
            <w:vAlign w:val="center"/>
          </w:tcPr>
          <w:p w14:paraId="334CE98D" w14:textId="77777777" w:rsidR="00503C65" w:rsidRPr="00A935AC" w:rsidRDefault="00503C65" w:rsidP="00C315DE">
            <w:pPr>
              <w:spacing w:after="0" w:line="276" w:lineRule="auto"/>
              <w:rPr>
                <w:rFonts w:ascii="Times New Roman" w:hAnsi="Times New Roman" w:cs="Times New Roman"/>
                <w:kern w:val="24"/>
                <w:sz w:val="24"/>
                <w:szCs w:val="24"/>
              </w:rPr>
            </w:pPr>
            <w:r w:rsidRPr="006F0152">
              <w:rPr>
                <w:rFonts w:ascii="Times New Roman" w:hAnsi="Times New Roman" w:cs="Times New Roman"/>
                <w:kern w:val="24"/>
                <w:sz w:val="24"/>
                <w:szCs w:val="24"/>
              </w:rPr>
              <w:t>Изготвяне на предложения за промяна на нормативната база с цел събирането на данните oт АМР да стане задължително за всички лаборатории и съобразено с общата прогр</w:t>
            </w:r>
            <w:r w:rsidRPr="00A935AC">
              <w:rPr>
                <w:rFonts w:ascii="Times New Roman" w:hAnsi="Times New Roman" w:cs="Times New Roman"/>
                <w:kern w:val="24"/>
                <w:sz w:val="24"/>
                <w:szCs w:val="24"/>
              </w:rPr>
              <w:t xml:space="preserve">ама. </w:t>
            </w:r>
          </w:p>
        </w:tc>
        <w:tc>
          <w:tcPr>
            <w:tcW w:w="1701" w:type="dxa"/>
            <w:vAlign w:val="center"/>
          </w:tcPr>
          <w:p w14:paraId="28A88218" w14:textId="77777777" w:rsidR="00503C65" w:rsidRPr="0024776D" w:rsidRDefault="00503C65" w:rsidP="00C315DE">
            <w:pPr>
              <w:spacing w:after="0" w:line="276" w:lineRule="auto"/>
              <w:rPr>
                <w:rFonts w:ascii="Times New Roman" w:hAnsi="Times New Roman" w:cs="Times New Roman"/>
                <w:sz w:val="24"/>
                <w:szCs w:val="24"/>
              </w:rPr>
            </w:pPr>
            <w:r w:rsidRPr="0024776D">
              <w:rPr>
                <w:rFonts w:ascii="Times New Roman" w:hAnsi="Times New Roman" w:cs="Times New Roman"/>
                <w:sz w:val="24"/>
                <w:szCs w:val="24"/>
              </w:rPr>
              <w:t>НЦЗПБ,</w:t>
            </w:r>
          </w:p>
          <w:p w14:paraId="63938B36" w14:textId="77777777" w:rsidR="00503C65" w:rsidRPr="00442189" w:rsidRDefault="00503C65" w:rsidP="00C315DE">
            <w:pPr>
              <w:spacing w:after="0" w:line="276" w:lineRule="auto"/>
              <w:rPr>
                <w:rFonts w:ascii="Times New Roman" w:hAnsi="Times New Roman" w:cs="Times New Roman"/>
                <w:sz w:val="24"/>
                <w:szCs w:val="24"/>
              </w:rPr>
            </w:pPr>
            <w:r w:rsidRPr="00442189">
              <w:rPr>
                <w:rFonts w:ascii="Times New Roman" w:hAnsi="Times New Roman" w:cs="Times New Roman"/>
                <w:sz w:val="24"/>
                <w:szCs w:val="24"/>
              </w:rPr>
              <w:t>БАБХ</w:t>
            </w:r>
          </w:p>
        </w:tc>
        <w:tc>
          <w:tcPr>
            <w:tcW w:w="1134" w:type="dxa"/>
            <w:vAlign w:val="center"/>
          </w:tcPr>
          <w:p w14:paraId="2E50952C"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9847D2">
              <w:rPr>
                <w:rFonts w:ascii="Times New Roman" w:eastAsia="Calibri" w:hAnsi="Times New Roman" w:cs="Times New Roman"/>
                <w:sz w:val="24"/>
                <w:szCs w:val="24"/>
              </w:rPr>
              <w:t xml:space="preserve"> – </w:t>
            </w:r>
            <w:r w:rsidRPr="00E4704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64778ACE"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Изготвени предложения.</w:t>
            </w:r>
          </w:p>
        </w:tc>
        <w:tc>
          <w:tcPr>
            <w:tcW w:w="1843" w:type="dxa"/>
            <w:vAlign w:val="center"/>
          </w:tcPr>
          <w:p w14:paraId="5914E829" w14:textId="77777777" w:rsidR="00503C65" w:rsidRPr="008634C1" w:rsidRDefault="00503C65" w:rsidP="00C315DE">
            <w:pPr>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121B593E" w14:textId="77777777" w:rsidR="00503C65" w:rsidRPr="00512F08"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2 проекта на нормативни актове (по 1 от ветеринарния и хуманния сектор)</w:t>
            </w:r>
          </w:p>
        </w:tc>
      </w:tr>
      <w:tr w:rsidR="00503C65" w:rsidRPr="002262A7" w14:paraId="1FBF75E4" w14:textId="77777777" w:rsidTr="00C315DE">
        <w:tc>
          <w:tcPr>
            <w:tcW w:w="721" w:type="dxa"/>
            <w:vAlign w:val="center"/>
          </w:tcPr>
          <w:p w14:paraId="08AC0D7B" w14:textId="77777777" w:rsidR="00503C65" w:rsidRPr="0010137E" w:rsidRDefault="00503C65" w:rsidP="00C315DE">
            <w:pPr>
              <w:spacing w:after="0" w:line="276" w:lineRule="auto"/>
              <w:jc w:val="right"/>
              <w:rPr>
                <w:rFonts w:ascii="Times New Roman" w:hAnsi="Times New Roman" w:cs="Times New Roman"/>
                <w:b/>
                <w:sz w:val="24"/>
                <w:szCs w:val="24"/>
              </w:rPr>
            </w:pPr>
          </w:p>
          <w:p w14:paraId="4B8DDF5B" w14:textId="77777777" w:rsidR="00503C65" w:rsidRPr="00A935AC" w:rsidRDefault="00503C65" w:rsidP="00C315DE">
            <w:pPr>
              <w:spacing w:after="0" w:line="276" w:lineRule="auto"/>
              <w:jc w:val="right"/>
              <w:rPr>
                <w:rFonts w:ascii="Times New Roman" w:hAnsi="Times New Roman" w:cs="Times New Roman"/>
                <w:sz w:val="24"/>
                <w:szCs w:val="24"/>
              </w:rPr>
            </w:pPr>
            <w:r w:rsidRPr="006F0152">
              <w:rPr>
                <w:rFonts w:ascii="Times New Roman" w:hAnsi="Times New Roman" w:cs="Times New Roman"/>
                <w:b/>
                <w:sz w:val="24"/>
                <w:szCs w:val="24"/>
              </w:rPr>
              <w:t>2.6.</w:t>
            </w:r>
          </w:p>
        </w:tc>
        <w:tc>
          <w:tcPr>
            <w:tcW w:w="5511" w:type="dxa"/>
            <w:vAlign w:val="center"/>
          </w:tcPr>
          <w:p w14:paraId="1CBE7E54" w14:textId="77777777" w:rsidR="00503C65" w:rsidRPr="00442189" w:rsidRDefault="00503C65" w:rsidP="00C315DE">
            <w:pPr>
              <w:widowControl w:val="0"/>
              <w:spacing w:after="0" w:line="276" w:lineRule="auto"/>
              <w:rPr>
                <w:rFonts w:ascii="Times New Roman" w:hAnsi="Times New Roman" w:cs="Times New Roman"/>
                <w:sz w:val="24"/>
                <w:szCs w:val="24"/>
              </w:rPr>
            </w:pPr>
            <w:r w:rsidRPr="0024776D">
              <w:rPr>
                <w:rFonts w:ascii="Times New Roman" w:hAnsi="Times New Roman" w:cs="Times New Roman"/>
                <w:sz w:val="24"/>
                <w:szCs w:val="24"/>
              </w:rPr>
              <w:t>Подобряване на достъпа и качеството на информацията, предназначена за професионалисти, чрез изготвяне на периодични доклади/насоки на базата на подготвените от НЦЗПБ и ЦОРХВ анализи на резулта</w:t>
            </w:r>
            <w:r w:rsidRPr="00442189">
              <w:rPr>
                <w:rFonts w:ascii="Times New Roman" w:hAnsi="Times New Roman" w:cs="Times New Roman"/>
                <w:sz w:val="24"/>
                <w:szCs w:val="24"/>
              </w:rPr>
              <w:t>тите, събрани от надзора на АМР.</w:t>
            </w:r>
          </w:p>
        </w:tc>
        <w:tc>
          <w:tcPr>
            <w:tcW w:w="1701" w:type="dxa"/>
            <w:vAlign w:val="center"/>
          </w:tcPr>
          <w:p w14:paraId="53010EF1" w14:textId="77777777" w:rsidR="00503C65" w:rsidRPr="00D53BB0" w:rsidRDefault="00503C65" w:rsidP="00C315DE">
            <w:pPr>
              <w:widowControl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 xml:space="preserve">ЦОРХВ, НЦЗПБ, БАБХ </w:t>
            </w:r>
          </w:p>
        </w:tc>
        <w:tc>
          <w:tcPr>
            <w:tcW w:w="1134" w:type="dxa"/>
            <w:vAlign w:val="center"/>
          </w:tcPr>
          <w:p w14:paraId="6AA716C1" w14:textId="77777777" w:rsidR="00503C65" w:rsidRPr="00E47047"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периодично</w:t>
            </w:r>
          </w:p>
        </w:tc>
        <w:tc>
          <w:tcPr>
            <w:tcW w:w="2268" w:type="dxa"/>
            <w:vAlign w:val="center"/>
          </w:tcPr>
          <w:p w14:paraId="2720D6D6"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Изготвени доклади/насоки. Достъп до научно обоснована информация относно</w:t>
            </w:r>
            <w:r w:rsidRPr="0010137E">
              <w:rPr>
                <w:rFonts w:ascii="Times New Roman" w:hAnsi="Times New Roman" w:cs="Times New Roman"/>
                <w:sz w:val="24"/>
                <w:szCs w:val="24"/>
                <w:lang w:val="en-US"/>
              </w:rPr>
              <w:t xml:space="preserve"> </w:t>
            </w:r>
            <w:r w:rsidRPr="0010137E">
              <w:rPr>
                <w:rFonts w:ascii="Times New Roman" w:hAnsi="Times New Roman" w:cs="Times New Roman"/>
                <w:sz w:val="24"/>
                <w:szCs w:val="24"/>
              </w:rPr>
              <w:t xml:space="preserve">локалните характеристики на АМР. </w:t>
            </w:r>
          </w:p>
        </w:tc>
        <w:tc>
          <w:tcPr>
            <w:tcW w:w="1843" w:type="dxa"/>
            <w:vAlign w:val="center"/>
          </w:tcPr>
          <w:p w14:paraId="31DE98B9" w14:textId="77777777" w:rsidR="00503C65" w:rsidRPr="008634C1" w:rsidRDefault="00503C65" w:rsidP="00C315DE">
            <w:pPr>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4395C7E6"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2 бр. годишни интегрирани доклада (НЦЗПБ);</w:t>
            </w:r>
          </w:p>
          <w:p w14:paraId="6422A276"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 xml:space="preserve">1 </w:t>
            </w:r>
            <w:r>
              <w:rPr>
                <w:rFonts w:ascii="Times New Roman" w:hAnsi="Times New Roman" w:cs="Times New Roman"/>
                <w:sz w:val="24"/>
                <w:szCs w:val="24"/>
              </w:rPr>
              <w:t xml:space="preserve">бр. </w:t>
            </w:r>
            <w:r w:rsidRPr="008634C1">
              <w:rPr>
                <w:rFonts w:ascii="Times New Roman" w:hAnsi="Times New Roman" w:cs="Times New Roman"/>
                <w:sz w:val="24"/>
                <w:szCs w:val="24"/>
              </w:rPr>
              <w:t>(ЦОРХВ) и 1</w:t>
            </w:r>
            <w:r>
              <w:rPr>
                <w:rFonts w:ascii="Times New Roman" w:hAnsi="Times New Roman" w:cs="Times New Roman"/>
                <w:sz w:val="24"/>
                <w:szCs w:val="24"/>
              </w:rPr>
              <w:t xml:space="preserve"> бр.</w:t>
            </w:r>
            <w:r w:rsidRPr="008634C1">
              <w:rPr>
                <w:rFonts w:ascii="Times New Roman" w:hAnsi="Times New Roman" w:cs="Times New Roman"/>
                <w:sz w:val="24"/>
                <w:szCs w:val="24"/>
              </w:rPr>
              <w:t xml:space="preserve"> (БАБХ)</w:t>
            </w:r>
          </w:p>
        </w:tc>
      </w:tr>
      <w:tr w:rsidR="00503C65" w:rsidRPr="002262A7" w14:paraId="3EA87798" w14:textId="77777777" w:rsidTr="00C315DE">
        <w:tc>
          <w:tcPr>
            <w:tcW w:w="721" w:type="dxa"/>
            <w:vAlign w:val="center"/>
          </w:tcPr>
          <w:p w14:paraId="0F1A6A52" w14:textId="77777777" w:rsidR="00503C65" w:rsidRPr="0010137E" w:rsidRDefault="00503C65" w:rsidP="00C315DE">
            <w:pPr>
              <w:spacing w:after="0" w:line="276" w:lineRule="auto"/>
              <w:jc w:val="right"/>
              <w:rPr>
                <w:rFonts w:ascii="Times New Roman" w:hAnsi="Times New Roman" w:cs="Times New Roman"/>
                <w:sz w:val="24"/>
                <w:szCs w:val="24"/>
              </w:rPr>
            </w:pPr>
            <w:r w:rsidRPr="0010137E">
              <w:rPr>
                <w:rFonts w:ascii="Times New Roman" w:hAnsi="Times New Roman" w:cs="Times New Roman"/>
                <w:b/>
                <w:sz w:val="24"/>
                <w:szCs w:val="24"/>
              </w:rPr>
              <w:t>2.7</w:t>
            </w:r>
            <w:r w:rsidRPr="0010137E">
              <w:rPr>
                <w:rFonts w:ascii="Times New Roman" w:hAnsi="Times New Roman" w:cs="Times New Roman"/>
                <w:sz w:val="24"/>
                <w:szCs w:val="24"/>
              </w:rPr>
              <w:t>.</w:t>
            </w:r>
          </w:p>
        </w:tc>
        <w:tc>
          <w:tcPr>
            <w:tcW w:w="5511" w:type="dxa"/>
            <w:vAlign w:val="center"/>
          </w:tcPr>
          <w:p w14:paraId="036D9200" w14:textId="77777777" w:rsidR="00503C65" w:rsidRPr="00442189" w:rsidRDefault="00503C65" w:rsidP="00C315DE">
            <w:pPr>
              <w:spacing w:after="0" w:line="276" w:lineRule="auto"/>
              <w:rPr>
                <w:rFonts w:ascii="Times New Roman" w:hAnsi="Times New Roman" w:cs="Times New Roman"/>
                <w:sz w:val="24"/>
                <w:szCs w:val="24"/>
              </w:rPr>
            </w:pPr>
            <w:r w:rsidRPr="006F0152">
              <w:rPr>
                <w:rFonts w:ascii="Times New Roman" w:hAnsi="Times New Roman" w:cs="Times New Roman"/>
                <w:sz w:val="24"/>
                <w:szCs w:val="24"/>
              </w:rPr>
              <w:t>Разработване на научно-изследователска програма с междус</w:t>
            </w:r>
            <w:r w:rsidRPr="00A935AC">
              <w:rPr>
                <w:rFonts w:ascii="Times New Roman" w:hAnsi="Times New Roman" w:cs="Times New Roman"/>
                <w:sz w:val="24"/>
                <w:szCs w:val="24"/>
              </w:rPr>
              <w:t>екторни, мултидисциплинарни научни проекти на национално ниво за проучване на АМР</w:t>
            </w:r>
            <w:r w:rsidRPr="0024776D" w:rsidDel="000C52EA">
              <w:rPr>
                <w:rFonts w:ascii="Times New Roman" w:hAnsi="Times New Roman" w:cs="Times New Roman"/>
                <w:sz w:val="24"/>
                <w:szCs w:val="24"/>
              </w:rPr>
              <w:t xml:space="preserve"> </w:t>
            </w:r>
            <w:r w:rsidRPr="00442189">
              <w:rPr>
                <w:rFonts w:ascii="Times New Roman" w:hAnsi="Times New Roman" w:cs="Times New Roman"/>
                <w:sz w:val="24"/>
                <w:szCs w:val="24"/>
              </w:rPr>
              <w:t>от учени от НЦЗПБ, МУ, БАБХ, ВМФ, БАН и др.</w:t>
            </w:r>
          </w:p>
        </w:tc>
        <w:tc>
          <w:tcPr>
            <w:tcW w:w="1701" w:type="dxa"/>
            <w:vAlign w:val="center"/>
          </w:tcPr>
          <w:p w14:paraId="1D86C50C"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НЦЗПБ, БАБХ, ВУ,</w:t>
            </w:r>
          </w:p>
          <w:p w14:paraId="564215EE" w14:textId="77777777" w:rsidR="00503C65" w:rsidRPr="00E47047"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БАН, ВМФ, Медицински университети</w:t>
            </w:r>
          </w:p>
        </w:tc>
        <w:tc>
          <w:tcPr>
            <w:tcW w:w="1134" w:type="dxa"/>
            <w:vAlign w:val="center"/>
          </w:tcPr>
          <w:p w14:paraId="40502A9F"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202</w:t>
            </w:r>
            <w:r>
              <w:rPr>
                <w:rFonts w:ascii="Times New Roman" w:hAnsi="Times New Roman" w:cs="Times New Roman"/>
                <w:sz w:val="24"/>
                <w:szCs w:val="24"/>
              </w:rPr>
              <w:t>6</w:t>
            </w:r>
            <w:r w:rsidRPr="0010137E">
              <w:rPr>
                <w:rFonts w:ascii="Times New Roman" w:eastAsia="Calibri" w:hAnsi="Times New Roman" w:cs="Times New Roman"/>
                <w:sz w:val="24"/>
                <w:szCs w:val="24"/>
              </w:rPr>
              <w:t xml:space="preserve"> – </w:t>
            </w:r>
            <w:r w:rsidRPr="0010137E">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5E7FE376"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Изготвени мултидисциплинарни научни проекти.</w:t>
            </w:r>
          </w:p>
        </w:tc>
        <w:tc>
          <w:tcPr>
            <w:tcW w:w="1843" w:type="dxa"/>
            <w:vAlign w:val="center"/>
          </w:tcPr>
          <w:p w14:paraId="6B460D91" w14:textId="77777777" w:rsidR="00503C65" w:rsidRPr="008634C1" w:rsidRDefault="00503C65" w:rsidP="00C315DE">
            <w:pPr>
              <w:spacing w:after="0" w:line="276" w:lineRule="auto"/>
              <w:rPr>
                <w:rFonts w:ascii="Times New Roman" w:hAnsi="Times New Roman" w:cs="Times New Roman"/>
                <w:sz w:val="24"/>
                <w:szCs w:val="24"/>
                <w:lang w:val="en-US"/>
              </w:rPr>
            </w:pPr>
            <w:r w:rsidRPr="008634C1">
              <w:rPr>
                <w:rFonts w:ascii="Times New Roman" w:hAnsi="Times New Roman" w:cs="Times New Roman"/>
                <w:sz w:val="24"/>
                <w:szCs w:val="24"/>
                <w:lang w:val="en-US"/>
              </w:rPr>
              <w:t>0</w:t>
            </w:r>
          </w:p>
        </w:tc>
        <w:tc>
          <w:tcPr>
            <w:tcW w:w="2131" w:type="dxa"/>
            <w:vAlign w:val="center"/>
          </w:tcPr>
          <w:p w14:paraId="79835C7F" w14:textId="77777777" w:rsidR="00503C65"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бр. межусекторен проект (НЦЗПБ)</w:t>
            </w:r>
          </w:p>
          <w:p w14:paraId="3F8078D6"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1</w:t>
            </w:r>
            <w:r>
              <w:rPr>
                <w:rFonts w:ascii="Times New Roman" w:hAnsi="Times New Roman" w:cs="Times New Roman"/>
                <w:sz w:val="24"/>
                <w:szCs w:val="24"/>
              </w:rPr>
              <w:t xml:space="preserve"> (ветеринарен сектор)</w:t>
            </w:r>
          </w:p>
        </w:tc>
      </w:tr>
      <w:tr w:rsidR="00503C65" w:rsidRPr="002262A7" w14:paraId="6F4E405D" w14:textId="77777777" w:rsidTr="00C315DE">
        <w:tc>
          <w:tcPr>
            <w:tcW w:w="721" w:type="dxa"/>
            <w:vAlign w:val="center"/>
          </w:tcPr>
          <w:p w14:paraId="6000D17E" w14:textId="77777777" w:rsidR="00503C65" w:rsidRPr="0010137E" w:rsidRDefault="00503C65" w:rsidP="00C315DE">
            <w:pPr>
              <w:spacing w:after="0" w:line="276" w:lineRule="auto"/>
              <w:jc w:val="right"/>
              <w:rPr>
                <w:rFonts w:ascii="Times New Roman" w:hAnsi="Times New Roman" w:cs="Times New Roman"/>
                <w:sz w:val="24"/>
                <w:szCs w:val="24"/>
              </w:rPr>
            </w:pPr>
            <w:r w:rsidRPr="0010137E">
              <w:rPr>
                <w:rFonts w:ascii="Times New Roman" w:hAnsi="Times New Roman" w:cs="Times New Roman"/>
                <w:b/>
                <w:sz w:val="24"/>
                <w:szCs w:val="24"/>
              </w:rPr>
              <w:t>2.8.</w:t>
            </w:r>
          </w:p>
        </w:tc>
        <w:tc>
          <w:tcPr>
            <w:tcW w:w="5511" w:type="dxa"/>
            <w:vAlign w:val="center"/>
          </w:tcPr>
          <w:p w14:paraId="1A71AF5C" w14:textId="77777777" w:rsidR="00503C65" w:rsidRPr="0024776D" w:rsidRDefault="00503C65" w:rsidP="00C315DE">
            <w:pPr>
              <w:spacing w:after="0" w:line="276" w:lineRule="auto"/>
              <w:rPr>
                <w:rFonts w:ascii="Times New Roman" w:hAnsi="Times New Roman" w:cs="Times New Roman"/>
                <w:sz w:val="24"/>
                <w:szCs w:val="24"/>
              </w:rPr>
            </w:pPr>
            <w:r w:rsidRPr="006F0152">
              <w:rPr>
                <w:rFonts w:ascii="Times New Roman" w:hAnsi="Times New Roman" w:cs="Times New Roman"/>
                <w:sz w:val="24"/>
                <w:szCs w:val="24"/>
              </w:rPr>
              <w:t>Участие на Националните референтни лаборатории в междуна</w:t>
            </w:r>
            <w:r w:rsidRPr="00A935AC">
              <w:rPr>
                <w:rFonts w:ascii="Times New Roman" w:hAnsi="Times New Roman" w:cs="Times New Roman"/>
                <w:spacing w:val="-2"/>
                <w:sz w:val="24"/>
                <w:szCs w:val="24"/>
              </w:rPr>
              <w:t>родни научно-изследователски програми за проучване на АМР.</w:t>
            </w:r>
          </w:p>
        </w:tc>
        <w:tc>
          <w:tcPr>
            <w:tcW w:w="1701" w:type="dxa"/>
            <w:vAlign w:val="center"/>
          </w:tcPr>
          <w:p w14:paraId="16611512" w14:textId="77777777" w:rsidR="00503C65" w:rsidRPr="00D53BB0" w:rsidRDefault="00503C65" w:rsidP="00C315DE">
            <w:pPr>
              <w:spacing w:after="0" w:line="276" w:lineRule="auto"/>
              <w:rPr>
                <w:rFonts w:ascii="Times New Roman" w:hAnsi="Times New Roman" w:cs="Times New Roman"/>
                <w:sz w:val="24"/>
                <w:szCs w:val="24"/>
              </w:rPr>
            </w:pPr>
            <w:r w:rsidRPr="00442189">
              <w:rPr>
                <w:rFonts w:ascii="Times New Roman" w:hAnsi="Times New Roman" w:cs="Times New Roman"/>
                <w:sz w:val="24"/>
                <w:szCs w:val="24"/>
              </w:rPr>
              <w:t>БАБХ,</w:t>
            </w:r>
            <w:r w:rsidRPr="00152A66">
              <w:rPr>
                <w:rFonts w:ascii="Times New Roman" w:hAnsi="Times New Roman" w:cs="Times New Roman"/>
                <w:b/>
                <w:sz w:val="24"/>
                <w:szCs w:val="24"/>
              </w:rPr>
              <w:t xml:space="preserve"> </w:t>
            </w:r>
            <w:r w:rsidRPr="00D53BB0">
              <w:rPr>
                <w:rFonts w:ascii="Times New Roman" w:hAnsi="Times New Roman" w:cs="Times New Roman"/>
                <w:sz w:val="24"/>
                <w:szCs w:val="24"/>
              </w:rPr>
              <w:t>НДНИВМИ, НЦЗПБ</w:t>
            </w:r>
          </w:p>
        </w:tc>
        <w:tc>
          <w:tcPr>
            <w:tcW w:w="1134" w:type="dxa"/>
            <w:vAlign w:val="center"/>
          </w:tcPr>
          <w:p w14:paraId="2572134E" w14:textId="77777777" w:rsidR="00503C65" w:rsidRPr="0010137E"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202</w:t>
            </w:r>
            <w:r>
              <w:rPr>
                <w:rFonts w:ascii="Times New Roman" w:hAnsi="Times New Roman" w:cs="Times New Roman"/>
                <w:sz w:val="24"/>
                <w:szCs w:val="24"/>
              </w:rPr>
              <w:t>6</w:t>
            </w:r>
            <w:r w:rsidRPr="00591CEB">
              <w:rPr>
                <w:rFonts w:ascii="Times New Roman" w:eastAsia="Calibri" w:hAnsi="Times New Roman" w:cs="Times New Roman"/>
                <w:sz w:val="24"/>
                <w:szCs w:val="24"/>
              </w:rPr>
              <w:t xml:space="preserve"> – </w:t>
            </w:r>
            <w:r w:rsidRPr="0010137E">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245B60EB"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 xml:space="preserve">Участия в международни проекти. </w:t>
            </w:r>
          </w:p>
        </w:tc>
        <w:tc>
          <w:tcPr>
            <w:tcW w:w="1843" w:type="dxa"/>
            <w:vAlign w:val="center"/>
          </w:tcPr>
          <w:p w14:paraId="60A1D915"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1</w:t>
            </w:r>
          </w:p>
        </w:tc>
        <w:tc>
          <w:tcPr>
            <w:tcW w:w="2131" w:type="dxa"/>
            <w:vAlign w:val="center"/>
          </w:tcPr>
          <w:p w14:paraId="3C11DFEF" w14:textId="77777777" w:rsidR="00503C65" w:rsidRPr="008634C1" w:rsidRDefault="00503C65" w:rsidP="00C315DE">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EU-JAMRAI 2</w:t>
            </w:r>
          </w:p>
          <w:p w14:paraId="14C89D7B"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1</w:t>
            </w:r>
            <w:r>
              <w:rPr>
                <w:rFonts w:ascii="Times New Roman" w:hAnsi="Times New Roman" w:cs="Times New Roman"/>
                <w:sz w:val="24"/>
                <w:szCs w:val="24"/>
              </w:rPr>
              <w:t xml:space="preserve"> бр. (ветеринарен сектор)</w:t>
            </w:r>
          </w:p>
        </w:tc>
      </w:tr>
      <w:tr w:rsidR="00503C65" w:rsidRPr="002262A7" w14:paraId="3A77772A" w14:textId="77777777" w:rsidTr="00C315DE">
        <w:trPr>
          <w:cantSplit/>
        </w:trPr>
        <w:tc>
          <w:tcPr>
            <w:tcW w:w="721" w:type="dxa"/>
            <w:vAlign w:val="center"/>
          </w:tcPr>
          <w:p w14:paraId="280810F8" w14:textId="77777777" w:rsidR="00503C65" w:rsidRPr="006F0152" w:rsidRDefault="00503C65" w:rsidP="00C315DE">
            <w:pPr>
              <w:spacing w:after="0" w:line="276" w:lineRule="auto"/>
              <w:jc w:val="right"/>
              <w:rPr>
                <w:rFonts w:ascii="Times New Roman" w:hAnsi="Times New Roman" w:cs="Times New Roman"/>
                <w:sz w:val="24"/>
                <w:szCs w:val="24"/>
              </w:rPr>
            </w:pPr>
            <w:r w:rsidRPr="0010137E">
              <w:rPr>
                <w:rFonts w:ascii="Times New Roman" w:hAnsi="Times New Roman" w:cs="Times New Roman"/>
                <w:b/>
                <w:sz w:val="24"/>
                <w:szCs w:val="24"/>
              </w:rPr>
              <w:t>2.</w:t>
            </w:r>
            <w:r w:rsidRPr="006F0152">
              <w:rPr>
                <w:rFonts w:ascii="Times New Roman" w:hAnsi="Times New Roman" w:cs="Times New Roman"/>
                <w:b/>
                <w:sz w:val="24"/>
                <w:szCs w:val="24"/>
                <w:lang w:val="en-US"/>
              </w:rPr>
              <w:t>9</w:t>
            </w:r>
            <w:r w:rsidRPr="006F0152">
              <w:rPr>
                <w:rFonts w:ascii="Times New Roman" w:hAnsi="Times New Roman" w:cs="Times New Roman"/>
                <w:sz w:val="24"/>
                <w:szCs w:val="24"/>
              </w:rPr>
              <w:t>.</w:t>
            </w:r>
          </w:p>
        </w:tc>
        <w:tc>
          <w:tcPr>
            <w:tcW w:w="5511" w:type="dxa"/>
            <w:vAlign w:val="center"/>
          </w:tcPr>
          <w:p w14:paraId="587FC432" w14:textId="77777777" w:rsidR="00503C65" w:rsidRPr="0010137E" w:rsidRDefault="00503C65" w:rsidP="00C315DE">
            <w:pPr>
              <w:spacing w:after="0" w:line="276" w:lineRule="auto"/>
              <w:rPr>
                <w:rFonts w:ascii="Times New Roman" w:eastAsia="Times New Roman" w:hAnsi="Times New Roman" w:cs="Times New Roman"/>
                <w:sz w:val="24"/>
                <w:szCs w:val="24"/>
              </w:rPr>
            </w:pPr>
            <w:r w:rsidRPr="00A935AC">
              <w:rPr>
                <w:rFonts w:ascii="Times New Roman" w:eastAsia="Times New Roman" w:hAnsi="Times New Roman" w:cs="Times New Roman"/>
                <w:sz w:val="24"/>
                <w:szCs w:val="24"/>
              </w:rPr>
              <w:t xml:space="preserve">Проучвания и изпитвания, включително провеждане на лабораторни проучвания за </w:t>
            </w:r>
            <w:r w:rsidRPr="0024776D">
              <w:rPr>
                <w:rFonts w:ascii="Times New Roman" w:eastAsia="Times New Roman" w:hAnsi="Times New Roman" w:cs="Times New Roman"/>
                <w:sz w:val="24"/>
                <w:szCs w:val="24"/>
              </w:rPr>
              <w:t xml:space="preserve">потенциала на нови не-антибиотични средства (напр. бактериофаги, антимикробни пептиди, пре- и пробиотици и др.), с потенциал за лечение и профилактика на инфекции при </w:t>
            </w:r>
            <w:r w:rsidRPr="00442189">
              <w:rPr>
                <w:rFonts w:ascii="Times New Roman" w:hAnsi="Times New Roman" w:cs="Times New Roman"/>
                <w:sz w:val="24"/>
                <w:szCs w:val="24"/>
              </w:rPr>
              <w:t>хора и животни,</w:t>
            </w:r>
            <w:r w:rsidRPr="00152A66" w:rsidDel="00FC54AE">
              <w:rPr>
                <w:rFonts w:ascii="Times New Roman" w:hAnsi="Times New Roman" w:cs="Times New Roman"/>
                <w:sz w:val="24"/>
                <w:szCs w:val="24"/>
              </w:rPr>
              <w:t xml:space="preserve"> </w:t>
            </w:r>
            <w:r w:rsidRPr="00D53BB0">
              <w:rPr>
                <w:rFonts w:ascii="Times New Roman" w:hAnsi="Times New Roman" w:cs="Times New Roman"/>
                <w:sz w:val="24"/>
                <w:szCs w:val="24"/>
              </w:rPr>
              <w:t xml:space="preserve">с цел </w:t>
            </w:r>
            <w:r w:rsidRPr="00E47047">
              <w:rPr>
                <w:rFonts w:ascii="Times New Roman" w:eastAsia="Times New Roman" w:hAnsi="Times New Roman" w:cs="Times New Roman"/>
                <w:sz w:val="24"/>
                <w:szCs w:val="24"/>
              </w:rPr>
              <w:t>намаляване на консумацията и запазване на ефективността на антибио</w:t>
            </w:r>
            <w:r w:rsidRPr="0010137E">
              <w:rPr>
                <w:rFonts w:ascii="Times New Roman" w:eastAsia="Times New Roman" w:hAnsi="Times New Roman" w:cs="Times New Roman"/>
                <w:sz w:val="24"/>
                <w:szCs w:val="24"/>
              </w:rPr>
              <w:t>тиците.</w:t>
            </w:r>
          </w:p>
        </w:tc>
        <w:tc>
          <w:tcPr>
            <w:tcW w:w="1701" w:type="dxa"/>
            <w:vAlign w:val="center"/>
          </w:tcPr>
          <w:p w14:paraId="3896A4A8"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 xml:space="preserve">БАН, ВУ, НЦЗПБ, ИАЛ, БАБХ, НДНИВМИ  </w:t>
            </w:r>
          </w:p>
        </w:tc>
        <w:tc>
          <w:tcPr>
            <w:tcW w:w="1134" w:type="dxa"/>
            <w:vAlign w:val="center"/>
          </w:tcPr>
          <w:p w14:paraId="0637897E"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202</w:t>
            </w:r>
            <w:r>
              <w:rPr>
                <w:rFonts w:ascii="Times New Roman" w:hAnsi="Times New Roman" w:cs="Times New Roman"/>
                <w:sz w:val="24"/>
                <w:szCs w:val="24"/>
              </w:rPr>
              <w:t>6</w:t>
            </w:r>
            <w:r w:rsidRPr="0010137E">
              <w:rPr>
                <w:rFonts w:ascii="Times New Roman" w:eastAsia="Calibri" w:hAnsi="Times New Roman" w:cs="Times New Roman"/>
                <w:sz w:val="24"/>
                <w:szCs w:val="24"/>
              </w:rPr>
              <w:t xml:space="preserve"> – </w:t>
            </w:r>
            <w:r w:rsidRPr="0010137E">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1BA24CB1" w14:textId="77777777" w:rsidR="00503C65" w:rsidRPr="0010137E" w:rsidRDefault="00503C65" w:rsidP="00C315DE">
            <w:pPr>
              <w:spacing w:after="0" w:line="276" w:lineRule="auto"/>
              <w:rPr>
                <w:rFonts w:ascii="Times New Roman" w:hAnsi="Times New Roman" w:cs="Times New Roman"/>
                <w:sz w:val="24"/>
                <w:szCs w:val="24"/>
              </w:rPr>
            </w:pPr>
            <w:r w:rsidRPr="0010137E">
              <w:rPr>
                <w:rFonts w:ascii="Times New Roman" w:hAnsi="Times New Roman" w:cs="Times New Roman"/>
                <w:sz w:val="24"/>
                <w:szCs w:val="24"/>
              </w:rPr>
              <w:t xml:space="preserve">Проведени проучвания. </w:t>
            </w:r>
          </w:p>
        </w:tc>
        <w:tc>
          <w:tcPr>
            <w:tcW w:w="1843" w:type="dxa"/>
            <w:vAlign w:val="center"/>
          </w:tcPr>
          <w:p w14:paraId="3C64D255"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0</w:t>
            </w:r>
          </w:p>
        </w:tc>
        <w:tc>
          <w:tcPr>
            <w:tcW w:w="2131" w:type="dxa"/>
            <w:vAlign w:val="center"/>
          </w:tcPr>
          <w:p w14:paraId="02E5CAEB" w14:textId="77777777" w:rsidR="00503C65" w:rsidRPr="00115EE2"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бр. НЦЗПБ;</w:t>
            </w:r>
          </w:p>
          <w:p w14:paraId="44A64A26" w14:textId="77777777" w:rsidR="00503C65" w:rsidRPr="0010137E"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1</w:t>
            </w:r>
            <w:r>
              <w:rPr>
                <w:rFonts w:ascii="Times New Roman" w:hAnsi="Times New Roman" w:cs="Times New Roman"/>
                <w:sz w:val="24"/>
                <w:szCs w:val="24"/>
              </w:rPr>
              <w:t>бр. (ветеринарен сектор)</w:t>
            </w:r>
          </w:p>
        </w:tc>
      </w:tr>
      <w:tr w:rsidR="00503C65" w:rsidRPr="002262A7" w14:paraId="26613B85" w14:textId="77777777" w:rsidTr="00C315DE">
        <w:tc>
          <w:tcPr>
            <w:tcW w:w="721" w:type="dxa"/>
            <w:vAlign w:val="center"/>
          </w:tcPr>
          <w:p w14:paraId="14234B32"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3.</w:t>
            </w:r>
          </w:p>
        </w:tc>
        <w:tc>
          <w:tcPr>
            <w:tcW w:w="14588" w:type="dxa"/>
            <w:gridSpan w:val="6"/>
            <w:vAlign w:val="center"/>
          </w:tcPr>
          <w:p w14:paraId="290874D6" w14:textId="77777777" w:rsidR="00503C65" w:rsidRPr="001A763F" w:rsidRDefault="00503C65" w:rsidP="00C315DE">
            <w:pPr>
              <w:widowControl w:val="0"/>
              <w:spacing w:after="0" w:line="276" w:lineRule="auto"/>
              <w:rPr>
                <w:rFonts w:ascii="Times New Roman" w:eastAsiaTheme="majorEastAsia" w:hAnsi="Times New Roman" w:cs="Times New Roman"/>
                <w:b/>
                <w:bCs/>
                <w:sz w:val="24"/>
                <w:szCs w:val="24"/>
                <w:lang w:eastAsia="bg-BG"/>
              </w:rPr>
            </w:pPr>
            <w:r w:rsidRPr="001A763F">
              <w:rPr>
                <w:rFonts w:ascii="Times New Roman" w:eastAsiaTheme="majorEastAsia" w:hAnsi="Times New Roman" w:cs="Times New Roman"/>
                <w:b/>
                <w:bCs/>
                <w:sz w:val="24"/>
                <w:szCs w:val="24"/>
                <w:lang w:eastAsia="bg-BG"/>
              </w:rPr>
              <w:t>Основна цел 3:</w:t>
            </w:r>
          </w:p>
          <w:p w14:paraId="44770E02" w14:textId="77777777" w:rsidR="00503C65" w:rsidRPr="002262A7" w:rsidRDefault="00503C65" w:rsidP="00C315DE">
            <w:pPr>
              <w:widowControl w:val="0"/>
              <w:spacing w:after="0" w:line="276" w:lineRule="auto"/>
              <w:rPr>
                <w:rFonts w:ascii="Times New Roman" w:eastAsiaTheme="majorEastAsia" w:hAnsi="Times New Roman"/>
                <w:bCs/>
                <w:sz w:val="24"/>
                <w:szCs w:val="24"/>
                <w:lang w:eastAsia="bg-BG"/>
              </w:rPr>
            </w:pPr>
            <w:r w:rsidRPr="001A763F">
              <w:rPr>
                <w:rFonts w:ascii="Times New Roman" w:eastAsiaTheme="majorEastAsia" w:hAnsi="Times New Roman" w:cs="Times New Roman"/>
                <w:b/>
                <w:bCs/>
                <w:sz w:val="24"/>
                <w:szCs w:val="24"/>
                <w:lang w:eastAsia="bg-BG"/>
              </w:rPr>
              <w:t>Засилване на мерките по контрола и превенцията на инфекциите и намаляване на случаите на инфекции чрез превантивни действия, добри хигиенни практики и ефективни противоепидемични мерки</w:t>
            </w:r>
            <w:r w:rsidRPr="002262A7">
              <w:rPr>
                <w:rFonts w:ascii="Times New Roman" w:eastAsiaTheme="majorEastAsia" w:hAnsi="Times New Roman"/>
                <w:bCs/>
                <w:sz w:val="24"/>
                <w:szCs w:val="24"/>
                <w:lang w:eastAsia="bg-BG"/>
              </w:rPr>
              <w:t xml:space="preserve"> </w:t>
            </w:r>
          </w:p>
        </w:tc>
      </w:tr>
      <w:tr w:rsidR="00503C65" w:rsidRPr="002262A7" w14:paraId="72DC0E98" w14:textId="77777777" w:rsidTr="00C315DE">
        <w:tc>
          <w:tcPr>
            <w:tcW w:w="721" w:type="dxa"/>
            <w:vAlign w:val="center"/>
          </w:tcPr>
          <w:p w14:paraId="7B351A28"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lastRenderedPageBreak/>
              <w:t>3.1</w:t>
            </w:r>
            <w:r w:rsidRPr="002262A7">
              <w:rPr>
                <w:rFonts w:ascii="Times New Roman" w:hAnsi="Times New Roman" w:cs="Times New Roman"/>
                <w:sz w:val="24"/>
                <w:szCs w:val="24"/>
              </w:rPr>
              <w:t>.</w:t>
            </w:r>
          </w:p>
        </w:tc>
        <w:tc>
          <w:tcPr>
            <w:tcW w:w="5511" w:type="dxa"/>
            <w:vAlign w:val="center"/>
          </w:tcPr>
          <w:p w14:paraId="3F395D41"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Пилотен проект за въвеждане на бързи тестове в практиката на ОПЛ (т.нар. point of care), подпомагащи етиологичната диагностика на инфекциите с цел рационално използване на антибиотици</w:t>
            </w:r>
            <w:r>
              <w:rPr>
                <w:rFonts w:ascii="Times New Roman" w:hAnsi="Times New Roman" w:cs="Times New Roman"/>
                <w:sz w:val="24"/>
                <w:szCs w:val="24"/>
              </w:rPr>
              <w:t>.</w:t>
            </w:r>
            <w:r w:rsidRPr="002262A7">
              <w:rPr>
                <w:rFonts w:ascii="Times New Roman" w:hAnsi="Times New Roman" w:cs="Times New Roman"/>
                <w:sz w:val="24"/>
                <w:szCs w:val="24"/>
              </w:rPr>
              <w:t xml:space="preserve"> </w:t>
            </w:r>
          </w:p>
        </w:tc>
        <w:tc>
          <w:tcPr>
            <w:tcW w:w="1701" w:type="dxa"/>
            <w:vAlign w:val="center"/>
          </w:tcPr>
          <w:p w14:paraId="16BB4FAC"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kern w:val="24"/>
                <w:sz w:val="24"/>
                <w:szCs w:val="24"/>
              </w:rPr>
              <w:t xml:space="preserve">НЦЗПБ, МЗ, НЗОК, БЛС </w:t>
            </w:r>
          </w:p>
        </w:tc>
        <w:tc>
          <w:tcPr>
            <w:tcW w:w="1134" w:type="dxa"/>
            <w:vAlign w:val="center"/>
          </w:tcPr>
          <w:p w14:paraId="2AEC30C8"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8</w:t>
            </w:r>
          </w:p>
        </w:tc>
        <w:tc>
          <w:tcPr>
            <w:tcW w:w="2268" w:type="dxa"/>
            <w:vAlign w:val="center"/>
          </w:tcPr>
          <w:p w14:paraId="42184472" w14:textId="77777777" w:rsidR="00503C65" w:rsidRPr="002262A7" w:rsidRDefault="00503C65" w:rsidP="00C315DE">
            <w:pPr>
              <w:widowControl w:val="0"/>
              <w:spacing w:after="0" w:line="276" w:lineRule="auto"/>
              <w:rPr>
                <w:rFonts w:ascii="Times New Roman" w:hAnsi="Times New Roman" w:cs="Times New Roman"/>
                <w:color w:val="000000" w:themeColor="text1"/>
                <w:sz w:val="24"/>
                <w:szCs w:val="24"/>
              </w:rPr>
            </w:pPr>
            <w:r w:rsidRPr="002262A7">
              <w:rPr>
                <w:rFonts w:ascii="Times New Roman" w:hAnsi="Times New Roman" w:cs="Times New Roman"/>
                <w:sz w:val="24"/>
                <w:szCs w:val="24"/>
              </w:rPr>
              <w:t>Изготвени предложения.</w:t>
            </w:r>
          </w:p>
          <w:p w14:paraId="38069072" w14:textId="77777777" w:rsidR="00503C65" w:rsidRPr="002262A7" w:rsidRDefault="00503C65" w:rsidP="00C315DE">
            <w:pPr>
              <w:widowControl w:val="0"/>
              <w:spacing w:after="0" w:line="276" w:lineRule="auto"/>
              <w:rPr>
                <w:rFonts w:ascii="Times New Roman" w:hAnsi="Times New Roman" w:cs="Times New Roman"/>
                <w:color w:val="000000" w:themeColor="text1"/>
                <w:sz w:val="24"/>
                <w:szCs w:val="24"/>
              </w:rPr>
            </w:pPr>
            <w:r w:rsidRPr="002262A7">
              <w:rPr>
                <w:rFonts w:ascii="Times New Roman" w:hAnsi="Times New Roman" w:cs="Times New Roman"/>
                <w:color w:val="000000" w:themeColor="text1"/>
                <w:sz w:val="24"/>
                <w:szCs w:val="24"/>
              </w:rPr>
              <w:t>Реализиран пилотен проект за въвеждане на бързи тестове в практиката на ОПЛ.</w:t>
            </w:r>
          </w:p>
        </w:tc>
        <w:tc>
          <w:tcPr>
            <w:tcW w:w="1843" w:type="dxa"/>
            <w:vAlign w:val="center"/>
          </w:tcPr>
          <w:p w14:paraId="6EE046BE" w14:textId="77777777" w:rsidR="00503C65" w:rsidRDefault="004A7020" w:rsidP="00C315DE">
            <w:pPr>
              <w:spacing w:after="200" w:line="276" w:lineRule="auto"/>
              <w:rPr>
                <w:rFonts w:ascii="Times New Roman" w:hAnsi="Times New Roman" w:cs="Times New Roman"/>
                <w:color w:val="000000" w:themeColor="text1"/>
                <w:sz w:val="24"/>
                <w:szCs w:val="24"/>
              </w:rPr>
            </w:pPr>
            <w:r w:rsidRPr="0087461C">
              <w:rPr>
                <w:rFonts w:ascii="Times New Roman" w:hAnsi="Times New Roman" w:cs="Times New Roman"/>
                <w:color w:val="000000" w:themeColor="text1"/>
                <w:sz w:val="24"/>
                <w:szCs w:val="24"/>
                <w:highlight w:val="yellow"/>
              </w:rPr>
              <w:t>0</w:t>
            </w:r>
          </w:p>
          <w:p w14:paraId="2D06E55B" w14:textId="77777777" w:rsidR="00503C65" w:rsidRPr="002262A7" w:rsidRDefault="00503C65" w:rsidP="00C315DE">
            <w:pPr>
              <w:widowControl w:val="0"/>
              <w:spacing w:after="0" w:line="276" w:lineRule="auto"/>
              <w:rPr>
                <w:rFonts w:ascii="Times New Roman" w:hAnsi="Times New Roman" w:cs="Times New Roman"/>
                <w:color w:val="000000" w:themeColor="text1"/>
                <w:sz w:val="24"/>
                <w:szCs w:val="24"/>
              </w:rPr>
            </w:pPr>
          </w:p>
        </w:tc>
        <w:tc>
          <w:tcPr>
            <w:tcW w:w="2131" w:type="dxa"/>
            <w:vAlign w:val="center"/>
          </w:tcPr>
          <w:p w14:paraId="7C99911F" w14:textId="77777777" w:rsidR="00503C65" w:rsidRDefault="00503C65" w:rsidP="00C315DE">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проект</w:t>
            </w:r>
          </w:p>
          <w:p w14:paraId="2A6153E4" w14:textId="77777777" w:rsidR="00503C65" w:rsidRPr="002262A7" w:rsidRDefault="00503C65" w:rsidP="00C315DE">
            <w:pPr>
              <w:widowControl w:val="0"/>
              <w:spacing w:after="0" w:line="276" w:lineRule="auto"/>
              <w:rPr>
                <w:rFonts w:ascii="Times New Roman" w:hAnsi="Times New Roman" w:cs="Times New Roman"/>
                <w:color w:val="000000" w:themeColor="text1"/>
                <w:sz w:val="24"/>
                <w:szCs w:val="24"/>
              </w:rPr>
            </w:pPr>
          </w:p>
        </w:tc>
      </w:tr>
      <w:tr w:rsidR="00503C65" w:rsidRPr="002262A7" w14:paraId="2490FCA1" w14:textId="77777777" w:rsidTr="00C315DE">
        <w:tc>
          <w:tcPr>
            <w:tcW w:w="721" w:type="dxa"/>
            <w:vAlign w:val="center"/>
          </w:tcPr>
          <w:p w14:paraId="7F28C2F8"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3.2.</w:t>
            </w:r>
          </w:p>
        </w:tc>
        <w:tc>
          <w:tcPr>
            <w:tcW w:w="5511" w:type="dxa"/>
            <w:vAlign w:val="center"/>
          </w:tcPr>
          <w:p w14:paraId="59CC97B5"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Изготвяне на фармако-терапевтични ръководства за използване на антимикробни лекарствени продукти в извънболничната помощ с цел въвеждане на антибиотична политика в извънболничната помощ</w:t>
            </w:r>
          </w:p>
        </w:tc>
        <w:tc>
          <w:tcPr>
            <w:tcW w:w="1701" w:type="dxa"/>
            <w:vAlign w:val="center"/>
          </w:tcPr>
          <w:p w14:paraId="18E4DF16"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МЗ, НЦЗПБ, БЛС, НЗОК, НСЦРЛП</w:t>
            </w:r>
          </w:p>
        </w:tc>
        <w:tc>
          <w:tcPr>
            <w:tcW w:w="1134" w:type="dxa"/>
            <w:vAlign w:val="center"/>
          </w:tcPr>
          <w:p w14:paraId="1F4F0ACA"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365D98E9"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Изготвени фармако-терапевтични ръководства.</w:t>
            </w:r>
          </w:p>
        </w:tc>
        <w:tc>
          <w:tcPr>
            <w:tcW w:w="1843" w:type="dxa"/>
            <w:vAlign w:val="center"/>
          </w:tcPr>
          <w:p w14:paraId="3FBFFEF5" w14:textId="77777777" w:rsidR="00503C65" w:rsidRPr="002262A7" w:rsidRDefault="00503C65" w:rsidP="00C315DE">
            <w:pPr>
              <w:widowControl w:val="0"/>
              <w:spacing w:after="0" w:line="276" w:lineRule="auto"/>
              <w:rPr>
                <w:rFonts w:ascii="Times New Roman" w:hAnsi="Times New Roman" w:cs="Times New Roman"/>
                <w:sz w:val="24"/>
                <w:szCs w:val="24"/>
              </w:rPr>
            </w:pPr>
          </w:p>
        </w:tc>
        <w:tc>
          <w:tcPr>
            <w:tcW w:w="2131" w:type="dxa"/>
            <w:vAlign w:val="center"/>
          </w:tcPr>
          <w:p w14:paraId="43A4CE73" w14:textId="77777777" w:rsidR="00503C65" w:rsidRPr="002262A7" w:rsidRDefault="00503C65" w:rsidP="00C315DE">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1 фармакоте-рапевтично ръководство</w:t>
            </w:r>
          </w:p>
        </w:tc>
      </w:tr>
      <w:tr w:rsidR="00503C65" w:rsidRPr="002262A7" w14:paraId="71E6CDBC" w14:textId="77777777" w:rsidTr="00C315DE">
        <w:tc>
          <w:tcPr>
            <w:tcW w:w="721" w:type="dxa"/>
            <w:vMerge w:val="restart"/>
            <w:vAlign w:val="center"/>
          </w:tcPr>
          <w:p w14:paraId="693860B6"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3.3.</w:t>
            </w:r>
          </w:p>
        </w:tc>
        <w:tc>
          <w:tcPr>
            <w:tcW w:w="5511" w:type="dxa"/>
            <w:vAlign w:val="center"/>
          </w:tcPr>
          <w:p w14:paraId="32E3171C"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Укрепване на управлението на антибиотичната политика в болничната помощ съгласно утвърдения </w:t>
            </w:r>
            <w:r>
              <w:rPr>
                <w:rFonts w:ascii="Times New Roman" w:hAnsi="Times New Roman" w:cs="Times New Roman"/>
                <w:sz w:val="24"/>
                <w:szCs w:val="24"/>
              </w:rPr>
              <w:t xml:space="preserve">с Наредба № 3 от 08.05.2013 г. на Министерство на здравеопазването </w:t>
            </w:r>
            <w:r w:rsidRPr="002262A7">
              <w:rPr>
                <w:rFonts w:ascii="Times New Roman" w:hAnsi="Times New Roman" w:cs="Times New Roman"/>
                <w:sz w:val="24"/>
                <w:szCs w:val="24"/>
              </w:rPr>
              <w:t>медицински стандарт по превенция и контрол на ВБИ и Наредба 2 от 10.01.2005г. за организацията на профилактиката и контрола на ВБИ (обн. ДВ бр. 8 от 2005г., изм. и доп. Бр. 69 от 2010 г.) чрез:</w:t>
            </w:r>
          </w:p>
        </w:tc>
        <w:tc>
          <w:tcPr>
            <w:tcW w:w="1701" w:type="dxa"/>
            <w:vAlign w:val="center"/>
          </w:tcPr>
          <w:p w14:paraId="4CFA63B7" w14:textId="77777777" w:rsidR="00503C65" w:rsidRPr="002262A7" w:rsidRDefault="00503C65" w:rsidP="00C315DE">
            <w:pPr>
              <w:widowControl w:val="0"/>
              <w:spacing w:after="0" w:line="276" w:lineRule="auto"/>
              <w:rPr>
                <w:rFonts w:ascii="Times New Roman" w:hAnsi="Times New Roman" w:cs="Times New Roman"/>
                <w:kern w:val="24"/>
                <w:sz w:val="24"/>
                <w:szCs w:val="24"/>
              </w:rPr>
            </w:pPr>
          </w:p>
        </w:tc>
        <w:tc>
          <w:tcPr>
            <w:tcW w:w="1134" w:type="dxa"/>
            <w:vMerge w:val="restart"/>
            <w:vAlign w:val="center"/>
          </w:tcPr>
          <w:p w14:paraId="3CD03574"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9</w:t>
            </w:r>
          </w:p>
        </w:tc>
        <w:tc>
          <w:tcPr>
            <w:tcW w:w="6242" w:type="dxa"/>
            <w:gridSpan w:val="3"/>
            <w:vAlign w:val="center"/>
          </w:tcPr>
          <w:p w14:paraId="1A9F720B"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4187B9FA" w14:textId="77777777" w:rsidTr="00C315DE">
        <w:tc>
          <w:tcPr>
            <w:tcW w:w="721" w:type="dxa"/>
            <w:vMerge/>
            <w:vAlign w:val="center"/>
          </w:tcPr>
          <w:p w14:paraId="3E6F98E9"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5A4A06F9" w14:textId="77777777" w:rsidR="00503C65" w:rsidRPr="002262A7" w:rsidRDefault="00503C65" w:rsidP="00C315DE">
            <w:pPr>
              <w:tabs>
                <w:tab w:val="right" w:pos="292"/>
              </w:tabs>
              <w:spacing w:after="0" w:line="276" w:lineRule="auto"/>
              <w:rPr>
                <w:rFonts w:ascii="Times New Roman" w:hAnsi="Times New Roman" w:cs="Times New Roman"/>
                <w:sz w:val="24"/>
                <w:szCs w:val="24"/>
              </w:rPr>
            </w:pPr>
            <w:r w:rsidRPr="002262A7">
              <w:rPr>
                <w:rFonts w:ascii="Times New Roman" w:hAnsi="Times New Roman" w:cs="Times New Roman"/>
                <w:sz w:val="24"/>
                <w:szCs w:val="24"/>
              </w:rPr>
              <w:t>- анализ на практиките за отчитане на ВБИ, идентифициране на съществуващи проблеми и предприемане на съответни действия, вкл. предложения за нормативни промени при необходимост за подобряване на отчетността и контрола;</w:t>
            </w:r>
          </w:p>
        </w:tc>
        <w:tc>
          <w:tcPr>
            <w:tcW w:w="1701" w:type="dxa"/>
            <w:vMerge w:val="restart"/>
            <w:vAlign w:val="center"/>
          </w:tcPr>
          <w:p w14:paraId="64FA609C" w14:textId="77777777" w:rsidR="00503C65" w:rsidRPr="002262A7" w:rsidRDefault="00503C65" w:rsidP="00C315DE">
            <w:pPr>
              <w:widowControl w:val="0"/>
              <w:spacing w:after="0" w:line="276" w:lineRule="auto"/>
              <w:rPr>
                <w:rFonts w:ascii="Times New Roman" w:hAnsi="Times New Roman" w:cs="Times New Roman"/>
                <w:kern w:val="24"/>
                <w:sz w:val="24"/>
                <w:szCs w:val="24"/>
              </w:rPr>
            </w:pPr>
            <w:r w:rsidRPr="002262A7">
              <w:rPr>
                <w:rFonts w:ascii="Times New Roman" w:hAnsi="Times New Roman" w:cs="Times New Roman"/>
                <w:kern w:val="24"/>
                <w:sz w:val="24"/>
                <w:szCs w:val="24"/>
              </w:rPr>
              <w:t>НЦЗПБ, РЗИ, БЛС,</w:t>
            </w:r>
            <w:r>
              <w:rPr>
                <w:rFonts w:ascii="Times New Roman" w:hAnsi="Times New Roman" w:cs="Times New Roman"/>
                <w:kern w:val="24"/>
                <w:sz w:val="24"/>
                <w:szCs w:val="24"/>
              </w:rPr>
              <w:t xml:space="preserve"> НЗОК,</w:t>
            </w:r>
          </w:p>
          <w:p w14:paraId="74593EEC" w14:textId="77777777" w:rsidR="00503C65" w:rsidRPr="002262A7" w:rsidRDefault="00503C65" w:rsidP="00C315DE">
            <w:pPr>
              <w:widowControl w:val="0"/>
              <w:spacing w:after="0" w:line="276" w:lineRule="auto"/>
              <w:rPr>
                <w:rFonts w:ascii="Times New Roman" w:hAnsi="Times New Roman" w:cs="Times New Roman"/>
                <w:kern w:val="24"/>
                <w:sz w:val="24"/>
                <w:szCs w:val="24"/>
              </w:rPr>
            </w:pPr>
            <w:r w:rsidRPr="002262A7">
              <w:rPr>
                <w:rFonts w:ascii="Times New Roman" w:hAnsi="Times New Roman" w:cs="Times New Roman"/>
                <w:kern w:val="24"/>
                <w:sz w:val="24"/>
                <w:szCs w:val="24"/>
              </w:rPr>
              <w:t xml:space="preserve">лечебни заведения за болнична помощ, </w:t>
            </w:r>
          </w:p>
          <w:p w14:paraId="1ECFE669"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kern w:val="24"/>
                <w:sz w:val="24"/>
                <w:szCs w:val="24"/>
              </w:rPr>
              <w:lastRenderedPageBreak/>
              <w:t>експертни съвети към МЗ</w:t>
            </w:r>
          </w:p>
        </w:tc>
        <w:tc>
          <w:tcPr>
            <w:tcW w:w="1134" w:type="dxa"/>
            <w:vMerge/>
            <w:vAlign w:val="center"/>
          </w:tcPr>
          <w:p w14:paraId="28C71B98"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797A5AB3"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Извършени проверки и анализ.</w:t>
            </w:r>
          </w:p>
        </w:tc>
        <w:tc>
          <w:tcPr>
            <w:tcW w:w="1843" w:type="dxa"/>
            <w:vAlign w:val="center"/>
          </w:tcPr>
          <w:p w14:paraId="65F685FA"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3D7EB8E3"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анализ</w:t>
            </w:r>
          </w:p>
        </w:tc>
      </w:tr>
      <w:tr w:rsidR="00503C65" w:rsidRPr="002262A7" w14:paraId="231C3793" w14:textId="77777777" w:rsidTr="00C315DE">
        <w:tc>
          <w:tcPr>
            <w:tcW w:w="721" w:type="dxa"/>
            <w:vMerge/>
            <w:vAlign w:val="center"/>
          </w:tcPr>
          <w:p w14:paraId="0EF679AD"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20A68AC3" w14:textId="77777777" w:rsidR="00503C65" w:rsidRPr="002262A7" w:rsidRDefault="00503C65" w:rsidP="00C315DE">
            <w:pPr>
              <w:tabs>
                <w:tab w:val="right" w:pos="292"/>
              </w:tabs>
              <w:spacing w:after="0" w:line="276" w:lineRule="auto"/>
              <w:rPr>
                <w:rFonts w:ascii="Times New Roman" w:hAnsi="Times New Roman" w:cs="Times New Roman"/>
                <w:sz w:val="24"/>
                <w:szCs w:val="24"/>
              </w:rPr>
            </w:pPr>
            <w:r w:rsidRPr="002262A7">
              <w:rPr>
                <w:rFonts w:ascii="Times New Roman" w:hAnsi="Times New Roman" w:cs="Times New Roman"/>
                <w:sz w:val="24"/>
                <w:szCs w:val="24"/>
              </w:rPr>
              <w:t>- изготвяне на ръководство за ограничаване разпространението на множествено-резистентни бактерии посредством мерки за превенция и контрол на инфекциите в лечебните заведения за болнична помощ;</w:t>
            </w:r>
            <w:r w:rsidRPr="002262A7">
              <w:rPr>
                <w:rFonts w:ascii="Times New Roman" w:hAnsi="Times New Roman" w:cs="Times New Roman"/>
                <w:sz w:val="24"/>
                <w:szCs w:val="24"/>
                <w:lang w:eastAsia="zh-CN"/>
              </w:rPr>
              <w:t xml:space="preserve"> </w:t>
            </w:r>
          </w:p>
        </w:tc>
        <w:tc>
          <w:tcPr>
            <w:tcW w:w="1701" w:type="dxa"/>
            <w:vMerge/>
            <w:vAlign w:val="center"/>
          </w:tcPr>
          <w:p w14:paraId="3026150F"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p>
        </w:tc>
        <w:tc>
          <w:tcPr>
            <w:tcW w:w="1134" w:type="dxa"/>
            <w:vMerge/>
            <w:vAlign w:val="center"/>
          </w:tcPr>
          <w:p w14:paraId="4002BF75"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4477D1A2"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Изготвено и отпечатено ръководство за ограничаване разпространението на множествено-резистентни бактерии посредством мерки за превенция и контрол на инфекциите в ЛЗ за болнична помощ.</w:t>
            </w:r>
          </w:p>
        </w:tc>
        <w:tc>
          <w:tcPr>
            <w:tcW w:w="1843" w:type="dxa"/>
            <w:vAlign w:val="center"/>
          </w:tcPr>
          <w:p w14:paraId="43B1FD6E"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1E544D0A"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отпечатано ръководство</w:t>
            </w:r>
          </w:p>
        </w:tc>
      </w:tr>
      <w:tr w:rsidR="00503C65" w:rsidRPr="002262A7" w14:paraId="114138D9" w14:textId="77777777" w:rsidTr="00C315DE">
        <w:tc>
          <w:tcPr>
            <w:tcW w:w="721" w:type="dxa"/>
            <w:vMerge/>
            <w:vAlign w:val="center"/>
          </w:tcPr>
          <w:p w14:paraId="0C8CCC0F"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107D2422" w14:textId="77777777" w:rsidR="00503C65" w:rsidRPr="002262A7" w:rsidRDefault="00503C65" w:rsidP="00C315DE">
            <w:pPr>
              <w:tabs>
                <w:tab w:val="right" w:pos="292"/>
              </w:tabs>
              <w:spacing w:after="0" w:line="276" w:lineRule="auto"/>
              <w:rPr>
                <w:rFonts w:ascii="Times New Roman" w:hAnsi="Times New Roman" w:cs="Times New Roman"/>
                <w:sz w:val="24"/>
                <w:szCs w:val="24"/>
              </w:rPr>
            </w:pPr>
            <w:r w:rsidRPr="002262A7">
              <w:rPr>
                <w:rFonts w:ascii="Times New Roman" w:hAnsi="Times New Roman" w:cs="Times New Roman"/>
                <w:kern w:val="24"/>
                <w:sz w:val="24"/>
                <w:szCs w:val="24"/>
              </w:rPr>
              <w:t xml:space="preserve">- </w:t>
            </w:r>
            <w:r w:rsidRPr="00EB6522">
              <w:rPr>
                <w:rFonts w:ascii="Times New Roman" w:hAnsi="Times New Roman" w:cs="Times New Roman"/>
                <w:kern w:val="24"/>
                <w:sz w:val="24"/>
                <w:szCs w:val="24"/>
              </w:rPr>
              <w:t>ревизиране на алгоритмите на клинични пътеки с оглед прилагане на правилата за антибиотична употреба и управление на консумацията на антибиотици;</w:t>
            </w:r>
          </w:p>
        </w:tc>
        <w:tc>
          <w:tcPr>
            <w:tcW w:w="1701" w:type="dxa"/>
            <w:vMerge/>
            <w:vAlign w:val="center"/>
          </w:tcPr>
          <w:p w14:paraId="2BDFE72C"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p>
        </w:tc>
        <w:tc>
          <w:tcPr>
            <w:tcW w:w="1134" w:type="dxa"/>
            <w:vMerge/>
            <w:vAlign w:val="center"/>
          </w:tcPr>
          <w:p w14:paraId="47B44D03"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6AFB579C"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Брой ревизирани клинични пътеки.</w:t>
            </w:r>
          </w:p>
        </w:tc>
        <w:tc>
          <w:tcPr>
            <w:tcW w:w="1843" w:type="dxa"/>
            <w:shd w:val="clear" w:color="auto" w:fill="auto"/>
            <w:vAlign w:val="center"/>
          </w:tcPr>
          <w:p w14:paraId="475CEE9D" w14:textId="77777777" w:rsidR="00503C65" w:rsidRPr="00EB6522" w:rsidRDefault="0087461C" w:rsidP="00C315DE">
            <w:pPr>
              <w:spacing w:after="0" w:line="276" w:lineRule="auto"/>
              <w:rPr>
                <w:rFonts w:ascii="Times New Roman" w:hAnsi="Times New Roman" w:cs="Times New Roman"/>
                <w:sz w:val="24"/>
                <w:szCs w:val="24"/>
              </w:rPr>
            </w:pPr>
            <w:r w:rsidRPr="00EB6522">
              <w:rPr>
                <w:rFonts w:ascii="Times New Roman" w:hAnsi="Times New Roman" w:cs="Times New Roman"/>
                <w:sz w:val="24"/>
                <w:szCs w:val="24"/>
              </w:rPr>
              <w:t>0</w:t>
            </w:r>
          </w:p>
        </w:tc>
        <w:tc>
          <w:tcPr>
            <w:tcW w:w="2131" w:type="dxa"/>
            <w:shd w:val="clear" w:color="auto" w:fill="auto"/>
            <w:vAlign w:val="center"/>
          </w:tcPr>
          <w:p w14:paraId="533AC916" w14:textId="77777777" w:rsidR="00503C65" w:rsidRPr="00EB6522" w:rsidRDefault="0087461C" w:rsidP="00C315DE">
            <w:pPr>
              <w:spacing w:after="0" w:line="276" w:lineRule="auto"/>
              <w:rPr>
                <w:rFonts w:ascii="Times New Roman" w:hAnsi="Times New Roman" w:cs="Times New Roman"/>
                <w:sz w:val="24"/>
                <w:szCs w:val="24"/>
              </w:rPr>
            </w:pPr>
            <w:r w:rsidRPr="00EB6522">
              <w:rPr>
                <w:rFonts w:ascii="Times New Roman" w:hAnsi="Times New Roman" w:cs="Times New Roman"/>
                <w:sz w:val="24"/>
                <w:szCs w:val="24"/>
              </w:rPr>
              <w:t>4</w:t>
            </w:r>
          </w:p>
        </w:tc>
      </w:tr>
      <w:tr w:rsidR="00503C65" w:rsidRPr="002262A7" w14:paraId="3F134893" w14:textId="77777777" w:rsidTr="00C315DE">
        <w:tc>
          <w:tcPr>
            <w:tcW w:w="721" w:type="dxa"/>
            <w:vMerge/>
            <w:vAlign w:val="center"/>
          </w:tcPr>
          <w:p w14:paraId="0E2E86DF"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29F8C8AB" w14:textId="77777777" w:rsidR="00503C65" w:rsidRPr="002262A7" w:rsidRDefault="00503C65" w:rsidP="00C315DE">
            <w:pPr>
              <w:tabs>
                <w:tab w:val="right" w:pos="292"/>
              </w:tabs>
              <w:spacing w:after="0" w:line="276" w:lineRule="auto"/>
              <w:rPr>
                <w:rFonts w:ascii="Times New Roman" w:hAnsi="Times New Roman" w:cs="Times New Roman"/>
                <w:sz w:val="24"/>
                <w:szCs w:val="24"/>
              </w:rPr>
            </w:pPr>
            <w:r w:rsidRPr="002262A7">
              <w:rPr>
                <w:rFonts w:ascii="Times New Roman" w:hAnsi="Times New Roman" w:cs="Times New Roman"/>
                <w:sz w:val="24"/>
                <w:szCs w:val="24"/>
              </w:rPr>
              <w:t>- изготвяне на протоколи и въвеждане на селективен скрининг за носителство на множествено-резистентни причинители (</w:t>
            </w:r>
            <w:r w:rsidRPr="002262A7">
              <w:rPr>
                <w:rFonts w:ascii="Times New Roman" w:hAnsi="Times New Roman" w:cs="Times New Roman"/>
                <w:sz w:val="24"/>
                <w:szCs w:val="24"/>
                <w:lang w:val="en-US"/>
              </w:rPr>
              <w:t xml:space="preserve">CRE и CCRE </w:t>
            </w:r>
            <w:r w:rsidRPr="002262A7">
              <w:rPr>
                <w:rFonts w:ascii="Times New Roman" w:hAnsi="Times New Roman" w:cs="Times New Roman"/>
                <w:sz w:val="24"/>
                <w:szCs w:val="24"/>
              </w:rPr>
              <w:t>и др.) при рискови групи пациенти и медицински персонал;</w:t>
            </w:r>
          </w:p>
        </w:tc>
        <w:tc>
          <w:tcPr>
            <w:tcW w:w="1701" w:type="dxa"/>
            <w:vMerge/>
            <w:vAlign w:val="center"/>
          </w:tcPr>
          <w:p w14:paraId="48370FAD"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p>
        </w:tc>
        <w:tc>
          <w:tcPr>
            <w:tcW w:w="1134" w:type="dxa"/>
            <w:vMerge/>
            <w:vAlign w:val="center"/>
          </w:tcPr>
          <w:p w14:paraId="03614B99"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469DE7B3"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Изготвени национални/ регионални протоколи за скрининг за носителство за множествено-резистентни причинители (</w:t>
            </w:r>
            <w:r w:rsidRPr="002262A7">
              <w:rPr>
                <w:rFonts w:ascii="Times New Roman" w:hAnsi="Times New Roman" w:cs="Times New Roman"/>
                <w:sz w:val="24"/>
                <w:szCs w:val="24"/>
                <w:lang w:val="en-US"/>
              </w:rPr>
              <w:t xml:space="preserve">CRE и CCRE </w:t>
            </w:r>
            <w:r w:rsidRPr="002262A7">
              <w:rPr>
                <w:rFonts w:ascii="Times New Roman" w:hAnsi="Times New Roman" w:cs="Times New Roman"/>
                <w:sz w:val="24"/>
                <w:szCs w:val="24"/>
              </w:rPr>
              <w:t>и др.).</w:t>
            </w:r>
          </w:p>
        </w:tc>
        <w:tc>
          <w:tcPr>
            <w:tcW w:w="1843" w:type="dxa"/>
            <w:vAlign w:val="center"/>
          </w:tcPr>
          <w:p w14:paraId="32CEA3EE"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3C73BC80"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 протокол (НЦЗПБ)</w:t>
            </w:r>
          </w:p>
        </w:tc>
      </w:tr>
      <w:tr w:rsidR="00503C65" w:rsidRPr="002262A7" w14:paraId="52A248E1" w14:textId="77777777" w:rsidTr="00C315DE">
        <w:tc>
          <w:tcPr>
            <w:tcW w:w="721" w:type="dxa"/>
            <w:vMerge/>
            <w:vAlign w:val="center"/>
          </w:tcPr>
          <w:p w14:paraId="61D41394"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20000F5A" w14:textId="77777777" w:rsidR="00503C65" w:rsidRPr="002262A7" w:rsidRDefault="00503C65" w:rsidP="00C315DE">
            <w:pPr>
              <w:tabs>
                <w:tab w:val="right" w:pos="292"/>
              </w:tabs>
              <w:spacing w:after="0" w:line="276" w:lineRule="auto"/>
              <w:rPr>
                <w:rFonts w:ascii="Times New Roman" w:hAnsi="Times New Roman" w:cs="Times New Roman"/>
                <w:sz w:val="24"/>
                <w:szCs w:val="24"/>
              </w:rPr>
            </w:pPr>
            <w:r w:rsidRPr="002262A7">
              <w:rPr>
                <w:rFonts w:ascii="Times New Roman" w:hAnsi="Times New Roman" w:cs="Times New Roman"/>
                <w:sz w:val="24"/>
                <w:szCs w:val="24"/>
              </w:rPr>
              <w:t>- изготвяне на предложение за нормативно изискване, задължаващо болниците да поддържат и предоставят изолационни стаи за пациенти, колонизирани или с инфекции, причинени от определени рискови групи резистентни микроорганизми.</w:t>
            </w:r>
          </w:p>
        </w:tc>
        <w:tc>
          <w:tcPr>
            <w:tcW w:w="1701" w:type="dxa"/>
            <w:vMerge/>
            <w:vAlign w:val="center"/>
          </w:tcPr>
          <w:p w14:paraId="3D59A977"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p>
        </w:tc>
        <w:tc>
          <w:tcPr>
            <w:tcW w:w="1134" w:type="dxa"/>
            <w:vMerge/>
            <w:vAlign w:val="center"/>
          </w:tcPr>
          <w:p w14:paraId="33C715CB"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779BE53C"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Изготвено предложение.</w:t>
            </w:r>
          </w:p>
        </w:tc>
        <w:tc>
          <w:tcPr>
            <w:tcW w:w="1843" w:type="dxa"/>
            <w:shd w:val="clear" w:color="auto" w:fill="auto"/>
            <w:vAlign w:val="center"/>
          </w:tcPr>
          <w:p w14:paraId="32B61C7E"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shd w:val="clear" w:color="auto" w:fill="auto"/>
            <w:vAlign w:val="center"/>
          </w:tcPr>
          <w:p w14:paraId="0F6FE49E"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1</w:t>
            </w:r>
          </w:p>
        </w:tc>
      </w:tr>
      <w:tr w:rsidR="00503C65" w:rsidRPr="002262A7" w14:paraId="3661A770" w14:textId="77777777" w:rsidTr="00C315DE">
        <w:tc>
          <w:tcPr>
            <w:tcW w:w="721" w:type="dxa"/>
            <w:vMerge/>
            <w:vAlign w:val="center"/>
          </w:tcPr>
          <w:p w14:paraId="36D2C485" w14:textId="77777777" w:rsidR="00503C65" w:rsidRPr="002262A7" w:rsidRDefault="00503C65" w:rsidP="00C315DE">
            <w:pPr>
              <w:spacing w:after="0" w:line="276" w:lineRule="auto"/>
              <w:rPr>
                <w:rFonts w:ascii="Times New Roman" w:hAnsi="Times New Roman" w:cs="Times New Roman"/>
                <w:b/>
                <w:sz w:val="24"/>
                <w:szCs w:val="24"/>
              </w:rPr>
            </w:pPr>
          </w:p>
        </w:tc>
        <w:tc>
          <w:tcPr>
            <w:tcW w:w="5511" w:type="dxa"/>
            <w:vAlign w:val="center"/>
          </w:tcPr>
          <w:p w14:paraId="4EC9E18E" w14:textId="77777777" w:rsidR="00503C65" w:rsidRPr="002262A7" w:rsidRDefault="00503C65" w:rsidP="00C315DE">
            <w:pPr>
              <w:widowControl w:val="0"/>
              <w:spacing w:after="0" w:line="276" w:lineRule="auto"/>
              <w:ind w:left="113" w:hanging="113"/>
              <w:rPr>
                <w:rFonts w:ascii="Times New Roman" w:hAnsi="Times New Roman" w:cs="Times New Roman"/>
                <w:sz w:val="24"/>
                <w:szCs w:val="24"/>
              </w:rPr>
            </w:pPr>
            <w:r w:rsidRPr="002262A7">
              <w:rPr>
                <w:rFonts w:ascii="Times New Roman" w:hAnsi="Times New Roman" w:cs="Times New Roman"/>
                <w:sz w:val="24"/>
                <w:szCs w:val="24"/>
              </w:rPr>
              <w:t xml:space="preserve">- Провеждане на проучване, насочено към промяната на АМР след период на активна употреба на макролиди, трето-генерационни цефалоспорини и други широкоспектърни антимикробни средства по време на пандемията от </w:t>
            </w:r>
            <w:r w:rsidRPr="002262A7">
              <w:rPr>
                <w:rFonts w:ascii="Times New Roman" w:hAnsi="Times New Roman" w:cs="Times New Roman"/>
                <w:sz w:val="24"/>
                <w:szCs w:val="24"/>
                <w:lang w:val="en-US"/>
              </w:rPr>
              <w:t>COVID-19</w:t>
            </w:r>
            <w:r w:rsidRPr="002262A7">
              <w:rPr>
                <w:rFonts w:ascii="Times New Roman" w:hAnsi="Times New Roman" w:cs="Times New Roman"/>
                <w:sz w:val="24"/>
                <w:szCs w:val="24"/>
              </w:rPr>
              <w:t xml:space="preserve"> в България. Охарактеризиране на нови механизми на резистентност с най-съвременни генетични методи и публикуване на резултатите в референтни български и международни източници.</w:t>
            </w:r>
          </w:p>
        </w:tc>
        <w:tc>
          <w:tcPr>
            <w:tcW w:w="1701" w:type="dxa"/>
            <w:vAlign w:val="center"/>
          </w:tcPr>
          <w:p w14:paraId="31DEEA1D"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Pr>
                <w:rFonts w:ascii="Times New Roman" w:hAnsi="Times New Roman" w:cs="Times New Roman"/>
                <w:kern w:val="24"/>
                <w:sz w:val="24"/>
                <w:szCs w:val="24"/>
              </w:rPr>
              <w:t xml:space="preserve">НЦЗПБ, </w:t>
            </w:r>
            <w:r w:rsidRPr="002262A7">
              <w:rPr>
                <w:rFonts w:ascii="Times New Roman" w:hAnsi="Times New Roman" w:cs="Times New Roman"/>
                <w:kern w:val="24"/>
                <w:sz w:val="24"/>
                <w:szCs w:val="24"/>
              </w:rPr>
              <w:t>Медицински университети</w:t>
            </w:r>
            <w:r>
              <w:rPr>
                <w:rFonts w:ascii="Times New Roman" w:hAnsi="Times New Roman" w:cs="Times New Roman"/>
                <w:kern w:val="24"/>
                <w:sz w:val="24"/>
                <w:szCs w:val="24"/>
              </w:rPr>
              <w:t>, лечебни заведения за болнична помощ</w:t>
            </w:r>
            <w:r w:rsidRPr="002262A7">
              <w:rPr>
                <w:rFonts w:ascii="Times New Roman" w:eastAsia="Calibri" w:hAnsi="Times New Roman" w:cs="Times New Roman"/>
                <w:sz w:val="24"/>
                <w:szCs w:val="24"/>
              </w:rPr>
              <w:t xml:space="preserve"> </w:t>
            </w:r>
          </w:p>
        </w:tc>
        <w:tc>
          <w:tcPr>
            <w:tcW w:w="1134" w:type="dxa"/>
            <w:vMerge/>
            <w:vAlign w:val="center"/>
          </w:tcPr>
          <w:p w14:paraId="4FC83918" w14:textId="77777777" w:rsidR="00503C65" w:rsidRPr="002262A7" w:rsidRDefault="00503C65" w:rsidP="00C315DE">
            <w:pPr>
              <w:spacing w:after="0" w:line="276" w:lineRule="auto"/>
              <w:rPr>
                <w:rFonts w:ascii="Times New Roman" w:hAnsi="Times New Roman" w:cs="Times New Roman"/>
                <w:sz w:val="24"/>
                <w:szCs w:val="24"/>
              </w:rPr>
            </w:pPr>
          </w:p>
        </w:tc>
        <w:tc>
          <w:tcPr>
            <w:tcW w:w="2268" w:type="dxa"/>
            <w:vAlign w:val="center"/>
          </w:tcPr>
          <w:p w14:paraId="4F433066"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Проведено проучване.</w:t>
            </w:r>
          </w:p>
          <w:p w14:paraId="5FA49B5C"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Установ</w:t>
            </w:r>
            <w:r>
              <w:rPr>
                <w:rFonts w:ascii="Times New Roman" w:hAnsi="Times New Roman" w:cs="Times New Roman"/>
                <w:sz w:val="24"/>
                <w:szCs w:val="24"/>
              </w:rPr>
              <w:t>е</w:t>
            </w:r>
            <w:r w:rsidRPr="002262A7">
              <w:rPr>
                <w:rFonts w:ascii="Times New Roman" w:hAnsi="Times New Roman" w:cs="Times New Roman"/>
                <w:sz w:val="24"/>
                <w:szCs w:val="24"/>
              </w:rPr>
              <w:t>ни/доказани нови механизми на резистентност с на</w:t>
            </w:r>
            <w:r>
              <w:rPr>
                <w:rFonts w:ascii="Times New Roman" w:hAnsi="Times New Roman" w:cs="Times New Roman"/>
                <w:sz w:val="24"/>
                <w:szCs w:val="24"/>
              </w:rPr>
              <w:t xml:space="preserve">й-съвременни генетични методи. </w:t>
            </w:r>
            <w:r w:rsidRPr="002262A7">
              <w:rPr>
                <w:rFonts w:ascii="Times New Roman" w:hAnsi="Times New Roman" w:cs="Times New Roman"/>
                <w:sz w:val="24"/>
                <w:szCs w:val="24"/>
              </w:rPr>
              <w:t>Публикувани резултати в референтни български и международни списания.</w:t>
            </w:r>
          </w:p>
        </w:tc>
        <w:tc>
          <w:tcPr>
            <w:tcW w:w="1843" w:type="dxa"/>
            <w:vAlign w:val="center"/>
          </w:tcPr>
          <w:p w14:paraId="48E8FE40" w14:textId="77777777" w:rsidR="00503C65" w:rsidRDefault="00503C65" w:rsidP="00C315DE">
            <w:pPr>
              <w:spacing w:after="200" w:line="276" w:lineRule="auto"/>
              <w:rPr>
                <w:rFonts w:ascii="Times New Roman" w:hAnsi="Times New Roman" w:cs="Times New Roman"/>
                <w:sz w:val="24"/>
                <w:szCs w:val="24"/>
              </w:rPr>
            </w:pPr>
            <w:r>
              <w:rPr>
                <w:rFonts w:ascii="Times New Roman" w:hAnsi="Times New Roman" w:cs="Times New Roman"/>
                <w:sz w:val="24"/>
                <w:szCs w:val="24"/>
              </w:rPr>
              <w:t>0</w:t>
            </w:r>
          </w:p>
          <w:p w14:paraId="2D6EB152" w14:textId="77777777" w:rsidR="00503C65" w:rsidRPr="002262A7" w:rsidRDefault="00503C65" w:rsidP="00C315DE">
            <w:pPr>
              <w:spacing w:after="0" w:line="276" w:lineRule="auto"/>
              <w:rPr>
                <w:rFonts w:ascii="Times New Roman" w:hAnsi="Times New Roman" w:cs="Times New Roman"/>
                <w:sz w:val="24"/>
                <w:szCs w:val="24"/>
              </w:rPr>
            </w:pPr>
          </w:p>
        </w:tc>
        <w:tc>
          <w:tcPr>
            <w:tcW w:w="2131" w:type="dxa"/>
            <w:vAlign w:val="center"/>
          </w:tcPr>
          <w:p w14:paraId="0A9568FD" w14:textId="77777777" w:rsidR="00503C65" w:rsidRDefault="00503C65" w:rsidP="00C315DE">
            <w:pPr>
              <w:spacing w:after="200" w:line="276" w:lineRule="auto"/>
              <w:rPr>
                <w:rFonts w:ascii="Times New Roman" w:hAnsi="Times New Roman" w:cs="Times New Roman"/>
                <w:sz w:val="24"/>
                <w:szCs w:val="24"/>
              </w:rPr>
            </w:pPr>
            <w:r>
              <w:rPr>
                <w:rFonts w:ascii="Times New Roman" w:hAnsi="Times New Roman" w:cs="Times New Roman"/>
                <w:sz w:val="24"/>
                <w:szCs w:val="24"/>
              </w:rPr>
              <w:t>3 проведени проучвания и 3 публикации</w:t>
            </w:r>
          </w:p>
          <w:p w14:paraId="20E96F5B" w14:textId="77777777" w:rsidR="00503C65" w:rsidRPr="002262A7" w:rsidRDefault="00503C65" w:rsidP="00C315DE">
            <w:pPr>
              <w:spacing w:after="0" w:line="276" w:lineRule="auto"/>
              <w:rPr>
                <w:rFonts w:ascii="Times New Roman" w:hAnsi="Times New Roman" w:cs="Times New Roman"/>
                <w:sz w:val="24"/>
                <w:szCs w:val="24"/>
              </w:rPr>
            </w:pPr>
          </w:p>
        </w:tc>
      </w:tr>
      <w:tr w:rsidR="00503C65" w:rsidRPr="002262A7" w14:paraId="69462972" w14:textId="77777777" w:rsidTr="00C315DE">
        <w:tc>
          <w:tcPr>
            <w:tcW w:w="721" w:type="dxa"/>
            <w:vAlign w:val="center"/>
          </w:tcPr>
          <w:p w14:paraId="5B614210"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3.4.</w:t>
            </w:r>
          </w:p>
        </w:tc>
        <w:tc>
          <w:tcPr>
            <w:tcW w:w="5511" w:type="dxa"/>
            <w:vAlign w:val="center"/>
          </w:tcPr>
          <w:p w14:paraId="3D303981"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Провеждане на национални и регионални кампании за повишаване на осведомеността относно ползата от ваксините и ефекта им върху ограничаване на АМР</w:t>
            </w:r>
            <w:r w:rsidRPr="002262A7">
              <w:rPr>
                <w:rFonts w:ascii="Times New Roman" w:hAnsi="Times New Roman" w:cs="Times New Roman"/>
                <w:sz w:val="24"/>
                <w:szCs w:val="24"/>
                <w:lang w:val="en-US"/>
              </w:rPr>
              <w:t xml:space="preserve"> </w:t>
            </w:r>
            <w:r w:rsidRPr="002262A7">
              <w:rPr>
                <w:rFonts w:ascii="Times New Roman" w:hAnsi="Times New Roman" w:cs="Times New Roman"/>
                <w:sz w:val="24"/>
                <w:szCs w:val="24"/>
              </w:rPr>
              <w:t>и антибиотичната консумация.</w:t>
            </w:r>
          </w:p>
        </w:tc>
        <w:tc>
          <w:tcPr>
            <w:tcW w:w="1701" w:type="dxa"/>
            <w:vAlign w:val="center"/>
          </w:tcPr>
          <w:p w14:paraId="7E1ACD98"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color w:val="000000"/>
                <w:kern w:val="24"/>
                <w:sz w:val="24"/>
                <w:szCs w:val="24"/>
              </w:rPr>
              <w:t>МЗ, БЛС, РЗИ, НЦЗПБ</w:t>
            </w:r>
          </w:p>
        </w:tc>
        <w:tc>
          <w:tcPr>
            <w:tcW w:w="1134" w:type="dxa"/>
            <w:vAlign w:val="center"/>
          </w:tcPr>
          <w:p w14:paraId="654E4836"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202</w:t>
            </w:r>
            <w:r>
              <w:rPr>
                <w:rFonts w:ascii="Times New Roman" w:hAnsi="Times New Roman" w:cs="Times New Roman"/>
                <w:sz w:val="24"/>
                <w:szCs w:val="24"/>
              </w:rPr>
              <w:t>6</w:t>
            </w:r>
            <w:r w:rsidRPr="002262A7">
              <w:rPr>
                <w:rFonts w:ascii="Times New Roman" w:eastAsia="Calibri" w:hAnsi="Times New Roman" w:cs="Times New Roman"/>
                <w:sz w:val="24"/>
                <w:szCs w:val="24"/>
              </w:rPr>
              <w:t xml:space="preserve"> – </w:t>
            </w:r>
            <w:r w:rsidRPr="002262A7">
              <w:rPr>
                <w:rFonts w:ascii="Times New Roman" w:hAnsi="Times New Roman" w:cs="Times New Roman"/>
                <w:sz w:val="24"/>
                <w:szCs w:val="24"/>
              </w:rPr>
              <w:t>202</w:t>
            </w:r>
            <w:r>
              <w:rPr>
                <w:rFonts w:ascii="Times New Roman" w:hAnsi="Times New Roman" w:cs="Times New Roman"/>
                <w:sz w:val="24"/>
                <w:szCs w:val="24"/>
              </w:rPr>
              <w:t>7</w:t>
            </w:r>
            <w:r w:rsidRPr="002262A7">
              <w:rPr>
                <w:rFonts w:ascii="Times New Roman" w:hAnsi="Times New Roman" w:cs="Times New Roman"/>
                <w:sz w:val="24"/>
                <w:szCs w:val="24"/>
              </w:rPr>
              <w:t xml:space="preserve"> и 202</w:t>
            </w:r>
            <w:r>
              <w:rPr>
                <w:rFonts w:ascii="Times New Roman" w:hAnsi="Times New Roman" w:cs="Times New Roman"/>
                <w:sz w:val="24"/>
                <w:szCs w:val="24"/>
              </w:rPr>
              <w:t>9</w:t>
            </w:r>
          </w:p>
        </w:tc>
        <w:tc>
          <w:tcPr>
            <w:tcW w:w="2268" w:type="dxa"/>
            <w:vAlign w:val="center"/>
          </w:tcPr>
          <w:p w14:paraId="07353389"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Брой кампании.</w:t>
            </w:r>
          </w:p>
        </w:tc>
        <w:tc>
          <w:tcPr>
            <w:tcW w:w="1843" w:type="dxa"/>
            <w:shd w:val="clear" w:color="auto" w:fill="auto"/>
            <w:vAlign w:val="center"/>
          </w:tcPr>
          <w:p w14:paraId="1F06C22C"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shd w:val="clear" w:color="auto" w:fill="auto"/>
            <w:vAlign w:val="center"/>
          </w:tcPr>
          <w:p w14:paraId="6153DCB0" w14:textId="77777777" w:rsidR="00503C65" w:rsidRPr="002262A7" w:rsidRDefault="00503C65" w:rsidP="00C315DE">
            <w:pPr>
              <w:spacing w:after="0" w:line="276" w:lineRule="auto"/>
              <w:rPr>
                <w:rFonts w:ascii="Times New Roman" w:hAnsi="Times New Roman" w:cs="Times New Roman"/>
                <w:sz w:val="24"/>
                <w:szCs w:val="24"/>
              </w:rPr>
            </w:pPr>
            <w:r>
              <w:rPr>
                <w:rFonts w:ascii="Times New Roman" w:hAnsi="Times New Roman" w:cs="Times New Roman"/>
                <w:sz w:val="24"/>
                <w:szCs w:val="24"/>
              </w:rPr>
              <w:t>8</w:t>
            </w:r>
          </w:p>
        </w:tc>
      </w:tr>
      <w:tr w:rsidR="00503C65" w:rsidRPr="002262A7" w14:paraId="2512550C" w14:textId="77777777" w:rsidTr="00C315DE">
        <w:trPr>
          <w:cantSplit/>
        </w:trPr>
        <w:tc>
          <w:tcPr>
            <w:tcW w:w="721" w:type="dxa"/>
            <w:vAlign w:val="center"/>
          </w:tcPr>
          <w:p w14:paraId="43B0EEA1" w14:textId="77777777" w:rsidR="00503C65" w:rsidRPr="00AE24CD" w:rsidRDefault="00503C65" w:rsidP="00C315DE">
            <w:pPr>
              <w:spacing w:after="0" w:line="276" w:lineRule="auto"/>
              <w:jc w:val="right"/>
              <w:rPr>
                <w:rFonts w:ascii="Times New Roman" w:hAnsi="Times New Roman" w:cs="Times New Roman"/>
                <w:b/>
                <w:sz w:val="24"/>
                <w:szCs w:val="24"/>
              </w:rPr>
            </w:pPr>
            <w:r w:rsidRPr="00AE24CD">
              <w:rPr>
                <w:rFonts w:ascii="Times New Roman" w:hAnsi="Times New Roman" w:cs="Times New Roman"/>
                <w:b/>
                <w:sz w:val="24"/>
                <w:szCs w:val="24"/>
              </w:rPr>
              <w:lastRenderedPageBreak/>
              <w:t>3.5.</w:t>
            </w:r>
          </w:p>
        </w:tc>
        <w:tc>
          <w:tcPr>
            <w:tcW w:w="5511" w:type="dxa"/>
            <w:vAlign w:val="center"/>
          </w:tcPr>
          <w:p w14:paraId="75BF65C2" w14:textId="77777777" w:rsidR="00503C65" w:rsidRPr="00AE24CD" w:rsidRDefault="00503C65" w:rsidP="00C315DE">
            <w:pPr>
              <w:widowControl w:val="0"/>
              <w:spacing w:after="0" w:line="276" w:lineRule="auto"/>
              <w:rPr>
                <w:rFonts w:ascii="Times New Roman" w:hAnsi="Times New Roman" w:cs="Times New Roman"/>
                <w:sz w:val="24"/>
                <w:szCs w:val="24"/>
              </w:rPr>
            </w:pPr>
            <w:r w:rsidRPr="00AE24CD">
              <w:rPr>
                <w:rFonts w:ascii="Times New Roman" w:hAnsi="Times New Roman" w:cs="Times New Roman"/>
                <w:sz w:val="24"/>
                <w:szCs w:val="24"/>
              </w:rPr>
              <w:t>Провеждане на семинари, обучителни курсове и информационни кампании за повишаване на знанията на заетите в животновъдството (вкл. собствениците на домашни любимци и на животните, отглеждани за ценни кожи) за изготвяне и прилагане на планове за опазване здравето и подобряване на хуманното отношение към животните.</w:t>
            </w:r>
          </w:p>
        </w:tc>
        <w:tc>
          <w:tcPr>
            <w:tcW w:w="1701" w:type="dxa"/>
            <w:vAlign w:val="center"/>
          </w:tcPr>
          <w:p w14:paraId="4AAFCA6C" w14:textId="77777777" w:rsidR="00503C65" w:rsidRPr="00AE24CD" w:rsidRDefault="00503C65" w:rsidP="00C315DE">
            <w:pPr>
              <w:autoSpaceDE w:val="0"/>
              <w:autoSpaceDN w:val="0"/>
              <w:adjustRightInd w:val="0"/>
              <w:spacing w:after="0" w:line="276" w:lineRule="auto"/>
              <w:rPr>
                <w:rFonts w:ascii="Times New Roman" w:hAnsi="Times New Roman" w:cs="Times New Roman"/>
                <w:sz w:val="24"/>
                <w:szCs w:val="24"/>
              </w:rPr>
            </w:pPr>
            <w:r w:rsidRPr="00AE24CD">
              <w:rPr>
                <w:rFonts w:ascii="Times New Roman" w:hAnsi="Times New Roman" w:cs="Times New Roman"/>
                <w:sz w:val="24"/>
                <w:szCs w:val="24"/>
              </w:rPr>
              <w:t>МЗХ, БАБХ, Браншови организации</w:t>
            </w:r>
          </w:p>
        </w:tc>
        <w:tc>
          <w:tcPr>
            <w:tcW w:w="1134" w:type="dxa"/>
            <w:vAlign w:val="center"/>
          </w:tcPr>
          <w:p w14:paraId="54F57051"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202</w:t>
            </w:r>
            <w:r>
              <w:rPr>
                <w:rFonts w:ascii="Times New Roman" w:hAnsi="Times New Roman" w:cs="Times New Roman"/>
                <w:sz w:val="24"/>
                <w:szCs w:val="24"/>
              </w:rPr>
              <w:t>6</w:t>
            </w:r>
            <w:r w:rsidRPr="00AE24CD">
              <w:rPr>
                <w:rFonts w:ascii="Times New Roman" w:eastAsia="Calibri" w:hAnsi="Times New Roman" w:cs="Times New Roman"/>
                <w:sz w:val="24"/>
                <w:szCs w:val="24"/>
              </w:rPr>
              <w:t xml:space="preserve"> – </w:t>
            </w:r>
            <w:r w:rsidRPr="00AE24CD">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66E2C085" w14:textId="77777777" w:rsidR="00503C65" w:rsidRPr="00AE24CD" w:rsidRDefault="00503C65" w:rsidP="00C315DE">
            <w:pPr>
              <w:widowControl w:val="0"/>
              <w:spacing w:after="0" w:line="276" w:lineRule="auto"/>
              <w:rPr>
                <w:rFonts w:ascii="Times New Roman" w:hAnsi="Times New Roman" w:cs="Times New Roman"/>
                <w:sz w:val="24"/>
                <w:szCs w:val="24"/>
              </w:rPr>
            </w:pPr>
            <w:r w:rsidRPr="00AE24CD">
              <w:rPr>
                <w:rFonts w:ascii="Times New Roman" w:hAnsi="Times New Roman" w:cs="Times New Roman"/>
                <w:sz w:val="24"/>
                <w:szCs w:val="24"/>
              </w:rPr>
              <w:t>Повишаване на знанията/ промени в поведението.</w:t>
            </w:r>
          </w:p>
          <w:p w14:paraId="24009A24"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 xml:space="preserve">Проведени семинари, обучителни курсове и информационни кампании. </w:t>
            </w:r>
          </w:p>
        </w:tc>
        <w:tc>
          <w:tcPr>
            <w:tcW w:w="1843" w:type="dxa"/>
            <w:vAlign w:val="center"/>
          </w:tcPr>
          <w:p w14:paraId="4626192A" w14:textId="77777777" w:rsidR="00503C65" w:rsidRPr="006F0152"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0</w:t>
            </w:r>
          </w:p>
        </w:tc>
        <w:tc>
          <w:tcPr>
            <w:tcW w:w="2131" w:type="dxa"/>
            <w:vAlign w:val="center"/>
          </w:tcPr>
          <w:p w14:paraId="3EA0420A" w14:textId="77777777" w:rsidR="00503C65" w:rsidRPr="006F0152"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3</w:t>
            </w:r>
          </w:p>
        </w:tc>
      </w:tr>
      <w:tr w:rsidR="00503C65" w:rsidRPr="002262A7" w14:paraId="60AF3546" w14:textId="77777777" w:rsidTr="00C315DE">
        <w:tc>
          <w:tcPr>
            <w:tcW w:w="721" w:type="dxa"/>
            <w:vAlign w:val="center"/>
          </w:tcPr>
          <w:p w14:paraId="4B5577EA" w14:textId="77777777" w:rsidR="00503C65" w:rsidRPr="00AE24CD" w:rsidRDefault="00503C65" w:rsidP="00C315DE">
            <w:pPr>
              <w:spacing w:after="0" w:line="276" w:lineRule="auto"/>
              <w:jc w:val="right"/>
              <w:rPr>
                <w:rFonts w:ascii="Times New Roman" w:hAnsi="Times New Roman" w:cs="Times New Roman"/>
                <w:b/>
                <w:sz w:val="24"/>
                <w:szCs w:val="24"/>
              </w:rPr>
            </w:pPr>
            <w:r w:rsidRPr="00AE24CD">
              <w:rPr>
                <w:rFonts w:ascii="Times New Roman" w:hAnsi="Times New Roman" w:cs="Times New Roman"/>
                <w:b/>
                <w:sz w:val="24"/>
                <w:szCs w:val="24"/>
              </w:rPr>
              <w:t>3.6.</w:t>
            </w:r>
          </w:p>
        </w:tc>
        <w:tc>
          <w:tcPr>
            <w:tcW w:w="5511" w:type="dxa"/>
            <w:vAlign w:val="center"/>
          </w:tcPr>
          <w:p w14:paraId="28E61B95" w14:textId="77777777" w:rsidR="00503C65" w:rsidRPr="00AE24CD" w:rsidRDefault="00503C65" w:rsidP="00C315DE">
            <w:pPr>
              <w:widowControl w:val="0"/>
              <w:spacing w:after="0" w:line="276" w:lineRule="auto"/>
              <w:rPr>
                <w:rFonts w:ascii="Times New Roman" w:hAnsi="Times New Roman" w:cs="Times New Roman"/>
                <w:sz w:val="24"/>
                <w:szCs w:val="24"/>
              </w:rPr>
            </w:pPr>
            <w:r w:rsidRPr="00AE24CD">
              <w:rPr>
                <w:rFonts w:ascii="Times New Roman" w:hAnsi="Times New Roman" w:cs="Times New Roman"/>
                <w:sz w:val="24"/>
                <w:szCs w:val="24"/>
              </w:rPr>
              <w:t>Насърчаване прилагането на нови терапевтични алтернативи на употребата на антибиотици сред фермерите.</w:t>
            </w:r>
          </w:p>
        </w:tc>
        <w:tc>
          <w:tcPr>
            <w:tcW w:w="1701" w:type="dxa"/>
            <w:vAlign w:val="center"/>
          </w:tcPr>
          <w:p w14:paraId="1EBCF939" w14:textId="77777777" w:rsidR="00503C65" w:rsidRPr="00AE24CD"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AE24CD">
              <w:rPr>
                <w:rFonts w:ascii="Times New Roman" w:hAnsi="Times New Roman" w:cs="Times New Roman"/>
                <w:sz w:val="24"/>
                <w:szCs w:val="24"/>
              </w:rPr>
              <w:t>МЗХ, БАБХ, Браншови организации</w:t>
            </w:r>
          </w:p>
        </w:tc>
        <w:tc>
          <w:tcPr>
            <w:tcW w:w="1134" w:type="dxa"/>
            <w:vAlign w:val="center"/>
          </w:tcPr>
          <w:p w14:paraId="52B1CE3B"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202</w:t>
            </w:r>
            <w:r>
              <w:rPr>
                <w:rFonts w:ascii="Times New Roman" w:hAnsi="Times New Roman" w:cs="Times New Roman"/>
                <w:sz w:val="24"/>
                <w:szCs w:val="24"/>
              </w:rPr>
              <w:t>6</w:t>
            </w:r>
            <w:r w:rsidRPr="00AE24CD">
              <w:rPr>
                <w:rFonts w:ascii="Times New Roman" w:eastAsia="Calibri" w:hAnsi="Times New Roman" w:cs="Times New Roman"/>
                <w:sz w:val="24"/>
                <w:szCs w:val="24"/>
              </w:rPr>
              <w:t xml:space="preserve"> – </w:t>
            </w:r>
            <w:r w:rsidRPr="00AE24CD">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0A419510"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 xml:space="preserve">Повишаване на знанията/ промени в поведението. </w:t>
            </w:r>
          </w:p>
        </w:tc>
        <w:tc>
          <w:tcPr>
            <w:tcW w:w="1843" w:type="dxa"/>
            <w:vAlign w:val="center"/>
          </w:tcPr>
          <w:p w14:paraId="1100424F" w14:textId="77777777" w:rsidR="00503C65" w:rsidRPr="00AE24CD"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0</w:t>
            </w:r>
          </w:p>
        </w:tc>
        <w:tc>
          <w:tcPr>
            <w:tcW w:w="2131" w:type="dxa"/>
            <w:vAlign w:val="center"/>
          </w:tcPr>
          <w:p w14:paraId="51FC8CB7" w14:textId="77777777" w:rsidR="00503C65" w:rsidRPr="00A935AC"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3</w:t>
            </w:r>
          </w:p>
        </w:tc>
      </w:tr>
      <w:tr w:rsidR="00503C65" w:rsidRPr="002262A7" w14:paraId="7175A4D8" w14:textId="77777777" w:rsidTr="00C315DE">
        <w:tc>
          <w:tcPr>
            <w:tcW w:w="721" w:type="dxa"/>
            <w:vAlign w:val="center"/>
          </w:tcPr>
          <w:p w14:paraId="3C9BB4BE" w14:textId="77777777" w:rsidR="00503C65" w:rsidRPr="00AE24CD" w:rsidRDefault="00503C65" w:rsidP="00C315DE">
            <w:pPr>
              <w:spacing w:after="0" w:line="276" w:lineRule="auto"/>
              <w:jc w:val="right"/>
              <w:rPr>
                <w:rFonts w:ascii="Times New Roman" w:hAnsi="Times New Roman" w:cs="Times New Roman"/>
                <w:b/>
                <w:sz w:val="24"/>
                <w:szCs w:val="24"/>
              </w:rPr>
            </w:pPr>
            <w:r w:rsidRPr="00AE24CD">
              <w:rPr>
                <w:rFonts w:ascii="Times New Roman" w:hAnsi="Times New Roman" w:cs="Times New Roman"/>
                <w:b/>
                <w:sz w:val="24"/>
                <w:szCs w:val="24"/>
              </w:rPr>
              <w:t>3.7.</w:t>
            </w:r>
          </w:p>
        </w:tc>
        <w:tc>
          <w:tcPr>
            <w:tcW w:w="5511" w:type="dxa"/>
            <w:vAlign w:val="center"/>
          </w:tcPr>
          <w:p w14:paraId="3C71AF98" w14:textId="77777777" w:rsidR="00503C65" w:rsidRPr="00AE24CD" w:rsidRDefault="00503C65" w:rsidP="00C315DE">
            <w:pPr>
              <w:widowControl w:val="0"/>
              <w:spacing w:after="0" w:line="276" w:lineRule="auto"/>
              <w:rPr>
                <w:rFonts w:ascii="Times New Roman" w:hAnsi="Times New Roman" w:cs="Times New Roman"/>
                <w:sz w:val="24"/>
                <w:szCs w:val="24"/>
              </w:rPr>
            </w:pPr>
            <w:r w:rsidRPr="00AE24CD">
              <w:rPr>
                <w:rFonts w:ascii="Times New Roman" w:hAnsi="Times New Roman" w:cs="Times New Roman"/>
                <w:sz w:val="24"/>
                <w:szCs w:val="24"/>
              </w:rPr>
              <w:t>Повишаване на знанията на заетите в животновъдството по отношение на необходимостта от прилагане и спазване на мерките за биосигурност и биобезопасност в животновъдните обекти, с цел превенция и намаляване на риска от проникване на инфекциозни агенти.</w:t>
            </w:r>
          </w:p>
        </w:tc>
        <w:tc>
          <w:tcPr>
            <w:tcW w:w="1701" w:type="dxa"/>
            <w:vAlign w:val="center"/>
          </w:tcPr>
          <w:p w14:paraId="706A3A80" w14:textId="77777777" w:rsidR="00503C65" w:rsidRPr="00AE24CD"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AE24CD">
              <w:rPr>
                <w:rFonts w:ascii="Times New Roman" w:hAnsi="Times New Roman" w:cs="Times New Roman"/>
                <w:sz w:val="24"/>
                <w:szCs w:val="24"/>
              </w:rPr>
              <w:t>МЗХ, БАБХ, Браншови организации</w:t>
            </w:r>
          </w:p>
        </w:tc>
        <w:tc>
          <w:tcPr>
            <w:tcW w:w="1134" w:type="dxa"/>
            <w:vAlign w:val="center"/>
          </w:tcPr>
          <w:p w14:paraId="36532A00"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202</w:t>
            </w:r>
            <w:r>
              <w:rPr>
                <w:rFonts w:ascii="Times New Roman" w:hAnsi="Times New Roman" w:cs="Times New Roman"/>
                <w:sz w:val="24"/>
                <w:szCs w:val="24"/>
              </w:rPr>
              <w:t>6</w:t>
            </w:r>
            <w:r w:rsidRPr="00AE24CD">
              <w:rPr>
                <w:rFonts w:ascii="Times New Roman" w:eastAsia="Calibri" w:hAnsi="Times New Roman" w:cs="Times New Roman"/>
                <w:sz w:val="24"/>
                <w:szCs w:val="24"/>
              </w:rPr>
              <w:t xml:space="preserve"> – </w:t>
            </w:r>
            <w:r w:rsidRPr="00AE24CD">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2F7F1240" w14:textId="77777777" w:rsidR="00503C65" w:rsidRPr="00AE24CD" w:rsidRDefault="00503C65" w:rsidP="00C315DE">
            <w:pPr>
              <w:spacing w:after="0" w:line="276" w:lineRule="auto"/>
              <w:rPr>
                <w:rFonts w:ascii="Times New Roman" w:hAnsi="Times New Roman" w:cs="Times New Roman"/>
                <w:sz w:val="24"/>
                <w:szCs w:val="24"/>
              </w:rPr>
            </w:pPr>
            <w:r w:rsidRPr="00AE24CD">
              <w:rPr>
                <w:rFonts w:ascii="Times New Roman" w:hAnsi="Times New Roman" w:cs="Times New Roman"/>
                <w:sz w:val="24"/>
                <w:szCs w:val="24"/>
              </w:rPr>
              <w:t>Брой извършени проверки, констатирани несъответствия през всяка от годините и сравнение на резултатите от контрола в началото и в края на периода.</w:t>
            </w:r>
          </w:p>
        </w:tc>
        <w:tc>
          <w:tcPr>
            <w:tcW w:w="1843" w:type="dxa"/>
            <w:vAlign w:val="center"/>
          </w:tcPr>
          <w:p w14:paraId="38EBE955" w14:textId="77777777" w:rsidR="00503C65" w:rsidRPr="00AE24CD"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0</w:t>
            </w:r>
          </w:p>
        </w:tc>
        <w:tc>
          <w:tcPr>
            <w:tcW w:w="2131" w:type="dxa"/>
            <w:vAlign w:val="center"/>
          </w:tcPr>
          <w:p w14:paraId="4D6331AD" w14:textId="77777777" w:rsidR="00503C65" w:rsidRPr="00A935AC" w:rsidRDefault="00503C65" w:rsidP="00C315DE">
            <w:pPr>
              <w:spacing w:after="0" w:line="276" w:lineRule="auto"/>
              <w:rPr>
                <w:rFonts w:ascii="Times New Roman" w:hAnsi="Times New Roman" w:cs="Times New Roman"/>
                <w:sz w:val="24"/>
                <w:szCs w:val="24"/>
              </w:rPr>
            </w:pPr>
            <w:r w:rsidRPr="008634C1">
              <w:rPr>
                <w:rFonts w:ascii="Times New Roman" w:hAnsi="Times New Roman" w:cs="Times New Roman"/>
                <w:sz w:val="24"/>
                <w:szCs w:val="24"/>
              </w:rPr>
              <w:t>3 (БАБХ - минимум едно обучение</w:t>
            </w:r>
            <w:r>
              <w:rPr>
                <w:rFonts w:ascii="Times New Roman" w:hAnsi="Times New Roman" w:cs="Times New Roman"/>
                <w:sz w:val="24"/>
                <w:szCs w:val="24"/>
              </w:rPr>
              <w:t xml:space="preserve"> </w:t>
            </w:r>
            <w:r w:rsidRPr="008634C1">
              <w:rPr>
                <w:rFonts w:ascii="Times New Roman" w:hAnsi="Times New Roman" w:cs="Times New Roman"/>
                <w:sz w:val="24"/>
                <w:szCs w:val="24"/>
              </w:rPr>
              <w:t xml:space="preserve">за ВЛП и АМР  годишно на заети в животновъдството в комбинация с т. 3.5. и 3.6. намаляване с минимум 10% на година на несъответствията при извършените проверки в сравнение с </w:t>
            </w:r>
            <w:r w:rsidRPr="008634C1">
              <w:rPr>
                <w:rFonts w:ascii="Times New Roman" w:hAnsi="Times New Roman" w:cs="Times New Roman"/>
                <w:sz w:val="24"/>
                <w:szCs w:val="24"/>
              </w:rPr>
              <w:lastRenderedPageBreak/>
              <w:t xml:space="preserve">установените през 2025 г. </w:t>
            </w:r>
          </w:p>
        </w:tc>
      </w:tr>
      <w:tr w:rsidR="00503C65" w:rsidRPr="002262A7" w14:paraId="20420D4C" w14:textId="77777777" w:rsidTr="00C315DE">
        <w:tc>
          <w:tcPr>
            <w:tcW w:w="721" w:type="dxa"/>
            <w:vAlign w:val="center"/>
          </w:tcPr>
          <w:p w14:paraId="4941DAFE" w14:textId="77777777" w:rsidR="00503C65" w:rsidRPr="00A935AC" w:rsidRDefault="00503C65" w:rsidP="00C315DE">
            <w:pPr>
              <w:spacing w:after="0" w:line="276" w:lineRule="auto"/>
              <w:jc w:val="right"/>
              <w:rPr>
                <w:rFonts w:ascii="Times New Roman" w:hAnsi="Times New Roman" w:cs="Times New Roman"/>
                <w:b/>
                <w:sz w:val="24"/>
                <w:szCs w:val="24"/>
              </w:rPr>
            </w:pPr>
            <w:r w:rsidRPr="00A935AC">
              <w:rPr>
                <w:rFonts w:ascii="Times New Roman" w:hAnsi="Times New Roman" w:cs="Times New Roman"/>
                <w:b/>
                <w:sz w:val="24"/>
                <w:szCs w:val="24"/>
              </w:rPr>
              <w:lastRenderedPageBreak/>
              <w:t>3.8.</w:t>
            </w:r>
          </w:p>
        </w:tc>
        <w:tc>
          <w:tcPr>
            <w:tcW w:w="5511" w:type="dxa"/>
            <w:vAlign w:val="center"/>
          </w:tcPr>
          <w:p w14:paraId="7E7B2B18" w14:textId="77777777" w:rsidR="00503C65" w:rsidRPr="00442189" w:rsidRDefault="00503C65" w:rsidP="00C315DE">
            <w:pPr>
              <w:widowControl w:val="0"/>
              <w:spacing w:after="0" w:line="276" w:lineRule="auto"/>
              <w:rPr>
                <w:rFonts w:ascii="Times New Roman" w:hAnsi="Times New Roman" w:cs="Times New Roman"/>
                <w:sz w:val="24"/>
                <w:szCs w:val="24"/>
              </w:rPr>
            </w:pPr>
            <w:r w:rsidRPr="0024776D">
              <w:rPr>
                <w:rFonts w:ascii="Times New Roman" w:hAnsi="Times New Roman" w:cs="Times New Roman"/>
                <w:sz w:val="24"/>
                <w:szCs w:val="24"/>
              </w:rPr>
              <w:t>Приоритизиране на контрола в животновъдните обекти по отношение на превенцията и контрола на заболявания</w:t>
            </w:r>
            <w:r w:rsidRPr="00442189">
              <w:rPr>
                <w:rFonts w:ascii="Times New Roman" w:hAnsi="Times New Roman" w:cs="Times New Roman"/>
                <w:sz w:val="24"/>
                <w:szCs w:val="24"/>
              </w:rPr>
              <w:t>та и употребата на ВЛП.</w:t>
            </w:r>
          </w:p>
        </w:tc>
        <w:tc>
          <w:tcPr>
            <w:tcW w:w="1701" w:type="dxa"/>
            <w:vAlign w:val="center"/>
          </w:tcPr>
          <w:p w14:paraId="56313C57" w14:textId="77777777" w:rsidR="00503C65" w:rsidRPr="00D53BB0" w:rsidRDefault="00503C65" w:rsidP="00C315DE">
            <w:pPr>
              <w:widowControl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color w:val="000000"/>
                <w:sz w:val="24"/>
                <w:szCs w:val="24"/>
              </w:rPr>
              <w:t>БАБХ</w:t>
            </w:r>
          </w:p>
        </w:tc>
        <w:tc>
          <w:tcPr>
            <w:tcW w:w="1134" w:type="dxa"/>
            <w:vAlign w:val="center"/>
          </w:tcPr>
          <w:p w14:paraId="39E4C2ED" w14:textId="77777777" w:rsidR="00503C65" w:rsidRPr="00A935AC"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202</w:t>
            </w:r>
            <w:r>
              <w:rPr>
                <w:rFonts w:ascii="Times New Roman" w:hAnsi="Times New Roman" w:cs="Times New Roman"/>
                <w:sz w:val="24"/>
                <w:szCs w:val="24"/>
              </w:rPr>
              <w:t>6</w:t>
            </w:r>
            <w:r w:rsidRPr="007E276C">
              <w:rPr>
                <w:rFonts w:ascii="Times New Roman" w:eastAsia="Calibri" w:hAnsi="Times New Roman" w:cs="Times New Roman"/>
                <w:sz w:val="24"/>
                <w:szCs w:val="24"/>
              </w:rPr>
              <w:t xml:space="preserve"> – </w:t>
            </w:r>
            <w:r w:rsidRPr="00A935AC">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1816D877" w14:textId="77777777" w:rsidR="00503C65" w:rsidRPr="00A935AC" w:rsidRDefault="00503C65" w:rsidP="00C315DE">
            <w:pPr>
              <w:widowControl w:val="0"/>
              <w:spacing w:after="0" w:line="276" w:lineRule="auto"/>
              <w:rPr>
                <w:rFonts w:ascii="Times New Roman" w:hAnsi="Times New Roman" w:cs="Times New Roman"/>
                <w:sz w:val="24"/>
                <w:szCs w:val="24"/>
              </w:rPr>
            </w:pPr>
            <w:r w:rsidRPr="00A935AC">
              <w:rPr>
                <w:rFonts w:ascii="Times New Roman" w:hAnsi="Times New Roman" w:cs="Times New Roman"/>
                <w:sz w:val="24"/>
                <w:szCs w:val="24"/>
              </w:rPr>
              <w:t>Брой извършени проверки, констатирани несъответствия през всяка от годините и сравнение на резултатите от контрола в началото и в края на периода.</w:t>
            </w:r>
          </w:p>
          <w:p w14:paraId="3F7B02F4" w14:textId="77777777" w:rsidR="00503C65" w:rsidRPr="00A935AC" w:rsidRDefault="00503C65" w:rsidP="00C315DE">
            <w:pPr>
              <w:widowControl w:val="0"/>
              <w:spacing w:after="0" w:line="276" w:lineRule="auto"/>
              <w:rPr>
                <w:rFonts w:ascii="Times New Roman" w:hAnsi="Times New Roman" w:cs="Times New Roman"/>
                <w:sz w:val="24"/>
                <w:szCs w:val="24"/>
              </w:rPr>
            </w:pPr>
            <w:r w:rsidRPr="00A935AC">
              <w:rPr>
                <w:rFonts w:ascii="Times New Roman" w:hAnsi="Times New Roman" w:cs="Times New Roman"/>
                <w:sz w:val="24"/>
                <w:szCs w:val="24"/>
              </w:rPr>
              <w:t>На база оценка на риска, но поне веднъж годишно.</w:t>
            </w:r>
          </w:p>
        </w:tc>
        <w:tc>
          <w:tcPr>
            <w:tcW w:w="1843" w:type="dxa"/>
            <w:vAlign w:val="center"/>
          </w:tcPr>
          <w:p w14:paraId="6D2D2D8B" w14:textId="77777777" w:rsidR="00503C65" w:rsidRPr="00A935AC" w:rsidRDefault="00503C65" w:rsidP="00C315DE">
            <w:pPr>
              <w:widowControl w:val="0"/>
              <w:spacing w:after="0" w:line="276" w:lineRule="auto"/>
              <w:rPr>
                <w:rFonts w:ascii="Times New Roman" w:hAnsi="Times New Roman" w:cs="Times New Roman"/>
                <w:sz w:val="24"/>
                <w:szCs w:val="24"/>
              </w:rPr>
            </w:pPr>
            <w:r w:rsidRPr="00A935AC">
              <w:rPr>
                <w:rFonts w:ascii="Times New Roman" w:hAnsi="Times New Roman" w:cs="Times New Roman"/>
                <w:sz w:val="24"/>
                <w:szCs w:val="24"/>
              </w:rPr>
              <w:t>1400 проверки на ЖО годишно</w:t>
            </w:r>
          </w:p>
        </w:tc>
        <w:tc>
          <w:tcPr>
            <w:tcW w:w="2131" w:type="dxa"/>
            <w:vAlign w:val="center"/>
          </w:tcPr>
          <w:p w14:paraId="793924B4" w14:textId="77777777" w:rsidR="00503C65" w:rsidRPr="00A935AC" w:rsidRDefault="00503C65" w:rsidP="00C315DE">
            <w:pPr>
              <w:widowControl w:val="0"/>
              <w:spacing w:after="0" w:line="276" w:lineRule="auto"/>
              <w:rPr>
                <w:rFonts w:ascii="Times New Roman" w:hAnsi="Times New Roman" w:cs="Times New Roman"/>
                <w:sz w:val="24"/>
                <w:szCs w:val="24"/>
              </w:rPr>
            </w:pPr>
            <w:r w:rsidRPr="00A935AC">
              <w:rPr>
                <w:rFonts w:ascii="Times New Roman" w:hAnsi="Times New Roman" w:cs="Times New Roman"/>
                <w:sz w:val="24"/>
                <w:szCs w:val="24"/>
              </w:rPr>
              <w:t>Не по-малко от 1500 проверки на ЖО годишно</w:t>
            </w:r>
          </w:p>
        </w:tc>
      </w:tr>
      <w:tr w:rsidR="00503C65" w:rsidRPr="002262A7" w14:paraId="31828285" w14:textId="77777777" w:rsidTr="00C315DE">
        <w:tc>
          <w:tcPr>
            <w:tcW w:w="721" w:type="dxa"/>
            <w:vAlign w:val="center"/>
          </w:tcPr>
          <w:p w14:paraId="2104D27C"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4.</w:t>
            </w:r>
          </w:p>
        </w:tc>
        <w:tc>
          <w:tcPr>
            <w:tcW w:w="14588" w:type="dxa"/>
            <w:gridSpan w:val="6"/>
            <w:vAlign w:val="center"/>
          </w:tcPr>
          <w:p w14:paraId="510BA986" w14:textId="77777777" w:rsidR="00503C65" w:rsidRPr="00CB5419" w:rsidRDefault="00503C65" w:rsidP="00C315DE">
            <w:pPr>
              <w:widowControl w:val="0"/>
              <w:spacing w:after="0" w:line="276" w:lineRule="auto"/>
              <w:rPr>
                <w:rFonts w:ascii="Times New Roman" w:eastAsiaTheme="majorEastAsia" w:hAnsi="Times New Roman" w:cs="Times New Roman"/>
                <w:b/>
                <w:bCs/>
                <w:sz w:val="24"/>
                <w:szCs w:val="24"/>
                <w:lang w:eastAsia="bg-BG"/>
              </w:rPr>
            </w:pPr>
            <w:r w:rsidRPr="00CB5419">
              <w:rPr>
                <w:rFonts w:ascii="Times New Roman" w:eastAsiaTheme="majorEastAsia" w:hAnsi="Times New Roman" w:cs="Times New Roman"/>
                <w:b/>
                <w:bCs/>
                <w:sz w:val="24"/>
                <w:szCs w:val="24"/>
                <w:lang w:eastAsia="bg-BG"/>
              </w:rPr>
              <w:t>Основна цел 4:</w:t>
            </w:r>
          </w:p>
          <w:p w14:paraId="477368A6" w14:textId="77777777" w:rsidR="00503C65" w:rsidRPr="00725AD6" w:rsidRDefault="00503C65" w:rsidP="00C315DE">
            <w:pPr>
              <w:widowControl w:val="0"/>
              <w:spacing w:after="0" w:line="276" w:lineRule="auto"/>
              <w:rPr>
                <w:rFonts w:ascii="Times New Roman" w:eastAsiaTheme="majorEastAsia" w:hAnsi="Times New Roman"/>
                <w:sz w:val="24"/>
                <w:szCs w:val="24"/>
                <w:lang w:eastAsia="bg-BG"/>
              </w:rPr>
            </w:pPr>
            <w:r w:rsidRPr="00F40A84">
              <w:rPr>
                <w:rFonts w:ascii="Times New Roman" w:eastAsiaTheme="majorEastAsia" w:hAnsi="Times New Roman" w:cs="Times New Roman"/>
                <w:b/>
                <w:bCs/>
                <w:sz w:val="24"/>
                <w:szCs w:val="24"/>
                <w:lang w:eastAsia="bg-BG"/>
              </w:rPr>
              <w:t>Оптимизиране на прилагането на антибиотици при хора</w:t>
            </w:r>
            <w:r w:rsidRPr="00CB5419">
              <w:rPr>
                <w:rFonts w:ascii="Times New Roman" w:eastAsiaTheme="majorEastAsia" w:hAnsi="Times New Roman"/>
                <w:sz w:val="24"/>
                <w:szCs w:val="24"/>
                <w:lang w:eastAsia="bg-BG"/>
              </w:rPr>
              <w:t xml:space="preserve"> </w:t>
            </w:r>
            <w:r w:rsidRPr="00277EB6">
              <w:rPr>
                <w:rFonts w:ascii="Times New Roman" w:eastAsiaTheme="majorEastAsia" w:hAnsi="Times New Roman"/>
                <w:b/>
                <w:sz w:val="24"/>
                <w:szCs w:val="24"/>
                <w:lang w:eastAsia="bg-BG"/>
              </w:rPr>
              <w:t>и животни.</w:t>
            </w:r>
          </w:p>
        </w:tc>
      </w:tr>
      <w:tr w:rsidR="00503C65" w:rsidRPr="002262A7" w14:paraId="7535A7A1" w14:textId="77777777" w:rsidTr="00C315DE">
        <w:tc>
          <w:tcPr>
            <w:tcW w:w="721" w:type="dxa"/>
            <w:vAlign w:val="center"/>
          </w:tcPr>
          <w:p w14:paraId="76D5F677"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kern w:val="24"/>
                <w:sz w:val="24"/>
                <w:szCs w:val="24"/>
              </w:rPr>
              <w:t>4.1.</w:t>
            </w:r>
          </w:p>
        </w:tc>
        <w:tc>
          <w:tcPr>
            <w:tcW w:w="5511" w:type="dxa"/>
            <w:vAlign w:val="center"/>
          </w:tcPr>
          <w:p w14:paraId="095D1E62" w14:textId="77777777" w:rsidR="00503C65" w:rsidRPr="002262A7" w:rsidRDefault="00503C65" w:rsidP="00C315DE">
            <w:pPr>
              <w:spacing w:after="0" w:line="276" w:lineRule="auto"/>
              <w:rPr>
                <w:rFonts w:ascii="Times New Roman" w:hAnsi="Times New Roman" w:cs="Times New Roman"/>
                <w:b/>
                <w:bCs/>
                <w:sz w:val="24"/>
                <w:szCs w:val="24"/>
              </w:rPr>
            </w:pPr>
            <w:r w:rsidRPr="002262A7">
              <w:rPr>
                <w:rFonts w:ascii="Times New Roman" w:hAnsi="Times New Roman" w:cs="Times New Roman"/>
                <w:bCs/>
                <w:sz w:val="24"/>
                <w:szCs w:val="24"/>
              </w:rPr>
              <w:t>Разработване, изграждане и поддържане</w:t>
            </w:r>
            <w:r w:rsidRPr="002262A7">
              <w:rPr>
                <w:rFonts w:ascii="Times New Roman" w:hAnsi="Times New Roman" w:cs="Times New Roman"/>
                <w:b/>
                <w:bCs/>
                <w:sz w:val="24"/>
                <w:szCs w:val="24"/>
              </w:rPr>
              <w:t xml:space="preserve"> </w:t>
            </w:r>
            <w:r w:rsidRPr="002262A7">
              <w:rPr>
                <w:rFonts w:ascii="Times New Roman" w:hAnsi="Times New Roman" w:cs="Times New Roman"/>
                <w:sz w:val="24"/>
                <w:szCs w:val="24"/>
              </w:rPr>
              <w:t>на национални електронни системи към НРЛ в НЦЗПБ за проследяване на консумацията и на чувствителността на антибиотици в извънболничната помощ и усъвършенстване на наличните системи в болничната помощ, с възможност за анализ на данните на регионално и национално ниво</w:t>
            </w:r>
            <w:r>
              <w:rPr>
                <w:rFonts w:ascii="Times New Roman" w:hAnsi="Times New Roman" w:cs="Times New Roman"/>
                <w:sz w:val="24"/>
                <w:szCs w:val="24"/>
              </w:rPr>
              <w:t>.</w:t>
            </w:r>
          </w:p>
          <w:p w14:paraId="54633F7C" w14:textId="77777777" w:rsidR="00503C65" w:rsidRPr="002262A7" w:rsidRDefault="00503C65" w:rsidP="00C315DE">
            <w:pPr>
              <w:spacing w:after="0" w:line="276" w:lineRule="auto"/>
              <w:rPr>
                <w:rFonts w:ascii="Times New Roman" w:hAnsi="Times New Roman" w:cs="Times New Roman"/>
                <w:sz w:val="24"/>
                <w:szCs w:val="24"/>
              </w:rPr>
            </w:pPr>
          </w:p>
        </w:tc>
        <w:tc>
          <w:tcPr>
            <w:tcW w:w="1701" w:type="dxa"/>
            <w:vAlign w:val="center"/>
          </w:tcPr>
          <w:p w14:paraId="7E87667D"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color w:val="000000"/>
                <w:kern w:val="24"/>
                <w:sz w:val="24"/>
                <w:szCs w:val="24"/>
              </w:rPr>
              <w:t>МЗ, НЦЗПБ</w:t>
            </w:r>
          </w:p>
        </w:tc>
        <w:tc>
          <w:tcPr>
            <w:tcW w:w="1134" w:type="dxa"/>
            <w:vAlign w:val="center"/>
          </w:tcPr>
          <w:p w14:paraId="2B73BF93"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7</w:t>
            </w:r>
            <w:r w:rsidRPr="002262A7">
              <w:rPr>
                <w:rFonts w:ascii="Times New Roman" w:eastAsia="Calibri" w:hAnsi="Times New Roman" w:cs="Times New Roman"/>
                <w:sz w:val="24"/>
                <w:szCs w:val="24"/>
              </w:rPr>
              <w:t xml:space="preserve"> – </w:t>
            </w: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9</w:t>
            </w:r>
          </w:p>
        </w:tc>
        <w:tc>
          <w:tcPr>
            <w:tcW w:w="2268" w:type="dxa"/>
            <w:vAlign w:val="center"/>
          </w:tcPr>
          <w:p w14:paraId="12892F1D"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Функциониращи национални електронни системи</w:t>
            </w:r>
            <w:r>
              <w:rPr>
                <w:rFonts w:ascii="Times New Roman" w:hAnsi="Times New Roman" w:cs="Times New Roman"/>
                <w:sz w:val="24"/>
                <w:szCs w:val="24"/>
              </w:rPr>
              <w:t>.</w:t>
            </w:r>
          </w:p>
        </w:tc>
        <w:tc>
          <w:tcPr>
            <w:tcW w:w="1843" w:type="dxa"/>
            <w:vAlign w:val="center"/>
          </w:tcPr>
          <w:p w14:paraId="33E134AB" w14:textId="77777777" w:rsidR="00503C65" w:rsidRPr="002262A7" w:rsidRDefault="0087461C" w:rsidP="00C315DE">
            <w:pPr>
              <w:autoSpaceDE w:val="0"/>
              <w:autoSpaceDN w:val="0"/>
              <w:adjustRightInd w:val="0"/>
              <w:spacing w:after="0" w:line="276" w:lineRule="auto"/>
              <w:rPr>
                <w:rFonts w:ascii="Times New Roman" w:hAnsi="Times New Roman" w:cs="Times New Roman"/>
                <w:sz w:val="24"/>
                <w:szCs w:val="24"/>
              </w:rPr>
            </w:pPr>
            <w:r w:rsidRPr="00EB6522">
              <w:rPr>
                <w:rFonts w:ascii="Times New Roman" w:hAnsi="Times New Roman" w:cs="Times New Roman"/>
                <w:sz w:val="24"/>
                <w:szCs w:val="24"/>
              </w:rPr>
              <w:t>0</w:t>
            </w:r>
          </w:p>
        </w:tc>
        <w:tc>
          <w:tcPr>
            <w:tcW w:w="2131" w:type="dxa"/>
            <w:vAlign w:val="center"/>
          </w:tcPr>
          <w:p w14:paraId="61AE4263"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rPr>
              <w:t xml:space="preserve">Създаване на модул за анализ, комуникация с НЗИС и европейските системи </w:t>
            </w:r>
            <w:r>
              <w:rPr>
                <w:rFonts w:ascii="Times New Roman" w:hAnsi="Times New Roman" w:cs="Times New Roman"/>
                <w:sz w:val="24"/>
                <w:szCs w:val="24"/>
                <w:lang w:val="en-US"/>
              </w:rPr>
              <w:t>(EpiPulse)</w:t>
            </w:r>
          </w:p>
        </w:tc>
      </w:tr>
      <w:tr w:rsidR="00503C65" w:rsidRPr="002262A7" w14:paraId="05A81167" w14:textId="77777777" w:rsidTr="00C315DE">
        <w:tc>
          <w:tcPr>
            <w:tcW w:w="721" w:type="dxa"/>
            <w:vAlign w:val="center"/>
          </w:tcPr>
          <w:p w14:paraId="266CB943" w14:textId="77777777" w:rsidR="00503C65" w:rsidRPr="00B576B5" w:rsidRDefault="00503C65" w:rsidP="00C315DE">
            <w:pPr>
              <w:spacing w:after="0" w:line="276" w:lineRule="auto"/>
              <w:jc w:val="right"/>
              <w:rPr>
                <w:rFonts w:ascii="Times New Roman" w:hAnsi="Times New Roman" w:cs="Times New Roman"/>
                <w:sz w:val="24"/>
                <w:szCs w:val="24"/>
              </w:rPr>
            </w:pPr>
            <w:r w:rsidRPr="00B576B5">
              <w:rPr>
                <w:rFonts w:ascii="Times New Roman" w:hAnsi="Times New Roman" w:cs="Times New Roman"/>
                <w:b/>
                <w:kern w:val="24"/>
                <w:sz w:val="24"/>
                <w:szCs w:val="24"/>
              </w:rPr>
              <w:lastRenderedPageBreak/>
              <w:t>4.2.</w:t>
            </w:r>
          </w:p>
        </w:tc>
        <w:tc>
          <w:tcPr>
            <w:tcW w:w="5511" w:type="dxa"/>
            <w:vAlign w:val="center"/>
          </w:tcPr>
          <w:p w14:paraId="340BF6DD" w14:textId="77777777" w:rsidR="00503C65" w:rsidRPr="0024776D" w:rsidRDefault="00503C65" w:rsidP="00C315DE">
            <w:pPr>
              <w:spacing w:after="0" w:line="276" w:lineRule="auto"/>
              <w:rPr>
                <w:rFonts w:ascii="Times New Roman" w:hAnsi="Times New Roman" w:cs="Times New Roman"/>
                <w:sz w:val="24"/>
                <w:szCs w:val="24"/>
              </w:rPr>
            </w:pPr>
            <w:r w:rsidRPr="0024776D">
              <w:rPr>
                <w:rFonts w:ascii="Times New Roman" w:hAnsi="Times New Roman" w:cs="Times New Roman"/>
                <w:sz w:val="24"/>
                <w:szCs w:val="24"/>
              </w:rPr>
              <w:t>Приоритизиране на контрола върху търговците на едро с ВЛП при извършване на търговия, съхранение, продажба и транспорт на антимикробни ВЛП и активни вещества.</w:t>
            </w:r>
          </w:p>
        </w:tc>
        <w:tc>
          <w:tcPr>
            <w:tcW w:w="1701" w:type="dxa"/>
            <w:vAlign w:val="center"/>
          </w:tcPr>
          <w:p w14:paraId="4A0A469D" w14:textId="77777777" w:rsidR="00503C65" w:rsidRPr="00AF1B36" w:rsidRDefault="00503C65" w:rsidP="00C315DE">
            <w:pPr>
              <w:widowControl w:val="0"/>
              <w:spacing w:after="0" w:line="276" w:lineRule="auto"/>
              <w:rPr>
                <w:rFonts w:ascii="Times New Roman" w:hAnsi="Times New Roman" w:cs="Times New Roman"/>
                <w:color w:val="000000"/>
                <w:kern w:val="24"/>
                <w:sz w:val="24"/>
                <w:szCs w:val="24"/>
              </w:rPr>
            </w:pPr>
            <w:r w:rsidRPr="00442189">
              <w:rPr>
                <w:rFonts w:ascii="Times New Roman" w:hAnsi="Times New Roman" w:cs="Times New Roman"/>
                <w:sz w:val="24"/>
                <w:szCs w:val="24"/>
                <w:lang w:val="en-GB"/>
              </w:rPr>
              <w:t>МЗ</w:t>
            </w:r>
            <w:r w:rsidRPr="00152A66">
              <w:rPr>
                <w:rFonts w:ascii="Times New Roman" w:hAnsi="Times New Roman" w:cs="Times New Roman"/>
                <w:sz w:val="24"/>
                <w:szCs w:val="24"/>
              </w:rPr>
              <w:t>Х</w:t>
            </w:r>
            <w:r w:rsidRPr="00AF1B36">
              <w:rPr>
                <w:rFonts w:ascii="Times New Roman" w:hAnsi="Times New Roman" w:cs="Times New Roman"/>
                <w:sz w:val="24"/>
                <w:szCs w:val="24"/>
                <w:lang w:val="en-GB"/>
              </w:rPr>
              <w:t>, БАБХ</w:t>
            </w:r>
          </w:p>
        </w:tc>
        <w:tc>
          <w:tcPr>
            <w:tcW w:w="1134" w:type="dxa"/>
            <w:vAlign w:val="center"/>
          </w:tcPr>
          <w:p w14:paraId="0743D612" w14:textId="77777777" w:rsidR="00503C65" w:rsidRPr="00E47047" w:rsidRDefault="00503C65" w:rsidP="00C315DE">
            <w:pPr>
              <w:widowControl w:val="0"/>
              <w:spacing w:after="0" w:line="276" w:lineRule="auto"/>
              <w:rPr>
                <w:rFonts w:ascii="Times New Roman" w:hAnsi="Times New Roman" w:cs="Times New Roman"/>
                <w:color w:val="000000"/>
                <w:kern w:val="24"/>
                <w:sz w:val="24"/>
                <w:szCs w:val="24"/>
              </w:rPr>
            </w:pPr>
            <w:r w:rsidRPr="00D53BB0">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D53BB0">
              <w:rPr>
                <w:rFonts w:ascii="Times New Roman" w:eastAsia="Calibri" w:hAnsi="Times New Roman" w:cs="Times New Roman"/>
                <w:sz w:val="24"/>
                <w:szCs w:val="24"/>
              </w:rPr>
              <w:t xml:space="preserve"> – 202</w:t>
            </w:r>
            <w:r>
              <w:rPr>
                <w:rFonts w:ascii="Times New Roman" w:eastAsia="Calibri" w:hAnsi="Times New Roman" w:cs="Times New Roman"/>
                <w:sz w:val="24"/>
                <w:szCs w:val="24"/>
              </w:rPr>
              <w:t>7</w:t>
            </w:r>
          </w:p>
        </w:tc>
        <w:tc>
          <w:tcPr>
            <w:tcW w:w="2268" w:type="dxa"/>
            <w:vAlign w:val="center"/>
          </w:tcPr>
          <w:p w14:paraId="50782CA2" w14:textId="77777777" w:rsidR="00503C65" w:rsidRPr="00B576B5" w:rsidRDefault="00503C65" w:rsidP="00C315DE">
            <w:pPr>
              <w:autoSpaceDE w:val="0"/>
              <w:autoSpaceDN w:val="0"/>
              <w:adjustRightInd w:val="0"/>
              <w:spacing w:after="0" w:line="276" w:lineRule="auto"/>
              <w:rPr>
                <w:rFonts w:ascii="Times New Roman" w:hAnsi="Times New Roman" w:cs="Times New Roman"/>
                <w:color w:val="000000"/>
                <w:sz w:val="24"/>
                <w:szCs w:val="24"/>
              </w:rPr>
            </w:pPr>
          </w:p>
          <w:p w14:paraId="2D551041" w14:textId="77777777" w:rsidR="00503C65" w:rsidRPr="00B576B5" w:rsidRDefault="00503C65" w:rsidP="00C315DE">
            <w:pPr>
              <w:autoSpaceDE w:val="0"/>
              <w:autoSpaceDN w:val="0"/>
              <w:adjustRightInd w:val="0"/>
              <w:spacing w:after="0" w:line="276" w:lineRule="auto"/>
              <w:rPr>
                <w:rFonts w:ascii="Times New Roman" w:hAnsi="Times New Roman" w:cs="Times New Roman"/>
                <w:sz w:val="24"/>
                <w:szCs w:val="24"/>
              </w:rPr>
            </w:pPr>
            <w:r w:rsidRPr="00B576B5">
              <w:rPr>
                <w:rFonts w:ascii="Times New Roman" w:hAnsi="Times New Roman" w:cs="Times New Roman"/>
                <w:sz w:val="24"/>
                <w:szCs w:val="24"/>
              </w:rPr>
              <w:t>Спазване на актовете за Добра практика на разпространение на ВЛП и активни вещества към Регламент (ЕС) 2019/6</w:t>
            </w:r>
          </w:p>
        </w:tc>
        <w:tc>
          <w:tcPr>
            <w:tcW w:w="1843" w:type="dxa"/>
            <w:vAlign w:val="center"/>
          </w:tcPr>
          <w:p w14:paraId="335D5971" w14:textId="77777777" w:rsidR="00503C65" w:rsidRPr="00B576B5" w:rsidRDefault="00503C65" w:rsidP="00C315DE">
            <w:pPr>
              <w:autoSpaceDE w:val="0"/>
              <w:autoSpaceDN w:val="0"/>
              <w:adjustRightInd w:val="0"/>
              <w:spacing w:after="0" w:line="276" w:lineRule="auto"/>
              <w:rPr>
                <w:rFonts w:ascii="Times New Roman" w:hAnsi="Times New Roman" w:cs="Times New Roman"/>
                <w:sz w:val="24"/>
                <w:szCs w:val="24"/>
              </w:rPr>
            </w:pPr>
            <w:r w:rsidRPr="00B576B5">
              <w:rPr>
                <w:rFonts w:ascii="Times New Roman" w:hAnsi="Times New Roman" w:cs="Times New Roman"/>
                <w:sz w:val="24"/>
                <w:szCs w:val="24"/>
              </w:rPr>
              <w:t>120 проверки годишно на обекти за търовия на едро с ВЛП</w:t>
            </w:r>
          </w:p>
        </w:tc>
        <w:tc>
          <w:tcPr>
            <w:tcW w:w="2131" w:type="dxa"/>
            <w:vAlign w:val="center"/>
          </w:tcPr>
          <w:p w14:paraId="1F3D1700" w14:textId="77777777" w:rsidR="00503C65" w:rsidRPr="00B576B5" w:rsidRDefault="00503C65" w:rsidP="00C315DE">
            <w:pPr>
              <w:autoSpaceDE w:val="0"/>
              <w:autoSpaceDN w:val="0"/>
              <w:adjustRightInd w:val="0"/>
              <w:spacing w:after="0" w:line="276" w:lineRule="auto"/>
              <w:rPr>
                <w:rFonts w:ascii="Times New Roman" w:hAnsi="Times New Roman" w:cs="Times New Roman"/>
                <w:sz w:val="24"/>
                <w:szCs w:val="24"/>
              </w:rPr>
            </w:pPr>
            <w:r w:rsidRPr="00B576B5">
              <w:rPr>
                <w:rFonts w:ascii="Times New Roman" w:hAnsi="Times New Roman" w:cs="Times New Roman"/>
                <w:sz w:val="24"/>
                <w:szCs w:val="24"/>
              </w:rPr>
              <w:t>Не по-малко от 140 проверки годишно на обекти за търговия на едро с ВЛП</w:t>
            </w:r>
          </w:p>
        </w:tc>
      </w:tr>
      <w:tr w:rsidR="00503C65" w:rsidRPr="002262A7" w14:paraId="4D83D144" w14:textId="77777777" w:rsidTr="00C315DE">
        <w:tc>
          <w:tcPr>
            <w:tcW w:w="721" w:type="dxa"/>
            <w:vAlign w:val="center"/>
          </w:tcPr>
          <w:p w14:paraId="1BB04AF3" w14:textId="77777777" w:rsidR="00503C65" w:rsidRPr="00606481" w:rsidRDefault="00503C65" w:rsidP="00C315DE">
            <w:pPr>
              <w:spacing w:after="0" w:line="276" w:lineRule="auto"/>
              <w:jc w:val="right"/>
              <w:rPr>
                <w:rFonts w:ascii="Times New Roman" w:hAnsi="Times New Roman" w:cs="Times New Roman"/>
                <w:sz w:val="24"/>
                <w:szCs w:val="24"/>
              </w:rPr>
            </w:pPr>
            <w:r w:rsidRPr="00606481">
              <w:rPr>
                <w:rFonts w:ascii="Times New Roman" w:hAnsi="Times New Roman" w:cs="Times New Roman"/>
                <w:b/>
                <w:kern w:val="24"/>
                <w:sz w:val="24"/>
                <w:szCs w:val="24"/>
              </w:rPr>
              <w:t>4.3.</w:t>
            </w:r>
          </w:p>
        </w:tc>
        <w:tc>
          <w:tcPr>
            <w:tcW w:w="5511" w:type="dxa"/>
            <w:vAlign w:val="center"/>
          </w:tcPr>
          <w:p w14:paraId="55381E66" w14:textId="77777777" w:rsidR="00503C65" w:rsidRPr="0024776D" w:rsidRDefault="00503C65" w:rsidP="00C315DE">
            <w:pPr>
              <w:spacing w:after="0" w:line="276" w:lineRule="auto"/>
              <w:rPr>
                <w:rFonts w:ascii="Times New Roman" w:hAnsi="Times New Roman" w:cs="Times New Roman"/>
                <w:sz w:val="24"/>
                <w:szCs w:val="24"/>
              </w:rPr>
            </w:pPr>
            <w:r w:rsidRPr="0024776D">
              <w:rPr>
                <w:rFonts w:ascii="Times New Roman" w:hAnsi="Times New Roman" w:cs="Times New Roman"/>
                <w:sz w:val="24"/>
                <w:szCs w:val="24"/>
              </w:rPr>
              <w:t>Политика за насърчаване на фармацевтичния сектор във ветеринарната област да поддържа наличността от антибиотици с добре установена употреба с цел ограничаване използването на по-нови и важни за хуманната медицина антибиотици</w:t>
            </w:r>
          </w:p>
        </w:tc>
        <w:tc>
          <w:tcPr>
            <w:tcW w:w="1701" w:type="dxa"/>
            <w:vAlign w:val="center"/>
          </w:tcPr>
          <w:p w14:paraId="64F30BE4" w14:textId="77777777" w:rsidR="00503C65" w:rsidRPr="00442189" w:rsidRDefault="00503C65" w:rsidP="00C315DE">
            <w:pPr>
              <w:widowControl w:val="0"/>
              <w:spacing w:after="0" w:line="276" w:lineRule="auto"/>
              <w:rPr>
                <w:rFonts w:ascii="Times New Roman" w:hAnsi="Times New Roman" w:cs="Times New Roman"/>
                <w:color w:val="000000"/>
                <w:kern w:val="24"/>
                <w:sz w:val="24"/>
                <w:szCs w:val="24"/>
              </w:rPr>
            </w:pPr>
            <w:r w:rsidRPr="00442189">
              <w:rPr>
                <w:rFonts w:ascii="Times New Roman" w:hAnsi="Times New Roman" w:cs="Times New Roman"/>
                <w:color w:val="000000"/>
                <w:kern w:val="24"/>
                <w:sz w:val="24"/>
                <w:szCs w:val="24"/>
              </w:rPr>
              <w:t>БАБХ</w:t>
            </w:r>
          </w:p>
        </w:tc>
        <w:tc>
          <w:tcPr>
            <w:tcW w:w="1134" w:type="dxa"/>
            <w:vAlign w:val="center"/>
          </w:tcPr>
          <w:p w14:paraId="5B1C05B0" w14:textId="77777777" w:rsidR="00503C65" w:rsidRPr="00E47047" w:rsidRDefault="00503C65" w:rsidP="00C315DE">
            <w:pPr>
              <w:widowControl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6</w:t>
            </w:r>
            <w:r w:rsidRPr="00D53BB0">
              <w:rPr>
                <w:rFonts w:ascii="Times New Roman" w:eastAsia="Calibri" w:hAnsi="Times New Roman" w:cs="Times New Roman"/>
                <w:sz w:val="24"/>
                <w:szCs w:val="24"/>
              </w:rPr>
              <w:t xml:space="preserve"> – </w:t>
            </w:r>
            <w:r w:rsidRPr="00E4704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8</w:t>
            </w:r>
          </w:p>
        </w:tc>
        <w:tc>
          <w:tcPr>
            <w:tcW w:w="2268" w:type="dxa"/>
            <w:vAlign w:val="center"/>
          </w:tcPr>
          <w:p w14:paraId="5D13254D" w14:textId="77777777" w:rsidR="00503C65" w:rsidRPr="00606481" w:rsidRDefault="00503C65" w:rsidP="00C315DE">
            <w:pPr>
              <w:autoSpaceDE w:val="0"/>
              <w:autoSpaceDN w:val="0"/>
              <w:adjustRightInd w:val="0"/>
              <w:spacing w:after="0" w:line="276" w:lineRule="auto"/>
              <w:rPr>
                <w:rFonts w:ascii="Times New Roman" w:hAnsi="Times New Roman" w:cs="Times New Roman"/>
                <w:sz w:val="24"/>
                <w:szCs w:val="24"/>
              </w:rPr>
            </w:pPr>
            <w:r w:rsidRPr="00606481">
              <w:rPr>
                <w:rFonts w:ascii="Times New Roman" w:hAnsi="Times New Roman" w:cs="Times New Roman"/>
                <w:color w:val="000000"/>
                <w:sz w:val="24"/>
                <w:szCs w:val="24"/>
              </w:rPr>
              <w:t xml:space="preserve">Срещи/семинари </w:t>
            </w:r>
            <w:r w:rsidRPr="00606481">
              <w:rPr>
                <w:rFonts w:ascii="Times New Roman" w:hAnsi="Times New Roman" w:cs="Times New Roman"/>
                <w:color w:val="000000"/>
                <w:sz w:val="24"/>
                <w:szCs w:val="24"/>
                <w:lang w:val="en-US"/>
              </w:rPr>
              <w:t>(</w:t>
            </w:r>
            <w:r w:rsidRPr="00606481">
              <w:rPr>
                <w:rFonts w:ascii="Times New Roman" w:hAnsi="Times New Roman" w:cs="Times New Roman"/>
                <w:color w:val="000000"/>
                <w:sz w:val="24"/>
                <w:szCs w:val="24"/>
              </w:rPr>
              <w:t>най-малко веднъж годишно</w:t>
            </w:r>
            <w:r w:rsidRPr="00606481">
              <w:rPr>
                <w:rFonts w:ascii="Times New Roman" w:hAnsi="Times New Roman" w:cs="Times New Roman"/>
                <w:color w:val="000000"/>
                <w:sz w:val="24"/>
                <w:szCs w:val="24"/>
                <w:lang w:val="en-US"/>
              </w:rPr>
              <w:t>)</w:t>
            </w:r>
            <w:r w:rsidRPr="00606481">
              <w:rPr>
                <w:rFonts w:ascii="Times New Roman" w:hAnsi="Times New Roman" w:cs="Times New Roman"/>
                <w:color w:val="000000"/>
                <w:sz w:val="24"/>
                <w:szCs w:val="24"/>
              </w:rPr>
              <w:t xml:space="preserve"> с представители на организациите във ветеринарния фармацевтичен сектор. </w:t>
            </w:r>
            <w:r w:rsidRPr="00606481">
              <w:rPr>
                <w:rFonts w:ascii="Times New Roman" w:hAnsi="Times New Roman" w:cs="Times New Roman"/>
                <w:sz w:val="24"/>
                <w:szCs w:val="24"/>
              </w:rPr>
              <w:t>Намаляване броя или л</w:t>
            </w:r>
            <w:r w:rsidRPr="00606481">
              <w:rPr>
                <w:rFonts w:ascii="Times New Roman" w:hAnsi="Times New Roman" w:cs="Times New Roman"/>
                <w:sz w:val="24"/>
                <w:szCs w:val="24"/>
                <w:lang w:val="en-GB"/>
              </w:rPr>
              <w:t>ипса на несъответствия.</w:t>
            </w:r>
            <w:r w:rsidRPr="00606481">
              <w:rPr>
                <w:rFonts w:ascii="Times New Roman" w:hAnsi="Times New Roman" w:cs="Times New Roman"/>
                <w:sz w:val="24"/>
                <w:szCs w:val="24"/>
              </w:rPr>
              <w:t xml:space="preserve"> </w:t>
            </w:r>
          </w:p>
        </w:tc>
        <w:tc>
          <w:tcPr>
            <w:tcW w:w="1843" w:type="dxa"/>
            <w:vAlign w:val="center"/>
          </w:tcPr>
          <w:p w14:paraId="428AD82F" w14:textId="77777777" w:rsidR="00503C65" w:rsidRPr="00606481" w:rsidRDefault="00503C65" w:rsidP="00C315DE">
            <w:pPr>
              <w:autoSpaceDE w:val="0"/>
              <w:autoSpaceDN w:val="0"/>
              <w:adjustRightInd w:val="0"/>
              <w:spacing w:after="0" w:line="276" w:lineRule="auto"/>
              <w:rPr>
                <w:rFonts w:ascii="Times New Roman" w:hAnsi="Times New Roman" w:cs="Times New Roman"/>
                <w:sz w:val="24"/>
                <w:szCs w:val="24"/>
              </w:rPr>
            </w:pPr>
            <w:r w:rsidRPr="00606481">
              <w:rPr>
                <w:rFonts w:ascii="Times New Roman" w:hAnsi="Times New Roman" w:cs="Times New Roman"/>
                <w:sz w:val="24"/>
                <w:szCs w:val="24"/>
              </w:rPr>
              <w:t>0</w:t>
            </w:r>
          </w:p>
        </w:tc>
        <w:tc>
          <w:tcPr>
            <w:tcW w:w="2131" w:type="dxa"/>
            <w:vAlign w:val="center"/>
          </w:tcPr>
          <w:p w14:paraId="63945B6A"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sidRPr="008634C1">
              <w:rPr>
                <w:rFonts w:ascii="Times New Roman" w:hAnsi="Times New Roman" w:cs="Times New Roman"/>
                <w:sz w:val="24"/>
                <w:szCs w:val="24"/>
              </w:rPr>
              <w:t xml:space="preserve">минимум 2 </w:t>
            </w:r>
            <w:r w:rsidRPr="00E47047">
              <w:rPr>
                <w:rFonts w:ascii="Times New Roman" w:hAnsi="Times New Roman" w:cs="Times New Roman"/>
                <w:sz w:val="24"/>
                <w:szCs w:val="24"/>
              </w:rPr>
              <w:t>срещ</w:t>
            </w:r>
            <w:r w:rsidRPr="008634C1">
              <w:rPr>
                <w:rFonts w:ascii="Times New Roman" w:hAnsi="Times New Roman" w:cs="Times New Roman"/>
                <w:sz w:val="24"/>
                <w:szCs w:val="24"/>
              </w:rPr>
              <w:t xml:space="preserve">и </w:t>
            </w:r>
            <w:r w:rsidRPr="00E47047">
              <w:rPr>
                <w:rFonts w:ascii="Times New Roman" w:hAnsi="Times New Roman" w:cs="Times New Roman"/>
                <w:sz w:val="24"/>
                <w:szCs w:val="24"/>
              </w:rPr>
              <w:t>с ветеринарния фармацевтичен бизнес</w:t>
            </w:r>
          </w:p>
        </w:tc>
      </w:tr>
      <w:tr w:rsidR="00503C65" w:rsidRPr="00606481" w14:paraId="389B7414" w14:textId="77777777" w:rsidTr="00C315DE">
        <w:tc>
          <w:tcPr>
            <w:tcW w:w="721" w:type="dxa"/>
            <w:vAlign w:val="center"/>
          </w:tcPr>
          <w:p w14:paraId="54FFFCC9" w14:textId="77777777" w:rsidR="00503C65" w:rsidRPr="0024776D" w:rsidRDefault="00503C65" w:rsidP="00C315DE">
            <w:pPr>
              <w:spacing w:after="0" w:line="276" w:lineRule="auto"/>
              <w:jc w:val="right"/>
              <w:rPr>
                <w:rFonts w:ascii="Times New Roman" w:hAnsi="Times New Roman" w:cs="Times New Roman"/>
                <w:sz w:val="24"/>
                <w:szCs w:val="24"/>
              </w:rPr>
            </w:pPr>
            <w:r w:rsidRPr="00606481">
              <w:rPr>
                <w:rFonts w:ascii="Times New Roman" w:hAnsi="Times New Roman" w:cs="Times New Roman"/>
                <w:b/>
                <w:kern w:val="24"/>
                <w:sz w:val="24"/>
                <w:szCs w:val="24"/>
              </w:rPr>
              <w:t>4.4.</w:t>
            </w:r>
          </w:p>
        </w:tc>
        <w:tc>
          <w:tcPr>
            <w:tcW w:w="5511" w:type="dxa"/>
            <w:vAlign w:val="center"/>
          </w:tcPr>
          <w:p w14:paraId="7B91981D" w14:textId="77777777" w:rsidR="00503C65" w:rsidRPr="00152A66" w:rsidRDefault="00503C65" w:rsidP="00C315DE">
            <w:pPr>
              <w:spacing w:after="0" w:line="276" w:lineRule="auto"/>
              <w:rPr>
                <w:rFonts w:ascii="Times New Roman" w:hAnsi="Times New Roman" w:cs="Times New Roman"/>
                <w:sz w:val="24"/>
                <w:szCs w:val="24"/>
              </w:rPr>
            </w:pPr>
            <w:r w:rsidRPr="00442189">
              <w:rPr>
                <w:rFonts w:ascii="Times New Roman" w:hAnsi="Times New Roman" w:cs="Times New Roman"/>
                <w:sz w:val="24"/>
                <w:szCs w:val="24"/>
              </w:rPr>
              <w:t>Приоритетно вземане на проби от антимикробни</w:t>
            </w:r>
            <w:r w:rsidRPr="00152A66">
              <w:rPr>
                <w:rFonts w:ascii="Times New Roman" w:hAnsi="Times New Roman" w:cs="Times New Roman"/>
                <w:sz w:val="24"/>
                <w:szCs w:val="24"/>
              </w:rPr>
              <w:t xml:space="preserve"> ВЛП за анализ по Програмата за контрол на качеството на ВЛП в търговската мрежа</w:t>
            </w:r>
          </w:p>
          <w:p w14:paraId="1B857C5C"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p>
        </w:tc>
        <w:tc>
          <w:tcPr>
            <w:tcW w:w="1701" w:type="dxa"/>
            <w:vAlign w:val="center"/>
          </w:tcPr>
          <w:p w14:paraId="6B009795" w14:textId="77777777" w:rsidR="00503C65" w:rsidRPr="00E47047" w:rsidRDefault="00503C65" w:rsidP="00C315DE">
            <w:pPr>
              <w:widowControl w:val="0"/>
              <w:spacing w:after="0" w:line="276" w:lineRule="auto"/>
              <w:rPr>
                <w:rFonts w:ascii="Times New Roman" w:hAnsi="Times New Roman" w:cs="Times New Roman"/>
                <w:color w:val="000000"/>
                <w:kern w:val="24"/>
                <w:sz w:val="24"/>
                <w:szCs w:val="24"/>
              </w:rPr>
            </w:pPr>
            <w:r w:rsidRPr="00E47047">
              <w:rPr>
                <w:rFonts w:ascii="Times New Roman" w:hAnsi="Times New Roman" w:cs="Times New Roman"/>
                <w:color w:val="000000"/>
                <w:kern w:val="24"/>
                <w:sz w:val="24"/>
                <w:szCs w:val="24"/>
              </w:rPr>
              <w:t>БАБХ</w:t>
            </w:r>
          </w:p>
        </w:tc>
        <w:tc>
          <w:tcPr>
            <w:tcW w:w="1134" w:type="dxa"/>
            <w:vAlign w:val="center"/>
          </w:tcPr>
          <w:p w14:paraId="10C417E2" w14:textId="77777777" w:rsidR="00503C65" w:rsidRPr="00606481" w:rsidRDefault="00503C65" w:rsidP="00C315DE">
            <w:pPr>
              <w:widowControl w:val="0"/>
              <w:spacing w:after="0" w:line="276" w:lineRule="auto"/>
              <w:rPr>
                <w:rFonts w:ascii="Times New Roman" w:hAnsi="Times New Roman" w:cs="Times New Roman"/>
                <w:color w:val="000000"/>
                <w:kern w:val="24"/>
                <w:sz w:val="24"/>
                <w:szCs w:val="24"/>
              </w:rPr>
            </w:pPr>
            <w:r w:rsidRPr="00606481">
              <w:rPr>
                <w:rFonts w:ascii="Times New Roman" w:eastAsia="Calibri" w:hAnsi="Times New Roman" w:cs="Times New Roman"/>
                <w:sz w:val="24"/>
                <w:szCs w:val="24"/>
              </w:rPr>
              <w:t>202</w:t>
            </w:r>
            <w:r>
              <w:rPr>
                <w:rFonts w:ascii="Times New Roman" w:eastAsia="Calibri" w:hAnsi="Times New Roman" w:cs="Times New Roman"/>
                <w:sz w:val="24"/>
                <w:szCs w:val="24"/>
              </w:rPr>
              <w:t>6</w:t>
            </w:r>
            <w:r w:rsidRPr="00606481">
              <w:rPr>
                <w:rFonts w:ascii="Times New Roman" w:eastAsia="Calibri" w:hAnsi="Times New Roman" w:cs="Times New Roman"/>
                <w:sz w:val="24"/>
                <w:szCs w:val="24"/>
              </w:rPr>
              <w:t xml:space="preserve"> – 202</w:t>
            </w:r>
            <w:r>
              <w:rPr>
                <w:rFonts w:ascii="Times New Roman" w:eastAsia="Calibri" w:hAnsi="Times New Roman" w:cs="Times New Roman"/>
                <w:sz w:val="24"/>
                <w:szCs w:val="24"/>
              </w:rPr>
              <w:t>9</w:t>
            </w:r>
          </w:p>
        </w:tc>
        <w:tc>
          <w:tcPr>
            <w:tcW w:w="2268" w:type="dxa"/>
            <w:vAlign w:val="center"/>
          </w:tcPr>
          <w:p w14:paraId="4DD4EA2E" w14:textId="77777777" w:rsidR="00503C65" w:rsidRPr="00606481" w:rsidRDefault="00503C65" w:rsidP="00C315DE">
            <w:pPr>
              <w:widowControl w:val="0"/>
              <w:spacing w:after="0" w:line="276" w:lineRule="auto"/>
              <w:rPr>
                <w:rFonts w:ascii="Times New Roman" w:eastAsia="Calibri" w:hAnsi="Times New Roman" w:cs="Times New Roman"/>
                <w:sz w:val="24"/>
                <w:szCs w:val="24"/>
              </w:rPr>
            </w:pPr>
            <w:r w:rsidRPr="00606481">
              <w:rPr>
                <w:rFonts w:ascii="Times New Roman" w:eastAsia="Calibri" w:hAnsi="Times New Roman" w:cs="Times New Roman"/>
                <w:sz w:val="24"/>
                <w:szCs w:val="24"/>
              </w:rPr>
              <w:t xml:space="preserve">Изпълнение на ежегодно изготвяните програми. Предприети административни действия в случай на отклонения в </w:t>
            </w:r>
            <w:r w:rsidRPr="00606481">
              <w:rPr>
                <w:rFonts w:ascii="Times New Roman" w:eastAsia="Calibri" w:hAnsi="Times New Roman" w:cs="Times New Roman"/>
                <w:sz w:val="24"/>
                <w:szCs w:val="24"/>
              </w:rPr>
              <w:lastRenderedPageBreak/>
              <w:t xml:space="preserve">качеството при ВЛП. </w:t>
            </w:r>
          </w:p>
        </w:tc>
        <w:tc>
          <w:tcPr>
            <w:tcW w:w="1843" w:type="dxa"/>
            <w:vAlign w:val="center"/>
          </w:tcPr>
          <w:p w14:paraId="7C28BF93" w14:textId="77777777" w:rsidR="00503C65" w:rsidRPr="00606481" w:rsidRDefault="00503C65" w:rsidP="00C315DE">
            <w:pPr>
              <w:widowControl w:val="0"/>
              <w:spacing w:after="0" w:line="276" w:lineRule="auto"/>
              <w:rPr>
                <w:rFonts w:ascii="Times New Roman" w:eastAsia="Calibri" w:hAnsi="Times New Roman" w:cs="Times New Roman"/>
                <w:sz w:val="24"/>
                <w:szCs w:val="24"/>
              </w:rPr>
            </w:pPr>
            <w:r w:rsidRPr="00606481">
              <w:rPr>
                <w:rFonts w:ascii="Times New Roman" w:eastAsia="Calibri" w:hAnsi="Times New Roman" w:cs="Times New Roman"/>
                <w:sz w:val="24"/>
                <w:szCs w:val="24"/>
              </w:rPr>
              <w:lastRenderedPageBreak/>
              <w:t>40% от заложените проби от ВЛП</w:t>
            </w:r>
          </w:p>
        </w:tc>
        <w:tc>
          <w:tcPr>
            <w:tcW w:w="2131" w:type="dxa"/>
            <w:vAlign w:val="center"/>
          </w:tcPr>
          <w:p w14:paraId="424A5493" w14:textId="77777777" w:rsidR="00503C65" w:rsidRPr="00606481" w:rsidRDefault="00503C65" w:rsidP="00C315DE">
            <w:pPr>
              <w:widowControl w:val="0"/>
              <w:spacing w:after="0" w:line="276" w:lineRule="auto"/>
              <w:rPr>
                <w:rFonts w:ascii="Times New Roman" w:eastAsia="Calibri" w:hAnsi="Times New Roman" w:cs="Times New Roman"/>
                <w:sz w:val="24"/>
                <w:szCs w:val="24"/>
              </w:rPr>
            </w:pPr>
            <w:r w:rsidRPr="00606481">
              <w:rPr>
                <w:rFonts w:ascii="Times New Roman" w:eastAsia="Calibri" w:hAnsi="Times New Roman" w:cs="Times New Roman"/>
                <w:sz w:val="24"/>
                <w:szCs w:val="24"/>
              </w:rPr>
              <w:t>50% от заложените годишни проби от ВЛП</w:t>
            </w:r>
          </w:p>
        </w:tc>
      </w:tr>
      <w:tr w:rsidR="00503C65" w:rsidRPr="002262A7" w14:paraId="319C5C42" w14:textId="77777777" w:rsidTr="00C315DE">
        <w:tc>
          <w:tcPr>
            <w:tcW w:w="721" w:type="dxa"/>
            <w:vAlign w:val="center"/>
          </w:tcPr>
          <w:p w14:paraId="3EC0F397"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kern w:val="24"/>
                <w:sz w:val="24"/>
                <w:szCs w:val="24"/>
              </w:rPr>
              <w:t>4.5.</w:t>
            </w:r>
          </w:p>
        </w:tc>
        <w:tc>
          <w:tcPr>
            <w:tcW w:w="5511" w:type="dxa"/>
            <w:vAlign w:val="center"/>
          </w:tcPr>
          <w:p w14:paraId="0B4DB6E9" w14:textId="77777777" w:rsidR="00503C65" w:rsidRPr="002262A7" w:rsidRDefault="00503C65" w:rsidP="00C315DE">
            <w:pPr>
              <w:pStyle w:val="Default"/>
              <w:spacing w:line="276" w:lineRule="auto"/>
              <w:rPr>
                <w:rFonts w:eastAsia="Times New Roman"/>
                <w:lang w:val="bg-BG"/>
              </w:rPr>
            </w:pPr>
            <w:r w:rsidRPr="002262A7">
              <w:rPr>
                <w:rFonts w:eastAsia="Times New Roman"/>
                <w:lang w:val="bg-BG"/>
              </w:rPr>
              <w:t>О</w:t>
            </w:r>
            <w:r w:rsidRPr="002262A7">
              <w:rPr>
                <w:rFonts w:eastAsia="Times New Roman"/>
              </w:rPr>
              <w:t>птим</w:t>
            </w:r>
            <w:r w:rsidRPr="002262A7">
              <w:rPr>
                <w:rFonts w:eastAsia="Times New Roman"/>
                <w:color w:val="auto"/>
                <w:lang w:val="bg-BG"/>
              </w:rPr>
              <w:t>ално</w:t>
            </w:r>
            <w:r w:rsidRPr="002262A7">
              <w:rPr>
                <w:rFonts w:eastAsia="Times New Roman"/>
                <w:color w:val="auto"/>
              </w:rPr>
              <w:t xml:space="preserve"> </w:t>
            </w:r>
            <w:r w:rsidRPr="002262A7">
              <w:rPr>
                <w:rFonts w:eastAsia="Times New Roman"/>
              </w:rPr>
              <w:t>осигуряване от лечебните заведения за болнична помощ на доставка и наличие на необходими за пациентите</w:t>
            </w:r>
            <w:r w:rsidRPr="002262A7" w:rsidDel="00564AB5">
              <w:rPr>
                <w:rFonts w:eastAsia="Times New Roman"/>
              </w:rPr>
              <w:t xml:space="preserve"> </w:t>
            </w:r>
            <w:r w:rsidRPr="002262A7">
              <w:rPr>
                <w:rFonts w:eastAsia="Times New Roman"/>
              </w:rPr>
              <w:t>антимикробни лекарствени продукти, които не са разрешени за употреба в страната, както и такива, които са разрешени за употреба в страната, но не се разпространяват на българския фармацевтичен пазар, съобразно Наредба № 10 за условията и реда за лечение с неразрешени  за употреба в Република България лекарствени продукти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по чл. 266а, ал. 2 от Закона за лекарствените продукти в хуманната медицина</w:t>
            </w:r>
            <w:r w:rsidRPr="002262A7">
              <w:rPr>
                <w:rFonts w:eastAsia="Times New Roman"/>
                <w:lang w:val="bg-BG"/>
              </w:rPr>
              <w:t xml:space="preserve"> (</w:t>
            </w:r>
            <w:r w:rsidRPr="002262A7">
              <w:rPr>
                <w:rFonts w:eastAsia="Times New Roman"/>
                <w:color w:val="auto"/>
                <w:lang w:eastAsia="bg-BG"/>
              </w:rPr>
              <w:t xml:space="preserve">обн., ДВ, </w:t>
            </w:r>
            <w:hyperlink r:id="rId21" w:tgtFrame="_blank" w:history="1">
              <w:r w:rsidRPr="002262A7">
                <w:rPr>
                  <w:rFonts w:eastAsia="Times New Roman"/>
                  <w:color w:val="auto"/>
                  <w:lang w:eastAsia="bg-BG"/>
                </w:rPr>
                <w:t>бр. 95</w:t>
              </w:r>
            </w:hyperlink>
            <w:r w:rsidRPr="002262A7">
              <w:rPr>
                <w:rFonts w:eastAsia="Times New Roman"/>
                <w:color w:val="auto"/>
                <w:lang w:eastAsia="bg-BG"/>
              </w:rPr>
              <w:t xml:space="preserve"> от 2011 г.</w:t>
            </w:r>
            <w:r w:rsidRPr="002262A7">
              <w:rPr>
                <w:rFonts w:eastAsia="Times New Roman"/>
                <w:color w:val="auto"/>
                <w:lang w:val="bg-BG" w:eastAsia="bg-BG"/>
              </w:rPr>
              <w:t>)</w:t>
            </w:r>
          </w:p>
        </w:tc>
        <w:tc>
          <w:tcPr>
            <w:tcW w:w="1701" w:type="dxa"/>
            <w:vAlign w:val="center"/>
          </w:tcPr>
          <w:p w14:paraId="3F6EADF6"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eastAsia="Calibri" w:hAnsi="Times New Roman" w:cs="Times New Roman"/>
                <w:color w:val="000000"/>
                <w:kern w:val="24"/>
                <w:sz w:val="24"/>
                <w:szCs w:val="24"/>
              </w:rPr>
              <w:t>Лечебни заведения за болнична помощ, ИАЛ, НЗОК</w:t>
            </w:r>
            <w:r>
              <w:rPr>
                <w:rFonts w:ascii="Times New Roman" w:eastAsia="Calibri" w:hAnsi="Times New Roman" w:cs="Times New Roman"/>
                <w:color w:val="000000"/>
                <w:kern w:val="24"/>
                <w:sz w:val="24"/>
                <w:szCs w:val="24"/>
              </w:rPr>
              <w:t>, МЗ</w:t>
            </w:r>
          </w:p>
        </w:tc>
        <w:tc>
          <w:tcPr>
            <w:tcW w:w="1134" w:type="dxa"/>
            <w:vAlign w:val="center"/>
          </w:tcPr>
          <w:p w14:paraId="14147B61" w14:textId="77777777" w:rsidR="00503C65" w:rsidRPr="002E53D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eastAsia="Calibri" w:hAnsi="Times New Roman" w:cs="Times New Roman"/>
                <w:color w:val="000000"/>
                <w:kern w:val="24"/>
                <w:sz w:val="24"/>
                <w:szCs w:val="24"/>
                <w:lang w:val="en-US"/>
              </w:rPr>
              <w:t>202</w:t>
            </w:r>
            <w:r>
              <w:rPr>
                <w:rFonts w:ascii="Times New Roman" w:eastAsia="Calibri" w:hAnsi="Times New Roman" w:cs="Times New Roman"/>
                <w:color w:val="000000"/>
                <w:kern w:val="24"/>
                <w:sz w:val="24"/>
                <w:szCs w:val="24"/>
              </w:rPr>
              <w:t>5</w:t>
            </w:r>
            <w:r w:rsidRPr="002262A7">
              <w:rPr>
                <w:rFonts w:ascii="Times New Roman" w:eastAsia="Calibri" w:hAnsi="Times New Roman" w:cs="Times New Roman"/>
                <w:sz w:val="24"/>
                <w:szCs w:val="24"/>
              </w:rPr>
              <w:t xml:space="preserve"> – </w:t>
            </w:r>
            <w:r w:rsidRPr="002262A7">
              <w:rPr>
                <w:rFonts w:ascii="Times New Roman" w:eastAsia="Calibri" w:hAnsi="Times New Roman" w:cs="Times New Roman"/>
                <w:color w:val="000000"/>
                <w:kern w:val="24"/>
                <w:sz w:val="24"/>
                <w:szCs w:val="24"/>
              </w:rPr>
              <w:t>202</w:t>
            </w:r>
            <w:r>
              <w:rPr>
                <w:rFonts w:ascii="Times New Roman" w:eastAsia="Calibri" w:hAnsi="Times New Roman" w:cs="Times New Roman"/>
                <w:color w:val="000000"/>
                <w:kern w:val="24"/>
                <w:sz w:val="24"/>
                <w:szCs w:val="24"/>
              </w:rPr>
              <w:t>8</w:t>
            </w:r>
          </w:p>
        </w:tc>
        <w:tc>
          <w:tcPr>
            <w:tcW w:w="2268" w:type="dxa"/>
            <w:vAlign w:val="center"/>
          </w:tcPr>
          <w:p w14:paraId="70CDF6E0"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6F589F">
              <w:rPr>
                <w:rFonts w:ascii="Times New Roman" w:eastAsia="Calibri" w:hAnsi="Times New Roman" w:cs="Times New Roman"/>
                <w:sz w:val="24"/>
                <w:szCs w:val="24"/>
              </w:rPr>
              <w:t>Осигурен достъп до лекарствени продукти (ЛП), показани за лечение на инфекции с ограничени възможности за лечение с конвенционални антибактериални ЛП и липса на терапевтична алтернатива.</w:t>
            </w:r>
          </w:p>
        </w:tc>
        <w:tc>
          <w:tcPr>
            <w:tcW w:w="1843" w:type="dxa"/>
            <w:shd w:val="clear" w:color="auto" w:fill="auto"/>
            <w:vAlign w:val="center"/>
          </w:tcPr>
          <w:p w14:paraId="2884E9E2" w14:textId="77777777" w:rsidR="00503C65" w:rsidRPr="00DE31F3" w:rsidRDefault="00503C65" w:rsidP="00C315DE">
            <w:pPr>
              <w:autoSpaceDE w:val="0"/>
              <w:autoSpaceDN w:val="0"/>
              <w:adjustRightInd w:val="0"/>
              <w:spacing w:after="0" w:line="276" w:lineRule="auto"/>
              <w:rPr>
                <w:rFonts w:ascii="Times New Roman" w:hAnsi="Times New Roman" w:cs="Times New Roman"/>
                <w:sz w:val="24"/>
                <w:szCs w:val="24"/>
              </w:rPr>
            </w:pPr>
            <w:r w:rsidRPr="00DE31F3">
              <w:rPr>
                <w:rFonts w:ascii="Times New Roman" w:hAnsi="Times New Roman" w:cs="Times New Roman"/>
                <w:sz w:val="24"/>
                <w:szCs w:val="24"/>
              </w:rPr>
              <w:t>Предложени от лечебни</w:t>
            </w:r>
            <w:r w:rsidRPr="00B6489B">
              <w:rPr>
                <w:rFonts w:ascii="Times New Roman" w:hAnsi="Times New Roman" w:cs="Times New Roman"/>
                <w:sz w:val="24"/>
                <w:szCs w:val="24"/>
              </w:rPr>
              <w:t>те за</w:t>
            </w:r>
            <w:r w:rsidRPr="00DE31F3">
              <w:rPr>
                <w:rFonts w:ascii="Times New Roman" w:hAnsi="Times New Roman" w:cs="Times New Roman"/>
                <w:sz w:val="24"/>
                <w:szCs w:val="24"/>
              </w:rPr>
              <w:t>ведения за болнична помощ, подходящи за включване лекарствени продукти в Списъка по чл. 266а, ал. 2 от ЗЛПХМ– 4 лекарствени продукта по INN</w:t>
            </w:r>
            <w:r w:rsidRPr="00DE31F3" w:rsidDel="006F589F">
              <w:rPr>
                <w:rFonts w:ascii="Times New Roman" w:hAnsi="Times New Roman" w:cs="Times New Roman"/>
                <w:sz w:val="24"/>
                <w:szCs w:val="24"/>
              </w:rPr>
              <w:t xml:space="preserve"> </w:t>
            </w:r>
          </w:p>
        </w:tc>
        <w:tc>
          <w:tcPr>
            <w:tcW w:w="2131" w:type="dxa"/>
            <w:shd w:val="clear" w:color="auto" w:fill="auto"/>
            <w:vAlign w:val="center"/>
          </w:tcPr>
          <w:p w14:paraId="0E0D5C58" w14:textId="77777777" w:rsidR="00503C65" w:rsidRPr="00DE31F3" w:rsidRDefault="00503C65" w:rsidP="00C315DE">
            <w:pPr>
              <w:autoSpaceDE w:val="0"/>
              <w:autoSpaceDN w:val="0"/>
              <w:adjustRightInd w:val="0"/>
              <w:spacing w:after="0" w:line="276" w:lineRule="auto"/>
              <w:rPr>
                <w:rFonts w:ascii="Times New Roman" w:hAnsi="Times New Roman" w:cs="Times New Roman"/>
                <w:sz w:val="24"/>
                <w:szCs w:val="24"/>
              </w:rPr>
            </w:pPr>
            <w:r w:rsidRPr="00DE31F3">
              <w:rPr>
                <w:rFonts w:ascii="Times New Roman" w:hAnsi="Times New Roman" w:cs="Times New Roman"/>
                <w:sz w:val="24"/>
                <w:szCs w:val="24"/>
              </w:rPr>
              <w:t>Включени в Списъка по чл. 266а, ал. 2 от ЗЛПХМ лекарствени продукти, на база на предложения от лечебните заведения за болнична помощ – 100%</w:t>
            </w:r>
          </w:p>
        </w:tc>
      </w:tr>
      <w:tr w:rsidR="00503C65" w:rsidRPr="002262A7" w14:paraId="7EF21074" w14:textId="77777777" w:rsidTr="00C315DE">
        <w:tc>
          <w:tcPr>
            <w:tcW w:w="721" w:type="dxa"/>
            <w:vAlign w:val="center"/>
          </w:tcPr>
          <w:p w14:paraId="568C23F8" w14:textId="77777777" w:rsidR="00503C65" w:rsidRPr="00D53BB0" w:rsidRDefault="00503C65" w:rsidP="00C315DE">
            <w:pPr>
              <w:spacing w:after="0" w:line="276" w:lineRule="auto"/>
              <w:jc w:val="right"/>
              <w:rPr>
                <w:rFonts w:ascii="Times New Roman" w:hAnsi="Times New Roman" w:cs="Times New Roman"/>
                <w:sz w:val="24"/>
                <w:szCs w:val="24"/>
              </w:rPr>
            </w:pPr>
            <w:r w:rsidRPr="00D53BB0">
              <w:rPr>
                <w:rFonts w:ascii="Times New Roman" w:hAnsi="Times New Roman" w:cs="Times New Roman"/>
                <w:b/>
                <w:sz w:val="24"/>
                <w:szCs w:val="24"/>
              </w:rPr>
              <w:t>4.6.</w:t>
            </w:r>
          </w:p>
        </w:tc>
        <w:tc>
          <w:tcPr>
            <w:tcW w:w="5511" w:type="dxa"/>
            <w:vAlign w:val="center"/>
          </w:tcPr>
          <w:p w14:paraId="594CD2AF" w14:textId="77777777" w:rsidR="00503C65" w:rsidRPr="00D53BB0"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Повишаване отговорността на регистрираните ветеринарни лекари при предписване на антими</w:t>
            </w:r>
            <w:r w:rsidRPr="00D53BB0">
              <w:rPr>
                <w:rFonts w:ascii="Times New Roman" w:hAnsi="Times New Roman" w:cs="Times New Roman"/>
                <w:sz w:val="24"/>
                <w:szCs w:val="24"/>
              </w:rPr>
              <w:t>кробни ВЛП, чрез разработване на насоки за добри практики при използване на антибиотици за лечение на заболявания при домашни животни, фокусирани върху установени групи патологии с икономическо значение:</w:t>
            </w:r>
          </w:p>
          <w:p w14:paraId="733B6B7F" w14:textId="77777777" w:rsidR="00503C65" w:rsidRPr="00D53BB0" w:rsidRDefault="00503C65" w:rsidP="00C315DE">
            <w:pPr>
              <w:autoSpaceDE w:val="0"/>
              <w:autoSpaceDN w:val="0"/>
              <w:adjustRightInd w:val="0"/>
              <w:spacing w:after="0" w:line="276" w:lineRule="auto"/>
              <w:ind w:left="113" w:hanging="113"/>
              <w:rPr>
                <w:rFonts w:ascii="Times New Roman" w:hAnsi="Times New Roman" w:cs="Times New Roman"/>
                <w:sz w:val="24"/>
                <w:szCs w:val="24"/>
              </w:rPr>
            </w:pPr>
            <w:r w:rsidRPr="00D53BB0">
              <w:rPr>
                <w:rFonts w:ascii="Times New Roman" w:hAnsi="Times New Roman" w:cs="Times New Roman"/>
                <w:sz w:val="24"/>
                <w:szCs w:val="24"/>
              </w:rPr>
              <w:lastRenderedPageBreak/>
              <w:t xml:space="preserve">- срещи/семинари със заинтересованите страни относно насърчаване на разумното използване на антимикробни средства; </w:t>
            </w:r>
          </w:p>
          <w:p w14:paraId="4997E4DE" w14:textId="77777777" w:rsidR="00503C65" w:rsidRPr="00D53BB0" w:rsidRDefault="00503C65" w:rsidP="00C315DE">
            <w:pPr>
              <w:spacing w:after="0" w:line="276" w:lineRule="auto"/>
              <w:ind w:left="113" w:hanging="113"/>
              <w:rPr>
                <w:rFonts w:ascii="Times New Roman" w:hAnsi="Times New Roman" w:cs="Times New Roman"/>
                <w:b/>
                <w:sz w:val="24"/>
                <w:szCs w:val="24"/>
              </w:rPr>
            </w:pPr>
            <w:r w:rsidRPr="00D53BB0">
              <w:rPr>
                <w:rFonts w:ascii="Times New Roman" w:hAnsi="Times New Roman" w:cs="Times New Roman"/>
                <w:sz w:val="24"/>
                <w:szCs w:val="24"/>
              </w:rPr>
              <w:t xml:space="preserve">- изработване и утвърждаване на Система за контрол върху дейността на ветеринарните лекари.  </w:t>
            </w:r>
          </w:p>
        </w:tc>
        <w:tc>
          <w:tcPr>
            <w:tcW w:w="1701" w:type="dxa"/>
            <w:vAlign w:val="center"/>
          </w:tcPr>
          <w:p w14:paraId="6333EAB1" w14:textId="77777777" w:rsidR="00503C65" w:rsidRPr="00D53BB0"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sz w:val="24"/>
                <w:szCs w:val="24"/>
              </w:rPr>
              <w:lastRenderedPageBreak/>
              <w:t>БАБХ, Браншови организации</w:t>
            </w:r>
          </w:p>
        </w:tc>
        <w:tc>
          <w:tcPr>
            <w:tcW w:w="1134" w:type="dxa"/>
            <w:vAlign w:val="center"/>
          </w:tcPr>
          <w:p w14:paraId="59BF8488" w14:textId="77777777" w:rsidR="00503C65" w:rsidRPr="00D53BB0" w:rsidRDefault="00503C65" w:rsidP="00C315DE">
            <w:pPr>
              <w:widowControl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D53BB0">
              <w:rPr>
                <w:rFonts w:ascii="Times New Roman" w:eastAsia="Calibri" w:hAnsi="Times New Roman" w:cs="Times New Roman"/>
                <w:sz w:val="24"/>
                <w:szCs w:val="24"/>
              </w:rPr>
              <w:t xml:space="preserve"> – </w:t>
            </w:r>
            <w:r w:rsidRPr="00D53BB0">
              <w:rPr>
                <w:rFonts w:ascii="Times New Roman" w:hAnsi="Times New Roman" w:cs="Times New Roman"/>
                <w:sz w:val="24"/>
                <w:szCs w:val="24"/>
              </w:rPr>
              <w:t>202</w:t>
            </w:r>
            <w:r>
              <w:rPr>
                <w:rFonts w:ascii="Times New Roman" w:hAnsi="Times New Roman" w:cs="Times New Roman"/>
                <w:sz w:val="24"/>
                <w:szCs w:val="24"/>
              </w:rPr>
              <w:t>8</w:t>
            </w:r>
          </w:p>
        </w:tc>
        <w:tc>
          <w:tcPr>
            <w:tcW w:w="2268" w:type="dxa"/>
            <w:vAlign w:val="center"/>
          </w:tcPr>
          <w:p w14:paraId="234C3564"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 xml:space="preserve">Намаляване броя /Липса на несъответствия при проверките на регистрираните ветеринарни лекари за спазване на изискванията на Регламент 2019/6 и </w:t>
            </w:r>
            <w:r w:rsidRPr="00D53BB0">
              <w:rPr>
                <w:rFonts w:ascii="Times New Roman" w:hAnsi="Times New Roman" w:cs="Times New Roman"/>
                <w:sz w:val="24"/>
                <w:szCs w:val="24"/>
              </w:rPr>
              <w:lastRenderedPageBreak/>
              <w:t xml:space="preserve">актовете по прилагането му  по отношение на предписване и употреба на антимикробни лекарствени продукти; констатиране на устойчива тенденция за разумна употреба на антимикробни ВЛП. </w:t>
            </w:r>
          </w:p>
        </w:tc>
        <w:tc>
          <w:tcPr>
            <w:tcW w:w="1843" w:type="dxa"/>
            <w:vAlign w:val="center"/>
          </w:tcPr>
          <w:p w14:paraId="3DA90AF4"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8634C1">
              <w:rPr>
                <w:rFonts w:ascii="Times New Roman" w:hAnsi="Times New Roman" w:cs="Times New Roman"/>
                <w:sz w:val="24"/>
                <w:szCs w:val="24"/>
              </w:rPr>
              <w:lastRenderedPageBreak/>
              <w:t>0</w:t>
            </w:r>
          </w:p>
        </w:tc>
        <w:tc>
          <w:tcPr>
            <w:tcW w:w="2131" w:type="dxa"/>
            <w:vAlign w:val="center"/>
          </w:tcPr>
          <w:p w14:paraId="19161360"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E47047">
              <w:rPr>
                <w:rFonts w:ascii="Times New Roman" w:hAnsi="Times New Roman" w:cs="Times New Roman"/>
                <w:sz w:val="24"/>
                <w:szCs w:val="24"/>
              </w:rPr>
              <w:t xml:space="preserve">3 </w:t>
            </w:r>
            <w:r w:rsidRPr="00D53BB0">
              <w:rPr>
                <w:rFonts w:ascii="Times New Roman" w:hAnsi="Times New Roman" w:cs="Times New Roman"/>
                <w:sz w:val="24"/>
                <w:szCs w:val="24"/>
              </w:rPr>
              <w:t>проведени семинар със заинтересованите страни след приемане на програмата и изработена система за контрол от БАБХ</w:t>
            </w:r>
          </w:p>
        </w:tc>
      </w:tr>
      <w:tr w:rsidR="00503C65" w:rsidRPr="002262A7" w14:paraId="21DBC1C8" w14:textId="77777777" w:rsidTr="00C315DE">
        <w:tc>
          <w:tcPr>
            <w:tcW w:w="721" w:type="dxa"/>
            <w:vAlign w:val="center"/>
          </w:tcPr>
          <w:p w14:paraId="276E3664" w14:textId="77777777" w:rsidR="00503C65" w:rsidRPr="002224A7" w:rsidRDefault="00503C65" w:rsidP="00C315DE">
            <w:pPr>
              <w:spacing w:after="0" w:line="276" w:lineRule="auto"/>
              <w:jc w:val="right"/>
              <w:rPr>
                <w:rFonts w:ascii="Times New Roman" w:hAnsi="Times New Roman" w:cs="Times New Roman"/>
                <w:sz w:val="24"/>
                <w:szCs w:val="24"/>
              </w:rPr>
            </w:pPr>
            <w:r w:rsidRPr="00D53BB0">
              <w:rPr>
                <w:rFonts w:ascii="Times New Roman" w:hAnsi="Times New Roman" w:cs="Times New Roman"/>
                <w:b/>
                <w:sz w:val="24"/>
                <w:szCs w:val="24"/>
              </w:rPr>
              <w:t>4.7.</w:t>
            </w:r>
          </w:p>
        </w:tc>
        <w:tc>
          <w:tcPr>
            <w:tcW w:w="5511" w:type="dxa"/>
            <w:vAlign w:val="center"/>
          </w:tcPr>
          <w:p w14:paraId="4A2964BB" w14:textId="77777777" w:rsidR="00503C65" w:rsidRPr="00D53BB0" w:rsidRDefault="00503C65" w:rsidP="00C315DE">
            <w:pPr>
              <w:spacing w:after="0" w:line="276" w:lineRule="auto"/>
              <w:rPr>
                <w:rFonts w:ascii="Times New Roman" w:hAnsi="Times New Roman" w:cs="Times New Roman"/>
                <w:sz w:val="24"/>
                <w:szCs w:val="24"/>
              </w:rPr>
            </w:pPr>
            <w:r w:rsidRPr="00E47047">
              <w:rPr>
                <w:rFonts w:ascii="Times New Roman" w:hAnsi="Times New Roman" w:cs="Times New Roman"/>
                <w:sz w:val="24"/>
                <w:szCs w:val="24"/>
              </w:rPr>
              <w:t>Ограничаване употребата на антимикробни ВЛП до ситуации, в които те наистина са необходими на базата на клинична диагноза</w:t>
            </w:r>
            <w:r w:rsidRPr="00D53BB0">
              <w:rPr>
                <w:rFonts w:ascii="Times New Roman" w:hAnsi="Times New Roman" w:cs="Times New Roman"/>
                <w:sz w:val="24"/>
                <w:szCs w:val="24"/>
              </w:rPr>
              <w:t xml:space="preserve"> и когато това е възможно, на резултати от изпитвания за чувствителност, с цел употребата на възможно най-тясноспектърно антимикробно средство.</w:t>
            </w:r>
          </w:p>
          <w:p w14:paraId="310A41EF"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Срещи/семинари /обучения със заинтересованите страни относно насърчаване на разумното използване на антимикробни средства.</w:t>
            </w:r>
          </w:p>
        </w:tc>
        <w:tc>
          <w:tcPr>
            <w:tcW w:w="1701" w:type="dxa"/>
            <w:vAlign w:val="center"/>
          </w:tcPr>
          <w:p w14:paraId="71904C28" w14:textId="77777777" w:rsidR="00503C65" w:rsidRPr="00D53BB0"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sz w:val="24"/>
                <w:szCs w:val="24"/>
              </w:rPr>
              <w:t>БАБХ, Браншови организации</w:t>
            </w:r>
          </w:p>
        </w:tc>
        <w:tc>
          <w:tcPr>
            <w:tcW w:w="1134" w:type="dxa"/>
            <w:vAlign w:val="center"/>
          </w:tcPr>
          <w:p w14:paraId="47C68EAC" w14:textId="77777777" w:rsidR="00503C65" w:rsidRPr="00D53BB0"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D53BB0">
              <w:rPr>
                <w:rFonts w:ascii="Times New Roman" w:hAnsi="Times New Roman" w:cs="Times New Roman"/>
                <w:sz w:val="24"/>
                <w:szCs w:val="24"/>
              </w:rPr>
              <w:t>202</w:t>
            </w:r>
            <w:r>
              <w:rPr>
                <w:rFonts w:ascii="Times New Roman" w:hAnsi="Times New Roman" w:cs="Times New Roman"/>
                <w:sz w:val="24"/>
                <w:szCs w:val="24"/>
              </w:rPr>
              <w:t>6</w:t>
            </w:r>
            <w:r w:rsidRPr="00D53BB0">
              <w:rPr>
                <w:rFonts w:ascii="Times New Roman" w:eastAsia="Calibri" w:hAnsi="Times New Roman" w:cs="Times New Roman"/>
                <w:sz w:val="24"/>
                <w:szCs w:val="24"/>
              </w:rPr>
              <w:t xml:space="preserve"> – </w:t>
            </w:r>
            <w:r w:rsidRPr="00D53BB0">
              <w:rPr>
                <w:rFonts w:ascii="Times New Roman" w:hAnsi="Times New Roman" w:cs="Times New Roman"/>
                <w:sz w:val="24"/>
                <w:szCs w:val="24"/>
              </w:rPr>
              <w:t>202</w:t>
            </w:r>
            <w:r>
              <w:rPr>
                <w:rFonts w:ascii="Times New Roman" w:hAnsi="Times New Roman" w:cs="Times New Roman"/>
                <w:sz w:val="24"/>
                <w:szCs w:val="24"/>
              </w:rPr>
              <w:t>9</w:t>
            </w:r>
          </w:p>
        </w:tc>
        <w:tc>
          <w:tcPr>
            <w:tcW w:w="2268" w:type="dxa"/>
            <w:vAlign w:val="center"/>
          </w:tcPr>
          <w:p w14:paraId="275C24F1"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Спазване на изисванията на Регламент 2019/6 и актовете по прилагането му  по отношение на предписване и употреба на антимикробни лекарствени продукти;</w:t>
            </w:r>
          </w:p>
          <w:p w14:paraId="1501FDD5" w14:textId="77777777" w:rsidR="00503C65" w:rsidRPr="00D53BB0" w:rsidRDefault="00503C65" w:rsidP="00C315DE">
            <w:pPr>
              <w:autoSpaceDE w:val="0"/>
              <w:autoSpaceDN w:val="0"/>
              <w:adjustRightInd w:val="0"/>
              <w:spacing w:after="0" w:line="276" w:lineRule="auto"/>
              <w:rPr>
                <w:rFonts w:ascii="Times New Roman" w:hAnsi="Times New Roman" w:cs="Times New Roman"/>
                <w:sz w:val="24"/>
                <w:szCs w:val="24"/>
              </w:rPr>
            </w:pPr>
            <w:r w:rsidRPr="00D53BB0">
              <w:rPr>
                <w:rFonts w:ascii="Times New Roman" w:hAnsi="Times New Roman" w:cs="Times New Roman"/>
                <w:sz w:val="24"/>
                <w:szCs w:val="24"/>
              </w:rPr>
              <w:t xml:space="preserve">Намаляване на общата употреба на </w:t>
            </w:r>
            <w:r w:rsidRPr="00D53BB0">
              <w:rPr>
                <w:rFonts w:ascii="Times New Roman" w:hAnsi="Times New Roman" w:cs="Times New Roman"/>
                <w:sz w:val="24"/>
                <w:szCs w:val="24"/>
              </w:rPr>
              <w:lastRenderedPageBreak/>
              <w:t>антимикробни ВЛП, съгласно ежегодните доклади на Европейската агенция по лекарствата</w:t>
            </w:r>
          </w:p>
        </w:tc>
        <w:tc>
          <w:tcPr>
            <w:tcW w:w="1843" w:type="dxa"/>
            <w:vAlign w:val="center"/>
          </w:tcPr>
          <w:p w14:paraId="08738469"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r w:rsidRPr="00606481">
              <w:rPr>
                <w:rFonts w:ascii="Times New Roman" w:hAnsi="Times New Roman" w:cs="Times New Roman"/>
                <w:sz w:val="24"/>
                <w:szCs w:val="24"/>
              </w:rPr>
              <w:lastRenderedPageBreak/>
              <w:t>1100 проверки на ветеринарномедицински заведе</w:t>
            </w:r>
            <w:r>
              <w:rPr>
                <w:rFonts w:ascii="Times New Roman" w:hAnsi="Times New Roman" w:cs="Times New Roman"/>
                <w:sz w:val="24"/>
                <w:szCs w:val="24"/>
              </w:rPr>
              <w:t>н</w:t>
            </w:r>
            <w:r w:rsidRPr="00606481">
              <w:rPr>
                <w:rFonts w:ascii="Times New Roman" w:hAnsi="Times New Roman" w:cs="Times New Roman"/>
                <w:sz w:val="24"/>
                <w:szCs w:val="24"/>
              </w:rPr>
              <w:t>ия годишно</w:t>
            </w:r>
          </w:p>
          <w:p w14:paraId="52AB742E"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1694DFDB"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highlight w:val="yellow"/>
              </w:rPr>
            </w:pPr>
            <w:r>
              <w:rPr>
                <w:rFonts w:ascii="Times New Roman" w:hAnsi="Times New Roman" w:cs="Times New Roman"/>
                <w:sz w:val="24"/>
                <w:szCs w:val="24"/>
              </w:rPr>
              <w:t xml:space="preserve">0 семинари </w:t>
            </w:r>
            <w:r w:rsidRPr="0024776D">
              <w:rPr>
                <w:rFonts w:ascii="Times New Roman" w:hAnsi="Times New Roman" w:cs="Times New Roman"/>
                <w:sz w:val="24"/>
                <w:szCs w:val="24"/>
              </w:rPr>
              <w:t>между заинтересованите страни и БАБХ</w:t>
            </w:r>
            <w:r>
              <w:rPr>
                <w:rFonts w:ascii="Times New Roman" w:hAnsi="Times New Roman" w:cs="Times New Roman"/>
                <w:sz w:val="24"/>
                <w:szCs w:val="24"/>
              </w:rPr>
              <w:t xml:space="preserve"> </w:t>
            </w:r>
          </w:p>
        </w:tc>
        <w:tc>
          <w:tcPr>
            <w:tcW w:w="2131" w:type="dxa"/>
            <w:vAlign w:val="center"/>
          </w:tcPr>
          <w:p w14:paraId="685C918C"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r w:rsidRPr="00606481">
              <w:rPr>
                <w:rFonts w:ascii="Times New Roman" w:hAnsi="Times New Roman" w:cs="Times New Roman"/>
                <w:sz w:val="24"/>
                <w:szCs w:val="24"/>
              </w:rPr>
              <w:t>Не по-малко от 1200 проверки на ВМЗ годишно</w:t>
            </w:r>
          </w:p>
          <w:p w14:paraId="4248A284"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778F890D"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5889B587"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3605D4FC"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18C89254"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61A25EA1"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2D153695"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highlight w:val="yellow"/>
              </w:rPr>
            </w:pPr>
            <w:r w:rsidRPr="00D53BB0">
              <w:rPr>
                <w:rFonts w:ascii="Times New Roman" w:hAnsi="Times New Roman" w:cs="Times New Roman"/>
                <w:sz w:val="24"/>
                <w:szCs w:val="24"/>
              </w:rPr>
              <w:t>Проведен</w:t>
            </w:r>
            <w:r>
              <w:rPr>
                <w:rFonts w:ascii="Times New Roman" w:hAnsi="Times New Roman" w:cs="Times New Roman"/>
                <w:sz w:val="24"/>
                <w:szCs w:val="24"/>
              </w:rPr>
              <w:t>и</w:t>
            </w:r>
            <w:r w:rsidRPr="00D53BB0">
              <w:rPr>
                <w:rFonts w:ascii="Times New Roman" w:hAnsi="Times New Roman" w:cs="Times New Roman"/>
                <w:sz w:val="24"/>
                <w:szCs w:val="24"/>
              </w:rPr>
              <w:t xml:space="preserve"> </w:t>
            </w:r>
            <w:r w:rsidRPr="008634C1">
              <w:rPr>
                <w:rFonts w:ascii="Times New Roman" w:hAnsi="Times New Roman" w:cs="Times New Roman"/>
                <w:sz w:val="24"/>
                <w:szCs w:val="24"/>
              </w:rPr>
              <w:t xml:space="preserve">3 </w:t>
            </w:r>
            <w:r w:rsidRPr="00D53BB0">
              <w:rPr>
                <w:rFonts w:ascii="Times New Roman" w:hAnsi="Times New Roman" w:cs="Times New Roman"/>
                <w:sz w:val="24"/>
                <w:szCs w:val="24"/>
              </w:rPr>
              <w:t>семинар</w:t>
            </w:r>
            <w:r w:rsidRPr="00E47047">
              <w:rPr>
                <w:rFonts w:ascii="Times New Roman" w:hAnsi="Times New Roman" w:cs="Times New Roman"/>
                <w:sz w:val="24"/>
                <w:szCs w:val="24"/>
              </w:rPr>
              <w:t>а между заинтересованит</w:t>
            </w:r>
            <w:r w:rsidRPr="00D53BB0">
              <w:rPr>
                <w:rFonts w:ascii="Times New Roman" w:hAnsi="Times New Roman" w:cs="Times New Roman"/>
                <w:sz w:val="24"/>
                <w:szCs w:val="24"/>
              </w:rPr>
              <w:t>е страни и БАБХ</w:t>
            </w:r>
          </w:p>
        </w:tc>
      </w:tr>
      <w:tr w:rsidR="00503C65" w:rsidRPr="002262A7" w14:paraId="615E76AF" w14:textId="77777777" w:rsidTr="00C315DE">
        <w:tc>
          <w:tcPr>
            <w:tcW w:w="721" w:type="dxa"/>
            <w:vAlign w:val="center"/>
          </w:tcPr>
          <w:p w14:paraId="06A5CC5C" w14:textId="77777777" w:rsidR="00503C65" w:rsidRPr="00D33273" w:rsidRDefault="00503C65" w:rsidP="00C315DE">
            <w:pPr>
              <w:spacing w:after="0" w:line="276" w:lineRule="auto"/>
              <w:jc w:val="right"/>
              <w:rPr>
                <w:rFonts w:ascii="Times New Roman" w:hAnsi="Times New Roman" w:cs="Times New Roman"/>
                <w:b/>
                <w:sz w:val="24"/>
                <w:szCs w:val="24"/>
              </w:rPr>
            </w:pPr>
            <w:r w:rsidRPr="00D33273">
              <w:rPr>
                <w:rFonts w:ascii="Times New Roman" w:hAnsi="Times New Roman" w:cs="Times New Roman"/>
                <w:b/>
                <w:sz w:val="24"/>
                <w:szCs w:val="24"/>
              </w:rPr>
              <w:t>4.8.</w:t>
            </w:r>
          </w:p>
        </w:tc>
        <w:tc>
          <w:tcPr>
            <w:tcW w:w="5511" w:type="dxa"/>
            <w:vAlign w:val="center"/>
          </w:tcPr>
          <w:p w14:paraId="219D8977" w14:textId="77777777" w:rsidR="00503C65" w:rsidRPr="00D33273" w:rsidRDefault="00503C65" w:rsidP="00C315DE">
            <w:pPr>
              <w:pStyle w:val="Default"/>
              <w:spacing w:line="276" w:lineRule="auto"/>
              <w:rPr>
                <w:lang w:val="bg-BG"/>
              </w:rPr>
            </w:pPr>
            <w:r w:rsidRPr="00E47047">
              <w:t xml:space="preserve">Регулаторни мерки </w:t>
            </w:r>
            <w:r w:rsidRPr="00E47047">
              <w:rPr>
                <w:lang w:val="bg-BG"/>
              </w:rPr>
              <w:t xml:space="preserve">– </w:t>
            </w:r>
            <w:r w:rsidRPr="00E47047">
              <w:rPr>
                <w:color w:val="auto"/>
                <w:lang w:val="bg-BG"/>
              </w:rPr>
              <w:t>спазване на актовете на Европейската комисия за забрана на употребата на антимикробни средства или групи антимикробни средства, запазени за лечението на инфекции при хората, в съответствие с Регламент (ЕС) 2019/6;</w:t>
            </w:r>
          </w:p>
          <w:p w14:paraId="33AF5BDE" w14:textId="77777777" w:rsidR="00503C65" w:rsidRPr="00D33273" w:rsidRDefault="00503C65" w:rsidP="00C315DE">
            <w:pPr>
              <w:spacing w:after="0" w:line="276" w:lineRule="auto"/>
              <w:rPr>
                <w:rFonts w:ascii="Times New Roman" w:hAnsi="Times New Roman" w:cs="Times New Roman"/>
                <w:sz w:val="24"/>
                <w:szCs w:val="24"/>
              </w:rPr>
            </w:pPr>
            <w:r w:rsidRPr="00D33273">
              <w:rPr>
                <w:rFonts w:ascii="Times New Roman" w:hAnsi="Times New Roman" w:cs="Times New Roman"/>
                <w:sz w:val="24"/>
                <w:szCs w:val="24"/>
              </w:rPr>
              <w:t>- разработване на Ръководство за употреба на антимикробни ВЛП на национално ниво.</w:t>
            </w:r>
          </w:p>
        </w:tc>
        <w:tc>
          <w:tcPr>
            <w:tcW w:w="1701" w:type="dxa"/>
            <w:vAlign w:val="center"/>
          </w:tcPr>
          <w:p w14:paraId="696431FB" w14:textId="77777777" w:rsidR="00503C65" w:rsidRPr="00D33273" w:rsidRDefault="00503C65" w:rsidP="00C315DE">
            <w:pPr>
              <w:widowControl w:val="0"/>
              <w:spacing w:after="0" w:line="276" w:lineRule="auto"/>
              <w:rPr>
                <w:rFonts w:ascii="Times New Roman" w:hAnsi="Times New Roman" w:cs="Times New Roman"/>
                <w:color w:val="000000"/>
                <w:kern w:val="24"/>
                <w:sz w:val="24"/>
                <w:szCs w:val="24"/>
              </w:rPr>
            </w:pPr>
            <w:r w:rsidRPr="00D33273">
              <w:rPr>
                <w:rFonts w:ascii="Times New Roman" w:hAnsi="Times New Roman" w:cs="Times New Roman"/>
                <w:sz w:val="24"/>
                <w:szCs w:val="24"/>
              </w:rPr>
              <w:t>МЗХ, МЗ, БАБХ</w:t>
            </w:r>
          </w:p>
        </w:tc>
        <w:tc>
          <w:tcPr>
            <w:tcW w:w="1134" w:type="dxa"/>
            <w:vAlign w:val="center"/>
          </w:tcPr>
          <w:p w14:paraId="43DE5E53" w14:textId="77777777" w:rsidR="00503C65" w:rsidRPr="00D33273" w:rsidRDefault="00503C65" w:rsidP="00C315DE">
            <w:pPr>
              <w:widowControl w:val="0"/>
              <w:spacing w:after="0" w:line="276" w:lineRule="auto"/>
              <w:rPr>
                <w:rFonts w:ascii="Times New Roman" w:hAnsi="Times New Roman" w:cs="Times New Roman"/>
                <w:color w:val="000000"/>
                <w:kern w:val="24"/>
                <w:sz w:val="24"/>
                <w:szCs w:val="24"/>
              </w:rPr>
            </w:pPr>
            <w:r w:rsidRPr="00D33273">
              <w:rPr>
                <w:rFonts w:ascii="Times New Roman" w:hAnsi="Times New Roman" w:cs="Times New Roman"/>
                <w:sz w:val="24"/>
                <w:szCs w:val="24"/>
              </w:rPr>
              <w:t>202</w:t>
            </w:r>
            <w:r>
              <w:rPr>
                <w:rFonts w:ascii="Times New Roman" w:hAnsi="Times New Roman" w:cs="Times New Roman"/>
                <w:sz w:val="24"/>
                <w:szCs w:val="24"/>
              </w:rPr>
              <w:t>6</w:t>
            </w:r>
            <w:r w:rsidRPr="00D33273">
              <w:rPr>
                <w:rFonts w:ascii="Times New Roman" w:eastAsia="Calibri" w:hAnsi="Times New Roman" w:cs="Times New Roman"/>
                <w:sz w:val="24"/>
                <w:szCs w:val="24"/>
              </w:rPr>
              <w:t xml:space="preserve"> – </w:t>
            </w:r>
            <w:r w:rsidRPr="00D33273">
              <w:rPr>
                <w:rFonts w:ascii="Times New Roman" w:hAnsi="Times New Roman" w:cs="Times New Roman"/>
                <w:sz w:val="24"/>
                <w:szCs w:val="24"/>
              </w:rPr>
              <w:t>202</w:t>
            </w:r>
            <w:r>
              <w:rPr>
                <w:rFonts w:ascii="Times New Roman" w:hAnsi="Times New Roman" w:cs="Times New Roman"/>
                <w:sz w:val="24"/>
                <w:szCs w:val="24"/>
              </w:rPr>
              <w:t>8</w:t>
            </w:r>
          </w:p>
        </w:tc>
        <w:tc>
          <w:tcPr>
            <w:tcW w:w="2268" w:type="dxa"/>
            <w:vAlign w:val="center"/>
          </w:tcPr>
          <w:p w14:paraId="44D55E75"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 xml:space="preserve">Намаляване общата употреба на хинолони и цефалоспорини 3-то и 4-то поколение и полимиксини. </w:t>
            </w:r>
          </w:p>
          <w:p w14:paraId="48959335"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2D3D36E4"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Недопускане употребата в животновъдството на критично важни за хуманната медицина антимикробни средства, посочени в актовете на Европейската комисия.</w:t>
            </w:r>
          </w:p>
        </w:tc>
        <w:tc>
          <w:tcPr>
            <w:tcW w:w="1843" w:type="dxa"/>
            <w:vAlign w:val="center"/>
          </w:tcPr>
          <w:p w14:paraId="206F8C1E"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1100 проверки на ветеринарномедицински заведения годишно</w:t>
            </w:r>
          </w:p>
          <w:p w14:paraId="725F12B8"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445E030C"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65A7B3E8"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 xml:space="preserve">0 </w:t>
            </w:r>
          </w:p>
        </w:tc>
        <w:tc>
          <w:tcPr>
            <w:tcW w:w="2131" w:type="dxa"/>
            <w:vAlign w:val="center"/>
          </w:tcPr>
          <w:p w14:paraId="6DADAF3C"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3B28767A"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Не по-малко от 1200 проверки на ВМЗ годишно</w:t>
            </w:r>
          </w:p>
          <w:p w14:paraId="1A55EC88"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6D5FD873"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10FF92B7"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37AC2F5A"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63A1645D"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4194275D"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6BB703FB"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6720B548"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6CD78A28"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23DC1C2A"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p>
          <w:p w14:paraId="4E314602"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p>
          <w:p w14:paraId="535790E5" w14:textId="77777777" w:rsidR="00503C65" w:rsidRPr="00D33273" w:rsidRDefault="00503C65" w:rsidP="00C315DE">
            <w:pPr>
              <w:autoSpaceDE w:val="0"/>
              <w:autoSpaceDN w:val="0"/>
              <w:adjustRightInd w:val="0"/>
              <w:spacing w:after="0" w:line="276" w:lineRule="auto"/>
              <w:rPr>
                <w:rFonts w:ascii="Times New Roman" w:hAnsi="Times New Roman" w:cs="Times New Roman"/>
                <w:sz w:val="24"/>
                <w:szCs w:val="24"/>
              </w:rPr>
            </w:pPr>
            <w:r w:rsidRPr="00D33273">
              <w:rPr>
                <w:rFonts w:ascii="Times New Roman" w:hAnsi="Times New Roman" w:cs="Times New Roman"/>
                <w:sz w:val="24"/>
                <w:szCs w:val="24"/>
              </w:rPr>
              <w:t xml:space="preserve">Въвеждане на задължителна електронна ветеринарна рецепта за </w:t>
            </w:r>
            <w:r w:rsidRPr="00D33273">
              <w:rPr>
                <w:rFonts w:ascii="Times New Roman" w:hAnsi="Times New Roman" w:cs="Times New Roman"/>
                <w:sz w:val="24"/>
                <w:szCs w:val="24"/>
              </w:rPr>
              <w:lastRenderedPageBreak/>
              <w:t>антимикробни ВЛП</w:t>
            </w:r>
          </w:p>
        </w:tc>
      </w:tr>
      <w:tr w:rsidR="00503C65" w:rsidRPr="0024776D" w14:paraId="4004DF8E" w14:textId="77777777" w:rsidTr="00C315DE">
        <w:trPr>
          <w:cantSplit/>
        </w:trPr>
        <w:tc>
          <w:tcPr>
            <w:tcW w:w="721" w:type="dxa"/>
            <w:vAlign w:val="center"/>
          </w:tcPr>
          <w:p w14:paraId="7FFBFB13" w14:textId="77777777" w:rsidR="00503C65" w:rsidRPr="0024776D" w:rsidRDefault="00503C65" w:rsidP="00C315DE">
            <w:pPr>
              <w:spacing w:after="0" w:line="276" w:lineRule="auto"/>
              <w:jc w:val="right"/>
              <w:rPr>
                <w:rFonts w:ascii="Times New Roman" w:hAnsi="Times New Roman" w:cs="Times New Roman"/>
                <w:sz w:val="24"/>
                <w:szCs w:val="24"/>
              </w:rPr>
            </w:pPr>
            <w:r w:rsidRPr="0024776D">
              <w:rPr>
                <w:rFonts w:ascii="Times New Roman" w:hAnsi="Times New Roman" w:cs="Times New Roman"/>
                <w:b/>
                <w:sz w:val="24"/>
                <w:szCs w:val="24"/>
              </w:rPr>
              <w:lastRenderedPageBreak/>
              <w:t>4.9.</w:t>
            </w:r>
          </w:p>
        </w:tc>
        <w:tc>
          <w:tcPr>
            <w:tcW w:w="5511" w:type="dxa"/>
            <w:vAlign w:val="center"/>
          </w:tcPr>
          <w:p w14:paraId="00DC1080" w14:textId="77777777" w:rsidR="00503C65" w:rsidRPr="00D53BB0" w:rsidRDefault="00503C65" w:rsidP="00C315DE">
            <w:pPr>
              <w:spacing w:after="0" w:line="276" w:lineRule="auto"/>
              <w:rPr>
                <w:rFonts w:ascii="Times New Roman" w:hAnsi="Times New Roman" w:cs="Times New Roman"/>
                <w:sz w:val="24"/>
                <w:szCs w:val="24"/>
              </w:rPr>
            </w:pPr>
            <w:r w:rsidRPr="00442189">
              <w:rPr>
                <w:rFonts w:ascii="Times New Roman" w:hAnsi="Times New Roman" w:cs="Times New Roman"/>
                <w:sz w:val="24"/>
                <w:szCs w:val="24"/>
              </w:rPr>
              <w:t>Насърчаване на притежателите на разрешения за търговия на ВЛП да прилагат планове за надзор на чувствителността при целевите патогени, включително чрез вземане на проби на базата на научно определени протоколи и тестове за опре</w:t>
            </w:r>
            <w:r w:rsidRPr="00D53BB0">
              <w:rPr>
                <w:rFonts w:ascii="Times New Roman" w:hAnsi="Times New Roman" w:cs="Times New Roman"/>
                <w:sz w:val="24"/>
                <w:szCs w:val="24"/>
              </w:rPr>
              <w:t>деляне на чувствителност, използвайки стандартизирана методология.</w:t>
            </w:r>
          </w:p>
          <w:p w14:paraId="1571B713" w14:textId="77777777" w:rsidR="00503C65" w:rsidRPr="0024776D" w:rsidRDefault="00503C65" w:rsidP="00C315DE">
            <w:pPr>
              <w:spacing w:after="0" w:line="276" w:lineRule="auto"/>
              <w:rPr>
                <w:rFonts w:ascii="Times New Roman" w:hAnsi="Times New Roman" w:cs="Times New Roman"/>
                <w:spacing w:val="-2"/>
                <w:sz w:val="24"/>
                <w:szCs w:val="24"/>
              </w:rPr>
            </w:pPr>
            <w:r w:rsidRPr="00E47047">
              <w:rPr>
                <w:rFonts w:ascii="Times New Roman" w:hAnsi="Times New Roman" w:cs="Times New Roman"/>
                <w:color w:val="000000"/>
                <w:spacing w:val="-2"/>
                <w:sz w:val="24"/>
                <w:szCs w:val="24"/>
              </w:rPr>
              <w:t>Срещи със заинтересованите страни/Разработване на политики</w:t>
            </w:r>
          </w:p>
        </w:tc>
        <w:tc>
          <w:tcPr>
            <w:tcW w:w="1701" w:type="dxa"/>
            <w:vAlign w:val="center"/>
          </w:tcPr>
          <w:p w14:paraId="46890CB3" w14:textId="77777777" w:rsidR="00503C65" w:rsidRPr="0024776D"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24776D">
              <w:rPr>
                <w:rFonts w:ascii="Times New Roman" w:hAnsi="Times New Roman" w:cs="Times New Roman"/>
                <w:color w:val="000000"/>
                <w:sz w:val="24"/>
                <w:szCs w:val="24"/>
              </w:rPr>
              <w:t>БАБХ, Браншови организации</w:t>
            </w:r>
          </w:p>
        </w:tc>
        <w:tc>
          <w:tcPr>
            <w:tcW w:w="1134" w:type="dxa"/>
            <w:vAlign w:val="center"/>
          </w:tcPr>
          <w:p w14:paraId="12B9083C" w14:textId="77777777" w:rsidR="00503C65" w:rsidRPr="0024776D" w:rsidRDefault="00503C65" w:rsidP="00C315DE">
            <w:pPr>
              <w:autoSpaceDE w:val="0"/>
              <w:autoSpaceDN w:val="0"/>
              <w:adjustRightInd w:val="0"/>
              <w:spacing w:after="0" w:line="276" w:lineRule="auto"/>
              <w:rPr>
                <w:rFonts w:ascii="Times New Roman" w:hAnsi="Times New Roman" w:cs="Times New Roman"/>
                <w:color w:val="000000"/>
                <w:kern w:val="24"/>
                <w:sz w:val="24"/>
                <w:szCs w:val="24"/>
              </w:rPr>
            </w:pPr>
            <w:r w:rsidRPr="0024776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24776D">
              <w:rPr>
                <w:rFonts w:ascii="Times New Roman" w:eastAsia="Calibri" w:hAnsi="Times New Roman" w:cs="Times New Roman"/>
                <w:sz w:val="24"/>
                <w:szCs w:val="24"/>
              </w:rPr>
              <w:t xml:space="preserve"> – </w:t>
            </w:r>
            <w:r w:rsidRPr="0024776D">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24776D">
              <w:rPr>
                <w:rFonts w:ascii="Times New Roman" w:hAnsi="Times New Roman" w:cs="Times New Roman"/>
                <w:color w:val="000000"/>
                <w:sz w:val="24"/>
                <w:szCs w:val="24"/>
              </w:rPr>
              <w:t xml:space="preserve"> </w:t>
            </w:r>
          </w:p>
        </w:tc>
        <w:tc>
          <w:tcPr>
            <w:tcW w:w="2268" w:type="dxa"/>
            <w:vAlign w:val="center"/>
          </w:tcPr>
          <w:p w14:paraId="5F7D8F75"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sidRPr="0024776D">
              <w:rPr>
                <w:rFonts w:ascii="Times New Roman" w:hAnsi="Times New Roman" w:cs="Times New Roman"/>
                <w:color w:val="000000"/>
                <w:sz w:val="24"/>
                <w:szCs w:val="24"/>
              </w:rPr>
              <w:t xml:space="preserve">Трайна тенденция за промяна на поведението. </w:t>
            </w:r>
          </w:p>
        </w:tc>
        <w:tc>
          <w:tcPr>
            <w:tcW w:w="1843" w:type="dxa"/>
            <w:vAlign w:val="center"/>
          </w:tcPr>
          <w:p w14:paraId="6EF5550A"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sidRPr="008634C1">
              <w:rPr>
                <w:rFonts w:ascii="Times New Roman" w:hAnsi="Times New Roman" w:cs="Times New Roman"/>
                <w:sz w:val="24"/>
                <w:szCs w:val="24"/>
              </w:rPr>
              <w:t>0</w:t>
            </w:r>
          </w:p>
        </w:tc>
        <w:tc>
          <w:tcPr>
            <w:tcW w:w="2131" w:type="dxa"/>
            <w:vAlign w:val="center"/>
          </w:tcPr>
          <w:p w14:paraId="54CC6328"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8634C1">
              <w:rPr>
                <w:rFonts w:ascii="Times New Roman" w:hAnsi="Times New Roman" w:cs="Times New Roman"/>
                <w:sz w:val="24"/>
                <w:szCs w:val="24"/>
              </w:rPr>
              <w:t xml:space="preserve"> </w:t>
            </w:r>
            <w:r>
              <w:rPr>
                <w:rFonts w:ascii="Times New Roman" w:hAnsi="Times New Roman" w:cs="Times New Roman"/>
                <w:sz w:val="24"/>
                <w:szCs w:val="24"/>
              </w:rPr>
              <w:t xml:space="preserve">срещи </w:t>
            </w:r>
            <w:r w:rsidRPr="008634C1">
              <w:rPr>
                <w:rFonts w:ascii="Times New Roman" w:hAnsi="Times New Roman" w:cs="Times New Roman"/>
                <w:sz w:val="24"/>
                <w:szCs w:val="24"/>
              </w:rPr>
              <w:t>(комбинирано с т. 4.3.)</w:t>
            </w:r>
          </w:p>
        </w:tc>
      </w:tr>
      <w:tr w:rsidR="00503C65" w:rsidRPr="002262A7" w14:paraId="5904F598" w14:textId="77777777" w:rsidTr="00C315DE">
        <w:tc>
          <w:tcPr>
            <w:tcW w:w="721" w:type="dxa"/>
            <w:vAlign w:val="center"/>
          </w:tcPr>
          <w:p w14:paraId="16012541" w14:textId="77777777" w:rsidR="00503C65" w:rsidRPr="0024776D" w:rsidRDefault="00503C65" w:rsidP="00C315DE">
            <w:pPr>
              <w:spacing w:after="0" w:line="276" w:lineRule="auto"/>
              <w:jc w:val="right"/>
              <w:rPr>
                <w:rFonts w:ascii="Times New Roman" w:hAnsi="Times New Roman" w:cs="Times New Roman"/>
                <w:sz w:val="24"/>
                <w:szCs w:val="24"/>
              </w:rPr>
            </w:pPr>
            <w:r w:rsidRPr="0024776D">
              <w:rPr>
                <w:rFonts w:ascii="Times New Roman" w:hAnsi="Times New Roman" w:cs="Times New Roman"/>
                <w:b/>
                <w:sz w:val="24"/>
                <w:szCs w:val="24"/>
              </w:rPr>
              <w:t>4.10.</w:t>
            </w:r>
          </w:p>
        </w:tc>
        <w:tc>
          <w:tcPr>
            <w:tcW w:w="5511" w:type="dxa"/>
            <w:vAlign w:val="center"/>
          </w:tcPr>
          <w:p w14:paraId="44FED9D9" w14:textId="77777777" w:rsidR="00503C65" w:rsidRPr="0024776D" w:rsidRDefault="00503C65" w:rsidP="00C315DE">
            <w:pPr>
              <w:spacing w:after="0" w:line="276" w:lineRule="auto"/>
              <w:rPr>
                <w:rFonts w:ascii="Times New Roman" w:hAnsi="Times New Roman" w:cs="Times New Roman"/>
                <w:sz w:val="24"/>
                <w:szCs w:val="24"/>
              </w:rPr>
            </w:pPr>
            <w:r w:rsidRPr="0024776D">
              <w:rPr>
                <w:rFonts w:ascii="Times New Roman" w:hAnsi="Times New Roman" w:cs="Times New Roman"/>
                <w:sz w:val="24"/>
                <w:szCs w:val="24"/>
              </w:rPr>
              <w:t xml:space="preserve">Хармонизиране на Кратките характеристики на референтни ветеринарни лекарствени продукти и генерични и хибридни ветеринарни лекарствени продукти. Регулаторни мерки. </w:t>
            </w:r>
          </w:p>
        </w:tc>
        <w:tc>
          <w:tcPr>
            <w:tcW w:w="1701" w:type="dxa"/>
            <w:vAlign w:val="center"/>
          </w:tcPr>
          <w:p w14:paraId="7FF82C40" w14:textId="77777777" w:rsidR="00503C65" w:rsidRPr="0024776D" w:rsidRDefault="00503C65" w:rsidP="00C315DE">
            <w:pPr>
              <w:widowControl w:val="0"/>
              <w:spacing w:after="0" w:line="276" w:lineRule="auto"/>
              <w:rPr>
                <w:rFonts w:ascii="Times New Roman" w:hAnsi="Times New Roman" w:cs="Times New Roman"/>
                <w:color w:val="000000"/>
                <w:kern w:val="24"/>
                <w:sz w:val="24"/>
                <w:szCs w:val="24"/>
              </w:rPr>
            </w:pPr>
            <w:r w:rsidRPr="0024776D">
              <w:rPr>
                <w:rFonts w:ascii="Times New Roman" w:hAnsi="Times New Roman" w:cs="Times New Roman"/>
                <w:color w:val="000000"/>
                <w:kern w:val="24"/>
                <w:sz w:val="24"/>
                <w:szCs w:val="24"/>
              </w:rPr>
              <w:t>БАБХ</w:t>
            </w:r>
          </w:p>
        </w:tc>
        <w:tc>
          <w:tcPr>
            <w:tcW w:w="1134" w:type="dxa"/>
            <w:vAlign w:val="center"/>
          </w:tcPr>
          <w:p w14:paraId="6EC68BF5" w14:textId="77777777" w:rsidR="00503C65" w:rsidRPr="0024776D" w:rsidRDefault="00503C65" w:rsidP="00C315DE">
            <w:pPr>
              <w:widowControl w:val="0"/>
              <w:spacing w:after="0" w:line="276" w:lineRule="auto"/>
              <w:rPr>
                <w:rFonts w:ascii="Times New Roman" w:hAnsi="Times New Roman" w:cs="Times New Roman"/>
                <w:color w:val="000000"/>
                <w:kern w:val="24"/>
                <w:sz w:val="24"/>
                <w:szCs w:val="24"/>
              </w:rPr>
            </w:pPr>
            <w:r w:rsidRPr="0024776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24776D">
              <w:rPr>
                <w:rFonts w:ascii="Times New Roman" w:eastAsia="Calibri" w:hAnsi="Times New Roman" w:cs="Times New Roman"/>
                <w:sz w:val="24"/>
                <w:szCs w:val="24"/>
              </w:rPr>
              <w:t xml:space="preserve"> – </w:t>
            </w:r>
            <w:r w:rsidRPr="0024776D">
              <w:rPr>
                <w:rFonts w:ascii="Times New Roman" w:hAnsi="Times New Roman" w:cs="Times New Roman"/>
                <w:color w:val="000000"/>
                <w:sz w:val="24"/>
                <w:szCs w:val="24"/>
              </w:rPr>
              <w:t>202</w:t>
            </w:r>
            <w:r>
              <w:rPr>
                <w:rFonts w:ascii="Times New Roman" w:hAnsi="Times New Roman" w:cs="Times New Roman"/>
                <w:color w:val="000000"/>
                <w:sz w:val="24"/>
                <w:szCs w:val="24"/>
              </w:rPr>
              <w:t>8</w:t>
            </w:r>
            <w:r w:rsidRPr="0024776D">
              <w:rPr>
                <w:rFonts w:ascii="Times New Roman" w:hAnsi="Times New Roman" w:cs="Times New Roman"/>
                <w:color w:val="000000"/>
                <w:sz w:val="24"/>
                <w:szCs w:val="24"/>
              </w:rPr>
              <w:t xml:space="preserve"> </w:t>
            </w:r>
          </w:p>
        </w:tc>
        <w:tc>
          <w:tcPr>
            <w:tcW w:w="2268" w:type="dxa"/>
            <w:vAlign w:val="center"/>
          </w:tcPr>
          <w:p w14:paraId="51F427D2" w14:textId="77777777" w:rsidR="00503C65" w:rsidRPr="00E47047" w:rsidRDefault="00503C65" w:rsidP="00C315DE">
            <w:pPr>
              <w:autoSpaceDE w:val="0"/>
              <w:autoSpaceDN w:val="0"/>
              <w:adjustRightInd w:val="0"/>
              <w:spacing w:after="0" w:line="276" w:lineRule="auto"/>
              <w:rPr>
                <w:rFonts w:ascii="Times New Roman" w:hAnsi="Times New Roman" w:cs="Times New Roman"/>
                <w:sz w:val="24"/>
                <w:szCs w:val="24"/>
              </w:rPr>
            </w:pPr>
            <w:r w:rsidRPr="00442189">
              <w:rPr>
                <w:rFonts w:ascii="Times New Roman" w:hAnsi="Times New Roman" w:cs="Times New Roman"/>
                <w:color w:val="000000"/>
                <w:sz w:val="24"/>
                <w:szCs w:val="24"/>
              </w:rPr>
              <w:t>Хармонизиране на КХП на референтни ветеринарни лекарствени продукти и генеричн</w:t>
            </w:r>
            <w:r w:rsidRPr="00D53BB0">
              <w:rPr>
                <w:rFonts w:ascii="Times New Roman" w:hAnsi="Times New Roman" w:cs="Times New Roman"/>
                <w:color w:val="000000"/>
                <w:sz w:val="24"/>
                <w:szCs w:val="24"/>
              </w:rPr>
              <w:t xml:space="preserve">и и хибридни ветеринарни лекарствени продукти, </w:t>
            </w:r>
            <w:r w:rsidRPr="00E47047">
              <w:rPr>
                <w:rFonts w:ascii="Times New Roman" w:hAnsi="Times New Roman" w:cs="Times New Roman"/>
                <w:sz w:val="24"/>
                <w:szCs w:val="24"/>
              </w:rPr>
              <w:t>в съответствие със сроковете посочени в Регламент (ЕС) 2019/6</w:t>
            </w:r>
          </w:p>
        </w:tc>
        <w:tc>
          <w:tcPr>
            <w:tcW w:w="1843" w:type="dxa"/>
            <w:vAlign w:val="center"/>
          </w:tcPr>
          <w:p w14:paraId="1EA879D5"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sidRPr="0024776D">
              <w:rPr>
                <w:rFonts w:ascii="Times New Roman" w:hAnsi="Times New Roman" w:cs="Times New Roman"/>
                <w:sz w:val="24"/>
                <w:szCs w:val="24"/>
              </w:rPr>
              <w:t>10% хармонизирани продукти</w:t>
            </w:r>
          </w:p>
        </w:tc>
        <w:tc>
          <w:tcPr>
            <w:tcW w:w="2131" w:type="dxa"/>
            <w:vAlign w:val="center"/>
          </w:tcPr>
          <w:p w14:paraId="4056B25A" w14:textId="77777777" w:rsidR="00503C65" w:rsidRPr="0024776D" w:rsidRDefault="00503C65" w:rsidP="00C315DE">
            <w:pPr>
              <w:autoSpaceDE w:val="0"/>
              <w:autoSpaceDN w:val="0"/>
              <w:adjustRightInd w:val="0"/>
              <w:spacing w:after="0" w:line="276" w:lineRule="auto"/>
              <w:rPr>
                <w:rFonts w:ascii="Times New Roman" w:hAnsi="Times New Roman" w:cs="Times New Roman"/>
                <w:sz w:val="24"/>
                <w:szCs w:val="24"/>
              </w:rPr>
            </w:pPr>
            <w:r w:rsidRPr="0024776D">
              <w:rPr>
                <w:rFonts w:ascii="Times New Roman" w:hAnsi="Times New Roman" w:cs="Times New Roman"/>
                <w:sz w:val="24"/>
                <w:szCs w:val="24"/>
              </w:rPr>
              <w:t>100% хармонизирани продукти до края на 2027 г.</w:t>
            </w:r>
          </w:p>
        </w:tc>
      </w:tr>
      <w:tr w:rsidR="00503C65" w:rsidRPr="002262A7" w14:paraId="1ECA2988" w14:textId="77777777" w:rsidTr="00C315DE">
        <w:tc>
          <w:tcPr>
            <w:tcW w:w="721" w:type="dxa"/>
            <w:vAlign w:val="center"/>
          </w:tcPr>
          <w:p w14:paraId="2E4EAC53" w14:textId="77777777" w:rsidR="00503C65" w:rsidRPr="00152A66" w:rsidRDefault="00503C65" w:rsidP="00C315DE">
            <w:pPr>
              <w:spacing w:after="0" w:line="276" w:lineRule="auto"/>
              <w:jc w:val="right"/>
              <w:rPr>
                <w:rFonts w:ascii="Times New Roman" w:hAnsi="Times New Roman" w:cs="Times New Roman"/>
                <w:sz w:val="24"/>
                <w:szCs w:val="24"/>
              </w:rPr>
            </w:pPr>
            <w:r w:rsidRPr="00152A66">
              <w:rPr>
                <w:rFonts w:ascii="Times New Roman" w:hAnsi="Times New Roman" w:cs="Times New Roman"/>
                <w:b/>
                <w:sz w:val="24"/>
                <w:szCs w:val="24"/>
              </w:rPr>
              <w:lastRenderedPageBreak/>
              <w:t>4.11.</w:t>
            </w:r>
          </w:p>
        </w:tc>
        <w:tc>
          <w:tcPr>
            <w:tcW w:w="5511" w:type="dxa"/>
            <w:vAlign w:val="center"/>
          </w:tcPr>
          <w:p w14:paraId="1B35B968" w14:textId="77777777" w:rsidR="00503C65" w:rsidRPr="00E47047"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Ревизия и актуализиране на националното законодателство относно тъ</w:t>
            </w:r>
            <w:r w:rsidRPr="00E47047">
              <w:rPr>
                <w:rFonts w:ascii="Times New Roman" w:hAnsi="Times New Roman" w:cs="Times New Roman"/>
                <w:sz w:val="24"/>
                <w:szCs w:val="24"/>
              </w:rPr>
              <w:t>рговията на едро, търговията на дребно, предписването, рекламата и употребата на антибиотични (антимикробни) ВЛП.</w:t>
            </w:r>
          </w:p>
          <w:p w14:paraId="771688AB" w14:textId="77777777" w:rsidR="00503C65" w:rsidRPr="00152A66" w:rsidRDefault="00503C65" w:rsidP="00C315DE">
            <w:pPr>
              <w:autoSpaceDE w:val="0"/>
              <w:autoSpaceDN w:val="0"/>
              <w:adjustRightInd w:val="0"/>
              <w:spacing w:after="40" w:line="276" w:lineRule="auto"/>
              <w:rPr>
                <w:rFonts w:ascii="Times New Roman" w:hAnsi="Times New Roman" w:cs="Times New Roman"/>
                <w:sz w:val="24"/>
                <w:szCs w:val="24"/>
              </w:rPr>
            </w:pPr>
            <w:r w:rsidRPr="00152A66">
              <w:rPr>
                <w:rFonts w:ascii="Times New Roman" w:hAnsi="Times New Roman" w:cs="Times New Roman"/>
                <w:color w:val="000000"/>
                <w:sz w:val="24"/>
                <w:szCs w:val="24"/>
              </w:rPr>
              <w:t xml:space="preserve">Законодателни промени. </w:t>
            </w:r>
          </w:p>
        </w:tc>
        <w:tc>
          <w:tcPr>
            <w:tcW w:w="1701" w:type="dxa"/>
            <w:vAlign w:val="center"/>
          </w:tcPr>
          <w:p w14:paraId="368609AC" w14:textId="77777777" w:rsidR="00503C65" w:rsidRPr="00152A66" w:rsidRDefault="00503C65" w:rsidP="00C315DE">
            <w:pPr>
              <w:widowControl w:val="0"/>
              <w:spacing w:after="0" w:line="276" w:lineRule="auto"/>
              <w:rPr>
                <w:rFonts w:ascii="Times New Roman" w:hAnsi="Times New Roman" w:cs="Times New Roman"/>
                <w:color w:val="000000"/>
                <w:kern w:val="24"/>
                <w:sz w:val="24"/>
                <w:szCs w:val="24"/>
              </w:rPr>
            </w:pPr>
            <w:r w:rsidRPr="00152A66">
              <w:rPr>
                <w:rFonts w:ascii="Times New Roman" w:hAnsi="Times New Roman" w:cs="Times New Roman"/>
                <w:color w:val="000000"/>
                <w:kern w:val="24"/>
                <w:sz w:val="24"/>
                <w:szCs w:val="24"/>
              </w:rPr>
              <w:t>МЗХ, БАБХ</w:t>
            </w:r>
          </w:p>
        </w:tc>
        <w:tc>
          <w:tcPr>
            <w:tcW w:w="1134" w:type="dxa"/>
            <w:vAlign w:val="center"/>
          </w:tcPr>
          <w:p w14:paraId="4F2DE792" w14:textId="77777777" w:rsidR="00503C65" w:rsidRPr="00152A66" w:rsidRDefault="00503C65" w:rsidP="00C315DE">
            <w:pPr>
              <w:widowControl w:val="0"/>
              <w:spacing w:after="0" w:line="276" w:lineRule="auto"/>
              <w:rPr>
                <w:rFonts w:ascii="Times New Roman" w:hAnsi="Times New Roman" w:cs="Times New Roman"/>
                <w:color w:val="000000"/>
                <w:kern w:val="24"/>
                <w:sz w:val="24"/>
                <w:szCs w:val="24"/>
              </w:rPr>
            </w:pPr>
            <w:r w:rsidRPr="00152A66">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52A66">
              <w:rPr>
                <w:rFonts w:ascii="Times New Roman" w:eastAsia="Calibri" w:hAnsi="Times New Roman" w:cs="Times New Roman"/>
                <w:sz w:val="24"/>
                <w:szCs w:val="24"/>
              </w:rPr>
              <w:t xml:space="preserve"> – </w:t>
            </w:r>
            <w:r w:rsidRPr="00152A66">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152A66">
              <w:rPr>
                <w:rFonts w:ascii="Times New Roman" w:hAnsi="Times New Roman" w:cs="Times New Roman"/>
                <w:color w:val="000000"/>
                <w:sz w:val="24"/>
                <w:szCs w:val="24"/>
              </w:rPr>
              <w:t xml:space="preserve"> </w:t>
            </w:r>
          </w:p>
        </w:tc>
        <w:tc>
          <w:tcPr>
            <w:tcW w:w="2268" w:type="dxa"/>
            <w:vAlign w:val="center"/>
          </w:tcPr>
          <w:p w14:paraId="2F19AEF2" w14:textId="77777777" w:rsidR="00503C65" w:rsidRPr="00152A66" w:rsidRDefault="00503C65" w:rsidP="00C315DE">
            <w:pPr>
              <w:autoSpaceDE w:val="0"/>
              <w:autoSpaceDN w:val="0"/>
              <w:adjustRightInd w:val="0"/>
              <w:spacing w:after="0" w:line="276" w:lineRule="auto"/>
              <w:rPr>
                <w:rFonts w:ascii="Times New Roman" w:hAnsi="Times New Roman" w:cs="Times New Roman"/>
                <w:color w:val="000000"/>
                <w:sz w:val="24"/>
                <w:szCs w:val="24"/>
              </w:rPr>
            </w:pPr>
            <w:r w:rsidRPr="00152A66">
              <w:rPr>
                <w:rFonts w:ascii="Times New Roman" w:hAnsi="Times New Roman" w:cs="Times New Roman"/>
                <w:color w:val="000000"/>
                <w:sz w:val="24"/>
                <w:szCs w:val="24"/>
              </w:rPr>
              <w:t>Своевременно актуализиране на законодателството, касаещо ВЛП във връзка с промените в законодателството на ЕС</w:t>
            </w:r>
          </w:p>
        </w:tc>
        <w:tc>
          <w:tcPr>
            <w:tcW w:w="1843" w:type="dxa"/>
            <w:vAlign w:val="center"/>
          </w:tcPr>
          <w:p w14:paraId="07594AC4" w14:textId="77777777" w:rsidR="00503C65" w:rsidRPr="00152A66" w:rsidRDefault="00503C65" w:rsidP="00C315DE">
            <w:pPr>
              <w:autoSpaceDE w:val="0"/>
              <w:autoSpaceDN w:val="0"/>
              <w:adjustRightInd w:val="0"/>
              <w:spacing w:after="0" w:line="276" w:lineRule="auto"/>
              <w:rPr>
                <w:rFonts w:ascii="Times New Roman" w:hAnsi="Times New Roman" w:cs="Times New Roman"/>
                <w:color w:val="000000"/>
                <w:sz w:val="24"/>
                <w:szCs w:val="24"/>
              </w:rPr>
            </w:pPr>
            <w:r w:rsidRPr="00152A66">
              <w:rPr>
                <w:rFonts w:ascii="Times New Roman" w:hAnsi="Times New Roman" w:cs="Times New Roman"/>
                <w:color w:val="000000"/>
                <w:sz w:val="24"/>
                <w:szCs w:val="24"/>
              </w:rPr>
              <w:t>100% (спрямо влезлите в сила актове до 2025 г.)</w:t>
            </w:r>
          </w:p>
        </w:tc>
        <w:tc>
          <w:tcPr>
            <w:tcW w:w="2131" w:type="dxa"/>
            <w:vAlign w:val="center"/>
          </w:tcPr>
          <w:p w14:paraId="0795F44F" w14:textId="77777777" w:rsidR="00503C65" w:rsidRPr="00152A66" w:rsidRDefault="00503C65" w:rsidP="00C315DE">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52A66">
              <w:rPr>
                <w:rFonts w:ascii="Times New Roman" w:hAnsi="Times New Roman" w:cs="Times New Roman"/>
                <w:color w:val="000000"/>
                <w:sz w:val="24"/>
                <w:szCs w:val="24"/>
              </w:rPr>
              <w:t xml:space="preserve"> (спрямо влезлите в сила актове след 2025 г., съобразено с определените за прилагането срокове)</w:t>
            </w:r>
          </w:p>
        </w:tc>
      </w:tr>
      <w:tr w:rsidR="00503C65" w:rsidRPr="002262A7" w14:paraId="5573CBE1" w14:textId="77777777" w:rsidTr="00C315DE">
        <w:tc>
          <w:tcPr>
            <w:tcW w:w="721" w:type="dxa"/>
            <w:vAlign w:val="center"/>
          </w:tcPr>
          <w:p w14:paraId="4CA80E0A" w14:textId="77777777" w:rsidR="00503C65" w:rsidRPr="00AF1B36" w:rsidRDefault="00503C65" w:rsidP="00C315DE">
            <w:pPr>
              <w:spacing w:after="0" w:line="276" w:lineRule="auto"/>
              <w:jc w:val="right"/>
              <w:rPr>
                <w:rFonts w:ascii="Times New Roman" w:hAnsi="Times New Roman" w:cs="Times New Roman"/>
                <w:sz w:val="24"/>
                <w:szCs w:val="24"/>
              </w:rPr>
            </w:pPr>
            <w:r w:rsidRPr="00AF1B36">
              <w:rPr>
                <w:rFonts w:ascii="Times New Roman" w:hAnsi="Times New Roman" w:cs="Times New Roman"/>
                <w:b/>
                <w:sz w:val="24"/>
                <w:szCs w:val="24"/>
              </w:rPr>
              <w:t>4.12.</w:t>
            </w:r>
          </w:p>
        </w:tc>
        <w:tc>
          <w:tcPr>
            <w:tcW w:w="5511" w:type="dxa"/>
            <w:vAlign w:val="center"/>
          </w:tcPr>
          <w:p w14:paraId="662F61FC" w14:textId="77777777" w:rsidR="00503C65" w:rsidRPr="00AF1B36" w:rsidRDefault="00503C65" w:rsidP="00C315DE">
            <w:pPr>
              <w:spacing w:after="0" w:line="276" w:lineRule="auto"/>
              <w:rPr>
                <w:rFonts w:ascii="Times New Roman" w:hAnsi="Times New Roman" w:cs="Times New Roman"/>
                <w:sz w:val="24"/>
                <w:szCs w:val="24"/>
              </w:rPr>
            </w:pPr>
            <w:r w:rsidRPr="00D53BB0">
              <w:rPr>
                <w:rFonts w:ascii="Times New Roman" w:hAnsi="Times New Roman" w:cs="Times New Roman"/>
                <w:sz w:val="24"/>
                <w:szCs w:val="24"/>
              </w:rPr>
              <w:t xml:space="preserve">Разработване на уеб базирана платформа, позволяваща електронно издаване на рецепта и </w:t>
            </w:r>
            <w:r w:rsidRPr="00E47047">
              <w:rPr>
                <w:rFonts w:ascii="Times New Roman" w:hAnsi="Times New Roman" w:cs="Times New Roman"/>
                <w:sz w:val="24"/>
                <w:szCs w:val="24"/>
              </w:rPr>
              <w:t>получаване на справки по отношение на количествата употребени антимикробни продукти, разпределени по видове животни, активна субстанция, Ветеринарномедицински Анатомо-Терапевтичен Код и други, позволяващи на БАБХ да анализира и контролира степента на из</w:t>
            </w:r>
            <w:r w:rsidRPr="00AF1B36">
              <w:rPr>
                <w:rFonts w:ascii="Times New Roman" w:hAnsi="Times New Roman" w:cs="Times New Roman"/>
                <w:sz w:val="24"/>
                <w:szCs w:val="24"/>
              </w:rPr>
              <w:t>пълнение на Програмата за действие срещу АМР.</w:t>
            </w:r>
          </w:p>
          <w:p w14:paraId="42CEDDE8" w14:textId="77777777" w:rsidR="00503C65" w:rsidRPr="00AF1B36" w:rsidRDefault="00503C65" w:rsidP="00C315DE">
            <w:pPr>
              <w:spacing w:after="40" w:line="276" w:lineRule="auto"/>
              <w:rPr>
                <w:rFonts w:ascii="Times New Roman" w:hAnsi="Times New Roman" w:cs="Times New Roman"/>
                <w:sz w:val="24"/>
                <w:szCs w:val="24"/>
              </w:rPr>
            </w:pPr>
            <w:r w:rsidRPr="00AF1B36">
              <w:rPr>
                <w:rFonts w:ascii="Times New Roman" w:hAnsi="Times New Roman" w:cs="Times New Roman"/>
                <w:sz w:val="24"/>
                <w:szCs w:val="24"/>
              </w:rPr>
              <w:t xml:space="preserve">Изготвяне на техническо задание и </w:t>
            </w:r>
            <w:r w:rsidRPr="009512FB">
              <w:rPr>
                <w:rFonts w:ascii="Times New Roman" w:hAnsi="Times New Roman" w:cs="Times New Roman"/>
                <w:sz w:val="24"/>
                <w:szCs w:val="24"/>
              </w:rPr>
              <w:t>реализиране на проект на уеб базирана платформа, позволяваща издаване на електронна рецепта и получаване на стандартизирани данни, за количествата употребени антимикробни ВЛП п</w:t>
            </w:r>
            <w:r w:rsidRPr="00AF1B36">
              <w:rPr>
                <w:rFonts w:ascii="Times New Roman" w:hAnsi="Times New Roman" w:cs="Times New Roman"/>
                <w:sz w:val="24"/>
                <w:szCs w:val="24"/>
              </w:rPr>
              <w:t>о видове животни.</w:t>
            </w:r>
          </w:p>
        </w:tc>
        <w:tc>
          <w:tcPr>
            <w:tcW w:w="1701" w:type="dxa"/>
            <w:vAlign w:val="center"/>
          </w:tcPr>
          <w:p w14:paraId="1523F390" w14:textId="77777777" w:rsidR="00503C65" w:rsidRPr="00AF1B36" w:rsidRDefault="00503C65" w:rsidP="00C315DE">
            <w:pPr>
              <w:autoSpaceDE w:val="0"/>
              <w:autoSpaceDN w:val="0"/>
              <w:adjustRightInd w:val="0"/>
              <w:spacing w:after="0" w:line="276" w:lineRule="auto"/>
              <w:rPr>
                <w:rFonts w:ascii="Times New Roman" w:hAnsi="Times New Roman" w:cs="Times New Roman"/>
                <w:color w:val="000000" w:themeColor="text1"/>
                <w:sz w:val="24"/>
                <w:szCs w:val="24"/>
              </w:rPr>
            </w:pPr>
            <w:r w:rsidRPr="00AF1B36">
              <w:rPr>
                <w:rFonts w:ascii="Times New Roman" w:hAnsi="Times New Roman" w:cs="Times New Roman"/>
                <w:color w:val="000000" w:themeColor="text1"/>
                <w:sz w:val="24"/>
                <w:szCs w:val="24"/>
              </w:rPr>
              <w:t>МЗХ</w:t>
            </w:r>
            <w:r w:rsidRPr="00AF1B36">
              <w:rPr>
                <w:rFonts w:ascii="Times New Roman" w:hAnsi="Times New Roman" w:cs="Times New Roman"/>
                <w:color w:val="000000" w:themeColor="text1"/>
                <w:sz w:val="24"/>
                <w:szCs w:val="24"/>
                <w:lang w:val="en-US"/>
              </w:rPr>
              <w:t xml:space="preserve"> </w:t>
            </w:r>
            <w:r w:rsidRPr="00AF1B36">
              <w:rPr>
                <w:rFonts w:ascii="Times New Roman" w:hAnsi="Times New Roman" w:cs="Times New Roman"/>
                <w:color w:val="000000" w:themeColor="text1"/>
                <w:sz w:val="24"/>
                <w:szCs w:val="24"/>
              </w:rPr>
              <w:t>(Инвестиция 2: Дигитализация на процесите от фермата до трапезата/ Национален план за възстановяване и устойчивост)</w:t>
            </w:r>
          </w:p>
          <w:p w14:paraId="1F438C78" w14:textId="77777777" w:rsidR="00503C65" w:rsidRPr="00AF1B36" w:rsidRDefault="00503C65" w:rsidP="00C315DE">
            <w:pPr>
              <w:widowControl w:val="0"/>
              <w:spacing w:after="0" w:line="276" w:lineRule="auto"/>
              <w:rPr>
                <w:rFonts w:ascii="Times New Roman" w:hAnsi="Times New Roman" w:cs="Times New Roman"/>
                <w:color w:val="000000" w:themeColor="text1"/>
                <w:kern w:val="24"/>
                <w:sz w:val="24"/>
                <w:szCs w:val="24"/>
              </w:rPr>
            </w:pPr>
            <w:r w:rsidRPr="00AF1B36">
              <w:rPr>
                <w:rFonts w:ascii="Times New Roman" w:hAnsi="Times New Roman" w:cs="Times New Roman"/>
                <w:kern w:val="24"/>
                <w:sz w:val="24"/>
                <w:szCs w:val="24"/>
              </w:rPr>
              <w:t>БАБХ</w:t>
            </w:r>
          </w:p>
        </w:tc>
        <w:tc>
          <w:tcPr>
            <w:tcW w:w="1134" w:type="dxa"/>
            <w:vAlign w:val="center"/>
          </w:tcPr>
          <w:p w14:paraId="7D70910F" w14:textId="77777777" w:rsidR="00503C65" w:rsidRPr="00AF1B36" w:rsidRDefault="00503C65" w:rsidP="00C315DE">
            <w:pPr>
              <w:widowControl w:val="0"/>
              <w:spacing w:after="0" w:line="276" w:lineRule="auto"/>
              <w:rPr>
                <w:rFonts w:ascii="Times New Roman" w:hAnsi="Times New Roman" w:cs="Times New Roman"/>
                <w:color w:val="000000"/>
                <w:kern w:val="24"/>
                <w:sz w:val="24"/>
                <w:szCs w:val="24"/>
              </w:rPr>
            </w:pPr>
            <w:r w:rsidRPr="00AF1B36">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AF1B36">
              <w:rPr>
                <w:rFonts w:ascii="Times New Roman" w:eastAsia="Calibri" w:hAnsi="Times New Roman" w:cs="Times New Roman"/>
                <w:sz w:val="24"/>
                <w:szCs w:val="24"/>
              </w:rPr>
              <w:t xml:space="preserve"> – </w:t>
            </w:r>
            <w:r w:rsidRPr="00AF1B36">
              <w:rPr>
                <w:rFonts w:ascii="Times New Roman" w:hAnsi="Times New Roman" w:cs="Times New Roman"/>
                <w:color w:val="000000"/>
                <w:sz w:val="24"/>
                <w:szCs w:val="24"/>
              </w:rPr>
              <w:t>202</w:t>
            </w:r>
            <w:r>
              <w:rPr>
                <w:rFonts w:ascii="Times New Roman" w:hAnsi="Times New Roman" w:cs="Times New Roman"/>
                <w:color w:val="000000"/>
                <w:sz w:val="24"/>
                <w:szCs w:val="24"/>
              </w:rPr>
              <w:t>9</w:t>
            </w:r>
          </w:p>
        </w:tc>
        <w:tc>
          <w:tcPr>
            <w:tcW w:w="2268" w:type="dxa"/>
            <w:vAlign w:val="center"/>
          </w:tcPr>
          <w:p w14:paraId="6279F8DD" w14:textId="77777777" w:rsidR="00503C65" w:rsidRPr="00AF1B36" w:rsidRDefault="00503C65" w:rsidP="00C315DE">
            <w:pPr>
              <w:autoSpaceDE w:val="0"/>
              <w:autoSpaceDN w:val="0"/>
              <w:adjustRightInd w:val="0"/>
              <w:spacing w:after="0" w:line="276" w:lineRule="auto"/>
              <w:rPr>
                <w:rFonts w:ascii="Times New Roman" w:hAnsi="Times New Roman" w:cs="Times New Roman"/>
                <w:sz w:val="24"/>
                <w:szCs w:val="24"/>
                <w:lang w:val="en-US"/>
              </w:rPr>
            </w:pPr>
            <w:r w:rsidRPr="00AF1B36">
              <w:rPr>
                <w:rFonts w:ascii="Times New Roman" w:hAnsi="Times New Roman" w:cs="Times New Roman"/>
                <w:sz w:val="24"/>
                <w:szCs w:val="24"/>
              </w:rPr>
              <w:t>Устойчива тенденция за намаляване, с не по малко от 25% общите продажби на антимикробни средства в периода 2026</w:t>
            </w:r>
            <w:r w:rsidRPr="00AF1B36">
              <w:rPr>
                <w:rFonts w:ascii="Times New Roman" w:eastAsia="Calibri" w:hAnsi="Times New Roman" w:cs="Times New Roman"/>
                <w:sz w:val="24"/>
                <w:szCs w:val="24"/>
              </w:rPr>
              <w:t xml:space="preserve"> – </w:t>
            </w:r>
            <w:r w:rsidRPr="00AF1B36">
              <w:rPr>
                <w:rFonts w:ascii="Times New Roman" w:hAnsi="Times New Roman" w:cs="Times New Roman"/>
                <w:sz w:val="24"/>
                <w:szCs w:val="24"/>
              </w:rPr>
              <w:t>2028.</w:t>
            </w:r>
          </w:p>
        </w:tc>
        <w:tc>
          <w:tcPr>
            <w:tcW w:w="1843" w:type="dxa"/>
            <w:vAlign w:val="center"/>
          </w:tcPr>
          <w:p w14:paraId="7C4D1F68"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r w:rsidRPr="00442189">
              <w:rPr>
                <w:rFonts w:ascii="Times New Roman" w:hAnsi="Times New Roman" w:cs="Times New Roman"/>
                <w:sz w:val="24"/>
                <w:szCs w:val="24"/>
              </w:rPr>
              <w:t>Съгласно Доклад на ЕМА</w:t>
            </w:r>
          </w:p>
          <w:p w14:paraId="35BAD2EA"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highlight w:val="yellow"/>
              </w:rPr>
            </w:pPr>
            <w:r w:rsidRPr="00152A66">
              <w:rPr>
                <w:rFonts w:ascii="Times New Roman" w:hAnsi="Times New Roman" w:cs="Times New Roman"/>
                <w:sz w:val="24"/>
                <w:szCs w:val="24"/>
              </w:rPr>
              <w:t>(https://www.ema.europa.eu/en/veterinary-regulatory-overview/antimicrobial-resistance-veterinary-medicine/european-sales-use-antimicrobials-veterinary-medicine-esuavet-annual-surveillance-reports)</w:t>
            </w:r>
          </w:p>
        </w:tc>
        <w:tc>
          <w:tcPr>
            <w:tcW w:w="2131" w:type="dxa"/>
            <w:vAlign w:val="center"/>
          </w:tcPr>
          <w:p w14:paraId="5B3A37D8" w14:textId="77777777" w:rsidR="00503C65" w:rsidRDefault="00503C65" w:rsidP="00C315DE">
            <w:pPr>
              <w:autoSpaceDE w:val="0"/>
              <w:autoSpaceDN w:val="0"/>
              <w:adjustRightInd w:val="0"/>
              <w:spacing w:after="0" w:line="276" w:lineRule="auto"/>
              <w:rPr>
                <w:rFonts w:ascii="Times New Roman" w:hAnsi="Times New Roman" w:cs="Times New Roman"/>
                <w:sz w:val="24"/>
                <w:szCs w:val="24"/>
              </w:rPr>
            </w:pPr>
            <w:r w:rsidRPr="006C36A3">
              <w:rPr>
                <w:rFonts w:ascii="Times New Roman" w:hAnsi="Times New Roman" w:cs="Times New Roman"/>
                <w:sz w:val="24"/>
                <w:szCs w:val="24"/>
              </w:rPr>
              <w:t>25% намаляване продажбите в края на отчетния период спрям</w:t>
            </w:r>
            <w:r>
              <w:rPr>
                <w:rFonts w:ascii="Times New Roman" w:hAnsi="Times New Roman" w:cs="Times New Roman"/>
                <w:sz w:val="24"/>
                <w:szCs w:val="24"/>
              </w:rPr>
              <w:t>о</w:t>
            </w:r>
            <w:r w:rsidRPr="006C36A3">
              <w:rPr>
                <w:rFonts w:ascii="Times New Roman" w:hAnsi="Times New Roman" w:cs="Times New Roman"/>
                <w:sz w:val="24"/>
                <w:szCs w:val="24"/>
              </w:rPr>
              <w:t xml:space="preserve"> данните на ЕМА за 2025</w:t>
            </w:r>
            <w:r>
              <w:rPr>
                <w:rFonts w:ascii="Times New Roman" w:hAnsi="Times New Roman" w:cs="Times New Roman"/>
                <w:sz w:val="24"/>
                <w:szCs w:val="24"/>
              </w:rPr>
              <w:t>.</w:t>
            </w:r>
          </w:p>
          <w:p w14:paraId="637D3554"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Реализирана убе-базирана платформа</w:t>
            </w:r>
          </w:p>
        </w:tc>
      </w:tr>
      <w:tr w:rsidR="00503C65" w:rsidRPr="002262A7" w14:paraId="7B6D87C3" w14:textId="77777777" w:rsidTr="00C315DE">
        <w:trPr>
          <w:cantSplit/>
        </w:trPr>
        <w:tc>
          <w:tcPr>
            <w:tcW w:w="721" w:type="dxa"/>
            <w:vAlign w:val="center"/>
          </w:tcPr>
          <w:p w14:paraId="566153F3"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lastRenderedPageBreak/>
              <w:t>5.</w:t>
            </w:r>
          </w:p>
        </w:tc>
        <w:tc>
          <w:tcPr>
            <w:tcW w:w="14588" w:type="dxa"/>
            <w:gridSpan w:val="6"/>
            <w:vAlign w:val="center"/>
          </w:tcPr>
          <w:p w14:paraId="6EDE699E" w14:textId="77777777" w:rsidR="00503C65" w:rsidRPr="002262A7" w:rsidRDefault="00503C65" w:rsidP="00C315DE">
            <w:pPr>
              <w:autoSpaceDE w:val="0"/>
              <w:autoSpaceDN w:val="0"/>
              <w:adjustRightInd w:val="0"/>
              <w:spacing w:after="0" w:line="276" w:lineRule="auto"/>
              <w:rPr>
                <w:rFonts w:ascii="Times New Roman" w:eastAsiaTheme="majorEastAsia" w:hAnsi="Times New Roman" w:cs="Times New Roman"/>
                <w:b/>
                <w:bCs/>
                <w:sz w:val="24"/>
                <w:szCs w:val="24"/>
                <w:lang w:val="en-US" w:eastAsia="bg-BG"/>
              </w:rPr>
            </w:pPr>
            <w:r w:rsidRPr="002262A7">
              <w:rPr>
                <w:rFonts w:ascii="Times New Roman" w:eastAsiaTheme="majorEastAsia" w:hAnsi="Times New Roman" w:cs="Times New Roman"/>
                <w:b/>
                <w:bCs/>
                <w:sz w:val="24"/>
                <w:szCs w:val="24"/>
                <w:lang w:eastAsia="bg-BG"/>
              </w:rPr>
              <w:t>Основна цел 5:</w:t>
            </w:r>
          </w:p>
          <w:p w14:paraId="6586B228"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eastAsiaTheme="majorEastAsia" w:hAnsi="Times New Roman" w:cs="Times New Roman"/>
                <w:b/>
                <w:bCs/>
                <w:sz w:val="24"/>
                <w:szCs w:val="24"/>
                <w:lang w:eastAsia="bg-BG"/>
              </w:rPr>
              <w:t xml:space="preserve">Осигуряване на ефективно управление и координация, мониторинг и оценка на Националната </w:t>
            </w:r>
            <w:r>
              <w:rPr>
                <w:rFonts w:ascii="Times New Roman" w:eastAsiaTheme="majorEastAsia" w:hAnsi="Times New Roman" w:cs="Times New Roman"/>
                <w:b/>
                <w:bCs/>
                <w:sz w:val="24"/>
                <w:szCs w:val="24"/>
                <w:lang w:eastAsia="bg-BG"/>
              </w:rPr>
              <w:t>п</w:t>
            </w:r>
            <w:r w:rsidRPr="002262A7">
              <w:rPr>
                <w:rFonts w:ascii="Times New Roman" w:eastAsiaTheme="majorEastAsia" w:hAnsi="Times New Roman" w:cs="Times New Roman"/>
                <w:b/>
                <w:bCs/>
                <w:sz w:val="24"/>
                <w:szCs w:val="24"/>
                <w:lang w:eastAsia="bg-BG"/>
              </w:rPr>
              <w:t>рограма за действие срещу АМР</w:t>
            </w:r>
          </w:p>
        </w:tc>
      </w:tr>
      <w:tr w:rsidR="00503C65" w:rsidRPr="002262A7" w14:paraId="183B0BED" w14:textId="77777777" w:rsidTr="00C315DE">
        <w:tc>
          <w:tcPr>
            <w:tcW w:w="721" w:type="dxa"/>
            <w:vAlign w:val="center"/>
          </w:tcPr>
          <w:p w14:paraId="33FE3EE0"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5.1.</w:t>
            </w:r>
          </w:p>
        </w:tc>
        <w:tc>
          <w:tcPr>
            <w:tcW w:w="5511" w:type="dxa"/>
            <w:vAlign w:val="center"/>
          </w:tcPr>
          <w:p w14:paraId="3BBED4BE"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Сформиране на </w:t>
            </w:r>
            <w:r w:rsidRPr="002262A7">
              <w:rPr>
                <w:rFonts w:ascii="Times New Roman" w:hAnsi="Times New Roman" w:cs="Times New Roman"/>
                <w:bCs/>
                <w:sz w:val="24"/>
                <w:szCs w:val="24"/>
              </w:rPr>
              <w:t xml:space="preserve">Междуведомствен координационен съвет (МКС) по изпълнение на </w:t>
            </w:r>
            <w:r w:rsidRPr="002262A7">
              <w:rPr>
                <w:rFonts w:ascii="Times New Roman" w:hAnsi="Times New Roman" w:cs="Times New Roman"/>
                <w:sz w:val="24"/>
                <w:szCs w:val="24"/>
              </w:rPr>
              <w:t xml:space="preserve">Националната </w:t>
            </w:r>
            <w:r>
              <w:rPr>
                <w:rFonts w:ascii="Times New Roman" w:hAnsi="Times New Roman" w:cs="Times New Roman"/>
                <w:sz w:val="24"/>
                <w:szCs w:val="24"/>
              </w:rPr>
              <w:t>п</w:t>
            </w:r>
            <w:r w:rsidRPr="002262A7">
              <w:rPr>
                <w:rFonts w:ascii="Times New Roman" w:hAnsi="Times New Roman" w:cs="Times New Roman"/>
                <w:sz w:val="24"/>
                <w:szCs w:val="24"/>
              </w:rPr>
              <w:t>рограма за действие срещу АМР, 202</w:t>
            </w:r>
            <w:r>
              <w:rPr>
                <w:rFonts w:ascii="Times New Roman" w:hAnsi="Times New Roman" w:cs="Times New Roman"/>
                <w:sz w:val="24"/>
                <w:szCs w:val="24"/>
              </w:rPr>
              <w:t>6</w:t>
            </w:r>
            <w:r w:rsidRPr="002262A7">
              <w:rPr>
                <w:rFonts w:ascii="Times New Roman" w:hAnsi="Times New Roman" w:cs="Times New Roman"/>
                <w:sz w:val="24"/>
                <w:szCs w:val="24"/>
              </w:rPr>
              <w:t xml:space="preserve"> – 202</w:t>
            </w:r>
            <w:r>
              <w:rPr>
                <w:rFonts w:ascii="Times New Roman" w:hAnsi="Times New Roman" w:cs="Times New Roman"/>
                <w:sz w:val="24"/>
                <w:szCs w:val="24"/>
              </w:rPr>
              <w:t>9</w:t>
            </w:r>
            <w:r w:rsidRPr="002262A7">
              <w:rPr>
                <w:rFonts w:ascii="Times New Roman" w:hAnsi="Times New Roman" w:cs="Times New Roman"/>
                <w:sz w:val="24"/>
                <w:szCs w:val="24"/>
              </w:rPr>
              <w:t xml:space="preserve"> г. </w:t>
            </w:r>
            <w:r w:rsidRPr="002262A7">
              <w:rPr>
                <w:rFonts w:ascii="Times New Roman" w:hAnsi="Times New Roman" w:cs="Times New Roman"/>
                <w:bCs/>
                <w:sz w:val="24"/>
                <w:szCs w:val="24"/>
              </w:rPr>
              <w:t>и утвърждаване на правила за работата му</w:t>
            </w:r>
            <w:r w:rsidRPr="002262A7">
              <w:rPr>
                <w:rFonts w:ascii="Times New Roman" w:hAnsi="Times New Roman" w:cs="Times New Roman"/>
                <w:sz w:val="24"/>
                <w:szCs w:val="24"/>
              </w:rPr>
              <w:t xml:space="preserve"> </w:t>
            </w:r>
          </w:p>
        </w:tc>
        <w:tc>
          <w:tcPr>
            <w:tcW w:w="1701" w:type="dxa"/>
            <w:vAlign w:val="center"/>
          </w:tcPr>
          <w:p w14:paraId="22F44DCC"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МЗ, МЗХ, МОСВ, МОН</w:t>
            </w:r>
          </w:p>
        </w:tc>
        <w:tc>
          <w:tcPr>
            <w:tcW w:w="1134" w:type="dxa"/>
            <w:vAlign w:val="center"/>
          </w:tcPr>
          <w:p w14:paraId="11595D9C"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6</w:t>
            </w:r>
            <w:r w:rsidRPr="002262A7">
              <w:rPr>
                <w:rFonts w:ascii="Times New Roman" w:hAnsi="Times New Roman" w:cs="Times New Roman"/>
                <w:color w:val="000000"/>
                <w:kern w:val="24"/>
                <w:sz w:val="24"/>
                <w:szCs w:val="24"/>
              </w:rPr>
              <w:t xml:space="preserve"> г.</w:t>
            </w:r>
          </w:p>
        </w:tc>
        <w:tc>
          <w:tcPr>
            <w:tcW w:w="2268" w:type="dxa"/>
            <w:shd w:val="clear" w:color="auto" w:fill="auto"/>
            <w:vAlign w:val="center"/>
          </w:tcPr>
          <w:p w14:paraId="2C68DCA0" w14:textId="77777777" w:rsidR="00503C65" w:rsidRPr="002262A7" w:rsidRDefault="00503C65" w:rsidP="00C315DE">
            <w:pPr>
              <w:autoSpaceDE w:val="0"/>
              <w:autoSpaceDN w:val="0"/>
              <w:adjustRightInd w:val="0"/>
              <w:spacing w:after="0" w:line="276" w:lineRule="auto"/>
              <w:rPr>
                <w:rFonts w:ascii="Times New Roman" w:hAnsi="Times New Roman" w:cs="Times New Roman"/>
                <w:strike/>
                <w:sz w:val="24"/>
                <w:szCs w:val="24"/>
              </w:rPr>
            </w:pPr>
            <w:r w:rsidRPr="002262A7">
              <w:rPr>
                <w:rFonts w:ascii="Times New Roman" w:hAnsi="Times New Roman" w:cs="Times New Roman"/>
                <w:sz w:val="24"/>
                <w:szCs w:val="24"/>
              </w:rPr>
              <w:t>Издадена заповед на министъра на здравеопазването и министъра на земеделието и храните за определяне на МКС и утвърдени правила за работата му</w:t>
            </w:r>
            <w:r w:rsidRPr="002262A7">
              <w:rPr>
                <w:rFonts w:ascii="Times New Roman" w:hAnsi="Times New Roman" w:cs="Times New Roman"/>
                <w:bCs/>
                <w:sz w:val="24"/>
                <w:szCs w:val="24"/>
              </w:rPr>
              <w:t xml:space="preserve"> </w:t>
            </w:r>
          </w:p>
        </w:tc>
        <w:tc>
          <w:tcPr>
            <w:tcW w:w="1843" w:type="dxa"/>
            <w:shd w:val="clear" w:color="auto" w:fill="auto"/>
            <w:vAlign w:val="center"/>
          </w:tcPr>
          <w:p w14:paraId="4DE4AD62" w14:textId="77777777" w:rsidR="00503C65" w:rsidRPr="001712F4" w:rsidRDefault="00503C65" w:rsidP="00C315DE">
            <w:pPr>
              <w:autoSpaceDE w:val="0"/>
              <w:autoSpaceDN w:val="0"/>
              <w:adjustRightInd w:val="0"/>
              <w:spacing w:after="0" w:line="276" w:lineRule="auto"/>
              <w:rPr>
                <w:rFonts w:ascii="Times New Roman" w:hAnsi="Times New Roman" w:cs="Times New Roman"/>
                <w:strike/>
                <w:sz w:val="24"/>
                <w:szCs w:val="24"/>
                <w:lang w:val="en-US"/>
              </w:rPr>
            </w:pPr>
            <w:r w:rsidRPr="008634C1">
              <w:rPr>
                <w:rFonts w:ascii="Times New Roman" w:hAnsi="Times New Roman" w:cs="Times New Roman"/>
                <w:sz w:val="24"/>
                <w:szCs w:val="24"/>
                <w:lang w:val="en-US"/>
              </w:rPr>
              <w:t>0</w:t>
            </w:r>
          </w:p>
        </w:tc>
        <w:tc>
          <w:tcPr>
            <w:tcW w:w="2131" w:type="dxa"/>
            <w:shd w:val="clear" w:color="auto" w:fill="auto"/>
            <w:vAlign w:val="center"/>
          </w:tcPr>
          <w:p w14:paraId="58DC5879" w14:textId="77777777" w:rsidR="00503C65" w:rsidRPr="008634C1" w:rsidRDefault="00503C65" w:rsidP="00C315DE">
            <w:pPr>
              <w:autoSpaceDE w:val="0"/>
              <w:autoSpaceDN w:val="0"/>
              <w:adjustRightInd w:val="0"/>
              <w:spacing w:after="0" w:line="276" w:lineRule="auto"/>
              <w:rPr>
                <w:rFonts w:ascii="Times New Roman" w:hAnsi="Times New Roman" w:cs="Times New Roman"/>
                <w:strike/>
                <w:sz w:val="24"/>
                <w:szCs w:val="24"/>
                <w:lang w:val="en-US"/>
              </w:rPr>
            </w:pPr>
            <w:r w:rsidRPr="008634C1">
              <w:rPr>
                <w:rFonts w:ascii="Times New Roman" w:hAnsi="Times New Roman" w:cs="Times New Roman"/>
                <w:sz w:val="24"/>
                <w:szCs w:val="24"/>
                <w:lang w:val="en-US"/>
              </w:rPr>
              <w:t>1</w:t>
            </w:r>
          </w:p>
        </w:tc>
      </w:tr>
      <w:tr w:rsidR="00503C65" w:rsidRPr="002262A7" w14:paraId="6D65C524" w14:textId="77777777" w:rsidTr="00C315DE">
        <w:tc>
          <w:tcPr>
            <w:tcW w:w="721" w:type="dxa"/>
            <w:vAlign w:val="center"/>
          </w:tcPr>
          <w:p w14:paraId="2C454124"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5.2</w:t>
            </w:r>
            <w:r w:rsidRPr="002262A7">
              <w:rPr>
                <w:rFonts w:ascii="Times New Roman" w:hAnsi="Times New Roman" w:cs="Times New Roman"/>
                <w:sz w:val="24"/>
                <w:szCs w:val="24"/>
              </w:rPr>
              <w:t>.</w:t>
            </w:r>
          </w:p>
        </w:tc>
        <w:tc>
          <w:tcPr>
            <w:tcW w:w="5511" w:type="dxa"/>
            <w:vAlign w:val="center"/>
          </w:tcPr>
          <w:p w14:paraId="77E0C4D6" w14:textId="77777777" w:rsidR="00503C65" w:rsidRPr="002262A7" w:rsidRDefault="00503C65" w:rsidP="00C315DE">
            <w:pPr>
              <w:spacing w:after="0" w:line="276" w:lineRule="auto"/>
              <w:rPr>
                <w:rFonts w:ascii="Times New Roman" w:hAnsi="Times New Roman" w:cs="Times New Roman"/>
                <w:sz w:val="24"/>
                <w:szCs w:val="24"/>
                <w:lang w:val="ru-RU"/>
              </w:rPr>
            </w:pPr>
            <w:r>
              <w:rPr>
                <w:rFonts w:ascii="Times New Roman" w:hAnsi="Times New Roman" w:cs="Times New Roman"/>
                <w:sz w:val="24"/>
                <w:szCs w:val="24"/>
              </w:rPr>
              <w:t>Създаване на</w:t>
            </w:r>
            <w:r w:rsidRPr="002262A7">
              <w:rPr>
                <w:rFonts w:ascii="Times New Roman" w:hAnsi="Times New Roman" w:cs="Times New Roman"/>
                <w:sz w:val="24"/>
                <w:szCs w:val="24"/>
              </w:rPr>
              <w:t xml:space="preserve"> постоянно действащи експертни съвети или контактни точки по АМР към институциите-изпълнители с цел оперативно координиране на изпълнението на националната Програма за действие срещу АМР в съответните сфери и оценка на въздействието и ефективността на предприетите съгласно тази Програма мерки и действия</w:t>
            </w:r>
          </w:p>
        </w:tc>
        <w:tc>
          <w:tcPr>
            <w:tcW w:w="1701" w:type="dxa"/>
            <w:vAlign w:val="center"/>
          </w:tcPr>
          <w:p w14:paraId="04EC3FE1"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МЗ, МЗХ, МОСВ</w:t>
            </w:r>
          </w:p>
        </w:tc>
        <w:tc>
          <w:tcPr>
            <w:tcW w:w="1134" w:type="dxa"/>
            <w:vAlign w:val="center"/>
          </w:tcPr>
          <w:p w14:paraId="765B5135"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6</w:t>
            </w:r>
            <w:r w:rsidRPr="002262A7">
              <w:rPr>
                <w:rFonts w:ascii="Times New Roman" w:hAnsi="Times New Roman" w:cs="Times New Roman"/>
                <w:color w:val="000000"/>
                <w:kern w:val="24"/>
                <w:sz w:val="24"/>
                <w:szCs w:val="24"/>
                <w:lang w:val="en-US"/>
              </w:rPr>
              <w:t xml:space="preserve"> </w:t>
            </w:r>
            <w:r w:rsidRPr="002262A7">
              <w:rPr>
                <w:rFonts w:ascii="Times New Roman" w:hAnsi="Times New Roman" w:cs="Times New Roman"/>
                <w:color w:val="000000"/>
                <w:kern w:val="24"/>
                <w:sz w:val="24"/>
                <w:szCs w:val="24"/>
              </w:rPr>
              <w:t>г.</w:t>
            </w:r>
          </w:p>
        </w:tc>
        <w:tc>
          <w:tcPr>
            <w:tcW w:w="2268" w:type="dxa"/>
            <w:vAlign w:val="center"/>
          </w:tcPr>
          <w:p w14:paraId="2847607B"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Определени постоянно действащи експертни съвети или контактни точки по АМР към институциите-изпълнители </w:t>
            </w:r>
          </w:p>
        </w:tc>
        <w:tc>
          <w:tcPr>
            <w:tcW w:w="1843" w:type="dxa"/>
            <w:vAlign w:val="center"/>
          </w:tcPr>
          <w:p w14:paraId="554D1CD5"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131" w:type="dxa"/>
            <w:vAlign w:val="center"/>
          </w:tcPr>
          <w:p w14:paraId="0A580288" w14:textId="77777777" w:rsidR="00503C65" w:rsidRPr="008634C1" w:rsidRDefault="00503C65" w:rsidP="00C315DE">
            <w:pPr>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503C65" w:rsidRPr="002262A7" w14:paraId="5C04C226" w14:textId="77777777" w:rsidTr="00C315DE">
        <w:tc>
          <w:tcPr>
            <w:tcW w:w="721" w:type="dxa"/>
            <w:vAlign w:val="center"/>
          </w:tcPr>
          <w:p w14:paraId="7448D695"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5.3.</w:t>
            </w:r>
          </w:p>
        </w:tc>
        <w:tc>
          <w:tcPr>
            <w:tcW w:w="5511" w:type="dxa"/>
            <w:vAlign w:val="center"/>
          </w:tcPr>
          <w:p w14:paraId="295D1089"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Изготвяне на годишен отчет за дейностите по </w:t>
            </w:r>
            <w:r>
              <w:rPr>
                <w:rFonts w:ascii="Times New Roman" w:hAnsi="Times New Roman" w:cs="Times New Roman"/>
                <w:sz w:val="24"/>
                <w:szCs w:val="24"/>
              </w:rPr>
              <w:t>Н</w:t>
            </w:r>
            <w:r w:rsidRPr="002262A7">
              <w:rPr>
                <w:rFonts w:ascii="Times New Roman" w:hAnsi="Times New Roman" w:cs="Times New Roman"/>
                <w:sz w:val="24"/>
                <w:szCs w:val="24"/>
              </w:rPr>
              <w:t xml:space="preserve">ационалната </w:t>
            </w:r>
            <w:r>
              <w:rPr>
                <w:rFonts w:ascii="Times New Roman" w:hAnsi="Times New Roman" w:cs="Times New Roman"/>
                <w:sz w:val="24"/>
                <w:szCs w:val="24"/>
              </w:rPr>
              <w:t>п</w:t>
            </w:r>
            <w:r w:rsidRPr="002262A7">
              <w:rPr>
                <w:rFonts w:ascii="Times New Roman" w:hAnsi="Times New Roman" w:cs="Times New Roman"/>
                <w:sz w:val="24"/>
                <w:szCs w:val="24"/>
              </w:rPr>
              <w:t>рограма</w:t>
            </w:r>
          </w:p>
        </w:tc>
        <w:tc>
          <w:tcPr>
            <w:tcW w:w="1701" w:type="dxa"/>
            <w:vAlign w:val="center"/>
          </w:tcPr>
          <w:p w14:paraId="72501BBA"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МКС</w:t>
            </w:r>
          </w:p>
        </w:tc>
        <w:tc>
          <w:tcPr>
            <w:tcW w:w="1134" w:type="dxa"/>
            <w:vAlign w:val="center"/>
          </w:tcPr>
          <w:p w14:paraId="0644A51C"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Ежегодно</w:t>
            </w:r>
          </w:p>
        </w:tc>
        <w:tc>
          <w:tcPr>
            <w:tcW w:w="2268" w:type="dxa"/>
            <w:vAlign w:val="center"/>
          </w:tcPr>
          <w:p w14:paraId="127EE470"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Представен годишен отчет</w:t>
            </w:r>
          </w:p>
        </w:tc>
        <w:tc>
          <w:tcPr>
            <w:tcW w:w="1843" w:type="dxa"/>
            <w:vAlign w:val="center"/>
          </w:tcPr>
          <w:p w14:paraId="290E582F"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2659BF18"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4</w:t>
            </w:r>
          </w:p>
        </w:tc>
      </w:tr>
      <w:tr w:rsidR="00503C65" w:rsidRPr="002262A7" w14:paraId="4B003DCB" w14:textId="77777777" w:rsidTr="00C315DE">
        <w:tc>
          <w:tcPr>
            <w:tcW w:w="721" w:type="dxa"/>
            <w:vAlign w:val="center"/>
          </w:tcPr>
          <w:p w14:paraId="3D99221E"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5.4.</w:t>
            </w:r>
          </w:p>
        </w:tc>
        <w:tc>
          <w:tcPr>
            <w:tcW w:w="5511" w:type="dxa"/>
            <w:vAlign w:val="center"/>
          </w:tcPr>
          <w:p w14:paraId="36BEAB78"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Изготвяне на окончателен анализ и оценка на Националната </w:t>
            </w:r>
            <w:r>
              <w:rPr>
                <w:rFonts w:ascii="Times New Roman" w:hAnsi="Times New Roman" w:cs="Times New Roman"/>
                <w:sz w:val="24"/>
                <w:szCs w:val="24"/>
              </w:rPr>
              <w:t>п</w:t>
            </w:r>
            <w:r w:rsidRPr="002262A7">
              <w:rPr>
                <w:rFonts w:ascii="Times New Roman" w:hAnsi="Times New Roman" w:cs="Times New Roman"/>
                <w:sz w:val="24"/>
                <w:szCs w:val="24"/>
              </w:rPr>
              <w:t>рограма</w:t>
            </w:r>
          </w:p>
        </w:tc>
        <w:tc>
          <w:tcPr>
            <w:tcW w:w="1701" w:type="dxa"/>
            <w:vAlign w:val="center"/>
          </w:tcPr>
          <w:p w14:paraId="4BC4FAE0"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sz w:val="24"/>
                <w:szCs w:val="24"/>
              </w:rPr>
              <w:t>МКС</w:t>
            </w:r>
          </w:p>
        </w:tc>
        <w:tc>
          <w:tcPr>
            <w:tcW w:w="1134" w:type="dxa"/>
            <w:vAlign w:val="center"/>
          </w:tcPr>
          <w:p w14:paraId="5ED94CDF"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9</w:t>
            </w:r>
            <w:r w:rsidRPr="002262A7">
              <w:rPr>
                <w:rFonts w:ascii="Times New Roman" w:hAnsi="Times New Roman" w:cs="Times New Roman"/>
                <w:color w:val="000000"/>
                <w:kern w:val="24"/>
                <w:sz w:val="24"/>
                <w:szCs w:val="24"/>
              </w:rPr>
              <w:t xml:space="preserve"> г.</w:t>
            </w:r>
          </w:p>
        </w:tc>
        <w:tc>
          <w:tcPr>
            <w:tcW w:w="2268" w:type="dxa"/>
            <w:vAlign w:val="center"/>
          </w:tcPr>
          <w:p w14:paraId="5166FD9F"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Изготвен заключителен доклад с анализ и оценка на </w:t>
            </w:r>
            <w:r w:rsidRPr="002262A7">
              <w:rPr>
                <w:rFonts w:ascii="Times New Roman" w:hAnsi="Times New Roman" w:cs="Times New Roman"/>
                <w:sz w:val="24"/>
                <w:szCs w:val="24"/>
              </w:rPr>
              <w:lastRenderedPageBreak/>
              <w:t>националн</w:t>
            </w:r>
            <w:r>
              <w:rPr>
                <w:rFonts w:ascii="Times New Roman" w:hAnsi="Times New Roman" w:cs="Times New Roman"/>
                <w:sz w:val="24"/>
                <w:szCs w:val="24"/>
              </w:rPr>
              <w:t>ата</w:t>
            </w:r>
            <w:r w:rsidRPr="002262A7">
              <w:rPr>
                <w:rFonts w:ascii="Times New Roman" w:hAnsi="Times New Roman" w:cs="Times New Roman"/>
                <w:sz w:val="24"/>
                <w:szCs w:val="24"/>
              </w:rPr>
              <w:t xml:space="preserve"> Програма</w:t>
            </w:r>
          </w:p>
        </w:tc>
        <w:tc>
          <w:tcPr>
            <w:tcW w:w="1843" w:type="dxa"/>
            <w:vAlign w:val="center"/>
          </w:tcPr>
          <w:p w14:paraId="771CAB34"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0</w:t>
            </w:r>
          </w:p>
        </w:tc>
        <w:tc>
          <w:tcPr>
            <w:tcW w:w="2131" w:type="dxa"/>
            <w:vAlign w:val="center"/>
          </w:tcPr>
          <w:p w14:paraId="21E0E00E"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1</w:t>
            </w:r>
          </w:p>
        </w:tc>
      </w:tr>
      <w:tr w:rsidR="00503C65" w:rsidRPr="002262A7" w14:paraId="1D886F3A" w14:textId="77777777" w:rsidTr="00C315DE">
        <w:tc>
          <w:tcPr>
            <w:tcW w:w="721" w:type="dxa"/>
            <w:vAlign w:val="center"/>
          </w:tcPr>
          <w:p w14:paraId="634F843D" w14:textId="77777777" w:rsidR="00503C65" w:rsidRPr="002262A7" w:rsidRDefault="00503C65" w:rsidP="00C315DE">
            <w:pPr>
              <w:spacing w:after="0" w:line="276" w:lineRule="auto"/>
              <w:jc w:val="right"/>
              <w:rPr>
                <w:rFonts w:ascii="Times New Roman" w:hAnsi="Times New Roman" w:cs="Times New Roman"/>
                <w:b/>
                <w:sz w:val="24"/>
                <w:szCs w:val="24"/>
              </w:rPr>
            </w:pPr>
            <w:r w:rsidRPr="002262A7">
              <w:rPr>
                <w:rFonts w:ascii="Times New Roman" w:hAnsi="Times New Roman" w:cs="Times New Roman"/>
                <w:b/>
                <w:sz w:val="24"/>
                <w:szCs w:val="24"/>
              </w:rPr>
              <w:t>5.5.</w:t>
            </w:r>
          </w:p>
        </w:tc>
        <w:tc>
          <w:tcPr>
            <w:tcW w:w="5511" w:type="dxa"/>
            <w:vAlign w:val="center"/>
          </w:tcPr>
          <w:p w14:paraId="7C90FCC9"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Провеждане на заключително национално съвещание</w:t>
            </w:r>
          </w:p>
        </w:tc>
        <w:tc>
          <w:tcPr>
            <w:tcW w:w="1701" w:type="dxa"/>
            <w:vAlign w:val="center"/>
          </w:tcPr>
          <w:p w14:paraId="613EA90C"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 xml:space="preserve">НЦЗПБ, МЗ, БАБХ, МЗХ, МОСВ </w:t>
            </w:r>
          </w:p>
        </w:tc>
        <w:tc>
          <w:tcPr>
            <w:tcW w:w="1134" w:type="dxa"/>
            <w:vAlign w:val="center"/>
          </w:tcPr>
          <w:p w14:paraId="3BE81F48"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202</w:t>
            </w:r>
            <w:r>
              <w:rPr>
                <w:rFonts w:ascii="Times New Roman" w:hAnsi="Times New Roman" w:cs="Times New Roman"/>
                <w:color w:val="000000"/>
                <w:kern w:val="24"/>
                <w:sz w:val="24"/>
                <w:szCs w:val="24"/>
              </w:rPr>
              <w:t>9</w:t>
            </w:r>
            <w:r w:rsidRPr="002262A7">
              <w:rPr>
                <w:rFonts w:ascii="Times New Roman" w:hAnsi="Times New Roman" w:cs="Times New Roman"/>
                <w:color w:val="000000"/>
                <w:kern w:val="24"/>
                <w:sz w:val="24"/>
                <w:szCs w:val="24"/>
              </w:rPr>
              <w:t xml:space="preserve"> г.</w:t>
            </w:r>
          </w:p>
        </w:tc>
        <w:tc>
          <w:tcPr>
            <w:tcW w:w="2268" w:type="dxa"/>
            <w:vAlign w:val="center"/>
          </w:tcPr>
          <w:p w14:paraId="5304D28A"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Проведено национално съвещание</w:t>
            </w:r>
          </w:p>
        </w:tc>
        <w:tc>
          <w:tcPr>
            <w:tcW w:w="1843" w:type="dxa"/>
            <w:vAlign w:val="center"/>
          </w:tcPr>
          <w:p w14:paraId="7B0DD99C"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5D6241F0"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1</w:t>
            </w:r>
          </w:p>
        </w:tc>
      </w:tr>
      <w:tr w:rsidR="00503C65" w:rsidRPr="002262A7" w14:paraId="197AEF3F" w14:textId="77777777" w:rsidTr="00C315DE">
        <w:tc>
          <w:tcPr>
            <w:tcW w:w="721" w:type="dxa"/>
            <w:vAlign w:val="center"/>
          </w:tcPr>
          <w:p w14:paraId="161FD226" w14:textId="77777777" w:rsidR="00503C65" w:rsidRPr="002262A7" w:rsidRDefault="00503C65" w:rsidP="00C315DE">
            <w:pPr>
              <w:spacing w:after="0" w:line="276" w:lineRule="auto"/>
              <w:jc w:val="right"/>
              <w:rPr>
                <w:rFonts w:ascii="Times New Roman" w:hAnsi="Times New Roman" w:cs="Times New Roman"/>
                <w:sz w:val="24"/>
                <w:szCs w:val="24"/>
              </w:rPr>
            </w:pPr>
            <w:r w:rsidRPr="002262A7">
              <w:rPr>
                <w:rFonts w:ascii="Times New Roman" w:hAnsi="Times New Roman" w:cs="Times New Roman"/>
                <w:b/>
                <w:sz w:val="24"/>
                <w:szCs w:val="24"/>
              </w:rPr>
              <w:t>5.6.</w:t>
            </w:r>
          </w:p>
        </w:tc>
        <w:tc>
          <w:tcPr>
            <w:tcW w:w="5511" w:type="dxa"/>
            <w:vAlign w:val="center"/>
          </w:tcPr>
          <w:p w14:paraId="5DCDB99E" w14:textId="77777777" w:rsidR="00503C65" w:rsidRPr="002262A7" w:rsidRDefault="00503C65" w:rsidP="00C315DE">
            <w:pPr>
              <w:spacing w:after="0" w:line="276" w:lineRule="auto"/>
              <w:rPr>
                <w:rFonts w:ascii="Times New Roman" w:hAnsi="Times New Roman" w:cs="Times New Roman"/>
                <w:sz w:val="24"/>
                <w:szCs w:val="24"/>
              </w:rPr>
            </w:pPr>
            <w:r w:rsidRPr="002262A7">
              <w:rPr>
                <w:rFonts w:ascii="Times New Roman" w:hAnsi="Times New Roman" w:cs="Times New Roman"/>
                <w:sz w:val="24"/>
                <w:szCs w:val="24"/>
              </w:rPr>
              <w:t>Взаимодействие с медиите</w:t>
            </w:r>
          </w:p>
        </w:tc>
        <w:tc>
          <w:tcPr>
            <w:tcW w:w="1701" w:type="dxa"/>
            <w:vAlign w:val="center"/>
          </w:tcPr>
          <w:p w14:paraId="3856DCFB" w14:textId="77777777" w:rsidR="00503C65" w:rsidRPr="002262A7" w:rsidRDefault="00503C65" w:rsidP="00C315DE">
            <w:pPr>
              <w:widowControl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НЦЗПБ, МЗ, БАБХ, МЗХ, МОСВ</w:t>
            </w:r>
          </w:p>
        </w:tc>
        <w:tc>
          <w:tcPr>
            <w:tcW w:w="1134" w:type="dxa"/>
            <w:vAlign w:val="center"/>
          </w:tcPr>
          <w:p w14:paraId="77686950" w14:textId="77777777" w:rsidR="00503C65" w:rsidRPr="002262A7" w:rsidRDefault="00503C65" w:rsidP="00C315DE">
            <w:pPr>
              <w:widowControl w:val="0"/>
              <w:spacing w:after="0" w:line="276" w:lineRule="auto"/>
              <w:rPr>
                <w:rFonts w:ascii="Times New Roman" w:hAnsi="Times New Roman" w:cs="Times New Roman"/>
                <w:color w:val="000000"/>
                <w:kern w:val="24"/>
                <w:sz w:val="24"/>
                <w:szCs w:val="24"/>
              </w:rPr>
            </w:pPr>
            <w:r w:rsidRPr="002262A7">
              <w:rPr>
                <w:rFonts w:ascii="Times New Roman" w:hAnsi="Times New Roman" w:cs="Times New Roman"/>
                <w:color w:val="000000"/>
                <w:kern w:val="24"/>
                <w:sz w:val="24"/>
                <w:szCs w:val="24"/>
              </w:rPr>
              <w:t>Ежегодно</w:t>
            </w:r>
          </w:p>
        </w:tc>
        <w:tc>
          <w:tcPr>
            <w:tcW w:w="2268" w:type="dxa"/>
            <w:vAlign w:val="center"/>
          </w:tcPr>
          <w:p w14:paraId="7B9D23FC"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sidRPr="002262A7">
              <w:rPr>
                <w:rFonts w:ascii="Times New Roman" w:hAnsi="Times New Roman" w:cs="Times New Roman"/>
                <w:sz w:val="24"/>
                <w:szCs w:val="24"/>
              </w:rPr>
              <w:t>Периодични срещи с медии, интервюта, пресконференции по проблемите на АМР</w:t>
            </w:r>
          </w:p>
        </w:tc>
        <w:tc>
          <w:tcPr>
            <w:tcW w:w="1843" w:type="dxa"/>
            <w:vAlign w:val="center"/>
          </w:tcPr>
          <w:p w14:paraId="567A798D"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0</w:t>
            </w:r>
          </w:p>
        </w:tc>
        <w:tc>
          <w:tcPr>
            <w:tcW w:w="2131" w:type="dxa"/>
            <w:vAlign w:val="center"/>
          </w:tcPr>
          <w:p w14:paraId="3395EB91" w14:textId="77777777" w:rsidR="00503C65" w:rsidRPr="002262A7" w:rsidRDefault="00503C65" w:rsidP="00C315DE">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12</w:t>
            </w:r>
          </w:p>
        </w:tc>
      </w:tr>
    </w:tbl>
    <w:p w14:paraId="1C390800" w14:textId="77777777" w:rsidR="009326EF" w:rsidRPr="00997C23" w:rsidRDefault="009326EF" w:rsidP="00503C65">
      <w:pPr>
        <w:spacing w:after="0" w:line="360" w:lineRule="auto"/>
        <w:jc w:val="both"/>
        <w:rPr>
          <w:rFonts w:ascii="Times New Roman" w:hAnsi="Times New Roman" w:cs="Times New Roman"/>
          <w:b/>
          <w:bCs/>
          <w:sz w:val="24"/>
          <w:szCs w:val="24"/>
        </w:rPr>
      </w:pPr>
    </w:p>
    <w:p w14:paraId="52F49FBF" w14:textId="77777777" w:rsidR="002F7F3E" w:rsidRDefault="002F7F3E" w:rsidP="00E843C8">
      <w:pPr>
        <w:spacing w:after="0" w:line="360" w:lineRule="auto"/>
        <w:rPr>
          <w:rFonts w:ascii="Times New Roman" w:hAnsi="Times New Roman" w:cs="Times New Roman"/>
          <w:sz w:val="24"/>
          <w:szCs w:val="24"/>
        </w:rPr>
      </w:pPr>
    </w:p>
    <w:p w14:paraId="0DA141A0" w14:textId="77777777" w:rsidR="008F2858" w:rsidRDefault="008F2858" w:rsidP="00E843C8">
      <w:pPr>
        <w:spacing w:after="0" w:line="360" w:lineRule="auto"/>
        <w:rPr>
          <w:rFonts w:ascii="Times New Roman" w:hAnsi="Times New Roman" w:cs="Times New Roman"/>
          <w:sz w:val="24"/>
          <w:szCs w:val="24"/>
        </w:rPr>
      </w:pPr>
    </w:p>
    <w:p w14:paraId="7E5F456D" w14:textId="77777777" w:rsidR="008F2858" w:rsidRDefault="008F2858" w:rsidP="00E843C8">
      <w:pPr>
        <w:spacing w:after="0" w:line="360" w:lineRule="auto"/>
        <w:rPr>
          <w:rFonts w:ascii="Times New Roman" w:hAnsi="Times New Roman" w:cs="Times New Roman"/>
          <w:sz w:val="24"/>
          <w:szCs w:val="24"/>
          <w:lang w:val="en-US"/>
        </w:rPr>
        <w:sectPr w:rsidR="008F2858" w:rsidSect="0034499F">
          <w:pgSz w:w="16838" w:h="11906" w:orient="landscape" w:code="9"/>
          <w:pgMar w:top="964" w:right="1021" w:bottom="284" w:left="1021" w:header="709" w:footer="709" w:gutter="0"/>
          <w:cols w:space="708"/>
          <w:docGrid w:linePitch="360"/>
        </w:sectPr>
      </w:pPr>
    </w:p>
    <w:p w14:paraId="27F7708B" w14:textId="77777777" w:rsidR="00045832" w:rsidRPr="008F2858" w:rsidRDefault="00045832" w:rsidP="00C315DE">
      <w:pPr>
        <w:spacing w:after="0" w:line="360" w:lineRule="auto"/>
        <w:ind w:left="11328" w:firstLine="708"/>
        <w:jc w:val="right"/>
        <w:rPr>
          <w:rFonts w:ascii="Times New Roman" w:hAnsi="Times New Roman" w:cs="Times New Roman"/>
          <w:bCs/>
          <w:sz w:val="24"/>
          <w:szCs w:val="24"/>
        </w:rPr>
      </w:pPr>
      <w:r w:rsidRPr="008F2858">
        <w:rPr>
          <w:rFonts w:ascii="Times New Roman" w:hAnsi="Times New Roman" w:cs="Times New Roman"/>
          <w:bCs/>
          <w:sz w:val="24"/>
          <w:szCs w:val="24"/>
        </w:rPr>
        <w:lastRenderedPageBreak/>
        <w:t>Приложение № 2</w:t>
      </w:r>
    </w:p>
    <w:p w14:paraId="5AA54768" w14:textId="77777777" w:rsidR="00045832" w:rsidRPr="00292A0B" w:rsidRDefault="00045832" w:rsidP="00E843C8">
      <w:pPr>
        <w:pStyle w:val="Heading2"/>
        <w:spacing w:before="0" w:line="360" w:lineRule="auto"/>
        <w:jc w:val="center"/>
        <w:rPr>
          <w:rFonts w:ascii="Times New Roman" w:eastAsiaTheme="majorEastAsia" w:hAnsi="Times New Roman"/>
          <w:bCs w:val="0"/>
          <w:color w:val="auto"/>
          <w:sz w:val="24"/>
          <w:szCs w:val="24"/>
          <w:lang w:eastAsia="bg-BG"/>
        </w:rPr>
      </w:pPr>
      <w:bookmarkStart w:id="12" w:name="_Toc200721741"/>
      <w:r w:rsidRPr="00292A0B">
        <w:rPr>
          <w:rFonts w:ascii="Times New Roman" w:eastAsiaTheme="majorEastAsia" w:hAnsi="Times New Roman"/>
          <w:bCs w:val="0"/>
          <w:color w:val="auto"/>
          <w:sz w:val="24"/>
          <w:szCs w:val="24"/>
          <w:lang w:eastAsia="bg-BG"/>
        </w:rPr>
        <w:t xml:space="preserve">ФИНАНСОВ </w:t>
      </w:r>
      <w:r w:rsidR="00F265D2">
        <w:rPr>
          <w:rFonts w:ascii="Times New Roman" w:eastAsiaTheme="majorEastAsia" w:hAnsi="Times New Roman"/>
          <w:bCs w:val="0"/>
          <w:color w:val="auto"/>
          <w:sz w:val="24"/>
          <w:szCs w:val="24"/>
          <w:lang w:eastAsia="bg-BG"/>
        </w:rPr>
        <w:t>ПЛАН</w:t>
      </w:r>
      <w:bookmarkEnd w:id="12"/>
    </w:p>
    <w:p w14:paraId="11B1427E" w14:textId="77777777" w:rsidR="00045832" w:rsidRDefault="004377FB" w:rsidP="008F2858">
      <w:pPr>
        <w:spacing w:after="0" w:line="360" w:lineRule="auto"/>
        <w:jc w:val="center"/>
        <w:rPr>
          <w:rFonts w:ascii="Times New Roman" w:hAnsi="Times New Roman" w:cs="Times New Roman"/>
          <w:b/>
          <w:spacing w:val="5"/>
          <w:kern w:val="28"/>
          <w:sz w:val="24"/>
          <w:szCs w:val="24"/>
        </w:rPr>
      </w:pPr>
      <w:r w:rsidRPr="00997C23">
        <w:rPr>
          <w:rFonts w:ascii="Times New Roman" w:hAnsi="Times New Roman" w:cs="Times New Roman"/>
          <w:b/>
          <w:bCs/>
          <w:sz w:val="24"/>
          <w:szCs w:val="24"/>
        </w:rPr>
        <w:t>НА</w:t>
      </w:r>
      <w:r w:rsidR="008F2858">
        <w:rPr>
          <w:rFonts w:ascii="Times New Roman" w:hAnsi="Times New Roman" w:cs="Times New Roman"/>
          <w:b/>
          <w:bCs/>
          <w:sz w:val="24"/>
          <w:szCs w:val="24"/>
        </w:rPr>
        <w:t xml:space="preserve"> </w:t>
      </w:r>
      <w:r w:rsidR="00045832" w:rsidRPr="00997C23">
        <w:rPr>
          <w:rFonts w:ascii="Times New Roman" w:hAnsi="Times New Roman" w:cs="Times New Roman"/>
          <w:b/>
          <w:spacing w:val="5"/>
          <w:kern w:val="28"/>
          <w:sz w:val="24"/>
          <w:szCs w:val="24"/>
        </w:rPr>
        <w:t>НАЦИОНАЛ</w:t>
      </w:r>
      <w:r w:rsidR="00823901">
        <w:rPr>
          <w:rFonts w:ascii="Times New Roman" w:hAnsi="Times New Roman" w:cs="Times New Roman"/>
          <w:b/>
          <w:spacing w:val="5"/>
          <w:kern w:val="28"/>
          <w:sz w:val="24"/>
          <w:szCs w:val="24"/>
        </w:rPr>
        <w:t>НАТА</w:t>
      </w:r>
      <w:r w:rsidR="00045832" w:rsidRPr="00997C23">
        <w:rPr>
          <w:rFonts w:ascii="Times New Roman" w:hAnsi="Times New Roman" w:cs="Times New Roman"/>
          <w:b/>
          <w:spacing w:val="5"/>
          <w:kern w:val="28"/>
          <w:sz w:val="24"/>
          <w:szCs w:val="24"/>
        </w:rPr>
        <w:t xml:space="preserve"> </w:t>
      </w:r>
      <w:r w:rsidR="00823901">
        <w:rPr>
          <w:rFonts w:ascii="Times New Roman" w:hAnsi="Times New Roman" w:cs="Times New Roman"/>
          <w:b/>
          <w:spacing w:val="5"/>
          <w:kern w:val="28"/>
          <w:sz w:val="24"/>
          <w:szCs w:val="24"/>
        </w:rPr>
        <w:t>ПРОГРАМА</w:t>
      </w:r>
      <w:r w:rsidR="00045832" w:rsidRPr="00997C23">
        <w:rPr>
          <w:rFonts w:ascii="Times New Roman" w:hAnsi="Times New Roman" w:cs="Times New Roman"/>
          <w:b/>
          <w:spacing w:val="5"/>
          <w:kern w:val="28"/>
          <w:sz w:val="24"/>
          <w:szCs w:val="24"/>
        </w:rPr>
        <w:t xml:space="preserve"> ЗА </w:t>
      </w:r>
      <w:r w:rsidR="00045832" w:rsidRPr="00997C23">
        <w:rPr>
          <w:rFonts w:ascii="Times New Roman" w:hAnsi="Times New Roman" w:cs="Times New Roman"/>
          <w:b/>
          <w:sz w:val="24"/>
          <w:szCs w:val="24"/>
          <w:lang w:eastAsia="bg-BG"/>
        </w:rPr>
        <w:t>ДЕЙСТВИЕ СРЕЩУ</w:t>
      </w:r>
      <w:r w:rsidR="00045832" w:rsidRPr="00997C23">
        <w:rPr>
          <w:rFonts w:ascii="Times New Roman" w:hAnsi="Times New Roman" w:cs="Times New Roman"/>
          <w:b/>
          <w:spacing w:val="5"/>
          <w:kern w:val="28"/>
          <w:sz w:val="24"/>
          <w:szCs w:val="24"/>
        </w:rPr>
        <w:t xml:space="preserve"> АНТИМИКРОБНАТА РЕЗИСТЕНТНОСТ</w:t>
      </w:r>
      <w:r w:rsidR="008F2858">
        <w:rPr>
          <w:rFonts w:ascii="Times New Roman" w:hAnsi="Times New Roman" w:cs="Times New Roman"/>
          <w:b/>
          <w:spacing w:val="5"/>
          <w:kern w:val="28"/>
          <w:sz w:val="24"/>
          <w:szCs w:val="24"/>
        </w:rPr>
        <w:t xml:space="preserve"> </w:t>
      </w:r>
      <w:r w:rsidR="000407FA" w:rsidRPr="00997C23">
        <w:rPr>
          <w:rFonts w:ascii="Times New Roman" w:hAnsi="Times New Roman" w:cs="Times New Roman"/>
          <w:b/>
          <w:spacing w:val="5"/>
          <w:kern w:val="28"/>
          <w:sz w:val="24"/>
          <w:szCs w:val="24"/>
        </w:rPr>
        <w:t>202</w:t>
      </w:r>
      <w:r w:rsidR="00DD23EF">
        <w:rPr>
          <w:rFonts w:ascii="Times New Roman" w:hAnsi="Times New Roman" w:cs="Times New Roman"/>
          <w:b/>
          <w:spacing w:val="5"/>
          <w:kern w:val="28"/>
          <w:sz w:val="24"/>
          <w:szCs w:val="24"/>
        </w:rPr>
        <w:t>6</w:t>
      </w:r>
      <w:r w:rsidR="008F2858">
        <w:rPr>
          <w:rFonts w:ascii="Times New Roman" w:hAnsi="Times New Roman" w:cs="Times New Roman"/>
          <w:b/>
          <w:spacing w:val="5"/>
          <w:kern w:val="28"/>
          <w:sz w:val="24"/>
          <w:szCs w:val="24"/>
        </w:rPr>
        <w:t xml:space="preserve"> – </w:t>
      </w:r>
      <w:r w:rsidR="000407FA" w:rsidRPr="00997C23">
        <w:rPr>
          <w:rFonts w:ascii="Times New Roman" w:hAnsi="Times New Roman" w:cs="Times New Roman"/>
          <w:b/>
          <w:spacing w:val="5"/>
          <w:kern w:val="28"/>
          <w:sz w:val="24"/>
          <w:szCs w:val="24"/>
        </w:rPr>
        <w:t>202</w:t>
      </w:r>
      <w:r w:rsidR="00DD23EF">
        <w:rPr>
          <w:rFonts w:ascii="Times New Roman" w:hAnsi="Times New Roman" w:cs="Times New Roman"/>
          <w:b/>
          <w:spacing w:val="5"/>
          <w:kern w:val="28"/>
          <w:sz w:val="24"/>
          <w:szCs w:val="24"/>
        </w:rPr>
        <w:t>9</w:t>
      </w:r>
      <w:r w:rsidR="00DF787E">
        <w:rPr>
          <w:rFonts w:ascii="Times New Roman" w:hAnsi="Times New Roman" w:cs="Times New Roman"/>
          <w:b/>
          <w:spacing w:val="5"/>
          <w:kern w:val="28"/>
          <w:sz w:val="24"/>
          <w:szCs w:val="24"/>
        </w:rPr>
        <w:t>*</w:t>
      </w:r>
    </w:p>
    <w:p w14:paraId="585089DA" w14:textId="77777777" w:rsidR="008F2858" w:rsidRPr="00D42434" w:rsidRDefault="00D42434" w:rsidP="00D42434">
      <w:pPr>
        <w:spacing w:after="0" w:line="360" w:lineRule="auto"/>
        <w:jc w:val="right"/>
        <w:rPr>
          <w:rFonts w:ascii="Times New Roman" w:hAnsi="Times New Roman" w:cs="Times New Roman"/>
          <w:i/>
          <w:spacing w:val="5"/>
          <w:kern w:val="28"/>
          <w:sz w:val="24"/>
          <w:szCs w:val="24"/>
        </w:rPr>
      </w:pPr>
      <w:r>
        <w:rPr>
          <w:rFonts w:ascii="Times New Roman" w:hAnsi="Times New Roman" w:cs="Times New Roman"/>
          <w:i/>
          <w:spacing w:val="5"/>
          <w:kern w:val="28"/>
          <w:sz w:val="24"/>
          <w:szCs w:val="24"/>
        </w:rPr>
        <w:t>в</w:t>
      </w:r>
      <w:r w:rsidRPr="00D42434">
        <w:rPr>
          <w:rFonts w:ascii="Times New Roman" w:hAnsi="Times New Roman" w:cs="Times New Roman"/>
          <w:i/>
          <w:spacing w:val="5"/>
          <w:kern w:val="28"/>
          <w:sz w:val="24"/>
          <w:szCs w:val="24"/>
        </w:rPr>
        <w:t xml:space="preserve"> евро</w:t>
      </w:r>
    </w:p>
    <w:tbl>
      <w:tblPr>
        <w:tblW w:w="15082" w:type="dxa"/>
        <w:tblLayout w:type="fixed"/>
        <w:tblCellMar>
          <w:left w:w="70" w:type="dxa"/>
          <w:right w:w="70" w:type="dxa"/>
        </w:tblCellMar>
        <w:tblLook w:val="04A0" w:firstRow="1" w:lastRow="0" w:firstColumn="1" w:lastColumn="0" w:noHBand="0" w:noVBand="1"/>
      </w:tblPr>
      <w:tblGrid>
        <w:gridCol w:w="7725"/>
        <w:gridCol w:w="1843"/>
        <w:gridCol w:w="1842"/>
        <w:gridCol w:w="1843"/>
        <w:gridCol w:w="1829"/>
      </w:tblGrid>
      <w:tr w:rsidR="008F2858" w:rsidRPr="00094F38" w14:paraId="0E7EFA61" w14:textId="77777777" w:rsidTr="00243E68">
        <w:trPr>
          <w:tblHeader/>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5653C" w14:textId="77777777" w:rsidR="008F2858" w:rsidRPr="00FB0F19" w:rsidRDefault="008F2858" w:rsidP="00EB7B4C">
            <w:pPr>
              <w:spacing w:before="40" w:after="40" w:line="276" w:lineRule="auto"/>
              <w:jc w:val="center"/>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ВИД РАЗХОД/ ИЗПЪЛНИТЕЛ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97DFF" w14:textId="77777777" w:rsidR="008F2858" w:rsidRPr="00FB0F19" w:rsidRDefault="008F2858" w:rsidP="00DD23EF">
            <w:pPr>
              <w:spacing w:before="40" w:after="40" w:line="276" w:lineRule="auto"/>
              <w:jc w:val="center"/>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6</w:t>
            </w:r>
            <w:r w:rsidRPr="00FB0F19">
              <w:rPr>
                <w:rFonts w:ascii="Times New Roman" w:eastAsia="Times New Roman" w:hAnsi="Times New Roman" w:cs="Times New Roman"/>
                <w:b/>
                <w:bCs/>
                <w:sz w:val="24"/>
                <w:szCs w:val="24"/>
                <w:lang w:eastAsia="bg-BG"/>
              </w:rPr>
              <w:t xml:space="preserve"> г.</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7941" w14:textId="77777777" w:rsidR="008F2858" w:rsidRPr="00FB0F19" w:rsidRDefault="008F2858" w:rsidP="00EB7B4C">
            <w:pPr>
              <w:spacing w:before="40" w:after="40" w:line="276" w:lineRule="auto"/>
              <w:jc w:val="center"/>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7</w:t>
            </w:r>
            <w:r w:rsidRPr="00FB0F19">
              <w:rPr>
                <w:rFonts w:ascii="Times New Roman" w:eastAsia="Times New Roman" w:hAnsi="Times New Roman" w:cs="Times New Roman"/>
                <w:b/>
                <w:bCs/>
                <w:sz w:val="24"/>
                <w:szCs w:val="24"/>
                <w:lang w:eastAsia="bg-BG"/>
              </w:rPr>
              <w:t xml:space="preserve">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6F61" w14:textId="77777777" w:rsidR="008F2858" w:rsidRPr="00FB0F19" w:rsidRDefault="008F2858" w:rsidP="00DD23EF">
            <w:pPr>
              <w:spacing w:before="40" w:after="40" w:line="276" w:lineRule="auto"/>
              <w:jc w:val="center"/>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8</w:t>
            </w:r>
            <w:r w:rsidRPr="00FB0F19">
              <w:rPr>
                <w:rFonts w:ascii="Times New Roman" w:eastAsia="Times New Roman" w:hAnsi="Times New Roman" w:cs="Times New Roman"/>
                <w:b/>
                <w:bCs/>
                <w:sz w:val="24"/>
                <w:szCs w:val="24"/>
                <w:lang w:eastAsia="bg-BG"/>
              </w:rPr>
              <w:t xml:space="preserve"> г.</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0C1FF" w14:textId="77777777" w:rsidR="008F2858" w:rsidRPr="00FB0F19" w:rsidRDefault="008F2858" w:rsidP="00DD23EF">
            <w:pPr>
              <w:spacing w:before="40" w:after="40" w:line="276" w:lineRule="auto"/>
              <w:jc w:val="center"/>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9</w:t>
            </w:r>
            <w:r w:rsidRPr="00FB0F19">
              <w:rPr>
                <w:rFonts w:ascii="Times New Roman" w:eastAsia="Times New Roman" w:hAnsi="Times New Roman" w:cs="Times New Roman"/>
                <w:b/>
                <w:bCs/>
                <w:sz w:val="24"/>
                <w:szCs w:val="24"/>
                <w:lang w:eastAsia="bg-BG"/>
              </w:rPr>
              <w:t xml:space="preserve"> г.</w:t>
            </w:r>
          </w:p>
        </w:tc>
      </w:tr>
      <w:tr w:rsidR="008F2858" w:rsidRPr="00094F38" w14:paraId="24B23A3C" w14:textId="77777777" w:rsidTr="008F2858">
        <w:tc>
          <w:tcPr>
            <w:tcW w:w="15082" w:type="dxa"/>
            <w:gridSpan w:val="5"/>
            <w:tcBorders>
              <w:top w:val="single" w:sz="4" w:space="0" w:color="auto"/>
              <w:left w:val="single" w:sz="8" w:space="0" w:color="auto"/>
              <w:bottom w:val="nil"/>
              <w:right w:val="single" w:sz="8" w:space="0" w:color="000000"/>
            </w:tcBorders>
            <w:shd w:val="clear" w:color="auto" w:fill="auto"/>
            <w:vAlign w:val="center"/>
            <w:hideMark/>
          </w:tcPr>
          <w:p w14:paraId="38580B31" w14:textId="77777777" w:rsidR="008F2858" w:rsidRPr="00FB0F19" w:rsidRDefault="008F2858" w:rsidP="003016E8">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Основна цел 1:</w:t>
            </w:r>
          </w:p>
        </w:tc>
      </w:tr>
      <w:tr w:rsidR="008F2858" w:rsidRPr="00094F38" w14:paraId="5536C3A5" w14:textId="77777777" w:rsidTr="008F2858">
        <w:tc>
          <w:tcPr>
            <w:tcW w:w="15082" w:type="dxa"/>
            <w:gridSpan w:val="5"/>
            <w:tcBorders>
              <w:top w:val="nil"/>
              <w:left w:val="single" w:sz="8" w:space="0" w:color="auto"/>
              <w:bottom w:val="single" w:sz="8" w:space="0" w:color="auto"/>
              <w:right w:val="single" w:sz="8" w:space="0" w:color="000000"/>
            </w:tcBorders>
            <w:shd w:val="clear" w:color="auto" w:fill="auto"/>
            <w:vAlign w:val="center"/>
            <w:hideMark/>
          </w:tcPr>
          <w:p w14:paraId="6470C4B2" w14:textId="77777777" w:rsidR="008F2858" w:rsidRPr="00FB0F19" w:rsidRDefault="008F2858" w:rsidP="003016E8">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Повишаване на обществената и професионална осведоменост и знания за рисковете от развитие на АМР чрез ефективна комуникация, образование и обучение.</w:t>
            </w:r>
          </w:p>
        </w:tc>
      </w:tr>
      <w:tr w:rsidR="008F2858" w:rsidRPr="00094F38" w14:paraId="4E9CA1B0"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30FC68C2" w14:textId="77777777" w:rsidR="008F2858" w:rsidRPr="00FB0F19" w:rsidRDefault="008F2858" w:rsidP="003016E8">
            <w:pPr>
              <w:spacing w:after="0" w:line="276"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1.1. </w:t>
            </w:r>
            <w:r w:rsidRPr="00FB0F19">
              <w:rPr>
                <w:rFonts w:ascii="Times New Roman" w:eastAsia="Times New Roman" w:hAnsi="Times New Roman" w:cs="Times New Roman"/>
                <w:sz w:val="24"/>
                <w:szCs w:val="24"/>
                <w:lang w:eastAsia="bg-BG"/>
              </w:rPr>
              <w:t xml:space="preserve">Провеждане на срезови анкетни проучвания за оценка на информираността, знанията и промените в поведението по отношение на антибиотиците и АМР и анализ при 4 таргетни групи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E4BAFD2"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8A4E0DC"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8531C09"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77673D03"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8F2858" w:rsidRPr="00094F38" w14:paraId="754E8998"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9F3B1AE" w14:textId="77777777" w:rsidR="008F2858" w:rsidRPr="00FB0F19" w:rsidRDefault="008F2858" w:rsidP="003016E8">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на обществото</w:t>
            </w:r>
          </w:p>
        </w:tc>
        <w:tc>
          <w:tcPr>
            <w:tcW w:w="1843" w:type="dxa"/>
            <w:vMerge/>
            <w:tcBorders>
              <w:top w:val="nil"/>
              <w:left w:val="single" w:sz="8" w:space="0" w:color="auto"/>
              <w:bottom w:val="single" w:sz="8" w:space="0" w:color="000000"/>
              <w:right w:val="single" w:sz="8" w:space="0" w:color="auto"/>
            </w:tcBorders>
            <w:vAlign w:val="center"/>
            <w:hideMark/>
          </w:tcPr>
          <w:p w14:paraId="44F44AC2"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6AE4D98D"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687AF7B2"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507D6312"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r>
      <w:tr w:rsidR="008F2858" w:rsidRPr="00094F38" w14:paraId="66FCD0E8"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101872D" w14:textId="77777777" w:rsidR="008F2858" w:rsidRPr="00FB0F19" w:rsidRDefault="008F2858" w:rsidP="003016E8">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на обучаващите се студенти в медицински специалности, вкл. ветеринарна медицина </w:t>
            </w:r>
          </w:p>
        </w:tc>
        <w:tc>
          <w:tcPr>
            <w:tcW w:w="1843" w:type="dxa"/>
            <w:vMerge/>
            <w:tcBorders>
              <w:top w:val="nil"/>
              <w:left w:val="single" w:sz="8" w:space="0" w:color="auto"/>
              <w:bottom w:val="single" w:sz="8" w:space="0" w:color="000000"/>
              <w:right w:val="single" w:sz="8" w:space="0" w:color="auto"/>
            </w:tcBorders>
            <w:vAlign w:val="center"/>
            <w:hideMark/>
          </w:tcPr>
          <w:p w14:paraId="12ABA609"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5E0D7532"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4555D568"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08E8D33F"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r>
      <w:tr w:rsidR="008F2858" w:rsidRPr="00094F38" w14:paraId="770EFFC1"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0BE736E4" w14:textId="77777777" w:rsidR="008F2858" w:rsidRPr="00FB0F19" w:rsidRDefault="008F2858" w:rsidP="003016E8">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на медицинските специалисти в хуманната и ветеринарната медицина</w:t>
            </w:r>
          </w:p>
        </w:tc>
        <w:tc>
          <w:tcPr>
            <w:tcW w:w="1843" w:type="dxa"/>
            <w:vMerge/>
            <w:tcBorders>
              <w:top w:val="nil"/>
              <w:left w:val="single" w:sz="8" w:space="0" w:color="auto"/>
              <w:bottom w:val="single" w:sz="8" w:space="0" w:color="000000"/>
              <w:right w:val="single" w:sz="8" w:space="0" w:color="auto"/>
            </w:tcBorders>
            <w:vAlign w:val="center"/>
            <w:hideMark/>
          </w:tcPr>
          <w:p w14:paraId="40317DCE"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45B40B6C"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72701EE"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1E81DD2E"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r>
      <w:tr w:rsidR="008F2858" w:rsidRPr="00094F38" w14:paraId="340EC79F"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15768B59" w14:textId="77777777" w:rsidR="008F2858" w:rsidRPr="00FB0F19" w:rsidRDefault="008F2858" w:rsidP="003016E8">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на фермери</w:t>
            </w:r>
          </w:p>
        </w:tc>
        <w:tc>
          <w:tcPr>
            <w:tcW w:w="1843" w:type="dxa"/>
            <w:vMerge/>
            <w:tcBorders>
              <w:top w:val="nil"/>
              <w:left w:val="single" w:sz="8" w:space="0" w:color="auto"/>
              <w:bottom w:val="single" w:sz="4" w:space="0" w:color="auto"/>
              <w:right w:val="single" w:sz="8" w:space="0" w:color="auto"/>
            </w:tcBorders>
            <w:vAlign w:val="center"/>
            <w:hideMark/>
          </w:tcPr>
          <w:p w14:paraId="7FCC8F19"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4" w:space="0" w:color="auto"/>
              <w:right w:val="single" w:sz="8" w:space="0" w:color="auto"/>
            </w:tcBorders>
            <w:vAlign w:val="center"/>
            <w:hideMark/>
          </w:tcPr>
          <w:p w14:paraId="659AB401"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4" w:space="0" w:color="auto"/>
              <w:right w:val="single" w:sz="8" w:space="0" w:color="auto"/>
            </w:tcBorders>
            <w:vAlign w:val="center"/>
            <w:hideMark/>
          </w:tcPr>
          <w:p w14:paraId="7AF8895D"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4" w:space="0" w:color="auto"/>
              <w:right w:val="single" w:sz="8" w:space="0" w:color="auto"/>
            </w:tcBorders>
            <w:vAlign w:val="center"/>
            <w:hideMark/>
          </w:tcPr>
          <w:p w14:paraId="2BBAB06B" w14:textId="77777777" w:rsidR="008F2858" w:rsidRPr="00FB0F19" w:rsidRDefault="008F2858" w:rsidP="003016E8">
            <w:pPr>
              <w:spacing w:after="0" w:line="276" w:lineRule="auto"/>
              <w:ind w:right="283"/>
              <w:jc w:val="right"/>
              <w:rPr>
                <w:rFonts w:ascii="Times New Roman" w:eastAsia="Times New Roman" w:hAnsi="Times New Roman" w:cs="Times New Roman"/>
                <w:sz w:val="24"/>
                <w:szCs w:val="24"/>
                <w:lang w:eastAsia="bg-BG"/>
              </w:rPr>
            </w:pPr>
          </w:p>
        </w:tc>
      </w:tr>
      <w:tr w:rsidR="0076210E" w:rsidRPr="00094F38" w14:paraId="25086529"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F4EE"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D23F5" w14:textId="77777777" w:rsidR="0076210E" w:rsidRPr="0076210E"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 xml:space="preserve">12 </w:t>
            </w:r>
            <w:r w:rsidR="00B26C08">
              <w:rPr>
                <w:rFonts w:ascii="Times New Roman" w:eastAsia="Times New Roman" w:hAnsi="Times New Roman" w:cs="Times New Roman"/>
                <w:sz w:val="24"/>
                <w:szCs w:val="24"/>
                <w:lang w:val="en-US" w:eastAsia="bg-BG"/>
              </w:rPr>
              <w:t>800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2B25"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90CAD" w14:textId="77777777" w:rsidR="0076210E" w:rsidRPr="0076210E"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12 </w:t>
            </w:r>
            <w:r w:rsidR="00B26C08">
              <w:rPr>
                <w:rFonts w:ascii="Times New Roman" w:eastAsia="Times New Roman" w:hAnsi="Times New Roman" w:cs="Times New Roman"/>
                <w:sz w:val="24"/>
                <w:szCs w:val="24"/>
                <w:lang w:val="en-US" w:eastAsia="bg-BG"/>
              </w:rPr>
              <w:t>800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80159" w14:textId="77777777" w:rsidR="0076210E" w:rsidRPr="00B26C08"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sidRPr="00FD4902">
              <w:rPr>
                <w:rFonts w:ascii="Times New Roman" w:eastAsia="Times New Roman" w:hAnsi="Times New Roman" w:cs="Times New Roman"/>
                <w:sz w:val="24"/>
                <w:szCs w:val="24"/>
                <w:lang w:eastAsia="bg-BG"/>
              </w:rPr>
              <w:t>12</w:t>
            </w:r>
            <w:r>
              <w:rPr>
                <w:rFonts w:ascii="Times New Roman" w:eastAsia="Times New Roman" w:hAnsi="Times New Roman" w:cs="Times New Roman"/>
                <w:sz w:val="24"/>
                <w:szCs w:val="24"/>
                <w:lang w:eastAsia="bg-BG"/>
              </w:rPr>
              <w:t xml:space="preserve"> </w:t>
            </w:r>
            <w:r w:rsidR="00B26C08">
              <w:rPr>
                <w:rFonts w:ascii="Times New Roman" w:eastAsia="Times New Roman" w:hAnsi="Times New Roman" w:cs="Times New Roman"/>
                <w:sz w:val="24"/>
                <w:szCs w:val="24"/>
                <w:lang w:val="en-US" w:eastAsia="bg-BG"/>
              </w:rPr>
              <w:t>800</w:t>
            </w:r>
          </w:p>
        </w:tc>
      </w:tr>
      <w:tr w:rsidR="0076210E" w:rsidRPr="00094F38" w14:paraId="66EFBF0F"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DA7B7"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ЦОРХВ (изготвяне на анкетни карти)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FECE" w14:textId="77777777" w:rsidR="0076210E" w:rsidRPr="0076210E"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 </w:t>
            </w:r>
            <w:r w:rsidR="00B26C08">
              <w:rPr>
                <w:rFonts w:ascii="Times New Roman" w:eastAsia="Times New Roman" w:hAnsi="Times New Roman" w:cs="Times New Roman"/>
                <w:sz w:val="24"/>
                <w:szCs w:val="24"/>
                <w:lang w:val="en-US" w:eastAsia="bg-BG"/>
              </w:rPr>
              <w:t>700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7112F" w14:textId="77777777" w:rsidR="0076210E" w:rsidRPr="007423AB" w:rsidRDefault="007423AB" w:rsidP="007423AB">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3 300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B0493" w14:textId="77777777" w:rsidR="0076210E" w:rsidRPr="00503C65"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sidRPr="001E7373">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w:t>
            </w:r>
            <w:r w:rsidR="00B26C08">
              <w:rPr>
                <w:rFonts w:ascii="Times New Roman" w:eastAsia="Times New Roman" w:hAnsi="Times New Roman" w:cs="Times New Roman"/>
                <w:sz w:val="24"/>
                <w:szCs w:val="24"/>
                <w:lang w:val="en-US" w:eastAsia="bg-BG"/>
              </w:rPr>
              <w:t>300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66B4" w14:textId="77777777" w:rsidR="0076210E" w:rsidRPr="00503C65"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sidRPr="001E7373">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w:t>
            </w:r>
            <w:r w:rsidR="00B26C08">
              <w:rPr>
                <w:rFonts w:ascii="Times New Roman" w:eastAsia="Times New Roman" w:hAnsi="Times New Roman" w:cs="Times New Roman"/>
                <w:sz w:val="24"/>
                <w:szCs w:val="24"/>
                <w:lang w:val="en-US" w:eastAsia="bg-BG"/>
              </w:rPr>
              <w:t>300</w:t>
            </w:r>
          </w:p>
        </w:tc>
      </w:tr>
      <w:tr w:rsidR="0076210E" w:rsidRPr="00094F38" w14:paraId="6AF0B093"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1A115"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БАБХ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D550F" w14:textId="77777777" w:rsidR="0076210E" w:rsidRPr="0076210E"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20 </w:t>
            </w:r>
            <w:r w:rsidR="00B26C08">
              <w:rPr>
                <w:rFonts w:ascii="Times New Roman" w:eastAsia="Times New Roman" w:hAnsi="Times New Roman" w:cs="Times New Roman"/>
                <w:sz w:val="24"/>
                <w:szCs w:val="24"/>
                <w:lang w:val="en-US" w:eastAsia="bg-BG"/>
              </w:rPr>
              <w:t>500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DD4A" w14:textId="77777777" w:rsidR="0076210E" w:rsidRPr="0076210E" w:rsidRDefault="0076210E" w:rsidP="00B26C08">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20 </w:t>
            </w:r>
            <w:r w:rsidR="00B26C08">
              <w:rPr>
                <w:rFonts w:ascii="Times New Roman" w:eastAsia="Times New Roman" w:hAnsi="Times New Roman" w:cs="Times New Roman"/>
                <w:sz w:val="24"/>
                <w:szCs w:val="24"/>
                <w:lang w:val="en-US" w:eastAsia="bg-BG"/>
              </w:rPr>
              <w:t>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A4C9B"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99F49"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1817791A"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B2D76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1.2.</w:t>
            </w:r>
            <w:r w:rsidRPr="00FB0F19">
              <w:rPr>
                <w:rFonts w:ascii="Times New Roman" w:eastAsia="Times New Roman" w:hAnsi="Times New Roman" w:cs="Times New Roman"/>
                <w:sz w:val="24"/>
                <w:szCs w:val="24"/>
                <w:lang w:eastAsia="bg-BG"/>
              </w:rPr>
              <w:t xml:space="preserve"> Повишаване на обществената осведоменост и разбиране за причините, рисковете и последиците от развитие на АМР, както и за значението и контрола на инфекциите чрез провеждане на информационни кампании, пресконференции и разпространение на образователни материали.</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1DFDBEAB"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2A88677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4DF5DC54"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6C1260C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25BE3D14"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DA6F2"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A7D35" w14:textId="77777777" w:rsidR="0076210E" w:rsidRPr="00B26C08" w:rsidRDefault="0076210E" w:rsidP="00B26C08">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eastAsia="bg-BG"/>
              </w:rPr>
              <w:t xml:space="preserve">12 </w:t>
            </w:r>
            <w:r w:rsidR="00B26C08">
              <w:rPr>
                <w:rFonts w:ascii="Times New Roman" w:eastAsia="Times New Roman" w:hAnsi="Times New Roman" w:cs="Times New Roman"/>
                <w:sz w:val="24"/>
                <w:szCs w:val="24"/>
                <w:lang w:val="en-US" w:eastAsia="bg-BG"/>
              </w:rPr>
              <w:t>800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5EA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7 700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60501"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AFD90"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r>
      <w:tr w:rsidR="0076210E" w:rsidRPr="00094F38" w14:paraId="0D49E52D"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9F1D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РЗИ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FD38B"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46 000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360CC"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56221"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21 000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54BE"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21 000</w:t>
            </w:r>
          </w:p>
        </w:tc>
      </w:tr>
      <w:tr w:rsidR="0076210E" w:rsidRPr="00094F38" w14:paraId="07E8F155"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9B541"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B6A83" w14:textId="77777777" w:rsidR="0076210E" w:rsidRPr="0076210E" w:rsidRDefault="0076210E" w:rsidP="00B26C08">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127 </w:t>
            </w:r>
            <w:r w:rsidR="00B26C08">
              <w:rPr>
                <w:rFonts w:ascii="Times New Roman" w:eastAsia="Times New Roman" w:hAnsi="Times New Roman" w:cs="Times New Roman"/>
                <w:sz w:val="24"/>
                <w:szCs w:val="24"/>
                <w:lang w:val="en-US" w:eastAsia="bg-BG"/>
              </w:rPr>
              <w:t>900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1ECA5" w14:textId="77777777" w:rsidR="0076210E" w:rsidRPr="0076210E" w:rsidRDefault="0076210E" w:rsidP="00B26C08">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127 </w:t>
            </w:r>
            <w:r w:rsidR="00B26C08">
              <w:rPr>
                <w:rFonts w:ascii="Times New Roman" w:eastAsia="Times New Roman" w:hAnsi="Times New Roman" w:cs="Times New Roman"/>
                <w:sz w:val="24"/>
                <w:szCs w:val="24"/>
                <w:lang w:val="en-US" w:eastAsia="bg-BG"/>
              </w:rPr>
              <w:t>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0539B" w14:textId="77777777" w:rsidR="0076210E" w:rsidRPr="0076210E" w:rsidRDefault="0076210E" w:rsidP="00B26C08">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127 </w:t>
            </w:r>
            <w:r w:rsidR="00B26C08">
              <w:rPr>
                <w:rFonts w:ascii="Times New Roman" w:eastAsia="Times New Roman" w:hAnsi="Times New Roman" w:cs="Times New Roman"/>
                <w:sz w:val="24"/>
                <w:szCs w:val="24"/>
                <w:lang w:val="en-US" w:eastAsia="bg-BG"/>
              </w:rPr>
              <w:t>900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16BC" w14:textId="77777777" w:rsidR="0076210E" w:rsidRPr="0076210E" w:rsidRDefault="0076210E" w:rsidP="00B26C08">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127 </w:t>
            </w:r>
            <w:r w:rsidR="00B26C08">
              <w:rPr>
                <w:rFonts w:ascii="Times New Roman" w:eastAsia="Times New Roman" w:hAnsi="Times New Roman" w:cs="Times New Roman"/>
                <w:sz w:val="24"/>
                <w:szCs w:val="24"/>
                <w:lang w:val="en-US" w:eastAsia="bg-BG"/>
              </w:rPr>
              <w:t>900</w:t>
            </w:r>
          </w:p>
        </w:tc>
      </w:tr>
      <w:tr w:rsidR="0076210E" w:rsidRPr="00094F38" w14:paraId="21C778E6"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04DA"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ЦОРХВ (изготвяне на брошури, кратки листовки)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9D0CC"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C0563"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79AA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29 200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4E3E5"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29 200</w:t>
            </w:r>
          </w:p>
        </w:tc>
      </w:tr>
      <w:tr w:rsidR="0076210E" w:rsidRPr="00094F38" w14:paraId="46A0463B" w14:textId="77777777" w:rsidTr="00243E68">
        <w:tc>
          <w:tcPr>
            <w:tcW w:w="7725" w:type="dxa"/>
            <w:tcBorders>
              <w:top w:val="single" w:sz="4" w:space="0" w:color="auto"/>
              <w:left w:val="single" w:sz="8" w:space="0" w:color="auto"/>
              <w:bottom w:val="nil"/>
              <w:right w:val="single" w:sz="8" w:space="0" w:color="auto"/>
            </w:tcBorders>
            <w:shd w:val="clear" w:color="auto" w:fill="auto"/>
            <w:vAlign w:val="center"/>
            <w:hideMark/>
          </w:tcPr>
          <w:p w14:paraId="7C75C59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lastRenderedPageBreak/>
              <w:t>1.4.</w:t>
            </w:r>
            <w:r w:rsidRPr="00FB0F19">
              <w:rPr>
                <w:rFonts w:ascii="Times New Roman" w:eastAsia="Times New Roman" w:hAnsi="Times New Roman" w:cs="Times New Roman"/>
                <w:sz w:val="24"/>
                <w:szCs w:val="24"/>
                <w:lang w:eastAsia="bg-BG"/>
              </w:rPr>
              <w:t xml:space="preserve"> Организиране и провеждане на следдипломни обучения в системата на продължаващото медицинско обучение на медицински специалисти по теми, свързани с АМР, антибиотичната политика и контрола на инфекциите в това число:</w:t>
            </w:r>
          </w:p>
        </w:tc>
        <w:tc>
          <w:tcPr>
            <w:tcW w:w="1843" w:type="dxa"/>
            <w:vMerge w:val="restart"/>
            <w:tcBorders>
              <w:top w:val="single" w:sz="4" w:space="0" w:color="auto"/>
              <w:left w:val="single" w:sz="8" w:space="0" w:color="auto"/>
              <w:bottom w:val="nil"/>
              <w:right w:val="single" w:sz="8" w:space="0" w:color="auto"/>
            </w:tcBorders>
            <w:shd w:val="clear" w:color="auto" w:fill="auto"/>
            <w:vAlign w:val="center"/>
            <w:hideMark/>
          </w:tcPr>
          <w:p w14:paraId="4D29972E"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single" w:sz="4" w:space="0" w:color="auto"/>
              <w:left w:val="single" w:sz="8" w:space="0" w:color="auto"/>
              <w:bottom w:val="nil"/>
              <w:right w:val="single" w:sz="8" w:space="0" w:color="auto"/>
            </w:tcBorders>
            <w:shd w:val="clear" w:color="auto" w:fill="auto"/>
            <w:vAlign w:val="center"/>
            <w:hideMark/>
          </w:tcPr>
          <w:p w14:paraId="4F99A670"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single" w:sz="4" w:space="0" w:color="auto"/>
              <w:left w:val="single" w:sz="8" w:space="0" w:color="auto"/>
              <w:bottom w:val="nil"/>
              <w:right w:val="single" w:sz="8" w:space="0" w:color="auto"/>
            </w:tcBorders>
            <w:shd w:val="clear" w:color="auto" w:fill="auto"/>
            <w:vAlign w:val="center"/>
            <w:hideMark/>
          </w:tcPr>
          <w:p w14:paraId="5492F1A6"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single" w:sz="4" w:space="0" w:color="auto"/>
              <w:left w:val="single" w:sz="8" w:space="0" w:color="auto"/>
              <w:bottom w:val="nil"/>
              <w:right w:val="single" w:sz="8" w:space="0" w:color="auto"/>
            </w:tcBorders>
            <w:shd w:val="clear" w:color="auto" w:fill="auto"/>
            <w:vAlign w:val="center"/>
            <w:hideMark/>
          </w:tcPr>
          <w:p w14:paraId="244D5AC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7EC6684A"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0DB31948"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организиране и провеждане на семинари по теми, свързани с АМР за професионални и неправителствени организации;</w:t>
            </w:r>
          </w:p>
        </w:tc>
        <w:tc>
          <w:tcPr>
            <w:tcW w:w="1843" w:type="dxa"/>
            <w:vMerge/>
            <w:tcBorders>
              <w:top w:val="nil"/>
              <w:left w:val="single" w:sz="8" w:space="0" w:color="auto"/>
              <w:bottom w:val="nil"/>
              <w:right w:val="single" w:sz="8" w:space="0" w:color="auto"/>
            </w:tcBorders>
            <w:vAlign w:val="center"/>
            <w:hideMark/>
          </w:tcPr>
          <w:p w14:paraId="2ADD9C73"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nil"/>
              <w:right w:val="single" w:sz="8" w:space="0" w:color="auto"/>
            </w:tcBorders>
            <w:vAlign w:val="center"/>
            <w:hideMark/>
          </w:tcPr>
          <w:p w14:paraId="12C7B196"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nil"/>
              <w:right w:val="single" w:sz="8" w:space="0" w:color="auto"/>
            </w:tcBorders>
            <w:vAlign w:val="center"/>
            <w:hideMark/>
          </w:tcPr>
          <w:p w14:paraId="11F477C0"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nil"/>
              <w:right w:val="single" w:sz="8" w:space="0" w:color="auto"/>
            </w:tcBorders>
            <w:vAlign w:val="center"/>
            <w:hideMark/>
          </w:tcPr>
          <w:p w14:paraId="6AA2B353"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37CB9875"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1C9BE9BA"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-провеждане на специализирани курсове за повишаване на квалификацията на лекари, ветеринарни лекари, специалисти по здравни грижи, лекари по дентална медицина и фармацевти с цел повишаване на знанията и разбирането на рисковете от развитие на АМР. Курсовете за курсистите са безплатни.</w:t>
            </w:r>
          </w:p>
        </w:tc>
        <w:tc>
          <w:tcPr>
            <w:tcW w:w="1843" w:type="dxa"/>
            <w:vMerge/>
            <w:tcBorders>
              <w:top w:val="nil"/>
              <w:left w:val="single" w:sz="8" w:space="0" w:color="auto"/>
              <w:bottom w:val="nil"/>
              <w:right w:val="single" w:sz="8" w:space="0" w:color="auto"/>
            </w:tcBorders>
            <w:vAlign w:val="center"/>
            <w:hideMark/>
          </w:tcPr>
          <w:p w14:paraId="24624E60"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nil"/>
              <w:right w:val="single" w:sz="8" w:space="0" w:color="auto"/>
            </w:tcBorders>
            <w:vAlign w:val="center"/>
            <w:hideMark/>
          </w:tcPr>
          <w:p w14:paraId="6A658F7D"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nil"/>
              <w:right w:val="single" w:sz="8" w:space="0" w:color="auto"/>
            </w:tcBorders>
            <w:vAlign w:val="center"/>
            <w:hideMark/>
          </w:tcPr>
          <w:p w14:paraId="553EADB6"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nil"/>
              <w:right w:val="single" w:sz="8" w:space="0" w:color="auto"/>
            </w:tcBorders>
            <w:vAlign w:val="center"/>
            <w:hideMark/>
          </w:tcPr>
          <w:p w14:paraId="609B1042"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5D94FB50"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18A48A3C"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p>
        </w:tc>
        <w:tc>
          <w:tcPr>
            <w:tcW w:w="1843" w:type="dxa"/>
            <w:tcBorders>
              <w:top w:val="nil"/>
              <w:left w:val="nil"/>
              <w:bottom w:val="single" w:sz="4" w:space="0" w:color="auto"/>
              <w:right w:val="single" w:sz="8" w:space="0" w:color="auto"/>
            </w:tcBorders>
            <w:shd w:val="clear" w:color="auto" w:fill="auto"/>
            <w:vAlign w:val="center"/>
            <w:hideMark/>
          </w:tcPr>
          <w:p w14:paraId="7B57EF71"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tcBorders>
              <w:top w:val="nil"/>
              <w:left w:val="nil"/>
              <w:bottom w:val="single" w:sz="4" w:space="0" w:color="auto"/>
              <w:right w:val="single" w:sz="8" w:space="0" w:color="auto"/>
            </w:tcBorders>
            <w:shd w:val="clear" w:color="auto" w:fill="auto"/>
            <w:vAlign w:val="center"/>
            <w:hideMark/>
          </w:tcPr>
          <w:p w14:paraId="7789C579"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tcBorders>
              <w:top w:val="nil"/>
              <w:left w:val="nil"/>
              <w:bottom w:val="single" w:sz="4" w:space="0" w:color="auto"/>
              <w:right w:val="single" w:sz="8" w:space="0" w:color="auto"/>
            </w:tcBorders>
            <w:shd w:val="clear" w:color="auto" w:fill="auto"/>
            <w:vAlign w:val="center"/>
            <w:hideMark/>
          </w:tcPr>
          <w:p w14:paraId="7B69A3DF"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tcBorders>
              <w:top w:val="nil"/>
              <w:left w:val="nil"/>
              <w:bottom w:val="single" w:sz="4" w:space="0" w:color="auto"/>
              <w:right w:val="single" w:sz="8" w:space="0" w:color="auto"/>
            </w:tcBorders>
            <w:shd w:val="clear" w:color="auto" w:fill="auto"/>
            <w:vAlign w:val="center"/>
            <w:hideMark/>
          </w:tcPr>
          <w:p w14:paraId="1EC09807"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570D5787"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A23CC"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2CF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5 200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6C49F"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3 900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1D205"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3 900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BD85"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3 900</w:t>
            </w:r>
          </w:p>
        </w:tc>
      </w:tr>
      <w:tr w:rsidR="0076210E" w:rsidRPr="00094F38" w14:paraId="30AFB41C" w14:textId="77777777" w:rsidTr="00243E68">
        <w:trPr>
          <w:cantSplit/>
        </w:trPr>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3C96F"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1.7. </w:t>
            </w:r>
            <w:r w:rsidRPr="00FB0F19">
              <w:rPr>
                <w:rFonts w:ascii="Times New Roman" w:eastAsia="Times New Roman" w:hAnsi="Times New Roman" w:cs="Times New Roman"/>
                <w:sz w:val="24"/>
                <w:szCs w:val="24"/>
                <w:lang w:eastAsia="bg-BG"/>
              </w:rPr>
              <w:t>Разработване и въвеждане на обучителни материали  по АМР за собственици и работещи във ферми, собственици на домашни любимци, зоомагазини и приюти</w:t>
            </w:r>
            <w:r w:rsidRPr="00FB0F19">
              <w:rPr>
                <w:rFonts w:ascii="Times New Roman" w:eastAsia="Times New Roman" w:hAnsi="Times New Roman" w:cs="Times New Roman"/>
                <w:b/>
                <w:bCs/>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376AB"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C8C0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5104F"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74C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2F7621AC"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F9D6A64"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ЦОРХВ (изготвяне на брошури, кратки листовки)</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5075E7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76BFB06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11 000</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2E04474"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11 300</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60AEDD8C"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11 300</w:t>
            </w:r>
          </w:p>
        </w:tc>
      </w:tr>
      <w:tr w:rsidR="0076210E" w:rsidRPr="00094F38" w14:paraId="53C826E9"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F686D8"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1.8. </w:t>
            </w:r>
            <w:r w:rsidRPr="00FB0F19">
              <w:rPr>
                <w:rFonts w:ascii="Times New Roman" w:eastAsia="Times New Roman" w:hAnsi="Times New Roman" w:cs="Times New Roman"/>
                <w:sz w:val="24"/>
                <w:szCs w:val="24"/>
                <w:lang w:eastAsia="bg-BG"/>
              </w:rPr>
              <w:t>Разработване, отпечатване и разпространение на обучителни материали и изготвяне на наръчник по АМР, насочени към учителите, заети в средното образование</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499FF19F"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180542D8"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1CE22965"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2B5AC1C3"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1C4DA80F"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89A704"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7BD90D48"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2 600</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50DF724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272FCFA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 </w:t>
            </w:r>
            <w:r>
              <w:rPr>
                <w:rFonts w:ascii="Times New Roman" w:eastAsia="Times New Roman" w:hAnsi="Times New Roman" w:cs="Times New Roman"/>
                <w:sz w:val="24"/>
                <w:szCs w:val="24"/>
                <w:lang w:val="en-US" w:eastAsia="bg-BG"/>
              </w:rPr>
              <w:t>600</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703E2CE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r>
      <w:tr w:rsidR="0076210E" w:rsidRPr="00094F38" w14:paraId="783524E8"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3510F4"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1.10. </w:t>
            </w:r>
            <w:r w:rsidRPr="00FB0F19">
              <w:rPr>
                <w:rFonts w:ascii="Times New Roman" w:eastAsia="Times New Roman" w:hAnsi="Times New Roman" w:cs="Times New Roman"/>
                <w:sz w:val="24"/>
                <w:szCs w:val="24"/>
                <w:lang w:eastAsia="bg-BG"/>
              </w:rPr>
              <w:t>Разработване на</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обучителни материали и семинари по ограничаване свръхупотребата на антибиотици в хуманната медицина, доказано асоциирани с развитие и разпространение на АМР, като например цефтриаксон и цефиксим</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10D841C0" w14:textId="77777777" w:rsidR="0076210E" w:rsidRPr="00540B87"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540B87">
              <w:rPr>
                <w:rFonts w:ascii="Times New Roman" w:eastAsia="Times New Roman" w:hAnsi="Times New Roman" w:cs="Times New Roman"/>
                <w:b/>
                <w:bCs/>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535F25CF"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043A65D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4F61DBAC"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0BF39941"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5C6CD"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87D51"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5 200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C53E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D00F"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B50E"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2 500</w:t>
            </w:r>
          </w:p>
        </w:tc>
      </w:tr>
      <w:tr w:rsidR="0076210E" w:rsidRPr="00094F38" w14:paraId="28EA89E2" w14:textId="77777777" w:rsidTr="00EB7B4C">
        <w:tc>
          <w:tcPr>
            <w:tcW w:w="15082" w:type="dxa"/>
            <w:gridSpan w:val="5"/>
            <w:tcBorders>
              <w:top w:val="single" w:sz="4" w:space="0" w:color="auto"/>
              <w:left w:val="single" w:sz="8" w:space="0" w:color="auto"/>
              <w:bottom w:val="nil"/>
              <w:right w:val="single" w:sz="8" w:space="0" w:color="000000"/>
            </w:tcBorders>
            <w:shd w:val="clear" w:color="auto" w:fill="auto"/>
            <w:vAlign w:val="center"/>
            <w:hideMark/>
          </w:tcPr>
          <w:p w14:paraId="1B4B0AD0"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Основна цел 2: </w:t>
            </w:r>
          </w:p>
        </w:tc>
      </w:tr>
      <w:tr w:rsidR="0076210E" w:rsidRPr="00094F38" w14:paraId="64230ED2" w14:textId="77777777" w:rsidTr="008F2858">
        <w:tc>
          <w:tcPr>
            <w:tcW w:w="15082" w:type="dxa"/>
            <w:gridSpan w:val="5"/>
            <w:tcBorders>
              <w:top w:val="nil"/>
              <w:left w:val="single" w:sz="8" w:space="0" w:color="auto"/>
              <w:bottom w:val="single" w:sz="8" w:space="0" w:color="auto"/>
              <w:right w:val="single" w:sz="8" w:space="0" w:color="000000"/>
            </w:tcBorders>
            <w:shd w:val="clear" w:color="auto" w:fill="auto"/>
            <w:vAlign w:val="center"/>
            <w:hideMark/>
          </w:tcPr>
          <w:p w14:paraId="48B85F0B"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Повишаване и укрепване на базата от данни, знания и доказателства за АМР в страната, получени чрез наблюдение и изследване </w:t>
            </w:r>
          </w:p>
        </w:tc>
      </w:tr>
      <w:tr w:rsidR="0076210E" w:rsidRPr="00094F38" w14:paraId="53B24802" w14:textId="77777777" w:rsidTr="00243E68">
        <w:tc>
          <w:tcPr>
            <w:tcW w:w="7725" w:type="dxa"/>
            <w:tcBorders>
              <w:top w:val="nil"/>
              <w:left w:val="single" w:sz="8" w:space="0" w:color="auto"/>
              <w:bottom w:val="nil"/>
              <w:right w:val="single" w:sz="8" w:space="0" w:color="auto"/>
            </w:tcBorders>
            <w:shd w:val="clear" w:color="auto" w:fill="auto"/>
            <w:hideMark/>
          </w:tcPr>
          <w:p w14:paraId="2FFC88B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b/>
                <w:bCs/>
                <w:sz w:val="24"/>
                <w:szCs w:val="24"/>
                <w:lang w:eastAsia="bg-BG"/>
              </w:rPr>
              <w:lastRenderedPageBreak/>
              <w:t xml:space="preserve">2.2. </w:t>
            </w:r>
            <w:r w:rsidRPr="00FB0F19">
              <w:rPr>
                <w:rFonts w:ascii="Times New Roman" w:eastAsia="Times New Roman" w:hAnsi="Times New Roman" w:cs="Times New Roman"/>
                <w:sz w:val="24"/>
                <w:szCs w:val="24"/>
                <w:lang w:eastAsia="bg-BG"/>
              </w:rPr>
              <w:t>Укрепване на капацитета за диагностика и мониторинг на националните референтни  и държавните лаборатории /в т.ч. лабораториите в държавните лечебни заведения/ в хуманната, ветеринарната медицина и околната среда, занимаващи се с изследване на АМР и остатъчни количества антибиотици:</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615F368"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3279A3A"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1545472"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4B388E27"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255A6A89"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79814665"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-повишаване и поддържане на диагностичните възможности на националните референтни лаборатории чрез осъвременяване на апаратурата;</w:t>
            </w:r>
          </w:p>
        </w:tc>
        <w:tc>
          <w:tcPr>
            <w:tcW w:w="1843" w:type="dxa"/>
            <w:vMerge/>
            <w:tcBorders>
              <w:top w:val="nil"/>
              <w:left w:val="single" w:sz="8" w:space="0" w:color="auto"/>
              <w:bottom w:val="single" w:sz="8" w:space="0" w:color="000000"/>
              <w:right w:val="single" w:sz="8" w:space="0" w:color="auto"/>
            </w:tcBorders>
            <w:vAlign w:val="center"/>
            <w:hideMark/>
          </w:tcPr>
          <w:p w14:paraId="6F769071"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329033B7"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611CC646"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27EF609F"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r>
      <w:tr w:rsidR="0076210E" w:rsidRPr="00094F38" w14:paraId="2BCAB400"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18B5DB25"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-повишаване на кадровия капацитет на националните референтни лаборатории за ранно откриване на новопоявяващи се резистентни генотипове чрез създаване на специализирани екипи от експерти</w:t>
            </w:r>
          </w:p>
        </w:tc>
        <w:tc>
          <w:tcPr>
            <w:tcW w:w="1843" w:type="dxa"/>
            <w:vMerge/>
            <w:tcBorders>
              <w:top w:val="nil"/>
              <w:left w:val="single" w:sz="8" w:space="0" w:color="auto"/>
              <w:bottom w:val="single" w:sz="8" w:space="0" w:color="000000"/>
              <w:right w:val="single" w:sz="8" w:space="0" w:color="auto"/>
            </w:tcBorders>
            <w:vAlign w:val="center"/>
            <w:hideMark/>
          </w:tcPr>
          <w:p w14:paraId="13A4D7F6"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35FDB0B7"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607126B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6FE7D45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p>
        </w:tc>
      </w:tr>
      <w:tr w:rsidR="0076210E" w:rsidRPr="00094F38" w14:paraId="6880AAF3"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1A68311B"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 (НДНИВМИ) за НРЛ и лаборатория Бактериални болести</w:t>
            </w:r>
          </w:p>
        </w:tc>
        <w:tc>
          <w:tcPr>
            <w:tcW w:w="1843" w:type="dxa"/>
            <w:tcBorders>
              <w:top w:val="nil"/>
              <w:left w:val="nil"/>
              <w:bottom w:val="single" w:sz="4" w:space="0" w:color="auto"/>
              <w:right w:val="single" w:sz="8" w:space="0" w:color="auto"/>
            </w:tcBorders>
            <w:shd w:val="clear" w:color="auto" w:fill="auto"/>
            <w:vAlign w:val="center"/>
            <w:hideMark/>
          </w:tcPr>
          <w:p w14:paraId="2A3088C4"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18 000</w:t>
            </w:r>
          </w:p>
        </w:tc>
        <w:tc>
          <w:tcPr>
            <w:tcW w:w="1842" w:type="dxa"/>
            <w:tcBorders>
              <w:top w:val="nil"/>
              <w:left w:val="nil"/>
              <w:bottom w:val="single" w:sz="4" w:space="0" w:color="auto"/>
              <w:right w:val="single" w:sz="8" w:space="0" w:color="auto"/>
            </w:tcBorders>
            <w:shd w:val="clear" w:color="auto" w:fill="auto"/>
            <w:vAlign w:val="center"/>
            <w:hideMark/>
          </w:tcPr>
          <w:p w14:paraId="22FB8446"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20 </w:t>
            </w:r>
            <w:r>
              <w:rPr>
                <w:rFonts w:ascii="Times New Roman" w:eastAsia="Times New Roman" w:hAnsi="Times New Roman" w:cs="Times New Roman"/>
                <w:sz w:val="24"/>
                <w:szCs w:val="24"/>
                <w:lang w:val="en-US" w:eastAsia="bg-BG"/>
              </w:rPr>
              <w:t>500</w:t>
            </w:r>
          </w:p>
        </w:tc>
        <w:tc>
          <w:tcPr>
            <w:tcW w:w="1843" w:type="dxa"/>
            <w:tcBorders>
              <w:top w:val="nil"/>
              <w:left w:val="nil"/>
              <w:bottom w:val="single" w:sz="4" w:space="0" w:color="auto"/>
              <w:right w:val="single" w:sz="8" w:space="0" w:color="auto"/>
            </w:tcBorders>
            <w:shd w:val="clear" w:color="auto" w:fill="auto"/>
            <w:vAlign w:val="center"/>
            <w:hideMark/>
          </w:tcPr>
          <w:p w14:paraId="260E2655"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20 </w:t>
            </w:r>
            <w:r>
              <w:rPr>
                <w:rFonts w:ascii="Times New Roman" w:eastAsia="Times New Roman" w:hAnsi="Times New Roman" w:cs="Times New Roman"/>
                <w:sz w:val="24"/>
                <w:szCs w:val="24"/>
                <w:lang w:val="en-US" w:eastAsia="bg-BG"/>
              </w:rPr>
              <w:t>500</w:t>
            </w:r>
          </w:p>
        </w:tc>
        <w:tc>
          <w:tcPr>
            <w:tcW w:w="1829" w:type="dxa"/>
            <w:tcBorders>
              <w:top w:val="nil"/>
              <w:left w:val="nil"/>
              <w:bottom w:val="single" w:sz="4" w:space="0" w:color="auto"/>
              <w:right w:val="single" w:sz="8" w:space="0" w:color="auto"/>
            </w:tcBorders>
            <w:shd w:val="clear" w:color="auto" w:fill="auto"/>
            <w:vAlign w:val="center"/>
            <w:hideMark/>
          </w:tcPr>
          <w:p w14:paraId="07E14780"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20 </w:t>
            </w:r>
            <w:r>
              <w:rPr>
                <w:rFonts w:ascii="Times New Roman" w:eastAsia="Times New Roman" w:hAnsi="Times New Roman" w:cs="Times New Roman"/>
                <w:sz w:val="24"/>
                <w:szCs w:val="24"/>
                <w:lang w:val="en-US" w:eastAsia="bg-BG"/>
              </w:rPr>
              <w:t>500</w:t>
            </w:r>
          </w:p>
        </w:tc>
      </w:tr>
      <w:tr w:rsidR="0076210E" w:rsidRPr="00094F38" w14:paraId="07A0C87E"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2B27FC"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НЦЗПБ, от тях:</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1A9C41E"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61 500</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58D57702"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104365D7"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04A6A1FB"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r>
      <w:tr w:rsidR="0076210E" w:rsidRPr="00094F38" w14:paraId="69D5A317"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3846FE"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за осъвременяване на апратурата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1008411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51 200</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27B6A9E9"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25A1283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32906DEB"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655738EB" w14:textId="77777777" w:rsidTr="00243E68">
        <w:tc>
          <w:tcPr>
            <w:tcW w:w="77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DE9793"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за повишаване на кадровия капацитет на националните референтни лаборатории за ранно откриване на новопоявяващи се резистентни генотипове чрез създаване на специализирани екипи от експерти </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4D69C3A9"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2" w:type="dxa"/>
            <w:tcBorders>
              <w:top w:val="single" w:sz="4" w:space="0" w:color="auto"/>
              <w:left w:val="nil"/>
              <w:bottom w:val="single" w:sz="8" w:space="0" w:color="auto"/>
              <w:right w:val="single" w:sz="8" w:space="0" w:color="auto"/>
            </w:tcBorders>
            <w:shd w:val="clear" w:color="auto" w:fill="auto"/>
            <w:vAlign w:val="center"/>
            <w:hideMark/>
          </w:tcPr>
          <w:p w14:paraId="6D83FB64"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7B5012BA"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single" w:sz="4" w:space="0" w:color="auto"/>
              <w:left w:val="nil"/>
              <w:bottom w:val="single" w:sz="8" w:space="0" w:color="auto"/>
              <w:right w:val="single" w:sz="8" w:space="0" w:color="auto"/>
            </w:tcBorders>
            <w:shd w:val="clear" w:color="auto" w:fill="auto"/>
            <w:vAlign w:val="center"/>
            <w:hideMark/>
          </w:tcPr>
          <w:p w14:paraId="49EB5CE2"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r>
      <w:tr w:rsidR="0076210E" w:rsidRPr="00094F38" w14:paraId="357365E6"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5E2F820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2.3. </w:t>
            </w:r>
            <w:r w:rsidRPr="00FB0F19">
              <w:rPr>
                <w:rFonts w:ascii="Times New Roman" w:eastAsia="Times New Roman" w:hAnsi="Times New Roman" w:cs="Times New Roman"/>
                <w:sz w:val="24"/>
                <w:szCs w:val="24"/>
                <w:lang w:eastAsia="bg-BG"/>
              </w:rPr>
              <w:t xml:space="preserve">Провеждане на обучение и контрол на качеството в микробиологичната лабораторна мрежа в страната, вкл. и лаборатории без договор с НЗОК: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F9B837B"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6C0FF014"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A7A2CC5"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7C1464FE"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4473C0FB"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27190BB0"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-обучение по прилагане на добри лабораторни практики;</w:t>
            </w:r>
          </w:p>
        </w:tc>
        <w:tc>
          <w:tcPr>
            <w:tcW w:w="1843" w:type="dxa"/>
            <w:vMerge/>
            <w:tcBorders>
              <w:top w:val="nil"/>
              <w:left w:val="single" w:sz="8" w:space="0" w:color="auto"/>
              <w:bottom w:val="single" w:sz="8" w:space="0" w:color="000000"/>
              <w:right w:val="single" w:sz="8" w:space="0" w:color="auto"/>
            </w:tcBorders>
            <w:vAlign w:val="center"/>
            <w:hideMark/>
          </w:tcPr>
          <w:p w14:paraId="06E21E55"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2BB2499E"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71BF08B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48BE37E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4FC35E50"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27BF4722"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-създаване и поддържане на списък към НЦЗПБ / БАБХ / НДНИВМИ на лабораториите, извършващи контрол на АМР; </w:t>
            </w:r>
          </w:p>
        </w:tc>
        <w:tc>
          <w:tcPr>
            <w:tcW w:w="1843" w:type="dxa"/>
            <w:vMerge/>
            <w:tcBorders>
              <w:top w:val="nil"/>
              <w:left w:val="single" w:sz="8" w:space="0" w:color="auto"/>
              <w:bottom w:val="single" w:sz="8" w:space="0" w:color="000000"/>
              <w:right w:val="single" w:sz="8" w:space="0" w:color="auto"/>
            </w:tcBorders>
            <w:vAlign w:val="center"/>
            <w:hideMark/>
          </w:tcPr>
          <w:p w14:paraId="7018B70B"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7F331D13"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66EF5A4F"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07688502"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6B13916D"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150612EF"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-хармонизиране на методите / СОП за вземане и транспорт на материали за изпитване на лабораториите, включени в списъка;</w:t>
            </w:r>
          </w:p>
        </w:tc>
        <w:tc>
          <w:tcPr>
            <w:tcW w:w="1843" w:type="dxa"/>
            <w:vMerge/>
            <w:tcBorders>
              <w:top w:val="nil"/>
              <w:left w:val="single" w:sz="8" w:space="0" w:color="auto"/>
              <w:bottom w:val="single" w:sz="8" w:space="0" w:color="000000"/>
              <w:right w:val="single" w:sz="8" w:space="0" w:color="auto"/>
            </w:tcBorders>
            <w:vAlign w:val="center"/>
            <w:hideMark/>
          </w:tcPr>
          <w:p w14:paraId="25111592"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B75451A"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7CE8BFB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08100EC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212FF552"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68BEF815" w14:textId="77777777" w:rsidR="0076210E" w:rsidRPr="00540B87" w:rsidRDefault="0076210E" w:rsidP="0076210E">
            <w:pPr>
              <w:spacing w:after="0" w:line="276" w:lineRule="auto"/>
              <w:rPr>
                <w:rFonts w:ascii="Times New Roman" w:eastAsia="Times New Roman" w:hAnsi="Times New Roman" w:cs="Times New Roman"/>
                <w:sz w:val="24"/>
                <w:szCs w:val="24"/>
                <w:lang w:eastAsia="bg-BG"/>
              </w:rPr>
            </w:pPr>
            <w:r w:rsidRPr="00540B87">
              <w:rPr>
                <w:rFonts w:ascii="Times New Roman" w:eastAsia="Times New Roman" w:hAnsi="Times New Roman" w:cs="Times New Roman"/>
                <w:sz w:val="24"/>
                <w:szCs w:val="24"/>
                <w:lang w:eastAsia="bg-BG"/>
              </w:rPr>
              <w:t xml:space="preserve">-включване на ветеринарно-диагностични лаборатории, извършващи микробиологични изследвания извън системата на БАБХ, в </w:t>
            </w:r>
            <w:r w:rsidRPr="00540B87">
              <w:rPr>
                <w:rFonts w:ascii="Times New Roman" w:eastAsia="Times New Roman" w:hAnsi="Times New Roman" w:cs="Times New Roman"/>
                <w:sz w:val="24"/>
                <w:szCs w:val="24"/>
                <w:lang w:eastAsia="bg-BG"/>
              </w:rPr>
              <w:lastRenderedPageBreak/>
              <w:t>провежданите от НРЛ междулабораторни изпитвания за оценка на качеството.</w:t>
            </w:r>
          </w:p>
        </w:tc>
        <w:tc>
          <w:tcPr>
            <w:tcW w:w="1843" w:type="dxa"/>
            <w:vMerge/>
            <w:tcBorders>
              <w:top w:val="nil"/>
              <w:left w:val="single" w:sz="8" w:space="0" w:color="auto"/>
              <w:bottom w:val="single" w:sz="8" w:space="0" w:color="000000"/>
              <w:right w:val="single" w:sz="8" w:space="0" w:color="auto"/>
            </w:tcBorders>
            <w:vAlign w:val="center"/>
            <w:hideMark/>
          </w:tcPr>
          <w:p w14:paraId="014036A4" w14:textId="77777777" w:rsidR="0076210E" w:rsidRPr="00540B87"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77CF278"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F6EA49C"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42ADD0CC"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p>
        </w:tc>
      </w:tr>
      <w:tr w:rsidR="0076210E" w:rsidRPr="00094F38" w14:paraId="638A9A8A"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47E3066F" w14:textId="77777777" w:rsidR="0076210E" w:rsidRPr="00540B87" w:rsidRDefault="0076210E" w:rsidP="0076210E">
            <w:pPr>
              <w:spacing w:after="0" w:line="276" w:lineRule="auto"/>
              <w:rPr>
                <w:rFonts w:ascii="Times New Roman" w:eastAsia="Times New Roman" w:hAnsi="Times New Roman" w:cs="Times New Roman"/>
                <w:sz w:val="24"/>
                <w:szCs w:val="24"/>
                <w:lang w:eastAsia="bg-BG"/>
              </w:rPr>
            </w:pPr>
            <w:r w:rsidRPr="00540B87">
              <w:rPr>
                <w:rFonts w:ascii="Times New Roman" w:eastAsia="Times New Roman" w:hAnsi="Times New Roman" w:cs="Times New Roman"/>
                <w:sz w:val="24"/>
                <w:szCs w:val="24"/>
                <w:lang w:eastAsia="bg-BG"/>
              </w:rPr>
              <w:t xml:space="preserve">НЦЗПБ </w:t>
            </w:r>
          </w:p>
        </w:tc>
        <w:tc>
          <w:tcPr>
            <w:tcW w:w="1843" w:type="dxa"/>
            <w:tcBorders>
              <w:top w:val="nil"/>
              <w:left w:val="nil"/>
              <w:bottom w:val="single" w:sz="4" w:space="0" w:color="auto"/>
              <w:right w:val="single" w:sz="8" w:space="0" w:color="auto"/>
            </w:tcBorders>
            <w:shd w:val="clear" w:color="auto" w:fill="auto"/>
            <w:vAlign w:val="center"/>
            <w:hideMark/>
          </w:tcPr>
          <w:p w14:paraId="6B7A9A47"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2 600</w:t>
            </w:r>
          </w:p>
        </w:tc>
        <w:tc>
          <w:tcPr>
            <w:tcW w:w="1842" w:type="dxa"/>
            <w:tcBorders>
              <w:top w:val="nil"/>
              <w:left w:val="nil"/>
              <w:bottom w:val="single" w:sz="4" w:space="0" w:color="auto"/>
              <w:right w:val="single" w:sz="8" w:space="0" w:color="auto"/>
            </w:tcBorders>
            <w:shd w:val="clear" w:color="auto" w:fill="auto"/>
            <w:vAlign w:val="center"/>
            <w:hideMark/>
          </w:tcPr>
          <w:p w14:paraId="597D7A5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c>
          <w:tcPr>
            <w:tcW w:w="1843" w:type="dxa"/>
            <w:tcBorders>
              <w:top w:val="nil"/>
              <w:left w:val="nil"/>
              <w:bottom w:val="single" w:sz="4" w:space="0" w:color="auto"/>
              <w:right w:val="single" w:sz="8" w:space="0" w:color="auto"/>
            </w:tcBorders>
            <w:shd w:val="clear" w:color="auto" w:fill="auto"/>
            <w:vAlign w:val="center"/>
            <w:hideMark/>
          </w:tcPr>
          <w:p w14:paraId="3DCB792E"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c>
          <w:tcPr>
            <w:tcW w:w="1829" w:type="dxa"/>
            <w:tcBorders>
              <w:top w:val="nil"/>
              <w:left w:val="nil"/>
              <w:bottom w:val="single" w:sz="4" w:space="0" w:color="auto"/>
              <w:right w:val="single" w:sz="8" w:space="0" w:color="auto"/>
            </w:tcBorders>
            <w:shd w:val="clear" w:color="auto" w:fill="auto"/>
            <w:vAlign w:val="center"/>
            <w:hideMark/>
          </w:tcPr>
          <w:p w14:paraId="41F4B32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2 600</w:t>
            </w:r>
          </w:p>
        </w:tc>
      </w:tr>
      <w:tr w:rsidR="0076210E" w:rsidRPr="00094F38" w14:paraId="2A9D0A5C" w14:textId="77777777" w:rsidTr="00243E68">
        <w:tc>
          <w:tcPr>
            <w:tcW w:w="77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7578E20"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 (НДНИВМИ)</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4F45457"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15 400</w:t>
            </w:r>
          </w:p>
        </w:tc>
        <w:tc>
          <w:tcPr>
            <w:tcW w:w="1842" w:type="dxa"/>
            <w:tcBorders>
              <w:top w:val="single" w:sz="4" w:space="0" w:color="auto"/>
              <w:left w:val="nil"/>
              <w:bottom w:val="single" w:sz="8" w:space="0" w:color="auto"/>
              <w:right w:val="single" w:sz="8" w:space="0" w:color="auto"/>
            </w:tcBorders>
            <w:shd w:val="clear" w:color="auto" w:fill="auto"/>
            <w:vAlign w:val="center"/>
            <w:hideMark/>
          </w:tcPr>
          <w:p w14:paraId="3C546AF7"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17 900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0D986C03"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17 900</w:t>
            </w:r>
          </w:p>
        </w:tc>
        <w:tc>
          <w:tcPr>
            <w:tcW w:w="1829" w:type="dxa"/>
            <w:tcBorders>
              <w:top w:val="single" w:sz="4" w:space="0" w:color="auto"/>
              <w:left w:val="nil"/>
              <w:bottom w:val="single" w:sz="8" w:space="0" w:color="auto"/>
              <w:right w:val="single" w:sz="8" w:space="0" w:color="auto"/>
            </w:tcBorders>
            <w:shd w:val="clear" w:color="auto" w:fill="auto"/>
            <w:vAlign w:val="center"/>
            <w:hideMark/>
          </w:tcPr>
          <w:p w14:paraId="2B74603F"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17 900</w:t>
            </w:r>
          </w:p>
        </w:tc>
      </w:tr>
      <w:tr w:rsidR="0076210E" w:rsidRPr="00094F38" w14:paraId="3F8111AF"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5A32B1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2.4.</w:t>
            </w:r>
            <w:r w:rsidRPr="00FB0F19">
              <w:rPr>
                <w:rFonts w:ascii="Times New Roman" w:eastAsia="Times New Roman" w:hAnsi="Times New Roman" w:cs="Times New Roman"/>
                <w:sz w:val="24"/>
                <w:szCs w:val="24"/>
                <w:lang w:eastAsia="bg-BG"/>
              </w:rPr>
              <w:t xml:space="preserve"> Разработване, изграждане и поддръжка на нови и актуализиране на съществуващите системи за надзор на АМР и остатъчни количества антибиотици в хуманния (система за надзор BulSTAR (НЦЗПБ), ветеринарния сектор и околната среда и водите с цел: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FB9BA2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532709A3"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BA99725"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5418339E"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5A6A834E"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559045E2"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хармонизиране на базите данни; </w:t>
            </w:r>
          </w:p>
        </w:tc>
        <w:tc>
          <w:tcPr>
            <w:tcW w:w="1843" w:type="dxa"/>
            <w:vMerge/>
            <w:tcBorders>
              <w:top w:val="nil"/>
              <w:left w:val="single" w:sz="8" w:space="0" w:color="auto"/>
              <w:bottom w:val="single" w:sz="8" w:space="0" w:color="000000"/>
              <w:right w:val="single" w:sz="8" w:space="0" w:color="auto"/>
            </w:tcBorders>
            <w:vAlign w:val="center"/>
            <w:hideMark/>
          </w:tcPr>
          <w:p w14:paraId="1AD5CABE"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6CF941F"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34722C79"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1B20F52D"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0EF7D0D6"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433C3DDF"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изготвяне на комбинирани доклади на национално и регионално/областно ниво; </w:t>
            </w:r>
          </w:p>
        </w:tc>
        <w:tc>
          <w:tcPr>
            <w:tcW w:w="1843" w:type="dxa"/>
            <w:vMerge/>
            <w:tcBorders>
              <w:top w:val="nil"/>
              <w:left w:val="single" w:sz="8" w:space="0" w:color="auto"/>
              <w:bottom w:val="single" w:sz="8" w:space="0" w:color="000000"/>
              <w:right w:val="single" w:sz="8" w:space="0" w:color="auto"/>
            </w:tcBorders>
            <w:vAlign w:val="center"/>
            <w:hideMark/>
          </w:tcPr>
          <w:p w14:paraId="791E7B7C"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21743E55"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03880725"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1486B5C4"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5A558E5E"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541350CC"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електронно докладване и анализ на резистентността и остатъчните количества антибиотици в средата, с възможност за обмен на данни;</w:t>
            </w:r>
          </w:p>
        </w:tc>
        <w:tc>
          <w:tcPr>
            <w:tcW w:w="1843" w:type="dxa"/>
            <w:vMerge/>
            <w:tcBorders>
              <w:top w:val="nil"/>
              <w:left w:val="single" w:sz="8" w:space="0" w:color="auto"/>
              <w:bottom w:val="single" w:sz="8" w:space="0" w:color="000000"/>
              <w:right w:val="single" w:sz="8" w:space="0" w:color="auto"/>
            </w:tcBorders>
            <w:vAlign w:val="center"/>
            <w:hideMark/>
          </w:tcPr>
          <w:p w14:paraId="040F7EA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617A664B"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FB329BB"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0754C6A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0A254EE1"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1F43919B"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надграждане на съществуващата система за надзор BulSTAR (НЦЗПБ) за базиране на облачна технология с нови модули съ</w:t>
            </w:r>
            <w:r>
              <w:rPr>
                <w:rFonts w:ascii="Times New Roman" w:eastAsia="Times New Roman" w:hAnsi="Times New Roman" w:cs="Times New Roman"/>
                <w:sz w:val="24"/>
                <w:szCs w:val="24"/>
                <w:lang w:eastAsia="bg-BG"/>
              </w:rPr>
              <w:t>образно потребностите на МЗ, МЗХ</w:t>
            </w:r>
            <w:r w:rsidRPr="00FB0F19">
              <w:rPr>
                <w:rFonts w:ascii="Times New Roman" w:eastAsia="Times New Roman" w:hAnsi="Times New Roman" w:cs="Times New Roman"/>
                <w:sz w:val="24"/>
                <w:szCs w:val="24"/>
                <w:lang w:eastAsia="bg-BG"/>
              </w:rPr>
              <w:t xml:space="preserve"> и МОСВ.</w:t>
            </w:r>
          </w:p>
        </w:tc>
        <w:tc>
          <w:tcPr>
            <w:tcW w:w="1843" w:type="dxa"/>
            <w:vMerge/>
            <w:tcBorders>
              <w:top w:val="nil"/>
              <w:left w:val="single" w:sz="8" w:space="0" w:color="auto"/>
              <w:bottom w:val="single" w:sz="8" w:space="0" w:color="000000"/>
              <w:right w:val="single" w:sz="8" w:space="0" w:color="auto"/>
            </w:tcBorders>
            <w:vAlign w:val="center"/>
            <w:hideMark/>
          </w:tcPr>
          <w:p w14:paraId="7E359888"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6929A692"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7DE810F8"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4ADFE371"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7709A466"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544FC5A2"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nil"/>
              <w:left w:val="nil"/>
              <w:bottom w:val="single" w:sz="4" w:space="0" w:color="auto"/>
              <w:right w:val="single" w:sz="8" w:space="0" w:color="auto"/>
            </w:tcBorders>
            <w:shd w:val="clear" w:color="auto" w:fill="auto"/>
            <w:vAlign w:val="center"/>
            <w:hideMark/>
          </w:tcPr>
          <w:p w14:paraId="135DC50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153 400</w:t>
            </w:r>
          </w:p>
        </w:tc>
        <w:tc>
          <w:tcPr>
            <w:tcW w:w="1842" w:type="dxa"/>
            <w:tcBorders>
              <w:top w:val="nil"/>
              <w:left w:val="nil"/>
              <w:bottom w:val="single" w:sz="4" w:space="0" w:color="auto"/>
              <w:right w:val="single" w:sz="8" w:space="0" w:color="auto"/>
            </w:tcBorders>
            <w:shd w:val="clear" w:color="auto" w:fill="auto"/>
            <w:vAlign w:val="center"/>
            <w:hideMark/>
          </w:tcPr>
          <w:p w14:paraId="0F5C439C"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51 200</w:t>
            </w:r>
          </w:p>
        </w:tc>
        <w:tc>
          <w:tcPr>
            <w:tcW w:w="1843" w:type="dxa"/>
            <w:tcBorders>
              <w:top w:val="nil"/>
              <w:left w:val="nil"/>
              <w:bottom w:val="single" w:sz="4" w:space="0" w:color="auto"/>
              <w:right w:val="single" w:sz="8" w:space="0" w:color="auto"/>
            </w:tcBorders>
            <w:shd w:val="clear" w:color="auto" w:fill="auto"/>
            <w:vAlign w:val="center"/>
            <w:hideMark/>
          </w:tcPr>
          <w:p w14:paraId="619A75A3"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25 600</w:t>
            </w:r>
          </w:p>
        </w:tc>
        <w:tc>
          <w:tcPr>
            <w:tcW w:w="1829" w:type="dxa"/>
            <w:tcBorders>
              <w:top w:val="nil"/>
              <w:left w:val="nil"/>
              <w:bottom w:val="single" w:sz="4" w:space="0" w:color="auto"/>
              <w:right w:val="single" w:sz="8" w:space="0" w:color="auto"/>
            </w:tcBorders>
            <w:shd w:val="clear" w:color="auto" w:fill="auto"/>
            <w:vAlign w:val="center"/>
            <w:hideMark/>
          </w:tcPr>
          <w:p w14:paraId="7D9FD05E"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25 600</w:t>
            </w:r>
          </w:p>
        </w:tc>
      </w:tr>
      <w:tr w:rsidR="0076210E" w:rsidRPr="00094F38" w14:paraId="169AFD4C"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DFCE"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-за разходи  за сървъри, софтуер, лицензи и други свързани с техническото обезпечаване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ABA54"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51 200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AEFDA"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02EAC"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B6A54"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41880D77"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0BD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-за услуги, заплащане на ИТ разработчици, подръжка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7695B"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102 200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CCFB"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51 200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19C04"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25 600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B0F55"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25 600</w:t>
            </w:r>
          </w:p>
        </w:tc>
      </w:tr>
      <w:tr w:rsidR="0076210E" w:rsidRPr="00094F38" w14:paraId="50A702F0"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630D"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БАБХ (НДНИВМИ) събиране на данни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9B4E1"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CD655"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7565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925AB"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r>
      <w:tr w:rsidR="0076210E" w:rsidRPr="00094F38" w14:paraId="1EC60BB3"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887A8"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2.7. </w:t>
            </w:r>
            <w:r w:rsidRPr="00FB0F19">
              <w:rPr>
                <w:rFonts w:ascii="Times New Roman" w:eastAsia="Times New Roman" w:hAnsi="Times New Roman" w:cs="Times New Roman"/>
                <w:sz w:val="24"/>
                <w:szCs w:val="24"/>
                <w:lang w:eastAsia="bg-BG"/>
              </w:rPr>
              <w:t>Разработване на научно-изследователска програма с междусекторни, мултидисциплинарни научни проекти на национално ниво за проучване на АМР от учени от НЦЗПБ, БАБХ, ВМФ, БАН, МУ и др.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9030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6434B"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519D"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7C4CF"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377048DE"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B84FB"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 (НДНИВМИ) – въвеждане на пълно геномно секвениранеWGS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95870"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2B6E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06DDA"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3102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23 000</w:t>
            </w:r>
          </w:p>
        </w:tc>
      </w:tr>
      <w:tr w:rsidR="0076210E" w:rsidRPr="00094F38" w14:paraId="30122806"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8412A"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E443"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9CFC7"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505CB"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2A5F"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37270F4D"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9639C8"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2.8.</w:t>
            </w:r>
            <w:r w:rsidRPr="00FB0F19">
              <w:rPr>
                <w:rFonts w:ascii="Times New Roman" w:eastAsia="Times New Roman" w:hAnsi="Times New Roman" w:cs="Times New Roman"/>
                <w:sz w:val="24"/>
                <w:szCs w:val="24"/>
                <w:lang w:eastAsia="bg-BG"/>
              </w:rPr>
              <w:t xml:space="preserve"> Участие на Националните референтни лаборатории в международни научно-изследователски програми за проучване на АМР</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7533920F"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56773293"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5DC0540"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54C2258A"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47BCA6CB"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2D396"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lastRenderedPageBreak/>
              <w:t>БАБХ (НДНИВМИ) финансиране в рамките на проекти като за съфинансиране се предвиждат суми като разход за държавата членка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C20CB"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18 000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2FCF7"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18 000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F54D2"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20 500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9B89"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20 500</w:t>
            </w:r>
          </w:p>
        </w:tc>
      </w:tr>
      <w:tr w:rsidR="0076210E" w:rsidRPr="00094F38" w14:paraId="5EDEE148"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57A1A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2.9. </w:t>
            </w:r>
            <w:r w:rsidRPr="00FB0F19">
              <w:rPr>
                <w:rFonts w:ascii="Times New Roman" w:eastAsia="Times New Roman" w:hAnsi="Times New Roman" w:cs="Times New Roman"/>
                <w:sz w:val="24"/>
                <w:szCs w:val="24"/>
                <w:lang w:eastAsia="bg-BG"/>
              </w:rPr>
              <w:t>Проучвания и изпитвания, включително провеждане на лабораторни</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 xml:space="preserve">проучвания за потенциала на нови не-антибиотични средства ( напр. бактериофаги, антимикробни пептиди, пре- и пробиотици и др.), с потенциал за лечение и профилактика на инфекции при хора и животни, с цел намаляване на консумацията и запазване на ефективността на антибиотиците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5BE21AD9"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0C2CEF18"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2DD33A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6B134F8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6FAD277D"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56F15"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НЦЗПБ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34FFE"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10 300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0BB88"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3EB4"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D4140"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6906EA08" w14:textId="77777777" w:rsidTr="00243E68">
        <w:tc>
          <w:tcPr>
            <w:tcW w:w="77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0D0CE56"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БАБХ (НДНИВМИ – разработва проекти относно пробиотици, пребиотици, ваксини, мерки за биосигурност) </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458890AF" w14:textId="77777777" w:rsidR="0076210E" w:rsidRPr="00540B87"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15 500</w:t>
            </w:r>
          </w:p>
        </w:tc>
        <w:tc>
          <w:tcPr>
            <w:tcW w:w="1842" w:type="dxa"/>
            <w:tcBorders>
              <w:top w:val="single" w:sz="4" w:space="0" w:color="auto"/>
              <w:left w:val="nil"/>
              <w:bottom w:val="single" w:sz="8" w:space="0" w:color="auto"/>
              <w:right w:val="single" w:sz="8" w:space="0" w:color="auto"/>
            </w:tcBorders>
            <w:shd w:val="clear" w:color="auto" w:fill="auto"/>
            <w:vAlign w:val="center"/>
            <w:hideMark/>
          </w:tcPr>
          <w:p w14:paraId="23236271"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15 500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1F844CDD"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18 000</w:t>
            </w:r>
          </w:p>
        </w:tc>
        <w:tc>
          <w:tcPr>
            <w:tcW w:w="1829" w:type="dxa"/>
            <w:tcBorders>
              <w:top w:val="single" w:sz="4" w:space="0" w:color="auto"/>
              <w:left w:val="nil"/>
              <w:bottom w:val="single" w:sz="8" w:space="0" w:color="auto"/>
              <w:right w:val="single" w:sz="8" w:space="0" w:color="auto"/>
            </w:tcBorders>
            <w:shd w:val="clear" w:color="auto" w:fill="auto"/>
            <w:vAlign w:val="center"/>
            <w:hideMark/>
          </w:tcPr>
          <w:p w14:paraId="31857C8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18 000</w:t>
            </w:r>
          </w:p>
        </w:tc>
      </w:tr>
      <w:tr w:rsidR="0076210E" w:rsidRPr="00094F38" w14:paraId="30FB705B" w14:textId="77777777" w:rsidTr="008F2858">
        <w:tc>
          <w:tcPr>
            <w:tcW w:w="15082" w:type="dxa"/>
            <w:gridSpan w:val="5"/>
            <w:tcBorders>
              <w:top w:val="single" w:sz="8" w:space="0" w:color="auto"/>
              <w:left w:val="single" w:sz="8" w:space="0" w:color="auto"/>
              <w:bottom w:val="nil"/>
              <w:right w:val="single" w:sz="8" w:space="0" w:color="000000"/>
            </w:tcBorders>
            <w:shd w:val="clear" w:color="auto" w:fill="auto"/>
            <w:vAlign w:val="center"/>
            <w:hideMark/>
          </w:tcPr>
          <w:p w14:paraId="494D2E71" w14:textId="77777777" w:rsidR="0076210E" w:rsidRPr="00540B87" w:rsidRDefault="0076210E" w:rsidP="0076210E">
            <w:pPr>
              <w:spacing w:after="0" w:line="276" w:lineRule="auto"/>
              <w:rPr>
                <w:rFonts w:ascii="Times New Roman" w:eastAsia="Times New Roman" w:hAnsi="Times New Roman" w:cs="Times New Roman"/>
                <w:b/>
                <w:bCs/>
                <w:sz w:val="24"/>
                <w:szCs w:val="24"/>
                <w:lang w:eastAsia="bg-BG"/>
              </w:rPr>
            </w:pPr>
            <w:r w:rsidRPr="00540B87">
              <w:rPr>
                <w:rFonts w:ascii="Times New Roman" w:eastAsia="Times New Roman" w:hAnsi="Times New Roman" w:cs="Times New Roman"/>
                <w:b/>
                <w:bCs/>
                <w:sz w:val="24"/>
                <w:szCs w:val="24"/>
                <w:lang w:eastAsia="bg-BG"/>
              </w:rPr>
              <w:t xml:space="preserve">Основна цел 3. </w:t>
            </w:r>
          </w:p>
        </w:tc>
      </w:tr>
      <w:tr w:rsidR="0076210E" w:rsidRPr="00094F38" w14:paraId="06B9431B" w14:textId="77777777" w:rsidTr="008F2858">
        <w:tc>
          <w:tcPr>
            <w:tcW w:w="15082" w:type="dxa"/>
            <w:gridSpan w:val="5"/>
            <w:tcBorders>
              <w:top w:val="nil"/>
              <w:left w:val="single" w:sz="8" w:space="0" w:color="auto"/>
              <w:bottom w:val="single" w:sz="8" w:space="0" w:color="auto"/>
              <w:right w:val="single" w:sz="8" w:space="0" w:color="000000"/>
            </w:tcBorders>
            <w:shd w:val="clear" w:color="auto" w:fill="auto"/>
            <w:vAlign w:val="center"/>
            <w:hideMark/>
          </w:tcPr>
          <w:p w14:paraId="39121B97" w14:textId="77777777" w:rsidR="0076210E" w:rsidRPr="00540B87" w:rsidRDefault="0076210E" w:rsidP="0076210E">
            <w:pPr>
              <w:spacing w:after="0" w:line="276" w:lineRule="auto"/>
              <w:rPr>
                <w:rFonts w:ascii="Times New Roman" w:eastAsia="Times New Roman" w:hAnsi="Times New Roman" w:cs="Times New Roman"/>
                <w:b/>
                <w:bCs/>
                <w:sz w:val="24"/>
                <w:szCs w:val="24"/>
                <w:lang w:eastAsia="bg-BG"/>
              </w:rPr>
            </w:pPr>
            <w:r w:rsidRPr="00540B87">
              <w:rPr>
                <w:rFonts w:ascii="Times New Roman" w:eastAsia="Times New Roman" w:hAnsi="Times New Roman" w:cs="Times New Roman"/>
                <w:b/>
                <w:bCs/>
                <w:sz w:val="24"/>
                <w:szCs w:val="24"/>
                <w:lang w:eastAsia="bg-BG"/>
              </w:rPr>
              <w:t xml:space="preserve">Засилване на мерките по контрола и превенцията на инфекциите и намаляване на случаите на инфекции чрез превантивни действия, добри хигиенни практики и ефективни противоепидемични мерки </w:t>
            </w:r>
          </w:p>
        </w:tc>
      </w:tr>
      <w:tr w:rsidR="0076210E" w:rsidRPr="00094F38" w14:paraId="3223CD0A"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0C500EB8"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b/>
                <w:bCs/>
                <w:sz w:val="24"/>
                <w:szCs w:val="24"/>
                <w:lang w:eastAsia="bg-BG"/>
              </w:rPr>
              <w:t>3.1.</w:t>
            </w:r>
            <w:r w:rsidRPr="00FB0F19">
              <w:rPr>
                <w:rFonts w:ascii="Times New Roman" w:eastAsia="Times New Roman" w:hAnsi="Times New Roman" w:cs="Times New Roman"/>
                <w:sz w:val="24"/>
                <w:szCs w:val="24"/>
                <w:lang w:eastAsia="bg-BG"/>
              </w:rPr>
              <w:t>Пилотен проект за въвеждане на бързи тестове в практиката на ОПЛ (т.нар. point of care), подпомагащи етиологичната диагностика на инфекциите с цел рационално използване на антибиотици</w:t>
            </w:r>
          </w:p>
        </w:tc>
        <w:tc>
          <w:tcPr>
            <w:tcW w:w="1843" w:type="dxa"/>
            <w:tcBorders>
              <w:top w:val="nil"/>
              <w:left w:val="nil"/>
              <w:bottom w:val="single" w:sz="4" w:space="0" w:color="auto"/>
              <w:right w:val="single" w:sz="8" w:space="0" w:color="auto"/>
            </w:tcBorders>
            <w:shd w:val="clear" w:color="auto" w:fill="auto"/>
            <w:vAlign w:val="center"/>
            <w:hideMark/>
          </w:tcPr>
          <w:p w14:paraId="76516D40" w14:textId="77777777" w:rsidR="0076210E" w:rsidRPr="00540B87"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540B87">
              <w:rPr>
                <w:rFonts w:ascii="Times New Roman" w:eastAsia="Times New Roman" w:hAnsi="Times New Roman" w:cs="Times New Roman"/>
                <w:b/>
                <w:bCs/>
                <w:sz w:val="24"/>
                <w:szCs w:val="24"/>
                <w:lang w:eastAsia="bg-BG"/>
              </w:rPr>
              <w:t> </w:t>
            </w:r>
          </w:p>
        </w:tc>
        <w:tc>
          <w:tcPr>
            <w:tcW w:w="1842" w:type="dxa"/>
            <w:tcBorders>
              <w:top w:val="nil"/>
              <w:left w:val="nil"/>
              <w:bottom w:val="single" w:sz="4" w:space="0" w:color="auto"/>
              <w:right w:val="single" w:sz="8" w:space="0" w:color="auto"/>
            </w:tcBorders>
            <w:shd w:val="clear" w:color="auto" w:fill="auto"/>
            <w:vAlign w:val="center"/>
            <w:hideMark/>
          </w:tcPr>
          <w:p w14:paraId="2CD92A3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nil"/>
              <w:left w:val="nil"/>
              <w:bottom w:val="single" w:sz="4" w:space="0" w:color="auto"/>
              <w:right w:val="single" w:sz="8" w:space="0" w:color="auto"/>
            </w:tcBorders>
            <w:shd w:val="clear" w:color="auto" w:fill="auto"/>
            <w:vAlign w:val="center"/>
            <w:hideMark/>
          </w:tcPr>
          <w:p w14:paraId="22360E8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nil"/>
              <w:left w:val="nil"/>
              <w:bottom w:val="single" w:sz="4" w:space="0" w:color="auto"/>
              <w:right w:val="single" w:sz="8" w:space="0" w:color="auto"/>
            </w:tcBorders>
            <w:shd w:val="clear" w:color="auto" w:fill="auto"/>
            <w:vAlign w:val="center"/>
            <w:hideMark/>
          </w:tcPr>
          <w:p w14:paraId="0ED8E708"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28A891DC" w14:textId="77777777" w:rsidTr="00243E68">
        <w:tc>
          <w:tcPr>
            <w:tcW w:w="772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27DB5C7"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НЦЗПБ</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4BB34F29" w14:textId="77777777" w:rsidR="0076210E" w:rsidRPr="00540B87"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103 000</w:t>
            </w:r>
          </w:p>
        </w:tc>
        <w:tc>
          <w:tcPr>
            <w:tcW w:w="1842" w:type="dxa"/>
            <w:tcBorders>
              <w:top w:val="single" w:sz="4" w:space="0" w:color="auto"/>
              <w:left w:val="nil"/>
              <w:bottom w:val="single" w:sz="8" w:space="0" w:color="auto"/>
              <w:right w:val="single" w:sz="8" w:space="0" w:color="auto"/>
            </w:tcBorders>
            <w:shd w:val="clear" w:color="auto" w:fill="auto"/>
            <w:vAlign w:val="center"/>
            <w:hideMark/>
          </w:tcPr>
          <w:p w14:paraId="38F0B6C1"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103 000</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059FE24F"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103 000</w:t>
            </w:r>
          </w:p>
        </w:tc>
        <w:tc>
          <w:tcPr>
            <w:tcW w:w="1829" w:type="dxa"/>
            <w:tcBorders>
              <w:top w:val="single" w:sz="4" w:space="0" w:color="auto"/>
              <w:left w:val="nil"/>
              <w:bottom w:val="single" w:sz="8" w:space="0" w:color="auto"/>
              <w:right w:val="single" w:sz="8" w:space="0" w:color="auto"/>
            </w:tcBorders>
            <w:shd w:val="clear" w:color="auto" w:fill="auto"/>
            <w:vAlign w:val="center"/>
            <w:hideMark/>
          </w:tcPr>
          <w:p w14:paraId="61B99C28"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p>
        </w:tc>
      </w:tr>
      <w:tr w:rsidR="0076210E" w:rsidRPr="00094F38" w14:paraId="13C7417A"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5F06AE7"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3.3. </w:t>
            </w:r>
            <w:r w:rsidRPr="00FB0F19">
              <w:rPr>
                <w:rFonts w:ascii="Times New Roman" w:eastAsia="Times New Roman" w:hAnsi="Times New Roman" w:cs="Times New Roman"/>
                <w:sz w:val="24"/>
                <w:szCs w:val="24"/>
                <w:lang w:eastAsia="bg-BG"/>
              </w:rPr>
              <w:t>Укрепване на управлението на антибиотичната политика в болничната помощ съгласно утвърдения медицински стандарт по превенция и контрол на ВБИ и Наредба 2 от 10.01.2005 г. за организацията на профилактиката и контрола на ВБИ (обн. ДВ бр. 8 от 2005</w:t>
            </w:r>
            <w:r>
              <w:rPr>
                <w:rFonts w:ascii="Times New Roman" w:eastAsia="Times New Roman" w:hAnsi="Times New Roman" w:cs="Times New Roman"/>
                <w:sz w:val="24"/>
                <w:szCs w:val="24"/>
                <w:lang w:eastAsia="bg-BG"/>
              </w:rPr>
              <w:t xml:space="preserve"> </w:t>
            </w:r>
            <w:r w:rsidRPr="00FB0F19">
              <w:rPr>
                <w:rFonts w:ascii="Times New Roman" w:eastAsia="Times New Roman" w:hAnsi="Times New Roman" w:cs="Times New Roman"/>
                <w:sz w:val="24"/>
                <w:szCs w:val="24"/>
                <w:lang w:eastAsia="bg-BG"/>
              </w:rPr>
              <w:t>г., изм. и доп. бр.69 от 2010</w:t>
            </w:r>
            <w:r>
              <w:rPr>
                <w:rFonts w:ascii="Times New Roman" w:eastAsia="Times New Roman" w:hAnsi="Times New Roman" w:cs="Times New Roman"/>
                <w:sz w:val="24"/>
                <w:szCs w:val="24"/>
                <w:lang w:eastAsia="bg-BG"/>
              </w:rPr>
              <w:t xml:space="preserve"> </w:t>
            </w:r>
            <w:r w:rsidRPr="00FB0F19">
              <w:rPr>
                <w:rFonts w:ascii="Times New Roman" w:eastAsia="Times New Roman" w:hAnsi="Times New Roman" w:cs="Times New Roman"/>
                <w:sz w:val="24"/>
                <w:szCs w:val="24"/>
                <w:lang w:eastAsia="bg-BG"/>
              </w:rPr>
              <w:t>г.) чрез:</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34212C8"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8D76DF5"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6BA207A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420D501D"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372061A3"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5E27B01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анализ на практиките за отчитане на ВБИ, идентифициране на съществуващи проблеми и предприемане на съответни действия, вкл. предложения за нормативни промени при необходимост за подобряване на отчетността и контрола;</w:t>
            </w:r>
          </w:p>
        </w:tc>
        <w:tc>
          <w:tcPr>
            <w:tcW w:w="1843" w:type="dxa"/>
            <w:vMerge/>
            <w:tcBorders>
              <w:top w:val="nil"/>
              <w:left w:val="single" w:sz="8" w:space="0" w:color="auto"/>
              <w:bottom w:val="single" w:sz="8" w:space="0" w:color="000000"/>
              <w:right w:val="single" w:sz="8" w:space="0" w:color="auto"/>
            </w:tcBorders>
            <w:vAlign w:val="center"/>
            <w:hideMark/>
          </w:tcPr>
          <w:p w14:paraId="339B9390"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7278C50A"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1E2C06A6"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1A07C514"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341191CC"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704E8E17"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lastRenderedPageBreak/>
              <w:t xml:space="preserve">- изготвяне на ръководство за ограничаване разпространението на множествено-резистентни бактерии посредством мерки за превенция и контрол на инфекциите в лечебните заведения за болнична помощ; </w:t>
            </w:r>
          </w:p>
        </w:tc>
        <w:tc>
          <w:tcPr>
            <w:tcW w:w="1843" w:type="dxa"/>
            <w:vMerge/>
            <w:tcBorders>
              <w:top w:val="nil"/>
              <w:left w:val="single" w:sz="8" w:space="0" w:color="auto"/>
              <w:bottom w:val="single" w:sz="8" w:space="0" w:color="000000"/>
              <w:right w:val="single" w:sz="8" w:space="0" w:color="auto"/>
            </w:tcBorders>
            <w:vAlign w:val="center"/>
            <w:hideMark/>
          </w:tcPr>
          <w:p w14:paraId="10AE0D6E"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0045FF38"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185CBB0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38807B9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07877604"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21131188"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ревизиране на алгоритмите на клинични пътеки с оглед прилагане на правилата за антибиотична употреба и управление на консумацията на антибиотици;</w:t>
            </w:r>
          </w:p>
        </w:tc>
        <w:tc>
          <w:tcPr>
            <w:tcW w:w="1843" w:type="dxa"/>
            <w:vMerge/>
            <w:tcBorders>
              <w:top w:val="nil"/>
              <w:left w:val="single" w:sz="8" w:space="0" w:color="auto"/>
              <w:bottom w:val="single" w:sz="8" w:space="0" w:color="000000"/>
              <w:right w:val="single" w:sz="8" w:space="0" w:color="auto"/>
            </w:tcBorders>
            <w:vAlign w:val="center"/>
            <w:hideMark/>
          </w:tcPr>
          <w:p w14:paraId="739460C0"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E50977E"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14D08C6D"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1FA7E84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75D530DC"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72C73916"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изготвяне на протоколи и въвеждане на селективен скриниг за носителство на множествено-резистентни причинители (CRE и CCRE и др.) при рискови групи пациенти и медицинки персонал; </w:t>
            </w:r>
          </w:p>
        </w:tc>
        <w:tc>
          <w:tcPr>
            <w:tcW w:w="1843" w:type="dxa"/>
            <w:vMerge/>
            <w:tcBorders>
              <w:top w:val="nil"/>
              <w:left w:val="single" w:sz="8" w:space="0" w:color="auto"/>
              <w:bottom w:val="single" w:sz="8" w:space="0" w:color="000000"/>
              <w:right w:val="single" w:sz="8" w:space="0" w:color="auto"/>
            </w:tcBorders>
            <w:vAlign w:val="center"/>
            <w:hideMark/>
          </w:tcPr>
          <w:p w14:paraId="5FE605B0"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6752527"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71F1872"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6EF987A1"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56C436DA"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0EC04E0D"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изготвяне на предложение за нормативно изискване, задължаващо болниците да поддържат и представят изолационни стаи за пациенти, колонизирани или с инфекции, причинени от определени рискови групи резистентни микроорганизми.</w:t>
            </w:r>
          </w:p>
        </w:tc>
        <w:tc>
          <w:tcPr>
            <w:tcW w:w="1843" w:type="dxa"/>
            <w:vMerge/>
            <w:tcBorders>
              <w:top w:val="nil"/>
              <w:left w:val="single" w:sz="8" w:space="0" w:color="auto"/>
              <w:bottom w:val="single" w:sz="8" w:space="0" w:color="000000"/>
              <w:right w:val="single" w:sz="8" w:space="0" w:color="auto"/>
            </w:tcBorders>
            <w:vAlign w:val="center"/>
            <w:hideMark/>
          </w:tcPr>
          <w:p w14:paraId="027F1262"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5FF0DBEB"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3631A78E"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29F5D39F"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76906E09"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40793CF6"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Провеждане на проучване, насочено към промяната на АМР след едногодишен период на активна употреба на макролиди, трето-генерационни цефалоспорини и други широкоспектърни антимикробни средства по време на пандемията от COVID-19 в България. Охарактеризиране на нови механизми на резистентност с най-съвременни генетични методи и публикуване на резултатите в референтни български и международни източници.</w:t>
            </w:r>
          </w:p>
        </w:tc>
        <w:tc>
          <w:tcPr>
            <w:tcW w:w="1843" w:type="dxa"/>
            <w:vMerge/>
            <w:tcBorders>
              <w:top w:val="nil"/>
              <w:left w:val="single" w:sz="8" w:space="0" w:color="auto"/>
              <w:bottom w:val="single" w:sz="4" w:space="0" w:color="auto"/>
              <w:right w:val="single" w:sz="8" w:space="0" w:color="auto"/>
            </w:tcBorders>
            <w:vAlign w:val="center"/>
            <w:hideMark/>
          </w:tcPr>
          <w:p w14:paraId="0624753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4" w:space="0" w:color="auto"/>
              <w:right w:val="single" w:sz="8" w:space="0" w:color="auto"/>
            </w:tcBorders>
            <w:vAlign w:val="center"/>
            <w:hideMark/>
          </w:tcPr>
          <w:p w14:paraId="3FB0D21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4" w:space="0" w:color="auto"/>
              <w:right w:val="single" w:sz="8" w:space="0" w:color="auto"/>
            </w:tcBorders>
            <w:vAlign w:val="center"/>
            <w:hideMark/>
          </w:tcPr>
          <w:p w14:paraId="7D7958EE"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4" w:space="0" w:color="auto"/>
              <w:right w:val="single" w:sz="8" w:space="0" w:color="auto"/>
            </w:tcBorders>
            <w:vAlign w:val="center"/>
            <w:hideMark/>
          </w:tcPr>
          <w:p w14:paraId="33559DB8"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p>
        </w:tc>
      </w:tr>
      <w:tr w:rsidR="0076210E" w:rsidRPr="00094F38" w14:paraId="2D332695"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A5971"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НЦЗПБ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5F56D" w14:textId="77777777" w:rsidR="0076210E" w:rsidRPr="00540B87"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sidRPr="00540B87">
              <w:rPr>
                <w:rFonts w:ascii="Times New Roman" w:eastAsia="Times New Roman" w:hAnsi="Times New Roman" w:cs="Times New Roman"/>
                <w:sz w:val="24"/>
                <w:szCs w:val="24"/>
                <w:lang w:val="en-US" w:eastAsia="bg-BG"/>
              </w:rPr>
              <w:t>10 300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54B55"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7FBEE"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8C38F"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16353A30"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5BEF9B"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3.4. </w:t>
            </w:r>
            <w:r w:rsidRPr="00FB0F19">
              <w:rPr>
                <w:rFonts w:ascii="Times New Roman" w:eastAsia="Times New Roman" w:hAnsi="Times New Roman" w:cs="Times New Roman"/>
                <w:sz w:val="24"/>
                <w:szCs w:val="24"/>
                <w:lang w:eastAsia="bg-BG"/>
              </w:rPr>
              <w:t>Провеждане на национални и регионални</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кампании за повишаване на осведомеността относно ползата от ваксините и ефекта им върху ограничаване на АМР и антибиотичната консумация</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4803E01B" w14:textId="77777777" w:rsidR="0076210E" w:rsidRPr="00540B87"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540B87">
              <w:rPr>
                <w:rFonts w:ascii="Times New Roman" w:eastAsia="Times New Roman" w:hAnsi="Times New Roman" w:cs="Times New Roman"/>
                <w:b/>
                <w:bCs/>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57B93AA2"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780B35FC"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6122FC48"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1484FD28"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09B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НЦЗПБ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C037" w14:textId="77777777" w:rsidR="0076210E" w:rsidRPr="00540B87"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540B87">
              <w:rPr>
                <w:rFonts w:ascii="Times New Roman" w:eastAsia="Times New Roman" w:hAnsi="Times New Roman" w:cs="Times New Roman"/>
                <w:sz w:val="24"/>
                <w:szCs w:val="24"/>
                <w:lang w:val="en-US" w:eastAsia="bg-BG"/>
              </w:rPr>
              <w:t>2 600</w:t>
            </w:r>
            <w:r w:rsidRPr="00540B87">
              <w:rPr>
                <w:rFonts w:ascii="Times New Roman" w:eastAsia="Times New Roman" w:hAnsi="Times New Roman" w:cs="Times New Roman"/>
                <w:sz w:val="24"/>
                <w:szCs w:val="24"/>
                <w:lang w:eastAsia="bg-BG"/>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DFF29"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28111"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335B"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p>
        </w:tc>
      </w:tr>
      <w:tr w:rsidR="0076210E" w:rsidRPr="00094F38" w14:paraId="49309BAD"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0ABDE"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РЗИ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E304D"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FCCD7"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2 600</w:t>
            </w:r>
            <w:r w:rsidRPr="00FB0F19">
              <w:rPr>
                <w:rFonts w:ascii="Times New Roman" w:eastAsia="Times New Roman" w:hAnsi="Times New Roman" w:cs="Times New Roman"/>
                <w:sz w:val="24"/>
                <w:szCs w:val="24"/>
                <w:lang w:eastAsia="bg-BG"/>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25044"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2 600</w:t>
            </w:r>
            <w:r w:rsidRPr="00FB0F19">
              <w:rPr>
                <w:rFonts w:ascii="Times New Roman" w:eastAsia="Times New Roman" w:hAnsi="Times New Roman" w:cs="Times New Roman"/>
                <w:sz w:val="24"/>
                <w:szCs w:val="24"/>
                <w:lang w:eastAsia="bg-BG"/>
              </w:rPr>
              <w:t xml:space="preserve">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DF36E"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2 600</w:t>
            </w:r>
            <w:r w:rsidRPr="00FB0F19">
              <w:rPr>
                <w:rFonts w:ascii="Times New Roman" w:eastAsia="Times New Roman" w:hAnsi="Times New Roman" w:cs="Times New Roman"/>
                <w:sz w:val="24"/>
                <w:szCs w:val="24"/>
                <w:lang w:eastAsia="bg-BG"/>
              </w:rPr>
              <w:t xml:space="preserve"> </w:t>
            </w:r>
          </w:p>
        </w:tc>
      </w:tr>
      <w:tr w:rsidR="0076210E" w:rsidRPr="00094F38" w14:paraId="6D42A5F2"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D11815"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3.5.</w:t>
            </w:r>
            <w:r w:rsidRPr="00FB0F19">
              <w:rPr>
                <w:rFonts w:ascii="Times New Roman" w:eastAsia="Times New Roman" w:hAnsi="Times New Roman" w:cs="Times New Roman"/>
                <w:sz w:val="24"/>
                <w:szCs w:val="24"/>
                <w:lang w:eastAsia="bg-BG"/>
              </w:rPr>
              <w:t xml:space="preserve"> Провеждане на семинари, обучителни курсове и информационни кампании за повишаване на знанията на заетите в животновъдството (вкл. собствениците на домашни любимци и на животните, отглеждани </w:t>
            </w:r>
            <w:r w:rsidRPr="00FB0F19">
              <w:rPr>
                <w:rFonts w:ascii="Times New Roman" w:eastAsia="Times New Roman" w:hAnsi="Times New Roman" w:cs="Times New Roman"/>
                <w:sz w:val="24"/>
                <w:szCs w:val="24"/>
                <w:lang w:eastAsia="bg-BG"/>
              </w:rPr>
              <w:lastRenderedPageBreak/>
              <w:t>за ценни кожи) за изготвяне и прилагане на планове за опазване здравето и подобряване на хуманното отношение към животните.</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895CE79"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lastRenderedPageBreak/>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661EC090"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44CE2E87"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34DBBF32" w14:textId="77777777" w:rsidR="0076210E" w:rsidRPr="00FB0F19" w:rsidRDefault="0076210E" w:rsidP="0076210E">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76210E" w:rsidRPr="00094F38" w14:paraId="6FA7074F"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2B60"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МЗХ</w:t>
            </w:r>
            <w:r w:rsidRPr="00FB0F19">
              <w:rPr>
                <w:rFonts w:ascii="Times New Roman" w:eastAsia="Times New Roman" w:hAnsi="Times New Roman" w:cs="Times New Roman"/>
                <w:sz w:val="24"/>
                <w:szCs w:val="24"/>
                <w:lang w:eastAsia="bg-BG"/>
              </w:rPr>
              <w:t xml:space="preserve"> и БАБХ* </w:t>
            </w:r>
            <w:r w:rsidRPr="00FB0F19">
              <w:rPr>
                <w:rFonts w:ascii="Times New Roman" w:eastAsia="Times New Roman" w:hAnsi="Times New Roman" w:cs="Times New Roman"/>
                <w:b/>
                <w:bCs/>
                <w:sz w:val="24"/>
                <w:szCs w:val="24"/>
                <w:lang w:eastAsia="bg-BG"/>
              </w:rPr>
              <w:t>(Дейностите ще се финансират чрез СПРЗСР 2023</w:t>
            </w:r>
            <w:r>
              <w:rPr>
                <w:rFonts w:ascii="Times New Roman" w:eastAsia="Times New Roman" w:hAnsi="Times New Roman" w:cs="Times New Roman"/>
                <w:b/>
                <w:bCs/>
                <w:sz w:val="24"/>
                <w:szCs w:val="24"/>
                <w:lang w:eastAsia="bg-BG"/>
              </w:rPr>
              <w:t xml:space="preserve"> – </w:t>
            </w:r>
            <w:r w:rsidRPr="00FB0F19">
              <w:rPr>
                <w:rFonts w:ascii="Times New Roman" w:eastAsia="Times New Roman" w:hAnsi="Times New Roman" w:cs="Times New Roman"/>
                <w:b/>
                <w:bCs/>
                <w:sz w:val="24"/>
                <w:szCs w:val="24"/>
                <w:lang w:eastAsia="bg-BG"/>
              </w:rPr>
              <w:t>2027)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E275"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58184"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664B7"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2B06C"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r>
      <w:tr w:rsidR="0076210E" w:rsidRPr="00094F38" w14:paraId="7419D2EC"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0471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3.6. </w:t>
            </w:r>
            <w:r w:rsidRPr="00FB0F19">
              <w:rPr>
                <w:rFonts w:ascii="Times New Roman" w:eastAsia="Times New Roman" w:hAnsi="Times New Roman" w:cs="Times New Roman"/>
                <w:sz w:val="24"/>
                <w:szCs w:val="24"/>
                <w:lang w:eastAsia="bg-BG"/>
              </w:rPr>
              <w:t>Насърчаване прилагането на нови терапевтични алтернативи на употребата на антибиотици сред фермерите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9AF6"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C156"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1BE48"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DB948"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08337402"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DAAC9"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DAF06"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03008"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54E3"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841DD" w14:textId="77777777" w:rsidR="0076210E" w:rsidRPr="0076210E" w:rsidRDefault="0076210E" w:rsidP="0076210E">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12 800</w:t>
            </w:r>
          </w:p>
        </w:tc>
      </w:tr>
      <w:tr w:rsidR="0076210E" w:rsidRPr="00094F38" w14:paraId="59D2EB1A"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3776"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3.7. </w:t>
            </w:r>
            <w:r w:rsidRPr="00FB0F19">
              <w:rPr>
                <w:rFonts w:ascii="Times New Roman" w:eastAsia="Times New Roman" w:hAnsi="Times New Roman" w:cs="Times New Roman"/>
                <w:sz w:val="24"/>
                <w:szCs w:val="24"/>
                <w:lang w:eastAsia="bg-BG"/>
              </w:rPr>
              <w:t>Повишаване на знанията на заетите в животновъдството по отношение на необходимостта от прилагане и спазване на мерките за биосигурност и биобезопасност в животновъдните обекти, с цел превенция и намаляване на риска от проникване на инфекциозни агенти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6F53"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AB9B"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D14BA"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0FEFC"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5966751E"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23152"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МЗХ</w:t>
            </w:r>
            <w:r w:rsidRPr="00FB0F19">
              <w:rPr>
                <w:rFonts w:ascii="Times New Roman" w:eastAsia="Times New Roman" w:hAnsi="Times New Roman" w:cs="Times New Roman"/>
                <w:sz w:val="24"/>
                <w:szCs w:val="24"/>
                <w:lang w:eastAsia="bg-BG"/>
              </w:rPr>
              <w:t xml:space="preserve"> и БАБХ финансиране чрез СПРЗСР 2023-2027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AC759"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E496B"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36E88"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42E06" w14:textId="77777777" w:rsidR="0076210E" w:rsidRPr="00FB0F19" w:rsidRDefault="0076210E" w:rsidP="0076210E">
            <w:pPr>
              <w:spacing w:after="0" w:line="276" w:lineRule="auto"/>
              <w:ind w:right="283"/>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r>
      <w:tr w:rsidR="0076210E" w:rsidRPr="00094F38" w14:paraId="27D6F11D" w14:textId="77777777" w:rsidTr="003016E8">
        <w:tc>
          <w:tcPr>
            <w:tcW w:w="15082" w:type="dxa"/>
            <w:gridSpan w:val="5"/>
            <w:tcBorders>
              <w:top w:val="single" w:sz="4" w:space="0" w:color="auto"/>
              <w:left w:val="single" w:sz="8" w:space="0" w:color="auto"/>
              <w:bottom w:val="nil"/>
              <w:right w:val="single" w:sz="8" w:space="0" w:color="000000"/>
            </w:tcBorders>
            <w:shd w:val="clear" w:color="auto" w:fill="auto"/>
            <w:vAlign w:val="center"/>
            <w:hideMark/>
          </w:tcPr>
          <w:p w14:paraId="4AA7F10A"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Основна цел 4:</w:t>
            </w:r>
          </w:p>
        </w:tc>
      </w:tr>
      <w:tr w:rsidR="0076210E" w:rsidRPr="00094F38" w14:paraId="420C935A" w14:textId="77777777" w:rsidTr="008F2858">
        <w:tc>
          <w:tcPr>
            <w:tcW w:w="15082" w:type="dxa"/>
            <w:gridSpan w:val="5"/>
            <w:tcBorders>
              <w:top w:val="nil"/>
              <w:left w:val="single" w:sz="8" w:space="0" w:color="auto"/>
              <w:bottom w:val="single" w:sz="8" w:space="0" w:color="auto"/>
              <w:right w:val="single" w:sz="8" w:space="0" w:color="000000"/>
            </w:tcBorders>
            <w:shd w:val="clear" w:color="auto" w:fill="auto"/>
            <w:vAlign w:val="center"/>
            <w:hideMark/>
          </w:tcPr>
          <w:p w14:paraId="7BECAF43"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Оптимизиране на прилагането на антибиотици при хора и животни</w:t>
            </w:r>
            <w:r w:rsidRPr="00FB0F19">
              <w:rPr>
                <w:rFonts w:ascii="Times New Roman" w:eastAsia="Times New Roman" w:hAnsi="Times New Roman" w:cs="Times New Roman"/>
                <w:sz w:val="24"/>
                <w:szCs w:val="24"/>
                <w:lang w:eastAsia="bg-BG"/>
              </w:rPr>
              <w:t xml:space="preserve"> </w:t>
            </w:r>
          </w:p>
        </w:tc>
      </w:tr>
      <w:tr w:rsidR="0076210E" w:rsidRPr="00094F38" w14:paraId="683F2920"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777DC0D4"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4.1. </w:t>
            </w:r>
            <w:r w:rsidRPr="00FB0F19">
              <w:rPr>
                <w:rFonts w:ascii="Times New Roman" w:eastAsia="Times New Roman" w:hAnsi="Times New Roman" w:cs="Times New Roman"/>
                <w:sz w:val="24"/>
                <w:szCs w:val="24"/>
                <w:lang w:eastAsia="bg-BG"/>
              </w:rPr>
              <w:t>Разработване, изграждане и поддържане</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на национални електронни системи към НРЛ в НЦЗПБ за проследяване на консумацията и на чувствителността на антибиотици в извънболничната помощ и усъвършенстване на наличните системи в болничната помощ, с възможност за анализ на данните на регионално и национално ниво.</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E5B7CC1"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06CDB5C8"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CC37FF1"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13100291"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5AEE6610"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5A199028"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Интегриране надзора на консумацията на антибиотици в Националната здравна информационна система (НЗИС)</w:t>
            </w:r>
          </w:p>
        </w:tc>
        <w:tc>
          <w:tcPr>
            <w:tcW w:w="1843" w:type="dxa"/>
            <w:vMerge/>
            <w:tcBorders>
              <w:top w:val="nil"/>
              <w:left w:val="single" w:sz="8" w:space="0" w:color="auto"/>
              <w:bottom w:val="single" w:sz="8" w:space="0" w:color="000000"/>
              <w:right w:val="single" w:sz="8" w:space="0" w:color="auto"/>
            </w:tcBorders>
            <w:vAlign w:val="center"/>
            <w:hideMark/>
          </w:tcPr>
          <w:p w14:paraId="21BC3F13"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4DCC8EFF"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3B96B756"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20042AE5"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p>
        </w:tc>
      </w:tr>
      <w:tr w:rsidR="0076210E" w:rsidRPr="00094F38" w14:paraId="14561F68"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06CE499C"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НЦЗПБ</w:t>
            </w:r>
          </w:p>
        </w:tc>
        <w:tc>
          <w:tcPr>
            <w:tcW w:w="1843" w:type="dxa"/>
            <w:tcBorders>
              <w:top w:val="nil"/>
              <w:left w:val="nil"/>
              <w:bottom w:val="single" w:sz="4" w:space="0" w:color="auto"/>
              <w:right w:val="single" w:sz="8" w:space="0" w:color="auto"/>
            </w:tcBorders>
            <w:shd w:val="clear" w:color="auto" w:fill="auto"/>
            <w:vAlign w:val="center"/>
            <w:hideMark/>
          </w:tcPr>
          <w:p w14:paraId="32EA9853" w14:textId="77777777" w:rsidR="0076210E" w:rsidRPr="00397364" w:rsidRDefault="0076210E" w:rsidP="0076210E">
            <w:pPr>
              <w:spacing w:after="0" w:line="276" w:lineRule="auto"/>
              <w:ind w:right="284"/>
              <w:jc w:val="right"/>
              <w:rPr>
                <w:rFonts w:ascii="Times New Roman" w:eastAsia="Times New Roman" w:hAnsi="Times New Roman" w:cs="Times New Roman"/>
                <w:sz w:val="24"/>
                <w:szCs w:val="24"/>
                <w:highlight w:val="yellow"/>
                <w:lang w:val="en-US" w:eastAsia="bg-BG"/>
              </w:rPr>
            </w:pPr>
            <w:r w:rsidRPr="00540B87">
              <w:rPr>
                <w:rFonts w:ascii="Times New Roman" w:eastAsia="Times New Roman" w:hAnsi="Times New Roman" w:cs="Times New Roman"/>
                <w:sz w:val="24"/>
                <w:szCs w:val="24"/>
                <w:lang w:val="en-US" w:eastAsia="bg-BG"/>
              </w:rPr>
              <w:t>77 000</w:t>
            </w:r>
          </w:p>
        </w:tc>
        <w:tc>
          <w:tcPr>
            <w:tcW w:w="1842" w:type="dxa"/>
            <w:tcBorders>
              <w:top w:val="nil"/>
              <w:left w:val="nil"/>
              <w:bottom w:val="single" w:sz="4" w:space="0" w:color="auto"/>
              <w:right w:val="single" w:sz="8" w:space="0" w:color="auto"/>
            </w:tcBorders>
            <w:shd w:val="clear" w:color="auto" w:fill="auto"/>
            <w:vAlign w:val="center"/>
            <w:hideMark/>
          </w:tcPr>
          <w:p w14:paraId="6CE279E6"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52 000</w:t>
            </w:r>
          </w:p>
        </w:tc>
        <w:tc>
          <w:tcPr>
            <w:tcW w:w="1843" w:type="dxa"/>
            <w:tcBorders>
              <w:top w:val="nil"/>
              <w:left w:val="nil"/>
              <w:bottom w:val="single" w:sz="4" w:space="0" w:color="auto"/>
              <w:right w:val="single" w:sz="8" w:space="0" w:color="auto"/>
            </w:tcBorders>
            <w:shd w:val="clear" w:color="auto" w:fill="auto"/>
            <w:vAlign w:val="center"/>
            <w:hideMark/>
          </w:tcPr>
          <w:p w14:paraId="476B4CEA"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c>
          <w:tcPr>
            <w:tcW w:w="1829" w:type="dxa"/>
            <w:tcBorders>
              <w:top w:val="nil"/>
              <w:left w:val="nil"/>
              <w:bottom w:val="single" w:sz="4" w:space="0" w:color="auto"/>
              <w:right w:val="single" w:sz="8" w:space="0" w:color="auto"/>
            </w:tcBorders>
            <w:shd w:val="clear" w:color="auto" w:fill="auto"/>
            <w:vAlign w:val="center"/>
            <w:hideMark/>
          </w:tcPr>
          <w:p w14:paraId="7A727742"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r>
      <w:tr w:rsidR="0076210E" w:rsidRPr="00094F38" w14:paraId="7E823A03"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F9925"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за изграждане / интегриране на ИТ системи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2FB67" w14:textId="77777777" w:rsidR="0076210E" w:rsidRPr="00397364" w:rsidRDefault="00397364"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77 000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38BE3" w14:textId="77777777" w:rsidR="0076210E" w:rsidRPr="00397364" w:rsidRDefault="00397364"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A6BC4"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5120D"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r>
      <w:tr w:rsidR="0076210E" w:rsidRPr="00094F38" w14:paraId="7E7158D3"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87541" w14:textId="77777777" w:rsidR="0076210E" w:rsidRPr="00FB0F19" w:rsidRDefault="0076210E" w:rsidP="0076210E">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за подръжка на ИТ системи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73BAC" w14:textId="77777777" w:rsidR="0076210E" w:rsidRPr="00FB0F19" w:rsidRDefault="0076210E" w:rsidP="0076210E">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8EF07" w14:textId="77777777" w:rsidR="0076210E" w:rsidRPr="00397364" w:rsidRDefault="00397364"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CC91"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2952A" w14:textId="77777777" w:rsidR="0076210E" w:rsidRPr="0076210E" w:rsidRDefault="0076210E" w:rsidP="0076210E">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26 000</w:t>
            </w:r>
          </w:p>
        </w:tc>
      </w:tr>
      <w:tr w:rsidR="0076210E" w:rsidRPr="00094F38" w14:paraId="171AB72D" w14:textId="77777777" w:rsidTr="00243E68">
        <w:tc>
          <w:tcPr>
            <w:tcW w:w="77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699E6C" w14:textId="77777777" w:rsidR="0076210E" w:rsidRPr="00FB0F19" w:rsidRDefault="0076210E" w:rsidP="0076210E">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4.3. </w:t>
            </w:r>
            <w:r w:rsidRPr="00FB0F19">
              <w:rPr>
                <w:rFonts w:ascii="Times New Roman" w:eastAsia="Times New Roman" w:hAnsi="Times New Roman" w:cs="Times New Roman"/>
                <w:sz w:val="24"/>
                <w:szCs w:val="24"/>
                <w:lang w:eastAsia="bg-BG"/>
              </w:rPr>
              <w:t>Политика за насърчаване на фармацевтичния сектор във ветеринарната област да поддържа наличността от антибиотици с добре установена употреба с цел ограничаване използването на по-нови и важни за хуманната медицина антибиотици</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37EF742B"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784874C7"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nil"/>
              <w:bottom w:val="single" w:sz="4" w:space="0" w:color="auto"/>
              <w:right w:val="single" w:sz="8" w:space="0" w:color="auto"/>
            </w:tcBorders>
            <w:shd w:val="clear" w:color="auto" w:fill="auto"/>
            <w:vAlign w:val="center"/>
            <w:hideMark/>
          </w:tcPr>
          <w:p w14:paraId="0EB4EA5C"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nil"/>
              <w:bottom w:val="single" w:sz="4" w:space="0" w:color="auto"/>
              <w:right w:val="single" w:sz="8" w:space="0" w:color="auto"/>
            </w:tcBorders>
            <w:shd w:val="clear" w:color="auto" w:fill="auto"/>
            <w:vAlign w:val="center"/>
            <w:hideMark/>
          </w:tcPr>
          <w:p w14:paraId="4D8F8CD5" w14:textId="77777777" w:rsidR="0076210E" w:rsidRPr="00FB0F19" w:rsidRDefault="0076210E" w:rsidP="0076210E">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57DAD460"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ED1F"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БАБХ (организиране и провеждане на срещи и семинари)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2ABCF"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ED41"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BB446"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FBD37"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r>
      <w:tr w:rsidR="00397364" w:rsidRPr="00094F38" w14:paraId="6631AE56" w14:textId="77777777" w:rsidTr="00243E68">
        <w:tc>
          <w:tcPr>
            <w:tcW w:w="7725" w:type="dxa"/>
            <w:tcBorders>
              <w:top w:val="single" w:sz="4" w:space="0" w:color="auto"/>
              <w:left w:val="single" w:sz="8" w:space="0" w:color="auto"/>
              <w:bottom w:val="nil"/>
              <w:right w:val="single" w:sz="8" w:space="0" w:color="auto"/>
            </w:tcBorders>
            <w:shd w:val="clear" w:color="auto" w:fill="auto"/>
            <w:vAlign w:val="center"/>
            <w:hideMark/>
          </w:tcPr>
          <w:p w14:paraId="01124836"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lastRenderedPageBreak/>
              <w:t>4.4.</w:t>
            </w:r>
            <w:r w:rsidRPr="00FB0F19">
              <w:rPr>
                <w:rFonts w:ascii="Times New Roman" w:eastAsia="Times New Roman" w:hAnsi="Times New Roman" w:cs="Times New Roman"/>
                <w:sz w:val="24"/>
                <w:szCs w:val="24"/>
                <w:lang w:eastAsia="bg-BG"/>
              </w:rPr>
              <w:t xml:space="preserve"> Приоритетно вземане на проби от антимикробни ВЛП за анализ по Програмата за контрол на качеството на ВЛП в търговската мрежа</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568F138"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5FAD4A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2BBD6EA"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0B30B237"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1D334D78"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1AFA0897"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05283930"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73269FF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BD44D35"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0AA2A8D3"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1D83CB5E"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542FAB84"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w:t>
            </w:r>
          </w:p>
        </w:tc>
        <w:tc>
          <w:tcPr>
            <w:tcW w:w="1843" w:type="dxa"/>
            <w:tcBorders>
              <w:top w:val="nil"/>
              <w:left w:val="nil"/>
              <w:bottom w:val="single" w:sz="8" w:space="0" w:color="auto"/>
              <w:right w:val="single" w:sz="8" w:space="0" w:color="auto"/>
            </w:tcBorders>
            <w:shd w:val="clear" w:color="auto" w:fill="auto"/>
            <w:vAlign w:val="center"/>
            <w:hideMark/>
          </w:tcPr>
          <w:p w14:paraId="43D3C643"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2" w:type="dxa"/>
            <w:tcBorders>
              <w:top w:val="nil"/>
              <w:left w:val="nil"/>
              <w:bottom w:val="single" w:sz="8" w:space="0" w:color="auto"/>
              <w:right w:val="single" w:sz="8" w:space="0" w:color="auto"/>
            </w:tcBorders>
            <w:shd w:val="clear" w:color="auto" w:fill="auto"/>
            <w:vAlign w:val="center"/>
            <w:hideMark/>
          </w:tcPr>
          <w:p w14:paraId="2E69D3FB"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nil"/>
              <w:left w:val="nil"/>
              <w:bottom w:val="single" w:sz="8" w:space="0" w:color="auto"/>
              <w:right w:val="single" w:sz="8" w:space="0" w:color="auto"/>
            </w:tcBorders>
            <w:shd w:val="clear" w:color="auto" w:fill="auto"/>
            <w:vAlign w:val="center"/>
            <w:hideMark/>
          </w:tcPr>
          <w:p w14:paraId="2CF5FD48"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nil"/>
              <w:left w:val="nil"/>
              <w:bottom w:val="single" w:sz="8" w:space="0" w:color="auto"/>
              <w:right w:val="single" w:sz="8" w:space="0" w:color="auto"/>
            </w:tcBorders>
            <w:shd w:val="clear" w:color="auto" w:fill="auto"/>
            <w:vAlign w:val="center"/>
            <w:hideMark/>
          </w:tcPr>
          <w:p w14:paraId="7402765D"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r>
      <w:tr w:rsidR="00397364" w:rsidRPr="00094F38" w14:paraId="71AA708B"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41D991B"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4.6.</w:t>
            </w:r>
            <w:r w:rsidRPr="00FB0F19">
              <w:rPr>
                <w:rFonts w:ascii="Times New Roman" w:eastAsia="Times New Roman" w:hAnsi="Times New Roman" w:cs="Times New Roman"/>
                <w:sz w:val="24"/>
                <w:szCs w:val="24"/>
                <w:lang w:eastAsia="bg-BG"/>
              </w:rPr>
              <w:t xml:space="preserve"> Повишаване отговорността на регистрираните ветеринарни лекари при предписване на антимикробни ВЛП, чрез разработване на насоки за добри практики при използване на антибиотици за лечение на заболявания при домашни животни, фокусирани върху установени групи патологии с икономическо значение</w:t>
            </w:r>
            <w:r>
              <w:rPr>
                <w:rFonts w:ascii="Times New Roman" w:eastAsia="Times New Roman" w:hAnsi="Times New Roman" w:cs="Times New Roman"/>
                <w:sz w:val="24"/>
                <w:szCs w:val="24"/>
                <w:lang w:eastAsia="bg-BG"/>
              </w:rPr>
              <w:t>.</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E879758"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2C5F273"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EF2D355"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54A24E80"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64A32BA4"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32AC81DA"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Срещи/семинари със заинтересованите страни относно насърчаване на разумното използване на антимикробни средства. </w:t>
            </w:r>
          </w:p>
        </w:tc>
        <w:tc>
          <w:tcPr>
            <w:tcW w:w="1843" w:type="dxa"/>
            <w:vMerge/>
            <w:tcBorders>
              <w:top w:val="nil"/>
              <w:left w:val="single" w:sz="8" w:space="0" w:color="auto"/>
              <w:bottom w:val="single" w:sz="8" w:space="0" w:color="000000"/>
              <w:right w:val="single" w:sz="8" w:space="0" w:color="auto"/>
            </w:tcBorders>
            <w:vAlign w:val="center"/>
            <w:hideMark/>
          </w:tcPr>
          <w:p w14:paraId="1EFE5DB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F5D0C72"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4FB32D48"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27DD0204"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4CBDE12C"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62CE2AC3"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изработване и утвърждаване на Система за контрол върху дейността на ветеринарните лекари.  </w:t>
            </w:r>
          </w:p>
        </w:tc>
        <w:tc>
          <w:tcPr>
            <w:tcW w:w="1843" w:type="dxa"/>
            <w:vMerge/>
            <w:tcBorders>
              <w:top w:val="nil"/>
              <w:left w:val="single" w:sz="8" w:space="0" w:color="auto"/>
              <w:bottom w:val="single" w:sz="8" w:space="0" w:color="000000"/>
              <w:right w:val="single" w:sz="8" w:space="0" w:color="auto"/>
            </w:tcBorders>
            <w:vAlign w:val="center"/>
            <w:hideMark/>
          </w:tcPr>
          <w:p w14:paraId="1A4B622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5901D19A"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35D2F3D0"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78E0377E"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28BB0838"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2B742D54"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 –организиране на срещи и семинари в сектор фуражи и сектор ВЛП</w:t>
            </w:r>
          </w:p>
        </w:tc>
        <w:tc>
          <w:tcPr>
            <w:tcW w:w="1843" w:type="dxa"/>
            <w:tcBorders>
              <w:top w:val="nil"/>
              <w:left w:val="nil"/>
              <w:bottom w:val="single" w:sz="8" w:space="0" w:color="auto"/>
              <w:right w:val="single" w:sz="8" w:space="0" w:color="auto"/>
            </w:tcBorders>
            <w:shd w:val="clear" w:color="auto" w:fill="auto"/>
            <w:vAlign w:val="center"/>
            <w:hideMark/>
          </w:tcPr>
          <w:p w14:paraId="22FBA8EA"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2" w:type="dxa"/>
            <w:tcBorders>
              <w:top w:val="nil"/>
              <w:left w:val="nil"/>
              <w:bottom w:val="single" w:sz="8" w:space="0" w:color="auto"/>
              <w:right w:val="single" w:sz="8" w:space="0" w:color="auto"/>
            </w:tcBorders>
            <w:shd w:val="clear" w:color="auto" w:fill="auto"/>
            <w:vAlign w:val="center"/>
            <w:hideMark/>
          </w:tcPr>
          <w:p w14:paraId="2B8BD1BB"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3" w:type="dxa"/>
            <w:tcBorders>
              <w:top w:val="nil"/>
              <w:left w:val="nil"/>
              <w:bottom w:val="single" w:sz="8" w:space="0" w:color="auto"/>
              <w:right w:val="single" w:sz="8" w:space="0" w:color="auto"/>
            </w:tcBorders>
            <w:shd w:val="clear" w:color="auto" w:fill="auto"/>
            <w:vAlign w:val="center"/>
            <w:hideMark/>
          </w:tcPr>
          <w:p w14:paraId="2DF9B9AB"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29" w:type="dxa"/>
            <w:tcBorders>
              <w:top w:val="nil"/>
              <w:left w:val="nil"/>
              <w:bottom w:val="single" w:sz="8" w:space="0" w:color="auto"/>
              <w:right w:val="single" w:sz="8" w:space="0" w:color="auto"/>
            </w:tcBorders>
            <w:shd w:val="clear" w:color="auto" w:fill="auto"/>
            <w:vAlign w:val="center"/>
            <w:hideMark/>
          </w:tcPr>
          <w:p w14:paraId="60549A94"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r>
      <w:tr w:rsidR="00397364" w:rsidRPr="00094F38" w14:paraId="0338B681"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2A3707C3"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4.7. </w:t>
            </w:r>
            <w:r w:rsidRPr="00FB0F19">
              <w:rPr>
                <w:rFonts w:ascii="Times New Roman" w:eastAsia="Times New Roman" w:hAnsi="Times New Roman" w:cs="Times New Roman"/>
                <w:sz w:val="24"/>
                <w:szCs w:val="24"/>
                <w:lang w:eastAsia="bg-BG"/>
              </w:rPr>
              <w:t>Ограничаване употребата на антимикробни</w:t>
            </w:r>
            <w:r>
              <w:rPr>
                <w:rFonts w:ascii="Times New Roman" w:eastAsia="Times New Roman" w:hAnsi="Times New Roman" w:cs="Times New Roman"/>
                <w:sz w:val="24"/>
                <w:szCs w:val="24"/>
                <w:lang w:eastAsia="bg-BG"/>
              </w:rPr>
              <w:t xml:space="preserve"> ВЛП до ситуации, в които те </w:t>
            </w:r>
            <w:r w:rsidRPr="00FB0F19">
              <w:rPr>
                <w:rFonts w:ascii="Times New Roman" w:eastAsia="Times New Roman" w:hAnsi="Times New Roman" w:cs="Times New Roman"/>
                <w:sz w:val="24"/>
                <w:szCs w:val="24"/>
                <w:lang w:eastAsia="bg-BG"/>
              </w:rPr>
              <w:t>наистина са необходими на базата</w:t>
            </w:r>
            <w:r>
              <w:rPr>
                <w:rFonts w:ascii="Times New Roman" w:eastAsia="Times New Roman" w:hAnsi="Times New Roman" w:cs="Times New Roman"/>
                <w:sz w:val="24"/>
                <w:szCs w:val="24"/>
                <w:lang w:eastAsia="bg-BG"/>
              </w:rPr>
              <w:t xml:space="preserve"> на клинична диагноза и когато </w:t>
            </w:r>
            <w:r w:rsidRPr="00FB0F19">
              <w:rPr>
                <w:rFonts w:ascii="Times New Roman" w:eastAsia="Times New Roman" w:hAnsi="Times New Roman" w:cs="Times New Roman"/>
                <w:sz w:val="24"/>
                <w:szCs w:val="24"/>
                <w:lang w:eastAsia="bg-BG"/>
              </w:rPr>
              <w:t>това е възможно, на резултати от изпитвания за чувствителност, с цел употребата на възможно най- тясноспектърно антимикробно средство.</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C319F4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36B74B2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0CB8032"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0A01D443"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32B39CBC"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31BE3421"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Срещи/семинари /обучения със заинтересованите страни относно насърчаване на разумното използване на антимикробни средства.</w:t>
            </w:r>
          </w:p>
        </w:tc>
        <w:tc>
          <w:tcPr>
            <w:tcW w:w="1843" w:type="dxa"/>
            <w:vMerge/>
            <w:tcBorders>
              <w:top w:val="nil"/>
              <w:left w:val="single" w:sz="8" w:space="0" w:color="auto"/>
              <w:bottom w:val="single" w:sz="8" w:space="0" w:color="000000"/>
              <w:right w:val="single" w:sz="8" w:space="0" w:color="auto"/>
            </w:tcBorders>
            <w:vAlign w:val="center"/>
            <w:hideMark/>
          </w:tcPr>
          <w:p w14:paraId="68E2917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56F4151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6CD910E7"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5E6A650D"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72E78BB6"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2F909930"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БАБХ организиране на срещи и семинари в сектор фуражи и сектор В</w:t>
            </w:r>
            <w:r>
              <w:rPr>
                <w:rFonts w:ascii="Times New Roman" w:eastAsia="Times New Roman" w:hAnsi="Times New Roman" w:cs="Times New Roman"/>
                <w:sz w:val="24"/>
                <w:szCs w:val="24"/>
                <w:lang w:eastAsia="bg-BG"/>
              </w:rPr>
              <w:t>Л</w:t>
            </w:r>
            <w:r w:rsidRPr="00FB0F19">
              <w:rPr>
                <w:rFonts w:ascii="Times New Roman" w:eastAsia="Times New Roman" w:hAnsi="Times New Roman" w:cs="Times New Roman"/>
                <w:sz w:val="24"/>
                <w:szCs w:val="24"/>
                <w:lang w:eastAsia="bg-BG"/>
              </w:rPr>
              <w:t>П</w:t>
            </w:r>
          </w:p>
        </w:tc>
        <w:tc>
          <w:tcPr>
            <w:tcW w:w="1843" w:type="dxa"/>
            <w:tcBorders>
              <w:top w:val="nil"/>
              <w:left w:val="nil"/>
              <w:bottom w:val="single" w:sz="8" w:space="0" w:color="auto"/>
              <w:right w:val="single" w:sz="8" w:space="0" w:color="auto"/>
            </w:tcBorders>
            <w:shd w:val="clear" w:color="auto" w:fill="auto"/>
            <w:vAlign w:val="center"/>
            <w:hideMark/>
          </w:tcPr>
          <w:p w14:paraId="59518573"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2" w:type="dxa"/>
            <w:tcBorders>
              <w:top w:val="nil"/>
              <w:left w:val="nil"/>
              <w:bottom w:val="single" w:sz="8" w:space="0" w:color="auto"/>
              <w:right w:val="single" w:sz="8" w:space="0" w:color="auto"/>
            </w:tcBorders>
            <w:shd w:val="clear" w:color="auto" w:fill="auto"/>
            <w:vAlign w:val="center"/>
            <w:hideMark/>
          </w:tcPr>
          <w:p w14:paraId="277983C4"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43" w:type="dxa"/>
            <w:tcBorders>
              <w:top w:val="nil"/>
              <w:left w:val="nil"/>
              <w:bottom w:val="single" w:sz="8" w:space="0" w:color="auto"/>
              <w:right w:val="single" w:sz="8" w:space="0" w:color="auto"/>
            </w:tcBorders>
            <w:shd w:val="clear" w:color="auto" w:fill="auto"/>
            <w:vAlign w:val="center"/>
            <w:hideMark/>
          </w:tcPr>
          <w:p w14:paraId="7BC0BAC2"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c>
          <w:tcPr>
            <w:tcW w:w="1829" w:type="dxa"/>
            <w:tcBorders>
              <w:top w:val="nil"/>
              <w:left w:val="nil"/>
              <w:bottom w:val="single" w:sz="8" w:space="0" w:color="auto"/>
              <w:right w:val="single" w:sz="8" w:space="0" w:color="auto"/>
            </w:tcBorders>
            <w:shd w:val="clear" w:color="auto" w:fill="auto"/>
            <w:vAlign w:val="center"/>
            <w:hideMark/>
          </w:tcPr>
          <w:p w14:paraId="2BC9AC66"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10 300</w:t>
            </w:r>
          </w:p>
        </w:tc>
      </w:tr>
      <w:tr w:rsidR="00397364" w:rsidRPr="00094F38" w14:paraId="170903AE"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37E7A9F9"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4.9. </w:t>
            </w:r>
            <w:r w:rsidRPr="00FB0F19">
              <w:rPr>
                <w:rFonts w:ascii="Times New Roman" w:eastAsia="Times New Roman" w:hAnsi="Times New Roman" w:cs="Times New Roman"/>
                <w:sz w:val="24"/>
                <w:szCs w:val="24"/>
                <w:lang w:eastAsia="bg-BG"/>
              </w:rPr>
              <w:t xml:space="preserve">Насърчаване на притежателите на </w:t>
            </w:r>
            <w:r>
              <w:rPr>
                <w:rFonts w:ascii="Times New Roman" w:eastAsia="Times New Roman" w:hAnsi="Times New Roman" w:cs="Times New Roman"/>
                <w:sz w:val="24"/>
                <w:szCs w:val="24"/>
                <w:lang w:eastAsia="bg-BG"/>
              </w:rPr>
              <w:t>разрешения за търговия</w:t>
            </w:r>
            <w:r w:rsidRPr="00FB0F19">
              <w:rPr>
                <w:rFonts w:ascii="Times New Roman" w:eastAsia="Times New Roman" w:hAnsi="Times New Roman" w:cs="Times New Roman"/>
                <w:sz w:val="24"/>
                <w:szCs w:val="24"/>
                <w:lang w:eastAsia="bg-BG"/>
              </w:rPr>
              <w:t xml:space="preserve"> на ВЛП да прилагат планове за надзор на чувствителността при целевите патогени, включително чрез вземане на проби на базата на научно определени протоколи и тестове за определяне на</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чувствителност,</w:t>
            </w:r>
            <w:r w:rsidRPr="00FB0F19">
              <w:rPr>
                <w:rFonts w:ascii="Times New Roman" w:eastAsia="Times New Roman" w:hAnsi="Times New Roman" w:cs="Times New Roman"/>
                <w:b/>
                <w:bCs/>
                <w:sz w:val="24"/>
                <w:szCs w:val="24"/>
                <w:lang w:eastAsia="bg-BG"/>
              </w:rPr>
              <w:t xml:space="preserve"> </w:t>
            </w:r>
            <w:r w:rsidRPr="00FB0F19">
              <w:rPr>
                <w:rFonts w:ascii="Times New Roman" w:eastAsia="Times New Roman" w:hAnsi="Times New Roman" w:cs="Times New Roman"/>
                <w:sz w:val="24"/>
                <w:szCs w:val="24"/>
                <w:lang w:eastAsia="bg-BG"/>
              </w:rPr>
              <w:t>използвайки стандартизирана методология</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D707BD0"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6F4AC9E7"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3309FFA"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1B75F37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5BDC7C55"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4FDEE494"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lastRenderedPageBreak/>
              <w:t>Срещи със заинтересованите страни/Разработване на политики.</w:t>
            </w:r>
          </w:p>
        </w:tc>
        <w:tc>
          <w:tcPr>
            <w:tcW w:w="1843" w:type="dxa"/>
            <w:vMerge/>
            <w:tcBorders>
              <w:top w:val="nil"/>
              <w:left w:val="single" w:sz="8" w:space="0" w:color="auto"/>
              <w:bottom w:val="single" w:sz="8" w:space="0" w:color="000000"/>
              <w:right w:val="single" w:sz="8" w:space="0" w:color="auto"/>
            </w:tcBorders>
            <w:vAlign w:val="center"/>
            <w:hideMark/>
          </w:tcPr>
          <w:p w14:paraId="34F3EEB6"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0D199A01"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2A35E2B2"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70468155"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5C16ACCA"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349ABCCB"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БАБХ </w:t>
            </w:r>
          </w:p>
        </w:tc>
        <w:tc>
          <w:tcPr>
            <w:tcW w:w="1843" w:type="dxa"/>
            <w:tcBorders>
              <w:top w:val="nil"/>
              <w:left w:val="nil"/>
              <w:bottom w:val="single" w:sz="8" w:space="0" w:color="auto"/>
              <w:right w:val="single" w:sz="8" w:space="0" w:color="auto"/>
            </w:tcBorders>
            <w:shd w:val="clear" w:color="auto" w:fill="auto"/>
            <w:vAlign w:val="center"/>
            <w:hideMark/>
          </w:tcPr>
          <w:p w14:paraId="2F499183"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2" w:type="dxa"/>
            <w:tcBorders>
              <w:top w:val="nil"/>
              <w:left w:val="nil"/>
              <w:bottom w:val="single" w:sz="8" w:space="0" w:color="auto"/>
              <w:right w:val="single" w:sz="8" w:space="0" w:color="auto"/>
            </w:tcBorders>
            <w:shd w:val="clear" w:color="auto" w:fill="auto"/>
            <w:vAlign w:val="center"/>
            <w:hideMark/>
          </w:tcPr>
          <w:p w14:paraId="3460194B"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43" w:type="dxa"/>
            <w:tcBorders>
              <w:top w:val="nil"/>
              <w:left w:val="nil"/>
              <w:bottom w:val="single" w:sz="8" w:space="0" w:color="auto"/>
              <w:right w:val="single" w:sz="8" w:space="0" w:color="auto"/>
            </w:tcBorders>
            <w:shd w:val="clear" w:color="auto" w:fill="auto"/>
            <w:vAlign w:val="center"/>
            <w:hideMark/>
          </w:tcPr>
          <w:p w14:paraId="65B72FC1"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c>
          <w:tcPr>
            <w:tcW w:w="1829" w:type="dxa"/>
            <w:tcBorders>
              <w:top w:val="nil"/>
              <w:left w:val="nil"/>
              <w:bottom w:val="single" w:sz="8" w:space="0" w:color="auto"/>
              <w:right w:val="single" w:sz="8" w:space="0" w:color="auto"/>
            </w:tcBorders>
            <w:shd w:val="clear" w:color="auto" w:fill="auto"/>
            <w:vAlign w:val="center"/>
            <w:hideMark/>
          </w:tcPr>
          <w:p w14:paraId="3FAFF354" w14:textId="77777777" w:rsidR="00397364" w:rsidRPr="00397364" w:rsidRDefault="00397364" w:rsidP="00397364">
            <w:pPr>
              <w:spacing w:after="0" w:line="276" w:lineRule="auto"/>
              <w:ind w:right="284"/>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5 200</w:t>
            </w:r>
          </w:p>
        </w:tc>
      </w:tr>
      <w:tr w:rsidR="00397364" w:rsidRPr="00094F38" w14:paraId="1AE3CA2C" w14:textId="77777777" w:rsidTr="00243E68">
        <w:tc>
          <w:tcPr>
            <w:tcW w:w="7725" w:type="dxa"/>
            <w:tcBorders>
              <w:top w:val="nil"/>
              <w:left w:val="single" w:sz="8" w:space="0" w:color="auto"/>
              <w:bottom w:val="nil"/>
              <w:right w:val="single" w:sz="8" w:space="0" w:color="auto"/>
            </w:tcBorders>
            <w:shd w:val="clear" w:color="auto" w:fill="auto"/>
            <w:vAlign w:val="center"/>
            <w:hideMark/>
          </w:tcPr>
          <w:p w14:paraId="6CEFA1F7"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xml:space="preserve">4.12. </w:t>
            </w:r>
            <w:r w:rsidRPr="00FB0F19">
              <w:rPr>
                <w:rFonts w:ascii="Times New Roman" w:eastAsia="Times New Roman" w:hAnsi="Times New Roman" w:cs="Times New Roman"/>
                <w:sz w:val="24"/>
                <w:szCs w:val="24"/>
                <w:lang w:eastAsia="bg-BG"/>
              </w:rPr>
              <w:t>Разработване на уеб базирана платформа, позволяваща електронно издаване на рецепта и получаване на справки по отношение на количествата употребени антимикробни продукти, разпределени по видове животни, активна субстанция, Ветеринарномедицински Анатомо-Терапевтичен Код и други, позволяващи на БАБХ да анализира и контролира степента на изпълнение на Програмата за действие срещу АМР.</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0255FBD"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74D6BBC9"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6CEEFDF6"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vMerge w:val="restart"/>
            <w:tcBorders>
              <w:top w:val="nil"/>
              <w:left w:val="single" w:sz="8" w:space="0" w:color="auto"/>
              <w:bottom w:val="single" w:sz="8" w:space="0" w:color="000000"/>
              <w:right w:val="single" w:sz="8" w:space="0" w:color="auto"/>
            </w:tcBorders>
            <w:shd w:val="clear" w:color="auto" w:fill="auto"/>
            <w:vAlign w:val="center"/>
            <w:hideMark/>
          </w:tcPr>
          <w:p w14:paraId="2791AE98"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67A91E24" w14:textId="77777777" w:rsidTr="00243E68">
        <w:tc>
          <w:tcPr>
            <w:tcW w:w="7725" w:type="dxa"/>
            <w:tcBorders>
              <w:top w:val="nil"/>
              <w:left w:val="single" w:sz="8" w:space="0" w:color="auto"/>
              <w:bottom w:val="single" w:sz="8" w:space="0" w:color="auto"/>
              <w:right w:val="single" w:sz="8" w:space="0" w:color="auto"/>
            </w:tcBorders>
            <w:shd w:val="clear" w:color="auto" w:fill="auto"/>
            <w:vAlign w:val="center"/>
            <w:hideMark/>
          </w:tcPr>
          <w:p w14:paraId="2FCFC25E"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 xml:space="preserve">- Изготвяне на техническо задание и реализиране на проект на уеб базирана платформа, позволяваща издаване на електронна рецепта и получаване на стандартизирани данни за количествата употребени антимикробни ВЛП по видове животни. </w:t>
            </w:r>
          </w:p>
        </w:tc>
        <w:tc>
          <w:tcPr>
            <w:tcW w:w="1843" w:type="dxa"/>
            <w:vMerge/>
            <w:tcBorders>
              <w:top w:val="nil"/>
              <w:left w:val="single" w:sz="8" w:space="0" w:color="auto"/>
              <w:bottom w:val="single" w:sz="8" w:space="0" w:color="000000"/>
              <w:right w:val="single" w:sz="8" w:space="0" w:color="auto"/>
            </w:tcBorders>
            <w:vAlign w:val="center"/>
            <w:hideMark/>
          </w:tcPr>
          <w:p w14:paraId="50605575"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2" w:type="dxa"/>
            <w:vMerge/>
            <w:tcBorders>
              <w:top w:val="nil"/>
              <w:left w:val="single" w:sz="8" w:space="0" w:color="auto"/>
              <w:bottom w:val="single" w:sz="8" w:space="0" w:color="000000"/>
              <w:right w:val="single" w:sz="8" w:space="0" w:color="auto"/>
            </w:tcBorders>
            <w:vAlign w:val="center"/>
            <w:hideMark/>
          </w:tcPr>
          <w:p w14:paraId="1ABB4405"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43" w:type="dxa"/>
            <w:vMerge/>
            <w:tcBorders>
              <w:top w:val="nil"/>
              <w:left w:val="single" w:sz="8" w:space="0" w:color="auto"/>
              <w:bottom w:val="single" w:sz="8" w:space="0" w:color="000000"/>
              <w:right w:val="single" w:sz="8" w:space="0" w:color="auto"/>
            </w:tcBorders>
            <w:vAlign w:val="center"/>
            <w:hideMark/>
          </w:tcPr>
          <w:p w14:paraId="1D2D377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c>
          <w:tcPr>
            <w:tcW w:w="1829" w:type="dxa"/>
            <w:vMerge/>
            <w:tcBorders>
              <w:top w:val="nil"/>
              <w:left w:val="single" w:sz="8" w:space="0" w:color="auto"/>
              <w:bottom w:val="single" w:sz="8" w:space="0" w:color="000000"/>
              <w:right w:val="single" w:sz="8" w:space="0" w:color="auto"/>
            </w:tcBorders>
            <w:vAlign w:val="center"/>
            <w:hideMark/>
          </w:tcPr>
          <w:p w14:paraId="6AB61DFB" w14:textId="77777777" w:rsidR="00397364" w:rsidRPr="00FB0F19" w:rsidRDefault="00397364" w:rsidP="00397364">
            <w:pPr>
              <w:spacing w:after="0" w:line="276" w:lineRule="auto"/>
              <w:ind w:right="284"/>
              <w:jc w:val="right"/>
              <w:rPr>
                <w:rFonts w:ascii="Times New Roman" w:eastAsia="Times New Roman" w:hAnsi="Times New Roman" w:cs="Times New Roman"/>
                <w:b/>
                <w:bCs/>
                <w:sz w:val="24"/>
                <w:szCs w:val="24"/>
                <w:lang w:eastAsia="bg-BG"/>
              </w:rPr>
            </w:pPr>
          </w:p>
        </w:tc>
      </w:tr>
      <w:tr w:rsidR="00397364" w:rsidRPr="00094F38" w14:paraId="2D0CA6ED" w14:textId="77777777" w:rsidTr="00243E68">
        <w:tc>
          <w:tcPr>
            <w:tcW w:w="7725" w:type="dxa"/>
            <w:tcBorders>
              <w:top w:val="nil"/>
              <w:left w:val="single" w:sz="8" w:space="0" w:color="auto"/>
              <w:bottom w:val="single" w:sz="4" w:space="0" w:color="auto"/>
              <w:right w:val="single" w:sz="8" w:space="0" w:color="auto"/>
            </w:tcBorders>
            <w:shd w:val="clear" w:color="auto" w:fill="auto"/>
            <w:vAlign w:val="center"/>
            <w:hideMark/>
          </w:tcPr>
          <w:p w14:paraId="5DF643DC"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МЗХ</w:t>
            </w:r>
            <w:r w:rsidRPr="00FB0F19">
              <w:rPr>
                <w:rFonts w:ascii="Times New Roman" w:eastAsia="Times New Roman" w:hAnsi="Times New Roman" w:cs="Times New Roman"/>
                <w:sz w:val="24"/>
                <w:szCs w:val="24"/>
                <w:lang w:eastAsia="bg-BG"/>
              </w:rPr>
              <w:t xml:space="preserve"> /Инвестиция 2:Дигитализация на процесите от фермата до трапезата/ Национален план за възстановяване и устойчивост/</w:t>
            </w:r>
            <w:r w:rsidRPr="00FB0F19">
              <w:rPr>
                <w:rFonts w:ascii="Times New Roman" w:eastAsia="Times New Roman" w:hAnsi="Times New Roman" w:cs="Times New Roman"/>
                <w:sz w:val="24"/>
                <w:szCs w:val="24"/>
                <w:lang w:eastAsia="bg-BG"/>
              </w:rPr>
              <w:br w:type="page"/>
              <w:t>БАБХ</w:t>
            </w:r>
          </w:p>
        </w:tc>
        <w:tc>
          <w:tcPr>
            <w:tcW w:w="1843" w:type="dxa"/>
            <w:tcBorders>
              <w:top w:val="nil"/>
              <w:left w:val="nil"/>
              <w:bottom w:val="single" w:sz="4" w:space="0" w:color="auto"/>
              <w:right w:val="single" w:sz="8" w:space="0" w:color="auto"/>
            </w:tcBorders>
            <w:shd w:val="clear" w:color="auto" w:fill="auto"/>
            <w:vAlign w:val="center"/>
            <w:hideMark/>
          </w:tcPr>
          <w:p w14:paraId="4B9647A2" w14:textId="77777777" w:rsidR="00397364" w:rsidRPr="00FB0F19" w:rsidRDefault="00397364" w:rsidP="00397364">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2" w:type="dxa"/>
            <w:tcBorders>
              <w:top w:val="nil"/>
              <w:left w:val="nil"/>
              <w:bottom w:val="single" w:sz="4" w:space="0" w:color="auto"/>
              <w:right w:val="single" w:sz="8" w:space="0" w:color="auto"/>
            </w:tcBorders>
            <w:shd w:val="clear" w:color="auto" w:fill="auto"/>
            <w:vAlign w:val="center"/>
            <w:hideMark/>
          </w:tcPr>
          <w:p w14:paraId="5F46DD3A" w14:textId="77777777" w:rsidR="00397364" w:rsidRPr="00FB0F19" w:rsidRDefault="00397364" w:rsidP="00397364">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43" w:type="dxa"/>
            <w:tcBorders>
              <w:top w:val="nil"/>
              <w:left w:val="nil"/>
              <w:bottom w:val="single" w:sz="4" w:space="0" w:color="auto"/>
              <w:right w:val="single" w:sz="8" w:space="0" w:color="auto"/>
            </w:tcBorders>
            <w:shd w:val="clear" w:color="auto" w:fill="auto"/>
            <w:vAlign w:val="center"/>
            <w:hideMark/>
          </w:tcPr>
          <w:p w14:paraId="3CA1EFEF" w14:textId="77777777" w:rsidR="00397364" w:rsidRPr="00FB0F19" w:rsidRDefault="00397364" w:rsidP="00397364">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c>
          <w:tcPr>
            <w:tcW w:w="1829" w:type="dxa"/>
            <w:tcBorders>
              <w:top w:val="nil"/>
              <w:left w:val="nil"/>
              <w:bottom w:val="single" w:sz="4" w:space="0" w:color="auto"/>
              <w:right w:val="single" w:sz="8" w:space="0" w:color="auto"/>
            </w:tcBorders>
            <w:shd w:val="clear" w:color="auto" w:fill="auto"/>
            <w:vAlign w:val="center"/>
            <w:hideMark/>
          </w:tcPr>
          <w:p w14:paraId="2B7E72F3" w14:textId="77777777" w:rsidR="00397364" w:rsidRPr="00FB0F19" w:rsidRDefault="00397364" w:rsidP="00397364">
            <w:pPr>
              <w:spacing w:after="0" w:line="276" w:lineRule="auto"/>
              <w:ind w:right="284"/>
              <w:jc w:val="right"/>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0</w:t>
            </w:r>
          </w:p>
        </w:tc>
      </w:tr>
      <w:tr w:rsidR="00397364" w:rsidRPr="00094F38" w14:paraId="4D8FFEB8" w14:textId="77777777" w:rsidTr="00311938">
        <w:tc>
          <w:tcPr>
            <w:tcW w:w="15082"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596C92FC" w14:textId="77777777" w:rsidR="00397364" w:rsidRPr="00516235" w:rsidRDefault="00397364" w:rsidP="00397364">
            <w:pPr>
              <w:spacing w:after="0" w:line="276" w:lineRule="auto"/>
              <w:rPr>
                <w:rFonts w:ascii="Times New Roman" w:eastAsia="Times New Roman" w:hAnsi="Times New Roman" w:cs="Times New Roman"/>
                <w:b/>
                <w:sz w:val="24"/>
                <w:szCs w:val="24"/>
                <w:lang w:eastAsia="bg-BG"/>
              </w:rPr>
            </w:pPr>
            <w:r w:rsidRPr="00516235">
              <w:rPr>
                <w:rFonts w:ascii="Times New Roman" w:eastAsia="Times New Roman" w:hAnsi="Times New Roman" w:cs="Times New Roman"/>
                <w:b/>
                <w:sz w:val="24"/>
                <w:szCs w:val="24"/>
                <w:lang w:eastAsia="bg-BG"/>
              </w:rPr>
              <w:t>Основна цел 5:</w:t>
            </w:r>
          </w:p>
          <w:p w14:paraId="354FB2ED"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516235">
              <w:rPr>
                <w:rFonts w:ascii="Times New Roman" w:eastAsia="Times New Roman" w:hAnsi="Times New Roman" w:cs="Times New Roman"/>
                <w:b/>
                <w:sz w:val="24"/>
                <w:szCs w:val="24"/>
                <w:lang w:eastAsia="bg-BG"/>
              </w:rPr>
              <w:t>Осигуряване на ефективно управление и координация, мониторинг и оценка на Националната програма за действие срещу АМР</w:t>
            </w:r>
            <w:r w:rsidRPr="006A66B2">
              <w:rPr>
                <w:rFonts w:ascii="Times New Roman" w:eastAsia="Times New Roman" w:hAnsi="Times New Roman" w:cs="Times New Roman"/>
                <w:sz w:val="24"/>
                <w:szCs w:val="24"/>
                <w:lang w:eastAsia="bg-BG"/>
              </w:rPr>
              <w:t xml:space="preserve">  </w:t>
            </w:r>
          </w:p>
        </w:tc>
      </w:tr>
      <w:tr w:rsidR="00397364" w:rsidRPr="00094F38" w14:paraId="020E7BB0"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C3C5" w14:textId="77777777" w:rsidR="00397364" w:rsidRPr="00FB0F19" w:rsidRDefault="00397364" w:rsidP="00397364">
            <w:pPr>
              <w:spacing w:after="0" w:line="276" w:lineRule="auto"/>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5.5.</w:t>
            </w:r>
            <w:r w:rsidRPr="00FB0F19">
              <w:rPr>
                <w:rFonts w:ascii="Times New Roman" w:eastAsia="Times New Roman" w:hAnsi="Times New Roman" w:cs="Times New Roman"/>
                <w:sz w:val="24"/>
                <w:szCs w:val="24"/>
                <w:lang w:eastAsia="bg-BG"/>
              </w:rPr>
              <w:t xml:space="preserve"> Провеждане на заключително Национално съвещание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217C3"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65A5A"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DF40"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68B2"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r>
      <w:tr w:rsidR="00397364" w:rsidRPr="00094F38" w14:paraId="1E4091E8" w14:textId="77777777" w:rsidTr="00243E68">
        <w:tc>
          <w:tcPr>
            <w:tcW w:w="7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BCEB5" w14:textId="77777777" w:rsidR="00397364" w:rsidRPr="00FB0F19" w:rsidRDefault="00397364" w:rsidP="00397364">
            <w:pPr>
              <w:spacing w:after="0" w:line="276" w:lineRule="auto"/>
              <w:rPr>
                <w:rFonts w:ascii="Times New Roman" w:eastAsia="Times New Roman" w:hAnsi="Times New Roman" w:cs="Times New Roman"/>
                <w:sz w:val="24"/>
                <w:szCs w:val="24"/>
                <w:lang w:eastAsia="bg-BG"/>
              </w:rPr>
            </w:pPr>
            <w:r w:rsidRPr="00FB0F19">
              <w:rPr>
                <w:rFonts w:ascii="Times New Roman" w:eastAsia="Times New Roman" w:hAnsi="Times New Roman" w:cs="Times New Roman"/>
                <w:sz w:val="24"/>
                <w:szCs w:val="24"/>
                <w:lang w:eastAsia="bg-BG"/>
              </w:rPr>
              <w:t>Министерство на здравеопазването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98F9"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A612A"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77C0" w14:textId="77777777" w:rsidR="00397364" w:rsidRPr="00FB0F19" w:rsidRDefault="00397364" w:rsidP="00397364">
            <w:pPr>
              <w:spacing w:after="0" w:line="276" w:lineRule="auto"/>
              <w:ind w:right="283"/>
              <w:jc w:val="right"/>
              <w:rPr>
                <w:rFonts w:ascii="Times New Roman" w:eastAsia="Times New Roman" w:hAnsi="Times New Roman" w:cs="Times New Roman"/>
                <w:b/>
                <w:bCs/>
                <w:sz w:val="24"/>
                <w:szCs w:val="24"/>
                <w:lang w:eastAsia="bg-BG"/>
              </w:rPr>
            </w:pPr>
            <w:r w:rsidRPr="00FB0F19">
              <w:rPr>
                <w:rFonts w:ascii="Times New Roman" w:eastAsia="Times New Roman" w:hAnsi="Times New Roman" w:cs="Times New Roman"/>
                <w:b/>
                <w:bCs/>
                <w:sz w:val="24"/>
                <w:szCs w:val="24"/>
                <w:lang w:eastAsia="bg-BG"/>
              </w:rPr>
              <w:t> </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4E561" w14:textId="77777777" w:rsidR="00397364" w:rsidRPr="00397364" w:rsidRDefault="00397364" w:rsidP="00B26C08">
            <w:pPr>
              <w:spacing w:after="0" w:line="276" w:lineRule="auto"/>
              <w:ind w:right="283"/>
              <w:jc w:val="right"/>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12 </w:t>
            </w:r>
            <w:r w:rsidR="00B26C08">
              <w:rPr>
                <w:rFonts w:ascii="Times New Roman" w:eastAsia="Times New Roman" w:hAnsi="Times New Roman" w:cs="Times New Roman"/>
                <w:sz w:val="24"/>
                <w:szCs w:val="24"/>
                <w:lang w:val="en-US" w:eastAsia="bg-BG"/>
              </w:rPr>
              <w:t>900</w:t>
            </w:r>
          </w:p>
        </w:tc>
      </w:tr>
    </w:tbl>
    <w:p w14:paraId="2E2A38B0" w14:textId="77777777" w:rsidR="008F2858" w:rsidRPr="008F2858" w:rsidRDefault="008F2858" w:rsidP="008F2858">
      <w:pPr>
        <w:spacing w:after="0" w:line="360" w:lineRule="auto"/>
        <w:jc w:val="both"/>
        <w:rPr>
          <w:rFonts w:ascii="Times New Roman" w:eastAsia="Times New Roman" w:hAnsi="Times New Roman" w:cs="Times New Roman"/>
          <w:bCs/>
          <w:color w:val="000000"/>
          <w:sz w:val="24"/>
          <w:szCs w:val="24"/>
          <w:lang w:eastAsia="bg-BG"/>
        </w:rPr>
      </w:pPr>
    </w:p>
    <w:p w14:paraId="24CD95C0" w14:textId="77777777" w:rsidR="008F2858" w:rsidRPr="008F2858" w:rsidRDefault="008F2858" w:rsidP="008F2858">
      <w:pPr>
        <w:spacing w:after="0" w:line="360" w:lineRule="auto"/>
        <w:rPr>
          <w:rFonts w:ascii="Times New Roman" w:hAnsi="Times New Roman" w:cs="Times New Roman"/>
          <w:spacing w:val="5"/>
          <w:kern w:val="28"/>
          <w:sz w:val="24"/>
          <w:szCs w:val="24"/>
        </w:rPr>
      </w:pPr>
      <w:r w:rsidRPr="00C91E9D">
        <w:rPr>
          <w:rFonts w:ascii="Times New Roman" w:eastAsia="Times New Roman" w:hAnsi="Times New Roman" w:cs="Times New Roman"/>
          <w:b/>
          <w:bCs/>
          <w:color w:val="000000"/>
          <w:sz w:val="24"/>
          <w:szCs w:val="24"/>
          <w:lang w:eastAsia="bg-BG"/>
        </w:rPr>
        <w:t xml:space="preserve">* Забележка: </w:t>
      </w: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082"/>
      </w:tblGrid>
      <w:tr w:rsidR="00243E68" w:rsidRPr="00C51F9D" w14:paraId="5CB79BED" w14:textId="77777777" w:rsidTr="00243E68">
        <w:tc>
          <w:tcPr>
            <w:tcW w:w="5000" w:type="pct"/>
            <w:vAlign w:val="center"/>
          </w:tcPr>
          <w:p w14:paraId="7DF6AA1B" w14:textId="77777777" w:rsidR="00243E68" w:rsidRPr="00C51F9D" w:rsidRDefault="00243E68" w:rsidP="007049B7">
            <w:pPr>
              <w:jc w:val="both"/>
              <w:rPr>
                <w:rFonts w:ascii="Times New Roman" w:hAnsi="Times New Roman" w:cs="Times New Roman"/>
                <w:sz w:val="24"/>
                <w:szCs w:val="24"/>
              </w:rPr>
            </w:pPr>
            <w:r w:rsidRPr="001F7CD5">
              <w:rPr>
                <w:rFonts w:ascii="Times New Roman" w:hAnsi="Times New Roman" w:cs="Times New Roman"/>
                <w:sz w:val="24"/>
                <w:szCs w:val="24"/>
              </w:rPr>
              <w:t xml:space="preserve">Забележка: За </w:t>
            </w:r>
            <w:r w:rsidRPr="00C51F9D">
              <w:rPr>
                <w:rFonts w:ascii="Times New Roman" w:hAnsi="Times New Roman" w:cs="Times New Roman"/>
                <w:sz w:val="24"/>
                <w:szCs w:val="24"/>
              </w:rPr>
              <w:t xml:space="preserve">останалите дейности по Програмата, за които не са посочени средства, такива не са необходими с оглед изпълнение на вменени задължения на съответното ведомство по закон и изпълнение на текущи контролни функции и други задължения. Направен е обстоен преглед на възможности за финансиране/съфинансиране от ЕС на определени дейности от Програмата. </w:t>
            </w:r>
          </w:p>
          <w:p w14:paraId="7AE8D952" w14:textId="77777777" w:rsidR="00243E68" w:rsidRPr="00C51F9D" w:rsidRDefault="00243E68" w:rsidP="007049B7">
            <w:pPr>
              <w:jc w:val="both"/>
              <w:rPr>
                <w:rFonts w:ascii="Times New Roman" w:hAnsi="Times New Roman" w:cs="Times New Roman"/>
                <w:sz w:val="24"/>
                <w:szCs w:val="24"/>
              </w:rPr>
            </w:pPr>
            <w:r w:rsidRPr="00C51F9D">
              <w:rPr>
                <w:rFonts w:ascii="Times New Roman" w:hAnsi="Times New Roman" w:cs="Times New Roman"/>
                <w:sz w:val="24"/>
                <w:szCs w:val="24"/>
              </w:rPr>
              <w:t xml:space="preserve">В съответствие с визията на Европейската комисия за мястото на мерките срещу антимикробната резистентност (АМР) в Националните стратегически планове в рамките на Общата селскостопанска политика (ОСП), интервенциите в ОСП могат да помогнат да се намали употребата на антимикробни средства във фермите. След като вече е ясна визията за новата ОСП и с цел да се избегне евентуално двойно финансиране и да се оптимизират необходимите средства от националния бюджет, които да бъдат включени във финансовата обосновка на проекта на Национална </w:t>
            </w:r>
            <w:r w:rsidRPr="00C51F9D">
              <w:rPr>
                <w:rFonts w:ascii="Times New Roman" w:hAnsi="Times New Roman" w:cs="Times New Roman"/>
                <w:sz w:val="24"/>
                <w:szCs w:val="24"/>
              </w:rPr>
              <w:lastRenderedPageBreak/>
              <w:t xml:space="preserve">програма за действие срещу антимикробната резистентност </w:t>
            </w:r>
            <w:r w:rsidR="00560462" w:rsidRPr="00C51F9D">
              <w:rPr>
                <w:rFonts w:ascii="Times New Roman" w:hAnsi="Times New Roman" w:cs="Times New Roman"/>
                <w:sz w:val="24"/>
                <w:szCs w:val="24"/>
              </w:rPr>
              <w:t>202</w:t>
            </w:r>
            <w:r w:rsidR="00560462">
              <w:rPr>
                <w:rFonts w:ascii="Times New Roman" w:hAnsi="Times New Roman" w:cs="Times New Roman"/>
                <w:sz w:val="24"/>
                <w:szCs w:val="24"/>
                <w:lang w:val="en-US"/>
              </w:rPr>
              <w:t>6</w:t>
            </w:r>
            <w:r w:rsidRPr="00C51F9D">
              <w:rPr>
                <w:rFonts w:ascii="Times New Roman" w:hAnsi="Times New Roman" w:cs="Times New Roman"/>
                <w:sz w:val="24"/>
                <w:szCs w:val="24"/>
              </w:rPr>
              <w:t>-</w:t>
            </w:r>
            <w:r w:rsidR="00560462" w:rsidRPr="00C51F9D">
              <w:rPr>
                <w:rFonts w:ascii="Times New Roman" w:hAnsi="Times New Roman" w:cs="Times New Roman"/>
                <w:sz w:val="24"/>
                <w:szCs w:val="24"/>
              </w:rPr>
              <w:t>2</w:t>
            </w:r>
            <w:r w:rsidR="00560462">
              <w:rPr>
                <w:rFonts w:ascii="Times New Roman" w:hAnsi="Times New Roman" w:cs="Times New Roman"/>
                <w:sz w:val="24"/>
                <w:szCs w:val="24"/>
              </w:rPr>
              <w:t>02</w:t>
            </w:r>
            <w:r w:rsidR="00560462">
              <w:rPr>
                <w:rFonts w:ascii="Times New Roman" w:hAnsi="Times New Roman" w:cs="Times New Roman"/>
                <w:sz w:val="24"/>
                <w:szCs w:val="24"/>
                <w:lang w:val="en-US"/>
              </w:rPr>
              <w:t>9</w:t>
            </w:r>
            <w:r w:rsidR="00560462">
              <w:rPr>
                <w:rFonts w:ascii="Times New Roman" w:hAnsi="Times New Roman" w:cs="Times New Roman"/>
                <w:sz w:val="24"/>
                <w:szCs w:val="24"/>
              </w:rPr>
              <w:t xml:space="preserve"> </w:t>
            </w:r>
            <w:r>
              <w:rPr>
                <w:rFonts w:ascii="Times New Roman" w:hAnsi="Times New Roman" w:cs="Times New Roman"/>
                <w:sz w:val="24"/>
                <w:szCs w:val="24"/>
              </w:rPr>
              <w:t>г. и след извършения анализ</w:t>
            </w:r>
            <w:r w:rsidRPr="00C51F9D">
              <w:rPr>
                <w:rFonts w:ascii="Times New Roman" w:hAnsi="Times New Roman" w:cs="Times New Roman"/>
                <w:sz w:val="24"/>
                <w:szCs w:val="24"/>
              </w:rPr>
              <w:t xml:space="preserve"> се установи възможност за финансиране на част от дейностите изпълнявани по т.3.5., т.3.6. </w:t>
            </w:r>
            <w:r w:rsidR="0028197A" w:rsidRPr="00C51F9D">
              <w:rPr>
                <w:rFonts w:ascii="Times New Roman" w:hAnsi="Times New Roman" w:cs="Times New Roman"/>
                <w:sz w:val="24"/>
                <w:szCs w:val="24"/>
              </w:rPr>
              <w:t xml:space="preserve">и </w:t>
            </w:r>
            <w:r w:rsidRPr="00C51F9D">
              <w:rPr>
                <w:rFonts w:ascii="Times New Roman" w:hAnsi="Times New Roman" w:cs="Times New Roman"/>
                <w:sz w:val="24"/>
                <w:szCs w:val="24"/>
              </w:rPr>
              <w:t>т.3.7 от Пр</w:t>
            </w:r>
            <w:r>
              <w:rPr>
                <w:rFonts w:ascii="Times New Roman" w:hAnsi="Times New Roman" w:cs="Times New Roman"/>
                <w:sz w:val="24"/>
                <w:szCs w:val="24"/>
              </w:rPr>
              <w:t xml:space="preserve">иложение № 2 „ФИНАНСОВ ПЛАН НА </w:t>
            </w:r>
            <w:r w:rsidRPr="00C51F9D">
              <w:rPr>
                <w:rFonts w:ascii="Times New Roman" w:hAnsi="Times New Roman" w:cs="Times New Roman"/>
                <w:sz w:val="24"/>
                <w:szCs w:val="24"/>
              </w:rPr>
              <w:t>НАЦИОНАЛНАТА ПРОГРАМА ЗА ДЕЙСТВИЕ СРЕЩУ АНТИМИКРОБНАТА РЕЗИСТЕНТНОСТ 202</w:t>
            </w:r>
            <w:r w:rsidR="00DD23EF">
              <w:rPr>
                <w:rFonts w:ascii="Times New Roman" w:hAnsi="Times New Roman" w:cs="Times New Roman"/>
                <w:sz w:val="24"/>
                <w:szCs w:val="24"/>
              </w:rPr>
              <w:t>6</w:t>
            </w:r>
            <w:r w:rsidRPr="00C51F9D">
              <w:rPr>
                <w:rFonts w:ascii="Times New Roman" w:hAnsi="Times New Roman" w:cs="Times New Roman"/>
                <w:sz w:val="24"/>
                <w:szCs w:val="24"/>
              </w:rPr>
              <w:t>-202</w:t>
            </w:r>
            <w:r w:rsidR="00DD23EF">
              <w:rPr>
                <w:rFonts w:ascii="Times New Roman" w:hAnsi="Times New Roman" w:cs="Times New Roman"/>
                <w:sz w:val="24"/>
                <w:szCs w:val="24"/>
              </w:rPr>
              <w:t>9</w:t>
            </w:r>
            <w:r w:rsidRPr="00C51F9D">
              <w:rPr>
                <w:rFonts w:ascii="Times New Roman" w:hAnsi="Times New Roman" w:cs="Times New Roman"/>
                <w:sz w:val="24"/>
                <w:szCs w:val="24"/>
              </w:rPr>
              <w:t xml:space="preserve">*“, по провеждане на семинари, обучителни курсове и информационни кампании за повишаване на знанията и информационни кампании за насърчаване на ползите от консумацията на храни, обхванати от цитираните точки да бъдат финансирани, чрез Стратегическия план за развитие на земеделието и селското </w:t>
            </w:r>
            <w:r w:rsidRPr="00DB561D">
              <w:rPr>
                <w:rFonts w:ascii="Times New Roman" w:hAnsi="Times New Roman" w:cs="Times New Roman"/>
                <w:sz w:val="24"/>
                <w:szCs w:val="24"/>
              </w:rPr>
              <w:t>стопанство 202</w:t>
            </w:r>
            <w:r w:rsidR="002D65FA" w:rsidRPr="001A763F">
              <w:rPr>
                <w:rFonts w:ascii="Times New Roman" w:hAnsi="Times New Roman" w:cs="Times New Roman"/>
                <w:sz w:val="24"/>
                <w:szCs w:val="24"/>
              </w:rPr>
              <w:t>3</w:t>
            </w:r>
            <w:r w:rsidRPr="00DB561D">
              <w:rPr>
                <w:rFonts w:ascii="Times New Roman" w:hAnsi="Times New Roman" w:cs="Times New Roman"/>
                <w:sz w:val="24"/>
                <w:szCs w:val="24"/>
              </w:rPr>
              <w:t>-2027 г.</w:t>
            </w:r>
            <w:r w:rsidRPr="00C51F9D">
              <w:rPr>
                <w:rFonts w:ascii="Times New Roman" w:hAnsi="Times New Roman" w:cs="Times New Roman"/>
                <w:sz w:val="24"/>
                <w:szCs w:val="24"/>
              </w:rPr>
              <w:t xml:space="preserve"> Във връзка с казаното по-горе по изброените дейности от Приложение №2 от Финансовия план в частта им, попадаща в обхвата на ОСП, не се посочва необходимост от бюджетно финансиране.</w:t>
            </w:r>
          </w:p>
          <w:p w14:paraId="51E62762" w14:textId="77777777" w:rsidR="00243E68" w:rsidRPr="00C51F9D" w:rsidRDefault="00243E68" w:rsidP="00243E68">
            <w:pPr>
              <w:spacing w:after="0"/>
              <w:jc w:val="both"/>
              <w:rPr>
                <w:rFonts w:ascii="Times New Roman" w:hAnsi="Times New Roman" w:cs="Times New Roman"/>
                <w:sz w:val="24"/>
                <w:szCs w:val="24"/>
              </w:rPr>
            </w:pPr>
            <w:r w:rsidRPr="00C51F9D">
              <w:rPr>
                <w:rFonts w:ascii="Times New Roman" w:hAnsi="Times New Roman" w:cs="Times New Roman"/>
                <w:sz w:val="24"/>
                <w:szCs w:val="24"/>
              </w:rPr>
              <w:t>В Националния план за възстановяване и устойчивост е предвидена Инвестиция 2: Дигитализация на процесите от фермата до трапезата – Приложение № П17), която предвижда изграждане на цялостна електронна информационна система в земеделието, включваща модул за контрол на употребата на антимикробни ветеринарн</w:t>
            </w:r>
            <w:r>
              <w:rPr>
                <w:rFonts w:ascii="Times New Roman" w:hAnsi="Times New Roman" w:cs="Times New Roman"/>
                <w:sz w:val="24"/>
                <w:szCs w:val="24"/>
              </w:rPr>
              <w:t>и</w:t>
            </w:r>
            <w:r w:rsidRPr="00C51F9D">
              <w:rPr>
                <w:rFonts w:ascii="Times New Roman" w:hAnsi="Times New Roman" w:cs="Times New Roman"/>
                <w:sz w:val="24"/>
                <w:szCs w:val="24"/>
              </w:rPr>
              <w:t xml:space="preserve"> </w:t>
            </w:r>
            <w:r>
              <w:rPr>
                <w:rFonts w:ascii="Times New Roman" w:hAnsi="Times New Roman" w:cs="Times New Roman"/>
                <w:sz w:val="24"/>
                <w:szCs w:val="24"/>
              </w:rPr>
              <w:t>лекарствени</w:t>
            </w:r>
            <w:r w:rsidRPr="00C51F9D">
              <w:rPr>
                <w:rFonts w:ascii="Times New Roman" w:hAnsi="Times New Roman" w:cs="Times New Roman"/>
                <w:sz w:val="24"/>
                <w:szCs w:val="24"/>
              </w:rPr>
              <w:t xml:space="preserve"> продукти чрез определяне на специфични референтни прагове на употреба за антимикробни средства при различни категории и видове продуктивни животни; модул за употребата на препарати за растителна защита (ПРЗ) и торове, модул за проследяване „от Фермата до трапезата“ (от първичното производство до крайното потребление на принципа на уникален идентификационен код с цел информираност на потребителите и стимулиране производството на качествена и достъпна храна“; и модул за онлайн обучение, вкл. съдържание на обучителните модули и консултации на земеделски стопани, едновременно с поддържането на информация, свързана със съвременни технологични и екологични решения за отглеждане на основни групи земеделски култури и селскостопански животни по конвенционален и биологичен начин в съответствие с изискванията за устойчиво използване на природните ресурси и адаптиране към климатичните промени. В тази връзка необходимостта от бюджетно финансиране предвидено по т.</w:t>
            </w:r>
            <w:r>
              <w:rPr>
                <w:rFonts w:ascii="Times New Roman" w:hAnsi="Times New Roman" w:cs="Times New Roman"/>
                <w:sz w:val="24"/>
                <w:szCs w:val="24"/>
              </w:rPr>
              <w:t xml:space="preserve"> </w:t>
            </w:r>
            <w:r w:rsidRPr="00C51F9D">
              <w:rPr>
                <w:rFonts w:ascii="Times New Roman" w:hAnsi="Times New Roman" w:cs="Times New Roman"/>
                <w:sz w:val="24"/>
                <w:szCs w:val="24"/>
              </w:rPr>
              <w:t>4.12 от П</w:t>
            </w:r>
            <w:r>
              <w:rPr>
                <w:rFonts w:ascii="Times New Roman" w:hAnsi="Times New Roman" w:cs="Times New Roman"/>
                <w:sz w:val="24"/>
                <w:szCs w:val="24"/>
              </w:rPr>
              <w:t>риложение № 2 „ФИНАНСОВ ПЛАН НА</w:t>
            </w:r>
            <w:r w:rsidRPr="00C51F9D">
              <w:rPr>
                <w:rFonts w:ascii="Times New Roman" w:hAnsi="Times New Roman" w:cs="Times New Roman"/>
                <w:sz w:val="24"/>
                <w:szCs w:val="24"/>
              </w:rPr>
              <w:t xml:space="preserve"> НАЦИОНАЛНАТА ПРОГРАМА ЗА ДЕЙСТВИЕ СРЕЩУ А</w:t>
            </w:r>
            <w:r>
              <w:rPr>
                <w:rFonts w:ascii="Times New Roman" w:hAnsi="Times New Roman" w:cs="Times New Roman"/>
                <w:sz w:val="24"/>
                <w:szCs w:val="24"/>
              </w:rPr>
              <w:t>НТИМИКРОБНАТА РЕЗИСТЕНТНОСТ 202</w:t>
            </w:r>
            <w:r w:rsidR="00DD23EF">
              <w:rPr>
                <w:rFonts w:ascii="Times New Roman" w:hAnsi="Times New Roman" w:cs="Times New Roman"/>
                <w:sz w:val="24"/>
                <w:szCs w:val="24"/>
              </w:rPr>
              <w:t>6</w:t>
            </w:r>
            <w:r w:rsidRPr="00C51F9D">
              <w:rPr>
                <w:rFonts w:ascii="Times New Roman" w:hAnsi="Times New Roman" w:cs="Times New Roman"/>
                <w:sz w:val="24"/>
                <w:szCs w:val="24"/>
              </w:rPr>
              <w:t>-202</w:t>
            </w:r>
            <w:r w:rsidR="00DD23EF">
              <w:rPr>
                <w:rFonts w:ascii="Times New Roman" w:hAnsi="Times New Roman" w:cs="Times New Roman"/>
                <w:sz w:val="24"/>
                <w:szCs w:val="24"/>
              </w:rPr>
              <w:t>9</w:t>
            </w:r>
            <w:r w:rsidRPr="00C51F9D">
              <w:rPr>
                <w:rFonts w:ascii="Times New Roman" w:hAnsi="Times New Roman" w:cs="Times New Roman"/>
                <w:sz w:val="24"/>
                <w:szCs w:val="24"/>
              </w:rPr>
              <w:t>*“ е ревизирана.</w:t>
            </w:r>
          </w:p>
          <w:p w14:paraId="0581B98A" w14:textId="77777777" w:rsidR="00243E68" w:rsidRPr="00C51F9D" w:rsidRDefault="00243E68" w:rsidP="007049B7">
            <w:pPr>
              <w:jc w:val="center"/>
              <w:rPr>
                <w:rFonts w:ascii="Times New Roman" w:hAnsi="Times New Roman" w:cs="Times New Roman"/>
                <w:b/>
                <w:sz w:val="24"/>
                <w:szCs w:val="24"/>
              </w:rPr>
            </w:pPr>
          </w:p>
        </w:tc>
      </w:tr>
    </w:tbl>
    <w:p w14:paraId="0AE5C72A" w14:textId="77777777" w:rsidR="00927D9F" w:rsidRDefault="00927D9F" w:rsidP="00E843C8">
      <w:pPr>
        <w:spacing w:after="0" w:line="360" w:lineRule="auto"/>
        <w:rPr>
          <w:rFonts w:ascii="Times New Roman" w:hAnsi="Times New Roman" w:cs="Times New Roman"/>
          <w:sz w:val="24"/>
          <w:szCs w:val="24"/>
        </w:rPr>
      </w:pP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43"/>
        <w:gridCol w:w="2093"/>
        <w:gridCol w:w="2093"/>
        <w:gridCol w:w="2147"/>
        <w:gridCol w:w="2039"/>
      </w:tblGrid>
      <w:tr w:rsidR="00243E68" w:rsidRPr="00654D5D" w14:paraId="702B4B0A" w14:textId="77777777" w:rsidTr="00243E68">
        <w:trPr>
          <w:trHeight w:val="312"/>
          <w:jc w:val="center"/>
        </w:trPr>
        <w:tc>
          <w:tcPr>
            <w:tcW w:w="14515" w:type="dxa"/>
            <w:gridSpan w:val="5"/>
            <w:shd w:val="clear" w:color="auto" w:fill="auto"/>
            <w:vAlign w:val="center"/>
            <w:hideMark/>
          </w:tcPr>
          <w:p w14:paraId="2C165799" w14:textId="77777777" w:rsidR="00243E68" w:rsidRPr="00654D5D" w:rsidRDefault="00243E68" w:rsidP="00243E68">
            <w:pPr>
              <w:spacing w:before="40" w:after="40" w:line="240" w:lineRule="auto"/>
              <w:jc w:val="center"/>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РЕКАПИТУЛАЦИЯ НА ФИНАНСОВИЯ ПЛАН</w:t>
            </w:r>
          </w:p>
        </w:tc>
      </w:tr>
      <w:tr w:rsidR="00243E68" w:rsidRPr="00654D5D" w14:paraId="1E1AE358" w14:textId="77777777" w:rsidTr="00243E68">
        <w:trPr>
          <w:trHeight w:val="312"/>
          <w:jc w:val="center"/>
        </w:trPr>
        <w:tc>
          <w:tcPr>
            <w:tcW w:w="6143" w:type="dxa"/>
            <w:shd w:val="clear" w:color="auto" w:fill="auto"/>
            <w:vAlign w:val="center"/>
            <w:hideMark/>
          </w:tcPr>
          <w:p w14:paraId="47EAC341" w14:textId="77777777" w:rsidR="00243E68" w:rsidRPr="00654D5D" w:rsidRDefault="00243E68" w:rsidP="00243E68">
            <w:pPr>
              <w:spacing w:after="0" w:line="240" w:lineRule="auto"/>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ВИД РАЗХОД/ ИЗПЪЛНИТЕЛ</w:t>
            </w:r>
          </w:p>
        </w:tc>
        <w:tc>
          <w:tcPr>
            <w:tcW w:w="2093" w:type="dxa"/>
            <w:shd w:val="clear" w:color="auto" w:fill="auto"/>
            <w:vAlign w:val="center"/>
            <w:hideMark/>
          </w:tcPr>
          <w:p w14:paraId="145181F0" w14:textId="77777777" w:rsidR="00243E68" w:rsidRPr="00654D5D" w:rsidRDefault="00243E68" w:rsidP="00DD23EF">
            <w:pPr>
              <w:spacing w:after="0" w:line="240" w:lineRule="auto"/>
              <w:jc w:val="center"/>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6</w:t>
            </w:r>
            <w:r w:rsidRPr="00654D5D">
              <w:rPr>
                <w:rFonts w:ascii="Times New Roman" w:eastAsia="Times New Roman" w:hAnsi="Times New Roman" w:cs="Times New Roman"/>
                <w:b/>
                <w:bCs/>
                <w:sz w:val="24"/>
                <w:szCs w:val="24"/>
                <w:lang w:eastAsia="bg-BG"/>
              </w:rPr>
              <w:t xml:space="preserve"> г.</w:t>
            </w:r>
          </w:p>
        </w:tc>
        <w:tc>
          <w:tcPr>
            <w:tcW w:w="2093" w:type="dxa"/>
            <w:shd w:val="clear" w:color="auto" w:fill="auto"/>
            <w:vAlign w:val="center"/>
            <w:hideMark/>
          </w:tcPr>
          <w:p w14:paraId="15F28831" w14:textId="77777777" w:rsidR="00243E68" w:rsidRPr="00654D5D" w:rsidRDefault="00243E68" w:rsidP="00DD23EF">
            <w:pPr>
              <w:spacing w:after="0" w:line="240" w:lineRule="auto"/>
              <w:jc w:val="center"/>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7</w:t>
            </w:r>
            <w:r w:rsidRPr="00654D5D">
              <w:rPr>
                <w:rFonts w:ascii="Times New Roman" w:eastAsia="Times New Roman" w:hAnsi="Times New Roman" w:cs="Times New Roman"/>
                <w:b/>
                <w:bCs/>
                <w:sz w:val="24"/>
                <w:szCs w:val="24"/>
                <w:lang w:eastAsia="bg-BG"/>
              </w:rPr>
              <w:t xml:space="preserve"> г.</w:t>
            </w:r>
          </w:p>
        </w:tc>
        <w:tc>
          <w:tcPr>
            <w:tcW w:w="2147" w:type="dxa"/>
            <w:shd w:val="clear" w:color="auto" w:fill="auto"/>
            <w:vAlign w:val="center"/>
            <w:hideMark/>
          </w:tcPr>
          <w:p w14:paraId="145F7587" w14:textId="77777777" w:rsidR="00243E68" w:rsidRPr="00654D5D" w:rsidRDefault="00243E68" w:rsidP="00DD23EF">
            <w:pPr>
              <w:spacing w:after="0" w:line="240" w:lineRule="auto"/>
              <w:jc w:val="center"/>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8</w:t>
            </w:r>
            <w:r w:rsidRPr="00654D5D">
              <w:rPr>
                <w:rFonts w:ascii="Times New Roman" w:eastAsia="Times New Roman" w:hAnsi="Times New Roman" w:cs="Times New Roman"/>
                <w:b/>
                <w:bCs/>
                <w:sz w:val="24"/>
                <w:szCs w:val="24"/>
                <w:lang w:eastAsia="bg-BG"/>
              </w:rPr>
              <w:t xml:space="preserve"> г.</w:t>
            </w:r>
          </w:p>
        </w:tc>
        <w:tc>
          <w:tcPr>
            <w:tcW w:w="2039" w:type="dxa"/>
            <w:shd w:val="clear" w:color="auto" w:fill="auto"/>
            <w:vAlign w:val="center"/>
            <w:hideMark/>
          </w:tcPr>
          <w:p w14:paraId="2D2C7896" w14:textId="77777777" w:rsidR="00243E68" w:rsidRPr="00654D5D" w:rsidRDefault="00243E68" w:rsidP="00DD23EF">
            <w:pPr>
              <w:spacing w:after="0" w:line="240" w:lineRule="auto"/>
              <w:jc w:val="center"/>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202</w:t>
            </w:r>
            <w:r w:rsidR="00DD23EF">
              <w:rPr>
                <w:rFonts w:ascii="Times New Roman" w:eastAsia="Times New Roman" w:hAnsi="Times New Roman" w:cs="Times New Roman"/>
                <w:b/>
                <w:bCs/>
                <w:sz w:val="24"/>
                <w:szCs w:val="24"/>
                <w:lang w:eastAsia="bg-BG"/>
              </w:rPr>
              <w:t>9</w:t>
            </w:r>
            <w:r w:rsidRPr="00654D5D">
              <w:rPr>
                <w:rFonts w:ascii="Times New Roman" w:eastAsia="Times New Roman" w:hAnsi="Times New Roman" w:cs="Times New Roman"/>
                <w:b/>
                <w:bCs/>
                <w:sz w:val="24"/>
                <w:szCs w:val="24"/>
                <w:lang w:eastAsia="bg-BG"/>
              </w:rPr>
              <w:t xml:space="preserve"> г.</w:t>
            </w:r>
          </w:p>
        </w:tc>
      </w:tr>
      <w:tr w:rsidR="00243E68" w:rsidRPr="00654D5D" w14:paraId="4EE81A03" w14:textId="77777777" w:rsidTr="00243E68">
        <w:trPr>
          <w:trHeight w:val="312"/>
          <w:jc w:val="center"/>
        </w:trPr>
        <w:tc>
          <w:tcPr>
            <w:tcW w:w="6143" w:type="dxa"/>
            <w:shd w:val="clear" w:color="auto" w:fill="auto"/>
            <w:vAlign w:val="center"/>
            <w:hideMark/>
          </w:tcPr>
          <w:p w14:paraId="08905A13" w14:textId="77777777" w:rsidR="00243E68" w:rsidRPr="00654D5D" w:rsidRDefault="00243E68" w:rsidP="00243E68">
            <w:pPr>
              <w:spacing w:after="0" w:line="240" w:lineRule="auto"/>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 xml:space="preserve">МЗ </w:t>
            </w:r>
          </w:p>
        </w:tc>
        <w:tc>
          <w:tcPr>
            <w:tcW w:w="2093" w:type="dxa"/>
            <w:shd w:val="clear" w:color="auto" w:fill="auto"/>
            <w:vAlign w:val="center"/>
            <w:hideMark/>
          </w:tcPr>
          <w:p w14:paraId="24DC39BC" w14:textId="77777777" w:rsidR="00243E68" w:rsidRPr="00397364" w:rsidRDefault="00397364" w:rsidP="00B26C0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505 </w:t>
            </w:r>
            <w:r w:rsidR="00B26C08">
              <w:rPr>
                <w:rFonts w:ascii="Times New Roman" w:eastAsia="Times New Roman" w:hAnsi="Times New Roman" w:cs="Times New Roman"/>
                <w:sz w:val="24"/>
                <w:szCs w:val="24"/>
                <w:lang w:val="en-US" w:eastAsia="bg-BG"/>
              </w:rPr>
              <w:t>300</w:t>
            </w:r>
          </w:p>
        </w:tc>
        <w:tc>
          <w:tcPr>
            <w:tcW w:w="2093" w:type="dxa"/>
            <w:shd w:val="clear" w:color="auto" w:fill="auto"/>
            <w:vAlign w:val="center"/>
            <w:hideMark/>
          </w:tcPr>
          <w:p w14:paraId="2F9FA8EE" w14:textId="77777777" w:rsidR="00243E68" w:rsidRPr="00C80A49" w:rsidRDefault="00C80A49" w:rsidP="00243E6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279 600</w:t>
            </w:r>
          </w:p>
        </w:tc>
        <w:tc>
          <w:tcPr>
            <w:tcW w:w="2147" w:type="dxa"/>
            <w:shd w:val="clear" w:color="auto" w:fill="auto"/>
            <w:vAlign w:val="center"/>
            <w:hideMark/>
          </w:tcPr>
          <w:p w14:paraId="1B207ED1" w14:textId="77777777" w:rsidR="00243E68" w:rsidRPr="00955840" w:rsidRDefault="00C80A49" w:rsidP="00955840">
            <w:pPr>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223 </w:t>
            </w:r>
            <w:r w:rsidR="00955840">
              <w:rPr>
                <w:rFonts w:ascii="Times New Roman" w:eastAsia="Times New Roman" w:hAnsi="Times New Roman" w:cs="Times New Roman"/>
                <w:sz w:val="24"/>
                <w:szCs w:val="24"/>
                <w:lang w:eastAsia="bg-BG"/>
              </w:rPr>
              <w:t>400</w:t>
            </w:r>
          </w:p>
        </w:tc>
        <w:tc>
          <w:tcPr>
            <w:tcW w:w="2039" w:type="dxa"/>
            <w:shd w:val="clear" w:color="auto" w:fill="auto"/>
            <w:vAlign w:val="center"/>
            <w:hideMark/>
          </w:tcPr>
          <w:p w14:paraId="48ADCEEC" w14:textId="77777777" w:rsidR="00243E68" w:rsidRPr="00540B87" w:rsidRDefault="00101A81" w:rsidP="00B26C0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120 </w:t>
            </w:r>
            <w:r w:rsidR="00B26C08">
              <w:rPr>
                <w:rFonts w:ascii="Times New Roman" w:eastAsia="Times New Roman" w:hAnsi="Times New Roman" w:cs="Times New Roman"/>
                <w:sz w:val="24"/>
                <w:szCs w:val="24"/>
                <w:lang w:val="en-US" w:eastAsia="bg-BG"/>
              </w:rPr>
              <w:t>300</w:t>
            </w:r>
          </w:p>
        </w:tc>
      </w:tr>
      <w:tr w:rsidR="00243E68" w:rsidRPr="00654D5D" w14:paraId="6FD3C8B2" w14:textId="77777777" w:rsidTr="00B1400C">
        <w:trPr>
          <w:trHeight w:val="258"/>
          <w:jc w:val="center"/>
        </w:trPr>
        <w:tc>
          <w:tcPr>
            <w:tcW w:w="6143" w:type="dxa"/>
            <w:shd w:val="clear" w:color="auto" w:fill="auto"/>
            <w:vAlign w:val="center"/>
            <w:hideMark/>
          </w:tcPr>
          <w:p w14:paraId="393ABC9B" w14:textId="77777777" w:rsidR="00243E68" w:rsidRPr="00654D5D" w:rsidRDefault="00243E68" w:rsidP="00243E68">
            <w:pPr>
              <w:spacing w:after="0" w:line="240" w:lineRule="auto"/>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МЗХ</w:t>
            </w:r>
          </w:p>
        </w:tc>
        <w:tc>
          <w:tcPr>
            <w:tcW w:w="2093" w:type="dxa"/>
            <w:shd w:val="clear" w:color="auto" w:fill="auto"/>
            <w:vAlign w:val="center"/>
            <w:hideMark/>
          </w:tcPr>
          <w:p w14:paraId="1D626625" w14:textId="77777777" w:rsidR="00243E68" w:rsidRPr="00C80A49" w:rsidRDefault="00C80A49" w:rsidP="00243E6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333 </w:t>
            </w:r>
            <w:r w:rsidR="00B26C08">
              <w:rPr>
                <w:rFonts w:ascii="Times New Roman" w:eastAsia="Times New Roman" w:hAnsi="Times New Roman" w:cs="Times New Roman"/>
                <w:sz w:val="24"/>
                <w:szCs w:val="24"/>
                <w:lang w:val="en-US" w:eastAsia="bg-BG"/>
              </w:rPr>
              <w:t>600</w:t>
            </w:r>
          </w:p>
          <w:p w14:paraId="62F55921" w14:textId="77777777" w:rsidR="00373726" w:rsidRPr="00B1400C" w:rsidRDefault="00373726" w:rsidP="00243E68">
            <w:pPr>
              <w:spacing w:after="0" w:line="240" w:lineRule="auto"/>
              <w:jc w:val="center"/>
              <w:rPr>
                <w:rFonts w:ascii="Times New Roman" w:eastAsia="Times New Roman" w:hAnsi="Times New Roman" w:cs="Times New Roman"/>
                <w:sz w:val="24"/>
                <w:szCs w:val="24"/>
                <w:lang w:val="en-US" w:eastAsia="bg-BG"/>
              </w:rPr>
            </w:pPr>
          </w:p>
        </w:tc>
        <w:tc>
          <w:tcPr>
            <w:tcW w:w="2093" w:type="dxa"/>
            <w:shd w:val="clear" w:color="auto" w:fill="auto"/>
            <w:vAlign w:val="center"/>
            <w:hideMark/>
          </w:tcPr>
          <w:p w14:paraId="79692FF6" w14:textId="77777777" w:rsidR="00243E68" w:rsidRPr="00C80A49" w:rsidRDefault="00C80A49" w:rsidP="00B26C0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3</w:t>
            </w:r>
            <w:r w:rsidR="00B26C08">
              <w:rPr>
                <w:rFonts w:ascii="Times New Roman" w:eastAsia="Times New Roman" w:hAnsi="Times New Roman" w:cs="Times New Roman"/>
                <w:sz w:val="24"/>
                <w:szCs w:val="24"/>
                <w:lang w:val="en-US" w:eastAsia="bg-BG"/>
              </w:rPr>
              <w:t>43</w:t>
            </w:r>
            <w:r>
              <w:rPr>
                <w:rFonts w:ascii="Times New Roman" w:eastAsia="Times New Roman" w:hAnsi="Times New Roman" w:cs="Times New Roman"/>
                <w:sz w:val="24"/>
                <w:szCs w:val="24"/>
                <w:lang w:val="en-US" w:eastAsia="bg-BG"/>
              </w:rPr>
              <w:t xml:space="preserve"> </w:t>
            </w:r>
            <w:r w:rsidR="00B26C08">
              <w:rPr>
                <w:rFonts w:ascii="Times New Roman" w:eastAsia="Times New Roman" w:hAnsi="Times New Roman" w:cs="Times New Roman"/>
                <w:sz w:val="24"/>
                <w:szCs w:val="24"/>
                <w:lang w:val="en-US" w:eastAsia="bg-BG"/>
              </w:rPr>
              <w:t>0</w:t>
            </w:r>
            <w:r>
              <w:rPr>
                <w:rFonts w:ascii="Times New Roman" w:eastAsia="Times New Roman" w:hAnsi="Times New Roman" w:cs="Times New Roman"/>
                <w:sz w:val="24"/>
                <w:szCs w:val="24"/>
                <w:lang w:val="en-US" w:eastAsia="bg-BG"/>
              </w:rPr>
              <w:t>00</w:t>
            </w:r>
          </w:p>
        </w:tc>
        <w:tc>
          <w:tcPr>
            <w:tcW w:w="2147" w:type="dxa"/>
            <w:shd w:val="clear" w:color="auto" w:fill="auto"/>
            <w:vAlign w:val="center"/>
            <w:hideMark/>
          </w:tcPr>
          <w:p w14:paraId="5361DC90" w14:textId="77777777" w:rsidR="00437A5A" w:rsidRPr="00540B87" w:rsidRDefault="00540B87" w:rsidP="00B26C0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333 </w:t>
            </w:r>
            <w:r w:rsidR="00955840">
              <w:rPr>
                <w:rFonts w:ascii="Times New Roman" w:eastAsia="Times New Roman" w:hAnsi="Times New Roman" w:cs="Times New Roman"/>
                <w:sz w:val="24"/>
                <w:szCs w:val="24"/>
                <w:lang w:eastAsia="bg-BG"/>
              </w:rPr>
              <w:t>4</w:t>
            </w:r>
            <w:r w:rsidR="00B26C08">
              <w:rPr>
                <w:rFonts w:ascii="Times New Roman" w:eastAsia="Times New Roman" w:hAnsi="Times New Roman" w:cs="Times New Roman"/>
                <w:sz w:val="24"/>
                <w:szCs w:val="24"/>
                <w:lang w:val="en-US" w:eastAsia="bg-BG"/>
              </w:rPr>
              <w:t>0</w:t>
            </w:r>
            <w:r>
              <w:rPr>
                <w:rFonts w:ascii="Times New Roman" w:eastAsia="Times New Roman" w:hAnsi="Times New Roman" w:cs="Times New Roman"/>
                <w:sz w:val="24"/>
                <w:szCs w:val="24"/>
                <w:lang w:val="en-US" w:eastAsia="bg-BG"/>
              </w:rPr>
              <w:t>0</w:t>
            </w:r>
          </w:p>
        </w:tc>
        <w:tc>
          <w:tcPr>
            <w:tcW w:w="2039" w:type="dxa"/>
            <w:shd w:val="clear" w:color="auto" w:fill="auto"/>
            <w:vAlign w:val="center"/>
            <w:hideMark/>
          </w:tcPr>
          <w:p w14:paraId="6C57653D" w14:textId="77777777" w:rsidR="00243E68" w:rsidRPr="00540B87" w:rsidRDefault="00540B87" w:rsidP="00B26C08">
            <w:pPr>
              <w:spacing w:after="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333 </w:t>
            </w:r>
            <w:r w:rsidR="00B26C08">
              <w:rPr>
                <w:rFonts w:ascii="Times New Roman" w:eastAsia="Times New Roman" w:hAnsi="Times New Roman" w:cs="Times New Roman"/>
                <w:sz w:val="24"/>
                <w:szCs w:val="24"/>
                <w:lang w:val="en-US" w:eastAsia="bg-BG"/>
              </w:rPr>
              <w:t>400</w:t>
            </w:r>
          </w:p>
        </w:tc>
      </w:tr>
      <w:tr w:rsidR="00243E68" w:rsidRPr="00654D5D" w14:paraId="00ECD148" w14:textId="77777777" w:rsidTr="00243E68">
        <w:trPr>
          <w:trHeight w:val="312"/>
          <w:jc w:val="center"/>
        </w:trPr>
        <w:tc>
          <w:tcPr>
            <w:tcW w:w="6143" w:type="dxa"/>
            <w:shd w:val="clear" w:color="auto" w:fill="auto"/>
            <w:vAlign w:val="center"/>
            <w:hideMark/>
          </w:tcPr>
          <w:p w14:paraId="2AC75877" w14:textId="77777777" w:rsidR="00243E68" w:rsidRPr="00654D5D" w:rsidRDefault="00243E68" w:rsidP="00243E68">
            <w:pPr>
              <w:spacing w:after="0" w:line="240" w:lineRule="auto"/>
              <w:rPr>
                <w:rFonts w:ascii="Times New Roman" w:eastAsia="Times New Roman" w:hAnsi="Times New Roman" w:cs="Times New Roman"/>
                <w:b/>
                <w:bCs/>
                <w:sz w:val="24"/>
                <w:szCs w:val="24"/>
                <w:lang w:eastAsia="bg-BG"/>
              </w:rPr>
            </w:pPr>
            <w:r w:rsidRPr="00654D5D">
              <w:rPr>
                <w:rFonts w:ascii="Times New Roman" w:eastAsia="Times New Roman" w:hAnsi="Times New Roman" w:cs="Times New Roman"/>
                <w:b/>
                <w:bCs/>
                <w:sz w:val="24"/>
                <w:szCs w:val="24"/>
                <w:lang w:eastAsia="bg-BG"/>
              </w:rPr>
              <w:t>ОБЩО</w:t>
            </w:r>
          </w:p>
        </w:tc>
        <w:tc>
          <w:tcPr>
            <w:tcW w:w="2093" w:type="dxa"/>
            <w:shd w:val="clear" w:color="auto" w:fill="auto"/>
            <w:vAlign w:val="center"/>
            <w:hideMark/>
          </w:tcPr>
          <w:p w14:paraId="3C999430" w14:textId="77777777" w:rsidR="00243E68" w:rsidRPr="00C80A49" w:rsidRDefault="00C80A49" w:rsidP="00B26C08">
            <w:pPr>
              <w:spacing w:after="0" w:line="240" w:lineRule="auto"/>
              <w:jc w:val="center"/>
              <w:rPr>
                <w:rFonts w:ascii="Times New Roman" w:eastAsia="Times New Roman" w:hAnsi="Times New Roman" w:cs="Times New Roman"/>
                <w:b/>
                <w:bCs/>
                <w:sz w:val="24"/>
                <w:szCs w:val="24"/>
                <w:lang w:val="en-US" w:eastAsia="bg-BG"/>
              </w:rPr>
            </w:pPr>
            <w:r>
              <w:rPr>
                <w:rFonts w:ascii="Times New Roman" w:eastAsia="Times New Roman" w:hAnsi="Times New Roman" w:cs="Times New Roman"/>
                <w:b/>
                <w:bCs/>
                <w:sz w:val="24"/>
                <w:szCs w:val="24"/>
                <w:lang w:val="en-US" w:eastAsia="bg-BG"/>
              </w:rPr>
              <w:t xml:space="preserve">838 </w:t>
            </w:r>
            <w:r w:rsidR="00B26C08">
              <w:rPr>
                <w:rFonts w:ascii="Times New Roman" w:eastAsia="Times New Roman" w:hAnsi="Times New Roman" w:cs="Times New Roman"/>
                <w:b/>
                <w:bCs/>
                <w:sz w:val="24"/>
                <w:szCs w:val="24"/>
                <w:lang w:val="en-US" w:eastAsia="bg-BG"/>
              </w:rPr>
              <w:t>900</w:t>
            </w:r>
          </w:p>
        </w:tc>
        <w:tc>
          <w:tcPr>
            <w:tcW w:w="2093" w:type="dxa"/>
            <w:shd w:val="clear" w:color="auto" w:fill="auto"/>
            <w:vAlign w:val="center"/>
            <w:hideMark/>
          </w:tcPr>
          <w:p w14:paraId="6AD6CFCC" w14:textId="77777777" w:rsidR="00243E68" w:rsidRPr="00C80A49" w:rsidRDefault="00B26C08" w:rsidP="00243E68">
            <w:pPr>
              <w:spacing w:after="0" w:line="240" w:lineRule="auto"/>
              <w:jc w:val="center"/>
              <w:rPr>
                <w:rFonts w:ascii="Times New Roman" w:eastAsia="Times New Roman" w:hAnsi="Times New Roman" w:cs="Times New Roman"/>
                <w:b/>
                <w:bCs/>
                <w:sz w:val="24"/>
                <w:szCs w:val="24"/>
                <w:lang w:val="en-US" w:eastAsia="bg-BG"/>
              </w:rPr>
            </w:pPr>
            <w:r>
              <w:rPr>
                <w:rFonts w:ascii="Times New Roman" w:eastAsia="Times New Roman" w:hAnsi="Times New Roman" w:cs="Times New Roman"/>
                <w:b/>
                <w:bCs/>
                <w:sz w:val="24"/>
                <w:szCs w:val="24"/>
                <w:lang w:val="en-US" w:eastAsia="bg-BG"/>
              </w:rPr>
              <w:t>622 600</w:t>
            </w:r>
          </w:p>
        </w:tc>
        <w:tc>
          <w:tcPr>
            <w:tcW w:w="2147" w:type="dxa"/>
            <w:shd w:val="clear" w:color="auto" w:fill="auto"/>
            <w:vAlign w:val="center"/>
            <w:hideMark/>
          </w:tcPr>
          <w:p w14:paraId="4DEEC78F" w14:textId="77777777" w:rsidR="00243E68" w:rsidRPr="00540B87" w:rsidRDefault="00540B87" w:rsidP="00B26C08">
            <w:pPr>
              <w:spacing w:after="0" w:line="240" w:lineRule="auto"/>
              <w:jc w:val="center"/>
              <w:rPr>
                <w:rFonts w:ascii="Times New Roman" w:eastAsia="Times New Roman" w:hAnsi="Times New Roman" w:cs="Times New Roman"/>
                <w:b/>
                <w:bCs/>
                <w:sz w:val="24"/>
                <w:szCs w:val="24"/>
                <w:lang w:val="en-US" w:eastAsia="bg-BG"/>
              </w:rPr>
            </w:pPr>
            <w:r>
              <w:rPr>
                <w:rFonts w:ascii="Times New Roman" w:eastAsia="Times New Roman" w:hAnsi="Times New Roman" w:cs="Times New Roman"/>
                <w:b/>
                <w:bCs/>
                <w:sz w:val="24"/>
                <w:szCs w:val="24"/>
                <w:lang w:val="en-US" w:eastAsia="bg-BG"/>
              </w:rPr>
              <w:t xml:space="preserve">556 </w:t>
            </w:r>
            <w:r w:rsidR="00B26C08">
              <w:rPr>
                <w:rFonts w:ascii="Times New Roman" w:eastAsia="Times New Roman" w:hAnsi="Times New Roman" w:cs="Times New Roman"/>
                <w:b/>
                <w:bCs/>
                <w:sz w:val="24"/>
                <w:szCs w:val="24"/>
                <w:lang w:val="en-US" w:eastAsia="bg-BG"/>
              </w:rPr>
              <w:t>800</w:t>
            </w:r>
          </w:p>
        </w:tc>
        <w:tc>
          <w:tcPr>
            <w:tcW w:w="2039" w:type="dxa"/>
            <w:shd w:val="clear" w:color="auto" w:fill="auto"/>
            <w:vAlign w:val="center"/>
            <w:hideMark/>
          </w:tcPr>
          <w:p w14:paraId="5C6A9BEE" w14:textId="77777777" w:rsidR="00243E68" w:rsidRPr="00540B87" w:rsidRDefault="00101A81" w:rsidP="00FE0C60">
            <w:pPr>
              <w:spacing w:after="0" w:line="240" w:lineRule="auto"/>
              <w:jc w:val="center"/>
              <w:rPr>
                <w:rFonts w:ascii="Times New Roman" w:eastAsia="Times New Roman" w:hAnsi="Times New Roman" w:cs="Times New Roman"/>
                <w:b/>
                <w:bCs/>
                <w:sz w:val="24"/>
                <w:szCs w:val="24"/>
                <w:lang w:val="en-US" w:eastAsia="bg-BG"/>
              </w:rPr>
            </w:pPr>
            <w:r>
              <w:rPr>
                <w:rFonts w:ascii="Times New Roman" w:eastAsia="Times New Roman" w:hAnsi="Times New Roman" w:cs="Times New Roman"/>
                <w:b/>
                <w:bCs/>
                <w:sz w:val="24"/>
                <w:szCs w:val="24"/>
                <w:lang w:val="en-US" w:eastAsia="bg-BG"/>
              </w:rPr>
              <w:t xml:space="preserve">453 </w:t>
            </w:r>
            <w:r w:rsidR="00B26C08">
              <w:rPr>
                <w:rFonts w:ascii="Times New Roman" w:eastAsia="Times New Roman" w:hAnsi="Times New Roman" w:cs="Times New Roman"/>
                <w:b/>
                <w:bCs/>
                <w:sz w:val="24"/>
                <w:szCs w:val="24"/>
                <w:lang w:val="en-US" w:eastAsia="bg-BG"/>
              </w:rPr>
              <w:t>700</w:t>
            </w:r>
          </w:p>
        </w:tc>
      </w:tr>
    </w:tbl>
    <w:p w14:paraId="18256624" w14:textId="77777777" w:rsidR="00243E68" w:rsidRDefault="00243E68" w:rsidP="00E843C8">
      <w:pPr>
        <w:spacing w:after="0" w:line="360" w:lineRule="auto"/>
        <w:rPr>
          <w:rFonts w:ascii="Times New Roman" w:hAnsi="Times New Roman" w:cs="Times New Roman"/>
          <w:sz w:val="24"/>
          <w:szCs w:val="24"/>
        </w:rPr>
      </w:pPr>
    </w:p>
    <w:p w14:paraId="6DCC2248" w14:textId="77777777" w:rsidR="00243E68" w:rsidRDefault="00243E68" w:rsidP="00E843C8">
      <w:pPr>
        <w:spacing w:after="0" w:line="360" w:lineRule="auto"/>
        <w:rPr>
          <w:rFonts w:ascii="Times New Roman" w:hAnsi="Times New Roman" w:cs="Times New Roman"/>
          <w:sz w:val="24"/>
          <w:szCs w:val="24"/>
        </w:rPr>
      </w:pPr>
    </w:p>
    <w:p w14:paraId="4B4C1A21" w14:textId="77777777" w:rsidR="007E3652" w:rsidRPr="00997C23" w:rsidRDefault="007E3652" w:rsidP="00E843C8">
      <w:pPr>
        <w:spacing w:after="0" w:line="360" w:lineRule="auto"/>
        <w:rPr>
          <w:rFonts w:ascii="Times New Roman" w:hAnsi="Times New Roman" w:cs="Times New Roman"/>
          <w:sz w:val="24"/>
          <w:szCs w:val="24"/>
        </w:rPr>
        <w:sectPr w:rsidR="007E3652" w:rsidRPr="00997C23" w:rsidSect="00EB7B4C">
          <w:pgSz w:w="16838" w:h="11906" w:orient="landscape" w:code="9"/>
          <w:pgMar w:top="1134" w:right="1021" w:bottom="454" w:left="1021" w:header="709" w:footer="709" w:gutter="0"/>
          <w:cols w:space="708"/>
          <w:docGrid w:linePitch="360"/>
        </w:sectPr>
      </w:pPr>
    </w:p>
    <w:p w14:paraId="419350DC" w14:textId="77777777" w:rsidR="00741F40" w:rsidRPr="00D83DD7" w:rsidRDefault="00D74461" w:rsidP="00E843C8">
      <w:pPr>
        <w:pStyle w:val="Heading2"/>
        <w:spacing w:before="0" w:line="360" w:lineRule="auto"/>
        <w:rPr>
          <w:rFonts w:ascii="Times New Roman" w:hAnsi="Times New Roman"/>
          <w:color w:val="auto"/>
          <w:sz w:val="24"/>
          <w:szCs w:val="24"/>
        </w:rPr>
      </w:pPr>
      <w:bookmarkStart w:id="13" w:name="_Toc200721742"/>
      <w:r w:rsidRPr="00D83DD7">
        <w:rPr>
          <w:rFonts w:ascii="Times New Roman" w:hAnsi="Times New Roman"/>
          <w:color w:val="auto"/>
          <w:sz w:val="24"/>
          <w:szCs w:val="24"/>
        </w:rPr>
        <w:lastRenderedPageBreak/>
        <w:t xml:space="preserve">ИЗПОЛЗВАНА </w:t>
      </w:r>
      <w:r w:rsidR="009463BA" w:rsidRPr="00D83DD7">
        <w:rPr>
          <w:rFonts w:ascii="Times New Roman" w:hAnsi="Times New Roman"/>
          <w:color w:val="auto"/>
          <w:sz w:val="24"/>
          <w:szCs w:val="24"/>
        </w:rPr>
        <w:t>ЛИТЕРАТУРА</w:t>
      </w:r>
      <w:bookmarkEnd w:id="13"/>
    </w:p>
    <w:p w14:paraId="4B91DED7" w14:textId="77777777" w:rsidR="009C055E" w:rsidRPr="00997C23" w:rsidRDefault="009C055E" w:rsidP="00E843C8">
      <w:pPr>
        <w:spacing w:after="0" w:line="360" w:lineRule="auto"/>
        <w:rPr>
          <w:rFonts w:ascii="Times New Roman" w:hAnsi="Times New Roman" w:cs="Times New Roman"/>
          <w:sz w:val="24"/>
          <w:szCs w:val="24"/>
        </w:rPr>
      </w:pPr>
    </w:p>
    <w:p w14:paraId="361EAC8E" w14:textId="77777777" w:rsidR="009D0134" w:rsidRPr="00997C23" w:rsidRDefault="00D72721"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sz w:val="24"/>
          <w:szCs w:val="24"/>
        </w:rPr>
        <w:fldChar w:fldCharType="begin" w:fldLock="1"/>
      </w:r>
      <w:r w:rsidRPr="00997C23">
        <w:rPr>
          <w:rFonts w:ascii="Times New Roman" w:hAnsi="Times New Roman" w:cs="Times New Roman"/>
          <w:sz w:val="24"/>
          <w:szCs w:val="24"/>
        </w:rPr>
        <w:instrText xml:space="preserve">ADDIN Mendeley Bibliography CSL_BIBLIOGRAPHY </w:instrText>
      </w:r>
      <w:r w:rsidRPr="00997C23">
        <w:rPr>
          <w:rFonts w:ascii="Times New Roman" w:hAnsi="Times New Roman" w:cs="Times New Roman"/>
          <w:sz w:val="24"/>
          <w:szCs w:val="24"/>
        </w:rPr>
        <w:fldChar w:fldCharType="separate"/>
      </w:r>
      <w:r w:rsidR="009D0134" w:rsidRPr="00997C23">
        <w:rPr>
          <w:rFonts w:ascii="Times New Roman" w:hAnsi="Times New Roman" w:cs="Times New Roman"/>
          <w:noProof/>
          <w:sz w:val="24"/>
          <w:szCs w:val="24"/>
        </w:rPr>
        <w:t>[1]</w:t>
      </w:r>
      <w:r w:rsidR="009D0134" w:rsidRPr="00997C23">
        <w:rPr>
          <w:rFonts w:ascii="Times New Roman" w:hAnsi="Times New Roman" w:cs="Times New Roman"/>
          <w:noProof/>
          <w:sz w:val="24"/>
          <w:szCs w:val="24"/>
        </w:rPr>
        <w:tab/>
        <w:t xml:space="preserve">B. Beović, Ö. Ergönül, F. Can, and C. Pulcini, “Preface,” </w:t>
      </w:r>
      <w:r w:rsidR="009D0134" w:rsidRPr="00997C23">
        <w:rPr>
          <w:rFonts w:ascii="Times New Roman" w:hAnsi="Times New Roman" w:cs="Times New Roman"/>
          <w:i/>
          <w:iCs/>
          <w:noProof/>
          <w:sz w:val="24"/>
          <w:szCs w:val="24"/>
        </w:rPr>
        <w:t>Antimicrobial Stewardship</w:t>
      </w:r>
      <w:r w:rsidR="009D0134" w:rsidRPr="00997C23">
        <w:rPr>
          <w:rFonts w:ascii="Times New Roman" w:hAnsi="Times New Roman" w:cs="Times New Roman"/>
          <w:noProof/>
          <w:sz w:val="24"/>
          <w:szCs w:val="24"/>
        </w:rPr>
        <w:t>. Elsevier, pp. xxiii–xxiv, 2017.</w:t>
      </w:r>
    </w:p>
    <w:p w14:paraId="51CEA43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w:t>
      </w:r>
      <w:r w:rsidRPr="00997C23">
        <w:rPr>
          <w:rFonts w:ascii="Times New Roman" w:hAnsi="Times New Roman" w:cs="Times New Roman"/>
          <w:noProof/>
          <w:sz w:val="24"/>
          <w:szCs w:val="24"/>
        </w:rPr>
        <w:tab/>
        <w:t>Е. Савов, “Bad bugs no drugs. На прага ли сме на пост-антибиотичния апокалипсис ?,” София: Военно издателство ЕООД, 2015, p. 175.</w:t>
      </w:r>
    </w:p>
    <w:p w14:paraId="7F7FC47F"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w:t>
      </w:r>
      <w:r w:rsidRPr="00997C23">
        <w:rPr>
          <w:rFonts w:ascii="Times New Roman" w:hAnsi="Times New Roman" w:cs="Times New Roman"/>
          <w:noProof/>
          <w:sz w:val="24"/>
          <w:szCs w:val="24"/>
        </w:rPr>
        <w:tab/>
        <w:t xml:space="preserve">Е. Кьолеян, “Антибиотичната резистентност – световен здравен проблем.,” </w:t>
      </w:r>
      <w:r w:rsidRPr="00997C23">
        <w:rPr>
          <w:rFonts w:ascii="Times New Roman" w:hAnsi="Times New Roman" w:cs="Times New Roman"/>
          <w:i/>
          <w:iCs/>
          <w:noProof/>
          <w:sz w:val="24"/>
          <w:szCs w:val="24"/>
        </w:rPr>
        <w:t>Съвременни медицински проблеми.</w:t>
      </w:r>
      <w:r w:rsidRPr="00997C23">
        <w:rPr>
          <w:rFonts w:ascii="Times New Roman" w:hAnsi="Times New Roman" w:cs="Times New Roman"/>
          <w:noProof/>
          <w:sz w:val="24"/>
          <w:szCs w:val="24"/>
        </w:rPr>
        <w:t>, no. 1, pp. 53–62, 2014.</w:t>
      </w:r>
    </w:p>
    <w:p w14:paraId="63A24481"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[4]</w:t>
      </w:r>
      <w:r w:rsidRPr="00997C23">
        <w:rPr>
          <w:rFonts w:ascii="Times New Roman" w:hAnsi="Times New Roman" w:cs="Times New Roman"/>
          <w:noProof/>
          <w:sz w:val="24"/>
          <w:szCs w:val="24"/>
        </w:rPr>
        <w:tab/>
        <w:t xml:space="preserve">WHO, “WHO - Global action plan on AMR” </w:t>
      </w:r>
      <w:r w:rsidRPr="00997C23">
        <w:rPr>
          <w:rFonts w:ascii="Times New Roman" w:hAnsi="Times New Roman" w:cs="Times New Roman"/>
          <w:i/>
          <w:iCs/>
          <w:noProof/>
          <w:sz w:val="24"/>
          <w:szCs w:val="24"/>
        </w:rPr>
        <w:t>WHO</w:t>
      </w:r>
      <w:r w:rsidRPr="00997C23">
        <w:rPr>
          <w:rFonts w:ascii="Times New Roman" w:hAnsi="Times New Roman" w:cs="Times New Roman"/>
          <w:noProof/>
          <w:sz w:val="24"/>
          <w:szCs w:val="24"/>
        </w:rPr>
        <w:t>. World Health Organization, 2016.</w:t>
      </w:r>
    </w:p>
    <w:p w14:paraId="632AF92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[5]</w:t>
      </w:r>
      <w:r w:rsidRPr="00997C23">
        <w:rPr>
          <w:rFonts w:ascii="Times New Roman" w:hAnsi="Times New Roman" w:cs="Times New Roman"/>
          <w:noProof/>
          <w:sz w:val="24"/>
          <w:szCs w:val="24"/>
        </w:rPr>
        <w:tab/>
        <w:t>EC, “COMMUNICATION FROM THE COMMISSION TO THE COUNCIL AND THE EUROPEAN PARLIAMENT A European One Health Action Plan against Antimicrobial Resistance (AMR)- COM/2017/0339 final.” 2017.</w:t>
      </w:r>
    </w:p>
    <w:p w14:paraId="02A63E45"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[6]</w:t>
      </w:r>
      <w:r w:rsidRPr="00997C23">
        <w:rPr>
          <w:rFonts w:ascii="Times New Roman" w:hAnsi="Times New Roman" w:cs="Times New Roman"/>
          <w:noProof/>
          <w:sz w:val="24"/>
          <w:szCs w:val="24"/>
        </w:rPr>
        <w:tab/>
        <w:t xml:space="preserve">EC, “Special eurobarometer </w:t>
      </w:r>
      <w:r w:rsidR="00831064">
        <w:rPr>
          <w:rFonts w:ascii="Times New Roman" w:hAnsi="Times New Roman" w:cs="Times New Roman"/>
          <w:noProof/>
          <w:sz w:val="24"/>
          <w:szCs w:val="24"/>
        </w:rPr>
        <w:t>522</w:t>
      </w:r>
      <w:r w:rsidRPr="00997C23">
        <w:rPr>
          <w:rFonts w:ascii="Times New Roman" w:hAnsi="Times New Roman" w:cs="Times New Roman"/>
          <w:noProof/>
          <w:sz w:val="24"/>
          <w:szCs w:val="24"/>
        </w:rPr>
        <w:t xml:space="preserve">. Report. Antibiotic resistance,” </w:t>
      </w:r>
      <w:r w:rsidR="00831064" w:rsidRPr="00997C23">
        <w:rPr>
          <w:rFonts w:ascii="Times New Roman" w:hAnsi="Times New Roman" w:cs="Times New Roman"/>
          <w:noProof/>
          <w:sz w:val="24"/>
          <w:szCs w:val="24"/>
        </w:rPr>
        <w:t>20</w:t>
      </w:r>
      <w:r w:rsidR="00831064">
        <w:rPr>
          <w:rFonts w:ascii="Times New Roman" w:hAnsi="Times New Roman" w:cs="Times New Roman"/>
          <w:noProof/>
          <w:sz w:val="24"/>
          <w:szCs w:val="24"/>
        </w:rPr>
        <w:t>22</w:t>
      </w:r>
      <w:r w:rsidRPr="00997C23">
        <w:rPr>
          <w:rFonts w:ascii="Times New Roman" w:hAnsi="Times New Roman" w:cs="Times New Roman"/>
          <w:noProof/>
          <w:sz w:val="24"/>
          <w:szCs w:val="24"/>
        </w:rPr>
        <w:t>.</w:t>
      </w:r>
    </w:p>
    <w:p w14:paraId="3EAF8767"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[7]</w:t>
      </w:r>
      <w:r w:rsidRPr="00997C23">
        <w:rPr>
          <w:rFonts w:ascii="Times New Roman" w:hAnsi="Times New Roman" w:cs="Times New Roman"/>
          <w:noProof/>
          <w:sz w:val="24"/>
          <w:szCs w:val="24"/>
        </w:rPr>
        <w:tab/>
        <w:t>CDC, “Facility Guidance for Control of Carbapenem-resistant Enterobacteriaceae (CRE) – November 2015 Update CRE Toolkittle.” 2015.</w:t>
      </w:r>
    </w:p>
    <w:p w14:paraId="6EEA45F2"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[8]</w:t>
      </w:r>
      <w:r w:rsidRPr="00997C23">
        <w:rPr>
          <w:rFonts w:ascii="Times New Roman" w:hAnsi="Times New Roman" w:cs="Times New Roman"/>
          <w:noProof/>
          <w:sz w:val="24"/>
          <w:szCs w:val="24"/>
        </w:rPr>
        <w:tab/>
        <w:t xml:space="preserve">T. F. Barlam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“Implementing an Antibiotic Stewardship Program: Guidelines by the Infectious Diseases Society of America and the Society for Healthcare Epidemiology of America,” </w:t>
      </w:r>
      <w:r w:rsidRPr="00997C23">
        <w:rPr>
          <w:rFonts w:ascii="Times New Roman" w:hAnsi="Times New Roman" w:cs="Times New Roman"/>
          <w:i/>
          <w:iCs/>
          <w:noProof/>
          <w:sz w:val="24"/>
          <w:szCs w:val="24"/>
        </w:rPr>
        <w:t>Clin. Infect. Dis.</w:t>
      </w:r>
      <w:r w:rsidRPr="00997C23">
        <w:rPr>
          <w:rFonts w:ascii="Times New Roman" w:hAnsi="Times New Roman" w:cs="Times New Roman"/>
          <w:noProof/>
          <w:sz w:val="24"/>
          <w:szCs w:val="24"/>
        </w:rPr>
        <w:t>, vol. 62, no. 10, pp. e51–e77, 2016.</w:t>
      </w:r>
    </w:p>
    <w:p w14:paraId="2C8A495B"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[9]</w:t>
      </w:r>
      <w:r w:rsidRPr="00997C23">
        <w:rPr>
          <w:rFonts w:ascii="Times New Roman" w:hAnsi="Times New Roman" w:cs="Times New Roman"/>
          <w:noProof/>
          <w:sz w:val="24"/>
          <w:szCs w:val="24"/>
        </w:rPr>
        <w:tab/>
        <w:t xml:space="preserve">A. P. Magiorakos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“Infection prevention and control measures and tools for the prevention of entry of carbapenem-resistant Enterobacteriaceae into healthcare settings: guidance from the European Centre for Disease Prevention and Control,” </w:t>
      </w:r>
      <w:r w:rsidRPr="00997C23">
        <w:rPr>
          <w:rFonts w:ascii="Times New Roman" w:hAnsi="Times New Roman" w:cs="Times New Roman"/>
          <w:i/>
          <w:iCs/>
          <w:noProof/>
          <w:sz w:val="24"/>
          <w:szCs w:val="24"/>
        </w:rPr>
        <w:t>Antimicrob. Resist. Infect. Control</w:t>
      </w:r>
      <w:r w:rsidRPr="00997C23">
        <w:rPr>
          <w:rFonts w:ascii="Times New Roman" w:hAnsi="Times New Roman" w:cs="Times New Roman"/>
          <w:noProof/>
          <w:sz w:val="24"/>
          <w:szCs w:val="24"/>
        </w:rPr>
        <w:t>, vol. 6, no. 1, 2017.</w:t>
      </w:r>
    </w:p>
    <w:p w14:paraId="502CE606"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[10]</w:t>
      </w:r>
      <w:r w:rsidRPr="00997C23">
        <w:rPr>
          <w:rFonts w:ascii="Times New Roman" w:hAnsi="Times New Roman" w:cs="Times New Roman"/>
          <w:noProof/>
          <w:sz w:val="24"/>
          <w:szCs w:val="24"/>
        </w:rPr>
        <w:tab/>
        <w:t xml:space="preserve">A. E. Maraolo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“Organization and training at national level of antimicrobial stewardship and infection control activities in Europe: an ESCMID cross-sectional survey,” </w:t>
      </w:r>
      <w:r w:rsidRPr="00997C23">
        <w:rPr>
          <w:rFonts w:ascii="Times New Roman" w:hAnsi="Times New Roman" w:cs="Times New Roman"/>
          <w:i/>
          <w:iCs/>
          <w:noProof/>
          <w:sz w:val="24"/>
          <w:szCs w:val="24"/>
        </w:rPr>
        <w:t>Eur. J. Clin. Microbiol. Infect. Dis.</w:t>
      </w:r>
      <w:r w:rsidRPr="00997C23">
        <w:rPr>
          <w:rFonts w:ascii="Times New Roman" w:hAnsi="Times New Roman" w:cs="Times New Roman"/>
          <w:noProof/>
          <w:sz w:val="24"/>
          <w:szCs w:val="24"/>
        </w:rPr>
        <w:t>, 2019.</w:t>
      </w:r>
    </w:p>
    <w:p w14:paraId="65815655"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[11]</w:t>
      </w:r>
      <w:r w:rsidRPr="00997C23">
        <w:rPr>
          <w:rFonts w:ascii="Times New Roman" w:hAnsi="Times New Roman" w:cs="Times New Roman"/>
          <w:noProof/>
          <w:sz w:val="24"/>
          <w:szCs w:val="24"/>
        </w:rPr>
        <w:tab/>
        <w:t xml:space="preserve">E. Tacconelli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“ESCMID guidelines for the management of the infection control measures to reduce transmission of multidrug-resistant Gram-negative bacteria in hospitalized patients,” </w:t>
      </w:r>
      <w:r w:rsidRPr="00997C23">
        <w:rPr>
          <w:rFonts w:ascii="Times New Roman" w:hAnsi="Times New Roman" w:cs="Times New Roman"/>
          <w:i/>
          <w:iCs/>
          <w:noProof/>
          <w:sz w:val="24"/>
          <w:szCs w:val="24"/>
        </w:rPr>
        <w:t>Clin. Microbiol. Infect.</w:t>
      </w:r>
      <w:r w:rsidRPr="00997C23">
        <w:rPr>
          <w:rFonts w:ascii="Times New Roman" w:hAnsi="Times New Roman" w:cs="Times New Roman"/>
          <w:noProof/>
          <w:sz w:val="24"/>
          <w:szCs w:val="24"/>
        </w:rPr>
        <w:t>, vol. 20, pp. 1–55, 2014.</w:t>
      </w:r>
    </w:p>
    <w:p w14:paraId="2DD9F922" w14:textId="77777777" w:rsidR="009D0134" w:rsidRPr="00997C23" w:rsidRDefault="009D0134" w:rsidP="00F53F6C">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[12]</w:t>
      </w:r>
      <w:r w:rsidRPr="00997C23">
        <w:rPr>
          <w:rFonts w:ascii="Times New Roman" w:hAnsi="Times New Roman" w:cs="Times New Roman"/>
          <w:noProof/>
          <w:sz w:val="24"/>
          <w:szCs w:val="24"/>
        </w:rPr>
        <w:tab/>
      </w:r>
      <w:r w:rsidR="00535CDE" w:rsidRPr="00F53F6C">
        <w:rPr>
          <w:rFonts w:ascii="Times New Roman" w:hAnsi="Times New Roman" w:cs="Times New Roman"/>
          <w:noProof/>
          <w:sz w:val="24"/>
          <w:szCs w:val="24"/>
        </w:rPr>
        <w:t>Naghavi, Mohsen et al.</w:t>
      </w:r>
      <w:r w:rsidR="00535CDE">
        <w:rPr>
          <w:rFonts w:ascii="Times New Roman" w:hAnsi="Times New Roman" w:cs="Times New Roman"/>
          <w:noProof/>
          <w:sz w:val="24"/>
          <w:szCs w:val="24"/>
        </w:rPr>
        <w:t xml:space="preserve"> </w:t>
      </w:r>
      <w:r w:rsidR="00F53F6C" w:rsidRPr="00F53F6C">
        <w:rPr>
          <w:rFonts w:ascii="Times New Roman" w:hAnsi="Times New Roman" w:cs="Times New Roman"/>
          <w:noProof/>
          <w:sz w:val="24"/>
          <w:szCs w:val="24"/>
        </w:rPr>
        <w:t>Global burden of bacterial antimicrobial resistance 1990–2021: a systematic analysis with forecasts to 2050</w:t>
      </w:r>
      <w:r w:rsidR="00535CDE">
        <w:rPr>
          <w:rFonts w:ascii="Times New Roman" w:hAnsi="Times New Roman" w:cs="Times New Roman"/>
          <w:noProof/>
          <w:sz w:val="24"/>
          <w:szCs w:val="24"/>
        </w:rPr>
        <w:t xml:space="preserve">. </w:t>
      </w:r>
      <w:r w:rsidR="00F53F6C" w:rsidRPr="001A763F">
        <w:rPr>
          <w:rFonts w:ascii="Times New Roman" w:hAnsi="Times New Roman" w:cs="Times New Roman"/>
          <w:i/>
          <w:noProof/>
          <w:sz w:val="24"/>
          <w:szCs w:val="24"/>
        </w:rPr>
        <w:t>The Lancet,</w:t>
      </w:r>
      <w:r w:rsidR="00F53F6C" w:rsidRPr="00F53F6C">
        <w:rPr>
          <w:rFonts w:ascii="Times New Roman" w:hAnsi="Times New Roman" w:cs="Times New Roman"/>
          <w:noProof/>
          <w:sz w:val="24"/>
          <w:szCs w:val="24"/>
        </w:rPr>
        <w:t xml:space="preserve"> </w:t>
      </w:r>
      <w:r w:rsidR="00535CDE">
        <w:rPr>
          <w:rFonts w:ascii="Times New Roman" w:hAnsi="Times New Roman" w:cs="Times New Roman"/>
          <w:noProof/>
          <w:sz w:val="24"/>
          <w:szCs w:val="24"/>
          <w:lang w:val="en-US"/>
        </w:rPr>
        <w:t>v</w:t>
      </w:r>
      <w:r w:rsidR="00F53F6C" w:rsidRPr="00F53F6C">
        <w:rPr>
          <w:rFonts w:ascii="Times New Roman" w:hAnsi="Times New Roman" w:cs="Times New Roman"/>
          <w:noProof/>
          <w:sz w:val="24"/>
          <w:szCs w:val="24"/>
        </w:rPr>
        <w:t>ol</w:t>
      </w:r>
      <w:r w:rsidR="00535CDE">
        <w:rPr>
          <w:rFonts w:ascii="Times New Roman" w:hAnsi="Times New Roman" w:cs="Times New Roman"/>
          <w:noProof/>
          <w:sz w:val="24"/>
          <w:szCs w:val="24"/>
          <w:lang w:val="en-US"/>
        </w:rPr>
        <w:t>.</w:t>
      </w:r>
      <w:r w:rsidR="00F53F6C" w:rsidRPr="00F53F6C">
        <w:rPr>
          <w:rFonts w:ascii="Times New Roman" w:hAnsi="Times New Roman" w:cs="Times New Roman"/>
          <w:noProof/>
          <w:sz w:val="24"/>
          <w:szCs w:val="24"/>
        </w:rPr>
        <w:t xml:space="preserve"> 404, </w:t>
      </w:r>
      <w:r w:rsidR="00535CDE">
        <w:rPr>
          <w:rFonts w:ascii="Times New Roman" w:hAnsi="Times New Roman" w:cs="Times New Roman"/>
          <w:noProof/>
          <w:sz w:val="24"/>
          <w:szCs w:val="24"/>
          <w:lang w:val="en-US"/>
        </w:rPr>
        <w:t>no.</w:t>
      </w:r>
      <w:r w:rsidR="00F53F6C" w:rsidRPr="00F53F6C">
        <w:rPr>
          <w:rFonts w:ascii="Times New Roman" w:hAnsi="Times New Roman" w:cs="Times New Roman"/>
          <w:noProof/>
          <w:sz w:val="24"/>
          <w:szCs w:val="24"/>
        </w:rPr>
        <w:t xml:space="preserve"> 10459, 1199 - 1226</w:t>
      </w:r>
      <w:r w:rsidR="00535CDE">
        <w:rPr>
          <w:rFonts w:ascii="Times New Roman" w:hAnsi="Times New Roman" w:cs="Times New Roman"/>
          <w:noProof/>
          <w:sz w:val="24"/>
          <w:szCs w:val="24"/>
          <w:lang w:val="en-US"/>
        </w:rPr>
        <w:t>, 2024</w:t>
      </w:r>
    </w:p>
    <w:p w14:paraId="1E3769AA"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[13]</w:t>
      </w:r>
      <w:r w:rsidRPr="00997C23">
        <w:rPr>
          <w:rFonts w:ascii="Times New Roman" w:hAnsi="Times New Roman" w:cs="Times New Roman"/>
          <w:noProof/>
          <w:sz w:val="24"/>
          <w:szCs w:val="24"/>
        </w:rPr>
        <w:tab/>
        <w:t xml:space="preserve">P. Collignon and S. McEwen, “One Health—Its Importance in Helping to Better Control Antimicrobial Resistance,” </w:t>
      </w:r>
      <w:r w:rsidRPr="00997C23">
        <w:rPr>
          <w:rFonts w:ascii="Times New Roman" w:hAnsi="Times New Roman" w:cs="Times New Roman"/>
          <w:i/>
          <w:iCs/>
          <w:noProof/>
          <w:sz w:val="24"/>
          <w:szCs w:val="24"/>
        </w:rPr>
        <w:t>Trop. Med. Infect. Dis.</w:t>
      </w:r>
      <w:r w:rsidRPr="00997C23">
        <w:rPr>
          <w:rFonts w:ascii="Times New Roman" w:hAnsi="Times New Roman" w:cs="Times New Roman"/>
          <w:noProof/>
          <w:sz w:val="24"/>
          <w:szCs w:val="24"/>
        </w:rPr>
        <w:t>, vol. 4, no. 1, p. 22, Jan. 2019.</w:t>
      </w:r>
    </w:p>
    <w:p w14:paraId="4EDD7034"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[14]</w:t>
      </w:r>
      <w:r w:rsidRPr="00997C23">
        <w:rPr>
          <w:rFonts w:ascii="Times New Roman" w:hAnsi="Times New Roman" w:cs="Times New Roman"/>
          <w:noProof/>
          <w:sz w:val="24"/>
          <w:szCs w:val="24"/>
        </w:rPr>
        <w:tab/>
        <w:t xml:space="preserve">A. C. Singer, H. Shaw, V. Rhodes, and A. Hart, “Review of Antimicrobial Resistance in the Environment and Its Relevance to Environmental Regulators.,” </w:t>
      </w:r>
      <w:r w:rsidRPr="00997C23">
        <w:rPr>
          <w:rFonts w:ascii="Times New Roman" w:hAnsi="Times New Roman" w:cs="Times New Roman"/>
          <w:i/>
          <w:iCs/>
          <w:noProof/>
          <w:sz w:val="24"/>
          <w:szCs w:val="24"/>
        </w:rPr>
        <w:t>Front. Microbiol.</w:t>
      </w:r>
      <w:r w:rsidRPr="00997C23">
        <w:rPr>
          <w:rFonts w:ascii="Times New Roman" w:hAnsi="Times New Roman" w:cs="Times New Roman"/>
          <w:noProof/>
          <w:sz w:val="24"/>
          <w:szCs w:val="24"/>
        </w:rPr>
        <w:t>, vol. 7, p. 1728, 2016.</w:t>
      </w:r>
    </w:p>
    <w:p w14:paraId="202665B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lastRenderedPageBreak/>
        <w:t>[15]</w:t>
      </w:r>
      <w:r w:rsidRPr="00997C23">
        <w:rPr>
          <w:rFonts w:ascii="Times New Roman" w:hAnsi="Times New Roman" w:cs="Times New Roman"/>
          <w:noProof/>
          <w:sz w:val="24"/>
          <w:szCs w:val="24"/>
        </w:rPr>
        <w:tab/>
        <w:t xml:space="preserve">A. Cassini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“Attributable deaths and disability-adjusted life-years caused by infections with antibiotic-resistant bacteria in the EU and the European Economic Area in 2015: a population-level modelling analysis.,” </w:t>
      </w:r>
      <w:r w:rsidRPr="00997C23">
        <w:rPr>
          <w:rFonts w:ascii="Times New Roman" w:hAnsi="Times New Roman" w:cs="Times New Roman"/>
          <w:i/>
          <w:iCs/>
          <w:noProof/>
          <w:sz w:val="24"/>
          <w:szCs w:val="24"/>
        </w:rPr>
        <w:t>Lancet. Infect. Dis.</w:t>
      </w:r>
      <w:r w:rsidRPr="00997C23">
        <w:rPr>
          <w:rFonts w:ascii="Times New Roman" w:hAnsi="Times New Roman" w:cs="Times New Roman"/>
          <w:noProof/>
          <w:sz w:val="24"/>
          <w:szCs w:val="24"/>
        </w:rPr>
        <w:t>, vol. 19, no. 1, pp. 56–66, Jan. 2019.</w:t>
      </w:r>
    </w:p>
    <w:p w14:paraId="7C19DE3F"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[16]</w:t>
      </w:r>
      <w:r w:rsidRPr="00997C23">
        <w:rPr>
          <w:rFonts w:ascii="Times New Roman" w:hAnsi="Times New Roman" w:cs="Times New Roman"/>
          <w:noProof/>
          <w:sz w:val="24"/>
          <w:szCs w:val="24"/>
        </w:rPr>
        <w:tab/>
        <w:t xml:space="preserve">T. Kostyanev, “The Global Crisis of Antimicrobial Resistance,” </w:t>
      </w:r>
      <w:r w:rsidRPr="00997C23">
        <w:rPr>
          <w:rFonts w:ascii="Times New Roman" w:hAnsi="Times New Roman" w:cs="Times New Roman"/>
          <w:i/>
          <w:iCs/>
          <w:noProof/>
          <w:sz w:val="24"/>
          <w:szCs w:val="24"/>
        </w:rPr>
        <w:t>Antimicrob. Steward.</w:t>
      </w:r>
      <w:r w:rsidRPr="00997C23">
        <w:rPr>
          <w:rFonts w:ascii="Times New Roman" w:hAnsi="Times New Roman" w:cs="Times New Roman"/>
          <w:noProof/>
          <w:sz w:val="24"/>
          <w:szCs w:val="24"/>
        </w:rPr>
        <w:t>, pp. 3–12, Jan. 2017.</w:t>
      </w:r>
    </w:p>
    <w:p w14:paraId="077007E2"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[17]</w:t>
      </w:r>
      <w:r w:rsidRPr="00997C23">
        <w:rPr>
          <w:rFonts w:ascii="Times New Roman" w:hAnsi="Times New Roman" w:cs="Times New Roman"/>
          <w:noProof/>
          <w:sz w:val="24"/>
          <w:szCs w:val="24"/>
        </w:rPr>
        <w:tab/>
        <w:t xml:space="preserve">P. J. Collignon and S. A. McEwen, “One Health-Its Importance in Helping to Better Control Antimicrobial Resistance.,” </w:t>
      </w:r>
      <w:r w:rsidRPr="00997C23">
        <w:rPr>
          <w:rFonts w:ascii="Times New Roman" w:hAnsi="Times New Roman" w:cs="Times New Roman"/>
          <w:i/>
          <w:iCs/>
          <w:noProof/>
          <w:sz w:val="24"/>
          <w:szCs w:val="24"/>
        </w:rPr>
        <w:t>Trop. Med. Infect. Dis.</w:t>
      </w:r>
      <w:r w:rsidRPr="00997C23">
        <w:rPr>
          <w:rFonts w:ascii="Times New Roman" w:hAnsi="Times New Roman" w:cs="Times New Roman"/>
          <w:noProof/>
          <w:sz w:val="24"/>
          <w:szCs w:val="24"/>
        </w:rPr>
        <w:t>, vol. 4, no. 1, Jan. 2019.</w:t>
      </w:r>
    </w:p>
    <w:p w14:paraId="6FEB1947" w14:textId="77777777" w:rsidR="009D0134" w:rsidRPr="00997C23" w:rsidRDefault="009D0134" w:rsidP="00C370B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[18]</w:t>
      </w:r>
      <w:r w:rsidRPr="00997C23">
        <w:rPr>
          <w:rFonts w:ascii="Times New Roman" w:hAnsi="Times New Roman" w:cs="Times New Roman"/>
          <w:noProof/>
          <w:sz w:val="24"/>
          <w:szCs w:val="24"/>
        </w:rPr>
        <w:tab/>
        <w:t xml:space="preserve">WHO, “,” World Health Organization, </w:t>
      </w:r>
      <w:r w:rsidR="003B4D2A" w:rsidRPr="00997C23">
        <w:rPr>
          <w:rFonts w:ascii="Times New Roman" w:hAnsi="Times New Roman" w:cs="Times New Roman"/>
          <w:noProof/>
          <w:sz w:val="24"/>
          <w:szCs w:val="24"/>
        </w:rPr>
        <w:t>20</w:t>
      </w:r>
      <w:r w:rsidR="003B4D2A">
        <w:rPr>
          <w:rFonts w:ascii="Times New Roman" w:hAnsi="Times New Roman" w:cs="Times New Roman"/>
          <w:noProof/>
          <w:sz w:val="24"/>
          <w:szCs w:val="24"/>
        </w:rPr>
        <w:t>24</w:t>
      </w:r>
      <w:r w:rsidRPr="00997C23">
        <w:rPr>
          <w:rFonts w:ascii="Times New Roman" w:hAnsi="Times New Roman" w:cs="Times New Roman"/>
          <w:noProof/>
          <w:sz w:val="24"/>
          <w:szCs w:val="24"/>
        </w:rPr>
        <w:t>.</w:t>
      </w:r>
    </w:p>
    <w:p w14:paraId="2935B121"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[19]</w:t>
      </w:r>
      <w:r w:rsidRPr="00997C23">
        <w:rPr>
          <w:rFonts w:ascii="Times New Roman" w:hAnsi="Times New Roman" w:cs="Times New Roman"/>
          <w:noProof/>
          <w:sz w:val="24"/>
          <w:szCs w:val="24"/>
        </w:rPr>
        <w:tab/>
        <w:t>I. Frost, J. Craig, J. Joshi, K. Faure, and R. Laxminarayan, “Access Barriers to Antibiotics,” Washington, DC, 2019.</w:t>
      </w:r>
    </w:p>
    <w:p w14:paraId="0BD90E0B"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[20]</w:t>
      </w:r>
      <w:r w:rsidRPr="00997C23">
        <w:rPr>
          <w:rFonts w:ascii="Times New Roman" w:hAnsi="Times New Roman" w:cs="Times New Roman"/>
          <w:noProof/>
          <w:sz w:val="24"/>
          <w:szCs w:val="24"/>
        </w:rPr>
        <w:tab/>
        <w:t xml:space="preserve">E. Keuleyan, “Bulgaria: Hospital Case Studies and National Antibiotiv Policy,” in </w:t>
      </w:r>
      <w:r w:rsidRPr="00997C23">
        <w:rPr>
          <w:rFonts w:ascii="Times New Roman" w:hAnsi="Times New Roman" w:cs="Times New Roman"/>
          <w:i/>
          <w:iCs/>
          <w:noProof/>
          <w:sz w:val="24"/>
          <w:szCs w:val="24"/>
        </w:rPr>
        <w:t>Antibiotic resistance: synthesis of recommendations by expert policy groups. WHO &amp; APUA. WHO/CDS/CSR/DRS/2001.10</w:t>
      </w:r>
      <w:r w:rsidRPr="00997C23">
        <w:rPr>
          <w:rFonts w:ascii="Times New Roman" w:hAnsi="Times New Roman" w:cs="Times New Roman"/>
          <w:noProof/>
          <w:sz w:val="24"/>
          <w:szCs w:val="24"/>
        </w:rPr>
        <w:t>, S. L. JL Avorn, JF Barrett, PG Davey, SA McEwen, TF O’Brien, Ed. Geneva: WHO, 2001, pp. 140–146.</w:t>
      </w:r>
    </w:p>
    <w:p w14:paraId="20FC6150"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[21]</w:t>
      </w:r>
      <w:r w:rsidRPr="00997C23">
        <w:rPr>
          <w:rFonts w:ascii="Times New Roman" w:hAnsi="Times New Roman" w:cs="Times New Roman"/>
          <w:noProof/>
          <w:sz w:val="24"/>
          <w:szCs w:val="24"/>
        </w:rPr>
        <w:tab/>
        <w:t xml:space="preserve">E. Keuleyan and T. Kostyanev, “Antimicrobial Stewardship in Bulgaria,” in </w:t>
      </w:r>
      <w:r w:rsidRPr="00997C23">
        <w:rPr>
          <w:rFonts w:ascii="Times New Roman" w:hAnsi="Times New Roman" w:cs="Times New Roman"/>
          <w:i/>
          <w:iCs/>
          <w:noProof/>
          <w:sz w:val="24"/>
          <w:szCs w:val="24"/>
        </w:rPr>
        <w:t>Antimicrobial Stewardship</w:t>
      </w:r>
      <w:r w:rsidRPr="00997C23">
        <w:rPr>
          <w:rFonts w:ascii="Times New Roman" w:hAnsi="Times New Roman" w:cs="Times New Roman"/>
          <w:noProof/>
          <w:sz w:val="24"/>
          <w:szCs w:val="24"/>
        </w:rPr>
        <w:t>, vol. 2, B. B. (Eds) C. Pulcini, O. Ergonul, F. Can, Ed. London: Academic Press, 2017, pp. 259–261.</w:t>
      </w:r>
    </w:p>
    <w:p w14:paraId="0D2DFF13"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[22]</w:t>
      </w:r>
      <w:r w:rsidRPr="00997C23">
        <w:rPr>
          <w:rFonts w:ascii="Times New Roman" w:hAnsi="Times New Roman" w:cs="Times New Roman"/>
          <w:noProof/>
          <w:sz w:val="24"/>
          <w:szCs w:val="24"/>
        </w:rPr>
        <w:tab/>
        <w:t xml:space="preserve">European Centre for Disease Prevention and Control, “Annual report of the European Antimicrobial Resistance Surveillance Network (EARS-Net) </w:t>
      </w:r>
      <w:r w:rsidR="0061588D">
        <w:rPr>
          <w:rFonts w:ascii="Times New Roman" w:hAnsi="Times New Roman" w:cs="Times New Roman"/>
          <w:noProof/>
          <w:sz w:val="24"/>
          <w:szCs w:val="24"/>
        </w:rPr>
        <w:t>2023</w:t>
      </w:r>
      <w:r w:rsidRPr="00997C23">
        <w:rPr>
          <w:rFonts w:ascii="Times New Roman" w:hAnsi="Times New Roman" w:cs="Times New Roman"/>
          <w:noProof/>
          <w:sz w:val="24"/>
          <w:szCs w:val="24"/>
        </w:rPr>
        <w:t xml:space="preserve">,” Stockholm, </w:t>
      </w:r>
      <w:r w:rsidR="0061588D" w:rsidRPr="00997C23">
        <w:rPr>
          <w:rFonts w:ascii="Times New Roman" w:hAnsi="Times New Roman" w:cs="Times New Roman"/>
          <w:noProof/>
          <w:sz w:val="24"/>
          <w:szCs w:val="24"/>
        </w:rPr>
        <w:t>20</w:t>
      </w:r>
      <w:r w:rsidR="0061588D">
        <w:rPr>
          <w:rFonts w:ascii="Times New Roman" w:hAnsi="Times New Roman" w:cs="Times New Roman"/>
          <w:noProof/>
          <w:sz w:val="24"/>
          <w:szCs w:val="24"/>
        </w:rPr>
        <w:t>24</w:t>
      </w:r>
      <w:r w:rsidRPr="00997C23">
        <w:rPr>
          <w:rFonts w:ascii="Times New Roman" w:hAnsi="Times New Roman" w:cs="Times New Roman"/>
          <w:noProof/>
          <w:sz w:val="24"/>
          <w:szCs w:val="24"/>
        </w:rPr>
        <w:t>.</w:t>
      </w:r>
    </w:p>
    <w:p w14:paraId="389F3A8B"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[23]</w:t>
      </w:r>
      <w:r w:rsidRPr="00997C23">
        <w:rPr>
          <w:rFonts w:ascii="Times New Roman" w:hAnsi="Times New Roman" w:cs="Times New Roman"/>
          <w:noProof/>
          <w:sz w:val="24"/>
          <w:szCs w:val="24"/>
        </w:rPr>
        <w:tab/>
        <w:t xml:space="preserve">ECDC, “European Centre for Disease Prevention and Control. Antimicrobial consumption. In: ECDC. Annual epidemiological report </w:t>
      </w:r>
      <w:r w:rsidR="0061588D" w:rsidRPr="00997C23">
        <w:rPr>
          <w:rFonts w:ascii="Times New Roman" w:hAnsi="Times New Roman" w:cs="Times New Roman"/>
          <w:noProof/>
          <w:sz w:val="24"/>
          <w:szCs w:val="24"/>
        </w:rPr>
        <w:t>20</w:t>
      </w:r>
      <w:r w:rsidR="0061588D">
        <w:rPr>
          <w:rFonts w:ascii="Times New Roman" w:hAnsi="Times New Roman" w:cs="Times New Roman"/>
          <w:noProof/>
          <w:sz w:val="24"/>
          <w:szCs w:val="24"/>
        </w:rPr>
        <w:t>23</w:t>
      </w:r>
      <w:r w:rsidRPr="00997C23">
        <w:rPr>
          <w:rFonts w:ascii="Times New Roman" w:hAnsi="Times New Roman" w:cs="Times New Roman"/>
          <w:noProof/>
          <w:sz w:val="24"/>
          <w:szCs w:val="24"/>
        </w:rPr>
        <w:t xml:space="preserve">,” </w:t>
      </w:r>
      <w:r w:rsidR="0061588D" w:rsidRPr="00997C23">
        <w:rPr>
          <w:rFonts w:ascii="Times New Roman" w:hAnsi="Times New Roman" w:cs="Times New Roman"/>
          <w:noProof/>
          <w:sz w:val="24"/>
          <w:szCs w:val="24"/>
        </w:rPr>
        <w:t>20</w:t>
      </w:r>
      <w:r w:rsidR="0061588D">
        <w:rPr>
          <w:rFonts w:ascii="Times New Roman" w:hAnsi="Times New Roman" w:cs="Times New Roman"/>
          <w:noProof/>
          <w:sz w:val="24"/>
          <w:szCs w:val="24"/>
        </w:rPr>
        <w:t>24</w:t>
      </w:r>
      <w:r w:rsidRPr="00997C23">
        <w:rPr>
          <w:rFonts w:ascii="Times New Roman" w:hAnsi="Times New Roman" w:cs="Times New Roman"/>
          <w:noProof/>
          <w:sz w:val="24"/>
          <w:szCs w:val="24"/>
        </w:rPr>
        <w:t>.</w:t>
      </w:r>
    </w:p>
    <w:p w14:paraId="4F95BAA4"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[24]</w:t>
      </w:r>
      <w:r w:rsidRPr="00997C23">
        <w:rPr>
          <w:rFonts w:ascii="Times New Roman" w:hAnsi="Times New Roman" w:cs="Times New Roman"/>
          <w:noProof/>
          <w:sz w:val="24"/>
          <w:szCs w:val="24"/>
        </w:rPr>
        <w:tab/>
        <w:t xml:space="preserve">European Commission, “COMMISSION IMPLEMENTING DECISION (EU) 2015/495,” </w:t>
      </w:r>
      <w:r w:rsidRPr="00997C23">
        <w:rPr>
          <w:rFonts w:ascii="Times New Roman" w:hAnsi="Times New Roman" w:cs="Times New Roman"/>
          <w:i/>
          <w:iCs/>
          <w:noProof/>
          <w:sz w:val="24"/>
          <w:szCs w:val="24"/>
        </w:rPr>
        <w:t>COMMISSION IMPLEMENTING DECISION (EU) 2015/495  of 20 March 2015  establishing a watch list of substances for Union-wide monitoring in the field of water policy pursuant to Directive 2008/105/EC of the European Parliament and of the Council</w:t>
      </w:r>
      <w:r w:rsidRPr="00997C23">
        <w:rPr>
          <w:rFonts w:ascii="Times New Roman" w:hAnsi="Times New Roman" w:cs="Times New Roman"/>
          <w:noProof/>
          <w:sz w:val="24"/>
          <w:szCs w:val="24"/>
        </w:rPr>
        <w:t>, 2015. [Online]. Available: https://eur-lex.europa.eu/legal-content/EN/TXT/?qid=1560131846063&amp;uri=CELEX:32015D0495. [Accessed: 10-Jun-2019].</w:t>
      </w:r>
    </w:p>
    <w:p w14:paraId="3E25FEB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[25]</w:t>
      </w:r>
      <w:r w:rsidRPr="00997C23">
        <w:rPr>
          <w:rFonts w:ascii="Times New Roman" w:hAnsi="Times New Roman" w:cs="Times New Roman"/>
          <w:noProof/>
          <w:sz w:val="24"/>
          <w:szCs w:val="24"/>
        </w:rPr>
        <w:tab/>
        <w:t xml:space="preserve">M. Petrov, N. Hadjieva, T. Kantardjiev, T. Velinov, and A. Bachvarova, “Surveillance of antimicrobial resistance in Bulgaria - a synopsis from BulSTAR 2003,” </w:t>
      </w:r>
      <w:r w:rsidRPr="00997C23">
        <w:rPr>
          <w:rFonts w:ascii="Times New Roman" w:hAnsi="Times New Roman" w:cs="Times New Roman"/>
          <w:i/>
          <w:iCs/>
          <w:noProof/>
          <w:sz w:val="24"/>
          <w:szCs w:val="24"/>
        </w:rPr>
        <w:t>Eurosurveillance</w:t>
      </w:r>
      <w:r w:rsidRPr="00997C23">
        <w:rPr>
          <w:rFonts w:ascii="Times New Roman" w:hAnsi="Times New Roman" w:cs="Times New Roman"/>
          <w:noProof/>
          <w:sz w:val="24"/>
          <w:szCs w:val="24"/>
        </w:rPr>
        <w:t>, vol. 10, no. 6, pp. 7–8, Jun. 2005.</w:t>
      </w:r>
    </w:p>
    <w:p w14:paraId="52AA9EB5"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[26]</w:t>
      </w:r>
      <w:r w:rsidRPr="00997C23">
        <w:rPr>
          <w:rFonts w:ascii="Times New Roman" w:hAnsi="Times New Roman" w:cs="Times New Roman"/>
          <w:noProof/>
          <w:sz w:val="24"/>
          <w:szCs w:val="24"/>
        </w:rPr>
        <w:tab/>
        <w:t>И. Н. Иванов</w:t>
      </w:r>
      <w:r w:rsidR="003477C2">
        <w:rPr>
          <w:rFonts w:ascii="Times New Roman" w:hAnsi="Times New Roman" w:cs="Times New Roman"/>
          <w:noProof/>
          <w:sz w:val="24"/>
          <w:szCs w:val="24"/>
        </w:rPr>
        <w:t xml:space="preserve"> и сътр.</w:t>
      </w:r>
      <w:r w:rsidRPr="00997C23">
        <w:rPr>
          <w:rFonts w:ascii="Times New Roman" w:hAnsi="Times New Roman" w:cs="Times New Roman"/>
          <w:noProof/>
          <w:sz w:val="24"/>
          <w:szCs w:val="24"/>
        </w:rPr>
        <w:t xml:space="preserve">, “Доклад на Националния референтен център по микробна лекарствена резистентност и антибиотична консумация,” in </w:t>
      </w:r>
      <w:r w:rsidR="003D67D0" w:rsidRPr="00997C23">
        <w:rPr>
          <w:rFonts w:ascii="Times New Roman" w:hAnsi="Times New Roman" w:cs="Times New Roman"/>
          <w:i/>
          <w:iCs/>
          <w:noProof/>
          <w:sz w:val="24"/>
          <w:szCs w:val="24"/>
        </w:rPr>
        <w:t>X</w:t>
      </w:r>
      <w:r w:rsidR="003D67D0">
        <w:rPr>
          <w:rFonts w:ascii="Times New Roman" w:hAnsi="Times New Roman" w:cs="Times New Roman"/>
          <w:i/>
          <w:iCs/>
          <w:noProof/>
          <w:sz w:val="24"/>
          <w:szCs w:val="24"/>
          <w:lang w:val="en-US"/>
        </w:rPr>
        <w:t>X</w:t>
      </w:r>
      <w:r w:rsidR="003D67D0" w:rsidRPr="00997C23">
        <w:rPr>
          <w:rFonts w:ascii="Times New Roman" w:hAnsi="Times New Roman" w:cs="Times New Roman"/>
          <w:i/>
          <w:iCs/>
          <w:noProof/>
          <w:sz w:val="24"/>
          <w:szCs w:val="24"/>
        </w:rPr>
        <w:t>II</w:t>
      </w:r>
      <w:r w:rsidRPr="00997C23">
        <w:rPr>
          <w:rFonts w:ascii="Times New Roman" w:hAnsi="Times New Roman" w:cs="Times New Roman"/>
          <w:i/>
          <w:iCs/>
          <w:noProof/>
          <w:sz w:val="24"/>
          <w:szCs w:val="24"/>
        </w:rPr>
        <w:t xml:space="preserve">-и Национален конгрес по Клинична микробиология и Инфекции на Българската асоциация на микробиолозите, </w:t>
      </w:r>
      <w:r w:rsidR="003477C2">
        <w:rPr>
          <w:rFonts w:ascii="Times New Roman" w:hAnsi="Times New Roman" w:cs="Times New Roman"/>
          <w:i/>
          <w:iCs/>
          <w:noProof/>
          <w:sz w:val="24"/>
          <w:szCs w:val="24"/>
          <w:lang w:val="en-US"/>
        </w:rPr>
        <w:t>13</w:t>
      </w:r>
      <w:r w:rsidRPr="00997C23">
        <w:rPr>
          <w:rFonts w:ascii="Times New Roman" w:hAnsi="Times New Roman" w:cs="Times New Roman"/>
          <w:i/>
          <w:iCs/>
          <w:noProof/>
          <w:sz w:val="24"/>
          <w:szCs w:val="24"/>
        </w:rPr>
        <w:t>-1</w:t>
      </w:r>
      <w:r w:rsidR="003477C2">
        <w:rPr>
          <w:rFonts w:ascii="Times New Roman" w:hAnsi="Times New Roman" w:cs="Times New Roman"/>
          <w:i/>
          <w:iCs/>
          <w:noProof/>
          <w:sz w:val="24"/>
          <w:szCs w:val="24"/>
          <w:lang w:val="en-US"/>
        </w:rPr>
        <w:t>5</w:t>
      </w:r>
      <w:r w:rsidRPr="00997C23">
        <w:rPr>
          <w:rFonts w:ascii="Times New Roman" w:hAnsi="Times New Roman" w:cs="Times New Roman"/>
          <w:i/>
          <w:iCs/>
          <w:noProof/>
          <w:sz w:val="24"/>
          <w:szCs w:val="24"/>
        </w:rPr>
        <w:t xml:space="preserve"> </w:t>
      </w:r>
      <w:r w:rsidR="003477C2">
        <w:rPr>
          <w:rFonts w:ascii="Times New Roman" w:hAnsi="Times New Roman" w:cs="Times New Roman"/>
          <w:i/>
          <w:iCs/>
          <w:noProof/>
          <w:sz w:val="24"/>
          <w:szCs w:val="24"/>
        </w:rPr>
        <w:t>септември</w:t>
      </w:r>
      <w:r w:rsidRPr="00997C23">
        <w:rPr>
          <w:rFonts w:ascii="Times New Roman" w:hAnsi="Times New Roman" w:cs="Times New Roman"/>
          <w:i/>
          <w:iCs/>
          <w:noProof/>
          <w:sz w:val="24"/>
          <w:szCs w:val="24"/>
        </w:rPr>
        <w:t>, 20</w:t>
      </w:r>
      <w:r w:rsidR="003477C2">
        <w:rPr>
          <w:rFonts w:ascii="Times New Roman" w:hAnsi="Times New Roman" w:cs="Times New Roman"/>
          <w:i/>
          <w:iCs/>
          <w:noProof/>
          <w:sz w:val="24"/>
          <w:szCs w:val="24"/>
        </w:rPr>
        <w:t>24</w:t>
      </w:r>
      <w:r w:rsidRPr="00997C23">
        <w:rPr>
          <w:rFonts w:ascii="Times New Roman" w:hAnsi="Times New Roman" w:cs="Times New Roman"/>
          <w:i/>
          <w:iCs/>
          <w:noProof/>
          <w:sz w:val="24"/>
          <w:szCs w:val="24"/>
        </w:rPr>
        <w:t>г., Парк-хотел «Москва», гр. София</w:t>
      </w:r>
      <w:r w:rsidRPr="00997C23">
        <w:rPr>
          <w:rFonts w:ascii="Times New Roman" w:hAnsi="Times New Roman" w:cs="Times New Roman"/>
          <w:noProof/>
          <w:sz w:val="24"/>
          <w:szCs w:val="24"/>
        </w:rPr>
        <w:t xml:space="preserve">, </w:t>
      </w:r>
      <w:r w:rsidR="003D67D0" w:rsidRPr="00997C23">
        <w:rPr>
          <w:rFonts w:ascii="Times New Roman" w:hAnsi="Times New Roman" w:cs="Times New Roman"/>
          <w:noProof/>
          <w:sz w:val="24"/>
          <w:szCs w:val="24"/>
        </w:rPr>
        <w:t>20</w:t>
      </w:r>
      <w:r w:rsidR="003D67D0">
        <w:rPr>
          <w:rFonts w:ascii="Times New Roman" w:hAnsi="Times New Roman" w:cs="Times New Roman"/>
          <w:noProof/>
          <w:sz w:val="24"/>
          <w:szCs w:val="24"/>
          <w:lang w:val="en-US"/>
        </w:rPr>
        <w:t>24</w:t>
      </w:r>
      <w:r w:rsidRPr="00997C23">
        <w:rPr>
          <w:rFonts w:ascii="Times New Roman" w:hAnsi="Times New Roman" w:cs="Times New Roman"/>
          <w:noProof/>
          <w:sz w:val="24"/>
          <w:szCs w:val="24"/>
        </w:rPr>
        <w:t>.</w:t>
      </w:r>
    </w:p>
    <w:p w14:paraId="76975DDE" w14:textId="77777777" w:rsidR="009D0134" w:rsidRPr="00997C23" w:rsidRDefault="009D0134" w:rsidP="00C370B6">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lastRenderedPageBreak/>
        <w:t>[27]</w:t>
      </w:r>
      <w:r w:rsidRPr="00997C23">
        <w:rPr>
          <w:rFonts w:ascii="Times New Roman" w:hAnsi="Times New Roman" w:cs="Times New Roman"/>
          <w:noProof/>
          <w:sz w:val="24"/>
          <w:szCs w:val="24"/>
        </w:rPr>
        <w:tab/>
      </w:r>
      <w:r w:rsidR="00C370B6" w:rsidRPr="00C370B6">
        <w:rPr>
          <w:rFonts w:ascii="Times New Roman" w:hAnsi="Times New Roman" w:cs="Times New Roman"/>
          <w:noProof/>
          <w:sz w:val="24"/>
          <w:szCs w:val="24"/>
        </w:rPr>
        <w:t>European Centre for Disease Prevention and Control. Gonococcal antimicrobial susceptibility</w:t>
      </w:r>
      <w:r w:rsidR="00C370B6">
        <w:rPr>
          <w:rFonts w:ascii="Times New Roman" w:hAnsi="Times New Roman" w:cs="Times New Roman"/>
          <w:noProof/>
          <w:sz w:val="24"/>
          <w:szCs w:val="24"/>
        </w:rPr>
        <w:t xml:space="preserve"> </w:t>
      </w:r>
      <w:r w:rsidR="00C370B6" w:rsidRPr="00C370B6">
        <w:rPr>
          <w:rFonts w:ascii="Times New Roman" w:hAnsi="Times New Roman" w:cs="Times New Roman"/>
          <w:noProof/>
          <w:sz w:val="24"/>
          <w:szCs w:val="24"/>
        </w:rPr>
        <w:t>surveillance in the European Union/European Economic Area, 2022. Stockholm: ECDC; 2024.</w:t>
      </w:r>
      <w:r w:rsidRPr="00997C23">
        <w:rPr>
          <w:rFonts w:ascii="Times New Roman" w:hAnsi="Times New Roman" w:cs="Times New Roman"/>
          <w:noProof/>
          <w:sz w:val="24"/>
          <w:szCs w:val="24"/>
        </w:rPr>
        <w:t>.</w:t>
      </w:r>
    </w:p>
    <w:p w14:paraId="27F8FED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[28]</w:t>
      </w:r>
      <w:r w:rsidRPr="00997C23">
        <w:rPr>
          <w:rFonts w:ascii="Times New Roman" w:hAnsi="Times New Roman" w:cs="Times New Roman"/>
          <w:noProof/>
          <w:sz w:val="24"/>
          <w:szCs w:val="24"/>
        </w:rPr>
        <w:tab/>
        <w:t xml:space="preserve">WHO, “GLASS | Global antimicrobial resistance surveillance system (GLASS) report,” </w:t>
      </w:r>
      <w:r w:rsidRPr="00997C23">
        <w:rPr>
          <w:rFonts w:ascii="Times New Roman" w:hAnsi="Times New Roman" w:cs="Times New Roman"/>
          <w:i/>
          <w:iCs/>
          <w:noProof/>
          <w:sz w:val="24"/>
          <w:szCs w:val="24"/>
        </w:rPr>
        <w:t>WHO</w:t>
      </w:r>
      <w:r w:rsidRPr="00997C23">
        <w:rPr>
          <w:rFonts w:ascii="Times New Roman" w:hAnsi="Times New Roman" w:cs="Times New Roman"/>
          <w:noProof/>
          <w:sz w:val="24"/>
          <w:szCs w:val="24"/>
        </w:rPr>
        <w:t>, 2019.</w:t>
      </w:r>
    </w:p>
    <w:p w14:paraId="16564FCF" w14:textId="77777777" w:rsidR="009D0134" w:rsidRPr="00997C23" w:rsidRDefault="009D0134" w:rsidP="004322F9">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[29]</w:t>
      </w:r>
      <w:r w:rsidRPr="00997C23">
        <w:rPr>
          <w:rFonts w:ascii="Times New Roman" w:hAnsi="Times New Roman" w:cs="Times New Roman"/>
          <w:noProof/>
          <w:sz w:val="24"/>
          <w:szCs w:val="24"/>
        </w:rPr>
        <w:tab/>
        <w:t>ECDC, “European Centre for Disease Prevention and Control.</w:t>
      </w:r>
      <w:r w:rsidR="004322F9" w:rsidRPr="004322F9">
        <w:t xml:space="preserve"> </w:t>
      </w:r>
      <w:r w:rsidR="004322F9" w:rsidRPr="004322F9">
        <w:rPr>
          <w:rFonts w:ascii="Times New Roman" w:hAnsi="Times New Roman" w:cs="Times New Roman"/>
          <w:noProof/>
          <w:sz w:val="24"/>
          <w:szCs w:val="24"/>
        </w:rPr>
        <w:t>RAPID RISK ASSESSMENT</w:t>
      </w:r>
      <w:r w:rsidR="004322F9">
        <w:rPr>
          <w:rFonts w:ascii="Times New Roman" w:hAnsi="Times New Roman" w:cs="Times New Roman"/>
          <w:noProof/>
          <w:sz w:val="24"/>
          <w:szCs w:val="24"/>
        </w:rPr>
        <w:t>:</w:t>
      </w:r>
      <w:r w:rsidRPr="00997C23">
        <w:rPr>
          <w:rFonts w:ascii="Times New Roman" w:hAnsi="Times New Roman" w:cs="Times New Roman"/>
          <w:noProof/>
          <w:sz w:val="24"/>
          <w:szCs w:val="24"/>
        </w:rPr>
        <w:t xml:space="preserve"> </w:t>
      </w:r>
      <w:r w:rsidR="004322F9" w:rsidRPr="004322F9">
        <w:rPr>
          <w:rFonts w:ascii="Times New Roman" w:hAnsi="Times New Roman" w:cs="Times New Roman"/>
          <w:noProof/>
          <w:sz w:val="24"/>
          <w:szCs w:val="24"/>
        </w:rPr>
        <w:t>Carbapenem-resistant Enterobacterales –</w:t>
      </w:r>
      <w:r w:rsidR="004322F9">
        <w:rPr>
          <w:rFonts w:ascii="Times New Roman" w:hAnsi="Times New Roman" w:cs="Times New Roman"/>
          <w:noProof/>
          <w:sz w:val="24"/>
          <w:szCs w:val="24"/>
        </w:rPr>
        <w:t xml:space="preserve"> </w:t>
      </w:r>
      <w:r w:rsidR="004322F9" w:rsidRPr="004322F9">
        <w:rPr>
          <w:rFonts w:ascii="Times New Roman" w:hAnsi="Times New Roman" w:cs="Times New Roman"/>
          <w:noProof/>
          <w:sz w:val="24"/>
          <w:szCs w:val="24"/>
        </w:rPr>
        <w:t>third update</w:t>
      </w:r>
      <w:r w:rsidRPr="00997C23">
        <w:rPr>
          <w:rFonts w:ascii="Times New Roman" w:hAnsi="Times New Roman" w:cs="Times New Roman"/>
          <w:noProof/>
          <w:sz w:val="24"/>
          <w:szCs w:val="24"/>
        </w:rPr>
        <w:t>. Stockholm: ECDC; 20</w:t>
      </w:r>
      <w:r w:rsidR="004322F9">
        <w:rPr>
          <w:rFonts w:ascii="Times New Roman" w:hAnsi="Times New Roman" w:cs="Times New Roman"/>
          <w:noProof/>
          <w:sz w:val="24"/>
          <w:szCs w:val="24"/>
        </w:rPr>
        <w:t>25</w:t>
      </w:r>
      <w:r w:rsidRPr="00997C23">
        <w:rPr>
          <w:rFonts w:ascii="Times New Roman" w:hAnsi="Times New Roman" w:cs="Times New Roman"/>
          <w:noProof/>
          <w:sz w:val="24"/>
          <w:szCs w:val="24"/>
        </w:rPr>
        <w:t>.” 20</w:t>
      </w:r>
      <w:r w:rsidR="004322F9">
        <w:rPr>
          <w:rFonts w:ascii="Times New Roman" w:hAnsi="Times New Roman" w:cs="Times New Roman"/>
          <w:noProof/>
          <w:sz w:val="24"/>
          <w:szCs w:val="24"/>
        </w:rPr>
        <w:t>25</w:t>
      </w:r>
      <w:r w:rsidRPr="00997C23">
        <w:rPr>
          <w:rFonts w:ascii="Times New Roman" w:hAnsi="Times New Roman" w:cs="Times New Roman"/>
          <w:noProof/>
          <w:sz w:val="24"/>
          <w:szCs w:val="24"/>
        </w:rPr>
        <w:t>.</w:t>
      </w:r>
    </w:p>
    <w:p w14:paraId="084084C8"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[30]</w:t>
      </w:r>
      <w:r w:rsidRPr="00997C23">
        <w:rPr>
          <w:rFonts w:ascii="Times New Roman" w:hAnsi="Times New Roman" w:cs="Times New Roman"/>
          <w:noProof/>
          <w:sz w:val="24"/>
          <w:szCs w:val="24"/>
        </w:rPr>
        <w:tab/>
        <w:t xml:space="preserve">E. Savov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“Colistin Resistance in KPC-2- and SHV-5-Producing &amp;lt;b&amp;gt;&amp;lt;i&amp;gt;Klebsiella pneumoniae&amp;lt;/i&amp;gt;&amp;lt;/b&amp;gt; Clinical Isolates in Bulgaria,” </w:t>
      </w:r>
      <w:r w:rsidRPr="00997C23">
        <w:rPr>
          <w:rFonts w:ascii="Times New Roman" w:hAnsi="Times New Roman" w:cs="Times New Roman"/>
          <w:i/>
          <w:iCs/>
          <w:noProof/>
          <w:sz w:val="24"/>
          <w:szCs w:val="24"/>
        </w:rPr>
        <w:t>Chemotherapy</w:t>
      </w:r>
      <w:r w:rsidRPr="00997C23">
        <w:rPr>
          <w:rFonts w:ascii="Times New Roman" w:hAnsi="Times New Roman" w:cs="Times New Roman"/>
          <w:noProof/>
          <w:sz w:val="24"/>
          <w:szCs w:val="24"/>
        </w:rPr>
        <w:t>, vol. 62, no. 6, pp. 339–342, 2017.</w:t>
      </w:r>
    </w:p>
    <w:p w14:paraId="2E329232"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[31]</w:t>
      </w:r>
      <w:r w:rsidRPr="00997C23">
        <w:rPr>
          <w:rFonts w:ascii="Times New Roman" w:hAnsi="Times New Roman" w:cs="Times New Roman"/>
          <w:noProof/>
          <w:sz w:val="24"/>
          <w:szCs w:val="24"/>
        </w:rPr>
        <w:tab/>
        <w:t xml:space="preserve">European Commssion, “COMMISSION IMPLEMENTING DECISION (EU) 2018/840,” </w:t>
      </w:r>
      <w:r w:rsidRPr="00997C23">
        <w:rPr>
          <w:rFonts w:ascii="Times New Roman" w:hAnsi="Times New Roman" w:cs="Times New Roman"/>
          <w:i/>
          <w:iCs/>
          <w:noProof/>
          <w:sz w:val="24"/>
          <w:szCs w:val="24"/>
        </w:rPr>
        <w:t>COMMISSION IMPLEMENTING DECISION (EU) 2018/840 of 5 June 2018 establishing a watch list of substances for Union-wide monitoring in the field of water policy pursuant to Directive 2008/105/EC of the European Parliament and of the Council and repealing Comm</w:t>
      </w:r>
      <w:r w:rsidRPr="00997C23">
        <w:rPr>
          <w:rFonts w:ascii="Times New Roman" w:hAnsi="Times New Roman" w:cs="Times New Roman"/>
          <w:noProof/>
          <w:sz w:val="24"/>
          <w:szCs w:val="24"/>
        </w:rPr>
        <w:t>, 2018. [Online]. Available: https://eur-lex.europa.eu/legal-content/EN/TXT/?uri=CELEX%3A32018D0840. [Accessed: 10-Jun-2019].</w:t>
      </w:r>
    </w:p>
    <w:p w14:paraId="651F6213"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[32]</w:t>
      </w:r>
      <w:r w:rsidRPr="00997C23">
        <w:rPr>
          <w:rFonts w:ascii="Times New Roman" w:hAnsi="Times New Roman" w:cs="Times New Roman"/>
          <w:noProof/>
          <w:sz w:val="24"/>
          <w:szCs w:val="24"/>
        </w:rPr>
        <w:tab/>
        <w:t xml:space="preserve">S. M. Bartsch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“The economic value of the centers for disease control and prevention carbapenem-resistant enterobacteriaceae toolkit,” </w:t>
      </w:r>
      <w:r w:rsidRPr="00997C23">
        <w:rPr>
          <w:rFonts w:ascii="Times New Roman" w:hAnsi="Times New Roman" w:cs="Times New Roman"/>
          <w:i/>
          <w:iCs/>
          <w:noProof/>
          <w:sz w:val="24"/>
          <w:szCs w:val="24"/>
        </w:rPr>
        <w:t>Infect. Control Hosp. Epidemiol.</w:t>
      </w:r>
      <w:r w:rsidRPr="00997C23">
        <w:rPr>
          <w:rFonts w:ascii="Times New Roman" w:hAnsi="Times New Roman" w:cs="Times New Roman"/>
          <w:noProof/>
          <w:sz w:val="24"/>
          <w:szCs w:val="24"/>
        </w:rPr>
        <w:t>, vol. 39, no. 5, pp. 516–524, May 2018.</w:t>
      </w:r>
    </w:p>
    <w:p w14:paraId="000271E9"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[33]</w:t>
      </w:r>
      <w:r w:rsidRPr="00997C23">
        <w:rPr>
          <w:rFonts w:ascii="Times New Roman" w:hAnsi="Times New Roman" w:cs="Times New Roman"/>
          <w:noProof/>
          <w:sz w:val="24"/>
          <w:szCs w:val="24"/>
        </w:rPr>
        <w:tab/>
        <w:t xml:space="preserve">K. U. Jansen and A. S. Anderson, “The role of vaccines in fighting antimicrobial resistance (AMR).,” </w:t>
      </w:r>
      <w:r w:rsidRPr="00997C23">
        <w:rPr>
          <w:rFonts w:ascii="Times New Roman" w:hAnsi="Times New Roman" w:cs="Times New Roman"/>
          <w:i/>
          <w:iCs/>
          <w:noProof/>
          <w:sz w:val="24"/>
          <w:szCs w:val="24"/>
        </w:rPr>
        <w:t>Hum. Vaccin. Immunother.</w:t>
      </w:r>
      <w:r w:rsidRPr="00997C23">
        <w:rPr>
          <w:rFonts w:ascii="Times New Roman" w:hAnsi="Times New Roman" w:cs="Times New Roman"/>
          <w:noProof/>
          <w:sz w:val="24"/>
          <w:szCs w:val="24"/>
        </w:rPr>
        <w:t>, vol. 14, no. 9, pp. 2142–2149, 2018.</w:t>
      </w:r>
    </w:p>
    <w:p w14:paraId="78D8A68C"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[34]</w:t>
      </w:r>
      <w:r w:rsidRPr="00997C23">
        <w:rPr>
          <w:rFonts w:ascii="Times New Roman" w:hAnsi="Times New Roman" w:cs="Times New Roman"/>
          <w:noProof/>
          <w:sz w:val="24"/>
          <w:szCs w:val="24"/>
        </w:rPr>
        <w:tab/>
        <w:t xml:space="preserve">S. E. Wutzke, M. A. Artist, L. A. Kehoe, M. Fletcher, J. M. Mackson, and L. M. Weekes, “Evaluation of a national programme to reduce inappropriate use of antibiotics for upper respiratory tract infections: effects on consumer awareness, beliefs, attitudes and behaviour in Australia,” </w:t>
      </w:r>
      <w:r w:rsidRPr="00997C23">
        <w:rPr>
          <w:rFonts w:ascii="Times New Roman" w:hAnsi="Times New Roman" w:cs="Times New Roman"/>
          <w:i/>
          <w:iCs/>
          <w:noProof/>
          <w:sz w:val="24"/>
          <w:szCs w:val="24"/>
        </w:rPr>
        <w:t>Health Promot. Int.</w:t>
      </w:r>
      <w:r w:rsidRPr="00997C23">
        <w:rPr>
          <w:rFonts w:ascii="Times New Roman" w:hAnsi="Times New Roman" w:cs="Times New Roman"/>
          <w:noProof/>
          <w:sz w:val="24"/>
          <w:szCs w:val="24"/>
        </w:rPr>
        <w:t>, vol. 22, no. 1, pp. 53–64, Mar. 2007.</w:t>
      </w:r>
    </w:p>
    <w:p w14:paraId="2A7A3DD3"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[35]</w:t>
      </w:r>
      <w:r w:rsidRPr="00997C23">
        <w:rPr>
          <w:rFonts w:ascii="Times New Roman" w:hAnsi="Times New Roman" w:cs="Times New Roman"/>
          <w:noProof/>
          <w:sz w:val="24"/>
          <w:szCs w:val="24"/>
        </w:rPr>
        <w:tab/>
        <w:t xml:space="preserve">D. M. Drekonja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“Antimicrobial Stewardship in Outpatient Settings: A Systematic Review,” </w:t>
      </w:r>
      <w:r w:rsidRPr="00997C23">
        <w:rPr>
          <w:rFonts w:ascii="Times New Roman" w:hAnsi="Times New Roman" w:cs="Times New Roman"/>
          <w:i/>
          <w:iCs/>
          <w:noProof/>
          <w:sz w:val="24"/>
          <w:szCs w:val="24"/>
        </w:rPr>
        <w:t>Infect. Control Hosp. Epidemiol.</w:t>
      </w:r>
      <w:r w:rsidRPr="00997C23">
        <w:rPr>
          <w:rFonts w:ascii="Times New Roman" w:hAnsi="Times New Roman" w:cs="Times New Roman"/>
          <w:noProof/>
          <w:sz w:val="24"/>
          <w:szCs w:val="24"/>
        </w:rPr>
        <w:t>, vol. 36, no. 2, pp. 142–152, Feb. 2015.</w:t>
      </w:r>
    </w:p>
    <w:p w14:paraId="2EA29DBF"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[36]</w:t>
      </w:r>
      <w:r w:rsidRPr="00997C23">
        <w:rPr>
          <w:rFonts w:ascii="Times New Roman" w:hAnsi="Times New Roman" w:cs="Times New Roman"/>
          <w:noProof/>
          <w:sz w:val="24"/>
          <w:szCs w:val="24"/>
        </w:rPr>
        <w:tab/>
        <w:t xml:space="preserve">M. Davari, E. Khorasani, and B. M. Tigabu, “Factors Influencing Prescribing Decisions of Physicians: A Review.,” </w:t>
      </w:r>
      <w:r w:rsidRPr="00997C23">
        <w:rPr>
          <w:rFonts w:ascii="Times New Roman" w:hAnsi="Times New Roman" w:cs="Times New Roman"/>
          <w:i/>
          <w:iCs/>
          <w:noProof/>
          <w:sz w:val="24"/>
          <w:szCs w:val="24"/>
        </w:rPr>
        <w:t>Ethiop. J. Health Sci.</w:t>
      </w:r>
      <w:r w:rsidRPr="00997C23">
        <w:rPr>
          <w:rFonts w:ascii="Times New Roman" w:hAnsi="Times New Roman" w:cs="Times New Roman"/>
          <w:noProof/>
          <w:sz w:val="24"/>
          <w:szCs w:val="24"/>
        </w:rPr>
        <w:t>, vol. 28, no. 6, pp. 795–804, Nov. 2018.</w:t>
      </w:r>
    </w:p>
    <w:p w14:paraId="2F8A76EA"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[37]</w:t>
      </w:r>
      <w:r w:rsidRPr="00997C23">
        <w:rPr>
          <w:rFonts w:ascii="Times New Roman" w:hAnsi="Times New Roman" w:cs="Times New Roman"/>
          <w:noProof/>
          <w:sz w:val="24"/>
          <w:szCs w:val="24"/>
        </w:rPr>
        <w:tab/>
        <w:t xml:space="preserve">S. K. Saha, “Factors Influencing Clinician’s Antibiotic Prescribing Behaviors (APB) in Bangladesh: An In-Depth Review Using COMB Model,” </w:t>
      </w:r>
      <w:r w:rsidRPr="00997C23">
        <w:rPr>
          <w:rFonts w:ascii="Times New Roman" w:hAnsi="Times New Roman" w:cs="Times New Roman"/>
          <w:i/>
          <w:iCs/>
          <w:noProof/>
          <w:sz w:val="24"/>
          <w:szCs w:val="24"/>
        </w:rPr>
        <w:t>Open Access J. Transl. Med. Res.</w:t>
      </w:r>
      <w:r w:rsidRPr="00997C23">
        <w:rPr>
          <w:rFonts w:ascii="Times New Roman" w:hAnsi="Times New Roman" w:cs="Times New Roman"/>
          <w:noProof/>
          <w:sz w:val="24"/>
          <w:szCs w:val="24"/>
        </w:rPr>
        <w:t>, vol. 1, no. 4, Dec. 2017.</w:t>
      </w:r>
    </w:p>
    <w:p w14:paraId="6E00B045"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[38]</w:t>
      </w:r>
      <w:r w:rsidRPr="00997C23">
        <w:rPr>
          <w:rFonts w:ascii="Times New Roman" w:hAnsi="Times New Roman" w:cs="Times New Roman"/>
          <w:noProof/>
          <w:sz w:val="24"/>
          <w:szCs w:val="24"/>
        </w:rPr>
        <w:tab/>
        <w:t xml:space="preserve">D. Lescure, J. Paget, F. Schellevis, and L. van Dijk, “Determinants of Self-Medication With Antibiotics in European and Anglo-Saxon Countries: A Systematic Review of the Literature.,” </w:t>
      </w:r>
      <w:r w:rsidRPr="00997C23">
        <w:rPr>
          <w:rFonts w:ascii="Times New Roman" w:hAnsi="Times New Roman" w:cs="Times New Roman"/>
          <w:i/>
          <w:iCs/>
          <w:noProof/>
          <w:sz w:val="24"/>
          <w:szCs w:val="24"/>
        </w:rPr>
        <w:t>Front. public Heal.</w:t>
      </w:r>
      <w:r w:rsidRPr="00997C23">
        <w:rPr>
          <w:rFonts w:ascii="Times New Roman" w:hAnsi="Times New Roman" w:cs="Times New Roman"/>
          <w:noProof/>
          <w:sz w:val="24"/>
          <w:szCs w:val="24"/>
        </w:rPr>
        <w:t>, vol. 6, p. 370, 2018.</w:t>
      </w:r>
    </w:p>
    <w:p w14:paraId="2B7728ED"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lastRenderedPageBreak/>
        <w:t>[39]</w:t>
      </w:r>
      <w:r w:rsidRPr="00997C23">
        <w:rPr>
          <w:rFonts w:ascii="Times New Roman" w:hAnsi="Times New Roman" w:cs="Times New Roman"/>
          <w:noProof/>
          <w:sz w:val="24"/>
          <w:szCs w:val="24"/>
        </w:rPr>
        <w:tab/>
        <w:t xml:space="preserve">M. Unemo, D. Golparian, R. Nicholas, M. Ohnishi, A. Gallay, and P. Sednaoui, “High-Level Cefixime- and Ceftriaxone-Resistant Neisseria gonorrhoeae in France: Novel </w:t>
      </w:r>
      <w:r w:rsidRPr="00997C23">
        <w:rPr>
          <w:rFonts w:ascii="Times New Roman" w:hAnsi="Times New Roman" w:cs="Times New Roman"/>
          <w:i/>
          <w:iCs/>
          <w:noProof/>
          <w:sz w:val="24"/>
          <w:szCs w:val="24"/>
        </w:rPr>
        <w:t>penA</w:t>
      </w:r>
      <w:r w:rsidRPr="00997C23">
        <w:rPr>
          <w:rFonts w:ascii="Times New Roman" w:hAnsi="Times New Roman" w:cs="Times New Roman"/>
          <w:noProof/>
          <w:sz w:val="24"/>
          <w:szCs w:val="24"/>
        </w:rPr>
        <w:t xml:space="preserve"> Mosaic Allele in a Successful International Clone Causes Treatment Failure,” </w:t>
      </w:r>
      <w:r w:rsidRPr="00997C23">
        <w:rPr>
          <w:rFonts w:ascii="Times New Roman" w:hAnsi="Times New Roman" w:cs="Times New Roman"/>
          <w:i/>
          <w:iCs/>
          <w:noProof/>
          <w:sz w:val="24"/>
          <w:szCs w:val="24"/>
        </w:rPr>
        <w:t>Antimicrob. Agents Chemother.</w:t>
      </w:r>
      <w:r w:rsidRPr="00997C23">
        <w:rPr>
          <w:rFonts w:ascii="Times New Roman" w:hAnsi="Times New Roman" w:cs="Times New Roman"/>
          <w:noProof/>
          <w:sz w:val="24"/>
          <w:szCs w:val="24"/>
        </w:rPr>
        <w:t>, vol. 56, no. 3, pp. 1273–1280, Mar. 2012.</w:t>
      </w:r>
    </w:p>
    <w:p w14:paraId="1569C845"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[40]</w:t>
      </w:r>
      <w:r w:rsidRPr="00997C23">
        <w:rPr>
          <w:rFonts w:ascii="Times New Roman" w:hAnsi="Times New Roman" w:cs="Times New Roman"/>
          <w:noProof/>
          <w:sz w:val="24"/>
          <w:szCs w:val="24"/>
        </w:rPr>
        <w:tab/>
        <w:t xml:space="preserve">G. Levy Hara </w:t>
      </w:r>
      <w:r w:rsidRPr="00997C23">
        <w:rPr>
          <w:rFonts w:ascii="Times New Roman" w:hAnsi="Times New Roman" w:cs="Times New Roman"/>
          <w:i/>
          <w:iCs/>
          <w:noProof/>
          <w:sz w:val="24"/>
          <w:szCs w:val="24"/>
        </w:rPr>
        <w:t>et al.</w:t>
      </w:r>
      <w:r w:rsidRPr="00997C23">
        <w:rPr>
          <w:rFonts w:ascii="Times New Roman" w:hAnsi="Times New Roman" w:cs="Times New Roman"/>
          <w:noProof/>
          <w:sz w:val="24"/>
          <w:szCs w:val="24"/>
        </w:rPr>
        <w:t xml:space="preserve">, “Ten key points for the appropriate use of antibiotics in hospitalised patients: a consensus from the Antimicrobial Stewardship and Resistance Working Groups of the International Society of Chemotherapy,” </w:t>
      </w:r>
      <w:r w:rsidRPr="00997C23">
        <w:rPr>
          <w:rFonts w:ascii="Times New Roman" w:hAnsi="Times New Roman" w:cs="Times New Roman"/>
          <w:i/>
          <w:iCs/>
          <w:noProof/>
          <w:sz w:val="24"/>
          <w:szCs w:val="24"/>
        </w:rPr>
        <w:t>Int. J. Antimicrob. Agents</w:t>
      </w:r>
      <w:r w:rsidRPr="00997C23">
        <w:rPr>
          <w:rFonts w:ascii="Times New Roman" w:hAnsi="Times New Roman" w:cs="Times New Roman"/>
          <w:noProof/>
          <w:sz w:val="24"/>
          <w:szCs w:val="24"/>
        </w:rPr>
        <w:t>, vol. 48, no. 3, pp. 239–246, 2016.</w:t>
      </w:r>
    </w:p>
    <w:p w14:paraId="1634AD13"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[41]</w:t>
      </w:r>
      <w:r w:rsidRPr="00997C23">
        <w:rPr>
          <w:rFonts w:ascii="Times New Roman" w:hAnsi="Times New Roman" w:cs="Times New Roman"/>
          <w:noProof/>
          <w:sz w:val="24"/>
          <w:szCs w:val="24"/>
        </w:rPr>
        <w:tab/>
        <w:t xml:space="preserve">P. Conus and P. Francioli, “Relationship between ceftriaxone use and resistance of Enterobacter species.,” </w:t>
      </w:r>
      <w:r w:rsidRPr="00997C23">
        <w:rPr>
          <w:rFonts w:ascii="Times New Roman" w:hAnsi="Times New Roman" w:cs="Times New Roman"/>
          <w:i/>
          <w:iCs/>
          <w:noProof/>
          <w:sz w:val="24"/>
          <w:szCs w:val="24"/>
        </w:rPr>
        <w:t>J. Clin. Pharm. Ther.</w:t>
      </w:r>
      <w:r w:rsidRPr="00997C23">
        <w:rPr>
          <w:rFonts w:ascii="Times New Roman" w:hAnsi="Times New Roman" w:cs="Times New Roman"/>
          <w:noProof/>
          <w:sz w:val="24"/>
          <w:szCs w:val="24"/>
        </w:rPr>
        <w:t>, vol. 17, no. 5, pp. 303–5, Oct. 1992.</w:t>
      </w:r>
    </w:p>
    <w:p w14:paraId="7DE0799B"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[42]</w:t>
      </w:r>
      <w:r w:rsidRPr="00997C23">
        <w:rPr>
          <w:rFonts w:ascii="Times New Roman" w:hAnsi="Times New Roman" w:cs="Times New Roman"/>
          <w:noProof/>
          <w:sz w:val="24"/>
          <w:szCs w:val="24"/>
        </w:rPr>
        <w:tab/>
        <w:t xml:space="preserve">V. Bacic Vrca, S. Marusic, M. Ciric-Crncec, L. Mayer, and L. Mayer, “Impact of Ceftriaxone De-restriction on the Occurrence of ESBL-Positive Bacterial Strains and Antibiotic Consumption,” </w:t>
      </w:r>
      <w:r w:rsidRPr="00997C23">
        <w:rPr>
          <w:rFonts w:ascii="Times New Roman" w:hAnsi="Times New Roman" w:cs="Times New Roman"/>
          <w:i/>
          <w:iCs/>
          <w:noProof/>
          <w:sz w:val="24"/>
          <w:szCs w:val="24"/>
        </w:rPr>
        <w:t>J. Chemother.</w:t>
      </w:r>
      <w:r w:rsidRPr="00997C23">
        <w:rPr>
          <w:rFonts w:ascii="Times New Roman" w:hAnsi="Times New Roman" w:cs="Times New Roman"/>
          <w:noProof/>
          <w:sz w:val="24"/>
          <w:szCs w:val="24"/>
        </w:rPr>
        <w:t>, vol. 23, no. 6, pp. 341–344, Dec. 2011.</w:t>
      </w:r>
    </w:p>
    <w:p w14:paraId="27A628FE" w14:textId="77777777" w:rsidR="009D0134" w:rsidRPr="00997C23" w:rsidRDefault="009D0134" w:rsidP="00E843C8">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97C23">
        <w:rPr>
          <w:rFonts w:ascii="Times New Roman" w:hAnsi="Times New Roman" w:cs="Times New Roman"/>
          <w:noProof/>
          <w:sz w:val="24"/>
          <w:szCs w:val="24"/>
        </w:rPr>
        <w:t>[43]</w:t>
      </w:r>
      <w:r w:rsidRPr="00997C23">
        <w:rPr>
          <w:rFonts w:ascii="Times New Roman" w:hAnsi="Times New Roman" w:cs="Times New Roman"/>
          <w:noProof/>
          <w:sz w:val="24"/>
          <w:szCs w:val="24"/>
        </w:rPr>
        <w:tab/>
        <w:t xml:space="preserve">Biomerieux, “Antimicrobial Stewardship—a practical guide to implementation in hospitals,” </w:t>
      </w:r>
      <w:r w:rsidRPr="00997C23">
        <w:rPr>
          <w:rFonts w:ascii="Times New Roman" w:hAnsi="Times New Roman" w:cs="Times New Roman"/>
          <w:i/>
          <w:iCs/>
          <w:noProof/>
          <w:sz w:val="24"/>
          <w:szCs w:val="24"/>
        </w:rPr>
        <w:t>JAC-Antimicrobial Resist.</w:t>
      </w:r>
      <w:r w:rsidRPr="00997C23">
        <w:rPr>
          <w:rFonts w:ascii="Times New Roman" w:hAnsi="Times New Roman" w:cs="Times New Roman"/>
          <w:noProof/>
          <w:sz w:val="24"/>
          <w:szCs w:val="24"/>
        </w:rPr>
        <w:t>, vol. 1, no. 1, 2019.</w:t>
      </w:r>
    </w:p>
    <w:p w14:paraId="2C7F7184" w14:textId="77777777" w:rsidR="00EE4D2D" w:rsidRDefault="009D0134" w:rsidP="00E843C8">
      <w:pPr>
        <w:widowControl w:val="0"/>
        <w:autoSpaceDE w:val="0"/>
        <w:autoSpaceDN w:val="0"/>
        <w:adjustRightInd w:val="0"/>
        <w:spacing w:after="0" w:line="360" w:lineRule="auto"/>
        <w:ind w:left="640" w:hanging="640"/>
        <w:jc w:val="both"/>
        <w:rPr>
          <w:rFonts w:ascii="Times New Roman" w:hAnsi="Times New Roman" w:cs="Times New Roman"/>
          <w:sz w:val="24"/>
          <w:szCs w:val="24"/>
        </w:rPr>
      </w:pPr>
      <w:r w:rsidRPr="00997C23">
        <w:rPr>
          <w:rFonts w:ascii="Times New Roman" w:hAnsi="Times New Roman" w:cs="Times New Roman"/>
          <w:noProof/>
          <w:sz w:val="24"/>
          <w:szCs w:val="24"/>
        </w:rPr>
        <w:t>[44]</w:t>
      </w:r>
      <w:r w:rsidRPr="00997C23">
        <w:rPr>
          <w:rFonts w:ascii="Times New Roman" w:hAnsi="Times New Roman" w:cs="Times New Roman"/>
          <w:noProof/>
          <w:sz w:val="24"/>
          <w:szCs w:val="24"/>
        </w:rPr>
        <w:tab/>
        <w:t>EUROPEAN COMMISSION - DIRECTORATE-GENERAL FOR HEALTH AND FOOD SAFETY, “ECDC BULGARIA COUNTRY VISIT AMR. STOCKHOLM: ECDC: 2018 DG(SANTE) 2018-6517 FINAL JOINT REPORT IN RESPECT OF A ONE HEALTH COUNTRY VISIT TO BULGARIA FROM 15 OCTOBER 2018 TO 19 OCTOBER 2018 TO DISCUSS POLICIES RELATING TO ANTIMICROBIAL RESISTANCE,” 2019.</w:t>
      </w:r>
      <w:r w:rsidR="00D72721" w:rsidRPr="00997C23">
        <w:rPr>
          <w:rFonts w:ascii="Times New Roman" w:hAnsi="Times New Roman" w:cs="Times New Roman"/>
          <w:sz w:val="24"/>
          <w:szCs w:val="24"/>
        </w:rPr>
        <w:fldChar w:fldCharType="end"/>
      </w:r>
      <w:r w:rsidR="00D74461" w:rsidRPr="00997C23">
        <w:rPr>
          <w:rFonts w:ascii="Times New Roman" w:hAnsi="Times New Roman" w:cs="Times New Roman"/>
          <w:sz w:val="24"/>
          <w:szCs w:val="24"/>
        </w:rPr>
        <w:t xml:space="preserve"> </w:t>
      </w:r>
    </w:p>
    <w:p w14:paraId="3032953E" w14:textId="77777777" w:rsidR="002F7637" w:rsidRDefault="002F7637" w:rsidP="00E843C8">
      <w:pPr>
        <w:widowControl w:val="0"/>
        <w:autoSpaceDE w:val="0"/>
        <w:autoSpaceDN w:val="0"/>
        <w:adjustRightInd w:val="0"/>
        <w:spacing w:after="0" w:line="360" w:lineRule="auto"/>
        <w:ind w:left="640" w:hanging="6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[45] </w:t>
      </w:r>
      <w:r w:rsidR="00A466E6">
        <w:rPr>
          <w:rFonts w:ascii="Times New Roman" w:hAnsi="Times New Roman" w:cs="Times New Roman"/>
          <w:sz w:val="24"/>
          <w:szCs w:val="24"/>
          <w:lang w:val="en-US"/>
        </w:rPr>
        <w:tab/>
      </w:r>
      <w:r w:rsidR="00A466E6" w:rsidRPr="00997C23">
        <w:rPr>
          <w:rFonts w:ascii="Times New Roman" w:hAnsi="Times New Roman" w:cs="Times New Roman"/>
          <w:noProof/>
          <w:sz w:val="24"/>
          <w:szCs w:val="24"/>
        </w:rPr>
        <w:t>EUROPEAN COMMISSION</w:t>
      </w:r>
      <w:r w:rsidR="00A466E6" w:rsidRPr="00DE011E">
        <w:rPr>
          <w:rFonts w:ascii="Times New Roman" w:hAnsi="Times New Roman" w:cs="Times New Roman"/>
          <w:sz w:val="24"/>
          <w:szCs w:val="24"/>
          <w:lang w:val="en-US"/>
        </w:rPr>
        <w:t xml:space="preserve"> </w:t>
      </w:r>
      <w:r w:rsidR="00A466E6">
        <w:rPr>
          <w:rFonts w:ascii="Times New Roman" w:hAnsi="Times New Roman" w:cs="Times New Roman"/>
          <w:sz w:val="24"/>
          <w:szCs w:val="24"/>
          <w:lang w:val="en-US"/>
        </w:rPr>
        <w:t xml:space="preserve">- </w:t>
      </w:r>
      <w:r w:rsidR="00DE011E" w:rsidRPr="00DE011E">
        <w:rPr>
          <w:rFonts w:ascii="Times New Roman" w:hAnsi="Times New Roman" w:cs="Times New Roman"/>
          <w:sz w:val="24"/>
          <w:szCs w:val="24"/>
          <w:lang w:val="en-US"/>
        </w:rPr>
        <w:t>Council Recommendation on stepping up EU actions to combat antimicrobial resistance in a One Health approach 2023/C 220/01</w:t>
      </w:r>
      <w:r w:rsidR="00A466E6">
        <w:rPr>
          <w:rFonts w:ascii="Times New Roman" w:hAnsi="Times New Roman" w:cs="Times New Roman"/>
          <w:sz w:val="24"/>
          <w:szCs w:val="24"/>
          <w:lang w:val="en-US"/>
        </w:rPr>
        <w:t xml:space="preserve">, </w:t>
      </w:r>
      <w:hyperlink r:id="rId22" w:history="1">
        <w:r w:rsidR="00923E46" w:rsidRPr="00915683">
          <w:rPr>
            <w:rStyle w:val="Hyperlink"/>
            <w:rFonts w:ascii="Times New Roman" w:hAnsi="Times New Roman" w:cs="Times New Roman"/>
            <w:sz w:val="24"/>
            <w:szCs w:val="24"/>
            <w:lang w:val="en-US"/>
          </w:rPr>
          <w:t>https://eur-lex.europa.eu/legal-content/EN/TXT/?uri=celex%3A32023H0622%2801%29</w:t>
        </w:r>
      </w:hyperlink>
    </w:p>
    <w:p w14:paraId="1F943F85" w14:textId="77777777" w:rsidR="00923E46" w:rsidRDefault="00923E46" w:rsidP="00E843C8">
      <w:pPr>
        <w:widowControl w:val="0"/>
        <w:autoSpaceDE w:val="0"/>
        <w:autoSpaceDN w:val="0"/>
        <w:adjustRightInd w:val="0"/>
        <w:spacing w:after="0" w:line="360" w:lineRule="auto"/>
        <w:ind w:left="640" w:hanging="6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[46] </w:t>
      </w:r>
      <w:r>
        <w:rPr>
          <w:rFonts w:ascii="Times New Roman" w:hAnsi="Times New Roman" w:cs="Times New Roman"/>
          <w:sz w:val="24"/>
          <w:szCs w:val="24"/>
          <w:lang w:val="en-US"/>
        </w:rPr>
        <w:tab/>
      </w:r>
      <w:r w:rsidRPr="00923E46">
        <w:rPr>
          <w:rFonts w:ascii="Times New Roman" w:hAnsi="Times New Roman" w:cs="Times New Roman"/>
          <w:sz w:val="24"/>
          <w:szCs w:val="24"/>
          <w:lang w:val="en-US"/>
        </w:rPr>
        <w:t>Sabtcheva S, Stoikov I, Donchev D, Georgieva S, Dobreva E, Ivanov IN. Complete genome characterization of mcr-1-mediated colistin-resistant Escherichia coli from outpatients in Bulgaria. Enferm Infecc Microbiol Clin (Engl Ed). 2025 Feb;43(2):97-101.</w:t>
      </w:r>
    </w:p>
    <w:p w14:paraId="15559C8C" w14:textId="77777777" w:rsidR="00B314F8" w:rsidRPr="001A763F" w:rsidRDefault="00B314F8" w:rsidP="00E843C8">
      <w:pPr>
        <w:widowControl w:val="0"/>
        <w:autoSpaceDE w:val="0"/>
        <w:autoSpaceDN w:val="0"/>
        <w:adjustRightInd w:val="0"/>
        <w:spacing w:after="0" w:line="360" w:lineRule="auto"/>
        <w:ind w:left="640" w:hanging="640"/>
        <w:jc w:val="both"/>
        <w:rPr>
          <w:rFonts w:ascii="Times New Roman" w:hAnsi="Times New Roman" w:cs="Times New Roman"/>
          <w:sz w:val="24"/>
          <w:szCs w:val="24"/>
          <w:lang w:val="en-US"/>
        </w:rPr>
      </w:pPr>
      <w:r w:rsidRPr="0092746E">
        <w:rPr>
          <w:rFonts w:ascii="Times New Roman" w:hAnsi="Times New Roman" w:cs="Times New Roman"/>
          <w:sz w:val="24"/>
          <w:szCs w:val="24"/>
          <w:lang w:val="en-US"/>
        </w:rPr>
        <w:t>[47]</w:t>
      </w:r>
      <w:r w:rsidR="0092746E">
        <w:rPr>
          <w:rFonts w:ascii="Times New Roman" w:hAnsi="Times New Roman" w:cs="Times New Roman"/>
          <w:sz w:val="24"/>
          <w:szCs w:val="24"/>
          <w:lang w:val="en-US"/>
        </w:rPr>
        <w:tab/>
        <w:t xml:space="preserve">WHO. </w:t>
      </w:r>
      <w:r w:rsidR="0092746E" w:rsidRPr="001A763F">
        <w:rPr>
          <w:rFonts w:ascii="Times New Roman" w:hAnsi="Times New Roman" w:cs="Times New Roman"/>
          <w:sz w:val="24"/>
          <w:szCs w:val="24"/>
        </w:rPr>
        <w:t>Minimum requirements for infection prevention and control. Geneva: World Health Organization; 2019</w:t>
      </w:r>
    </w:p>
    <w:sectPr w:rsidR="00B314F8" w:rsidRPr="001A763F" w:rsidSect="00243E68">
      <w:pgSz w:w="11906" w:h="16838" w:code="9"/>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0551" w14:textId="77777777" w:rsidR="00441367" w:rsidRDefault="00441367" w:rsidP="00101A9D">
      <w:pPr>
        <w:spacing w:after="0" w:line="240" w:lineRule="auto"/>
      </w:pPr>
      <w:r>
        <w:separator/>
      </w:r>
    </w:p>
  </w:endnote>
  <w:endnote w:type="continuationSeparator" w:id="0">
    <w:p w14:paraId="416A2624" w14:textId="77777777" w:rsidR="00441367" w:rsidRDefault="00441367" w:rsidP="00101A9D">
      <w:pPr>
        <w:spacing w:after="0" w:line="240" w:lineRule="auto"/>
      </w:pPr>
      <w:r>
        <w:continuationSeparator/>
      </w:r>
    </w:p>
  </w:endnote>
  <w:endnote w:type="continuationNotice" w:id="1">
    <w:p w14:paraId="39818F85" w14:textId="77777777" w:rsidR="00441367" w:rsidRDefault="00441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embedRegular r:id="rId1" w:subsetted="1" w:fontKey="{8CBA00D1-5080-40BE-AA8C-6CD764F33D6B}"/>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MS Gothic"/>
    <w:panose1 w:val="00000000000000000000"/>
    <w:charset w:val="CC"/>
    <w:family w:val="roman"/>
    <w:notTrueType/>
    <w:pitch w:val="default"/>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embedRegular r:id="rId2" w:subsetted="1" w:fontKey="{0BAC902E-873B-4EAA-BC8B-7D9421677B2F}"/>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709522"/>
      <w:docPartObj>
        <w:docPartGallery w:val="Page Numbers (Bottom of Page)"/>
        <w:docPartUnique/>
      </w:docPartObj>
    </w:sdtPr>
    <w:sdtEndPr>
      <w:rPr>
        <w:noProof/>
        <w:sz w:val="20"/>
        <w:szCs w:val="20"/>
      </w:rPr>
    </w:sdtEndPr>
    <w:sdtContent>
      <w:p w14:paraId="502EB3C4" w14:textId="77777777" w:rsidR="0087461C" w:rsidRPr="00F84C00" w:rsidRDefault="0087461C" w:rsidP="00EF631E">
        <w:pPr>
          <w:pStyle w:val="Footer"/>
          <w:jc w:val="right"/>
          <w:rPr>
            <w:sz w:val="20"/>
            <w:szCs w:val="20"/>
          </w:rPr>
        </w:pPr>
        <w:r w:rsidRPr="00F84C00">
          <w:rPr>
            <w:sz w:val="20"/>
            <w:szCs w:val="20"/>
          </w:rPr>
          <w:fldChar w:fldCharType="begin"/>
        </w:r>
        <w:r w:rsidRPr="00F84C00">
          <w:rPr>
            <w:sz w:val="20"/>
            <w:szCs w:val="20"/>
          </w:rPr>
          <w:instrText xml:space="preserve"> PAGE   \* MERGEFORMAT </w:instrText>
        </w:r>
        <w:r w:rsidRPr="00F84C00">
          <w:rPr>
            <w:sz w:val="20"/>
            <w:szCs w:val="20"/>
          </w:rPr>
          <w:fldChar w:fldCharType="separate"/>
        </w:r>
        <w:r w:rsidR="00482C89">
          <w:rPr>
            <w:noProof/>
            <w:sz w:val="20"/>
            <w:szCs w:val="20"/>
          </w:rPr>
          <w:t>65</w:t>
        </w:r>
        <w:r w:rsidRPr="00F84C0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E108" w14:textId="77777777" w:rsidR="00441367" w:rsidRDefault="00441367" w:rsidP="00101A9D">
      <w:pPr>
        <w:spacing w:after="0" w:line="240" w:lineRule="auto"/>
      </w:pPr>
      <w:r>
        <w:separator/>
      </w:r>
    </w:p>
  </w:footnote>
  <w:footnote w:type="continuationSeparator" w:id="0">
    <w:p w14:paraId="6B7A1E00" w14:textId="77777777" w:rsidR="00441367" w:rsidRDefault="00441367" w:rsidP="00101A9D">
      <w:pPr>
        <w:spacing w:after="0" w:line="240" w:lineRule="auto"/>
      </w:pPr>
      <w:r>
        <w:continuationSeparator/>
      </w:r>
    </w:p>
  </w:footnote>
  <w:footnote w:type="continuationNotice" w:id="1">
    <w:p w14:paraId="49E0AA1F" w14:textId="77777777" w:rsidR="00441367" w:rsidRDefault="004413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E88"/>
    <w:multiLevelType w:val="hybridMultilevel"/>
    <w:tmpl w:val="B63E1D0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124C1BC3"/>
    <w:multiLevelType w:val="hybridMultilevel"/>
    <w:tmpl w:val="7DFC9A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812123E"/>
    <w:multiLevelType w:val="hybridMultilevel"/>
    <w:tmpl w:val="228A75B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 w15:restartNumberingAfterBreak="0">
    <w:nsid w:val="19877E3F"/>
    <w:multiLevelType w:val="hybridMultilevel"/>
    <w:tmpl w:val="07906D9A"/>
    <w:lvl w:ilvl="0" w:tplc="FE72F76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D033650"/>
    <w:multiLevelType w:val="hybridMultilevel"/>
    <w:tmpl w:val="1D9C3FC0"/>
    <w:lvl w:ilvl="0" w:tplc="FE72F768">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2583163"/>
    <w:multiLevelType w:val="hybridMultilevel"/>
    <w:tmpl w:val="29FE42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390045D"/>
    <w:multiLevelType w:val="hybridMultilevel"/>
    <w:tmpl w:val="C580358A"/>
    <w:lvl w:ilvl="0" w:tplc="0402000F">
      <w:start w:val="1"/>
      <w:numFmt w:val="decimal"/>
      <w:lvlText w:val="%1."/>
      <w:lvlJc w:val="left"/>
      <w:pPr>
        <w:ind w:left="502"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A7734B"/>
    <w:multiLevelType w:val="hybridMultilevel"/>
    <w:tmpl w:val="CB6A539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7C28C4"/>
    <w:multiLevelType w:val="hybridMultilevel"/>
    <w:tmpl w:val="CD0A7738"/>
    <w:lvl w:ilvl="0" w:tplc="97AC0624">
      <w:start w:val="2022"/>
      <w:numFmt w:val="bullet"/>
      <w:lvlText w:val="-"/>
      <w:lvlJc w:val="left"/>
      <w:pPr>
        <w:ind w:left="720" w:hanging="360"/>
      </w:pPr>
      <w:rPr>
        <w:rFonts w:ascii="Times New Roman" w:eastAsiaTheme="minorHAnsi" w:hAnsi="Times New Roman" w:cs="Times New Roman" w:hint="default"/>
        <w:color w:val="auto"/>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D81137"/>
    <w:multiLevelType w:val="multilevel"/>
    <w:tmpl w:val="453C9DB2"/>
    <w:lvl w:ilvl="0">
      <w:start w:val="3"/>
      <w:numFmt w:val="decimal"/>
      <w:lvlText w:val="%1."/>
      <w:lvlJc w:val="left"/>
      <w:pPr>
        <w:ind w:left="540" w:hanging="540"/>
      </w:pPr>
      <w:rPr>
        <w:rFonts w:hint="default"/>
        <w:sz w:val="24"/>
      </w:rPr>
    </w:lvl>
    <w:lvl w:ilvl="1">
      <w:start w:val="1"/>
      <w:numFmt w:val="decimal"/>
      <w:lvlText w:val="%1.%2."/>
      <w:lvlJc w:val="left"/>
      <w:pPr>
        <w:ind w:left="720" w:hanging="540"/>
      </w:pPr>
      <w:rPr>
        <w:rFonts w:hint="default"/>
        <w:sz w:val="24"/>
      </w:rPr>
    </w:lvl>
    <w:lvl w:ilvl="2">
      <w:start w:val="3"/>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10" w15:restartNumberingAfterBreak="0">
    <w:nsid w:val="4CDA7BB7"/>
    <w:multiLevelType w:val="hybridMultilevel"/>
    <w:tmpl w:val="CD08420A"/>
    <w:lvl w:ilvl="0" w:tplc="50D4251A">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D417E50"/>
    <w:multiLevelType w:val="hybridMultilevel"/>
    <w:tmpl w:val="5F7E0064"/>
    <w:lvl w:ilvl="0" w:tplc="7C3EBE98">
      <w:start w:val="1"/>
      <w:numFmt w:val="decimal"/>
      <w:lvlText w:val="%1."/>
      <w:lvlJc w:val="left"/>
      <w:pPr>
        <w:ind w:left="720" w:hanging="360"/>
      </w:pPr>
      <w:rPr>
        <w:rFonts w:eastAsia="Calibri"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C6A93"/>
    <w:multiLevelType w:val="hybridMultilevel"/>
    <w:tmpl w:val="798A464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5CD3522F"/>
    <w:multiLevelType w:val="hybridMultilevel"/>
    <w:tmpl w:val="DDA23584"/>
    <w:lvl w:ilvl="0" w:tplc="8BA847C0">
      <w:start w:val="1"/>
      <w:numFmt w:val="decimal"/>
      <w:lvlText w:val="%1."/>
      <w:lvlJc w:val="left"/>
      <w:pPr>
        <w:ind w:left="720" w:hanging="360"/>
      </w:pPr>
      <w:rPr>
        <w:rFonts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D607083"/>
    <w:multiLevelType w:val="multilevel"/>
    <w:tmpl w:val="5F98AEF6"/>
    <w:lvl w:ilvl="0">
      <w:start w:val="1"/>
      <w:numFmt w:val="bullet"/>
      <w:suff w:val="space"/>
      <w:lvlText w:val=""/>
      <w:lvlJc w:val="left"/>
      <w:pPr>
        <w:ind w:left="0" w:firstLine="709"/>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5" w15:restartNumberingAfterBreak="0">
    <w:nsid w:val="6E6A191E"/>
    <w:multiLevelType w:val="multilevel"/>
    <w:tmpl w:val="145439FC"/>
    <w:lvl w:ilvl="0">
      <w:start w:val="1"/>
      <w:numFmt w:val="decimal"/>
      <w:suff w:val="space"/>
      <w:lvlText w:val="%1."/>
      <w:lvlJc w:val="right"/>
      <w:pPr>
        <w:ind w:left="0" w:firstLine="907"/>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77FE1BEF"/>
    <w:multiLevelType w:val="hybridMultilevel"/>
    <w:tmpl w:val="C0A6190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780B1B89"/>
    <w:multiLevelType w:val="hybridMultilevel"/>
    <w:tmpl w:val="3DDA20B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C440F4E"/>
    <w:multiLevelType w:val="hybridMultilevel"/>
    <w:tmpl w:val="AF8A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A074F3"/>
    <w:multiLevelType w:val="hybridMultilevel"/>
    <w:tmpl w:val="215E71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674988397">
    <w:abstractNumId w:val="13"/>
  </w:num>
  <w:num w:numId="2" w16cid:durableId="1346050936">
    <w:abstractNumId w:val="6"/>
  </w:num>
  <w:num w:numId="3" w16cid:durableId="1905414427">
    <w:abstractNumId w:val="14"/>
  </w:num>
  <w:num w:numId="4" w16cid:durableId="1916432561">
    <w:abstractNumId w:val="0"/>
  </w:num>
  <w:num w:numId="5" w16cid:durableId="1349671693">
    <w:abstractNumId w:val="5"/>
  </w:num>
  <w:num w:numId="6" w16cid:durableId="1918245414">
    <w:abstractNumId w:val="18"/>
  </w:num>
  <w:num w:numId="7" w16cid:durableId="1485126765">
    <w:abstractNumId w:val="11"/>
  </w:num>
  <w:num w:numId="8" w16cid:durableId="611790088">
    <w:abstractNumId w:val="15"/>
  </w:num>
  <w:num w:numId="9" w16cid:durableId="420878697">
    <w:abstractNumId w:val="9"/>
  </w:num>
  <w:num w:numId="10" w16cid:durableId="2068257921">
    <w:abstractNumId w:val="4"/>
  </w:num>
  <w:num w:numId="11" w16cid:durableId="2091154706">
    <w:abstractNumId w:val="2"/>
  </w:num>
  <w:num w:numId="12" w16cid:durableId="719667202">
    <w:abstractNumId w:val="19"/>
  </w:num>
  <w:num w:numId="13" w16cid:durableId="191307156">
    <w:abstractNumId w:val="12"/>
  </w:num>
  <w:num w:numId="14" w16cid:durableId="1406302056">
    <w:abstractNumId w:val="1"/>
  </w:num>
  <w:num w:numId="15" w16cid:durableId="1966084772">
    <w:abstractNumId w:val="3"/>
  </w:num>
  <w:num w:numId="16" w16cid:durableId="1604992187">
    <w:abstractNumId w:val="8"/>
  </w:num>
  <w:num w:numId="17" w16cid:durableId="395012589">
    <w:abstractNumId w:val="10"/>
  </w:num>
  <w:num w:numId="18" w16cid:durableId="1824733075">
    <w:abstractNumId w:val="17"/>
  </w:num>
  <w:num w:numId="19" w16cid:durableId="546530361">
    <w:abstractNumId w:val="7"/>
  </w:num>
  <w:num w:numId="20" w16cid:durableId="113621829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TrueTypeFonts/>
  <w:saveSubsetFonts/>
  <w:hideSpellingErrors/>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CE"/>
    <w:rsid w:val="00000636"/>
    <w:rsid w:val="000023AB"/>
    <w:rsid w:val="00004D53"/>
    <w:rsid w:val="000054DF"/>
    <w:rsid w:val="00006FF4"/>
    <w:rsid w:val="00007D77"/>
    <w:rsid w:val="00007DF6"/>
    <w:rsid w:val="00010027"/>
    <w:rsid w:val="00012567"/>
    <w:rsid w:val="00013439"/>
    <w:rsid w:val="00015348"/>
    <w:rsid w:val="0001562C"/>
    <w:rsid w:val="00016E00"/>
    <w:rsid w:val="000175CA"/>
    <w:rsid w:val="000177A5"/>
    <w:rsid w:val="00020C81"/>
    <w:rsid w:val="00021003"/>
    <w:rsid w:val="00021BE3"/>
    <w:rsid w:val="00023B68"/>
    <w:rsid w:val="000244BC"/>
    <w:rsid w:val="00024FA7"/>
    <w:rsid w:val="00025214"/>
    <w:rsid w:val="00026243"/>
    <w:rsid w:val="000275D7"/>
    <w:rsid w:val="00027C47"/>
    <w:rsid w:val="000320AB"/>
    <w:rsid w:val="00032E60"/>
    <w:rsid w:val="000332EF"/>
    <w:rsid w:val="00034D9D"/>
    <w:rsid w:val="00035A21"/>
    <w:rsid w:val="0003639A"/>
    <w:rsid w:val="0003660B"/>
    <w:rsid w:val="00036E69"/>
    <w:rsid w:val="00037D2F"/>
    <w:rsid w:val="000407FA"/>
    <w:rsid w:val="00043147"/>
    <w:rsid w:val="00043615"/>
    <w:rsid w:val="00045832"/>
    <w:rsid w:val="00047131"/>
    <w:rsid w:val="00047C13"/>
    <w:rsid w:val="00050515"/>
    <w:rsid w:val="00051004"/>
    <w:rsid w:val="00053B90"/>
    <w:rsid w:val="00054C53"/>
    <w:rsid w:val="00055CDB"/>
    <w:rsid w:val="00057678"/>
    <w:rsid w:val="00057EB3"/>
    <w:rsid w:val="000605CA"/>
    <w:rsid w:val="00062C39"/>
    <w:rsid w:val="00064F98"/>
    <w:rsid w:val="00065349"/>
    <w:rsid w:val="00065920"/>
    <w:rsid w:val="0006778D"/>
    <w:rsid w:val="00070C43"/>
    <w:rsid w:val="00071118"/>
    <w:rsid w:val="0007280B"/>
    <w:rsid w:val="0007350A"/>
    <w:rsid w:val="00075293"/>
    <w:rsid w:val="0007687D"/>
    <w:rsid w:val="000769A3"/>
    <w:rsid w:val="000821DE"/>
    <w:rsid w:val="000832C7"/>
    <w:rsid w:val="00084127"/>
    <w:rsid w:val="0008464E"/>
    <w:rsid w:val="00086A9D"/>
    <w:rsid w:val="00087AF9"/>
    <w:rsid w:val="000907BE"/>
    <w:rsid w:val="000910C6"/>
    <w:rsid w:val="00091EFB"/>
    <w:rsid w:val="000930F8"/>
    <w:rsid w:val="00093FAC"/>
    <w:rsid w:val="00094F38"/>
    <w:rsid w:val="00096A97"/>
    <w:rsid w:val="00096F28"/>
    <w:rsid w:val="000970ED"/>
    <w:rsid w:val="000A0488"/>
    <w:rsid w:val="000A24CE"/>
    <w:rsid w:val="000A26F5"/>
    <w:rsid w:val="000A2797"/>
    <w:rsid w:val="000A27ED"/>
    <w:rsid w:val="000A2BCD"/>
    <w:rsid w:val="000A3324"/>
    <w:rsid w:val="000A39F9"/>
    <w:rsid w:val="000A3E62"/>
    <w:rsid w:val="000A477E"/>
    <w:rsid w:val="000A5610"/>
    <w:rsid w:val="000A60FB"/>
    <w:rsid w:val="000A6F3C"/>
    <w:rsid w:val="000B1144"/>
    <w:rsid w:val="000B1386"/>
    <w:rsid w:val="000B2071"/>
    <w:rsid w:val="000B3E4C"/>
    <w:rsid w:val="000B4964"/>
    <w:rsid w:val="000B50C4"/>
    <w:rsid w:val="000B5704"/>
    <w:rsid w:val="000B5C9C"/>
    <w:rsid w:val="000C00B4"/>
    <w:rsid w:val="000C06AB"/>
    <w:rsid w:val="000C1772"/>
    <w:rsid w:val="000C271F"/>
    <w:rsid w:val="000C2878"/>
    <w:rsid w:val="000C2B68"/>
    <w:rsid w:val="000C3391"/>
    <w:rsid w:val="000C3A60"/>
    <w:rsid w:val="000C40CC"/>
    <w:rsid w:val="000C50BF"/>
    <w:rsid w:val="000C52EA"/>
    <w:rsid w:val="000C5E1D"/>
    <w:rsid w:val="000C5FE1"/>
    <w:rsid w:val="000C62D7"/>
    <w:rsid w:val="000C7A4A"/>
    <w:rsid w:val="000D10D9"/>
    <w:rsid w:val="000D1C56"/>
    <w:rsid w:val="000D2679"/>
    <w:rsid w:val="000D4036"/>
    <w:rsid w:val="000D40F0"/>
    <w:rsid w:val="000D4C23"/>
    <w:rsid w:val="000D5B16"/>
    <w:rsid w:val="000E071E"/>
    <w:rsid w:val="000E1885"/>
    <w:rsid w:val="000E281B"/>
    <w:rsid w:val="000E4381"/>
    <w:rsid w:val="000E4DA9"/>
    <w:rsid w:val="000E50A7"/>
    <w:rsid w:val="000E52AA"/>
    <w:rsid w:val="000E56BC"/>
    <w:rsid w:val="000E656B"/>
    <w:rsid w:val="000E7A3E"/>
    <w:rsid w:val="000E7C84"/>
    <w:rsid w:val="000E7E23"/>
    <w:rsid w:val="000F09E6"/>
    <w:rsid w:val="000F0CC1"/>
    <w:rsid w:val="000F0DDD"/>
    <w:rsid w:val="000F1201"/>
    <w:rsid w:val="000F17D1"/>
    <w:rsid w:val="000F2608"/>
    <w:rsid w:val="000F2CDC"/>
    <w:rsid w:val="000F342C"/>
    <w:rsid w:val="000F4284"/>
    <w:rsid w:val="000F4875"/>
    <w:rsid w:val="000F6118"/>
    <w:rsid w:val="00100B45"/>
    <w:rsid w:val="00101088"/>
    <w:rsid w:val="00101A81"/>
    <w:rsid w:val="00101A9D"/>
    <w:rsid w:val="00102205"/>
    <w:rsid w:val="00102B9A"/>
    <w:rsid w:val="0010366F"/>
    <w:rsid w:val="00104D35"/>
    <w:rsid w:val="00106571"/>
    <w:rsid w:val="0010733D"/>
    <w:rsid w:val="00110D83"/>
    <w:rsid w:val="00111598"/>
    <w:rsid w:val="00111CC7"/>
    <w:rsid w:val="001121E2"/>
    <w:rsid w:val="001128B6"/>
    <w:rsid w:val="00114BB6"/>
    <w:rsid w:val="00115C32"/>
    <w:rsid w:val="001164FB"/>
    <w:rsid w:val="001166F2"/>
    <w:rsid w:val="0011772C"/>
    <w:rsid w:val="001200AD"/>
    <w:rsid w:val="00120237"/>
    <w:rsid w:val="001205E8"/>
    <w:rsid w:val="00123932"/>
    <w:rsid w:val="00124349"/>
    <w:rsid w:val="00125A71"/>
    <w:rsid w:val="00125E4F"/>
    <w:rsid w:val="001264CF"/>
    <w:rsid w:val="00126567"/>
    <w:rsid w:val="00127237"/>
    <w:rsid w:val="00130381"/>
    <w:rsid w:val="00130B49"/>
    <w:rsid w:val="00132F59"/>
    <w:rsid w:val="00133977"/>
    <w:rsid w:val="00133E0E"/>
    <w:rsid w:val="00133E55"/>
    <w:rsid w:val="00134D5F"/>
    <w:rsid w:val="0013502D"/>
    <w:rsid w:val="001350A4"/>
    <w:rsid w:val="001351DC"/>
    <w:rsid w:val="0014180E"/>
    <w:rsid w:val="00142577"/>
    <w:rsid w:val="00142902"/>
    <w:rsid w:val="00142E63"/>
    <w:rsid w:val="00142F50"/>
    <w:rsid w:val="00143A24"/>
    <w:rsid w:val="00143DE5"/>
    <w:rsid w:val="001441E6"/>
    <w:rsid w:val="00144274"/>
    <w:rsid w:val="0014558E"/>
    <w:rsid w:val="00146857"/>
    <w:rsid w:val="00146F95"/>
    <w:rsid w:val="00147F38"/>
    <w:rsid w:val="001500CD"/>
    <w:rsid w:val="001501C2"/>
    <w:rsid w:val="00152E2C"/>
    <w:rsid w:val="00154A93"/>
    <w:rsid w:val="001577E2"/>
    <w:rsid w:val="001577EC"/>
    <w:rsid w:val="00161098"/>
    <w:rsid w:val="00161789"/>
    <w:rsid w:val="00161AAC"/>
    <w:rsid w:val="00162AD9"/>
    <w:rsid w:val="00163276"/>
    <w:rsid w:val="00164287"/>
    <w:rsid w:val="00164632"/>
    <w:rsid w:val="00164F75"/>
    <w:rsid w:val="0016511C"/>
    <w:rsid w:val="00165D23"/>
    <w:rsid w:val="00165ECC"/>
    <w:rsid w:val="00166934"/>
    <w:rsid w:val="001722BA"/>
    <w:rsid w:val="0017397E"/>
    <w:rsid w:val="00174143"/>
    <w:rsid w:val="00174F25"/>
    <w:rsid w:val="00176B20"/>
    <w:rsid w:val="001773B5"/>
    <w:rsid w:val="00180063"/>
    <w:rsid w:val="00180780"/>
    <w:rsid w:val="0018139F"/>
    <w:rsid w:val="001823AB"/>
    <w:rsid w:val="00182838"/>
    <w:rsid w:val="00183BA1"/>
    <w:rsid w:val="00184C52"/>
    <w:rsid w:val="001857DD"/>
    <w:rsid w:val="0018760B"/>
    <w:rsid w:val="00187639"/>
    <w:rsid w:val="00190095"/>
    <w:rsid w:val="0019019C"/>
    <w:rsid w:val="0019131D"/>
    <w:rsid w:val="0019160F"/>
    <w:rsid w:val="00192417"/>
    <w:rsid w:val="001929CC"/>
    <w:rsid w:val="00193898"/>
    <w:rsid w:val="001943D4"/>
    <w:rsid w:val="00194896"/>
    <w:rsid w:val="00194B7F"/>
    <w:rsid w:val="00194E5C"/>
    <w:rsid w:val="00194F36"/>
    <w:rsid w:val="0019503B"/>
    <w:rsid w:val="00195946"/>
    <w:rsid w:val="00196EA9"/>
    <w:rsid w:val="00197E71"/>
    <w:rsid w:val="001A0418"/>
    <w:rsid w:val="001A128F"/>
    <w:rsid w:val="001A2339"/>
    <w:rsid w:val="001A2357"/>
    <w:rsid w:val="001A57D9"/>
    <w:rsid w:val="001A5AFF"/>
    <w:rsid w:val="001A71B7"/>
    <w:rsid w:val="001A722D"/>
    <w:rsid w:val="001A7316"/>
    <w:rsid w:val="001A763F"/>
    <w:rsid w:val="001B0498"/>
    <w:rsid w:val="001B0E63"/>
    <w:rsid w:val="001B183C"/>
    <w:rsid w:val="001B3EE7"/>
    <w:rsid w:val="001B5175"/>
    <w:rsid w:val="001B51A6"/>
    <w:rsid w:val="001C0281"/>
    <w:rsid w:val="001C0E40"/>
    <w:rsid w:val="001C19C4"/>
    <w:rsid w:val="001C2BAA"/>
    <w:rsid w:val="001C3D47"/>
    <w:rsid w:val="001C4056"/>
    <w:rsid w:val="001C5320"/>
    <w:rsid w:val="001C65AB"/>
    <w:rsid w:val="001D1E4A"/>
    <w:rsid w:val="001D24D7"/>
    <w:rsid w:val="001D2D47"/>
    <w:rsid w:val="001D2DF9"/>
    <w:rsid w:val="001D3FCB"/>
    <w:rsid w:val="001D4599"/>
    <w:rsid w:val="001D505B"/>
    <w:rsid w:val="001D5634"/>
    <w:rsid w:val="001D694E"/>
    <w:rsid w:val="001E076F"/>
    <w:rsid w:val="001E0DBE"/>
    <w:rsid w:val="001E1446"/>
    <w:rsid w:val="001E4173"/>
    <w:rsid w:val="001E42F4"/>
    <w:rsid w:val="001E468B"/>
    <w:rsid w:val="001E6288"/>
    <w:rsid w:val="001E6F3F"/>
    <w:rsid w:val="001E7373"/>
    <w:rsid w:val="001E75D4"/>
    <w:rsid w:val="001F01E1"/>
    <w:rsid w:val="001F14B4"/>
    <w:rsid w:val="001F19BE"/>
    <w:rsid w:val="001F1C0C"/>
    <w:rsid w:val="001F1E1A"/>
    <w:rsid w:val="001F2515"/>
    <w:rsid w:val="001F387E"/>
    <w:rsid w:val="001F38CC"/>
    <w:rsid w:val="001F425D"/>
    <w:rsid w:val="001F71AF"/>
    <w:rsid w:val="001F7804"/>
    <w:rsid w:val="001F7CD5"/>
    <w:rsid w:val="0020087E"/>
    <w:rsid w:val="00201580"/>
    <w:rsid w:val="00201A0A"/>
    <w:rsid w:val="00201B7A"/>
    <w:rsid w:val="00201C5F"/>
    <w:rsid w:val="00202488"/>
    <w:rsid w:val="00202B44"/>
    <w:rsid w:val="00203CAB"/>
    <w:rsid w:val="00203D08"/>
    <w:rsid w:val="002051C4"/>
    <w:rsid w:val="002057DB"/>
    <w:rsid w:val="00207F50"/>
    <w:rsid w:val="00210D61"/>
    <w:rsid w:val="00211259"/>
    <w:rsid w:val="0021273B"/>
    <w:rsid w:val="00213001"/>
    <w:rsid w:val="0021332B"/>
    <w:rsid w:val="00215616"/>
    <w:rsid w:val="00215709"/>
    <w:rsid w:val="002157F0"/>
    <w:rsid w:val="0021595A"/>
    <w:rsid w:val="0021779D"/>
    <w:rsid w:val="00217B0A"/>
    <w:rsid w:val="00221E01"/>
    <w:rsid w:val="002244BD"/>
    <w:rsid w:val="002262A7"/>
    <w:rsid w:val="0022717F"/>
    <w:rsid w:val="002277F4"/>
    <w:rsid w:val="0023011C"/>
    <w:rsid w:val="00231638"/>
    <w:rsid w:val="0023384E"/>
    <w:rsid w:val="0023407B"/>
    <w:rsid w:val="002346A1"/>
    <w:rsid w:val="002350F4"/>
    <w:rsid w:val="00241E07"/>
    <w:rsid w:val="00242BB5"/>
    <w:rsid w:val="00243E68"/>
    <w:rsid w:val="00243EBC"/>
    <w:rsid w:val="00244FB7"/>
    <w:rsid w:val="002475BA"/>
    <w:rsid w:val="002479FA"/>
    <w:rsid w:val="00247BCD"/>
    <w:rsid w:val="00247E48"/>
    <w:rsid w:val="0025009F"/>
    <w:rsid w:val="00251407"/>
    <w:rsid w:val="00251E98"/>
    <w:rsid w:val="00252B33"/>
    <w:rsid w:val="00252EDF"/>
    <w:rsid w:val="00252FDD"/>
    <w:rsid w:val="00253069"/>
    <w:rsid w:val="00253106"/>
    <w:rsid w:val="002548D9"/>
    <w:rsid w:val="00254D65"/>
    <w:rsid w:val="00255088"/>
    <w:rsid w:val="00256586"/>
    <w:rsid w:val="00260C96"/>
    <w:rsid w:val="00263793"/>
    <w:rsid w:val="002639C0"/>
    <w:rsid w:val="002654CC"/>
    <w:rsid w:val="00265863"/>
    <w:rsid w:val="002667EB"/>
    <w:rsid w:val="00267793"/>
    <w:rsid w:val="002677B9"/>
    <w:rsid w:val="002700EC"/>
    <w:rsid w:val="00270534"/>
    <w:rsid w:val="00273013"/>
    <w:rsid w:val="00273402"/>
    <w:rsid w:val="00274886"/>
    <w:rsid w:val="002749EB"/>
    <w:rsid w:val="00275286"/>
    <w:rsid w:val="00275A12"/>
    <w:rsid w:val="0027646D"/>
    <w:rsid w:val="00280205"/>
    <w:rsid w:val="00280A3B"/>
    <w:rsid w:val="002813F5"/>
    <w:rsid w:val="0028197A"/>
    <w:rsid w:val="002831C8"/>
    <w:rsid w:val="00283826"/>
    <w:rsid w:val="0028609D"/>
    <w:rsid w:val="002864B0"/>
    <w:rsid w:val="00286B2A"/>
    <w:rsid w:val="00287B98"/>
    <w:rsid w:val="00287E67"/>
    <w:rsid w:val="0029062C"/>
    <w:rsid w:val="00292A0B"/>
    <w:rsid w:val="00294484"/>
    <w:rsid w:val="00294869"/>
    <w:rsid w:val="002A0034"/>
    <w:rsid w:val="002A2070"/>
    <w:rsid w:val="002A2AC9"/>
    <w:rsid w:val="002A2ECD"/>
    <w:rsid w:val="002A2EDB"/>
    <w:rsid w:val="002A30A0"/>
    <w:rsid w:val="002A4AAD"/>
    <w:rsid w:val="002A5115"/>
    <w:rsid w:val="002B047A"/>
    <w:rsid w:val="002B049E"/>
    <w:rsid w:val="002B118C"/>
    <w:rsid w:val="002B1C8E"/>
    <w:rsid w:val="002B2191"/>
    <w:rsid w:val="002B2325"/>
    <w:rsid w:val="002B3A15"/>
    <w:rsid w:val="002B4A8B"/>
    <w:rsid w:val="002B52C8"/>
    <w:rsid w:val="002B5786"/>
    <w:rsid w:val="002B5EE3"/>
    <w:rsid w:val="002B6312"/>
    <w:rsid w:val="002B6C41"/>
    <w:rsid w:val="002B7E49"/>
    <w:rsid w:val="002C0DA7"/>
    <w:rsid w:val="002C0EBC"/>
    <w:rsid w:val="002C16F6"/>
    <w:rsid w:val="002C1853"/>
    <w:rsid w:val="002C1856"/>
    <w:rsid w:val="002C2162"/>
    <w:rsid w:val="002C21AB"/>
    <w:rsid w:val="002C596B"/>
    <w:rsid w:val="002C5A23"/>
    <w:rsid w:val="002C5D03"/>
    <w:rsid w:val="002D010D"/>
    <w:rsid w:val="002D0EBA"/>
    <w:rsid w:val="002D17C8"/>
    <w:rsid w:val="002D1B5B"/>
    <w:rsid w:val="002D1F3A"/>
    <w:rsid w:val="002D270E"/>
    <w:rsid w:val="002D325D"/>
    <w:rsid w:val="002D340F"/>
    <w:rsid w:val="002D37BE"/>
    <w:rsid w:val="002D3933"/>
    <w:rsid w:val="002D3C0E"/>
    <w:rsid w:val="002D3E1F"/>
    <w:rsid w:val="002D44F0"/>
    <w:rsid w:val="002D577F"/>
    <w:rsid w:val="002D65FA"/>
    <w:rsid w:val="002D7422"/>
    <w:rsid w:val="002D74E6"/>
    <w:rsid w:val="002D7ACA"/>
    <w:rsid w:val="002D7D12"/>
    <w:rsid w:val="002E12FD"/>
    <w:rsid w:val="002E1EBE"/>
    <w:rsid w:val="002E21E0"/>
    <w:rsid w:val="002E2505"/>
    <w:rsid w:val="002E2C88"/>
    <w:rsid w:val="002E310A"/>
    <w:rsid w:val="002E34A8"/>
    <w:rsid w:val="002E397B"/>
    <w:rsid w:val="002E53D7"/>
    <w:rsid w:val="002E5BAA"/>
    <w:rsid w:val="002E7798"/>
    <w:rsid w:val="002F050F"/>
    <w:rsid w:val="002F057C"/>
    <w:rsid w:val="002F241E"/>
    <w:rsid w:val="002F35F0"/>
    <w:rsid w:val="002F425B"/>
    <w:rsid w:val="002F45CA"/>
    <w:rsid w:val="002F4C60"/>
    <w:rsid w:val="002F53E2"/>
    <w:rsid w:val="002F5F0E"/>
    <w:rsid w:val="002F6B3B"/>
    <w:rsid w:val="002F7637"/>
    <w:rsid w:val="002F78AE"/>
    <w:rsid w:val="002F7F3E"/>
    <w:rsid w:val="003012B7"/>
    <w:rsid w:val="003016E8"/>
    <w:rsid w:val="00303BA5"/>
    <w:rsid w:val="003041BF"/>
    <w:rsid w:val="00304642"/>
    <w:rsid w:val="003066B1"/>
    <w:rsid w:val="003100F0"/>
    <w:rsid w:val="00310811"/>
    <w:rsid w:val="003113CF"/>
    <w:rsid w:val="00311914"/>
    <w:rsid w:val="00311938"/>
    <w:rsid w:val="00311E57"/>
    <w:rsid w:val="003127B2"/>
    <w:rsid w:val="00312FE1"/>
    <w:rsid w:val="00315023"/>
    <w:rsid w:val="00315E7A"/>
    <w:rsid w:val="00316C54"/>
    <w:rsid w:val="00320B67"/>
    <w:rsid w:val="00321114"/>
    <w:rsid w:val="00321838"/>
    <w:rsid w:val="00321F0A"/>
    <w:rsid w:val="00323749"/>
    <w:rsid w:val="00324E4A"/>
    <w:rsid w:val="0032787D"/>
    <w:rsid w:val="00330562"/>
    <w:rsid w:val="00330C28"/>
    <w:rsid w:val="00331631"/>
    <w:rsid w:val="00331659"/>
    <w:rsid w:val="003331EE"/>
    <w:rsid w:val="00333BCA"/>
    <w:rsid w:val="003347BD"/>
    <w:rsid w:val="00335BF5"/>
    <w:rsid w:val="003379EB"/>
    <w:rsid w:val="0034017B"/>
    <w:rsid w:val="00341260"/>
    <w:rsid w:val="0034180B"/>
    <w:rsid w:val="00341900"/>
    <w:rsid w:val="00341B0F"/>
    <w:rsid w:val="00341F5B"/>
    <w:rsid w:val="0034244C"/>
    <w:rsid w:val="003430C3"/>
    <w:rsid w:val="00343F5C"/>
    <w:rsid w:val="0034499F"/>
    <w:rsid w:val="00344CCA"/>
    <w:rsid w:val="003477C2"/>
    <w:rsid w:val="00352688"/>
    <w:rsid w:val="0035401F"/>
    <w:rsid w:val="00354842"/>
    <w:rsid w:val="00354DA4"/>
    <w:rsid w:val="003569BD"/>
    <w:rsid w:val="00357F3D"/>
    <w:rsid w:val="00361061"/>
    <w:rsid w:val="003619C1"/>
    <w:rsid w:val="00363C2F"/>
    <w:rsid w:val="003646DC"/>
    <w:rsid w:val="003650CA"/>
    <w:rsid w:val="003650E2"/>
    <w:rsid w:val="00365833"/>
    <w:rsid w:val="003663E4"/>
    <w:rsid w:val="00367CD1"/>
    <w:rsid w:val="003701D6"/>
    <w:rsid w:val="00370616"/>
    <w:rsid w:val="00373188"/>
    <w:rsid w:val="00373726"/>
    <w:rsid w:val="0037406D"/>
    <w:rsid w:val="00376E96"/>
    <w:rsid w:val="0037776B"/>
    <w:rsid w:val="00380444"/>
    <w:rsid w:val="003821B0"/>
    <w:rsid w:val="00382FF8"/>
    <w:rsid w:val="003831E2"/>
    <w:rsid w:val="00383766"/>
    <w:rsid w:val="003856E3"/>
    <w:rsid w:val="00385982"/>
    <w:rsid w:val="00385C78"/>
    <w:rsid w:val="00386396"/>
    <w:rsid w:val="0039055C"/>
    <w:rsid w:val="00390F51"/>
    <w:rsid w:val="0039101B"/>
    <w:rsid w:val="00392009"/>
    <w:rsid w:val="003936BC"/>
    <w:rsid w:val="00393E70"/>
    <w:rsid w:val="00393F26"/>
    <w:rsid w:val="00394C17"/>
    <w:rsid w:val="00395545"/>
    <w:rsid w:val="003956E8"/>
    <w:rsid w:val="00395FBC"/>
    <w:rsid w:val="003967C6"/>
    <w:rsid w:val="00397235"/>
    <w:rsid w:val="00397364"/>
    <w:rsid w:val="003A0401"/>
    <w:rsid w:val="003A05FB"/>
    <w:rsid w:val="003A0DB4"/>
    <w:rsid w:val="003A0E1C"/>
    <w:rsid w:val="003A1AA1"/>
    <w:rsid w:val="003A1F7F"/>
    <w:rsid w:val="003A280C"/>
    <w:rsid w:val="003A305C"/>
    <w:rsid w:val="003A3B6C"/>
    <w:rsid w:val="003A6395"/>
    <w:rsid w:val="003A6B0A"/>
    <w:rsid w:val="003A7573"/>
    <w:rsid w:val="003B031B"/>
    <w:rsid w:val="003B0C10"/>
    <w:rsid w:val="003B178F"/>
    <w:rsid w:val="003B1798"/>
    <w:rsid w:val="003B2FC8"/>
    <w:rsid w:val="003B3B8B"/>
    <w:rsid w:val="003B3E7E"/>
    <w:rsid w:val="003B45ED"/>
    <w:rsid w:val="003B46D9"/>
    <w:rsid w:val="003B4D2A"/>
    <w:rsid w:val="003B4FB2"/>
    <w:rsid w:val="003B5F3E"/>
    <w:rsid w:val="003B662A"/>
    <w:rsid w:val="003B71FA"/>
    <w:rsid w:val="003B7361"/>
    <w:rsid w:val="003B7F3E"/>
    <w:rsid w:val="003C1BD1"/>
    <w:rsid w:val="003C3D85"/>
    <w:rsid w:val="003C4B4C"/>
    <w:rsid w:val="003C5F30"/>
    <w:rsid w:val="003C6AD0"/>
    <w:rsid w:val="003D0A11"/>
    <w:rsid w:val="003D0A28"/>
    <w:rsid w:val="003D2FCF"/>
    <w:rsid w:val="003D3218"/>
    <w:rsid w:val="003D398C"/>
    <w:rsid w:val="003D3A9D"/>
    <w:rsid w:val="003D4491"/>
    <w:rsid w:val="003D4B17"/>
    <w:rsid w:val="003D4FC0"/>
    <w:rsid w:val="003D5E8F"/>
    <w:rsid w:val="003D67D0"/>
    <w:rsid w:val="003D6EFB"/>
    <w:rsid w:val="003E0F04"/>
    <w:rsid w:val="003E126B"/>
    <w:rsid w:val="003E1F39"/>
    <w:rsid w:val="003E222F"/>
    <w:rsid w:val="003E23CE"/>
    <w:rsid w:val="003E2C1C"/>
    <w:rsid w:val="003E2F9E"/>
    <w:rsid w:val="003E37C5"/>
    <w:rsid w:val="003E401A"/>
    <w:rsid w:val="003E468F"/>
    <w:rsid w:val="003E4793"/>
    <w:rsid w:val="003E6CAC"/>
    <w:rsid w:val="003E6E61"/>
    <w:rsid w:val="003E74B4"/>
    <w:rsid w:val="003E7D1C"/>
    <w:rsid w:val="003F3A73"/>
    <w:rsid w:val="003F4ED2"/>
    <w:rsid w:val="003F6524"/>
    <w:rsid w:val="00400273"/>
    <w:rsid w:val="00400408"/>
    <w:rsid w:val="00400885"/>
    <w:rsid w:val="00400D47"/>
    <w:rsid w:val="004023C6"/>
    <w:rsid w:val="004027AB"/>
    <w:rsid w:val="00403D79"/>
    <w:rsid w:val="004056E1"/>
    <w:rsid w:val="00405C2A"/>
    <w:rsid w:val="00405DD7"/>
    <w:rsid w:val="00406C55"/>
    <w:rsid w:val="004070EE"/>
    <w:rsid w:val="00407418"/>
    <w:rsid w:val="004108FB"/>
    <w:rsid w:val="00412CA0"/>
    <w:rsid w:val="00412DE2"/>
    <w:rsid w:val="00415B86"/>
    <w:rsid w:val="00415F2D"/>
    <w:rsid w:val="00416C4A"/>
    <w:rsid w:val="004174E1"/>
    <w:rsid w:val="00417E64"/>
    <w:rsid w:val="0042275B"/>
    <w:rsid w:val="004227CC"/>
    <w:rsid w:val="00423EE5"/>
    <w:rsid w:val="004252E9"/>
    <w:rsid w:val="00425470"/>
    <w:rsid w:val="00425839"/>
    <w:rsid w:val="00425E53"/>
    <w:rsid w:val="0042713C"/>
    <w:rsid w:val="00427779"/>
    <w:rsid w:val="00431C11"/>
    <w:rsid w:val="00431E31"/>
    <w:rsid w:val="004321B6"/>
    <w:rsid w:val="004322F9"/>
    <w:rsid w:val="004324FC"/>
    <w:rsid w:val="004336DC"/>
    <w:rsid w:val="00433CFB"/>
    <w:rsid w:val="004363D2"/>
    <w:rsid w:val="004377FB"/>
    <w:rsid w:val="00437A5A"/>
    <w:rsid w:val="00437BA2"/>
    <w:rsid w:val="0044026C"/>
    <w:rsid w:val="0044053A"/>
    <w:rsid w:val="00440A1C"/>
    <w:rsid w:val="0044104C"/>
    <w:rsid w:val="00441367"/>
    <w:rsid w:val="00442520"/>
    <w:rsid w:val="004445AA"/>
    <w:rsid w:val="004450CB"/>
    <w:rsid w:val="00445F9E"/>
    <w:rsid w:val="0044650E"/>
    <w:rsid w:val="00446D1B"/>
    <w:rsid w:val="00447827"/>
    <w:rsid w:val="0044788A"/>
    <w:rsid w:val="00450AE6"/>
    <w:rsid w:val="004512F3"/>
    <w:rsid w:val="00452CDE"/>
    <w:rsid w:val="00453754"/>
    <w:rsid w:val="00453B5D"/>
    <w:rsid w:val="00454DF9"/>
    <w:rsid w:val="00455AA4"/>
    <w:rsid w:val="004565B4"/>
    <w:rsid w:val="00457231"/>
    <w:rsid w:val="00457EE6"/>
    <w:rsid w:val="004602ED"/>
    <w:rsid w:val="00460A38"/>
    <w:rsid w:val="00460DAA"/>
    <w:rsid w:val="00462E6A"/>
    <w:rsid w:val="00463143"/>
    <w:rsid w:val="00463516"/>
    <w:rsid w:val="00463F52"/>
    <w:rsid w:val="0046528B"/>
    <w:rsid w:val="004652D9"/>
    <w:rsid w:val="004658BA"/>
    <w:rsid w:val="00465A2F"/>
    <w:rsid w:val="00466B63"/>
    <w:rsid w:val="004675CA"/>
    <w:rsid w:val="004677E8"/>
    <w:rsid w:val="00467CEF"/>
    <w:rsid w:val="00467E60"/>
    <w:rsid w:val="00470974"/>
    <w:rsid w:val="004715DB"/>
    <w:rsid w:val="00471D12"/>
    <w:rsid w:val="00475219"/>
    <w:rsid w:val="004758B3"/>
    <w:rsid w:val="00475990"/>
    <w:rsid w:val="004765E4"/>
    <w:rsid w:val="00476696"/>
    <w:rsid w:val="004766B6"/>
    <w:rsid w:val="004769D4"/>
    <w:rsid w:val="00481320"/>
    <w:rsid w:val="0048153C"/>
    <w:rsid w:val="004816E2"/>
    <w:rsid w:val="00482C89"/>
    <w:rsid w:val="004837AA"/>
    <w:rsid w:val="00484BD8"/>
    <w:rsid w:val="004852F3"/>
    <w:rsid w:val="00486CE7"/>
    <w:rsid w:val="00487B27"/>
    <w:rsid w:val="0049121E"/>
    <w:rsid w:val="004919F7"/>
    <w:rsid w:val="00491C77"/>
    <w:rsid w:val="004923BA"/>
    <w:rsid w:val="00492614"/>
    <w:rsid w:val="00493D22"/>
    <w:rsid w:val="004978A6"/>
    <w:rsid w:val="004A128C"/>
    <w:rsid w:val="004A1465"/>
    <w:rsid w:val="004A15AE"/>
    <w:rsid w:val="004A260A"/>
    <w:rsid w:val="004A4A2A"/>
    <w:rsid w:val="004A5052"/>
    <w:rsid w:val="004A59D1"/>
    <w:rsid w:val="004A5D39"/>
    <w:rsid w:val="004A6894"/>
    <w:rsid w:val="004A7020"/>
    <w:rsid w:val="004A74DC"/>
    <w:rsid w:val="004B12A7"/>
    <w:rsid w:val="004B1BA1"/>
    <w:rsid w:val="004B4196"/>
    <w:rsid w:val="004B5D2C"/>
    <w:rsid w:val="004B5DC4"/>
    <w:rsid w:val="004B5F4D"/>
    <w:rsid w:val="004B6E95"/>
    <w:rsid w:val="004B7F82"/>
    <w:rsid w:val="004C1A6F"/>
    <w:rsid w:val="004C2ACE"/>
    <w:rsid w:val="004C2B52"/>
    <w:rsid w:val="004C39D3"/>
    <w:rsid w:val="004C4208"/>
    <w:rsid w:val="004C4521"/>
    <w:rsid w:val="004C48C5"/>
    <w:rsid w:val="004C5518"/>
    <w:rsid w:val="004C5CF6"/>
    <w:rsid w:val="004C623C"/>
    <w:rsid w:val="004C6721"/>
    <w:rsid w:val="004C75BB"/>
    <w:rsid w:val="004C75CF"/>
    <w:rsid w:val="004D06D5"/>
    <w:rsid w:val="004D0B94"/>
    <w:rsid w:val="004D32F5"/>
    <w:rsid w:val="004D36FA"/>
    <w:rsid w:val="004D3C2D"/>
    <w:rsid w:val="004D7B71"/>
    <w:rsid w:val="004E1904"/>
    <w:rsid w:val="004E1F75"/>
    <w:rsid w:val="004E22B7"/>
    <w:rsid w:val="004E286E"/>
    <w:rsid w:val="004E44AF"/>
    <w:rsid w:val="004E4C74"/>
    <w:rsid w:val="004E4CA2"/>
    <w:rsid w:val="004E55EC"/>
    <w:rsid w:val="004E788C"/>
    <w:rsid w:val="004F0564"/>
    <w:rsid w:val="004F0DA1"/>
    <w:rsid w:val="004F11D1"/>
    <w:rsid w:val="004F3688"/>
    <w:rsid w:val="004F378A"/>
    <w:rsid w:val="004F3E97"/>
    <w:rsid w:val="004F4032"/>
    <w:rsid w:val="004F4E14"/>
    <w:rsid w:val="004F520E"/>
    <w:rsid w:val="004F6034"/>
    <w:rsid w:val="004F701D"/>
    <w:rsid w:val="004F78C0"/>
    <w:rsid w:val="004F7CA4"/>
    <w:rsid w:val="004F7F3A"/>
    <w:rsid w:val="0050006B"/>
    <w:rsid w:val="0050088B"/>
    <w:rsid w:val="0050104B"/>
    <w:rsid w:val="005012BD"/>
    <w:rsid w:val="00501C63"/>
    <w:rsid w:val="00501F38"/>
    <w:rsid w:val="00502390"/>
    <w:rsid w:val="00502F8A"/>
    <w:rsid w:val="00503037"/>
    <w:rsid w:val="00503C57"/>
    <w:rsid w:val="00503C65"/>
    <w:rsid w:val="00504693"/>
    <w:rsid w:val="005055D4"/>
    <w:rsid w:val="005064D0"/>
    <w:rsid w:val="00506648"/>
    <w:rsid w:val="005067DE"/>
    <w:rsid w:val="00510AF3"/>
    <w:rsid w:val="00511C64"/>
    <w:rsid w:val="00512A3C"/>
    <w:rsid w:val="0051464A"/>
    <w:rsid w:val="005156C9"/>
    <w:rsid w:val="00516235"/>
    <w:rsid w:val="00516695"/>
    <w:rsid w:val="0052195F"/>
    <w:rsid w:val="0052286A"/>
    <w:rsid w:val="00524CBC"/>
    <w:rsid w:val="0052665F"/>
    <w:rsid w:val="00526FFA"/>
    <w:rsid w:val="005308FB"/>
    <w:rsid w:val="00531F9A"/>
    <w:rsid w:val="0053239F"/>
    <w:rsid w:val="00532505"/>
    <w:rsid w:val="00533896"/>
    <w:rsid w:val="005355F6"/>
    <w:rsid w:val="00535CDE"/>
    <w:rsid w:val="005377A4"/>
    <w:rsid w:val="005408F1"/>
    <w:rsid w:val="00540B87"/>
    <w:rsid w:val="0054177F"/>
    <w:rsid w:val="00541EB3"/>
    <w:rsid w:val="00543107"/>
    <w:rsid w:val="00543E15"/>
    <w:rsid w:val="005457C5"/>
    <w:rsid w:val="00545B5A"/>
    <w:rsid w:val="00545C5B"/>
    <w:rsid w:val="005474F1"/>
    <w:rsid w:val="005501AF"/>
    <w:rsid w:val="00553264"/>
    <w:rsid w:val="00553568"/>
    <w:rsid w:val="005538B8"/>
    <w:rsid w:val="005541A0"/>
    <w:rsid w:val="005549B1"/>
    <w:rsid w:val="00554F9F"/>
    <w:rsid w:val="0055502A"/>
    <w:rsid w:val="00556446"/>
    <w:rsid w:val="005567D3"/>
    <w:rsid w:val="005575B3"/>
    <w:rsid w:val="00560462"/>
    <w:rsid w:val="00560BD6"/>
    <w:rsid w:val="00560CB2"/>
    <w:rsid w:val="00561257"/>
    <w:rsid w:val="0056141A"/>
    <w:rsid w:val="00562F3D"/>
    <w:rsid w:val="005633FF"/>
    <w:rsid w:val="005637A8"/>
    <w:rsid w:val="00564AB5"/>
    <w:rsid w:val="00565BE2"/>
    <w:rsid w:val="00566167"/>
    <w:rsid w:val="005665B8"/>
    <w:rsid w:val="00566A1F"/>
    <w:rsid w:val="0057022E"/>
    <w:rsid w:val="00570A5F"/>
    <w:rsid w:val="00570BA5"/>
    <w:rsid w:val="00570D8D"/>
    <w:rsid w:val="00571BEF"/>
    <w:rsid w:val="00571E5D"/>
    <w:rsid w:val="0057297B"/>
    <w:rsid w:val="005738A6"/>
    <w:rsid w:val="00575548"/>
    <w:rsid w:val="00577C95"/>
    <w:rsid w:val="0058239A"/>
    <w:rsid w:val="005838AF"/>
    <w:rsid w:val="005839E9"/>
    <w:rsid w:val="00583A85"/>
    <w:rsid w:val="00583B5A"/>
    <w:rsid w:val="00585DE1"/>
    <w:rsid w:val="005868B0"/>
    <w:rsid w:val="005879F1"/>
    <w:rsid w:val="00587C08"/>
    <w:rsid w:val="00587F4E"/>
    <w:rsid w:val="005913E1"/>
    <w:rsid w:val="00591485"/>
    <w:rsid w:val="00592852"/>
    <w:rsid w:val="00592D5F"/>
    <w:rsid w:val="00593274"/>
    <w:rsid w:val="0059423A"/>
    <w:rsid w:val="00595615"/>
    <w:rsid w:val="00595847"/>
    <w:rsid w:val="005967AD"/>
    <w:rsid w:val="00597951"/>
    <w:rsid w:val="00597C4C"/>
    <w:rsid w:val="005A0C05"/>
    <w:rsid w:val="005A1D49"/>
    <w:rsid w:val="005A256D"/>
    <w:rsid w:val="005A323A"/>
    <w:rsid w:val="005A47D8"/>
    <w:rsid w:val="005A4B7C"/>
    <w:rsid w:val="005A4C68"/>
    <w:rsid w:val="005A5140"/>
    <w:rsid w:val="005A5C53"/>
    <w:rsid w:val="005A5DE3"/>
    <w:rsid w:val="005A60F8"/>
    <w:rsid w:val="005A6245"/>
    <w:rsid w:val="005A6736"/>
    <w:rsid w:val="005B0C51"/>
    <w:rsid w:val="005B17B9"/>
    <w:rsid w:val="005B3951"/>
    <w:rsid w:val="005B4ECA"/>
    <w:rsid w:val="005B524A"/>
    <w:rsid w:val="005B540D"/>
    <w:rsid w:val="005B59CE"/>
    <w:rsid w:val="005B666E"/>
    <w:rsid w:val="005B6718"/>
    <w:rsid w:val="005B6802"/>
    <w:rsid w:val="005B6E21"/>
    <w:rsid w:val="005C009A"/>
    <w:rsid w:val="005C033F"/>
    <w:rsid w:val="005C0710"/>
    <w:rsid w:val="005C14B6"/>
    <w:rsid w:val="005C166B"/>
    <w:rsid w:val="005C1A5C"/>
    <w:rsid w:val="005C44A8"/>
    <w:rsid w:val="005C5658"/>
    <w:rsid w:val="005C5B21"/>
    <w:rsid w:val="005C6DBD"/>
    <w:rsid w:val="005C761A"/>
    <w:rsid w:val="005D05DF"/>
    <w:rsid w:val="005D0DB0"/>
    <w:rsid w:val="005D1EC2"/>
    <w:rsid w:val="005D2031"/>
    <w:rsid w:val="005D2EA3"/>
    <w:rsid w:val="005D364D"/>
    <w:rsid w:val="005D3FF1"/>
    <w:rsid w:val="005D4174"/>
    <w:rsid w:val="005D4394"/>
    <w:rsid w:val="005D45B9"/>
    <w:rsid w:val="005D4657"/>
    <w:rsid w:val="005D52D6"/>
    <w:rsid w:val="005D52E3"/>
    <w:rsid w:val="005D57AE"/>
    <w:rsid w:val="005D5D97"/>
    <w:rsid w:val="005D60BE"/>
    <w:rsid w:val="005D63D8"/>
    <w:rsid w:val="005D7185"/>
    <w:rsid w:val="005D7AC8"/>
    <w:rsid w:val="005D7B15"/>
    <w:rsid w:val="005D7DA7"/>
    <w:rsid w:val="005E0643"/>
    <w:rsid w:val="005E0C96"/>
    <w:rsid w:val="005E0EF9"/>
    <w:rsid w:val="005E2DCD"/>
    <w:rsid w:val="005E4891"/>
    <w:rsid w:val="005E4912"/>
    <w:rsid w:val="005E660B"/>
    <w:rsid w:val="005F00F6"/>
    <w:rsid w:val="005F0492"/>
    <w:rsid w:val="005F0970"/>
    <w:rsid w:val="005F197C"/>
    <w:rsid w:val="005F1A9C"/>
    <w:rsid w:val="005F1AA3"/>
    <w:rsid w:val="005F1D3D"/>
    <w:rsid w:val="005F46BD"/>
    <w:rsid w:val="005F4DD8"/>
    <w:rsid w:val="005F5185"/>
    <w:rsid w:val="005F574A"/>
    <w:rsid w:val="00601179"/>
    <w:rsid w:val="00601B1F"/>
    <w:rsid w:val="00601BED"/>
    <w:rsid w:val="00605579"/>
    <w:rsid w:val="00605AE6"/>
    <w:rsid w:val="00606E07"/>
    <w:rsid w:val="00610494"/>
    <w:rsid w:val="006105B6"/>
    <w:rsid w:val="006106AF"/>
    <w:rsid w:val="00611EE2"/>
    <w:rsid w:val="00612CB4"/>
    <w:rsid w:val="0061330C"/>
    <w:rsid w:val="00613D1E"/>
    <w:rsid w:val="00614738"/>
    <w:rsid w:val="0061478D"/>
    <w:rsid w:val="006153A0"/>
    <w:rsid w:val="0061588D"/>
    <w:rsid w:val="00616310"/>
    <w:rsid w:val="00616FC9"/>
    <w:rsid w:val="0061777D"/>
    <w:rsid w:val="006177B3"/>
    <w:rsid w:val="00617BE0"/>
    <w:rsid w:val="00621406"/>
    <w:rsid w:val="0062394E"/>
    <w:rsid w:val="006241F8"/>
    <w:rsid w:val="00625B38"/>
    <w:rsid w:val="00626F91"/>
    <w:rsid w:val="006277FD"/>
    <w:rsid w:val="0062793C"/>
    <w:rsid w:val="00627C40"/>
    <w:rsid w:val="00627E70"/>
    <w:rsid w:val="0063020C"/>
    <w:rsid w:val="00630223"/>
    <w:rsid w:val="006306F1"/>
    <w:rsid w:val="00631363"/>
    <w:rsid w:val="00631E2C"/>
    <w:rsid w:val="00633980"/>
    <w:rsid w:val="00634C47"/>
    <w:rsid w:val="006367F8"/>
    <w:rsid w:val="006369BC"/>
    <w:rsid w:val="00641228"/>
    <w:rsid w:val="0064438B"/>
    <w:rsid w:val="006468A0"/>
    <w:rsid w:val="00651102"/>
    <w:rsid w:val="0065141E"/>
    <w:rsid w:val="00651D45"/>
    <w:rsid w:val="0065386D"/>
    <w:rsid w:val="006553A0"/>
    <w:rsid w:val="00656819"/>
    <w:rsid w:val="006568B9"/>
    <w:rsid w:val="00656C0C"/>
    <w:rsid w:val="00657C82"/>
    <w:rsid w:val="006604BD"/>
    <w:rsid w:val="006609C8"/>
    <w:rsid w:val="00662702"/>
    <w:rsid w:val="00662F26"/>
    <w:rsid w:val="006631AB"/>
    <w:rsid w:val="00665933"/>
    <w:rsid w:val="0066610D"/>
    <w:rsid w:val="006664D5"/>
    <w:rsid w:val="006667F0"/>
    <w:rsid w:val="00667EDB"/>
    <w:rsid w:val="0067042F"/>
    <w:rsid w:val="0067218C"/>
    <w:rsid w:val="00673F0F"/>
    <w:rsid w:val="006744DD"/>
    <w:rsid w:val="00674929"/>
    <w:rsid w:val="00676A74"/>
    <w:rsid w:val="00676CBD"/>
    <w:rsid w:val="00677D5D"/>
    <w:rsid w:val="00677EA2"/>
    <w:rsid w:val="00680EBB"/>
    <w:rsid w:val="00681594"/>
    <w:rsid w:val="006848F9"/>
    <w:rsid w:val="0068540E"/>
    <w:rsid w:val="0068563A"/>
    <w:rsid w:val="006859A9"/>
    <w:rsid w:val="0068650B"/>
    <w:rsid w:val="00687573"/>
    <w:rsid w:val="006908AB"/>
    <w:rsid w:val="006912BE"/>
    <w:rsid w:val="0069203B"/>
    <w:rsid w:val="00693686"/>
    <w:rsid w:val="00694320"/>
    <w:rsid w:val="006946C9"/>
    <w:rsid w:val="006A17A8"/>
    <w:rsid w:val="006A1C56"/>
    <w:rsid w:val="006A23E8"/>
    <w:rsid w:val="006A32F9"/>
    <w:rsid w:val="006A46EA"/>
    <w:rsid w:val="006A4C28"/>
    <w:rsid w:val="006A63D7"/>
    <w:rsid w:val="006A66B2"/>
    <w:rsid w:val="006A74AA"/>
    <w:rsid w:val="006B0543"/>
    <w:rsid w:val="006B0AA1"/>
    <w:rsid w:val="006B155C"/>
    <w:rsid w:val="006B181C"/>
    <w:rsid w:val="006B1A8B"/>
    <w:rsid w:val="006B35E2"/>
    <w:rsid w:val="006B3CB2"/>
    <w:rsid w:val="006B3DCC"/>
    <w:rsid w:val="006B45C2"/>
    <w:rsid w:val="006B49A0"/>
    <w:rsid w:val="006B4F70"/>
    <w:rsid w:val="006B4FC6"/>
    <w:rsid w:val="006B503D"/>
    <w:rsid w:val="006B54B2"/>
    <w:rsid w:val="006B656E"/>
    <w:rsid w:val="006B685A"/>
    <w:rsid w:val="006B6C98"/>
    <w:rsid w:val="006B7747"/>
    <w:rsid w:val="006B7EA4"/>
    <w:rsid w:val="006C0E2C"/>
    <w:rsid w:val="006C148C"/>
    <w:rsid w:val="006C1BCE"/>
    <w:rsid w:val="006C21C8"/>
    <w:rsid w:val="006C2B45"/>
    <w:rsid w:val="006C430B"/>
    <w:rsid w:val="006C4FDA"/>
    <w:rsid w:val="006C503D"/>
    <w:rsid w:val="006C6C6F"/>
    <w:rsid w:val="006C7070"/>
    <w:rsid w:val="006D5332"/>
    <w:rsid w:val="006D5378"/>
    <w:rsid w:val="006D61E7"/>
    <w:rsid w:val="006D6DFC"/>
    <w:rsid w:val="006D7B20"/>
    <w:rsid w:val="006D7C07"/>
    <w:rsid w:val="006E257A"/>
    <w:rsid w:val="006E259C"/>
    <w:rsid w:val="006E3D9B"/>
    <w:rsid w:val="006E4303"/>
    <w:rsid w:val="006E5292"/>
    <w:rsid w:val="006E5E34"/>
    <w:rsid w:val="006E617C"/>
    <w:rsid w:val="006F0047"/>
    <w:rsid w:val="006F088F"/>
    <w:rsid w:val="006F08BF"/>
    <w:rsid w:val="006F0C19"/>
    <w:rsid w:val="006F0F0B"/>
    <w:rsid w:val="006F1D40"/>
    <w:rsid w:val="006F3BC8"/>
    <w:rsid w:val="006F49A2"/>
    <w:rsid w:val="006F4E3D"/>
    <w:rsid w:val="006F4FE1"/>
    <w:rsid w:val="006F5977"/>
    <w:rsid w:val="006F619D"/>
    <w:rsid w:val="007003CB"/>
    <w:rsid w:val="0070068D"/>
    <w:rsid w:val="00702960"/>
    <w:rsid w:val="00702FF5"/>
    <w:rsid w:val="007034F5"/>
    <w:rsid w:val="007049B7"/>
    <w:rsid w:val="00705F24"/>
    <w:rsid w:val="0070798F"/>
    <w:rsid w:val="00710B36"/>
    <w:rsid w:val="007155A9"/>
    <w:rsid w:val="00715AD6"/>
    <w:rsid w:val="00716158"/>
    <w:rsid w:val="00717FEF"/>
    <w:rsid w:val="007212E1"/>
    <w:rsid w:val="0072158D"/>
    <w:rsid w:val="00721CD6"/>
    <w:rsid w:val="00721F33"/>
    <w:rsid w:val="0072362F"/>
    <w:rsid w:val="00725AD6"/>
    <w:rsid w:val="00727B1B"/>
    <w:rsid w:val="00730494"/>
    <w:rsid w:val="00730B23"/>
    <w:rsid w:val="00731667"/>
    <w:rsid w:val="0073470D"/>
    <w:rsid w:val="00734810"/>
    <w:rsid w:val="007357F0"/>
    <w:rsid w:val="00736CC9"/>
    <w:rsid w:val="00736E29"/>
    <w:rsid w:val="00740692"/>
    <w:rsid w:val="00741F40"/>
    <w:rsid w:val="00742380"/>
    <w:rsid w:val="007423AB"/>
    <w:rsid w:val="00742FB4"/>
    <w:rsid w:val="00742FCC"/>
    <w:rsid w:val="007430FE"/>
    <w:rsid w:val="00743286"/>
    <w:rsid w:val="0074491B"/>
    <w:rsid w:val="007453CB"/>
    <w:rsid w:val="007465A9"/>
    <w:rsid w:val="0074681C"/>
    <w:rsid w:val="00747C66"/>
    <w:rsid w:val="007508DA"/>
    <w:rsid w:val="00750EC9"/>
    <w:rsid w:val="00752045"/>
    <w:rsid w:val="00752C47"/>
    <w:rsid w:val="00752F8D"/>
    <w:rsid w:val="007533A1"/>
    <w:rsid w:val="00753ADD"/>
    <w:rsid w:val="00754380"/>
    <w:rsid w:val="007546A7"/>
    <w:rsid w:val="00755580"/>
    <w:rsid w:val="00755EF2"/>
    <w:rsid w:val="00756C7F"/>
    <w:rsid w:val="007579BE"/>
    <w:rsid w:val="00757BEC"/>
    <w:rsid w:val="0076056B"/>
    <w:rsid w:val="00760F23"/>
    <w:rsid w:val="0076210E"/>
    <w:rsid w:val="007637A2"/>
    <w:rsid w:val="00763A29"/>
    <w:rsid w:val="007649C2"/>
    <w:rsid w:val="00765347"/>
    <w:rsid w:val="007659B9"/>
    <w:rsid w:val="00766561"/>
    <w:rsid w:val="00770263"/>
    <w:rsid w:val="007729D6"/>
    <w:rsid w:val="00773148"/>
    <w:rsid w:val="00773378"/>
    <w:rsid w:val="00773EBF"/>
    <w:rsid w:val="00773F5C"/>
    <w:rsid w:val="00774950"/>
    <w:rsid w:val="00776A43"/>
    <w:rsid w:val="00777024"/>
    <w:rsid w:val="0078125A"/>
    <w:rsid w:val="00781335"/>
    <w:rsid w:val="00782547"/>
    <w:rsid w:val="007827C3"/>
    <w:rsid w:val="00783463"/>
    <w:rsid w:val="007842B5"/>
    <w:rsid w:val="00785A74"/>
    <w:rsid w:val="0079092A"/>
    <w:rsid w:val="0079131F"/>
    <w:rsid w:val="0079148F"/>
    <w:rsid w:val="007915EF"/>
    <w:rsid w:val="00791CB0"/>
    <w:rsid w:val="00792EA2"/>
    <w:rsid w:val="00792FED"/>
    <w:rsid w:val="00793DC8"/>
    <w:rsid w:val="007942D3"/>
    <w:rsid w:val="0079459D"/>
    <w:rsid w:val="007954C0"/>
    <w:rsid w:val="0079624C"/>
    <w:rsid w:val="00796A35"/>
    <w:rsid w:val="00796C11"/>
    <w:rsid w:val="007A08C1"/>
    <w:rsid w:val="007A0CD7"/>
    <w:rsid w:val="007A25F4"/>
    <w:rsid w:val="007A36CA"/>
    <w:rsid w:val="007A3A61"/>
    <w:rsid w:val="007A4163"/>
    <w:rsid w:val="007A446C"/>
    <w:rsid w:val="007A46CB"/>
    <w:rsid w:val="007A4DFD"/>
    <w:rsid w:val="007A66C9"/>
    <w:rsid w:val="007A7F9A"/>
    <w:rsid w:val="007A7FC4"/>
    <w:rsid w:val="007B0CDF"/>
    <w:rsid w:val="007B105B"/>
    <w:rsid w:val="007B24EA"/>
    <w:rsid w:val="007B47FF"/>
    <w:rsid w:val="007B5FFE"/>
    <w:rsid w:val="007B62BD"/>
    <w:rsid w:val="007C389F"/>
    <w:rsid w:val="007C4693"/>
    <w:rsid w:val="007C4840"/>
    <w:rsid w:val="007C4AAC"/>
    <w:rsid w:val="007C5977"/>
    <w:rsid w:val="007C5A9B"/>
    <w:rsid w:val="007C61DD"/>
    <w:rsid w:val="007C72AC"/>
    <w:rsid w:val="007C7456"/>
    <w:rsid w:val="007D02C2"/>
    <w:rsid w:val="007D0697"/>
    <w:rsid w:val="007D11F9"/>
    <w:rsid w:val="007D14C0"/>
    <w:rsid w:val="007D195B"/>
    <w:rsid w:val="007D2310"/>
    <w:rsid w:val="007D2555"/>
    <w:rsid w:val="007D26CD"/>
    <w:rsid w:val="007D3275"/>
    <w:rsid w:val="007D5485"/>
    <w:rsid w:val="007D5E8B"/>
    <w:rsid w:val="007D5F80"/>
    <w:rsid w:val="007D6D46"/>
    <w:rsid w:val="007E00D6"/>
    <w:rsid w:val="007E02FA"/>
    <w:rsid w:val="007E21F1"/>
    <w:rsid w:val="007E2358"/>
    <w:rsid w:val="007E3652"/>
    <w:rsid w:val="007E418E"/>
    <w:rsid w:val="007E629C"/>
    <w:rsid w:val="007E6E01"/>
    <w:rsid w:val="007E6FF2"/>
    <w:rsid w:val="007E7DFE"/>
    <w:rsid w:val="007F02D3"/>
    <w:rsid w:val="007F1F3F"/>
    <w:rsid w:val="007F350B"/>
    <w:rsid w:val="007F38CF"/>
    <w:rsid w:val="007F3D4A"/>
    <w:rsid w:val="007F41CC"/>
    <w:rsid w:val="007F47F4"/>
    <w:rsid w:val="007F4CF6"/>
    <w:rsid w:val="007F5078"/>
    <w:rsid w:val="007F5607"/>
    <w:rsid w:val="007F5E0A"/>
    <w:rsid w:val="007F6E5C"/>
    <w:rsid w:val="007F758F"/>
    <w:rsid w:val="00800A78"/>
    <w:rsid w:val="00800D61"/>
    <w:rsid w:val="008024C0"/>
    <w:rsid w:val="00802FD6"/>
    <w:rsid w:val="008040B9"/>
    <w:rsid w:val="0080482B"/>
    <w:rsid w:val="00804F88"/>
    <w:rsid w:val="00805B1B"/>
    <w:rsid w:val="00805B74"/>
    <w:rsid w:val="00805C4F"/>
    <w:rsid w:val="008101B2"/>
    <w:rsid w:val="00811A5A"/>
    <w:rsid w:val="008122FC"/>
    <w:rsid w:val="00812500"/>
    <w:rsid w:val="00813273"/>
    <w:rsid w:val="008136CC"/>
    <w:rsid w:val="00814EBC"/>
    <w:rsid w:val="00814F47"/>
    <w:rsid w:val="00815420"/>
    <w:rsid w:val="008156C0"/>
    <w:rsid w:val="00815FFE"/>
    <w:rsid w:val="00817922"/>
    <w:rsid w:val="00817C5F"/>
    <w:rsid w:val="008205CE"/>
    <w:rsid w:val="00820FA4"/>
    <w:rsid w:val="0082302C"/>
    <w:rsid w:val="0082372A"/>
    <w:rsid w:val="00823901"/>
    <w:rsid w:val="008248FC"/>
    <w:rsid w:val="00825334"/>
    <w:rsid w:val="008256E8"/>
    <w:rsid w:val="0082673A"/>
    <w:rsid w:val="0082784F"/>
    <w:rsid w:val="008301CD"/>
    <w:rsid w:val="008306B1"/>
    <w:rsid w:val="00831047"/>
    <w:rsid w:val="00831064"/>
    <w:rsid w:val="00831D6F"/>
    <w:rsid w:val="0083311F"/>
    <w:rsid w:val="00833477"/>
    <w:rsid w:val="00834D95"/>
    <w:rsid w:val="00834F23"/>
    <w:rsid w:val="008364BC"/>
    <w:rsid w:val="0083773E"/>
    <w:rsid w:val="00837E42"/>
    <w:rsid w:val="0084098D"/>
    <w:rsid w:val="00840B12"/>
    <w:rsid w:val="00841552"/>
    <w:rsid w:val="0084331C"/>
    <w:rsid w:val="00843A61"/>
    <w:rsid w:val="008452B9"/>
    <w:rsid w:val="008457C2"/>
    <w:rsid w:val="00846694"/>
    <w:rsid w:val="00846790"/>
    <w:rsid w:val="00846AC8"/>
    <w:rsid w:val="00850DF8"/>
    <w:rsid w:val="00850FCA"/>
    <w:rsid w:val="00851B3B"/>
    <w:rsid w:val="00854D19"/>
    <w:rsid w:val="0086017B"/>
    <w:rsid w:val="00861BBC"/>
    <w:rsid w:val="008641B0"/>
    <w:rsid w:val="0086593A"/>
    <w:rsid w:val="00865C54"/>
    <w:rsid w:val="00866054"/>
    <w:rsid w:val="0086625B"/>
    <w:rsid w:val="0086654E"/>
    <w:rsid w:val="00867BC8"/>
    <w:rsid w:val="008705C1"/>
    <w:rsid w:val="00870653"/>
    <w:rsid w:val="00871239"/>
    <w:rsid w:val="00871933"/>
    <w:rsid w:val="00872404"/>
    <w:rsid w:val="008727CF"/>
    <w:rsid w:val="00872AE2"/>
    <w:rsid w:val="00873158"/>
    <w:rsid w:val="00873672"/>
    <w:rsid w:val="00873C35"/>
    <w:rsid w:val="0087461C"/>
    <w:rsid w:val="0087590E"/>
    <w:rsid w:val="00876C08"/>
    <w:rsid w:val="00877050"/>
    <w:rsid w:val="00877368"/>
    <w:rsid w:val="00880219"/>
    <w:rsid w:val="008811A2"/>
    <w:rsid w:val="008811B1"/>
    <w:rsid w:val="00882BFA"/>
    <w:rsid w:val="00882F2E"/>
    <w:rsid w:val="0088367A"/>
    <w:rsid w:val="00884337"/>
    <w:rsid w:val="0088438C"/>
    <w:rsid w:val="00885030"/>
    <w:rsid w:val="00885B61"/>
    <w:rsid w:val="00886570"/>
    <w:rsid w:val="00886ED4"/>
    <w:rsid w:val="00887FBA"/>
    <w:rsid w:val="0089012D"/>
    <w:rsid w:val="00891425"/>
    <w:rsid w:val="00891D55"/>
    <w:rsid w:val="008928B1"/>
    <w:rsid w:val="00893167"/>
    <w:rsid w:val="008953A6"/>
    <w:rsid w:val="00896453"/>
    <w:rsid w:val="008966B1"/>
    <w:rsid w:val="008A1485"/>
    <w:rsid w:val="008A1565"/>
    <w:rsid w:val="008A2F77"/>
    <w:rsid w:val="008A372B"/>
    <w:rsid w:val="008A37F3"/>
    <w:rsid w:val="008A38E5"/>
    <w:rsid w:val="008A38FD"/>
    <w:rsid w:val="008A41E0"/>
    <w:rsid w:val="008A5A74"/>
    <w:rsid w:val="008A61CD"/>
    <w:rsid w:val="008A6AB8"/>
    <w:rsid w:val="008A6F6A"/>
    <w:rsid w:val="008A797B"/>
    <w:rsid w:val="008A7FEE"/>
    <w:rsid w:val="008B0737"/>
    <w:rsid w:val="008B0F2A"/>
    <w:rsid w:val="008B27D3"/>
    <w:rsid w:val="008B3E45"/>
    <w:rsid w:val="008B4A87"/>
    <w:rsid w:val="008B5208"/>
    <w:rsid w:val="008B52F0"/>
    <w:rsid w:val="008B5508"/>
    <w:rsid w:val="008B5626"/>
    <w:rsid w:val="008B6644"/>
    <w:rsid w:val="008B7147"/>
    <w:rsid w:val="008B787F"/>
    <w:rsid w:val="008B7DF2"/>
    <w:rsid w:val="008C0378"/>
    <w:rsid w:val="008C03A7"/>
    <w:rsid w:val="008C03D3"/>
    <w:rsid w:val="008C0939"/>
    <w:rsid w:val="008C153C"/>
    <w:rsid w:val="008C1B29"/>
    <w:rsid w:val="008C30CF"/>
    <w:rsid w:val="008C4589"/>
    <w:rsid w:val="008C5D37"/>
    <w:rsid w:val="008D052E"/>
    <w:rsid w:val="008D189C"/>
    <w:rsid w:val="008D1A64"/>
    <w:rsid w:val="008D1E0E"/>
    <w:rsid w:val="008D2438"/>
    <w:rsid w:val="008D327E"/>
    <w:rsid w:val="008D476B"/>
    <w:rsid w:val="008D4BBA"/>
    <w:rsid w:val="008D583E"/>
    <w:rsid w:val="008D5FED"/>
    <w:rsid w:val="008D6E1F"/>
    <w:rsid w:val="008D7582"/>
    <w:rsid w:val="008E08BC"/>
    <w:rsid w:val="008E0DEA"/>
    <w:rsid w:val="008E11A0"/>
    <w:rsid w:val="008E21A4"/>
    <w:rsid w:val="008E32B1"/>
    <w:rsid w:val="008E32BB"/>
    <w:rsid w:val="008E4E34"/>
    <w:rsid w:val="008E50DF"/>
    <w:rsid w:val="008E59F3"/>
    <w:rsid w:val="008E612B"/>
    <w:rsid w:val="008F0CBD"/>
    <w:rsid w:val="008F128C"/>
    <w:rsid w:val="008F1CD1"/>
    <w:rsid w:val="008F2858"/>
    <w:rsid w:val="008F3000"/>
    <w:rsid w:val="008F3355"/>
    <w:rsid w:val="008F5D60"/>
    <w:rsid w:val="008F6668"/>
    <w:rsid w:val="008F66D4"/>
    <w:rsid w:val="008F6BFD"/>
    <w:rsid w:val="008F7603"/>
    <w:rsid w:val="0090002C"/>
    <w:rsid w:val="00901DB5"/>
    <w:rsid w:val="00902D9A"/>
    <w:rsid w:val="00903168"/>
    <w:rsid w:val="00903443"/>
    <w:rsid w:val="009034E8"/>
    <w:rsid w:val="00904698"/>
    <w:rsid w:val="009048AC"/>
    <w:rsid w:val="00904F47"/>
    <w:rsid w:val="00905063"/>
    <w:rsid w:val="009054A4"/>
    <w:rsid w:val="009055E0"/>
    <w:rsid w:val="00905641"/>
    <w:rsid w:val="00905A9F"/>
    <w:rsid w:val="009069B2"/>
    <w:rsid w:val="00907296"/>
    <w:rsid w:val="00907A7F"/>
    <w:rsid w:val="009111A6"/>
    <w:rsid w:val="0091153F"/>
    <w:rsid w:val="00912AD3"/>
    <w:rsid w:val="00913CF4"/>
    <w:rsid w:val="00914333"/>
    <w:rsid w:val="0091595A"/>
    <w:rsid w:val="00915B64"/>
    <w:rsid w:val="009165D2"/>
    <w:rsid w:val="009179B6"/>
    <w:rsid w:val="00920DCC"/>
    <w:rsid w:val="009210CF"/>
    <w:rsid w:val="00921334"/>
    <w:rsid w:val="0092288E"/>
    <w:rsid w:val="00923607"/>
    <w:rsid w:val="00923E46"/>
    <w:rsid w:val="00924553"/>
    <w:rsid w:val="00924725"/>
    <w:rsid w:val="00924C2A"/>
    <w:rsid w:val="0092746E"/>
    <w:rsid w:val="009279F7"/>
    <w:rsid w:val="00927D9F"/>
    <w:rsid w:val="009326EF"/>
    <w:rsid w:val="00933845"/>
    <w:rsid w:val="009342BE"/>
    <w:rsid w:val="00936E67"/>
    <w:rsid w:val="00936FD8"/>
    <w:rsid w:val="00937369"/>
    <w:rsid w:val="0094080A"/>
    <w:rsid w:val="00940B62"/>
    <w:rsid w:val="009410E1"/>
    <w:rsid w:val="00942AA7"/>
    <w:rsid w:val="00943C21"/>
    <w:rsid w:val="00944A1F"/>
    <w:rsid w:val="009456E2"/>
    <w:rsid w:val="009463BA"/>
    <w:rsid w:val="00946C25"/>
    <w:rsid w:val="00946F5D"/>
    <w:rsid w:val="0094787C"/>
    <w:rsid w:val="009510C8"/>
    <w:rsid w:val="0095143E"/>
    <w:rsid w:val="0095218E"/>
    <w:rsid w:val="0095249A"/>
    <w:rsid w:val="0095328C"/>
    <w:rsid w:val="00953C6B"/>
    <w:rsid w:val="00955825"/>
    <w:rsid w:val="00955840"/>
    <w:rsid w:val="009559A4"/>
    <w:rsid w:val="00955E8F"/>
    <w:rsid w:val="0095667A"/>
    <w:rsid w:val="00956B0C"/>
    <w:rsid w:val="0095701C"/>
    <w:rsid w:val="00960E37"/>
    <w:rsid w:val="009616AD"/>
    <w:rsid w:val="0096229B"/>
    <w:rsid w:val="00962C98"/>
    <w:rsid w:val="0096355D"/>
    <w:rsid w:val="009645CC"/>
    <w:rsid w:val="00967190"/>
    <w:rsid w:val="009671A4"/>
    <w:rsid w:val="0096792E"/>
    <w:rsid w:val="0097046E"/>
    <w:rsid w:val="00970CFB"/>
    <w:rsid w:val="00971034"/>
    <w:rsid w:val="0097115F"/>
    <w:rsid w:val="00971E06"/>
    <w:rsid w:val="009723F2"/>
    <w:rsid w:val="0097588F"/>
    <w:rsid w:val="009759BA"/>
    <w:rsid w:val="0097663B"/>
    <w:rsid w:val="00976768"/>
    <w:rsid w:val="0098010F"/>
    <w:rsid w:val="00980F63"/>
    <w:rsid w:val="0098274E"/>
    <w:rsid w:val="0098305F"/>
    <w:rsid w:val="00984F7A"/>
    <w:rsid w:val="00985427"/>
    <w:rsid w:val="009911C7"/>
    <w:rsid w:val="009918DA"/>
    <w:rsid w:val="00992A56"/>
    <w:rsid w:val="00992CBA"/>
    <w:rsid w:val="00992D46"/>
    <w:rsid w:val="00993E82"/>
    <w:rsid w:val="009947B3"/>
    <w:rsid w:val="00994F82"/>
    <w:rsid w:val="0099547F"/>
    <w:rsid w:val="009959B5"/>
    <w:rsid w:val="00997C23"/>
    <w:rsid w:val="009A2084"/>
    <w:rsid w:val="009A36E1"/>
    <w:rsid w:val="009A3B78"/>
    <w:rsid w:val="009A3C82"/>
    <w:rsid w:val="009A4F16"/>
    <w:rsid w:val="009A6BAF"/>
    <w:rsid w:val="009A6D28"/>
    <w:rsid w:val="009A753F"/>
    <w:rsid w:val="009A7D9E"/>
    <w:rsid w:val="009A7F45"/>
    <w:rsid w:val="009B07B0"/>
    <w:rsid w:val="009B102F"/>
    <w:rsid w:val="009B3915"/>
    <w:rsid w:val="009B3D4E"/>
    <w:rsid w:val="009B4515"/>
    <w:rsid w:val="009B4D9D"/>
    <w:rsid w:val="009B4DEA"/>
    <w:rsid w:val="009B4ECC"/>
    <w:rsid w:val="009B5067"/>
    <w:rsid w:val="009B56A8"/>
    <w:rsid w:val="009B5DE0"/>
    <w:rsid w:val="009B5E75"/>
    <w:rsid w:val="009B69A7"/>
    <w:rsid w:val="009B6CBA"/>
    <w:rsid w:val="009B7E09"/>
    <w:rsid w:val="009B7F9D"/>
    <w:rsid w:val="009C055E"/>
    <w:rsid w:val="009C11E4"/>
    <w:rsid w:val="009C21D3"/>
    <w:rsid w:val="009C28C9"/>
    <w:rsid w:val="009C33AE"/>
    <w:rsid w:val="009C3EFC"/>
    <w:rsid w:val="009C4362"/>
    <w:rsid w:val="009C468E"/>
    <w:rsid w:val="009D0134"/>
    <w:rsid w:val="009D11FE"/>
    <w:rsid w:val="009D2A31"/>
    <w:rsid w:val="009D4371"/>
    <w:rsid w:val="009D71D0"/>
    <w:rsid w:val="009D753D"/>
    <w:rsid w:val="009D7C12"/>
    <w:rsid w:val="009E0153"/>
    <w:rsid w:val="009E0175"/>
    <w:rsid w:val="009E15AE"/>
    <w:rsid w:val="009E1AEE"/>
    <w:rsid w:val="009E2B36"/>
    <w:rsid w:val="009E3F5E"/>
    <w:rsid w:val="009E5AFD"/>
    <w:rsid w:val="009E5F44"/>
    <w:rsid w:val="009E6803"/>
    <w:rsid w:val="009F10E2"/>
    <w:rsid w:val="009F38DB"/>
    <w:rsid w:val="009F3E65"/>
    <w:rsid w:val="009F5613"/>
    <w:rsid w:val="009F65C0"/>
    <w:rsid w:val="009F65CB"/>
    <w:rsid w:val="00A006DC"/>
    <w:rsid w:val="00A00870"/>
    <w:rsid w:val="00A02220"/>
    <w:rsid w:val="00A026C9"/>
    <w:rsid w:val="00A02AC2"/>
    <w:rsid w:val="00A0348E"/>
    <w:rsid w:val="00A03AE1"/>
    <w:rsid w:val="00A03B79"/>
    <w:rsid w:val="00A045B5"/>
    <w:rsid w:val="00A048D5"/>
    <w:rsid w:val="00A04DE0"/>
    <w:rsid w:val="00A05A9A"/>
    <w:rsid w:val="00A06644"/>
    <w:rsid w:val="00A06A1F"/>
    <w:rsid w:val="00A0770B"/>
    <w:rsid w:val="00A077E8"/>
    <w:rsid w:val="00A07E16"/>
    <w:rsid w:val="00A1001C"/>
    <w:rsid w:val="00A10F2F"/>
    <w:rsid w:val="00A11CE7"/>
    <w:rsid w:val="00A12A12"/>
    <w:rsid w:val="00A13346"/>
    <w:rsid w:val="00A13A1F"/>
    <w:rsid w:val="00A13DD5"/>
    <w:rsid w:val="00A14344"/>
    <w:rsid w:val="00A14C67"/>
    <w:rsid w:val="00A1520B"/>
    <w:rsid w:val="00A154EC"/>
    <w:rsid w:val="00A17DC3"/>
    <w:rsid w:val="00A17FFD"/>
    <w:rsid w:val="00A21F8F"/>
    <w:rsid w:val="00A22A0D"/>
    <w:rsid w:val="00A2396B"/>
    <w:rsid w:val="00A24FE4"/>
    <w:rsid w:val="00A2528A"/>
    <w:rsid w:val="00A253C4"/>
    <w:rsid w:val="00A25A75"/>
    <w:rsid w:val="00A25BAD"/>
    <w:rsid w:val="00A266B3"/>
    <w:rsid w:val="00A2703F"/>
    <w:rsid w:val="00A27462"/>
    <w:rsid w:val="00A301EB"/>
    <w:rsid w:val="00A3046A"/>
    <w:rsid w:val="00A30981"/>
    <w:rsid w:val="00A318F0"/>
    <w:rsid w:val="00A31E54"/>
    <w:rsid w:val="00A31E77"/>
    <w:rsid w:val="00A32328"/>
    <w:rsid w:val="00A32A92"/>
    <w:rsid w:val="00A3461D"/>
    <w:rsid w:val="00A34816"/>
    <w:rsid w:val="00A348D7"/>
    <w:rsid w:val="00A35FE6"/>
    <w:rsid w:val="00A368F8"/>
    <w:rsid w:val="00A36B4C"/>
    <w:rsid w:val="00A3746D"/>
    <w:rsid w:val="00A40BBB"/>
    <w:rsid w:val="00A40D13"/>
    <w:rsid w:val="00A42DEC"/>
    <w:rsid w:val="00A43A02"/>
    <w:rsid w:val="00A44C11"/>
    <w:rsid w:val="00A45797"/>
    <w:rsid w:val="00A458C4"/>
    <w:rsid w:val="00A45D7F"/>
    <w:rsid w:val="00A466E6"/>
    <w:rsid w:val="00A468F8"/>
    <w:rsid w:val="00A469A6"/>
    <w:rsid w:val="00A501B9"/>
    <w:rsid w:val="00A50844"/>
    <w:rsid w:val="00A50875"/>
    <w:rsid w:val="00A5097E"/>
    <w:rsid w:val="00A530AE"/>
    <w:rsid w:val="00A54B3B"/>
    <w:rsid w:val="00A54F84"/>
    <w:rsid w:val="00A552C7"/>
    <w:rsid w:val="00A556F1"/>
    <w:rsid w:val="00A557FF"/>
    <w:rsid w:val="00A56001"/>
    <w:rsid w:val="00A56361"/>
    <w:rsid w:val="00A56A36"/>
    <w:rsid w:val="00A5725F"/>
    <w:rsid w:val="00A60BC5"/>
    <w:rsid w:val="00A6122E"/>
    <w:rsid w:val="00A61DE4"/>
    <w:rsid w:val="00A6223F"/>
    <w:rsid w:val="00A6306C"/>
    <w:rsid w:val="00A630C2"/>
    <w:rsid w:val="00A63115"/>
    <w:rsid w:val="00A63256"/>
    <w:rsid w:val="00A637D0"/>
    <w:rsid w:val="00A66398"/>
    <w:rsid w:val="00A6673F"/>
    <w:rsid w:val="00A6676E"/>
    <w:rsid w:val="00A72312"/>
    <w:rsid w:val="00A72521"/>
    <w:rsid w:val="00A7313E"/>
    <w:rsid w:val="00A748B6"/>
    <w:rsid w:val="00A749E2"/>
    <w:rsid w:val="00A74BB4"/>
    <w:rsid w:val="00A75B2D"/>
    <w:rsid w:val="00A75F5B"/>
    <w:rsid w:val="00A76A26"/>
    <w:rsid w:val="00A77243"/>
    <w:rsid w:val="00A77B93"/>
    <w:rsid w:val="00A80D15"/>
    <w:rsid w:val="00A81DE0"/>
    <w:rsid w:val="00A85369"/>
    <w:rsid w:val="00A875C7"/>
    <w:rsid w:val="00A91286"/>
    <w:rsid w:val="00A92435"/>
    <w:rsid w:val="00A931B9"/>
    <w:rsid w:val="00A94DC7"/>
    <w:rsid w:val="00A9528E"/>
    <w:rsid w:val="00A96AD7"/>
    <w:rsid w:val="00A974DD"/>
    <w:rsid w:val="00AA0447"/>
    <w:rsid w:val="00AA04E1"/>
    <w:rsid w:val="00AA146D"/>
    <w:rsid w:val="00AA170B"/>
    <w:rsid w:val="00AA23BD"/>
    <w:rsid w:val="00AA2C78"/>
    <w:rsid w:val="00AA4BF2"/>
    <w:rsid w:val="00AA6777"/>
    <w:rsid w:val="00AB2167"/>
    <w:rsid w:val="00AB39BD"/>
    <w:rsid w:val="00AB4301"/>
    <w:rsid w:val="00AB583A"/>
    <w:rsid w:val="00AC019E"/>
    <w:rsid w:val="00AC0F22"/>
    <w:rsid w:val="00AC2637"/>
    <w:rsid w:val="00AC27CC"/>
    <w:rsid w:val="00AC2E15"/>
    <w:rsid w:val="00AC3303"/>
    <w:rsid w:val="00AC3CFB"/>
    <w:rsid w:val="00AC3D98"/>
    <w:rsid w:val="00AC6448"/>
    <w:rsid w:val="00AC6CA2"/>
    <w:rsid w:val="00AC6DA5"/>
    <w:rsid w:val="00AC73E3"/>
    <w:rsid w:val="00AD0A9B"/>
    <w:rsid w:val="00AD2133"/>
    <w:rsid w:val="00AD22F1"/>
    <w:rsid w:val="00AD3078"/>
    <w:rsid w:val="00AD31EB"/>
    <w:rsid w:val="00AD36DF"/>
    <w:rsid w:val="00AD3A03"/>
    <w:rsid w:val="00AD498D"/>
    <w:rsid w:val="00AD51AB"/>
    <w:rsid w:val="00AD554B"/>
    <w:rsid w:val="00AD6999"/>
    <w:rsid w:val="00AD6A3D"/>
    <w:rsid w:val="00AD721F"/>
    <w:rsid w:val="00AE127B"/>
    <w:rsid w:val="00AE1825"/>
    <w:rsid w:val="00AE2003"/>
    <w:rsid w:val="00AE2885"/>
    <w:rsid w:val="00AE2EBC"/>
    <w:rsid w:val="00AE3753"/>
    <w:rsid w:val="00AE377B"/>
    <w:rsid w:val="00AE425D"/>
    <w:rsid w:val="00AE490C"/>
    <w:rsid w:val="00AE52F9"/>
    <w:rsid w:val="00AE5B18"/>
    <w:rsid w:val="00AE666A"/>
    <w:rsid w:val="00AE6A34"/>
    <w:rsid w:val="00AE701A"/>
    <w:rsid w:val="00AE7F09"/>
    <w:rsid w:val="00AF0E44"/>
    <w:rsid w:val="00AF1305"/>
    <w:rsid w:val="00AF18C9"/>
    <w:rsid w:val="00AF1B5D"/>
    <w:rsid w:val="00AF3AC9"/>
    <w:rsid w:val="00AF4935"/>
    <w:rsid w:val="00AF5D9A"/>
    <w:rsid w:val="00AF62C0"/>
    <w:rsid w:val="00AF6D5C"/>
    <w:rsid w:val="00B03857"/>
    <w:rsid w:val="00B0565B"/>
    <w:rsid w:val="00B057C4"/>
    <w:rsid w:val="00B05C8B"/>
    <w:rsid w:val="00B070AE"/>
    <w:rsid w:val="00B10328"/>
    <w:rsid w:val="00B10C6B"/>
    <w:rsid w:val="00B10F29"/>
    <w:rsid w:val="00B12169"/>
    <w:rsid w:val="00B13B40"/>
    <w:rsid w:val="00B1400C"/>
    <w:rsid w:val="00B1411B"/>
    <w:rsid w:val="00B146D7"/>
    <w:rsid w:val="00B1501E"/>
    <w:rsid w:val="00B1555D"/>
    <w:rsid w:val="00B15C8F"/>
    <w:rsid w:val="00B1602A"/>
    <w:rsid w:val="00B1679E"/>
    <w:rsid w:val="00B167C1"/>
    <w:rsid w:val="00B1763E"/>
    <w:rsid w:val="00B17D21"/>
    <w:rsid w:val="00B17E48"/>
    <w:rsid w:val="00B22732"/>
    <w:rsid w:val="00B23262"/>
    <w:rsid w:val="00B236FD"/>
    <w:rsid w:val="00B25A38"/>
    <w:rsid w:val="00B25ACD"/>
    <w:rsid w:val="00B26C08"/>
    <w:rsid w:val="00B30720"/>
    <w:rsid w:val="00B314F8"/>
    <w:rsid w:val="00B31782"/>
    <w:rsid w:val="00B32455"/>
    <w:rsid w:val="00B3267D"/>
    <w:rsid w:val="00B341AC"/>
    <w:rsid w:val="00B342EC"/>
    <w:rsid w:val="00B34E15"/>
    <w:rsid w:val="00B363EC"/>
    <w:rsid w:val="00B36826"/>
    <w:rsid w:val="00B416F3"/>
    <w:rsid w:val="00B4419E"/>
    <w:rsid w:val="00B44B42"/>
    <w:rsid w:val="00B44CA1"/>
    <w:rsid w:val="00B44CFD"/>
    <w:rsid w:val="00B50374"/>
    <w:rsid w:val="00B517AC"/>
    <w:rsid w:val="00B52C5B"/>
    <w:rsid w:val="00B545C8"/>
    <w:rsid w:val="00B55416"/>
    <w:rsid w:val="00B56AE7"/>
    <w:rsid w:val="00B577DA"/>
    <w:rsid w:val="00B57870"/>
    <w:rsid w:val="00B603A7"/>
    <w:rsid w:val="00B62C96"/>
    <w:rsid w:val="00B6439F"/>
    <w:rsid w:val="00B6446D"/>
    <w:rsid w:val="00B647B8"/>
    <w:rsid w:val="00B64A8D"/>
    <w:rsid w:val="00B66A12"/>
    <w:rsid w:val="00B70D6D"/>
    <w:rsid w:val="00B70F0E"/>
    <w:rsid w:val="00B71BCE"/>
    <w:rsid w:val="00B72367"/>
    <w:rsid w:val="00B72AAF"/>
    <w:rsid w:val="00B72E5B"/>
    <w:rsid w:val="00B73C43"/>
    <w:rsid w:val="00B7482E"/>
    <w:rsid w:val="00B74925"/>
    <w:rsid w:val="00B74E00"/>
    <w:rsid w:val="00B75811"/>
    <w:rsid w:val="00B76600"/>
    <w:rsid w:val="00B7778A"/>
    <w:rsid w:val="00B80F2C"/>
    <w:rsid w:val="00B84420"/>
    <w:rsid w:val="00B848AF"/>
    <w:rsid w:val="00B84F2A"/>
    <w:rsid w:val="00B8532E"/>
    <w:rsid w:val="00B8562D"/>
    <w:rsid w:val="00B85782"/>
    <w:rsid w:val="00B85978"/>
    <w:rsid w:val="00B86722"/>
    <w:rsid w:val="00B87B04"/>
    <w:rsid w:val="00B9042F"/>
    <w:rsid w:val="00B92BA2"/>
    <w:rsid w:val="00B92D70"/>
    <w:rsid w:val="00B9319A"/>
    <w:rsid w:val="00B932F4"/>
    <w:rsid w:val="00B936E8"/>
    <w:rsid w:val="00B9388F"/>
    <w:rsid w:val="00B93A61"/>
    <w:rsid w:val="00B942D9"/>
    <w:rsid w:val="00B949E4"/>
    <w:rsid w:val="00B9530F"/>
    <w:rsid w:val="00B959EE"/>
    <w:rsid w:val="00B97A39"/>
    <w:rsid w:val="00BA0438"/>
    <w:rsid w:val="00BA1333"/>
    <w:rsid w:val="00BA15C8"/>
    <w:rsid w:val="00BA46DE"/>
    <w:rsid w:val="00BA5003"/>
    <w:rsid w:val="00BA610A"/>
    <w:rsid w:val="00BA68C5"/>
    <w:rsid w:val="00BA721B"/>
    <w:rsid w:val="00BA74F6"/>
    <w:rsid w:val="00BA7614"/>
    <w:rsid w:val="00BA7DE4"/>
    <w:rsid w:val="00BB0466"/>
    <w:rsid w:val="00BB324A"/>
    <w:rsid w:val="00BB343F"/>
    <w:rsid w:val="00BB3638"/>
    <w:rsid w:val="00BB428D"/>
    <w:rsid w:val="00BB473E"/>
    <w:rsid w:val="00BB6284"/>
    <w:rsid w:val="00BB6E6C"/>
    <w:rsid w:val="00BB7320"/>
    <w:rsid w:val="00BC00D9"/>
    <w:rsid w:val="00BC1DDD"/>
    <w:rsid w:val="00BC39BC"/>
    <w:rsid w:val="00BC4220"/>
    <w:rsid w:val="00BC4CA0"/>
    <w:rsid w:val="00BC7ECE"/>
    <w:rsid w:val="00BD387A"/>
    <w:rsid w:val="00BD4BEC"/>
    <w:rsid w:val="00BD6213"/>
    <w:rsid w:val="00BD62D4"/>
    <w:rsid w:val="00BD68C9"/>
    <w:rsid w:val="00BD6A80"/>
    <w:rsid w:val="00BE0219"/>
    <w:rsid w:val="00BE0B90"/>
    <w:rsid w:val="00BE0C9C"/>
    <w:rsid w:val="00BE1342"/>
    <w:rsid w:val="00BE16E8"/>
    <w:rsid w:val="00BE18CF"/>
    <w:rsid w:val="00BE1DC6"/>
    <w:rsid w:val="00BE2273"/>
    <w:rsid w:val="00BE2B58"/>
    <w:rsid w:val="00BE3111"/>
    <w:rsid w:val="00BE4DA9"/>
    <w:rsid w:val="00BE5406"/>
    <w:rsid w:val="00BE5691"/>
    <w:rsid w:val="00BE69F2"/>
    <w:rsid w:val="00BE6BBA"/>
    <w:rsid w:val="00BE7DAC"/>
    <w:rsid w:val="00BF00B2"/>
    <w:rsid w:val="00BF01C4"/>
    <w:rsid w:val="00BF25AD"/>
    <w:rsid w:val="00BF26C8"/>
    <w:rsid w:val="00BF2F13"/>
    <w:rsid w:val="00BF497B"/>
    <w:rsid w:val="00BF7263"/>
    <w:rsid w:val="00BF79E0"/>
    <w:rsid w:val="00BF7FF3"/>
    <w:rsid w:val="00C002B5"/>
    <w:rsid w:val="00C00E22"/>
    <w:rsid w:val="00C01971"/>
    <w:rsid w:val="00C01D82"/>
    <w:rsid w:val="00C01E23"/>
    <w:rsid w:val="00C023C5"/>
    <w:rsid w:val="00C039B1"/>
    <w:rsid w:val="00C07A4E"/>
    <w:rsid w:val="00C113D8"/>
    <w:rsid w:val="00C139CE"/>
    <w:rsid w:val="00C13EB9"/>
    <w:rsid w:val="00C1422F"/>
    <w:rsid w:val="00C14723"/>
    <w:rsid w:val="00C151E6"/>
    <w:rsid w:val="00C161EC"/>
    <w:rsid w:val="00C16838"/>
    <w:rsid w:val="00C17833"/>
    <w:rsid w:val="00C2081D"/>
    <w:rsid w:val="00C20CF8"/>
    <w:rsid w:val="00C22590"/>
    <w:rsid w:val="00C22965"/>
    <w:rsid w:val="00C2303C"/>
    <w:rsid w:val="00C2363F"/>
    <w:rsid w:val="00C236B5"/>
    <w:rsid w:val="00C23855"/>
    <w:rsid w:val="00C24EC8"/>
    <w:rsid w:val="00C27996"/>
    <w:rsid w:val="00C27EDB"/>
    <w:rsid w:val="00C315DE"/>
    <w:rsid w:val="00C32089"/>
    <w:rsid w:val="00C32D0A"/>
    <w:rsid w:val="00C331AC"/>
    <w:rsid w:val="00C34C47"/>
    <w:rsid w:val="00C36758"/>
    <w:rsid w:val="00C367AD"/>
    <w:rsid w:val="00C370B6"/>
    <w:rsid w:val="00C41D52"/>
    <w:rsid w:val="00C42673"/>
    <w:rsid w:val="00C426F7"/>
    <w:rsid w:val="00C45094"/>
    <w:rsid w:val="00C45507"/>
    <w:rsid w:val="00C467DB"/>
    <w:rsid w:val="00C47058"/>
    <w:rsid w:val="00C50862"/>
    <w:rsid w:val="00C50C02"/>
    <w:rsid w:val="00C51263"/>
    <w:rsid w:val="00C515CA"/>
    <w:rsid w:val="00C51A3A"/>
    <w:rsid w:val="00C51C1C"/>
    <w:rsid w:val="00C51E29"/>
    <w:rsid w:val="00C51F9D"/>
    <w:rsid w:val="00C5278E"/>
    <w:rsid w:val="00C5405D"/>
    <w:rsid w:val="00C55C4B"/>
    <w:rsid w:val="00C55C5B"/>
    <w:rsid w:val="00C55E28"/>
    <w:rsid w:val="00C570E1"/>
    <w:rsid w:val="00C574FD"/>
    <w:rsid w:val="00C577CF"/>
    <w:rsid w:val="00C60983"/>
    <w:rsid w:val="00C61103"/>
    <w:rsid w:val="00C61230"/>
    <w:rsid w:val="00C618C4"/>
    <w:rsid w:val="00C6190A"/>
    <w:rsid w:val="00C61B88"/>
    <w:rsid w:val="00C61BF4"/>
    <w:rsid w:val="00C621C1"/>
    <w:rsid w:val="00C62750"/>
    <w:rsid w:val="00C62FE6"/>
    <w:rsid w:val="00C63BCA"/>
    <w:rsid w:val="00C655D5"/>
    <w:rsid w:val="00C666C2"/>
    <w:rsid w:val="00C67D92"/>
    <w:rsid w:val="00C67FC9"/>
    <w:rsid w:val="00C70143"/>
    <w:rsid w:val="00C72F83"/>
    <w:rsid w:val="00C74042"/>
    <w:rsid w:val="00C74F78"/>
    <w:rsid w:val="00C75A49"/>
    <w:rsid w:val="00C75BD2"/>
    <w:rsid w:val="00C75D8A"/>
    <w:rsid w:val="00C7691E"/>
    <w:rsid w:val="00C774E8"/>
    <w:rsid w:val="00C80064"/>
    <w:rsid w:val="00C80A49"/>
    <w:rsid w:val="00C80D66"/>
    <w:rsid w:val="00C81841"/>
    <w:rsid w:val="00C825A2"/>
    <w:rsid w:val="00C851BC"/>
    <w:rsid w:val="00C87AB3"/>
    <w:rsid w:val="00C87BAB"/>
    <w:rsid w:val="00C90FA9"/>
    <w:rsid w:val="00C91835"/>
    <w:rsid w:val="00C91B4C"/>
    <w:rsid w:val="00C91E9D"/>
    <w:rsid w:val="00C9336E"/>
    <w:rsid w:val="00C93816"/>
    <w:rsid w:val="00C93BC6"/>
    <w:rsid w:val="00C94209"/>
    <w:rsid w:val="00C9591D"/>
    <w:rsid w:val="00C95E25"/>
    <w:rsid w:val="00C969DD"/>
    <w:rsid w:val="00C96BD2"/>
    <w:rsid w:val="00C9713B"/>
    <w:rsid w:val="00CA07D3"/>
    <w:rsid w:val="00CA2015"/>
    <w:rsid w:val="00CA3E5B"/>
    <w:rsid w:val="00CA58C0"/>
    <w:rsid w:val="00CA5F7C"/>
    <w:rsid w:val="00CA6947"/>
    <w:rsid w:val="00CA7EA7"/>
    <w:rsid w:val="00CB0786"/>
    <w:rsid w:val="00CB1C3E"/>
    <w:rsid w:val="00CB38E2"/>
    <w:rsid w:val="00CB4091"/>
    <w:rsid w:val="00CB4A96"/>
    <w:rsid w:val="00CB5419"/>
    <w:rsid w:val="00CB5A2F"/>
    <w:rsid w:val="00CB5DD7"/>
    <w:rsid w:val="00CB5E38"/>
    <w:rsid w:val="00CB6351"/>
    <w:rsid w:val="00CB6370"/>
    <w:rsid w:val="00CB65E2"/>
    <w:rsid w:val="00CB6627"/>
    <w:rsid w:val="00CC0375"/>
    <w:rsid w:val="00CC0556"/>
    <w:rsid w:val="00CC13CE"/>
    <w:rsid w:val="00CC2DE8"/>
    <w:rsid w:val="00CC33CA"/>
    <w:rsid w:val="00CC5FCD"/>
    <w:rsid w:val="00CC6795"/>
    <w:rsid w:val="00CD0540"/>
    <w:rsid w:val="00CD05DE"/>
    <w:rsid w:val="00CD06B8"/>
    <w:rsid w:val="00CD26B1"/>
    <w:rsid w:val="00CD3038"/>
    <w:rsid w:val="00CD33F2"/>
    <w:rsid w:val="00CD4195"/>
    <w:rsid w:val="00CD4779"/>
    <w:rsid w:val="00CD55FE"/>
    <w:rsid w:val="00CD710F"/>
    <w:rsid w:val="00CE16D0"/>
    <w:rsid w:val="00CE2B43"/>
    <w:rsid w:val="00CE43BF"/>
    <w:rsid w:val="00CE461C"/>
    <w:rsid w:val="00CE473D"/>
    <w:rsid w:val="00CE558F"/>
    <w:rsid w:val="00CE6C0E"/>
    <w:rsid w:val="00CE7190"/>
    <w:rsid w:val="00CE7386"/>
    <w:rsid w:val="00CE7B33"/>
    <w:rsid w:val="00CF012B"/>
    <w:rsid w:val="00CF0BBC"/>
    <w:rsid w:val="00CF2022"/>
    <w:rsid w:val="00CF22E7"/>
    <w:rsid w:val="00CF2FB3"/>
    <w:rsid w:val="00CF3328"/>
    <w:rsid w:val="00CF3901"/>
    <w:rsid w:val="00CF3F3E"/>
    <w:rsid w:val="00CF4648"/>
    <w:rsid w:val="00CF4F83"/>
    <w:rsid w:val="00CF57FE"/>
    <w:rsid w:val="00CF60C2"/>
    <w:rsid w:val="00CF67E6"/>
    <w:rsid w:val="00CF685D"/>
    <w:rsid w:val="00D001F6"/>
    <w:rsid w:val="00D009DC"/>
    <w:rsid w:val="00D01657"/>
    <w:rsid w:val="00D02105"/>
    <w:rsid w:val="00D02F35"/>
    <w:rsid w:val="00D03803"/>
    <w:rsid w:val="00D046B2"/>
    <w:rsid w:val="00D04AA2"/>
    <w:rsid w:val="00D05029"/>
    <w:rsid w:val="00D064CF"/>
    <w:rsid w:val="00D066A4"/>
    <w:rsid w:val="00D07903"/>
    <w:rsid w:val="00D07940"/>
    <w:rsid w:val="00D07D40"/>
    <w:rsid w:val="00D07E7E"/>
    <w:rsid w:val="00D11AD8"/>
    <w:rsid w:val="00D1208E"/>
    <w:rsid w:val="00D12576"/>
    <w:rsid w:val="00D13DE9"/>
    <w:rsid w:val="00D148C1"/>
    <w:rsid w:val="00D14F29"/>
    <w:rsid w:val="00D15899"/>
    <w:rsid w:val="00D1796F"/>
    <w:rsid w:val="00D21B5D"/>
    <w:rsid w:val="00D22888"/>
    <w:rsid w:val="00D228BB"/>
    <w:rsid w:val="00D23040"/>
    <w:rsid w:val="00D2435F"/>
    <w:rsid w:val="00D24D31"/>
    <w:rsid w:val="00D253D9"/>
    <w:rsid w:val="00D27061"/>
    <w:rsid w:val="00D30AF6"/>
    <w:rsid w:val="00D317C5"/>
    <w:rsid w:val="00D330CF"/>
    <w:rsid w:val="00D33DE0"/>
    <w:rsid w:val="00D34C16"/>
    <w:rsid w:val="00D35487"/>
    <w:rsid w:val="00D3636C"/>
    <w:rsid w:val="00D37BBD"/>
    <w:rsid w:val="00D37E44"/>
    <w:rsid w:val="00D405B3"/>
    <w:rsid w:val="00D4154B"/>
    <w:rsid w:val="00D42311"/>
    <w:rsid w:val="00D42434"/>
    <w:rsid w:val="00D43F89"/>
    <w:rsid w:val="00D44EA3"/>
    <w:rsid w:val="00D454A0"/>
    <w:rsid w:val="00D4581C"/>
    <w:rsid w:val="00D45AAA"/>
    <w:rsid w:val="00D46A25"/>
    <w:rsid w:val="00D47460"/>
    <w:rsid w:val="00D475AA"/>
    <w:rsid w:val="00D479DD"/>
    <w:rsid w:val="00D50EF1"/>
    <w:rsid w:val="00D511B2"/>
    <w:rsid w:val="00D51F14"/>
    <w:rsid w:val="00D520A0"/>
    <w:rsid w:val="00D570A2"/>
    <w:rsid w:val="00D571B7"/>
    <w:rsid w:val="00D60DFA"/>
    <w:rsid w:val="00D61CF5"/>
    <w:rsid w:val="00D65A81"/>
    <w:rsid w:val="00D67E56"/>
    <w:rsid w:val="00D72641"/>
    <w:rsid w:val="00D72721"/>
    <w:rsid w:val="00D731FF"/>
    <w:rsid w:val="00D73BBE"/>
    <w:rsid w:val="00D73E7E"/>
    <w:rsid w:val="00D74461"/>
    <w:rsid w:val="00D74CFD"/>
    <w:rsid w:val="00D764CC"/>
    <w:rsid w:val="00D76A12"/>
    <w:rsid w:val="00D77C0A"/>
    <w:rsid w:val="00D8034D"/>
    <w:rsid w:val="00D80BBB"/>
    <w:rsid w:val="00D80F93"/>
    <w:rsid w:val="00D81798"/>
    <w:rsid w:val="00D81AB2"/>
    <w:rsid w:val="00D83DD7"/>
    <w:rsid w:val="00D84393"/>
    <w:rsid w:val="00D85F38"/>
    <w:rsid w:val="00D85F7C"/>
    <w:rsid w:val="00D86A8F"/>
    <w:rsid w:val="00D86B3C"/>
    <w:rsid w:val="00D8715C"/>
    <w:rsid w:val="00D87AA6"/>
    <w:rsid w:val="00D87D38"/>
    <w:rsid w:val="00D90144"/>
    <w:rsid w:val="00D90D43"/>
    <w:rsid w:val="00D91615"/>
    <w:rsid w:val="00D91BFD"/>
    <w:rsid w:val="00D936C2"/>
    <w:rsid w:val="00D937AD"/>
    <w:rsid w:val="00D94C22"/>
    <w:rsid w:val="00D94F9E"/>
    <w:rsid w:val="00D954AF"/>
    <w:rsid w:val="00D9557C"/>
    <w:rsid w:val="00DA2A20"/>
    <w:rsid w:val="00DA3641"/>
    <w:rsid w:val="00DA3A70"/>
    <w:rsid w:val="00DA3A9F"/>
    <w:rsid w:val="00DA42C4"/>
    <w:rsid w:val="00DA4A1B"/>
    <w:rsid w:val="00DA641D"/>
    <w:rsid w:val="00DA64F0"/>
    <w:rsid w:val="00DA6567"/>
    <w:rsid w:val="00DA6688"/>
    <w:rsid w:val="00DA668E"/>
    <w:rsid w:val="00DA750C"/>
    <w:rsid w:val="00DA756E"/>
    <w:rsid w:val="00DB032F"/>
    <w:rsid w:val="00DB1802"/>
    <w:rsid w:val="00DB2543"/>
    <w:rsid w:val="00DB4BDC"/>
    <w:rsid w:val="00DB561D"/>
    <w:rsid w:val="00DC0512"/>
    <w:rsid w:val="00DC1733"/>
    <w:rsid w:val="00DC1B58"/>
    <w:rsid w:val="00DC2B07"/>
    <w:rsid w:val="00DC3086"/>
    <w:rsid w:val="00DC33CE"/>
    <w:rsid w:val="00DC37DB"/>
    <w:rsid w:val="00DC4E2F"/>
    <w:rsid w:val="00DC4EAD"/>
    <w:rsid w:val="00DC5312"/>
    <w:rsid w:val="00DC5695"/>
    <w:rsid w:val="00DC5A74"/>
    <w:rsid w:val="00DC75D6"/>
    <w:rsid w:val="00DC79C4"/>
    <w:rsid w:val="00DD0582"/>
    <w:rsid w:val="00DD11C0"/>
    <w:rsid w:val="00DD1CF1"/>
    <w:rsid w:val="00DD23DD"/>
    <w:rsid w:val="00DD23EF"/>
    <w:rsid w:val="00DD4D39"/>
    <w:rsid w:val="00DD500F"/>
    <w:rsid w:val="00DD5A99"/>
    <w:rsid w:val="00DD67CB"/>
    <w:rsid w:val="00DD727F"/>
    <w:rsid w:val="00DD7432"/>
    <w:rsid w:val="00DD7B0A"/>
    <w:rsid w:val="00DE011E"/>
    <w:rsid w:val="00DE274B"/>
    <w:rsid w:val="00DE27E7"/>
    <w:rsid w:val="00DE37FE"/>
    <w:rsid w:val="00DE3965"/>
    <w:rsid w:val="00DE457B"/>
    <w:rsid w:val="00DE4E4A"/>
    <w:rsid w:val="00DE5984"/>
    <w:rsid w:val="00DE6662"/>
    <w:rsid w:val="00DE79B7"/>
    <w:rsid w:val="00DF07FF"/>
    <w:rsid w:val="00DF09C3"/>
    <w:rsid w:val="00DF1C9B"/>
    <w:rsid w:val="00DF228D"/>
    <w:rsid w:val="00DF2695"/>
    <w:rsid w:val="00DF3AE8"/>
    <w:rsid w:val="00DF3CBC"/>
    <w:rsid w:val="00DF4C06"/>
    <w:rsid w:val="00DF5030"/>
    <w:rsid w:val="00DF56BA"/>
    <w:rsid w:val="00DF6261"/>
    <w:rsid w:val="00DF6A18"/>
    <w:rsid w:val="00DF787E"/>
    <w:rsid w:val="00DF7D75"/>
    <w:rsid w:val="00DF7F13"/>
    <w:rsid w:val="00E0184B"/>
    <w:rsid w:val="00E02006"/>
    <w:rsid w:val="00E0213F"/>
    <w:rsid w:val="00E02857"/>
    <w:rsid w:val="00E028F2"/>
    <w:rsid w:val="00E029AD"/>
    <w:rsid w:val="00E048DC"/>
    <w:rsid w:val="00E05376"/>
    <w:rsid w:val="00E06E6B"/>
    <w:rsid w:val="00E07250"/>
    <w:rsid w:val="00E07AD2"/>
    <w:rsid w:val="00E10A6A"/>
    <w:rsid w:val="00E10D47"/>
    <w:rsid w:val="00E13D72"/>
    <w:rsid w:val="00E140FC"/>
    <w:rsid w:val="00E147AF"/>
    <w:rsid w:val="00E1539C"/>
    <w:rsid w:val="00E16428"/>
    <w:rsid w:val="00E16B95"/>
    <w:rsid w:val="00E17D3A"/>
    <w:rsid w:val="00E20155"/>
    <w:rsid w:val="00E204A0"/>
    <w:rsid w:val="00E20648"/>
    <w:rsid w:val="00E21201"/>
    <w:rsid w:val="00E216B6"/>
    <w:rsid w:val="00E21E5B"/>
    <w:rsid w:val="00E23799"/>
    <w:rsid w:val="00E23C46"/>
    <w:rsid w:val="00E23F87"/>
    <w:rsid w:val="00E24E16"/>
    <w:rsid w:val="00E27C1E"/>
    <w:rsid w:val="00E30BAE"/>
    <w:rsid w:val="00E30DA2"/>
    <w:rsid w:val="00E311CE"/>
    <w:rsid w:val="00E31363"/>
    <w:rsid w:val="00E31F71"/>
    <w:rsid w:val="00E324EE"/>
    <w:rsid w:val="00E3266F"/>
    <w:rsid w:val="00E34136"/>
    <w:rsid w:val="00E35042"/>
    <w:rsid w:val="00E35E14"/>
    <w:rsid w:val="00E3671D"/>
    <w:rsid w:val="00E374ED"/>
    <w:rsid w:val="00E37E63"/>
    <w:rsid w:val="00E40863"/>
    <w:rsid w:val="00E416A7"/>
    <w:rsid w:val="00E41E34"/>
    <w:rsid w:val="00E41E81"/>
    <w:rsid w:val="00E448F6"/>
    <w:rsid w:val="00E45F4E"/>
    <w:rsid w:val="00E4675A"/>
    <w:rsid w:val="00E46857"/>
    <w:rsid w:val="00E47D81"/>
    <w:rsid w:val="00E50360"/>
    <w:rsid w:val="00E503AE"/>
    <w:rsid w:val="00E50473"/>
    <w:rsid w:val="00E50EDE"/>
    <w:rsid w:val="00E512D7"/>
    <w:rsid w:val="00E5268C"/>
    <w:rsid w:val="00E5396F"/>
    <w:rsid w:val="00E547CF"/>
    <w:rsid w:val="00E5499C"/>
    <w:rsid w:val="00E56278"/>
    <w:rsid w:val="00E56614"/>
    <w:rsid w:val="00E56E57"/>
    <w:rsid w:val="00E5705B"/>
    <w:rsid w:val="00E6041B"/>
    <w:rsid w:val="00E61C18"/>
    <w:rsid w:val="00E622B5"/>
    <w:rsid w:val="00E63283"/>
    <w:rsid w:val="00E639EF"/>
    <w:rsid w:val="00E63DA6"/>
    <w:rsid w:val="00E649A4"/>
    <w:rsid w:val="00E64DBA"/>
    <w:rsid w:val="00E65555"/>
    <w:rsid w:val="00E65949"/>
    <w:rsid w:val="00E66061"/>
    <w:rsid w:val="00E714C5"/>
    <w:rsid w:val="00E71B53"/>
    <w:rsid w:val="00E7304D"/>
    <w:rsid w:val="00E7424A"/>
    <w:rsid w:val="00E75ED1"/>
    <w:rsid w:val="00E76119"/>
    <w:rsid w:val="00E76204"/>
    <w:rsid w:val="00E778F0"/>
    <w:rsid w:val="00E77DE6"/>
    <w:rsid w:val="00E81104"/>
    <w:rsid w:val="00E81B23"/>
    <w:rsid w:val="00E837F6"/>
    <w:rsid w:val="00E83FB0"/>
    <w:rsid w:val="00E843C8"/>
    <w:rsid w:val="00E85254"/>
    <w:rsid w:val="00E866E4"/>
    <w:rsid w:val="00E86DBC"/>
    <w:rsid w:val="00E9013F"/>
    <w:rsid w:val="00E915B2"/>
    <w:rsid w:val="00E91C58"/>
    <w:rsid w:val="00E92DF2"/>
    <w:rsid w:val="00E9421C"/>
    <w:rsid w:val="00E956AE"/>
    <w:rsid w:val="00E958BE"/>
    <w:rsid w:val="00E959D2"/>
    <w:rsid w:val="00EA029A"/>
    <w:rsid w:val="00EA0902"/>
    <w:rsid w:val="00EA0B60"/>
    <w:rsid w:val="00EA11D1"/>
    <w:rsid w:val="00EA1612"/>
    <w:rsid w:val="00EA19A4"/>
    <w:rsid w:val="00EA28DB"/>
    <w:rsid w:val="00EA2C0F"/>
    <w:rsid w:val="00EA2C7C"/>
    <w:rsid w:val="00EA2F04"/>
    <w:rsid w:val="00EA3CA0"/>
    <w:rsid w:val="00EA4519"/>
    <w:rsid w:val="00EA5CA2"/>
    <w:rsid w:val="00EA67A9"/>
    <w:rsid w:val="00EB0455"/>
    <w:rsid w:val="00EB2264"/>
    <w:rsid w:val="00EB31EC"/>
    <w:rsid w:val="00EB3D96"/>
    <w:rsid w:val="00EB5654"/>
    <w:rsid w:val="00EB5EA4"/>
    <w:rsid w:val="00EB61E6"/>
    <w:rsid w:val="00EB6522"/>
    <w:rsid w:val="00EB780B"/>
    <w:rsid w:val="00EB7B4C"/>
    <w:rsid w:val="00EC07BB"/>
    <w:rsid w:val="00EC256D"/>
    <w:rsid w:val="00EC3241"/>
    <w:rsid w:val="00EC346F"/>
    <w:rsid w:val="00EC3F2D"/>
    <w:rsid w:val="00EC6A41"/>
    <w:rsid w:val="00EC7946"/>
    <w:rsid w:val="00ED22F8"/>
    <w:rsid w:val="00ED2ED4"/>
    <w:rsid w:val="00ED43F4"/>
    <w:rsid w:val="00ED502F"/>
    <w:rsid w:val="00ED6724"/>
    <w:rsid w:val="00ED6B83"/>
    <w:rsid w:val="00ED71C4"/>
    <w:rsid w:val="00ED7352"/>
    <w:rsid w:val="00ED7411"/>
    <w:rsid w:val="00EE0255"/>
    <w:rsid w:val="00EE12C9"/>
    <w:rsid w:val="00EE24A3"/>
    <w:rsid w:val="00EE2D0C"/>
    <w:rsid w:val="00EE34DE"/>
    <w:rsid w:val="00EE37D8"/>
    <w:rsid w:val="00EE3A3D"/>
    <w:rsid w:val="00EE3E40"/>
    <w:rsid w:val="00EE4267"/>
    <w:rsid w:val="00EE4D2D"/>
    <w:rsid w:val="00EE6C54"/>
    <w:rsid w:val="00EE7489"/>
    <w:rsid w:val="00EE7BE7"/>
    <w:rsid w:val="00EE7DF8"/>
    <w:rsid w:val="00EF0009"/>
    <w:rsid w:val="00EF1247"/>
    <w:rsid w:val="00EF1FC8"/>
    <w:rsid w:val="00EF2677"/>
    <w:rsid w:val="00EF27CD"/>
    <w:rsid w:val="00EF631E"/>
    <w:rsid w:val="00EF6D45"/>
    <w:rsid w:val="00EF7568"/>
    <w:rsid w:val="00F007F8"/>
    <w:rsid w:val="00F017E1"/>
    <w:rsid w:val="00F01B8D"/>
    <w:rsid w:val="00F028D5"/>
    <w:rsid w:val="00F02C9D"/>
    <w:rsid w:val="00F04377"/>
    <w:rsid w:val="00F0471B"/>
    <w:rsid w:val="00F048EE"/>
    <w:rsid w:val="00F05318"/>
    <w:rsid w:val="00F056C4"/>
    <w:rsid w:val="00F06E9D"/>
    <w:rsid w:val="00F07861"/>
    <w:rsid w:val="00F10790"/>
    <w:rsid w:val="00F10BA7"/>
    <w:rsid w:val="00F112DB"/>
    <w:rsid w:val="00F11576"/>
    <w:rsid w:val="00F12D64"/>
    <w:rsid w:val="00F13CB8"/>
    <w:rsid w:val="00F151A9"/>
    <w:rsid w:val="00F15C41"/>
    <w:rsid w:val="00F15E33"/>
    <w:rsid w:val="00F202E7"/>
    <w:rsid w:val="00F21B89"/>
    <w:rsid w:val="00F22B54"/>
    <w:rsid w:val="00F2495B"/>
    <w:rsid w:val="00F265D2"/>
    <w:rsid w:val="00F300C1"/>
    <w:rsid w:val="00F313E3"/>
    <w:rsid w:val="00F34596"/>
    <w:rsid w:val="00F35473"/>
    <w:rsid w:val="00F40A84"/>
    <w:rsid w:val="00F410E2"/>
    <w:rsid w:val="00F42302"/>
    <w:rsid w:val="00F427CD"/>
    <w:rsid w:val="00F43427"/>
    <w:rsid w:val="00F46F15"/>
    <w:rsid w:val="00F51A34"/>
    <w:rsid w:val="00F522A3"/>
    <w:rsid w:val="00F52412"/>
    <w:rsid w:val="00F5244D"/>
    <w:rsid w:val="00F52889"/>
    <w:rsid w:val="00F530CE"/>
    <w:rsid w:val="00F53E5D"/>
    <w:rsid w:val="00F53F6C"/>
    <w:rsid w:val="00F540A0"/>
    <w:rsid w:val="00F54BC8"/>
    <w:rsid w:val="00F55999"/>
    <w:rsid w:val="00F55F03"/>
    <w:rsid w:val="00F56693"/>
    <w:rsid w:val="00F566F7"/>
    <w:rsid w:val="00F57FAC"/>
    <w:rsid w:val="00F60774"/>
    <w:rsid w:val="00F608DB"/>
    <w:rsid w:val="00F60DD1"/>
    <w:rsid w:val="00F617CF"/>
    <w:rsid w:val="00F6194C"/>
    <w:rsid w:val="00F61AEE"/>
    <w:rsid w:val="00F62E39"/>
    <w:rsid w:val="00F6448D"/>
    <w:rsid w:val="00F64A90"/>
    <w:rsid w:val="00F65F46"/>
    <w:rsid w:val="00F70C7D"/>
    <w:rsid w:val="00F712B7"/>
    <w:rsid w:val="00F712F9"/>
    <w:rsid w:val="00F717A7"/>
    <w:rsid w:val="00F717E6"/>
    <w:rsid w:val="00F71D4F"/>
    <w:rsid w:val="00F73224"/>
    <w:rsid w:val="00F736EA"/>
    <w:rsid w:val="00F74B00"/>
    <w:rsid w:val="00F7588D"/>
    <w:rsid w:val="00F75BF4"/>
    <w:rsid w:val="00F765BE"/>
    <w:rsid w:val="00F7667B"/>
    <w:rsid w:val="00F769A7"/>
    <w:rsid w:val="00F8133C"/>
    <w:rsid w:val="00F81654"/>
    <w:rsid w:val="00F822B9"/>
    <w:rsid w:val="00F83E91"/>
    <w:rsid w:val="00F84284"/>
    <w:rsid w:val="00F844C0"/>
    <w:rsid w:val="00F84AFE"/>
    <w:rsid w:val="00F84C00"/>
    <w:rsid w:val="00F8526B"/>
    <w:rsid w:val="00F85311"/>
    <w:rsid w:val="00F8659E"/>
    <w:rsid w:val="00F8764D"/>
    <w:rsid w:val="00F9080B"/>
    <w:rsid w:val="00F9211C"/>
    <w:rsid w:val="00F92BA1"/>
    <w:rsid w:val="00F9441E"/>
    <w:rsid w:val="00F94694"/>
    <w:rsid w:val="00F94A12"/>
    <w:rsid w:val="00F96180"/>
    <w:rsid w:val="00F965BF"/>
    <w:rsid w:val="00F968B5"/>
    <w:rsid w:val="00F97488"/>
    <w:rsid w:val="00FA0E58"/>
    <w:rsid w:val="00FA14B9"/>
    <w:rsid w:val="00FA1536"/>
    <w:rsid w:val="00FA2632"/>
    <w:rsid w:val="00FA2E40"/>
    <w:rsid w:val="00FA3EA4"/>
    <w:rsid w:val="00FA5F69"/>
    <w:rsid w:val="00FA6511"/>
    <w:rsid w:val="00FA69E5"/>
    <w:rsid w:val="00FA7DF1"/>
    <w:rsid w:val="00FB0F19"/>
    <w:rsid w:val="00FB3409"/>
    <w:rsid w:val="00FB3C10"/>
    <w:rsid w:val="00FB4BD6"/>
    <w:rsid w:val="00FB7164"/>
    <w:rsid w:val="00FB71C3"/>
    <w:rsid w:val="00FC03E5"/>
    <w:rsid w:val="00FC0539"/>
    <w:rsid w:val="00FC2A7D"/>
    <w:rsid w:val="00FC2E0E"/>
    <w:rsid w:val="00FC37F3"/>
    <w:rsid w:val="00FC3AA8"/>
    <w:rsid w:val="00FC4B0C"/>
    <w:rsid w:val="00FC4DB8"/>
    <w:rsid w:val="00FC54AE"/>
    <w:rsid w:val="00FC56BA"/>
    <w:rsid w:val="00FC5E8E"/>
    <w:rsid w:val="00FC685E"/>
    <w:rsid w:val="00FC6880"/>
    <w:rsid w:val="00FD231E"/>
    <w:rsid w:val="00FD3262"/>
    <w:rsid w:val="00FD3F57"/>
    <w:rsid w:val="00FD45C6"/>
    <w:rsid w:val="00FD4902"/>
    <w:rsid w:val="00FD5590"/>
    <w:rsid w:val="00FD6D41"/>
    <w:rsid w:val="00FE0C60"/>
    <w:rsid w:val="00FE35A0"/>
    <w:rsid w:val="00FE490C"/>
    <w:rsid w:val="00FE6B2F"/>
    <w:rsid w:val="00FE7A1D"/>
    <w:rsid w:val="00FF0E32"/>
    <w:rsid w:val="00FF133E"/>
    <w:rsid w:val="00FF3B2E"/>
    <w:rsid w:val="00FF4ED9"/>
    <w:rsid w:val="00FF6259"/>
    <w:rsid w:val="00FF65D8"/>
    <w:rsid w:val="00FF7080"/>
    <w:rsid w:val="00FF76D1"/>
    <w:rsid w:val="00FF7CE9"/>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0AE9"/>
  <w15:docId w15:val="{4FB75199-5EFE-42D1-8C64-F99A3896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F5"/>
    <w:pPr>
      <w:spacing w:after="160" w:line="259" w:lineRule="auto"/>
    </w:pPr>
  </w:style>
  <w:style w:type="paragraph" w:styleId="Heading1">
    <w:name w:val="heading 1"/>
    <w:basedOn w:val="Normal"/>
    <w:next w:val="Normal"/>
    <w:link w:val="Heading1Char1"/>
    <w:uiPriority w:val="9"/>
    <w:qFormat/>
    <w:rsid w:val="00CF0B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0BBC"/>
    <w:pPr>
      <w:keepNext/>
      <w:keepLines/>
      <w:spacing w:before="4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
    <w:unhideWhenUsed/>
    <w:qFormat/>
    <w:rsid w:val="00CF0BBC"/>
    <w:pPr>
      <w:keepNext/>
      <w:keepLines/>
      <w:spacing w:before="40" w:after="0"/>
      <w:outlineLvl w:val="2"/>
    </w:pPr>
    <w:rPr>
      <w:rFonts w:ascii="Cambria" w:eastAsia="SimSun" w:hAnsi="Cambria" w:cs="Times New Roman"/>
      <w:color w:val="243F60"/>
      <w:sz w:val="24"/>
      <w:szCs w:val="24"/>
    </w:rPr>
  </w:style>
  <w:style w:type="paragraph" w:styleId="Heading4">
    <w:name w:val="heading 4"/>
    <w:basedOn w:val="Normal"/>
    <w:next w:val="Normal"/>
    <w:link w:val="Heading4Char"/>
    <w:uiPriority w:val="9"/>
    <w:unhideWhenUsed/>
    <w:qFormat/>
    <w:rsid w:val="00526F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F0BBC"/>
    <w:pPr>
      <w:spacing w:after="100" w:line="240" w:lineRule="auto"/>
    </w:pPr>
    <w:rPr>
      <w:rFonts w:ascii="Times New Roman" w:eastAsia="Times New Roman" w:hAnsi="Times New Roman" w:cs="Times New Roman"/>
      <w:sz w:val="24"/>
      <w:lang w:val="en-US"/>
    </w:rPr>
  </w:style>
  <w:style w:type="character" w:customStyle="1" w:styleId="fontstyle01">
    <w:name w:val="fontstyle01"/>
    <w:basedOn w:val="DefaultParagraphFont"/>
    <w:rsid w:val="00A02220"/>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A02220"/>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A02220"/>
    <w:rPr>
      <w:rFonts w:ascii="Calibri" w:hAnsi="Calibri" w:cs="Calibri" w:hint="default"/>
      <w:b w:val="0"/>
      <w:bCs w:val="0"/>
      <w:i w:val="0"/>
      <w:iCs w:val="0"/>
      <w:color w:val="000000"/>
      <w:sz w:val="20"/>
      <w:szCs w:val="20"/>
    </w:rPr>
  </w:style>
  <w:style w:type="character" w:customStyle="1" w:styleId="fontstyle41">
    <w:name w:val="fontstyle41"/>
    <w:basedOn w:val="DefaultParagraphFont"/>
    <w:rsid w:val="00A02220"/>
    <w:rPr>
      <w:rFonts w:ascii="Symbol" w:hAnsi="Symbol" w:hint="default"/>
      <w:b w:val="0"/>
      <w:bCs w:val="0"/>
      <w:i w:val="0"/>
      <w:iCs w:val="0"/>
      <w:color w:val="000000"/>
      <w:sz w:val="24"/>
      <w:szCs w:val="24"/>
    </w:rPr>
  </w:style>
  <w:style w:type="character" w:customStyle="1" w:styleId="fontstyle51">
    <w:name w:val="fontstyle51"/>
    <w:basedOn w:val="DefaultParagraphFont"/>
    <w:rsid w:val="00A02220"/>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1"/>
    <w:uiPriority w:val="9"/>
    <w:rsid w:val="009947B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F0BBC"/>
    <w:pPr>
      <w:ind w:left="720"/>
      <w:contextualSpacing/>
    </w:pPr>
    <w:rPr>
      <w:rFonts w:ascii="Calibri" w:eastAsia="Times New Roman" w:hAnsi="Calibri" w:cs="Times New Roman"/>
      <w:sz w:val="24"/>
    </w:rPr>
  </w:style>
  <w:style w:type="paragraph" w:styleId="NoSpacing">
    <w:name w:val="No Spacing"/>
    <w:uiPriority w:val="99"/>
    <w:qFormat/>
    <w:rsid w:val="00DD67CB"/>
    <w:pPr>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CF0BBC"/>
    <w:pPr>
      <w:tabs>
        <w:tab w:val="center" w:pos="4536"/>
        <w:tab w:val="right" w:pos="9072"/>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101A9D"/>
    <w:rPr>
      <w:rFonts w:ascii="Times New Roman" w:hAnsi="Times New Roman"/>
      <w:sz w:val="24"/>
    </w:rPr>
  </w:style>
  <w:style w:type="paragraph" w:styleId="Footer">
    <w:name w:val="footer"/>
    <w:basedOn w:val="Normal"/>
    <w:link w:val="FooterChar"/>
    <w:uiPriority w:val="99"/>
    <w:unhideWhenUsed/>
    <w:rsid w:val="00CF0BBC"/>
    <w:pPr>
      <w:tabs>
        <w:tab w:val="center" w:pos="4536"/>
        <w:tab w:val="right" w:pos="9072"/>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101A9D"/>
    <w:rPr>
      <w:rFonts w:ascii="Times New Roman" w:hAnsi="Times New Roman"/>
      <w:sz w:val="24"/>
    </w:rPr>
  </w:style>
  <w:style w:type="paragraph" w:styleId="Title">
    <w:name w:val="Title"/>
    <w:basedOn w:val="Normal"/>
    <w:next w:val="Normal"/>
    <w:link w:val="TitleChar"/>
    <w:uiPriority w:val="10"/>
    <w:qFormat/>
    <w:rsid w:val="00CF0BBC"/>
    <w:pPr>
      <w:spacing w:after="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10"/>
    <w:rsid w:val="00B342EC"/>
    <w:rPr>
      <w:rFonts w:ascii="Cambria" w:eastAsia="SimSun" w:hAnsi="Cambria" w:cs="Times New Roman"/>
      <w:color w:val="17365D"/>
      <w:spacing w:val="5"/>
      <w:kern w:val="28"/>
      <w:sz w:val="52"/>
      <w:szCs w:val="52"/>
    </w:rPr>
  </w:style>
  <w:style w:type="paragraph" w:styleId="TOCHeading">
    <w:name w:val="TOC Heading"/>
    <w:basedOn w:val="Heading1"/>
    <w:next w:val="Normal"/>
    <w:uiPriority w:val="39"/>
    <w:unhideWhenUsed/>
    <w:qFormat/>
    <w:rsid w:val="00CF0BBC"/>
    <w:pPr>
      <w:spacing w:before="480" w:line="276" w:lineRule="auto"/>
      <w:outlineLvl w:val="9"/>
    </w:pPr>
    <w:rPr>
      <w:b/>
      <w:bCs/>
      <w:sz w:val="28"/>
      <w:szCs w:val="28"/>
      <w:lang w:val="en-US" w:eastAsia="ja-JP"/>
    </w:rPr>
  </w:style>
  <w:style w:type="character" w:styleId="Hyperlink">
    <w:name w:val="Hyperlink"/>
    <w:basedOn w:val="DefaultParagraphFont"/>
    <w:uiPriority w:val="99"/>
    <w:unhideWhenUsed/>
    <w:rsid w:val="0003639A"/>
    <w:rPr>
      <w:color w:val="0000FF" w:themeColor="hyperlink"/>
      <w:u w:val="single"/>
    </w:rPr>
  </w:style>
  <w:style w:type="paragraph" w:styleId="BalloonText">
    <w:name w:val="Balloon Text"/>
    <w:basedOn w:val="Normal"/>
    <w:link w:val="BalloonTextChar"/>
    <w:uiPriority w:val="99"/>
    <w:semiHidden/>
    <w:unhideWhenUsed/>
    <w:rsid w:val="0003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9A"/>
    <w:rPr>
      <w:rFonts w:ascii="Tahoma" w:hAnsi="Tahoma" w:cs="Tahoma"/>
      <w:sz w:val="16"/>
      <w:szCs w:val="16"/>
    </w:rPr>
  </w:style>
  <w:style w:type="character" w:customStyle="1" w:styleId="Heading2Char">
    <w:name w:val="Heading 2 Char"/>
    <w:basedOn w:val="DefaultParagraphFont"/>
    <w:link w:val="Heading2"/>
    <w:uiPriority w:val="9"/>
    <w:rsid w:val="00C51C1C"/>
    <w:rPr>
      <w:rFonts w:ascii="Cambria" w:eastAsia="SimSun" w:hAnsi="Cambria" w:cs="Times New Roman"/>
      <w:b/>
      <w:bCs/>
      <w:color w:val="4F81BD"/>
      <w:sz w:val="26"/>
      <w:szCs w:val="26"/>
    </w:rPr>
  </w:style>
  <w:style w:type="table" w:styleId="LightShading-Accent1">
    <w:name w:val="Light Shading Accent 1"/>
    <w:basedOn w:val="TableNormal"/>
    <w:uiPriority w:val="60"/>
    <w:rsid w:val="009B7E09"/>
    <w:pPr>
      <w:spacing w:after="0" w:line="240" w:lineRule="auto"/>
    </w:pPr>
    <w:rPr>
      <w:color w:val="365F91" w:themeColor="accent1" w:themeShade="BF"/>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9B7E09"/>
    <w:rPr>
      <w:sz w:val="16"/>
      <w:szCs w:val="16"/>
    </w:rPr>
  </w:style>
  <w:style w:type="paragraph" w:styleId="CommentText">
    <w:name w:val="annotation text"/>
    <w:basedOn w:val="Normal"/>
    <w:link w:val="CommentTextChar"/>
    <w:uiPriority w:val="99"/>
    <w:semiHidden/>
    <w:unhideWhenUsed/>
    <w:rsid w:val="009B7E09"/>
    <w:pPr>
      <w:spacing w:line="240" w:lineRule="auto"/>
    </w:pPr>
    <w:rPr>
      <w:rFonts w:eastAsiaTheme="minorEastAsia"/>
      <w:sz w:val="20"/>
      <w:szCs w:val="20"/>
      <w:lang w:val="en-GB" w:eastAsia="zh-CN"/>
    </w:rPr>
  </w:style>
  <w:style w:type="character" w:customStyle="1" w:styleId="CommentTextChar">
    <w:name w:val="Comment Text Char"/>
    <w:basedOn w:val="DefaultParagraphFont"/>
    <w:link w:val="CommentText"/>
    <w:uiPriority w:val="99"/>
    <w:semiHidden/>
    <w:rsid w:val="009B7E09"/>
    <w:rPr>
      <w:rFonts w:eastAsiaTheme="minorEastAsia"/>
      <w:sz w:val="20"/>
      <w:szCs w:val="20"/>
      <w:lang w:val="en-GB" w:eastAsia="zh-CN"/>
    </w:rPr>
  </w:style>
  <w:style w:type="paragraph" w:customStyle="1" w:styleId="Default">
    <w:name w:val="Default"/>
    <w:rsid w:val="00E5499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CommentSubject">
    <w:name w:val="annotation subject"/>
    <w:basedOn w:val="CommentText"/>
    <w:next w:val="CommentText"/>
    <w:link w:val="CommentSubjectChar"/>
    <w:uiPriority w:val="99"/>
    <w:semiHidden/>
    <w:unhideWhenUsed/>
    <w:rsid w:val="00E5499C"/>
    <w:rPr>
      <w:rFonts w:eastAsiaTheme="minorHAnsi"/>
      <w:b/>
      <w:bCs/>
      <w:lang w:eastAsia="en-US"/>
    </w:rPr>
  </w:style>
  <w:style w:type="character" w:customStyle="1" w:styleId="CommentSubjectChar">
    <w:name w:val="Comment Subject Char"/>
    <w:basedOn w:val="CommentTextChar"/>
    <w:link w:val="CommentSubject"/>
    <w:uiPriority w:val="99"/>
    <w:semiHidden/>
    <w:rsid w:val="00E5499C"/>
    <w:rPr>
      <w:rFonts w:eastAsiaTheme="minorEastAsia"/>
      <w:b/>
      <w:bCs/>
      <w:sz w:val="20"/>
      <w:szCs w:val="20"/>
      <w:lang w:val="en-GB" w:eastAsia="zh-CN"/>
    </w:rPr>
  </w:style>
  <w:style w:type="paragraph" w:styleId="TOC2">
    <w:name w:val="toc 2"/>
    <w:basedOn w:val="Normal"/>
    <w:next w:val="Normal"/>
    <w:autoRedefine/>
    <w:uiPriority w:val="39"/>
    <w:unhideWhenUsed/>
    <w:rsid w:val="0082372A"/>
    <w:pPr>
      <w:tabs>
        <w:tab w:val="right" w:leader="dot" w:pos="9072"/>
      </w:tabs>
      <w:spacing w:after="100" w:line="276" w:lineRule="auto"/>
      <w:jc w:val="both"/>
    </w:pPr>
    <w:rPr>
      <w:rFonts w:ascii="Times New Roman" w:hAnsi="Times New Roman"/>
      <w:sz w:val="24"/>
    </w:rPr>
  </w:style>
  <w:style w:type="character" w:customStyle="1" w:styleId="Heading3Char">
    <w:name w:val="Heading 3 Char"/>
    <w:basedOn w:val="DefaultParagraphFont"/>
    <w:link w:val="Heading3"/>
    <w:uiPriority w:val="9"/>
    <w:rsid w:val="00D42311"/>
    <w:rPr>
      <w:rFonts w:ascii="Cambria" w:eastAsia="SimSun" w:hAnsi="Cambria" w:cs="Times New Roman"/>
      <w:color w:val="243F60"/>
      <w:sz w:val="24"/>
      <w:szCs w:val="24"/>
    </w:rPr>
  </w:style>
  <w:style w:type="paragraph" w:customStyle="1" w:styleId="Heading11">
    <w:name w:val="Heading 11"/>
    <w:basedOn w:val="Normal"/>
    <w:next w:val="Normal"/>
    <w:link w:val="Heading1Char"/>
    <w:uiPriority w:val="9"/>
    <w:qFormat/>
    <w:rsid w:val="00CF0B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semiHidden/>
    <w:unhideWhenUsed/>
    <w:qFormat/>
    <w:rsid w:val="00CF0BBC"/>
    <w:pPr>
      <w:keepNext/>
      <w:keepLines/>
      <w:spacing w:before="200" w:after="0" w:line="276" w:lineRule="auto"/>
      <w:outlineLvl w:val="1"/>
    </w:pPr>
    <w:rPr>
      <w:rFonts w:ascii="Cambria" w:eastAsia="SimSun" w:hAnsi="Cambria" w:cs="Times New Roman"/>
      <w:b/>
      <w:bCs/>
      <w:color w:val="4F81BD"/>
      <w:sz w:val="26"/>
      <w:szCs w:val="26"/>
    </w:rPr>
  </w:style>
  <w:style w:type="paragraph" w:customStyle="1" w:styleId="Heading31">
    <w:name w:val="Heading 31"/>
    <w:basedOn w:val="Normal"/>
    <w:next w:val="Normal"/>
    <w:uiPriority w:val="9"/>
    <w:semiHidden/>
    <w:unhideWhenUsed/>
    <w:qFormat/>
    <w:rsid w:val="00CF0BBC"/>
    <w:pPr>
      <w:keepNext/>
      <w:keepLines/>
      <w:spacing w:before="40" w:after="0" w:line="276" w:lineRule="auto"/>
      <w:outlineLvl w:val="2"/>
    </w:pPr>
    <w:rPr>
      <w:rFonts w:ascii="Cambria" w:eastAsia="SimSun" w:hAnsi="Cambria" w:cs="Times New Roman"/>
      <w:color w:val="243F60"/>
      <w:sz w:val="24"/>
      <w:szCs w:val="24"/>
    </w:rPr>
  </w:style>
  <w:style w:type="numbering" w:customStyle="1" w:styleId="NoList1">
    <w:name w:val="No List1"/>
    <w:next w:val="NoList"/>
    <w:uiPriority w:val="99"/>
    <w:semiHidden/>
    <w:unhideWhenUsed/>
    <w:rsid w:val="00D42311"/>
  </w:style>
  <w:style w:type="paragraph" w:customStyle="1" w:styleId="Title1">
    <w:name w:val="Title1"/>
    <w:basedOn w:val="Normal"/>
    <w:next w:val="Normal"/>
    <w:uiPriority w:val="10"/>
    <w:qFormat/>
    <w:rsid w:val="00D42311"/>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Heading1Char1">
    <w:name w:val="Heading 1 Char1"/>
    <w:basedOn w:val="DefaultParagraphFont"/>
    <w:link w:val="Heading1"/>
    <w:uiPriority w:val="9"/>
    <w:rsid w:val="00D42311"/>
    <w:rPr>
      <w:rFonts w:asciiTheme="majorHAnsi" w:eastAsiaTheme="majorEastAsia" w:hAnsiTheme="majorHAnsi" w:cstheme="majorBidi"/>
      <w:color w:val="365F91" w:themeColor="accent1" w:themeShade="BF"/>
      <w:sz w:val="32"/>
      <w:szCs w:val="32"/>
    </w:rPr>
  </w:style>
  <w:style w:type="character" w:customStyle="1" w:styleId="Hyperlink1">
    <w:name w:val="Hyperlink1"/>
    <w:basedOn w:val="DefaultParagraphFont"/>
    <w:uiPriority w:val="99"/>
    <w:unhideWhenUsed/>
    <w:rsid w:val="00D42311"/>
    <w:rPr>
      <w:color w:val="0000FF"/>
      <w:u w:val="single"/>
    </w:rPr>
  </w:style>
  <w:style w:type="table" w:customStyle="1" w:styleId="LightShading-Accent11">
    <w:name w:val="Light Shading - Accent 11"/>
    <w:basedOn w:val="TableNormal"/>
    <w:next w:val="LightShading-Accent1"/>
    <w:uiPriority w:val="60"/>
    <w:rsid w:val="00D42311"/>
    <w:pPr>
      <w:spacing w:after="0" w:line="240"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mmentText1">
    <w:name w:val="Comment Text1"/>
    <w:basedOn w:val="Normal"/>
    <w:next w:val="CommentText"/>
    <w:uiPriority w:val="99"/>
    <w:semiHidden/>
    <w:unhideWhenUsed/>
    <w:rsid w:val="00CF0BBC"/>
    <w:pPr>
      <w:spacing w:after="200" w:line="240" w:lineRule="auto"/>
    </w:pPr>
    <w:rPr>
      <w:rFonts w:eastAsia="SimSun"/>
      <w:sz w:val="20"/>
      <w:szCs w:val="20"/>
      <w:lang w:val="en-GB" w:eastAsia="zh-CN"/>
    </w:rPr>
  </w:style>
  <w:style w:type="paragraph" w:customStyle="1" w:styleId="CommentSubject1">
    <w:name w:val="Comment Subject1"/>
    <w:basedOn w:val="CommentText"/>
    <w:next w:val="CommentText"/>
    <w:uiPriority w:val="99"/>
    <w:semiHidden/>
    <w:unhideWhenUsed/>
    <w:rsid w:val="00CF0BBC"/>
    <w:pPr>
      <w:spacing w:after="200"/>
    </w:pPr>
    <w:rPr>
      <w:rFonts w:eastAsiaTheme="minorHAnsi"/>
      <w:b/>
      <w:bCs/>
      <w:lang w:eastAsia="en-US"/>
    </w:rPr>
  </w:style>
  <w:style w:type="character" w:customStyle="1" w:styleId="TitleChar1">
    <w:name w:val="Title Char1"/>
    <w:basedOn w:val="DefaultParagraphFont"/>
    <w:uiPriority w:val="10"/>
    <w:rsid w:val="00D42311"/>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D42311"/>
    <w:rPr>
      <w:rFonts w:asciiTheme="majorHAnsi" w:eastAsiaTheme="majorEastAsia" w:hAnsiTheme="majorHAnsi" w:cstheme="majorBidi"/>
      <w:color w:val="365F91" w:themeColor="accent1" w:themeShade="BF"/>
      <w:sz w:val="26"/>
      <w:szCs w:val="26"/>
    </w:rPr>
  </w:style>
  <w:style w:type="character" w:customStyle="1" w:styleId="CommentTextChar1">
    <w:name w:val="Comment Text Char1"/>
    <w:basedOn w:val="DefaultParagraphFont"/>
    <w:uiPriority w:val="99"/>
    <w:semiHidden/>
    <w:rsid w:val="00D42311"/>
    <w:rPr>
      <w:sz w:val="20"/>
      <w:szCs w:val="20"/>
    </w:rPr>
  </w:style>
  <w:style w:type="character" w:customStyle="1" w:styleId="CommentSubjectChar1">
    <w:name w:val="Comment Subject Char1"/>
    <w:basedOn w:val="CommentTextChar1"/>
    <w:uiPriority w:val="99"/>
    <w:semiHidden/>
    <w:rsid w:val="00D42311"/>
    <w:rPr>
      <w:b/>
      <w:bCs/>
      <w:sz w:val="20"/>
      <w:szCs w:val="20"/>
    </w:rPr>
  </w:style>
  <w:style w:type="character" w:customStyle="1" w:styleId="Heading3Char1">
    <w:name w:val="Heading 3 Char1"/>
    <w:basedOn w:val="DefaultParagraphFont"/>
    <w:uiPriority w:val="9"/>
    <w:semiHidden/>
    <w:rsid w:val="00D42311"/>
    <w:rPr>
      <w:rFonts w:asciiTheme="majorHAnsi" w:eastAsiaTheme="majorEastAsia" w:hAnsiTheme="majorHAnsi" w:cstheme="majorBidi"/>
      <w:color w:val="243F60" w:themeColor="accent1" w:themeShade="7F"/>
      <w:sz w:val="24"/>
      <w:szCs w:val="24"/>
    </w:rPr>
  </w:style>
  <w:style w:type="numbering" w:customStyle="1" w:styleId="NoList2">
    <w:name w:val="No List2"/>
    <w:next w:val="NoList"/>
    <w:uiPriority w:val="99"/>
    <w:semiHidden/>
    <w:unhideWhenUsed/>
    <w:rsid w:val="00D42311"/>
  </w:style>
  <w:style w:type="table" w:customStyle="1" w:styleId="LightShading-Accent12">
    <w:name w:val="Light Shading - Accent 12"/>
    <w:basedOn w:val="TableNormal"/>
    <w:next w:val="LightShading-Accent1"/>
    <w:uiPriority w:val="60"/>
    <w:rsid w:val="00D42311"/>
    <w:pPr>
      <w:spacing w:after="0" w:line="240" w:lineRule="auto"/>
    </w:pPr>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99"/>
    <w:semiHidden/>
    <w:rsid w:val="00395FBC"/>
    <w:pPr>
      <w:spacing w:after="0" w:line="240" w:lineRule="auto"/>
    </w:pPr>
  </w:style>
  <w:style w:type="character" w:customStyle="1" w:styleId="Heading4Char">
    <w:name w:val="Heading 4 Char"/>
    <w:basedOn w:val="DefaultParagraphFont"/>
    <w:link w:val="Heading4"/>
    <w:uiPriority w:val="9"/>
    <w:rsid w:val="00526FFA"/>
    <w:rPr>
      <w:rFonts w:asciiTheme="majorHAnsi" w:eastAsiaTheme="majorEastAsia" w:hAnsiTheme="majorHAnsi" w:cstheme="majorBidi"/>
      <w:i/>
      <w:iCs/>
      <w:color w:val="365F91" w:themeColor="accent1" w:themeShade="BF"/>
    </w:rPr>
  </w:style>
  <w:style w:type="character" w:customStyle="1" w:styleId="acopre1">
    <w:name w:val="acopre1"/>
    <w:basedOn w:val="DefaultParagraphFont"/>
    <w:rsid w:val="00012567"/>
  </w:style>
  <w:style w:type="paragraph" w:customStyle="1" w:styleId="CM1">
    <w:name w:val="CM1"/>
    <w:basedOn w:val="Default"/>
    <w:next w:val="Default"/>
    <w:uiPriority w:val="99"/>
    <w:rsid w:val="00F530CE"/>
    <w:rPr>
      <w:rFonts w:ascii="EUAlbertina" w:hAnsi="EUAlbertina" w:cstheme="minorBidi"/>
      <w:color w:val="auto"/>
      <w:lang w:val="bg-BG"/>
    </w:rPr>
  </w:style>
  <w:style w:type="paragraph" w:customStyle="1" w:styleId="CM3">
    <w:name w:val="CM3"/>
    <w:basedOn w:val="Default"/>
    <w:next w:val="Default"/>
    <w:uiPriority w:val="99"/>
    <w:rsid w:val="00F530CE"/>
    <w:rPr>
      <w:rFonts w:ascii="EUAlbertina" w:hAnsi="EUAlbertina" w:cstheme="minorBidi"/>
      <w:color w:val="auto"/>
      <w:lang w:val="bg-BG"/>
    </w:rPr>
  </w:style>
  <w:style w:type="paragraph" w:customStyle="1" w:styleId="CM4">
    <w:name w:val="CM4"/>
    <w:basedOn w:val="Default"/>
    <w:next w:val="Default"/>
    <w:uiPriority w:val="99"/>
    <w:rsid w:val="00F530CE"/>
    <w:rPr>
      <w:rFonts w:ascii="EUAlbertina" w:hAnsi="EUAlbertina" w:cstheme="minorBidi"/>
      <w:color w:val="auto"/>
      <w:lang w:val="bg-BG"/>
    </w:rPr>
  </w:style>
  <w:style w:type="character" w:customStyle="1" w:styleId="newdocreference1">
    <w:name w:val="newdocreference1"/>
    <w:basedOn w:val="DefaultParagraphFont"/>
    <w:rsid w:val="001A5AFF"/>
    <w:rPr>
      <w:i w:val="0"/>
      <w:iCs w:val="0"/>
      <w:color w:val="0000FF"/>
      <w:u w:val="single"/>
    </w:rPr>
  </w:style>
  <w:style w:type="character" w:styleId="FollowedHyperlink">
    <w:name w:val="FollowedHyperlink"/>
    <w:basedOn w:val="DefaultParagraphFont"/>
    <w:uiPriority w:val="99"/>
    <w:semiHidden/>
    <w:unhideWhenUsed/>
    <w:rsid w:val="00344CCA"/>
    <w:rPr>
      <w:color w:val="800080" w:themeColor="followedHyperlink"/>
      <w:u w:val="single"/>
    </w:rPr>
  </w:style>
  <w:style w:type="paragraph" w:customStyle="1" w:styleId="oj-doc-ti">
    <w:name w:val="oj-doc-ti"/>
    <w:basedOn w:val="Normal"/>
    <w:rsid w:val="0089012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wtze">
    <w:name w:val="hwtze"/>
    <w:basedOn w:val="DefaultParagraphFont"/>
    <w:rsid w:val="00D87D38"/>
  </w:style>
  <w:style w:type="character" w:customStyle="1" w:styleId="rynqvb">
    <w:name w:val="rynqvb"/>
    <w:basedOn w:val="DefaultParagraphFont"/>
    <w:rsid w:val="00D8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801">
      <w:bodyDiv w:val="1"/>
      <w:marLeft w:val="0"/>
      <w:marRight w:val="0"/>
      <w:marTop w:val="0"/>
      <w:marBottom w:val="0"/>
      <w:divBdr>
        <w:top w:val="none" w:sz="0" w:space="0" w:color="auto"/>
        <w:left w:val="none" w:sz="0" w:space="0" w:color="auto"/>
        <w:bottom w:val="none" w:sz="0" w:space="0" w:color="auto"/>
        <w:right w:val="none" w:sz="0" w:space="0" w:color="auto"/>
      </w:divBdr>
    </w:div>
    <w:div w:id="143010287">
      <w:bodyDiv w:val="1"/>
      <w:marLeft w:val="0"/>
      <w:marRight w:val="0"/>
      <w:marTop w:val="0"/>
      <w:marBottom w:val="0"/>
      <w:divBdr>
        <w:top w:val="none" w:sz="0" w:space="0" w:color="auto"/>
        <w:left w:val="none" w:sz="0" w:space="0" w:color="auto"/>
        <w:bottom w:val="none" w:sz="0" w:space="0" w:color="auto"/>
        <w:right w:val="none" w:sz="0" w:space="0" w:color="auto"/>
      </w:divBdr>
    </w:div>
    <w:div w:id="296692995">
      <w:bodyDiv w:val="1"/>
      <w:marLeft w:val="0"/>
      <w:marRight w:val="0"/>
      <w:marTop w:val="0"/>
      <w:marBottom w:val="0"/>
      <w:divBdr>
        <w:top w:val="none" w:sz="0" w:space="0" w:color="auto"/>
        <w:left w:val="none" w:sz="0" w:space="0" w:color="auto"/>
        <w:bottom w:val="none" w:sz="0" w:space="0" w:color="auto"/>
        <w:right w:val="none" w:sz="0" w:space="0" w:color="auto"/>
      </w:divBdr>
    </w:div>
    <w:div w:id="314726402">
      <w:bodyDiv w:val="1"/>
      <w:marLeft w:val="0"/>
      <w:marRight w:val="0"/>
      <w:marTop w:val="0"/>
      <w:marBottom w:val="0"/>
      <w:divBdr>
        <w:top w:val="none" w:sz="0" w:space="0" w:color="auto"/>
        <w:left w:val="none" w:sz="0" w:space="0" w:color="auto"/>
        <w:bottom w:val="none" w:sz="0" w:space="0" w:color="auto"/>
        <w:right w:val="none" w:sz="0" w:space="0" w:color="auto"/>
      </w:divBdr>
    </w:div>
    <w:div w:id="397821156">
      <w:bodyDiv w:val="1"/>
      <w:marLeft w:val="0"/>
      <w:marRight w:val="0"/>
      <w:marTop w:val="0"/>
      <w:marBottom w:val="0"/>
      <w:divBdr>
        <w:top w:val="none" w:sz="0" w:space="0" w:color="auto"/>
        <w:left w:val="none" w:sz="0" w:space="0" w:color="auto"/>
        <w:bottom w:val="none" w:sz="0" w:space="0" w:color="auto"/>
        <w:right w:val="none" w:sz="0" w:space="0" w:color="auto"/>
      </w:divBdr>
    </w:div>
    <w:div w:id="417404050">
      <w:bodyDiv w:val="1"/>
      <w:marLeft w:val="0"/>
      <w:marRight w:val="0"/>
      <w:marTop w:val="0"/>
      <w:marBottom w:val="0"/>
      <w:divBdr>
        <w:top w:val="none" w:sz="0" w:space="0" w:color="auto"/>
        <w:left w:val="none" w:sz="0" w:space="0" w:color="auto"/>
        <w:bottom w:val="none" w:sz="0" w:space="0" w:color="auto"/>
        <w:right w:val="none" w:sz="0" w:space="0" w:color="auto"/>
      </w:divBdr>
    </w:div>
    <w:div w:id="419134870">
      <w:bodyDiv w:val="1"/>
      <w:marLeft w:val="0"/>
      <w:marRight w:val="0"/>
      <w:marTop w:val="0"/>
      <w:marBottom w:val="0"/>
      <w:divBdr>
        <w:top w:val="none" w:sz="0" w:space="0" w:color="auto"/>
        <w:left w:val="none" w:sz="0" w:space="0" w:color="auto"/>
        <w:bottom w:val="none" w:sz="0" w:space="0" w:color="auto"/>
        <w:right w:val="none" w:sz="0" w:space="0" w:color="auto"/>
      </w:divBdr>
    </w:div>
    <w:div w:id="514731921">
      <w:bodyDiv w:val="1"/>
      <w:marLeft w:val="0"/>
      <w:marRight w:val="0"/>
      <w:marTop w:val="0"/>
      <w:marBottom w:val="0"/>
      <w:divBdr>
        <w:top w:val="none" w:sz="0" w:space="0" w:color="auto"/>
        <w:left w:val="none" w:sz="0" w:space="0" w:color="auto"/>
        <w:bottom w:val="none" w:sz="0" w:space="0" w:color="auto"/>
        <w:right w:val="none" w:sz="0" w:space="0" w:color="auto"/>
      </w:divBdr>
    </w:div>
    <w:div w:id="585651671">
      <w:bodyDiv w:val="1"/>
      <w:marLeft w:val="0"/>
      <w:marRight w:val="0"/>
      <w:marTop w:val="0"/>
      <w:marBottom w:val="0"/>
      <w:divBdr>
        <w:top w:val="none" w:sz="0" w:space="0" w:color="auto"/>
        <w:left w:val="none" w:sz="0" w:space="0" w:color="auto"/>
        <w:bottom w:val="none" w:sz="0" w:space="0" w:color="auto"/>
        <w:right w:val="none" w:sz="0" w:space="0" w:color="auto"/>
      </w:divBdr>
    </w:div>
    <w:div w:id="590315257">
      <w:bodyDiv w:val="1"/>
      <w:marLeft w:val="0"/>
      <w:marRight w:val="0"/>
      <w:marTop w:val="0"/>
      <w:marBottom w:val="0"/>
      <w:divBdr>
        <w:top w:val="none" w:sz="0" w:space="0" w:color="auto"/>
        <w:left w:val="none" w:sz="0" w:space="0" w:color="auto"/>
        <w:bottom w:val="none" w:sz="0" w:space="0" w:color="auto"/>
        <w:right w:val="none" w:sz="0" w:space="0" w:color="auto"/>
      </w:divBdr>
    </w:div>
    <w:div w:id="590507109">
      <w:bodyDiv w:val="1"/>
      <w:marLeft w:val="0"/>
      <w:marRight w:val="0"/>
      <w:marTop w:val="0"/>
      <w:marBottom w:val="0"/>
      <w:divBdr>
        <w:top w:val="none" w:sz="0" w:space="0" w:color="auto"/>
        <w:left w:val="none" w:sz="0" w:space="0" w:color="auto"/>
        <w:bottom w:val="none" w:sz="0" w:space="0" w:color="auto"/>
        <w:right w:val="none" w:sz="0" w:space="0" w:color="auto"/>
      </w:divBdr>
    </w:div>
    <w:div w:id="650788471">
      <w:bodyDiv w:val="1"/>
      <w:marLeft w:val="0"/>
      <w:marRight w:val="0"/>
      <w:marTop w:val="0"/>
      <w:marBottom w:val="0"/>
      <w:divBdr>
        <w:top w:val="none" w:sz="0" w:space="0" w:color="auto"/>
        <w:left w:val="none" w:sz="0" w:space="0" w:color="auto"/>
        <w:bottom w:val="none" w:sz="0" w:space="0" w:color="auto"/>
        <w:right w:val="none" w:sz="0" w:space="0" w:color="auto"/>
      </w:divBdr>
    </w:div>
    <w:div w:id="696732922">
      <w:bodyDiv w:val="1"/>
      <w:marLeft w:val="0"/>
      <w:marRight w:val="0"/>
      <w:marTop w:val="0"/>
      <w:marBottom w:val="0"/>
      <w:divBdr>
        <w:top w:val="none" w:sz="0" w:space="0" w:color="auto"/>
        <w:left w:val="none" w:sz="0" w:space="0" w:color="auto"/>
        <w:bottom w:val="none" w:sz="0" w:space="0" w:color="auto"/>
        <w:right w:val="none" w:sz="0" w:space="0" w:color="auto"/>
      </w:divBdr>
    </w:div>
    <w:div w:id="720397457">
      <w:bodyDiv w:val="1"/>
      <w:marLeft w:val="0"/>
      <w:marRight w:val="0"/>
      <w:marTop w:val="0"/>
      <w:marBottom w:val="0"/>
      <w:divBdr>
        <w:top w:val="none" w:sz="0" w:space="0" w:color="auto"/>
        <w:left w:val="none" w:sz="0" w:space="0" w:color="auto"/>
        <w:bottom w:val="none" w:sz="0" w:space="0" w:color="auto"/>
        <w:right w:val="none" w:sz="0" w:space="0" w:color="auto"/>
      </w:divBdr>
    </w:div>
    <w:div w:id="736822534">
      <w:bodyDiv w:val="1"/>
      <w:marLeft w:val="0"/>
      <w:marRight w:val="0"/>
      <w:marTop w:val="0"/>
      <w:marBottom w:val="0"/>
      <w:divBdr>
        <w:top w:val="none" w:sz="0" w:space="0" w:color="auto"/>
        <w:left w:val="none" w:sz="0" w:space="0" w:color="auto"/>
        <w:bottom w:val="none" w:sz="0" w:space="0" w:color="auto"/>
        <w:right w:val="none" w:sz="0" w:space="0" w:color="auto"/>
      </w:divBdr>
      <w:divsChild>
        <w:div w:id="1491945384">
          <w:marLeft w:val="0"/>
          <w:marRight w:val="0"/>
          <w:marTop w:val="0"/>
          <w:marBottom w:val="0"/>
          <w:divBdr>
            <w:top w:val="none" w:sz="0" w:space="0" w:color="auto"/>
            <w:left w:val="none" w:sz="0" w:space="0" w:color="auto"/>
            <w:bottom w:val="none" w:sz="0" w:space="0" w:color="auto"/>
            <w:right w:val="none" w:sz="0" w:space="0" w:color="auto"/>
          </w:divBdr>
        </w:div>
        <w:div w:id="184757362">
          <w:marLeft w:val="0"/>
          <w:marRight w:val="0"/>
          <w:marTop w:val="0"/>
          <w:marBottom w:val="0"/>
          <w:divBdr>
            <w:top w:val="none" w:sz="0" w:space="0" w:color="auto"/>
            <w:left w:val="none" w:sz="0" w:space="0" w:color="auto"/>
            <w:bottom w:val="none" w:sz="0" w:space="0" w:color="auto"/>
            <w:right w:val="none" w:sz="0" w:space="0" w:color="auto"/>
          </w:divBdr>
        </w:div>
      </w:divsChild>
    </w:div>
    <w:div w:id="787941442">
      <w:bodyDiv w:val="1"/>
      <w:marLeft w:val="0"/>
      <w:marRight w:val="0"/>
      <w:marTop w:val="0"/>
      <w:marBottom w:val="0"/>
      <w:divBdr>
        <w:top w:val="none" w:sz="0" w:space="0" w:color="auto"/>
        <w:left w:val="none" w:sz="0" w:space="0" w:color="auto"/>
        <w:bottom w:val="none" w:sz="0" w:space="0" w:color="auto"/>
        <w:right w:val="none" w:sz="0" w:space="0" w:color="auto"/>
      </w:divBdr>
    </w:div>
    <w:div w:id="878393641">
      <w:bodyDiv w:val="1"/>
      <w:marLeft w:val="0"/>
      <w:marRight w:val="0"/>
      <w:marTop w:val="0"/>
      <w:marBottom w:val="0"/>
      <w:divBdr>
        <w:top w:val="none" w:sz="0" w:space="0" w:color="auto"/>
        <w:left w:val="none" w:sz="0" w:space="0" w:color="auto"/>
        <w:bottom w:val="none" w:sz="0" w:space="0" w:color="auto"/>
        <w:right w:val="none" w:sz="0" w:space="0" w:color="auto"/>
      </w:divBdr>
    </w:div>
    <w:div w:id="958995028">
      <w:bodyDiv w:val="1"/>
      <w:marLeft w:val="0"/>
      <w:marRight w:val="0"/>
      <w:marTop w:val="0"/>
      <w:marBottom w:val="0"/>
      <w:divBdr>
        <w:top w:val="none" w:sz="0" w:space="0" w:color="auto"/>
        <w:left w:val="none" w:sz="0" w:space="0" w:color="auto"/>
        <w:bottom w:val="none" w:sz="0" w:space="0" w:color="auto"/>
        <w:right w:val="none" w:sz="0" w:space="0" w:color="auto"/>
      </w:divBdr>
    </w:div>
    <w:div w:id="959729269">
      <w:bodyDiv w:val="1"/>
      <w:marLeft w:val="0"/>
      <w:marRight w:val="0"/>
      <w:marTop w:val="0"/>
      <w:marBottom w:val="0"/>
      <w:divBdr>
        <w:top w:val="none" w:sz="0" w:space="0" w:color="auto"/>
        <w:left w:val="none" w:sz="0" w:space="0" w:color="auto"/>
        <w:bottom w:val="none" w:sz="0" w:space="0" w:color="auto"/>
        <w:right w:val="none" w:sz="0" w:space="0" w:color="auto"/>
      </w:divBdr>
    </w:div>
    <w:div w:id="1265576852">
      <w:bodyDiv w:val="1"/>
      <w:marLeft w:val="0"/>
      <w:marRight w:val="0"/>
      <w:marTop w:val="0"/>
      <w:marBottom w:val="0"/>
      <w:divBdr>
        <w:top w:val="none" w:sz="0" w:space="0" w:color="auto"/>
        <w:left w:val="none" w:sz="0" w:space="0" w:color="auto"/>
        <w:bottom w:val="none" w:sz="0" w:space="0" w:color="auto"/>
        <w:right w:val="none" w:sz="0" w:space="0" w:color="auto"/>
      </w:divBdr>
    </w:div>
    <w:div w:id="1271738129">
      <w:bodyDiv w:val="1"/>
      <w:marLeft w:val="0"/>
      <w:marRight w:val="0"/>
      <w:marTop w:val="0"/>
      <w:marBottom w:val="0"/>
      <w:divBdr>
        <w:top w:val="none" w:sz="0" w:space="0" w:color="auto"/>
        <w:left w:val="none" w:sz="0" w:space="0" w:color="auto"/>
        <w:bottom w:val="none" w:sz="0" w:space="0" w:color="auto"/>
        <w:right w:val="none" w:sz="0" w:space="0" w:color="auto"/>
      </w:divBdr>
    </w:div>
    <w:div w:id="1403066610">
      <w:bodyDiv w:val="1"/>
      <w:marLeft w:val="0"/>
      <w:marRight w:val="0"/>
      <w:marTop w:val="0"/>
      <w:marBottom w:val="0"/>
      <w:divBdr>
        <w:top w:val="none" w:sz="0" w:space="0" w:color="auto"/>
        <w:left w:val="none" w:sz="0" w:space="0" w:color="auto"/>
        <w:bottom w:val="none" w:sz="0" w:space="0" w:color="auto"/>
        <w:right w:val="none" w:sz="0" w:space="0" w:color="auto"/>
      </w:divBdr>
    </w:div>
    <w:div w:id="1415859685">
      <w:bodyDiv w:val="1"/>
      <w:marLeft w:val="0"/>
      <w:marRight w:val="0"/>
      <w:marTop w:val="0"/>
      <w:marBottom w:val="0"/>
      <w:divBdr>
        <w:top w:val="none" w:sz="0" w:space="0" w:color="auto"/>
        <w:left w:val="none" w:sz="0" w:space="0" w:color="auto"/>
        <w:bottom w:val="none" w:sz="0" w:space="0" w:color="auto"/>
        <w:right w:val="none" w:sz="0" w:space="0" w:color="auto"/>
      </w:divBdr>
      <w:divsChild>
        <w:div w:id="1456827992">
          <w:marLeft w:val="0"/>
          <w:marRight w:val="0"/>
          <w:marTop w:val="0"/>
          <w:marBottom w:val="0"/>
          <w:divBdr>
            <w:top w:val="none" w:sz="0" w:space="0" w:color="auto"/>
            <w:left w:val="none" w:sz="0" w:space="0" w:color="auto"/>
            <w:bottom w:val="none" w:sz="0" w:space="0" w:color="auto"/>
            <w:right w:val="none" w:sz="0" w:space="0" w:color="auto"/>
          </w:divBdr>
        </w:div>
        <w:div w:id="1361666057">
          <w:marLeft w:val="0"/>
          <w:marRight w:val="0"/>
          <w:marTop w:val="0"/>
          <w:marBottom w:val="0"/>
          <w:divBdr>
            <w:top w:val="none" w:sz="0" w:space="0" w:color="auto"/>
            <w:left w:val="none" w:sz="0" w:space="0" w:color="auto"/>
            <w:bottom w:val="none" w:sz="0" w:space="0" w:color="auto"/>
            <w:right w:val="none" w:sz="0" w:space="0" w:color="auto"/>
          </w:divBdr>
        </w:div>
      </w:divsChild>
    </w:div>
    <w:div w:id="1489517212">
      <w:bodyDiv w:val="1"/>
      <w:marLeft w:val="0"/>
      <w:marRight w:val="0"/>
      <w:marTop w:val="0"/>
      <w:marBottom w:val="0"/>
      <w:divBdr>
        <w:top w:val="none" w:sz="0" w:space="0" w:color="auto"/>
        <w:left w:val="none" w:sz="0" w:space="0" w:color="auto"/>
        <w:bottom w:val="none" w:sz="0" w:space="0" w:color="auto"/>
        <w:right w:val="none" w:sz="0" w:space="0" w:color="auto"/>
      </w:divBdr>
    </w:div>
    <w:div w:id="1842500187">
      <w:bodyDiv w:val="1"/>
      <w:marLeft w:val="0"/>
      <w:marRight w:val="0"/>
      <w:marTop w:val="0"/>
      <w:marBottom w:val="0"/>
      <w:divBdr>
        <w:top w:val="none" w:sz="0" w:space="0" w:color="auto"/>
        <w:left w:val="none" w:sz="0" w:space="0" w:color="auto"/>
        <w:bottom w:val="none" w:sz="0" w:space="0" w:color="auto"/>
        <w:right w:val="none" w:sz="0" w:space="0" w:color="auto"/>
      </w:divBdr>
    </w:div>
    <w:div w:id="1844737490">
      <w:bodyDiv w:val="1"/>
      <w:marLeft w:val="0"/>
      <w:marRight w:val="0"/>
      <w:marTop w:val="0"/>
      <w:marBottom w:val="0"/>
      <w:divBdr>
        <w:top w:val="none" w:sz="0" w:space="0" w:color="auto"/>
        <w:left w:val="none" w:sz="0" w:space="0" w:color="auto"/>
        <w:bottom w:val="none" w:sz="0" w:space="0" w:color="auto"/>
        <w:right w:val="none" w:sz="0" w:space="0" w:color="auto"/>
      </w:divBdr>
      <w:divsChild>
        <w:div w:id="724767101">
          <w:marLeft w:val="0"/>
          <w:marRight w:val="0"/>
          <w:marTop w:val="0"/>
          <w:marBottom w:val="0"/>
          <w:divBdr>
            <w:top w:val="none" w:sz="0" w:space="0" w:color="auto"/>
            <w:left w:val="none" w:sz="0" w:space="0" w:color="auto"/>
            <w:bottom w:val="none" w:sz="0" w:space="0" w:color="auto"/>
            <w:right w:val="none" w:sz="0" w:space="0" w:color="auto"/>
          </w:divBdr>
        </w:div>
        <w:div w:id="129325552">
          <w:marLeft w:val="0"/>
          <w:marRight w:val="0"/>
          <w:marTop w:val="0"/>
          <w:marBottom w:val="0"/>
          <w:divBdr>
            <w:top w:val="none" w:sz="0" w:space="0" w:color="auto"/>
            <w:left w:val="none" w:sz="0" w:space="0" w:color="auto"/>
            <w:bottom w:val="none" w:sz="0" w:space="0" w:color="auto"/>
            <w:right w:val="none" w:sz="0" w:space="0" w:color="auto"/>
          </w:divBdr>
        </w:div>
      </w:divsChild>
    </w:div>
    <w:div w:id="1847479391">
      <w:bodyDiv w:val="1"/>
      <w:marLeft w:val="0"/>
      <w:marRight w:val="0"/>
      <w:marTop w:val="0"/>
      <w:marBottom w:val="0"/>
      <w:divBdr>
        <w:top w:val="none" w:sz="0" w:space="0" w:color="auto"/>
        <w:left w:val="none" w:sz="0" w:space="0" w:color="auto"/>
        <w:bottom w:val="none" w:sz="0" w:space="0" w:color="auto"/>
        <w:right w:val="none" w:sz="0" w:space="0" w:color="auto"/>
      </w:divBdr>
    </w:div>
    <w:div w:id="1852644315">
      <w:bodyDiv w:val="1"/>
      <w:marLeft w:val="0"/>
      <w:marRight w:val="0"/>
      <w:marTop w:val="0"/>
      <w:marBottom w:val="0"/>
      <w:divBdr>
        <w:top w:val="none" w:sz="0" w:space="0" w:color="auto"/>
        <w:left w:val="none" w:sz="0" w:space="0" w:color="auto"/>
        <w:bottom w:val="none" w:sz="0" w:space="0" w:color="auto"/>
        <w:right w:val="none" w:sz="0" w:space="0" w:color="auto"/>
      </w:divBdr>
    </w:div>
    <w:div w:id="1878813518">
      <w:bodyDiv w:val="1"/>
      <w:marLeft w:val="0"/>
      <w:marRight w:val="0"/>
      <w:marTop w:val="0"/>
      <w:marBottom w:val="0"/>
      <w:divBdr>
        <w:top w:val="none" w:sz="0" w:space="0" w:color="auto"/>
        <w:left w:val="none" w:sz="0" w:space="0" w:color="auto"/>
        <w:bottom w:val="none" w:sz="0" w:space="0" w:color="auto"/>
        <w:right w:val="none" w:sz="0" w:space="0" w:color="auto"/>
      </w:divBdr>
    </w:div>
    <w:div w:id="1966891305">
      <w:bodyDiv w:val="1"/>
      <w:marLeft w:val="0"/>
      <w:marRight w:val="0"/>
      <w:marTop w:val="0"/>
      <w:marBottom w:val="0"/>
      <w:divBdr>
        <w:top w:val="none" w:sz="0" w:space="0" w:color="auto"/>
        <w:left w:val="none" w:sz="0" w:space="0" w:color="auto"/>
        <w:bottom w:val="none" w:sz="0" w:space="0" w:color="auto"/>
        <w:right w:val="none" w:sz="0" w:space="0" w:color="auto"/>
      </w:divBdr>
    </w:div>
    <w:div w:id="2028828079">
      <w:bodyDiv w:val="1"/>
      <w:marLeft w:val="0"/>
      <w:marRight w:val="0"/>
      <w:marTop w:val="0"/>
      <w:marBottom w:val="0"/>
      <w:divBdr>
        <w:top w:val="none" w:sz="0" w:space="0" w:color="auto"/>
        <w:left w:val="none" w:sz="0" w:space="0" w:color="auto"/>
        <w:bottom w:val="none" w:sz="0" w:space="0" w:color="auto"/>
        <w:right w:val="none" w:sz="0" w:space="0" w:color="auto"/>
      </w:divBdr>
    </w:div>
    <w:div w:id="2047481447">
      <w:bodyDiv w:val="1"/>
      <w:marLeft w:val="0"/>
      <w:marRight w:val="0"/>
      <w:marTop w:val="0"/>
      <w:marBottom w:val="0"/>
      <w:divBdr>
        <w:top w:val="none" w:sz="0" w:space="0" w:color="auto"/>
        <w:left w:val="none" w:sz="0" w:space="0" w:color="auto"/>
        <w:bottom w:val="none" w:sz="0" w:space="0" w:color="auto"/>
        <w:right w:val="none" w:sz="0" w:space="0" w:color="auto"/>
      </w:divBdr>
    </w:div>
    <w:div w:id="2065374756">
      <w:bodyDiv w:val="1"/>
      <w:marLeft w:val="0"/>
      <w:marRight w:val="0"/>
      <w:marTop w:val="0"/>
      <w:marBottom w:val="0"/>
      <w:divBdr>
        <w:top w:val="none" w:sz="0" w:space="0" w:color="auto"/>
        <w:left w:val="none" w:sz="0" w:space="0" w:color="auto"/>
        <w:bottom w:val="none" w:sz="0" w:space="0" w:color="auto"/>
        <w:right w:val="none" w:sz="0" w:space="0" w:color="auto"/>
      </w:divBdr>
    </w:div>
    <w:div w:id="2094159046">
      <w:bodyDiv w:val="1"/>
      <w:marLeft w:val="0"/>
      <w:marRight w:val="0"/>
      <w:marTop w:val="0"/>
      <w:marBottom w:val="0"/>
      <w:divBdr>
        <w:top w:val="none" w:sz="0" w:space="0" w:color="auto"/>
        <w:left w:val="none" w:sz="0" w:space="0" w:color="auto"/>
        <w:bottom w:val="none" w:sz="0" w:space="0" w:color="auto"/>
        <w:right w:val="none" w:sz="0" w:space="0" w:color="auto"/>
      </w:divBdr>
    </w:div>
    <w:div w:id="2095934768">
      <w:bodyDiv w:val="1"/>
      <w:marLeft w:val="0"/>
      <w:marRight w:val="0"/>
      <w:marTop w:val="0"/>
      <w:marBottom w:val="0"/>
      <w:divBdr>
        <w:top w:val="none" w:sz="0" w:space="0" w:color="auto"/>
        <w:left w:val="none" w:sz="0" w:space="0" w:color="auto"/>
        <w:bottom w:val="none" w:sz="0" w:space="0" w:color="auto"/>
        <w:right w:val="none" w:sz="0" w:space="0" w:color="auto"/>
      </w:divBdr>
    </w:div>
    <w:div w:id="2108259830">
      <w:bodyDiv w:val="1"/>
      <w:marLeft w:val="0"/>
      <w:marRight w:val="0"/>
      <w:marTop w:val="0"/>
      <w:marBottom w:val="0"/>
      <w:divBdr>
        <w:top w:val="none" w:sz="0" w:space="0" w:color="auto"/>
        <w:left w:val="none" w:sz="0" w:space="0" w:color="auto"/>
        <w:bottom w:val="none" w:sz="0" w:space="0" w:color="auto"/>
        <w:right w:val="none" w:sz="0" w:space="0" w:color="auto"/>
      </w:divBdr>
    </w:div>
    <w:div w:id="21143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lex.europa.eu/legal-content/BG/AUTO/?uri=celex:32019R0006" TargetMode="Externa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yperlink" Target="https://web.apis.bg/p.php?i=1082502&amp;b=0" TargetMode="External"/><Relationship Id="rId7" Type="http://schemas.openxmlformats.org/officeDocument/2006/relationships/footnotes" Target="footnotes.xml"/><Relationship Id="rId12" Type="http://schemas.openxmlformats.org/officeDocument/2006/relationships/hyperlink" Target="https://web.apis.bg/p.php?i=377222&amp;b=0"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data.europa.eu/doi/10.2809/8956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fsa.europa.eu/en/efsajournal/pub/910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fsa.egov.bg/wps/wcm/connect/bfsa.egov.bg19113/fef85e57-13fc-44a6-a811-1d76e4e7c005/00+Informaciya+55z%2C+al.+3.pdf?MOD=AJPERES&amp;CVID=pnhy-Ol" TargetMode="External"/><Relationship Id="rId23" Type="http://schemas.openxmlformats.org/officeDocument/2006/relationships/fontTable" Target="fontTable.xml"/><Relationship Id="rId10" Type="http://schemas.openxmlformats.org/officeDocument/2006/relationships/hyperlink" Target="https://web.apis.bg/p.php?i=4304001&amp;b=0" TargetMode="External"/><Relationship Id="rId19" Type="http://schemas.openxmlformats.org/officeDocument/2006/relationships/hyperlink" Target="https://www.ema.europa.eu/en/veterinary-regulatory-overview/antimicrobial-resistance-veterinary-medicine/european-sales-use-antimicrobials-veterinary-medicine-esuavet-annual-surveillance-reports" TargetMode="External"/><Relationship Id="rId4" Type="http://schemas.openxmlformats.org/officeDocument/2006/relationships/styles" Target="styles.xml"/><Relationship Id="rId9" Type="http://schemas.openxmlformats.org/officeDocument/2006/relationships/hyperlink" Target="https://web.apis.bg/p.php?i=234949&amp;b=0" TargetMode="External"/><Relationship Id="rId14" Type="http://schemas.openxmlformats.org/officeDocument/2006/relationships/hyperlink" Target="https://web.apis.bg/p.php?i=291723&amp;b=0" TargetMode="External"/><Relationship Id="rId22" Type="http://schemas.openxmlformats.org/officeDocument/2006/relationships/hyperlink" Target="https://eur-lex.europa.eu/legal-content/EN/TXT/?uri=celex%3A32023H0622%2801%29"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E8CC6-E650-4702-A8B4-EC1E95B9126C}">
  <ds:schemaRefs>
    <ds:schemaRef ds:uri="http://schemas.openxmlformats.org/officeDocument/2006/bibliography"/>
  </ds:schemaRefs>
</ds:datastoreItem>
</file>

<file path=customXml/itemProps2.xml><?xml version="1.0" encoding="utf-8"?>
<ds:datastoreItem xmlns:ds="http://schemas.openxmlformats.org/officeDocument/2006/customXml" ds:itemID="{CE0C752A-E08D-4D97-82C5-FCBDFEEA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39675</Words>
  <Characters>226151</Characters>
  <Application>Microsoft Office Word</Application>
  <DocSecurity>0</DocSecurity>
  <Lines>1884</Lines>
  <Paragraphs>530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265296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dc:creator>
  <cp:lastModifiedBy>Галина Смелова</cp:lastModifiedBy>
  <cp:revision>2</cp:revision>
  <cp:lastPrinted>2026-01-13T06:48:00Z</cp:lastPrinted>
  <dcterms:created xsi:type="dcterms:W3CDTF">2026-01-21T15:37:00Z</dcterms:created>
  <dcterms:modified xsi:type="dcterms:W3CDTF">2026-01-21T15:37:00Z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http://www.zotero.org/styles/antimicrobial-agents-and-chemotherapy</vt:lpwstr>
  </property>
  <property fmtid="{D5CDD505-2E9C-101B-9397-08002B2CF9AE}" pid="7" name="Mendeley Recent Style Name 2_1">
    <vt:lpwstr>Antimicrobial Agents and Chemotherapy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http://www.zotero.org/styles/geological-magazine_mod2_bds</vt:lpwstr>
  </property>
  <property fmtid="{D5CDD505-2E9C-101B-9397-08002B2CF9AE}" pid="11" name="Mendeley Recent Style Name 4_1">
    <vt:lpwstr>Geological Magazine_mod2_BDS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http://www.zotero.org/styles/problems-of-infectious-and-parasitic-diseases</vt:lpwstr>
  </property>
  <property fmtid="{D5CDD505-2E9C-101B-9397-08002B2CF9AE}" pid="21" name="Mendeley Recent Style Name 9_1">
    <vt:lpwstr>Problems of Infectious and Parasitic Diseases</vt:lpwstr>
  </property>
  <property fmtid="{D5CDD505-2E9C-101B-9397-08002B2CF9AE}" pid="22" name="Mendeley Document_1">
    <vt:lpwstr>True</vt:lpwstr>
  </property>
  <property fmtid="{D5CDD505-2E9C-101B-9397-08002B2CF9AE}" pid="23" name="Mendeley Unique User Id_1">
    <vt:lpwstr>a4eea84b-cf7a-3265-9c8a-8d43c28e15ed</vt:lpwstr>
  </property>
  <property fmtid="{D5CDD505-2E9C-101B-9397-08002B2CF9AE}" pid="24" name="Mendeley Citation Style_1">
    <vt:lpwstr>http://www.zotero.org/styles/ieee</vt:lpwstr>
  </property>
</Properties>
</file>