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D123" w14:textId="11A9A0E5" w:rsidR="00F02E6F" w:rsidRDefault="00F02E6F" w:rsidP="00F02E6F">
      <w:pPr>
        <w:pStyle w:val="Title"/>
        <w:rPr>
          <w:noProof/>
          <w:lang w:val="en-US"/>
        </w:rPr>
      </w:pPr>
    </w:p>
    <w:p w14:paraId="7260406A" w14:textId="77777777" w:rsidR="0048267B" w:rsidRPr="0048267B" w:rsidRDefault="0048267B" w:rsidP="00F02E6F">
      <w:pPr>
        <w:pStyle w:val="Title"/>
        <w:rPr>
          <w:lang w:val="en-US"/>
        </w:rPr>
      </w:pPr>
    </w:p>
    <w:p w14:paraId="62A4E628" w14:textId="77777777"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6B1E8071"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0C326F2F" w14:textId="60865867" w:rsidR="00592D9D" w:rsidRPr="00DF31C2" w:rsidRDefault="009B7E49" w:rsidP="003A5035">
      <w:pPr>
        <w:jc w:val="right"/>
        <w:rPr>
          <w:rFonts w:ascii="Arial" w:hAnsi="Arial" w:cs="Arial"/>
          <w:b/>
          <w:szCs w:val="24"/>
          <w:lang w:val="bg-BG"/>
        </w:rPr>
      </w:pPr>
      <w:r>
        <w:rPr>
          <w:rFonts w:ascii="Arial" w:hAnsi="Arial" w:cs="Arial"/>
          <w:b/>
          <w:szCs w:val="24"/>
          <w:lang w:val="bg-BG"/>
        </w:rPr>
        <w:t>Препис</w:t>
      </w:r>
    </w:p>
    <w:p w14:paraId="05E00291" w14:textId="77777777" w:rsidR="00592D9D" w:rsidRPr="003D61B2" w:rsidRDefault="00592D9D" w:rsidP="00592D9D">
      <w:pPr>
        <w:jc w:val="center"/>
        <w:rPr>
          <w:rFonts w:ascii="NewSaturionCyr" w:hAnsi="NewSaturionCyr"/>
          <w:sz w:val="22"/>
        </w:rPr>
      </w:pPr>
    </w:p>
    <w:p w14:paraId="7DCF39C2" w14:textId="77777777" w:rsidR="00F25FE2" w:rsidRPr="0040173C" w:rsidRDefault="00F25FE2" w:rsidP="00592D9D">
      <w:pPr>
        <w:jc w:val="center"/>
        <w:rPr>
          <w:rFonts w:ascii="NewSaturionCyr" w:hAnsi="NewSaturionCyr"/>
          <w:sz w:val="22"/>
          <w:lang w:val="bg-BG"/>
        </w:rPr>
      </w:pPr>
    </w:p>
    <w:p w14:paraId="11E7B374" w14:textId="4DF6D2B6"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9B7E49">
        <w:rPr>
          <w:rFonts w:ascii="Times New Roman" w:hAnsi="Times New Roman"/>
          <w:b/>
          <w:spacing w:val="100"/>
          <w:sz w:val="40"/>
          <w:szCs w:val="40"/>
          <w:lang w:val="bg-BG"/>
        </w:rPr>
        <w:t xml:space="preserve"> 76</w:t>
      </w:r>
    </w:p>
    <w:p w14:paraId="00DC12E1" w14:textId="77777777" w:rsidR="00F25FE2" w:rsidRPr="0040173C" w:rsidRDefault="00F25FE2" w:rsidP="00592D9D">
      <w:pPr>
        <w:jc w:val="center"/>
        <w:rPr>
          <w:rFonts w:ascii="Times New Roman" w:hAnsi="Times New Roman"/>
          <w:b/>
          <w:sz w:val="30"/>
          <w:szCs w:val="30"/>
          <w:lang w:val="bg-BG"/>
        </w:rPr>
      </w:pPr>
    </w:p>
    <w:p w14:paraId="15CCFBE3" w14:textId="08BE1355"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9B7E49">
        <w:rPr>
          <w:rFonts w:ascii="Times New Roman" w:hAnsi="Times New Roman"/>
          <w:b/>
          <w:sz w:val="30"/>
          <w:szCs w:val="30"/>
          <w:lang w:val="bg-BG"/>
        </w:rPr>
        <w:t>22 януари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245AA1">
        <w:rPr>
          <w:rFonts w:ascii="Times New Roman" w:hAnsi="Times New Roman"/>
          <w:b/>
          <w:sz w:val="30"/>
          <w:szCs w:val="30"/>
          <w:lang w:val="bg-BG"/>
        </w:rPr>
        <w:t>6</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73E7E524" w14:textId="77777777" w:rsidR="00592D9D" w:rsidRPr="0040173C" w:rsidRDefault="00592D9D" w:rsidP="00592D9D">
      <w:pPr>
        <w:rPr>
          <w:lang w:val="bg-BG"/>
        </w:rPr>
      </w:pPr>
    </w:p>
    <w:p w14:paraId="224E8BD4" w14:textId="77777777" w:rsidR="008E2D3E" w:rsidRPr="0040173C" w:rsidRDefault="008E2D3E" w:rsidP="00592D9D">
      <w:pPr>
        <w:rPr>
          <w:lang w:val="bg-BG"/>
        </w:rPr>
      </w:pPr>
    </w:p>
    <w:p w14:paraId="3A571BE8" w14:textId="26BDC026" w:rsidR="00592D9D" w:rsidRPr="0040173C" w:rsidRDefault="00592D9D" w:rsidP="00C24888">
      <w:pPr>
        <w:spacing w:line="288" w:lineRule="auto"/>
        <w:ind w:left="1559" w:right="471" w:hanging="425"/>
        <w:jc w:val="both"/>
        <w:rPr>
          <w:rFonts w:ascii="Arial" w:hAnsi="Arial" w:cs="Arial"/>
          <w:b/>
          <w:smallCaps/>
          <w:sz w:val="26"/>
          <w:szCs w:val="26"/>
          <w:lang w:val="bg-BG"/>
        </w:rPr>
      </w:pPr>
      <w:r w:rsidRPr="0040173C">
        <w:rPr>
          <w:rFonts w:ascii="Arial" w:hAnsi="Arial" w:cs="Arial"/>
          <w:b/>
          <w:smallCaps/>
          <w:sz w:val="26"/>
          <w:szCs w:val="26"/>
          <w:lang w:val="bg-BG"/>
        </w:rPr>
        <w:t xml:space="preserve">ЗА </w:t>
      </w:r>
      <w:r w:rsidR="00F27733" w:rsidRPr="00F27733">
        <w:rPr>
          <w:rFonts w:ascii="Arial" w:hAnsi="Arial" w:cs="Arial"/>
          <w:b/>
          <w:smallCaps/>
          <w:sz w:val="26"/>
          <w:szCs w:val="26"/>
          <w:lang w:val="bg-BG"/>
        </w:rPr>
        <w:t xml:space="preserve">изменение на Решение № 669 на Министерския съвет от 2025 година за предоставяне на разрешение за освобождаване от действието на ограничителните мерки на Европейския съюз на основание чл. 3к, параграф 5а, буква „б“ от Регламент на Съвета (ЕС) </w:t>
      </w:r>
      <w:r w:rsidR="00F27733">
        <w:rPr>
          <w:rFonts w:ascii="Arial" w:hAnsi="Arial" w:cs="Arial"/>
          <w:b/>
          <w:smallCaps/>
          <w:sz w:val="26"/>
          <w:szCs w:val="26"/>
          <w:lang w:val="bg-BG"/>
        </w:rPr>
        <w:br/>
      </w:r>
      <w:r w:rsidR="00F27733" w:rsidRPr="00F27733">
        <w:rPr>
          <w:rFonts w:ascii="Arial" w:hAnsi="Arial" w:cs="Arial"/>
          <w:b/>
          <w:smallCaps/>
          <w:sz w:val="26"/>
          <w:szCs w:val="26"/>
          <w:lang w:val="bg-BG"/>
        </w:rPr>
        <w:t>№ 833/2014 от 31 юли 2014 година относно ограничителни мерки с оглед на действията на Русия, дестабилизиращи положението в Украйна</w:t>
      </w:r>
    </w:p>
    <w:p w14:paraId="3AD66F98" w14:textId="77777777" w:rsidR="00B31744" w:rsidRDefault="00B31744" w:rsidP="00261870">
      <w:pPr>
        <w:spacing w:line="360" w:lineRule="auto"/>
        <w:ind w:firstLine="1134"/>
        <w:jc w:val="both"/>
        <w:rPr>
          <w:rFonts w:ascii="Arial" w:hAnsi="Arial" w:cs="Arial"/>
          <w:sz w:val="26"/>
          <w:szCs w:val="26"/>
          <w:lang w:val="bg-BG"/>
        </w:rPr>
      </w:pPr>
    </w:p>
    <w:p w14:paraId="6F79F610" w14:textId="6EF3E816" w:rsidR="00F27733" w:rsidRPr="00261870" w:rsidRDefault="00724AEC" w:rsidP="00261870">
      <w:pPr>
        <w:spacing w:line="360" w:lineRule="auto"/>
        <w:ind w:firstLine="1134"/>
        <w:jc w:val="both"/>
        <w:rPr>
          <w:rFonts w:ascii="Arial" w:hAnsi="Arial" w:cs="Arial"/>
          <w:sz w:val="26"/>
          <w:szCs w:val="26"/>
          <w:lang w:val="bg-BG"/>
        </w:rPr>
      </w:pPr>
      <w:r w:rsidRPr="00724AEC">
        <w:rPr>
          <w:rFonts w:ascii="Arial" w:hAnsi="Arial" w:cs="Arial"/>
          <w:sz w:val="26"/>
          <w:szCs w:val="26"/>
          <w:lang w:val="bg-BG"/>
        </w:rPr>
        <w:t xml:space="preserve">На основание член 105, ал. 1 от Конституцията на Република България и чл. 3к, параграф 5а, буква „б“ от Регламент на Съвета (ЕС) </w:t>
      </w:r>
      <w:r w:rsidR="00FE2913">
        <w:rPr>
          <w:rFonts w:ascii="Arial" w:hAnsi="Arial" w:cs="Arial"/>
          <w:sz w:val="26"/>
          <w:szCs w:val="26"/>
        </w:rPr>
        <w:br/>
      </w:r>
      <w:r w:rsidRPr="00724AEC">
        <w:rPr>
          <w:rFonts w:ascii="Arial" w:hAnsi="Arial" w:cs="Arial"/>
          <w:sz w:val="26"/>
          <w:szCs w:val="26"/>
          <w:lang w:val="bg-BG"/>
        </w:rPr>
        <w:t xml:space="preserve">№ 833/2014 от 31 юли 2014 година относно ограничителни мерки с оглед на действията на Русия, дестабилизиращи положението в Украйна (OB, </w:t>
      </w:r>
      <w:r w:rsidR="00FE2913">
        <w:rPr>
          <w:rFonts w:ascii="Arial" w:hAnsi="Arial" w:cs="Arial"/>
          <w:sz w:val="26"/>
          <w:szCs w:val="26"/>
        </w:rPr>
        <w:br/>
      </w:r>
      <w:r w:rsidRPr="00724AEC">
        <w:rPr>
          <w:rFonts w:ascii="Arial" w:hAnsi="Arial" w:cs="Arial"/>
          <w:sz w:val="26"/>
          <w:szCs w:val="26"/>
          <w:lang w:val="bg-BG"/>
        </w:rPr>
        <w:t>L 229/1 от 31 юли 2014 г.)</w:t>
      </w:r>
    </w:p>
    <w:p w14:paraId="4F83EBAA" w14:textId="77777777" w:rsidR="00937D4E" w:rsidRDefault="00937D4E" w:rsidP="002941BF">
      <w:pPr>
        <w:spacing w:line="288" w:lineRule="auto"/>
        <w:ind w:firstLine="1134"/>
        <w:jc w:val="both"/>
        <w:rPr>
          <w:rFonts w:ascii="Arial" w:hAnsi="Arial" w:cs="Arial"/>
          <w:sz w:val="26"/>
          <w:szCs w:val="26"/>
          <w:lang w:val="bg-BG"/>
        </w:rPr>
      </w:pPr>
    </w:p>
    <w:p w14:paraId="12F4C39C" w14:textId="77777777" w:rsidR="00261870" w:rsidRPr="0040173C" w:rsidRDefault="00261870" w:rsidP="002941BF">
      <w:pPr>
        <w:spacing w:line="288" w:lineRule="auto"/>
        <w:ind w:firstLine="1134"/>
        <w:jc w:val="both"/>
        <w:rPr>
          <w:rFonts w:ascii="Arial" w:hAnsi="Arial" w:cs="Arial"/>
          <w:sz w:val="26"/>
          <w:szCs w:val="26"/>
          <w:lang w:val="bg-BG"/>
        </w:rPr>
      </w:pPr>
    </w:p>
    <w:p w14:paraId="5300EBE5"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6566A12E"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2D425E9E" w14:textId="77777777" w:rsidR="00592D9D" w:rsidRDefault="00592D9D" w:rsidP="00592D9D">
      <w:pPr>
        <w:jc w:val="center"/>
        <w:rPr>
          <w:spacing w:val="40"/>
          <w:sz w:val="20"/>
          <w:lang w:val="bg-BG"/>
        </w:rPr>
      </w:pPr>
    </w:p>
    <w:p w14:paraId="6634A55E" w14:textId="77777777" w:rsidR="00261870" w:rsidRPr="0040173C" w:rsidRDefault="00261870" w:rsidP="00592D9D">
      <w:pPr>
        <w:jc w:val="center"/>
        <w:rPr>
          <w:spacing w:val="40"/>
          <w:sz w:val="20"/>
          <w:lang w:val="bg-BG"/>
        </w:rPr>
      </w:pPr>
    </w:p>
    <w:p w14:paraId="01BFA3E5" w14:textId="51340E1D" w:rsidR="00724AEC" w:rsidRPr="00724AEC" w:rsidRDefault="00724AEC" w:rsidP="00724AEC">
      <w:pPr>
        <w:spacing w:before="120" w:line="360" w:lineRule="auto"/>
        <w:ind w:firstLine="1134"/>
        <w:jc w:val="both"/>
        <w:rPr>
          <w:rFonts w:ascii="Arial" w:hAnsi="Arial"/>
          <w:sz w:val="26"/>
          <w:szCs w:val="26"/>
          <w:lang w:val="bg-BG"/>
        </w:rPr>
      </w:pPr>
      <w:r w:rsidRPr="00724AEC">
        <w:rPr>
          <w:rFonts w:ascii="Arial" w:hAnsi="Arial"/>
          <w:b/>
          <w:bCs/>
          <w:sz w:val="26"/>
          <w:szCs w:val="26"/>
          <w:lang w:val="bg-BG"/>
        </w:rPr>
        <w:t>1.</w:t>
      </w:r>
      <w:r w:rsidRPr="00724AEC">
        <w:rPr>
          <w:rFonts w:ascii="Arial" w:hAnsi="Arial"/>
          <w:sz w:val="26"/>
          <w:szCs w:val="26"/>
          <w:lang w:val="bg-BG"/>
        </w:rPr>
        <w:tab/>
        <w:t>В т. 1 думите „произведени от „ИДЕАЛ СТАНДАРТ – ВИДИМА“ АД, ЕИК 107021444“ се заменят с „които дружеството ще закупува от „</w:t>
      </w:r>
      <w:proofErr w:type="spellStart"/>
      <w:r w:rsidRPr="00724AEC">
        <w:rPr>
          <w:rFonts w:ascii="Arial" w:hAnsi="Arial"/>
          <w:sz w:val="26"/>
          <w:szCs w:val="26"/>
          <w:lang w:val="bg-BG"/>
        </w:rPr>
        <w:t>Вилерой</w:t>
      </w:r>
      <w:proofErr w:type="spellEnd"/>
      <w:r w:rsidRPr="00724AEC">
        <w:rPr>
          <w:rFonts w:ascii="Arial" w:hAnsi="Arial"/>
          <w:sz w:val="26"/>
          <w:szCs w:val="26"/>
          <w:lang w:val="bg-BG"/>
        </w:rPr>
        <w:t xml:space="preserve"> &amp; </w:t>
      </w:r>
      <w:proofErr w:type="spellStart"/>
      <w:r w:rsidRPr="00724AEC">
        <w:rPr>
          <w:rFonts w:ascii="Arial" w:hAnsi="Arial"/>
          <w:sz w:val="26"/>
          <w:szCs w:val="26"/>
          <w:lang w:val="bg-BG"/>
        </w:rPr>
        <w:t>Бох</w:t>
      </w:r>
      <w:proofErr w:type="spellEnd"/>
      <w:r w:rsidRPr="00724AEC">
        <w:rPr>
          <w:rFonts w:ascii="Arial" w:hAnsi="Arial"/>
          <w:sz w:val="26"/>
          <w:szCs w:val="26"/>
          <w:lang w:val="bg-BG"/>
        </w:rPr>
        <w:t xml:space="preserve"> България“ АД, ЕИК 107021444, и които ще носят търговските марки „</w:t>
      </w:r>
      <w:proofErr w:type="spellStart"/>
      <w:r w:rsidRPr="00724AEC">
        <w:rPr>
          <w:rFonts w:ascii="Arial" w:hAnsi="Arial"/>
          <w:sz w:val="26"/>
          <w:szCs w:val="26"/>
          <w:lang w:val="bg-BG"/>
        </w:rPr>
        <w:t>Vidima</w:t>
      </w:r>
      <w:proofErr w:type="spellEnd"/>
      <w:r w:rsidRPr="00724AEC">
        <w:rPr>
          <w:rFonts w:ascii="Arial" w:hAnsi="Arial"/>
          <w:sz w:val="26"/>
          <w:szCs w:val="26"/>
          <w:lang w:val="bg-BG"/>
        </w:rPr>
        <w:t>“, „</w:t>
      </w:r>
      <w:proofErr w:type="spellStart"/>
      <w:r w:rsidRPr="00724AEC">
        <w:rPr>
          <w:rFonts w:ascii="Arial" w:hAnsi="Arial"/>
          <w:sz w:val="26"/>
          <w:szCs w:val="26"/>
          <w:lang w:val="bg-BG"/>
        </w:rPr>
        <w:t>Ideal</w:t>
      </w:r>
      <w:proofErr w:type="spellEnd"/>
      <w:r w:rsidRPr="00724AEC">
        <w:rPr>
          <w:rFonts w:ascii="Arial" w:hAnsi="Arial"/>
          <w:sz w:val="26"/>
          <w:szCs w:val="26"/>
          <w:lang w:val="bg-BG"/>
        </w:rPr>
        <w:t xml:space="preserve"> Standard“ или „</w:t>
      </w:r>
      <w:proofErr w:type="spellStart"/>
      <w:r w:rsidRPr="00724AEC">
        <w:rPr>
          <w:rFonts w:ascii="Arial" w:hAnsi="Arial"/>
          <w:sz w:val="26"/>
          <w:szCs w:val="26"/>
          <w:lang w:val="bg-BG"/>
        </w:rPr>
        <w:t>Villeroy</w:t>
      </w:r>
      <w:proofErr w:type="spellEnd"/>
      <w:r w:rsidRPr="00724AEC">
        <w:rPr>
          <w:rFonts w:ascii="Arial" w:hAnsi="Arial"/>
          <w:sz w:val="26"/>
          <w:szCs w:val="26"/>
          <w:lang w:val="bg-BG"/>
        </w:rPr>
        <w:t xml:space="preserve"> &amp; </w:t>
      </w:r>
      <w:proofErr w:type="spellStart"/>
      <w:r w:rsidRPr="00724AEC">
        <w:rPr>
          <w:rFonts w:ascii="Arial" w:hAnsi="Arial"/>
          <w:sz w:val="26"/>
          <w:szCs w:val="26"/>
          <w:lang w:val="bg-BG"/>
        </w:rPr>
        <w:t>Boch</w:t>
      </w:r>
      <w:proofErr w:type="spellEnd"/>
      <w:r w:rsidRPr="00724AEC">
        <w:rPr>
          <w:rFonts w:ascii="Arial" w:hAnsi="Arial"/>
          <w:sz w:val="26"/>
          <w:szCs w:val="26"/>
          <w:lang w:val="bg-BG"/>
        </w:rPr>
        <w:t>“.</w:t>
      </w:r>
    </w:p>
    <w:p w14:paraId="2FFF39A5" w14:textId="550E400E" w:rsidR="00724AEC" w:rsidRPr="00724AEC" w:rsidRDefault="00724AEC" w:rsidP="00724AEC">
      <w:pPr>
        <w:spacing w:before="120" w:line="360" w:lineRule="auto"/>
        <w:ind w:firstLine="1134"/>
        <w:jc w:val="both"/>
        <w:rPr>
          <w:rFonts w:ascii="Arial" w:hAnsi="Arial"/>
          <w:sz w:val="26"/>
          <w:szCs w:val="26"/>
          <w:lang w:val="bg-BG"/>
        </w:rPr>
      </w:pPr>
      <w:r w:rsidRPr="00724AEC">
        <w:rPr>
          <w:rFonts w:ascii="Arial" w:hAnsi="Arial"/>
          <w:b/>
          <w:bCs/>
          <w:sz w:val="26"/>
          <w:szCs w:val="26"/>
          <w:lang w:val="bg-BG"/>
        </w:rPr>
        <w:lastRenderedPageBreak/>
        <w:t>2.</w:t>
      </w:r>
      <w:r w:rsidRPr="00724AEC">
        <w:rPr>
          <w:rFonts w:ascii="Arial" w:hAnsi="Arial"/>
          <w:sz w:val="26"/>
          <w:szCs w:val="26"/>
          <w:lang w:val="bg-BG"/>
        </w:rPr>
        <w:tab/>
        <w:t>Министърът на икономиката и индустрията да уведоми „ЛИДОНИ-2016“ ЕООД за това решение.</w:t>
      </w:r>
    </w:p>
    <w:p w14:paraId="0CB8FC6A" w14:textId="1D053FE7" w:rsidR="0040173C" w:rsidRPr="0040173C" w:rsidRDefault="00724AEC" w:rsidP="00724AEC">
      <w:pPr>
        <w:spacing w:before="120" w:line="360" w:lineRule="auto"/>
        <w:ind w:firstLine="1134"/>
        <w:jc w:val="both"/>
        <w:rPr>
          <w:rFonts w:ascii="Arial" w:hAnsi="Arial"/>
          <w:sz w:val="26"/>
          <w:szCs w:val="26"/>
          <w:lang w:val="bg-BG"/>
        </w:rPr>
      </w:pPr>
      <w:r w:rsidRPr="00724AEC">
        <w:rPr>
          <w:rFonts w:ascii="Arial" w:hAnsi="Arial"/>
          <w:b/>
          <w:bCs/>
          <w:sz w:val="26"/>
          <w:szCs w:val="26"/>
          <w:lang w:val="bg-BG"/>
        </w:rPr>
        <w:t>3.</w:t>
      </w:r>
      <w:r w:rsidRPr="00724AEC">
        <w:rPr>
          <w:rFonts w:ascii="Arial" w:hAnsi="Arial"/>
          <w:sz w:val="26"/>
          <w:szCs w:val="26"/>
          <w:lang w:val="bg-BG"/>
        </w:rPr>
        <w:tab/>
        <w:t xml:space="preserve">Министерството на външните работи в 14-дневен срок да уведоми държавите </w:t>
      </w:r>
      <w:r w:rsidR="00FE2913">
        <w:rPr>
          <w:rFonts w:ascii="Arial" w:hAnsi="Arial"/>
          <w:sz w:val="26"/>
          <w:szCs w:val="26"/>
        </w:rPr>
        <w:t xml:space="preserve">- </w:t>
      </w:r>
      <w:r w:rsidRPr="00724AEC">
        <w:rPr>
          <w:rFonts w:ascii="Arial" w:hAnsi="Arial"/>
          <w:sz w:val="26"/>
          <w:szCs w:val="26"/>
          <w:lang w:val="bg-BG"/>
        </w:rPr>
        <w:t>членки и Европейската комисия</w:t>
      </w:r>
      <w:r w:rsidR="00FE2913">
        <w:rPr>
          <w:rFonts w:ascii="Arial" w:hAnsi="Arial"/>
          <w:sz w:val="26"/>
          <w:szCs w:val="26"/>
          <w:lang w:val="bg-BG"/>
        </w:rPr>
        <w:t>,</w:t>
      </w:r>
      <w:r w:rsidRPr="00724AEC">
        <w:rPr>
          <w:rFonts w:ascii="Arial" w:hAnsi="Arial"/>
          <w:sz w:val="26"/>
          <w:szCs w:val="26"/>
          <w:lang w:val="bg-BG"/>
        </w:rPr>
        <w:t xml:space="preserve"> за това решение.</w:t>
      </w:r>
    </w:p>
    <w:p w14:paraId="2FB82C40" w14:textId="77777777" w:rsidR="0040173C" w:rsidRPr="0040173C" w:rsidRDefault="0040173C" w:rsidP="0040173C">
      <w:pPr>
        <w:spacing w:before="120" w:line="288" w:lineRule="auto"/>
        <w:ind w:firstLine="1134"/>
        <w:jc w:val="both"/>
        <w:rPr>
          <w:rFonts w:ascii="Arial" w:hAnsi="Arial"/>
          <w:sz w:val="26"/>
          <w:szCs w:val="26"/>
          <w:lang w:val="bg-BG"/>
        </w:rPr>
      </w:pPr>
    </w:p>
    <w:p w14:paraId="47866080"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0930F2C2"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35DDB14D"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3FAA3325" w14:textId="77777777" w:rsidR="009B7E49" w:rsidRPr="009B7E49" w:rsidRDefault="009B7E49" w:rsidP="009A43C4">
      <w:pPr>
        <w:ind w:firstLine="1134"/>
        <w:rPr>
          <w:rFonts w:ascii="Arial" w:hAnsi="Arial" w:cs="Arial"/>
          <w:b/>
          <w:lang w:val="bg-BG"/>
        </w:rPr>
      </w:pPr>
      <w:r w:rsidRPr="009B7E49">
        <w:rPr>
          <w:rFonts w:ascii="Arial" w:hAnsi="Arial" w:cs="Arial"/>
          <w:b/>
          <w:lang w:val="bg-BG"/>
        </w:rPr>
        <w:t>ЗА МИНИСТЪР-ПРЕДСЕДАТЕЛ: /п/ Томислав Дончев</w:t>
      </w:r>
    </w:p>
    <w:p w14:paraId="7F78F9EA" w14:textId="77777777" w:rsidR="009B7E49" w:rsidRPr="009B7E49" w:rsidRDefault="009B7E49" w:rsidP="009A43C4">
      <w:pPr>
        <w:ind w:firstLine="1134"/>
        <w:rPr>
          <w:rFonts w:ascii="Arial" w:hAnsi="Arial" w:cs="Arial"/>
          <w:b/>
          <w:lang w:val="bg-BG"/>
        </w:rPr>
      </w:pPr>
    </w:p>
    <w:p w14:paraId="5F18804A" w14:textId="77777777" w:rsidR="009B7E49" w:rsidRPr="009B7E49" w:rsidRDefault="009B7E49" w:rsidP="009A43C4">
      <w:pPr>
        <w:ind w:firstLine="1134"/>
        <w:rPr>
          <w:rFonts w:ascii="Arial" w:hAnsi="Arial" w:cs="Arial"/>
          <w:b/>
          <w:lang w:val="bg-BG"/>
        </w:rPr>
      </w:pPr>
      <w:r w:rsidRPr="009B7E49">
        <w:rPr>
          <w:rFonts w:ascii="Arial" w:hAnsi="Arial" w:cs="Arial"/>
          <w:b/>
          <w:lang w:val="bg-BG"/>
        </w:rPr>
        <w:t>ГЛАВЕН СЕКРЕТАР НА</w:t>
      </w:r>
    </w:p>
    <w:p w14:paraId="49FE8181" w14:textId="77777777" w:rsidR="009B7E49" w:rsidRPr="009B7E49" w:rsidRDefault="009B7E49" w:rsidP="009A43C4">
      <w:pPr>
        <w:ind w:firstLine="1134"/>
        <w:rPr>
          <w:rFonts w:ascii="Arial" w:hAnsi="Arial" w:cs="Arial"/>
          <w:b/>
          <w:lang w:val="bg-BG"/>
        </w:rPr>
      </w:pPr>
      <w:r w:rsidRPr="009B7E49">
        <w:rPr>
          <w:rFonts w:ascii="Arial" w:hAnsi="Arial" w:cs="Arial"/>
          <w:b/>
          <w:lang w:val="bg-BG"/>
        </w:rPr>
        <w:t>МИНИСТЕРСКИЯ СЪВЕТ: /п/ Габриела Козарева</w:t>
      </w:r>
    </w:p>
    <w:p w14:paraId="43BB1DE9" w14:textId="77777777" w:rsidR="009B7E49" w:rsidRPr="009B7E49" w:rsidRDefault="009B7E49" w:rsidP="009A43C4">
      <w:pPr>
        <w:ind w:firstLine="1134"/>
        <w:rPr>
          <w:rFonts w:ascii="Arial" w:hAnsi="Arial" w:cs="Arial"/>
          <w:b/>
          <w:lang w:val="bg-BG"/>
        </w:rPr>
      </w:pPr>
    </w:p>
    <w:sectPr w:rsidR="009B7E49" w:rsidRPr="009B7E49" w:rsidSect="00930E3B">
      <w:headerReference w:type="even" r:id="rId7"/>
      <w:headerReference w:type="default" r:id="rId8"/>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BC35" w14:textId="77777777" w:rsidR="00FE09E5" w:rsidRDefault="00FE09E5">
      <w:r>
        <w:separator/>
      </w:r>
    </w:p>
  </w:endnote>
  <w:endnote w:type="continuationSeparator" w:id="0">
    <w:p w14:paraId="0B919390" w14:textId="77777777" w:rsidR="00FE09E5" w:rsidRDefault="00FE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001" w:usb1="00000000" w:usb2="00000000" w:usb3="00000000" w:csb0="0000001F" w:csb1="00000000"/>
  </w:font>
  <w:font w:name="Timok">
    <w:altName w:val="Calibri"/>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001"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FA9B" w14:textId="77777777" w:rsidR="00FE09E5" w:rsidRDefault="00FE09E5">
      <w:r>
        <w:separator/>
      </w:r>
    </w:p>
  </w:footnote>
  <w:footnote w:type="continuationSeparator" w:id="0">
    <w:p w14:paraId="4FCD1BE1" w14:textId="77777777" w:rsidR="00FE09E5" w:rsidRDefault="00FE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4939"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B16E0"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87A5"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3626B602" w14:textId="77777777" w:rsidR="00E15014" w:rsidRDefault="00E15014">
    <w:pPr>
      <w:pStyle w:val="Header"/>
    </w:pPr>
  </w:p>
  <w:p w14:paraId="0621483E" w14:textId="77777777" w:rsidR="00E15014" w:rsidRDefault="00E15014">
    <w:pPr>
      <w:pStyle w:val="Header"/>
    </w:pPr>
  </w:p>
  <w:p w14:paraId="45DD1A03"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258683271">
    <w:abstractNumId w:val="25"/>
  </w:num>
  <w:num w:numId="2" w16cid:durableId="1315992720">
    <w:abstractNumId w:val="24"/>
  </w:num>
  <w:num w:numId="3" w16cid:durableId="2088572715">
    <w:abstractNumId w:val="20"/>
  </w:num>
  <w:num w:numId="4" w16cid:durableId="2037339946">
    <w:abstractNumId w:val="28"/>
  </w:num>
  <w:num w:numId="5" w16cid:durableId="895165549">
    <w:abstractNumId w:val="11"/>
  </w:num>
  <w:num w:numId="6" w16cid:durableId="575014035">
    <w:abstractNumId w:val="18"/>
  </w:num>
  <w:num w:numId="7" w16cid:durableId="762996777">
    <w:abstractNumId w:val="32"/>
  </w:num>
  <w:num w:numId="8" w16cid:durableId="858088110">
    <w:abstractNumId w:val="22"/>
  </w:num>
  <w:num w:numId="9" w16cid:durableId="150948331">
    <w:abstractNumId w:val="29"/>
  </w:num>
  <w:num w:numId="10" w16cid:durableId="1909536009">
    <w:abstractNumId w:val="17"/>
  </w:num>
  <w:num w:numId="11" w16cid:durableId="1638031102">
    <w:abstractNumId w:val="1"/>
  </w:num>
  <w:num w:numId="12" w16cid:durableId="206992457">
    <w:abstractNumId w:val="0"/>
  </w:num>
  <w:num w:numId="13" w16cid:durableId="1494486995">
    <w:abstractNumId w:val="6"/>
  </w:num>
  <w:num w:numId="14" w16cid:durableId="1216086896">
    <w:abstractNumId w:val="21"/>
  </w:num>
  <w:num w:numId="15" w16cid:durableId="239415554">
    <w:abstractNumId w:val="19"/>
  </w:num>
  <w:num w:numId="16" w16cid:durableId="1317606659">
    <w:abstractNumId w:val="14"/>
  </w:num>
  <w:num w:numId="17" w16cid:durableId="1277568074">
    <w:abstractNumId w:val="27"/>
  </w:num>
  <w:num w:numId="18" w16cid:durableId="1863546530">
    <w:abstractNumId w:val="31"/>
  </w:num>
  <w:num w:numId="19" w16cid:durableId="1979450192">
    <w:abstractNumId w:val="16"/>
  </w:num>
  <w:num w:numId="20" w16cid:durableId="1016417706">
    <w:abstractNumId w:val="7"/>
  </w:num>
  <w:num w:numId="21" w16cid:durableId="1067806381">
    <w:abstractNumId w:val="10"/>
  </w:num>
  <w:num w:numId="22" w16cid:durableId="627128056">
    <w:abstractNumId w:val="8"/>
  </w:num>
  <w:num w:numId="23" w16cid:durableId="376857995">
    <w:abstractNumId w:val="33"/>
  </w:num>
  <w:num w:numId="24" w16cid:durableId="1514220043">
    <w:abstractNumId w:val="23"/>
  </w:num>
  <w:num w:numId="25" w16cid:durableId="338967058">
    <w:abstractNumId w:val="15"/>
  </w:num>
  <w:num w:numId="26" w16cid:durableId="383410355">
    <w:abstractNumId w:val="4"/>
  </w:num>
  <w:num w:numId="27" w16cid:durableId="161167477">
    <w:abstractNumId w:val="30"/>
  </w:num>
  <w:num w:numId="28" w16cid:durableId="852767634">
    <w:abstractNumId w:val="9"/>
  </w:num>
  <w:num w:numId="29" w16cid:durableId="879903280">
    <w:abstractNumId w:val="2"/>
  </w:num>
  <w:num w:numId="30" w16cid:durableId="1652320732">
    <w:abstractNumId w:val="12"/>
  </w:num>
  <w:num w:numId="31" w16cid:durableId="1486314811">
    <w:abstractNumId w:val="13"/>
  </w:num>
  <w:num w:numId="32" w16cid:durableId="1845902254">
    <w:abstractNumId w:val="3"/>
  </w:num>
  <w:num w:numId="33" w16cid:durableId="1122112004">
    <w:abstractNumId w:val="26"/>
  </w:num>
  <w:num w:numId="34" w16cid:durableId="1153791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642FD"/>
    <w:rsid w:val="00083D9C"/>
    <w:rsid w:val="000907DC"/>
    <w:rsid w:val="000A37B5"/>
    <w:rsid w:val="000E2379"/>
    <w:rsid w:val="000E698D"/>
    <w:rsid w:val="000F2486"/>
    <w:rsid w:val="0013183B"/>
    <w:rsid w:val="00161F7A"/>
    <w:rsid w:val="00185790"/>
    <w:rsid w:val="001A31E2"/>
    <w:rsid w:val="001B2042"/>
    <w:rsid w:val="001B221C"/>
    <w:rsid w:val="001B4A5E"/>
    <w:rsid w:val="001C113C"/>
    <w:rsid w:val="001D730C"/>
    <w:rsid w:val="001D766C"/>
    <w:rsid w:val="001E3F29"/>
    <w:rsid w:val="002038E5"/>
    <w:rsid w:val="00205745"/>
    <w:rsid w:val="00222E28"/>
    <w:rsid w:val="00227A4D"/>
    <w:rsid w:val="00227BC8"/>
    <w:rsid w:val="0023174A"/>
    <w:rsid w:val="0023282B"/>
    <w:rsid w:val="002365FC"/>
    <w:rsid w:val="00241915"/>
    <w:rsid w:val="0024407B"/>
    <w:rsid w:val="00245AA1"/>
    <w:rsid w:val="00245EC1"/>
    <w:rsid w:val="002554A4"/>
    <w:rsid w:val="00261870"/>
    <w:rsid w:val="0026779D"/>
    <w:rsid w:val="00270E38"/>
    <w:rsid w:val="00277DF5"/>
    <w:rsid w:val="002941BF"/>
    <w:rsid w:val="002957FF"/>
    <w:rsid w:val="002A3A2D"/>
    <w:rsid w:val="002B7101"/>
    <w:rsid w:val="002C0D61"/>
    <w:rsid w:val="002D2B24"/>
    <w:rsid w:val="002F4E65"/>
    <w:rsid w:val="003017D2"/>
    <w:rsid w:val="0031138D"/>
    <w:rsid w:val="00316C29"/>
    <w:rsid w:val="0033459C"/>
    <w:rsid w:val="0033725B"/>
    <w:rsid w:val="0035071E"/>
    <w:rsid w:val="003550BF"/>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7C71"/>
    <w:rsid w:val="0043050E"/>
    <w:rsid w:val="00436ADC"/>
    <w:rsid w:val="00437618"/>
    <w:rsid w:val="00452679"/>
    <w:rsid w:val="0047372D"/>
    <w:rsid w:val="004743EA"/>
    <w:rsid w:val="0048267B"/>
    <w:rsid w:val="00491AF5"/>
    <w:rsid w:val="004962BB"/>
    <w:rsid w:val="004A292C"/>
    <w:rsid w:val="004B2BA3"/>
    <w:rsid w:val="004D1FF1"/>
    <w:rsid w:val="004F65D0"/>
    <w:rsid w:val="005145A8"/>
    <w:rsid w:val="0051538F"/>
    <w:rsid w:val="00520892"/>
    <w:rsid w:val="00527210"/>
    <w:rsid w:val="00533DEF"/>
    <w:rsid w:val="00537952"/>
    <w:rsid w:val="00562D32"/>
    <w:rsid w:val="005726F0"/>
    <w:rsid w:val="00572873"/>
    <w:rsid w:val="00576143"/>
    <w:rsid w:val="0058777F"/>
    <w:rsid w:val="00592C04"/>
    <w:rsid w:val="00592D9D"/>
    <w:rsid w:val="005941C6"/>
    <w:rsid w:val="005A66E4"/>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59C3"/>
    <w:rsid w:val="006E707D"/>
    <w:rsid w:val="006F7A49"/>
    <w:rsid w:val="00703F67"/>
    <w:rsid w:val="0072209E"/>
    <w:rsid w:val="00723AF6"/>
    <w:rsid w:val="00724AEC"/>
    <w:rsid w:val="00724D07"/>
    <w:rsid w:val="00731CA3"/>
    <w:rsid w:val="007409D0"/>
    <w:rsid w:val="00754FC7"/>
    <w:rsid w:val="0076039D"/>
    <w:rsid w:val="007803D0"/>
    <w:rsid w:val="0079463C"/>
    <w:rsid w:val="007A294D"/>
    <w:rsid w:val="007A3A4E"/>
    <w:rsid w:val="007A4C8B"/>
    <w:rsid w:val="007B2E00"/>
    <w:rsid w:val="007C0FAF"/>
    <w:rsid w:val="007C7317"/>
    <w:rsid w:val="007D03C8"/>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5AAB"/>
    <w:rsid w:val="009140A4"/>
    <w:rsid w:val="00917A77"/>
    <w:rsid w:val="00922D75"/>
    <w:rsid w:val="00923DC6"/>
    <w:rsid w:val="00925B76"/>
    <w:rsid w:val="00930E3B"/>
    <w:rsid w:val="00936F3F"/>
    <w:rsid w:val="00937D4E"/>
    <w:rsid w:val="00940EAD"/>
    <w:rsid w:val="00952C2D"/>
    <w:rsid w:val="00956510"/>
    <w:rsid w:val="00957784"/>
    <w:rsid w:val="00970532"/>
    <w:rsid w:val="00981AC2"/>
    <w:rsid w:val="00985B77"/>
    <w:rsid w:val="00987FB1"/>
    <w:rsid w:val="009915FA"/>
    <w:rsid w:val="009B4FFC"/>
    <w:rsid w:val="009B6377"/>
    <w:rsid w:val="009B78B5"/>
    <w:rsid w:val="009B7E49"/>
    <w:rsid w:val="009C11CF"/>
    <w:rsid w:val="00A135A8"/>
    <w:rsid w:val="00A15702"/>
    <w:rsid w:val="00A24C3E"/>
    <w:rsid w:val="00A269E7"/>
    <w:rsid w:val="00A26C37"/>
    <w:rsid w:val="00A300D6"/>
    <w:rsid w:val="00A33B08"/>
    <w:rsid w:val="00A427D0"/>
    <w:rsid w:val="00A7105B"/>
    <w:rsid w:val="00A748A5"/>
    <w:rsid w:val="00A76E0B"/>
    <w:rsid w:val="00A85C76"/>
    <w:rsid w:val="00A867FB"/>
    <w:rsid w:val="00A91354"/>
    <w:rsid w:val="00A9300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A0A68"/>
    <w:rsid w:val="00BA15BB"/>
    <w:rsid w:val="00BA43F7"/>
    <w:rsid w:val="00BB0E54"/>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6149F"/>
    <w:rsid w:val="00C820B0"/>
    <w:rsid w:val="00C8575E"/>
    <w:rsid w:val="00C95359"/>
    <w:rsid w:val="00CA2A3F"/>
    <w:rsid w:val="00CA40E5"/>
    <w:rsid w:val="00CC4EEA"/>
    <w:rsid w:val="00CD1846"/>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D4023"/>
    <w:rsid w:val="00DE5754"/>
    <w:rsid w:val="00DF31C2"/>
    <w:rsid w:val="00DF43DD"/>
    <w:rsid w:val="00E03C6C"/>
    <w:rsid w:val="00E0600D"/>
    <w:rsid w:val="00E10053"/>
    <w:rsid w:val="00E15014"/>
    <w:rsid w:val="00E17962"/>
    <w:rsid w:val="00E2021D"/>
    <w:rsid w:val="00E35B80"/>
    <w:rsid w:val="00E65B54"/>
    <w:rsid w:val="00E773B2"/>
    <w:rsid w:val="00E90CED"/>
    <w:rsid w:val="00E97511"/>
    <w:rsid w:val="00EB6781"/>
    <w:rsid w:val="00EC3AC4"/>
    <w:rsid w:val="00EC7184"/>
    <w:rsid w:val="00ED265C"/>
    <w:rsid w:val="00EE3102"/>
    <w:rsid w:val="00EF53F1"/>
    <w:rsid w:val="00F02E6F"/>
    <w:rsid w:val="00F25FE2"/>
    <w:rsid w:val="00F27733"/>
    <w:rsid w:val="00F36D9E"/>
    <w:rsid w:val="00F372C4"/>
    <w:rsid w:val="00F74DDC"/>
    <w:rsid w:val="00F8307E"/>
    <w:rsid w:val="00F94566"/>
    <w:rsid w:val="00F947CB"/>
    <w:rsid w:val="00F94F9B"/>
    <w:rsid w:val="00FA096A"/>
    <w:rsid w:val="00FA6A46"/>
    <w:rsid w:val="00FE09E5"/>
    <w:rsid w:val="00FE2379"/>
    <w:rsid w:val="00FE2913"/>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00AC5"/>
  <w15:chartTrackingRefBased/>
  <w15:docId w15:val="{1C7B67CD-777A-402C-8D8B-EE06F5BB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1173</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2025-08-05T17:51:00Z</cp:lastPrinted>
  <dcterms:created xsi:type="dcterms:W3CDTF">2026-01-22T13:37:00Z</dcterms:created>
  <dcterms:modified xsi:type="dcterms:W3CDTF">2026-01-22T13:37:00Z</dcterms:modified>
</cp:coreProperties>
</file>