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C078D8" w:rsidRDefault="00AD087A">
      <w:pPr>
        <w:jc w:val="center"/>
        <w:rPr>
          <w:rFonts w:ascii="Times New Roman" w:hAnsi="Times New Roman"/>
          <w:b/>
          <w:sz w:val="26"/>
          <w:szCs w:val="26"/>
          <w:lang w:val="bg-BG"/>
        </w:rPr>
      </w:pPr>
    </w:p>
    <w:p w14:paraId="702F2205" w14:textId="77777777" w:rsidR="00AD087A" w:rsidRPr="00C078D8" w:rsidRDefault="00AD087A">
      <w:pPr>
        <w:jc w:val="center"/>
        <w:rPr>
          <w:rFonts w:ascii="Times New Roman" w:hAnsi="Times New Roman"/>
          <w:b/>
          <w:sz w:val="32"/>
          <w:szCs w:val="32"/>
          <w:lang w:val="bg-BG"/>
        </w:rPr>
      </w:pPr>
      <w:r w:rsidRPr="00C078D8">
        <w:rPr>
          <w:rFonts w:ascii="Times New Roman" w:hAnsi="Times New Roman"/>
          <w:b/>
          <w:sz w:val="32"/>
          <w:szCs w:val="32"/>
          <w:lang w:val="bg-BG"/>
        </w:rPr>
        <w:t>М  О  Т  И  В  И</w:t>
      </w:r>
    </w:p>
    <w:p w14:paraId="5B3907F6" w14:textId="77777777" w:rsidR="00AD087A" w:rsidRPr="00C078D8" w:rsidRDefault="00AD087A">
      <w:pPr>
        <w:jc w:val="center"/>
        <w:rPr>
          <w:rFonts w:ascii="Times New Roman" w:hAnsi="Times New Roman"/>
          <w:b/>
          <w:sz w:val="26"/>
          <w:szCs w:val="26"/>
          <w:lang w:val="bg-BG"/>
        </w:rPr>
      </w:pPr>
    </w:p>
    <w:p w14:paraId="35F342CE" w14:textId="44967E81" w:rsidR="00AD087A" w:rsidRPr="00C078D8" w:rsidRDefault="00AD087A" w:rsidP="00E522E9">
      <w:pPr>
        <w:spacing w:line="288" w:lineRule="auto"/>
        <w:jc w:val="center"/>
        <w:rPr>
          <w:rFonts w:ascii="Times New Roman" w:hAnsi="Times New Roman"/>
          <w:b/>
          <w:smallCaps/>
          <w:sz w:val="28"/>
          <w:szCs w:val="28"/>
          <w:lang w:val="bg-BG"/>
        </w:rPr>
      </w:pPr>
      <w:r w:rsidRPr="00C078D8">
        <w:rPr>
          <w:rFonts w:ascii="Times New Roman" w:hAnsi="Times New Roman"/>
          <w:b/>
          <w:smallCaps/>
          <w:sz w:val="28"/>
          <w:szCs w:val="28"/>
          <w:lang w:val="bg-BG"/>
        </w:rPr>
        <w:t xml:space="preserve">към проекта на Закон за </w:t>
      </w:r>
      <w:r w:rsidR="001402F8" w:rsidRPr="00C078D8">
        <w:rPr>
          <w:rFonts w:ascii="Times New Roman" w:hAnsi="Times New Roman"/>
          <w:b/>
          <w:smallCaps/>
          <w:sz w:val="28"/>
          <w:szCs w:val="28"/>
          <w:lang w:val="bg-BG"/>
        </w:rPr>
        <w:t xml:space="preserve">изменение и допълнение на </w:t>
      </w:r>
      <w:r w:rsidR="00C078D8">
        <w:rPr>
          <w:rFonts w:ascii="Times New Roman" w:hAnsi="Times New Roman"/>
          <w:b/>
          <w:smallCaps/>
          <w:sz w:val="28"/>
          <w:szCs w:val="28"/>
          <w:lang w:val="bg-BG"/>
        </w:rPr>
        <w:br/>
      </w:r>
      <w:r w:rsidR="001402F8" w:rsidRPr="00C078D8">
        <w:rPr>
          <w:rFonts w:ascii="Times New Roman" w:hAnsi="Times New Roman"/>
          <w:b/>
          <w:smallCaps/>
          <w:sz w:val="28"/>
          <w:szCs w:val="28"/>
          <w:lang w:val="bg-BG"/>
        </w:rPr>
        <w:t>Закона за подпомагане на земеделските производители</w:t>
      </w:r>
    </w:p>
    <w:p w14:paraId="5056BBE4" w14:textId="77777777" w:rsidR="00AD087A" w:rsidRPr="00C078D8" w:rsidRDefault="00AD087A" w:rsidP="00D013AB">
      <w:pPr>
        <w:spacing w:line="288" w:lineRule="auto"/>
        <w:jc w:val="center"/>
        <w:rPr>
          <w:rFonts w:ascii="Times New Roman" w:hAnsi="Times New Roman"/>
          <w:b/>
          <w:sz w:val="26"/>
          <w:szCs w:val="26"/>
          <w:lang w:val="bg-BG"/>
        </w:rPr>
      </w:pPr>
    </w:p>
    <w:p w14:paraId="2A72F89D" w14:textId="77777777" w:rsidR="00AD087A" w:rsidRPr="00C078D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A74BD1B" w14:textId="66652C05"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Преценката за наличието на съответните предпоставки от обективна и субективна страна при изкуствени условия, представляващи специфичен вид нередност, които дават възможност за получаването на предимство пред други земеделски стопани чрез получаването на финансиране, следва да се анализират за всеки конкретен случай съобразно приложимите нормативни изисквания и е невъзможно да бъдат обхванати в подзаконов нормативен акт. Именно поради тази причина и до момента все още не е издадена наредба с такъв обхват. Държавен фонд „Земеделие“ (ДФЗ) до момента прилага директно Регламента без разписани мерки по прилагане в други актове с оглед </w:t>
      </w:r>
      <w:r w:rsidR="00C078D8">
        <w:rPr>
          <w:rFonts w:ascii="Times New Roman" w:eastAsia="Calibri" w:hAnsi="Times New Roman"/>
          <w:sz w:val="28"/>
          <w:szCs w:val="28"/>
          <w:lang w:val="bg-BG"/>
        </w:rPr>
        <w:t xml:space="preserve">на </w:t>
      </w:r>
      <w:r w:rsidRPr="00C078D8">
        <w:rPr>
          <w:rFonts w:ascii="Times New Roman" w:eastAsia="Calibri" w:hAnsi="Times New Roman"/>
          <w:sz w:val="28"/>
          <w:szCs w:val="28"/>
          <w:lang w:val="bg-BG"/>
        </w:rPr>
        <w:t>риска от неправилна интерпретация. В</w:t>
      </w:r>
      <w:r w:rsidR="00C078D8">
        <w:rPr>
          <w:rFonts w:ascii="Times New Roman" w:eastAsia="Calibri" w:hAnsi="Times New Roman"/>
          <w:sz w:val="28"/>
          <w:szCs w:val="28"/>
          <w:lang w:val="bg-BG"/>
        </w:rPr>
        <w:t>ъв</w:t>
      </w:r>
      <w:r w:rsidRPr="00C078D8">
        <w:rPr>
          <w:rFonts w:ascii="Times New Roman" w:eastAsia="Calibri" w:hAnsi="Times New Roman"/>
          <w:sz w:val="28"/>
          <w:szCs w:val="28"/>
          <w:lang w:val="bg-BG"/>
        </w:rPr>
        <w:t xml:space="preserve"> връзка</w:t>
      </w:r>
      <w:r w:rsidR="00C078D8">
        <w:rPr>
          <w:rFonts w:ascii="Times New Roman" w:eastAsia="Calibri" w:hAnsi="Times New Roman"/>
          <w:sz w:val="28"/>
          <w:szCs w:val="28"/>
          <w:lang w:val="bg-BG"/>
        </w:rPr>
        <w:t xml:space="preserve"> с това</w:t>
      </w:r>
      <w:r w:rsidRPr="00C078D8">
        <w:rPr>
          <w:rFonts w:ascii="Times New Roman" w:eastAsia="Calibri" w:hAnsi="Times New Roman"/>
          <w:sz w:val="28"/>
          <w:szCs w:val="28"/>
          <w:lang w:val="bg-BG"/>
        </w:rPr>
        <w:t xml:space="preserve"> Република България получи запитване от Европейската комисия на етап информационна фаза във връзка с оценката на изкуствено създадените условия в контекста на чл. 60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w:t>
      </w:r>
      <w:r w:rsidR="005922A9">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(ЕО) № 2799/98, (ЕО) № 814/2000, (ЕО) № 1290/2005 и (ЕО) № 485/2008 на Съвета, чл. 62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(Регламент (ЕС) 2021/2116) и съдебната практика на Съда на Европейския съюз, постъпило с </w:t>
      </w:r>
      <w:r w:rsidR="005922A9">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реф. № EUP (2024)10809 – CPLT(2022)02691, с което беше поискано да се представят обяснения относно прилагането на понятието „изкуствени </w:t>
      </w:r>
      <w:r w:rsidRPr="00C078D8">
        <w:rPr>
          <w:rFonts w:ascii="Times New Roman" w:eastAsia="Calibri" w:hAnsi="Times New Roman"/>
          <w:sz w:val="28"/>
          <w:szCs w:val="28"/>
          <w:lang w:val="bg-BG"/>
        </w:rPr>
        <w:lastRenderedPageBreak/>
        <w:t>условия“ в подзаконови нормативни актове в противоречие с изискванията на регламента. В</w:t>
      </w:r>
      <w:r w:rsidR="005922A9">
        <w:rPr>
          <w:rFonts w:ascii="Times New Roman" w:eastAsia="Calibri" w:hAnsi="Times New Roman"/>
          <w:sz w:val="28"/>
          <w:szCs w:val="28"/>
          <w:lang w:val="bg-BG"/>
        </w:rPr>
        <w:t>ъв</w:t>
      </w:r>
      <w:r w:rsidRPr="00C078D8">
        <w:rPr>
          <w:rFonts w:ascii="Times New Roman" w:eastAsia="Calibri" w:hAnsi="Times New Roman"/>
          <w:sz w:val="28"/>
          <w:szCs w:val="28"/>
          <w:lang w:val="bg-BG"/>
        </w:rPr>
        <w:t xml:space="preserve"> връзка </w:t>
      </w:r>
      <w:r w:rsidR="005922A9">
        <w:rPr>
          <w:rFonts w:ascii="Times New Roman" w:eastAsia="Calibri" w:hAnsi="Times New Roman"/>
          <w:sz w:val="28"/>
          <w:szCs w:val="28"/>
          <w:lang w:val="bg-BG"/>
        </w:rPr>
        <w:t xml:space="preserve">с това </w:t>
      </w:r>
      <w:r w:rsidRPr="00C078D8">
        <w:rPr>
          <w:rFonts w:ascii="Times New Roman" w:eastAsia="Calibri" w:hAnsi="Times New Roman"/>
          <w:sz w:val="28"/>
          <w:szCs w:val="28"/>
          <w:lang w:val="bg-BG"/>
        </w:rPr>
        <w:t>се предлага да се отмени предвиденото в чл. 9а, т. 4 от действащия закон правно основание за издаване на наредба от страна на министъра на земеделието и храните.</w:t>
      </w:r>
    </w:p>
    <w:p w14:paraId="5B87832F" w14:textId="26F1CDE2"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От 30 юни 2024 г. се прилага Регламент (ЕС) 2023/955 на Европейския парламент и на Съвета от 10 май 2023 година за създаване на Социален фонд за климата и за изменение на Регламент (ЕС) 2021/1060. Съгласно регламента Социалният фонд за климата е създаден за периода 2026 - 2032 г. Той осигурява финансови средства за държавите</w:t>
      </w:r>
      <w:r w:rsidR="005922A9">
        <w:rPr>
          <w:rFonts w:ascii="Times New Roman" w:eastAsia="Calibri" w:hAnsi="Times New Roman"/>
          <w:sz w:val="28"/>
          <w:szCs w:val="28"/>
          <w:lang w:val="bg-BG"/>
        </w:rPr>
        <w:t xml:space="preserve"> </w:t>
      </w:r>
      <w:r w:rsidRPr="00C078D8">
        <w:rPr>
          <w:rFonts w:ascii="Times New Roman" w:eastAsia="Calibri" w:hAnsi="Times New Roman"/>
          <w:sz w:val="28"/>
          <w:szCs w:val="28"/>
          <w:lang w:val="bg-BG"/>
        </w:rPr>
        <w:t>членки в помощ на техните политики за справяне със социалните последици за уязвимите домакинства, уязвимите микропредприятия и уязвимите ползватели на транспорт вследствие на разширяването на схемата за търговия с емисии и включването в нея на емисиите на парникови газове от сградите и автомобилния транспорт. Максималният размер на средствата от Фонда за България е в размер 2 499 490 282 евро (по текущи цени). При потенциално отлагане на включването на емисиите на парникови газове от транспорта и сградите в схемата за търговия с емисии за 2028 г. тази сума ще бъде намалена и ще възлиза на 2 099 571 836 евро (по текущи цени).</w:t>
      </w:r>
    </w:p>
    <w:p w14:paraId="78C07BC3" w14:textId="2D28FF77"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Предвид чл. 4, параграф 1 от същия регламент необходимо условие за получаване на средства от Фонда е подготовката на Социален план за климата и представянето му на Европейската комисия. Планът следва да се представи на ЕК за оценка до 30 юни 2025 г.</w:t>
      </w:r>
    </w:p>
    <w:p w14:paraId="0B58D1F1" w14:textId="0F250E29"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В действащите разпоредби на Закона за подпомагане на земеделските производители (ЗПЗП) е посочено, че ДФЗ осъществява функции на Взаимоспомагателен фонд като инструмент за управление на риска. С предлаганите изменения и допълнения се доизгражда правната рамка за стартирането на този фонд на територията на нашата страна. </w:t>
      </w:r>
      <w:r w:rsidRPr="00C078D8">
        <w:rPr>
          <w:rFonts w:ascii="Times New Roman" w:eastAsia="Calibri" w:hAnsi="Times New Roman"/>
          <w:sz w:val="28"/>
          <w:szCs w:val="28"/>
          <w:lang w:val="bg-BG"/>
        </w:rPr>
        <w:lastRenderedPageBreak/>
        <w:t xml:space="preserve">Предвижда се да се предоставя подкрепа при настъпването на неблагоприятни климатични събития. Взаимоспомагателният фонд ще се сформира чрез публични средства и средства по чл. 19 от Регламент </w:t>
      </w:r>
      <w:r w:rsidR="005922A9">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(ЕС) 2021/2115 на Европейския парламент и на Съвета от 2 декември </w:t>
      </w:r>
      <w:r w:rsidR="00E413F1">
        <w:rPr>
          <w:rFonts w:ascii="Times New Roman" w:eastAsia="Calibri" w:hAnsi="Times New Roman"/>
          <w:sz w:val="28"/>
          <w:szCs w:val="28"/>
          <w:lang w:val="en-US"/>
        </w:rPr>
        <w:br/>
      </w:r>
      <w:r w:rsidRPr="00C078D8">
        <w:rPr>
          <w:rFonts w:ascii="Times New Roman" w:eastAsia="Calibri" w:hAnsi="Times New Roman"/>
          <w:sz w:val="28"/>
          <w:szCs w:val="28"/>
          <w:lang w:val="bg-BG"/>
        </w:rPr>
        <w:t xml:space="preserve">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по-нататък „Регламент </w:t>
      </w:r>
      <w:r w:rsidR="00E413F1">
        <w:rPr>
          <w:rFonts w:ascii="Times New Roman" w:eastAsia="Calibri" w:hAnsi="Times New Roman"/>
          <w:sz w:val="28"/>
          <w:szCs w:val="28"/>
          <w:lang w:val="en-US"/>
        </w:rPr>
        <w:br/>
      </w:r>
      <w:r w:rsidRPr="00C078D8">
        <w:rPr>
          <w:rFonts w:ascii="Times New Roman" w:eastAsia="Calibri" w:hAnsi="Times New Roman"/>
          <w:sz w:val="28"/>
          <w:szCs w:val="28"/>
          <w:lang w:val="bg-BG"/>
        </w:rPr>
        <w:t>(ЕС) 2021/2115“. Подробни правила за реда за предоставяне на подпомагане, за оценка на щетите</w:t>
      </w:r>
      <w:r w:rsidR="005922A9">
        <w:rPr>
          <w:rFonts w:ascii="Times New Roman" w:eastAsia="Calibri" w:hAnsi="Times New Roman"/>
          <w:sz w:val="28"/>
          <w:szCs w:val="28"/>
          <w:lang w:val="bg-BG"/>
        </w:rPr>
        <w:t xml:space="preserve"> и</w:t>
      </w:r>
      <w:r w:rsidRPr="00C078D8">
        <w:rPr>
          <w:rFonts w:ascii="Times New Roman" w:eastAsia="Calibri" w:hAnsi="Times New Roman"/>
          <w:sz w:val="28"/>
          <w:szCs w:val="28"/>
          <w:lang w:val="bg-BG"/>
        </w:rPr>
        <w:t xml:space="preserve"> за администриране на плащанията ще се уредят в наредба, издавана от министъра на земеделието и храните. </w:t>
      </w:r>
    </w:p>
    <w:p w14:paraId="697AC5D1" w14:textId="77777777"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С Постановление № 24 на Министерския съвет от 8 април 2025 г. за организация и координация на подготовката на Социалния план за климата на Република България и за определяне на органите и структурите, отговорни за неговата подготовка и управление, и на техните основни функции, е планирано ДФЗ да участва в изпълнение на инвестициите, управлението на които е възложено на Управляващия орган на Стратегическия план за развитие на земеделието и селските райони на Република България за периода 2023 – 2027 г.</w:t>
      </w:r>
    </w:p>
    <w:p w14:paraId="2603D6C4" w14:textId="5968A20E"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В</w:t>
      </w:r>
      <w:r w:rsidR="005922A9">
        <w:rPr>
          <w:rFonts w:ascii="Times New Roman" w:eastAsia="Calibri" w:hAnsi="Times New Roman"/>
          <w:sz w:val="28"/>
          <w:szCs w:val="28"/>
          <w:lang w:val="bg-BG"/>
        </w:rPr>
        <w:t>ъв</w:t>
      </w:r>
      <w:r w:rsidRPr="00C078D8">
        <w:rPr>
          <w:rFonts w:ascii="Times New Roman" w:eastAsia="Calibri" w:hAnsi="Times New Roman"/>
          <w:sz w:val="28"/>
          <w:szCs w:val="28"/>
          <w:lang w:val="bg-BG"/>
        </w:rPr>
        <w:t xml:space="preserve"> връзка</w:t>
      </w:r>
      <w:r w:rsidR="005922A9">
        <w:rPr>
          <w:rFonts w:ascii="Times New Roman" w:eastAsia="Calibri" w:hAnsi="Times New Roman"/>
          <w:sz w:val="28"/>
          <w:szCs w:val="28"/>
          <w:lang w:val="bg-BG"/>
        </w:rPr>
        <w:t xml:space="preserve"> с това</w:t>
      </w:r>
      <w:r w:rsidR="00650A8F">
        <w:rPr>
          <w:rFonts w:ascii="Times New Roman" w:eastAsia="Calibri" w:hAnsi="Times New Roman"/>
          <w:sz w:val="28"/>
          <w:szCs w:val="28"/>
          <w:lang w:val="bg-BG"/>
        </w:rPr>
        <w:t xml:space="preserve"> </w:t>
      </w:r>
      <w:r w:rsidRPr="00C078D8">
        <w:rPr>
          <w:rFonts w:ascii="Times New Roman" w:eastAsia="Calibri" w:hAnsi="Times New Roman"/>
          <w:sz w:val="28"/>
          <w:szCs w:val="28"/>
          <w:lang w:val="bg-BG"/>
        </w:rPr>
        <w:t xml:space="preserve">с цел гарантиране </w:t>
      </w:r>
      <w:r w:rsidR="00650A8F">
        <w:rPr>
          <w:rFonts w:ascii="Times New Roman" w:eastAsia="Calibri" w:hAnsi="Times New Roman"/>
          <w:sz w:val="28"/>
          <w:szCs w:val="28"/>
          <w:lang w:val="bg-BG"/>
        </w:rPr>
        <w:t xml:space="preserve">на </w:t>
      </w:r>
      <w:r w:rsidRPr="00C078D8">
        <w:rPr>
          <w:rFonts w:ascii="Times New Roman" w:eastAsia="Calibri" w:hAnsi="Times New Roman"/>
          <w:sz w:val="28"/>
          <w:szCs w:val="28"/>
          <w:lang w:val="bg-BG"/>
        </w:rPr>
        <w:t xml:space="preserve">законосъобразното изпълнение на тези функции е необходимо те да бъдат отразени </w:t>
      </w:r>
      <w:r w:rsidR="00E413F1">
        <w:rPr>
          <w:rFonts w:ascii="Times New Roman" w:eastAsia="Calibri" w:hAnsi="Times New Roman"/>
          <w:sz w:val="28"/>
          <w:szCs w:val="28"/>
          <w:lang w:val="bg-BG"/>
        </w:rPr>
        <w:t xml:space="preserve">в </w:t>
      </w:r>
      <w:r w:rsidRPr="00C078D8">
        <w:rPr>
          <w:rFonts w:ascii="Times New Roman" w:eastAsia="Calibri" w:hAnsi="Times New Roman"/>
          <w:sz w:val="28"/>
          <w:szCs w:val="28"/>
          <w:lang w:val="bg-BG"/>
        </w:rPr>
        <w:t>правомощията на ДФЗ в ЗПЗП.</w:t>
      </w:r>
    </w:p>
    <w:p w14:paraId="7C52EFFF" w14:textId="3627D6F7"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В чл. 20а се добавя възможност за делегиране на правомощия от страна на изпълнителния директор на ДФЗ по отношение на чл. 50, ал. 4 от ЗПЗП. При делегиране на правомощия се създават условия за по-бързо и </w:t>
      </w:r>
      <w:r w:rsidRPr="00C078D8">
        <w:rPr>
          <w:rFonts w:ascii="Times New Roman" w:eastAsia="Calibri" w:hAnsi="Times New Roman"/>
          <w:sz w:val="28"/>
          <w:szCs w:val="28"/>
          <w:lang w:val="bg-BG"/>
        </w:rPr>
        <w:lastRenderedPageBreak/>
        <w:t xml:space="preserve">по-ефективно разглеждане и произнасяне по подадените заявление по интервенциите от Стратегическия план за развитието на земеделието и селските райони на Република България за периода </w:t>
      </w:r>
      <w:r w:rsidRPr="00C078D8">
        <w:rPr>
          <w:rFonts w:ascii="Times New Roman" w:eastAsia="Calibri" w:hAnsi="Times New Roman"/>
          <w:sz w:val="28"/>
          <w:szCs w:val="28"/>
          <w:lang w:val="bg-BG"/>
        </w:rPr>
        <w:br/>
        <w:t xml:space="preserve">2023 – 2027 г. С оглед </w:t>
      </w:r>
      <w:r w:rsidR="00650A8F">
        <w:rPr>
          <w:rFonts w:ascii="Times New Roman" w:eastAsia="Calibri" w:hAnsi="Times New Roman"/>
          <w:sz w:val="28"/>
          <w:szCs w:val="28"/>
          <w:lang w:val="bg-BG"/>
        </w:rPr>
        <w:t xml:space="preserve">на </w:t>
      </w:r>
      <w:r w:rsidRPr="00C078D8">
        <w:rPr>
          <w:rFonts w:ascii="Times New Roman" w:eastAsia="Calibri" w:hAnsi="Times New Roman"/>
          <w:sz w:val="28"/>
          <w:szCs w:val="28"/>
          <w:lang w:val="bg-BG"/>
        </w:rPr>
        <w:t xml:space="preserve">големия брой приеми възможността за делегиране на правомощия на заместник-изпълнителните директори и директорите на областни дирекции ще предотврати забавянето в процеса на обработка и одобрение на подадените заявления, което от своя страна ще допринесе и </w:t>
      </w:r>
      <w:r w:rsidR="00E413F1">
        <w:rPr>
          <w:rFonts w:ascii="Times New Roman" w:eastAsia="Calibri" w:hAnsi="Times New Roman"/>
          <w:sz w:val="28"/>
          <w:szCs w:val="28"/>
          <w:lang w:val="bg-BG"/>
        </w:rPr>
        <w:t>за</w:t>
      </w:r>
      <w:r w:rsidRPr="00C078D8">
        <w:rPr>
          <w:rFonts w:ascii="Times New Roman" w:eastAsia="Calibri" w:hAnsi="Times New Roman"/>
          <w:sz w:val="28"/>
          <w:szCs w:val="28"/>
          <w:lang w:val="bg-BG"/>
        </w:rPr>
        <w:t xml:space="preserve"> своевременното усвояване на средствата по обявените приеми.</w:t>
      </w:r>
    </w:p>
    <w:p w14:paraId="14CDFED4" w14:textId="619B4E79"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С проекта на закон се предвижда Министерство</w:t>
      </w:r>
      <w:r w:rsidR="00650A8F">
        <w:rPr>
          <w:rFonts w:ascii="Times New Roman" w:eastAsia="Calibri" w:hAnsi="Times New Roman"/>
          <w:sz w:val="28"/>
          <w:szCs w:val="28"/>
          <w:lang w:val="bg-BG"/>
        </w:rPr>
        <w:t>то</w:t>
      </w:r>
      <w:r w:rsidRPr="00C078D8">
        <w:rPr>
          <w:rFonts w:ascii="Times New Roman" w:eastAsia="Calibri" w:hAnsi="Times New Roman"/>
          <w:sz w:val="28"/>
          <w:szCs w:val="28"/>
          <w:lang w:val="bg-BG"/>
        </w:rPr>
        <w:t xml:space="preserve"> на земеделието и храните да поддържа географски цифрови данни за площи с оранжерии, парници и трайни насаждения. Поддържането на тези данни ще осигури проследимост на подпомагането при трайните насаждения и оранжерийните култури и ще подобри планирането при разпределението на средствата за подпомагане по схемите и интервенциите за финансова подкрепа на земеделските стопани.</w:t>
      </w:r>
    </w:p>
    <w:p w14:paraId="3DB5C1CA" w14:textId="7EA22C4A"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При прилагането на закона се установи, че е необходим</w:t>
      </w:r>
      <w:r w:rsidR="00E413F1">
        <w:rPr>
          <w:rFonts w:ascii="Times New Roman" w:eastAsia="Calibri" w:hAnsi="Times New Roman"/>
          <w:sz w:val="28"/>
          <w:szCs w:val="28"/>
          <w:lang w:val="bg-BG"/>
        </w:rPr>
        <w:t>а</w:t>
      </w:r>
      <w:r w:rsidRPr="00C078D8">
        <w:rPr>
          <w:rFonts w:ascii="Times New Roman" w:eastAsia="Calibri" w:hAnsi="Times New Roman"/>
          <w:sz w:val="28"/>
          <w:szCs w:val="28"/>
          <w:lang w:val="bg-BG"/>
        </w:rPr>
        <w:t xml:space="preserve"> </w:t>
      </w:r>
      <w:r w:rsidR="00E413F1">
        <w:rPr>
          <w:rFonts w:ascii="Times New Roman" w:eastAsia="Calibri" w:hAnsi="Times New Roman"/>
          <w:sz w:val="28"/>
          <w:szCs w:val="28"/>
          <w:lang w:val="bg-BG"/>
        </w:rPr>
        <w:br/>
      </w:r>
      <w:r w:rsidRPr="00C078D8">
        <w:rPr>
          <w:rFonts w:ascii="Times New Roman" w:eastAsia="Calibri" w:hAnsi="Times New Roman"/>
          <w:sz w:val="28"/>
          <w:szCs w:val="28"/>
          <w:lang w:val="bg-BG"/>
        </w:rPr>
        <w:t>по</w:t>
      </w:r>
      <w:r w:rsidR="00E413F1">
        <w:rPr>
          <w:rFonts w:ascii="Times New Roman" w:eastAsia="Calibri" w:hAnsi="Times New Roman"/>
          <w:sz w:val="28"/>
          <w:szCs w:val="28"/>
          <w:lang w:val="bg-BG"/>
        </w:rPr>
        <w:t>-</w:t>
      </w:r>
      <w:r w:rsidRPr="00C078D8">
        <w:rPr>
          <w:rFonts w:ascii="Times New Roman" w:eastAsia="Calibri" w:hAnsi="Times New Roman"/>
          <w:sz w:val="28"/>
          <w:szCs w:val="28"/>
          <w:lang w:val="bg-BG"/>
        </w:rPr>
        <w:t xml:space="preserve">детайлна регламентация по отношение на реда за изменение и допълнение на насоките, определящи условията за кандидатстване и условията за изпълнение на одобрените проекти по интервенциите по </w:t>
      </w:r>
      <w:r w:rsidR="00E413F1">
        <w:rPr>
          <w:rFonts w:ascii="Times New Roman" w:eastAsia="Calibri" w:hAnsi="Times New Roman"/>
          <w:sz w:val="28"/>
          <w:szCs w:val="28"/>
          <w:lang w:val="bg-BG"/>
        </w:rPr>
        <w:br/>
      </w:r>
      <w:r w:rsidRPr="00C078D8">
        <w:rPr>
          <w:rFonts w:ascii="Times New Roman" w:eastAsia="Calibri" w:hAnsi="Times New Roman"/>
          <w:sz w:val="28"/>
          <w:szCs w:val="28"/>
          <w:lang w:val="bg-BG"/>
        </w:rPr>
        <w:t>чл. 73, 74, 75, чл. 77, параграф 1, букви „а“, „в“ – „е“ и чл. 78 от Регламент (ЕС) 2021/2115, както и по отношение на използваната терминология относно актовете за налагане на финансови корекции. В действащата нормативна уредба са предвидени условията, при които могат да</w:t>
      </w:r>
      <w:r w:rsidR="00650A8F">
        <w:rPr>
          <w:rFonts w:ascii="Times New Roman" w:eastAsia="Calibri" w:hAnsi="Times New Roman"/>
          <w:sz w:val="28"/>
          <w:szCs w:val="28"/>
          <w:lang w:val="bg-BG"/>
        </w:rPr>
        <w:t xml:space="preserve"> се</w:t>
      </w:r>
      <w:r w:rsidRPr="00C078D8">
        <w:rPr>
          <w:rFonts w:ascii="Times New Roman" w:eastAsia="Calibri" w:hAnsi="Times New Roman"/>
          <w:sz w:val="28"/>
          <w:szCs w:val="28"/>
          <w:lang w:val="bg-BG"/>
        </w:rPr>
        <w:t xml:space="preserve"> изменят насоките по интервенциите </w:t>
      </w:r>
      <w:r w:rsidR="00E413F1">
        <w:rPr>
          <w:rFonts w:ascii="Times New Roman" w:eastAsia="Calibri" w:hAnsi="Times New Roman"/>
          <w:sz w:val="28"/>
          <w:szCs w:val="28"/>
          <w:lang w:val="bg-BG"/>
        </w:rPr>
        <w:t xml:space="preserve">по </w:t>
      </w:r>
      <w:r w:rsidRPr="00C078D8">
        <w:rPr>
          <w:rFonts w:ascii="Times New Roman" w:eastAsia="Calibri" w:hAnsi="Times New Roman"/>
          <w:sz w:val="28"/>
          <w:szCs w:val="28"/>
          <w:lang w:val="bg-BG"/>
        </w:rPr>
        <w:t xml:space="preserve">чл. 73, 74, 75, чл. 77, параграф 1, букви „а“, „в“ – „е“ и чл. 78 от Регламент (ЕС) 2021/2115. Не е обаче уредена възможността за участие на заинтересованите лица в този процес, каквото задължение следва от съблюдаването на принципа за публичност и прозрачност в дейността на Управляващия орган на Стратегическия план. </w:t>
      </w:r>
      <w:r w:rsidRPr="00C078D8">
        <w:rPr>
          <w:rFonts w:ascii="Times New Roman" w:eastAsia="Calibri" w:hAnsi="Times New Roman"/>
          <w:sz w:val="28"/>
          <w:szCs w:val="28"/>
          <w:lang w:val="bg-BG"/>
        </w:rPr>
        <w:lastRenderedPageBreak/>
        <w:t>В</w:t>
      </w:r>
      <w:r w:rsidR="00650A8F">
        <w:rPr>
          <w:rFonts w:ascii="Times New Roman" w:eastAsia="Calibri" w:hAnsi="Times New Roman"/>
          <w:sz w:val="28"/>
          <w:szCs w:val="28"/>
          <w:lang w:val="bg-BG"/>
        </w:rPr>
        <w:t>ъв</w:t>
      </w:r>
      <w:r w:rsidRPr="00C078D8">
        <w:rPr>
          <w:rFonts w:ascii="Times New Roman" w:eastAsia="Calibri" w:hAnsi="Times New Roman"/>
          <w:sz w:val="28"/>
          <w:szCs w:val="28"/>
          <w:lang w:val="bg-BG"/>
        </w:rPr>
        <w:t xml:space="preserve"> връзка </w:t>
      </w:r>
      <w:r w:rsidR="00650A8F">
        <w:rPr>
          <w:rFonts w:ascii="Times New Roman" w:eastAsia="Calibri" w:hAnsi="Times New Roman"/>
          <w:sz w:val="28"/>
          <w:szCs w:val="28"/>
          <w:lang w:val="bg-BG"/>
        </w:rPr>
        <w:t xml:space="preserve">с това </w:t>
      </w:r>
      <w:r w:rsidRPr="00C078D8">
        <w:rPr>
          <w:rFonts w:ascii="Times New Roman" w:eastAsia="Calibri" w:hAnsi="Times New Roman"/>
          <w:sz w:val="28"/>
          <w:szCs w:val="28"/>
          <w:lang w:val="bg-BG"/>
        </w:rPr>
        <w:t xml:space="preserve">се предвижда допълнение на разпоредбата на чл. 68, </w:t>
      </w:r>
      <w:r w:rsidR="00E413F1">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ал. 5. С това допълнение се създава възможност на заинтересованите лица да могат да изпращат писмени предложения и възражения по публикуваните проекти за изменение. </w:t>
      </w:r>
    </w:p>
    <w:p w14:paraId="00D833C2" w14:textId="36B7FA6A"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С проекта на закон се прецизират разпоредбите относно актовете, издавани от изпълнителния директор на ДФЗ, като се уточнява, че ще се именуват актове за финансова корекция и ще се извършват по реда на </w:t>
      </w:r>
      <w:r w:rsidR="00650A8F">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чл. 73, ал. 3, 4, 5, 7, 8, 10 и 11 от ЗПЗП.  </w:t>
      </w:r>
    </w:p>
    <w:p w14:paraId="014656FF" w14:textId="5F5FE61A"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С </w:t>
      </w:r>
      <w:r w:rsidR="00650A8F" w:rsidRPr="00C078D8">
        <w:rPr>
          <w:rFonts w:ascii="Times New Roman" w:eastAsia="Calibri" w:hAnsi="Times New Roman"/>
          <w:sz w:val="28"/>
          <w:szCs w:val="28"/>
          <w:lang w:val="bg-BG"/>
        </w:rPr>
        <w:t>П</w:t>
      </w:r>
      <w:r w:rsidRPr="00C078D8">
        <w:rPr>
          <w:rFonts w:ascii="Times New Roman" w:eastAsia="Calibri" w:hAnsi="Times New Roman"/>
          <w:sz w:val="28"/>
          <w:szCs w:val="28"/>
          <w:lang w:val="bg-BG"/>
        </w:rPr>
        <w:t>реходните и заключителни</w:t>
      </w:r>
      <w:r w:rsidR="00650A8F">
        <w:rPr>
          <w:rFonts w:ascii="Times New Roman" w:eastAsia="Calibri" w:hAnsi="Times New Roman"/>
          <w:sz w:val="28"/>
          <w:szCs w:val="28"/>
          <w:lang w:val="bg-BG"/>
        </w:rPr>
        <w:t>те</w:t>
      </w:r>
      <w:r w:rsidRPr="00C078D8">
        <w:rPr>
          <w:rFonts w:ascii="Times New Roman" w:eastAsia="Calibri" w:hAnsi="Times New Roman"/>
          <w:sz w:val="28"/>
          <w:szCs w:val="28"/>
          <w:lang w:val="bg-BG"/>
        </w:rPr>
        <w:t xml:space="preserve"> разпоредби се регламентира:</w:t>
      </w:r>
    </w:p>
    <w:p w14:paraId="02842CFD" w14:textId="53FAE17D"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t xml:space="preserve">- </w:t>
      </w:r>
      <w:r w:rsidR="00650A8F" w:rsidRPr="00C078D8">
        <w:rPr>
          <w:rFonts w:ascii="Times New Roman" w:eastAsia="Calibri" w:hAnsi="Times New Roman"/>
          <w:sz w:val="28"/>
          <w:szCs w:val="28"/>
          <w:lang w:val="bg-BG"/>
        </w:rPr>
        <w:t>В</w:t>
      </w:r>
      <w:r w:rsidRPr="00C078D8">
        <w:rPr>
          <w:rFonts w:ascii="Times New Roman" w:eastAsia="Calibri" w:hAnsi="Times New Roman"/>
          <w:sz w:val="28"/>
          <w:szCs w:val="28"/>
          <w:lang w:val="bg-BG"/>
        </w:rPr>
        <w:t xml:space="preserve">ъзможността и за кампания 2026 и 2027 г. кандидатите и бенефициентите да могат да подадат до ДФЗ заявление за подпомагане по интервенциите по чл. 52, ал. 1, т. 1 и без удостоверяване с квалифициран електронен подпис. Съгласно чл. 52, ал. 3 от ЗПЗП заявленията за подпомагане и исканията за плащане по интервенциите се подписват с квалифициран електронен подпис и се подават чрез индивидуалните профили на кандидатите в Системата за електронни услуги. До момента дерогация от изискването за пълна дигитализация при подаването на заявления е била предвидена за кампания 2023, 2024 и 2025 поради технически причини при изграждането на системата, провеждане на обучения на земеделските стопани за работа със специализирания софтуер и необходимостта същите сами да въвеждат голям обем данни – географски бази данни с координати, слоеве и др. По данни на ДФЗ за кампания </w:t>
      </w:r>
      <w:r w:rsidR="00650A8F">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2024 са подадени 63 431 заявления, като започнати в Системата за електронни услуги (СЕУ), но приключени в Интегрираната система за администриране и контрол са 944, а започнати и приключени в СЕУ и подписани с електронен подпис са 465. За кампания 2025 г. от </w:t>
      </w:r>
      <w:r w:rsidR="002A3B06">
        <w:rPr>
          <w:rFonts w:ascii="Times New Roman" w:eastAsia="Calibri" w:hAnsi="Times New Roman"/>
          <w:sz w:val="28"/>
          <w:szCs w:val="28"/>
          <w:lang w:val="bg-BG"/>
        </w:rPr>
        <w:br/>
      </w:r>
      <w:r w:rsidRPr="00C078D8">
        <w:rPr>
          <w:rFonts w:ascii="Times New Roman" w:eastAsia="Calibri" w:hAnsi="Times New Roman"/>
          <w:sz w:val="28"/>
          <w:szCs w:val="28"/>
          <w:lang w:val="bg-BG"/>
        </w:rPr>
        <w:t xml:space="preserve">42 531 подадени през СЕУ заявления подписани с електронен подпис са </w:t>
      </w:r>
      <w:r w:rsidR="002A3B06">
        <w:rPr>
          <w:rFonts w:ascii="Times New Roman" w:eastAsia="Calibri" w:hAnsi="Times New Roman"/>
          <w:sz w:val="28"/>
          <w:szCs w:val="28"/>
          <w:lang w:val="bg-BG"/>
        </w:rPr>
        <w:br/>
      </w:r>
      <w:r w:rsidRPr="00C078D8">
        <w:rPr>
          <w:rFonts w:ascii="Times New Roman" w:eastAsia="Calibri" w:hAnsi="Times New Roman"/>
          <w:sz w:val="28"/>
          <w:szCs w:val="28"/>
          <w:lang w:val="bg-BG"/>
        </w:rPr>
        <w:t>2453</w:t>
      </w:r>
      <w:r w:rsidR="002A3B06">
        <w:rPr>
          <w:rFonts w:ascii="Times New Roman" w:eastAsia="Calibri" w:hAnsi="Times New Roman"/>
          <w:sz w:val="28"/>
          <w:szCs w:val="28"/>
          <w:lang w:val="bg-BG"/>
        </w:rPr>
        <w:t>.</w:t>
      </w:r>
    </w:p>
    <w:p w14:paraId="23BE954D" w14:textId="559EBCAB" w:rsidR="001402F8" w:rsidRPr="00C078D8" w:rsidRDefault="001402F8" w:rsidP="00C078D8">
      <w:pPr>
        <w:spacing w:line="360" w:lineRule="auto"/>
        <w:ind w:firstLine="1134"/>
        <w:jc w:val="both"/>
        <w:rPr>
          <w:rFonts w:ascii="Times New Roman" w:eastAsia="Calibri" w:hAnsi="Times New Roman"/>
          <w:sz w:val="28"/>
          <w:szCs w:val="28"/>
          <w:lang w:val="bg-BG"/>
        </w:rPr>
      </w:pPr>
      <w:r w:rsidRPr="00C078D8">
        <w:rPr>
          <w:rFonts w:ascii="Times New Roman" w:eastAsia="Calibri" w:hAnsi="Times New Roman"/>
          <w:sz w:val="28"/>
          <w:szCs w:val="28"/>
          <w:lang w:val="bg-BG"/>
        </w:rPr>
        <w:lastRenderedPageBreak/>
        <w:t xml:space="preserve">- </w:t>
      </w:r>
      <w:r w:rsidR="002A3B06" w:rsidRPr="00C078D8">
        <w:rPr>
          <w:rFonts w:ascii="Times New Roman" w:eastAsia="Calibri" w:hAnsi="Times New Roman"/>
          <w:sz w:val="28"/>
          <w:szCs w:val="28"/>
          <w:lang w:val="bg-BG"/>
        </w:rPr>
        <w:t xml:space="preserve">Регламентира </w:t>
      </w:r>
      <w:r w:rsidRPr="00C078D8">
        <w:rPr>
          <w:rFonts w:ascii="Times New Roman" w:eastAsia="Calibri" w:hAnsi="Times New Roman"/>
          <w:sz w:val="28"/>
          <w:szCs w:val="28"/>
          <w:lang w:val="bg-BG"/>
        </w:rPr>
        <w:t>се ред</w:t>
      </w:r>
      <w:r w:rsidR="002A3B06">
        <w:rPr>
          <w:rFonts w:ascii="Times New Roman" w:eastAsia="Calibri" w:hAnsi="Times New Roman"/>
          <w:sz w:val="28"/>
          <w:szCs w:val="28"/>
          <w:lang w:val="bg-BG"/>
        </w:rPr>
        <w:t>ът</w:t>
      </w:r>
      <w:r w:rsidRPr="00C078D8">
        <w:rPr>
          <w:rFonts w:ascii="Times New Roman" w:eastAsia="Calibri" w:hAnsi="Times New Roman"/>
          <w:sz w:val="28"/>
          <w:szCs w:val="28"/>
          <w:lang w:val="bg-BG"/>
        </w:rPr>
        <w:t xml:space="preserve"> за осъществяване на инвентаризацията на съществуващите площи с трайни насаждения, оранжерии и парници</w:t>
      </w:r>
      <w:r w:rsidR="002A3B06">
        <w:rPr>
          <w:rFonts w:ascii="Times New Roman" w:eastAsia="Calibri" w:hAnsi="Times New Roman"/>
          <w:sz w:val="28"/>
          <w:szCs w:val="28"/>
          <w:lang w:val="bg-BG"/>
        </w:rPr>
        <w:t>.</w:t>
      </w:r>
    </w:p>
    <w:p w14:paraId="61727CB1" w14:textId="48EAD8AB" w:rsidR="001402F8" w:rsidRPr="00C078D8" w:rsidRDefault="001402F8" w:rsidP="00C078D8">
      <w:pPr>
        <w:spacing w:line="360" w:lineRule="auto"/>
        <w:ind w:firstLine="1134"/>
        <w:jc w:val="both"/>
        <w:rPr>
          <w:rFonts w:ascii="Times New Roman" w:eastAsia="Calibri" w:hAnsi="Times New Roman"/>
          <w:bCs/>
          <w:sz w:val="28"/>
          <w:szCs w:val="28"/>
          <w:lang w:val="bg-BG"/>
        </w:rPr>
      </w:pPr>
      <w:r w:rsidRPr="00C078D8">
        <w:rPr>
          <w:rFonts w:ascii="Times New Roman" w:eastAsia="Calibri" w:hAnsi="Times New Roman"/>
          <w:bCs/>
          <w:sz w:val="28"/>
          <w:szCs w:val="28"/>
          <w:lang w:val="bg-BG"/>
        </w:rPr>
        <w:t xml:space="preserve">- В Закона за Българската банка за развитие в чл. 16, ал. 3 се добавят Стратегическият план за развитие на земеделието и селските райони на Република България за периода 2023 – 2027 г., както и остатъчните ресурси след приключването на програмния период. По такъв начин Министерството на земеделието и храните предлага увеличаване на прага на гаранционно покритие от 50 </w:t>
      </w:r>
      <w:r w:rsidR="002A3B06">
        <w:rPr>
          <w:rFonts w:ascii="Times New Roman" w:eastAsia="Calibri" w:hAnsi="Times New Roman"/>
          <w:bCs/>
          <w:sz w:val="28"/>
          <w:szCs w:val="28"/>
          <w:lang w:val="bg-BG"/>
        </w:rPr>
        <w:t>на сто</w:t>
      </w:r>
      <w:r w:rsidRPr="00C078D8">
        <w:rPr>
          <w:rFonts w:ascii="Times New Roman" w:eastAsia="Calibri" w:hAnsi="Times New Roman"/>
          <w:bCs/>
          <w:sz w:val="28"/>
          <w:szCs w:val="28"/>
          <w:lang w:val="bg-BG"/>
        </w:rPr>
        <w:t xml:space="preserve"> на 80 </w:t>
      </w:r>
      <w:r w:rsidR="002A3B06">
        <w:rPr>
          <w:rFonts w:ascii="Times New Roman" w:eastAsia="Calibri" w:hAnsi="Times New Roman"/>
          <w:bCs/>
          <w:sz w:val="28"/>
          <w:szCs w:val="28"/>
          <w:lang w:val="bg-BG"/>
        </w:rPr>
        <w:t>на сто</w:t>
      </w:r>
      <w:r w:rsidRPr="00C078D8">
        <w:rPr>
          <w:rFonts w:ascii="Times New Roman" w:eastAsia="Calibri" w:hAnsi="Times New Roman"/>
          <w:bCs/>
          <w:sz w:val="28"/>
          <w:szCs w:val="28"/>
          <w:lang w:val="bg-BG"/>
        </w:rPr>
        <w:t xml:space="preserve"> по гаранционната програма с цел насърчаване на инвестиционната активност в селските райони, постигане на по-висока ефективност при усвояване на финансовите инструменти, подпомагане на земеделските стопани както по отношение на кредитирането, така и по отношение на по-ефективното управление на предоставените им като подпомагане средства.</w:t>
      </w:r>
    </w:p>
    <w:p w14:paraId="0B5DB16F" w14:textId="77777777" w:rsidR="00AD087A" w:rsidRPr="00C078D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Pr="00C078D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C078D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57DC81E1" w:rsidR="00AD087A" w:rsidRPr="00C078D8" w:rsidRDefault="00AD087A" w:rsidP="004B4A70">
      <w:pPr>
        <w:tabs>
          <w:tab w:val="left" w:pos="1790"/>
        </w:tabs>
        <w:ind w:left="1134"/>
        <w:rPr>
          <w:rFonts w:ascii="Times New Roman" w:hAnsi="Times New Roman"/>
          <w:b/>
          <w:sz w:val="28"/>
          <w:szCs w:val="28"/>
          <w:lang w:val="bg-BG"/>
        </w:rPr>
      </w:pPr>
      <w:bookmarkStart w:id="0" w:name="_Hlk92799938"/>
      <w:r w:rsidRPr="00C078D8">
        <w:rPr>
          <w:rFonts w:ascii="Times New Roman" w:hAnsi="Times New Roman"/>
          <w:b/>
          <w:sz w:val="28"/>
          <w:szCs w:val="28"/>
          <w:lang w:val="bg-BG"/>
        </w:rPr>
        <w:t>МИНИСТЪР-ПРЕДСЕДАТЕЛ:</w:t>
      </w:r>
    </w:p>
    <w:bookmarkEnd w:id="0"/>
    <w:p w14:paraId="12F79006" w14:textId="2449CC73" w:rsidR="00AD087A" w:rsidRPr="00C078D8" w:rsidRDefault="00736BDF" w:rsidP="00C078D8">
      <w:pPr>
        <w:tabs>
          <w:tab w:val="left" w:pos="1790"/>
        </w:tabs>
        <w:ind w:left="5245"/>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5pt;height:96.5pt">
            <v:imagedata r:id="rId7" o:title=""/>
            <o:lock v:ext="edit" ungrouping="t" rotation="t" cropping="t" verticies="t" text="t" grouping="t"/>
            <o:signatureline v:ext="edit" id="{EF61EB5B-2924-41CC-BA61-E24F7AA35ED2}" provid="{00000000-0000-0000-0000-000000000000}" issignatureline="t"/>
          </v:shape>
        </w:pict>
      </w:r>
    </w:p>
    <w:sectPr w:rsidR="00AD087A" w:rsidRPr="00C078D8"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A3E6" w14:textId="77777777" w:rsidR="00232F1F" w:rsidRDefault="00232F1F">
      <w:r>
        <w:separator/>
      </w:r>
    </w:p>
  </w:endnote>
  <w:endnote w:type="continuationSeparator" w:id="0">
    <w:p w14:paraId="750C8ADC" w14:textId="77777777" w:rsidR="00232F1F" w:rsidRDefault="0023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736BDF"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736BDF"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D3F9" w14:textId="77777777" w:rsidR="00232F1F" w:rsidRDefault="00232F1F">
      <w:r>
        <w:separator/>
      </w:r>
    </w:p>
  </w:footnote>
  <w:footnote w:type="continuationSeparator" w:id="0">
    <w:p w14:paraId="3F5AA513" w14:textId="77777777" w:rsidR="00232F1F" w:rsidRDefault="0023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6D6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402F8"/>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2F1F"/>
    <w:rsid w:val="00234F17"/>
    <w:rsid w:val="002469B9"/>
    <w:rsid w:val="00251D6E"/>
    <w:rsid w:val="002553AB"/>
    <w:rsid w:val="00255B7D"/>
    <w:rsid w:val="00263307"/>
    <w:rsid w:val="002743E4"/>
    <w:rsid w:val="00287754"/>
    <w:rsid w:val="002A3B06"/>
    <w:rsid w:val="002C0227"/>
    <w:rsid w:val="002C08C4"/>
    <w:rsid w:val="002C6AFA"/>
    <w:rsid w:val="002D76CB"/>
    <w:rsid w:val="002E08B6"/>
    <w:rsid w:val="003160E8"/>
    <w:rsid w:val="00322981"/>
    <w:rsid w:val="00327C7B"/>
    <w:rsid w:val="00357B65"/>
    <w:rsid w:val="00361393"/>
    <w:rsid w:val="003752E2"/>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922A9"/>
    <w:rsid w:val="005B7B97"/>
    <w:rsid w:val="005E23BB"/>
    <w:rsid w:val="005E2FAA"/>
    <w:rsid w:val="00601E7F"/>
    <w:rsid w:val="006112DA"/>
    <w:rsid w:val="006126B0"/>
    <w:rsid w:val="006374F1"/>
    <w:rsid w:val="00650A8F"/>
    <w:rsid w:val="00680C33"/>
    <w:rsid w:val="00695542"/>
    <w:rsid w:val="006D149C"/>
    <w:rsid w:val="006D7DBF"/>
    <w:rsid w:val="006E20E3"/>
    <w:rsid w:val="006F4CBD"/>
    <w:rsid w:val="007006FE"/>
    <w:rsid w:val="0071097D"/>
    <w:rsid w:val="007216A1"/>
    <w:rsid w:val="00736BDF"/>
    <w:rsid w:val="00737F39"/>
    <w:rsid w:val="00775FF6"/>
    <w:rsid w:val="00791C0B"/>
    <w:rsid w:val="007923AA"/>
    <w:rsid w:val="007C0969"/>
    <w:rsid w:val="007D0119"/>
    <w:rsid w:val="007E5BD8"/>
    <w:rsid w:val="007F2214"/>
    <w:rsid w:val="00801C3F"/>
    <w:rsid w:val="00804255"/>
    <w:rsid w:val="008279DE"/>
    <w:rsid w:val="0083405F"/>
    <w:rsid w:val="008424E0"/>
    <w:rsid w:val="008464CC"/>
    <w:rsid w:val="00847576"/>
    <w:rsid w:val="0087096A"/>
    <w:rsid w:val="00881B55"/>
    <w:rsid w:val="008A019C"/>
    <w:rsid w:val="008A0F64"/>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078D8"/>
    <w:rsid w:val="00C11F14"/>
    <w:rsid w:val="00C213CB"/>
    <w:rsid w:val="00C459B8"/>
    <w:rsid w:val="00C5560E"/>
    <w:rsid w:val="00C65583"/>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A2A20"/>
    <w:rsid w:val="00DC6199"/>
    <w:rsid w:val="00DE1005"/>
    <w:rsid w:val="00DE2D91"/>
    <w:rsid w:val="00DF29A2"/>
    <w:rsid w:val="00E01A69"/>
    <w:rsid w:val="00E04AF4"/>
    <w:rsid w:val="00E07AEE"/>
    <w:rsid w:val="00E17DBD"/>
    <w:rsid w:val="00E2764A"/>
    <w:rsid w:val="00E27B98"/>
    <w:rsid w:val="00E413F1"/>
    <w:rsid w:val="00E50AD4"/>
    <w:rsid w:val="00E522CC"/>
    <w:rsid w:val="00E522E9"/>
    <w:rsid w:val="00E5592E"/>
    <w:rsid w:val="00E61544"/>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1502</Words>
  <Characters>8308</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2026-01-26T15:57:00Z</dcterms:created>
  <dcterms:modified xsi:type="dcterms:W3CDTF">2026-01-26T15:57:00Z</dcterms:modified>
</cp:coreProperties>
</file>