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6CC2" w14:textId="77777777" w:rsidR="00AD087A" w:rsidRDefault="00AD087A">
      <w:pPr>
        <w:jc w:val="center"/>
        <w:rPr>
          <w:rFonts w:ascii="Times New Roman" w:hAnsi="Times New Roman"/>
          <w:b/>
          <w:sz w:val="26"/>
          <w:szCs w:val="26"/>
          <w:lang w:val="bg-BG"/>
        </w:rPr>
      </w:pPr>
    </w:p>
    <w:p w14:paraId="577CDA61" w14:textId="77777777" w:rsidR="00F3465E" w:rsidRPr="009E4806" w:rsidRDefault="00F3465E">
      <w:pPr>
        <w:jc w:val="center"/>
        <w:rPr>
          <w:rFonts w:ascii="Times New Roman" w:hAnsi="Times New Roman"/>
          <w:b/>
          <w:sz w:val="26"/>
          <w:szCs w:val="26"/>
          <w:lang w:val="bg-BG"/>
        </w:rPr>
      </w:pPr>
    </w:p>
    <w:p w14:paraId="702F2205" w14:textId="77777777" w:rsidR="00AD087A" w:rsidRPr="006F65D3" w:rsidRDefault="00AD087A">
      <w:pPr>
        <w:jc w:val="center"/>
        <w:rPr>
          <w:rFonts w:ascii="Times New Roman" w:hAnsi="Times New Roman"/>
          <w:b/>
          <w:sz w:val="36"/>
          <w:szCs w:val="36"/>
          <w:lang w:val="bg-BG"/>
        </w:rPr>
      </w:pPr>
      <w:r w:rsidRPr="006F65D3">
        <w:rPr>
          <w:rFonts w:ascii="Times New Roman" w:hAnsi="Times New Roman"/>
          <w:b/>
          <w:sz w:val="36"/>
          <w:szCs w:val="36"/>
          <w:lang w:val="bg-BG"/>
        </w:rPr>
        <w:t>М  О  Т  И  В  И</w:t>
      </w:r>
    </w:p>
    <w:p w14:paraId="5B3907F6" w14:textId="77777777" w:rsidR="00AD087A" w:rsidRPr="009E4806" w:rsidRDefault="00AD087A">
      <w:pPr>
        <w:jc w:val="center"/>
        <w:rPr>
          <w:rFonts w:ascii="Times New Roman" w:hAnsi="Times New Roman"/>
          <w:b/>
          <w:sz w:val="26"/>
          <w:szCs w:val="26"/>
          <w:lang w:val="bg-BG"/>
        </w:rPr>
      </w:pPr>
    </w:p>
    <w:p w14:paraId="64108001" w14:textId="048C7F4E" w:rsidR="002F7411" w:rsidRPr="006F65D3" w:rsidRDefault="00AD087A" w:rsidP="00450D6E">
      <w:pPr>
        <w:jc w:val="center"/>
        <w:rPr>
          <w:rFonts w:ascii="Times New Roman" w:hAnsi="Times New Roman"/>
          <w:b/>
          <w:sz w:val="32"/>
          <w:szCs w:val="32"/>
          <w:lang w:val="bg-BG"/>
        </w:rPr>
      </w:pPr>
      <w:r w:rsidRPr="006F65D3">
        <w:rPr>
          <w:rFonts w:ascii="Times New Roman" w:hAnsi="Times New Roman"/>
          <w:b/>
          <w:smallCaps/>
          <w:sz w:val="32"/>
          <w:szCs w:val="32"/>
          <w:lang w:val="bg-BG"/>
        </w:rPr>
        <w:t xml:space="preserve">към проекта на Закон за </w:t>
      </w:r>
      <w:r w:rsidR="002F7411" w:rsidRPr="006F65D3">
        <w:rPr>
          <w:rFonts w:ascii="Times New Roman" w:hAnsi="Times New Roman"/>
          <w:b/>
          <w:smallCaps/>
          <w:sz w:val="32"/>
          <w:szCs w:val="32"/>
          <w:lang w:val="bg-BG"/>
        </w:rPr>
        <w:t xml:space="preserve">изменение и допълнение на </w:t>
      </w:r>
      <w:r w:rsidR="002F7411" w:rsidRPr="006F65D3">
        <w:rPr>
          <w:rFonts w:ascii="Times New Roman" w:hAnsi="Times New Roman"/>
          <w:b/>
          <w:smallCaps/>
          <w:sz w:val="32"/>
          <w:szCs w:val="32"/>
          <w:lang w:val="bg-BG"/>
        </w:rPr>
        <w:br/>
        <w:t>Кодекса за социално осигуряване</w:t>
      </w:r>
    </w:p>
    <w:p w14:paraId="35F342CE" w14:textId="680B82E6" w:rsidR="00AD087A" w:rsidRPr="009E4806" w:rsidRDefault="00AD087A" w:rsidP="00E522E9">
      <w:pPr>
        <w:spacing w:line="288" w:lineRule="auto"/>
        <w:jc w:val="center"/>
        <w:rPr>
          <w:rFonts w:ascii="Times New Roman" w:hAnsi="Times New Roman"/>
          <w:b/>
          <w:smallCaps/>
          <w:sz w:val="28"/>
          <w:szCs w:val="28"/>
          <w:lang w:val="bg-BG"/>
        </w:rPr>
      </w:pPr>
    </w:p>
    <w:p w14:paraId="5056BBE4" w14:textId="77777777" w:rsidR="00AD087A" w:rsidRPr="009E4806" w:rsidRDefault="00AD087A" w:rsidP="00D013AB">
      <w:pPr>
        <w:spacing w:line="288" w:lineRule="auto"/>
        <w:jc w:val="center"/>
        <w:rPr>
          <w:rFonts w:ascii="Times New Roman" w:hAnsi="Times New Roman"/>
          <w:b/>
          <w:sz w:val="26"/>
          <w:szCs w:val="26"/>
          <w:lang w:val="bg-BG"/>
        </w:rPr>
      </w:pPr>
    </w:p>
    <w:p w14:paraId="6E7B5012" w14:textId="1FE4DA70"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В резултат от извършен цялостен преглед на правната рамка на допълнителното пенсионно осигуряване в контекста на постигане на стратегическата цел на страната за присъединяване към Организацията за икономическо сътрудничество и развитие (ОИСР) и получените препоръки за развиване и усъвършенстване на регулаторната рамка, както и направените изводи в Анализа на действащата пенсионна система и предложения за нейното усъвършенстване, изготвен от Икономическия и социален съвет (ИСС) </w:t>
      </w:r>
      <w:r w:rsidR="001828C6">
        <w:rPr>
          <w:rFonts w:ascii="Times New Roman" w:hAnsi="Times New Roman"/>
          <w:sz w:val="28"/>
          <w:szCs w:val="28"/>
          <w:lang w:val="bg-BG"/>
        </w:rPr>
        <w:t>(</w:t>
      </w:r>
      <w:r w:rsidRPr="00450D6E">
        <w:rPr>
          <w:rFonts w:ascii="Times New Roman" w:hAnsi="Times New Roman"/>
          <w:sz w:val="28"/>
          <w:szCs w:val="28"/>
          <w:lang w:val="bg-BG"/>
        </w:rPr>
        <w:t xml:space="preserve">разработен по предложение от </w:t>
      </w:r>
      <w:r w:rsidR="00AC4387" w:rsidRPr="00450D6E">
        <w:rPr>
          <w:rFonts w:ascii="Times New Roman" w:hAnsi="Times New Roman"/>
          <w:sz w:val="28"/>
          <w:szCs w:val="28"/>
          <w:lang w:val="bg-BG"/>
        </w:rPr>
        <w:t>п</w:t>
      </w:r>
      <w:r w:rsidRPr="00450D6E">
        <w:rPr>
          <w:rFonts w:ascii="Times New Roman" w:hAnsi="Times New Roman"/>
          <w:sz w:val="28"/>
          <w:szCs w:val="28"/>
          <w:lang w:val="bg-BG"/>
        </w:rPr>
        <w:t xml:space="preserve">редседателя на </w:t>
      </w:r>
      <w:r w:rsidR="00AC4387" w:rsidRPr="00450D6E">
        <w:rPr>
          <w:rFonts w:ascii="Times New Roman" w:hAnsi="Times New Roman"/>
          <w:sz w:val="28"/>
          <w:szCs w:val="28"/>
          <w:lang w:val="bg-BG"/>
        </w:rPr>
        <w:br/>
      </w:r>
      <w:r w:rsidRPr="00450D6E">
        <w:rPr>
          <w:rFonts w:ascii="Times New Roman" w:hAnsi="Times New Roman"/>
          <w:sz w:val="28"/>
          <w:szCs w:val="28"/>
          <w:lang w:val="bg-BG"/>
        </w:rPr>
        <w:t>49-ото Народно събрание</w:t>
      </w:r>
      <w:r w:rsidR="001828C6">
        <w:rPr>
          <w:rFonts w:ascii="Times New Roman" w:hAnsi="Times New Roman"/>
          <w:sz w:val="28"/>
          <w:szCs w:val="28"/>
          <w:lang w:val="bg-BG"/>
        </w:rPr>
        <w:t>)</w:t>
      </w:r>
      <w:r w:rsidRPr="00450D6E">
        <w:rPr>
          <w:rFonts w:ascii="Times New Roman" w:hAnsi="Times New Roman"/>
          <w:sz w:val="28"/>
          <w:szCs w:val="28"/>
          <w:lang w:val="bg-BG"/>
        </w:rPr>
        <w:t>, е констатирана необходимост от предприемане на промени в следните области:</w:t>
      </w:r>
    </w:p>
    <w:p w14:paraId="0BBBA85F" w14:textId="092AFB02" w:rsidR="002F7411" w:rsidRPr="00450D6E" w:rsidRDefault="002F7411" w:rsidP="00366F8B">
      <w:pPr>
        <w:numPr>
          <w:ilvl w:val="0"/>
          <w:numId w:val="8"/>
        </w:numPr>
        <w:tabs>
          <w:tab w:val="left" w:pos="1134"/>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Предоставяне на възможност за осигурените лица да избират по какъв начин да бъдат управлявани техните пенсионни спестявания</w:t>
      </w:r>
      <w:r w:rsidR="00AC4387" w:rsidRPr="00450D6E">
        <w:rPr>
          <w:rFonts w:ascii="Times New Roman" w:hAnsi="Times New Roman"/>
          <w:sz w:val="28"/>
          <w:szCs w:val="28"/>
          <w:lang w:val="bg-BG"/>
        </w:rPr>
        <w:t>,</w:t>
      </w:r>
      <w:r w:rsidRPr="00450D6E">
        <w:rPr>
          <w:rFonts w:ascii="Times New Roman" w:hAnsi="Times New Roman"/>
          <w:sz w:val="28"/>
          <w:szCs w:val="28"/>
          <w:lang w:val="bg-BG"/>
        </w:rPr>
        <w:t xml:space="preserve"> като се отчита различната толерантност към риска на отделните категории лица в различните фази на жизнения им цикъл</w:t>
      </w:r>
      <w:r w:rsidR="00AC4387" w:rsidRPr="00450D6E">
        <w:rPr>
          <w:rFonts w:ascii="Times New Roman" w:hAnsi="Times New Roman"/>
          <w:sz w:val="28"/>
          <w:szCs w:val="28"/>
          <w:lang w:val="bg-BG"/>
        </w:rPr>
        <w:t>.</w:t>
      </w:r>
    </w:p>
    <w:p w14:paraId="3936F24B" w14:textId="0EA53D88" w:rsidR="002F7411" w:rsidRPr="00450D6E" w:rsidRDefault="002F7411" w:rsidP="00366F8B">
      <w:pPr>
        <w:numPr>
          <w:ilvl w:val="0"/>
          <w:numId w:val="8"/>
        </w:numPr>
        <w:tabs>
          <w:tab w:val="left" w:pos="1134"/>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Развиване на изискванията към инвестициите на пенсионните фондове и тяхното управление</w:t>
      </w:r>
      <w:r w:rsidR="00AC4387" w:rsidRPr="00450D6E">
        <w:rPr>
          <w:rFonts w:ascii="Times New Roman" w:hAnsi="Times New Roman"/>
          <w:sz w:val="28"/>
          <w:szCs w:val="28"/>
          <w:lang w:val="bg-BG"/>
        </w:rPr>
        <w:t>.</w:t>
      </w:r>
    </w:p>
    <w:p w14:paraId="0BFA006A" w14:textId="4EEE25F9" w:rsidR="002F7411" w:rsidRPr="00450D6E" w:rsidRDefault="002F7411" w:rsidP="00366F8B">
      <w:pPr>
        <w:numPr>
          <w:ilvl w:val="0"/>
          <w:numId w:val="8"/>
        </w:numPr>
        <w:tabs>
          <w:tab w:val="left" w:pos="1134"/>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 xml:space="preserve">Преразглеждане на действащия гаранционен механизъм, който създава предпоставки за </w:t>
      </w:r>
      <w:r w:rsidR="001828C6">
        <w:rPr>
          <w:rFonts w:ascii="Times New Roman" w:hAnsi="Times New Roman"/>
          <w:sz w:val="28"/>
          <w:szCs w:val="28"/>
          <w:lang w:val="bg-BG"/>
        </w:rPr>
        <w:t>конформизъм</w:t>
      </w:r>
      <w:r w:rsidRPr="00450D6E">
        <w:rPr>
          <w:rFonts w:ascii="Times New Roman" w:hAnsi="Times New Roman"/>
          <w:sz w:val="28"/>
          <w:szCs w:val="28"/>
          <w:lang w:val="bg-BG"/>
        </w:rPr>
        <w:t xml:space="preserve"> при инвестиране на средствата на фондовете за допълнително задължително пенсионно осигуряване</w:t>
      </w:r>
      <w:r w:rsidR="00AC4387" w:rsidRPr="00450D6E">
        <w:rPr>
          <w:rFonts w:ascii="Times New Roman" w:hAnsi="Times New Roman"/>
          <w:sz w:val="28"/>
          <w:szCs w:val="28"/>
          <w:lang w:val="bg-BG"/>
        </w:rPr>
        <w:t>.</w:t>
      </w:r>
      <w:r w:rsidRPr="00450D6E">
        <w:rPr>
          <w:rFonts w:ascii="Times New Roman" w:hAnsi="Times New Roman"/>
          <w:sz w:val="28"/>
          <w:szCs w:val="28"/>
          <w:lang w:val="bg-BG"/>
        </w:rPr>
        <w:t xml:space="preserve"> </w:t>
      </w:r>
    </w:p>
    <w:p w14:paraId="10EE9BD5" w14:textId="038D1065" w:rsidR="002F7411" w:rsidRPr="00450D6E" w:rsidRDefault="002F7411" w:rsidP="00366F8B">
      <w:pPr>
        <w:numPr>
          <w:ilvl w:val="0"/>
          <w:numId w:val="8"/>
        </w:numPr>
        <w:tabs>
          <w:tab w:val="left" w:pos="1134"/>
        </w:tabs>
        <w:spacing w:line="276" w:lineRule="auto"/>
        <w:ind w:left="0" w:firstLine="1134"/>
        <w:contextualSpacing/>
        <w:jc w:val="both"/>
        <w:rPr>
          <w:rFonts w:ascii="Times New Roman" w:hAnsi="Times New Roman"/>
          <w:i/>
          <w:sz w:val="28"/>
          <w:szCs w:val="28"/>
          <w:lang w:val="bg-BG"/>
        </w:rPr>
      </w:pPr>
      <w:r w:rsidRPr="00450D6E">
        <w:rPr>
          <w:rFonts w:ascii="Times New Roman" w:hAnsi="Times New Roman"/>
          <w:sz w:val="28"/>
          <w:szCs w:val="28"/>
          <w:lang w:val="bg-BG"/>
        </w:rPr>
        <w:t xml:space="preserve">Намаляване на събираните такси и удръжки в допълнителното задължително пенсионно осигуряване и създаване на стимули за по-добро управление на универсалните и професионалните пенсионни фондове </w:t>
      </w:r>
      <w:r w:rsidR="00AC4387" w:rsidRPr="00450D6E">
        <w:rPr>
          <w:rFonts w:ascii="Times New Roman" w:hAnsi="Times New Roman"/>
          <w:sz w:val="28"/>
          <w:szCs w:val="28"/>
          <w:lang w:val="bg-BG"/>
        </w:rPr>
        <w:t>чрез</w:t>
      </w:r>
      <w:r w:rsidRPr="00450D6E">
        <w:rPr>
          <w:rFonts w:ascii="Times New Roman" w:hAnsi="Times New Roman"/>
          <w:sz w:val="28"/>
          <w:szCs w:val="28"/>
          <w:lang w:val="bg-BG"/>
        </w:rPr>
        <w:t xml:space="preserve"> въвеждане на двукомпонентна такса, която отчита постигнатите инвестиционни резултати</w:t>
      </w:r>
      <w:r w:rsidR="00AC4387" w:rsidRPr="00450D6E">
        <w:rPr>
          <w:rFonts w:ascii="Times New Roman" w:hAnsi="Times New Roman"/>
          <w:sz w:val="28"/>
          <w:szCs w:val="28"/>
          <w:lang w:val="bg-BG"/>
        </w:rPr>
        <w:t>.</w:t>
      </w:r>
    </w:p>
    <w:p w14:paraId="2CDCEC22" w14:textId="2F1434D1" w:rsidR="002F7411" w:rsidRPr="00450D6E" w:rsidRDefault="002F7411" w:rsidP="00366F8B">
      <w:pPr>
        <w:numPr>
          <w:ilvl w:val="0"/>
          <w:numId w:val="8"/>
        </w:numPr>
        <w:tabs>
          <w:tab w:val="left" w:pos="1134"/>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 xml:space="preserve">Развиване на уредбата на фазата на изплащане от </w:t>
      </w:r>
      <w:r w:rsidR="00AC4387" w:rsidRPr="00450D6E">
        <w:rPr>
          <w:rFonts w:ascii="Times New Roman" w:hAnsi="Times New Roman"/>
          <w:sz w:val="28"/>
          <w:szCs w:val="28"/>
          <w:lang w:val="bg-BG"/>
        </w:rPr>
        <w:t>гледна точка на</w:t>
      </w:r>
      <w:r w:rsidRPr="00450D6E">
        <w:rPr>
          <w:rFonts w:ascii="Times New Roman" w:hAnsi="Times New Roman"/>
          <w:sz w:val="28"/>
          <w:szCs w:val="28"/>
          <w:lang w:val="bg-BG"/>
        </w:rPr>
        <w:t xml:space="preserve"> по-добро покритие на поеманите от пенсионноосигурителните дружества рискове.</w:t>
      </w:r>
    </w:p>
    <w:p w14:paraId="325B9F35" w14:textId="77777777" w:rsidR="002F7411" w:rsidRPr="00450D6E" w:rsidRDefault="002F7411" w:rsidP="00366F8B">
      <w:pPr>
        <w:spacing w:line="276" w:lineRule="auto"/>
        <w:ind w:firstLine="1134"/>
        <w:jc w:val="both"/>
        <w:rPr>
          <w:rFonts w:ascii="Times New Roman" w:hAnsi="Times New Roman"/>
          <w:b/>
          <w:sz w:val="28"/>
          <w:szCs w:val="28"/>
          <w:u w:val="single"/>
          <w:lang w:val="bg-BG"/>
        </w:rPr>
      </w:pPr>
    </w:p>
    <w:p w14:paraId="7FF77956" w14:textId="77777777" w:rsidR="002F7411" w:rsidRPr="00450D6E" w:rsidRDefault="002F7411" w:rsidP="00366F8B">
      <w:pPr>
        <w:spacing w:line="276" w:lineRule="auto"/>
        <w:ind w:firstLine="1134"/>
        <w:jc w:val="both"/>
        <w:rPr>
          <w:rFonts w:ascii="Times New Roman" w:hAnsi="Times New Roman"/>
          <w:b/>
          <w:sz w:val="28"/>
          <w:szCs w:val="28"/>
          <w:u w:val="single"/>
          <w:lang w:val="bg-BG"/>
        </w:rPr>
      </w:pPr>
      <w:r w:rsidRPr="00450D6E">
        <w:rPr>
          <w:rFonts w:ascii="Times New Roman" w:hAnsi="Times New Roman"/>
          <w:b/>
          <w:sz w:val="28"/>
          <w:szCs w:val="28"/>
          <w:u w:val="single"/>
          <w:lang w:val="bg-BG"/>
        </w:rPr>
        <w:t>Цели на законопроекта</w:t>
      </w:r>
    </w:p>
    <w:p w14:paraId="09BC25C9" w14:textId="77777777" w:rsidR="00F3465E" w:rsidRDefault="00F3465E" w:rsidP="00366F8B">
      <w:pPr>
        <w:spacing w:line="276" w:lineRule="auto"/>
        <w:ind w:firstLine="1134"/>
        <w:jc w:val="both"/>
        <w:rPr>
          <w:rFonts w:ascii="Times New Roman" w:hAnsi="Times New Roman"/>
          <w:sz w:val="28"/>
          <w:szCs w:val="28"/>
          <w:lang w:val="bg-BG"/>
        </w:rPr>
      </w:pPr>
    </w:p>
    <w:p w14:paraId="53F6C437" w14:textId="6BD29C1E"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lastRenderedPageBreak/>
        <w:t xml:space="preserve">Със Закона за изменение и допълнение на Кодекса за социално осигуряване се цели: </w:t>
      </w:r>
    </w:p>
    <w:p w14:paraId="3CD24214" w14:textId="2418000F" w:rsidR="002F7411" w:rsidRPr="00450D6E" w:rsidRDefault="002F7411" w:rsidP="00366F8B">
      <w:pPr>
        <w:numPr>
          <w:ilvl w:val="0"/>
          <w:numId w:val="9"/>
        </w:numPr>
        <w:tabs>
          <w:tab w:val="left" w:pos="993"/>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 xml:space="preserve">Усъвършенстване на предлаганите услуги и продукти във фазата на акумулиране на пенсионни спестявания и във фазата на изплащане, което ще способства за подсилване </w:t>
      </w:r>
      <w:r w:rsidR="00AC4387" w:rsidRPr="00450D6E">
        <w:rPr>
          <w:rFonts w:ascii="Times New Roman" w:hAnsi="Times New Roman"/>
          <w:sz w:val="28"/>
          <w:szCs w:val="28"/>
          <w:lang w:val="bg-BG"/>
        </w:rPr>
        <w:t xml:space="preserve">на </w:t>
      </w:r>
      <w:r w:rsidRPr="00450D6E">
        <w:rPr>
          <w:rFonts w:ascii="Times New Roman" w:hAnsi="Times New Roman"/>
          <w:sz w:val="28"/>
          <w:szCs w:val="28"/>
          <w:lang w:val="bg-BG"/>
        </w:rPr>
        <w:t>доверието в допълнителното пенсионно осигуряване и развиване на конкурентна среда, благоприятстваща постигането</w:t>
      </w:r>
      <w:r w:rsidRPr="00450D6E">
        <w:rPr>
          <w:rFonts w:ascii="Times New Roman" w:hAnsi="Times New Roman"/>
          <w:b/>
          <w:sz w:val="28"/>
          <w:szCs w:val="28"/>
          <w:lang w:val="bg-BG"/>
        </w:rPr>
        <w:t xml:space="preserve"> </w:t>
      </w:r>
      <w:r w:rsidRPr="00450D6E">
        <w:rPr>
          <w:rFonts w:ascii="Times New Roman" w:hAnsi="Times New Roman"/>
          <w:sz w:val="28"/>
          <w:szCs w:val="28"/>
          <w:lang w:val="bg-BG"/>
        </w:rPr>
        <w:t xml:space="preserve">на по-високи резултати при управление на средствата на осигурените лица и тяхното гарантиране, както и по-ефективно разпределение на биометричния риск по отношение на лицата, получаващи плащания. </w:t>
      </w:r>
    </w:p>
    <w:p w14:paraId="693DD9C5" w14:textId="62C6F9F6" w:rsidR="002F7411" w:rsidRPr="00450D6E" w:rsidRDefault="002F7411" w:rsidP="00366F8B">
      <w:pPr>
        <w:numPr>
          <w:ilvl w:val="0"/>
          <w:numId w:val="9"/>
        </w:numPr>
        <w:tabs>
          <w:tab w:val="left" w:pos="993"/>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Увеличаване на средствата на осигурените лица чрез даване на възможност за постигане на по-добра доходност от инвестирането им (</w:t>
      </w:r>
      <w:r w:rsidR="00AC4387" w:rsidRPr="00450D6E">
        <w:rPr>
          <w:rFonts w:ascii="Times New Roman" w:hAnsi="Times New Roman"/>
          <w:sz w:val="28"/>
          <w:szCs w:val="28"/>
          <w:lang w:val="bg-BG"/>
        </w:rPr>
        <w:t>включително чрез</w:t>
      </w:r>
      <w:r w:rsidRPr="00450D6E">
        <w:rPr>
          <w:rFonts w:ascii="Times New Roman" w:hAnsi="Times New Roman"/>
          <w:sz w:val="28"/>
          <w:szCs w:val="28"/>
          <w:lang w:val="bg-BG"/>
        </w:rPr>
        <w:t xml:space="preserve"> създаване на </w:t>
      </w:r>
      <w:proofErr w:type="spellStart"/>
      <w:r w:rsidRPr="00450D6E">
        <w:rPr>
          <w:rFonts w:ascii="Times New Roman" w:hAnsi="Times New Roman"/>
          <w:sz w:val="28"/>
          <w:szCs w:val="28"/>
          <w:lang w:val="bg-BG"/>
        </w:rPr>
        <w:t>подфондове</w:t>
      </w:r>
      <w:proofErr w:type="spellEnd"/>
      <w:r w:rsidRPr="00450D6E">
        <w:rPr>
          <w:rFonts w:ascii="Times New Roman" w:hAnsi="Times New Roman"/>
          <w:sz w:val="28"/>
          <w:szCs w:val="28"/>
          <w:lang w:val="bg-BG"/>
        </w:rPr>
        <w:t xml:space="preserve"> с различен инвестиционен профил, разширяване на инвестиционните възможности и по-добри стимули за управление на инвестициите) и чрез намаляване на събираните такси и удръжки</w:t>
      </w:r>
      <w:r w:rsidR="003D2F82" w:rsidRPr="00450D6E">
        <w:rPr>
          <w:rFonts w:ascii="Times New Roman" w:hAnsi="Times New Roman"/>
          <w:sz w:val="28"/>
          <w:szCs w:val="28"/>
          <w:lang w:val="bg-BG"/>
        </w:rPr>
        <w:t>.</w:t>
      </w:r>
    </w:p>
    <w:p w14:paraId="04D858F9" w14:textId="77777777" w:rsidR="002F7411" w:rsidRPr="00450D6E" w:rsidRDefault="002F7411" w:rsidP="00366F8B">
      <w:pPr>
        <w:numPr>
          <w:ilvl w:val="0"/>
          <w:numId w:val="9"/>
        </w:numPr>
        <w:tabs>
          <w:tab w:val="left" w:pos="993"/>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Завишаване на изискванията на капитала на пенсионноосигурителните дружества с цел по-добро управление на дейността и покриване на поетите рискове, за да се гарантира устойчивост и стабилност на пенсионните плащания, включително при неблагоприятни икономически условия.</w:t>
      </w:r>
    </w:p>
    <w:p w14:paraId="7ADA0C57" w14:textId="53C3E163"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Предложенията за постигането на тези цели са разработени при съблюдаване на принципа за пропорционалност с оглед </w:t>
      </w:r>
      <w:r w:rsidR="003D2F82" w:rsidRPr="00450D6E">
        <w:rPr>
          <w:rFonts w:ascii="Times New Roman" w:hAnsi="Times New Roman"/>
          <w:sz w:val="28"/>
          <w:szCs w:val="28"/>
          <w:lang w:val="bg-BG"/>
        </w:rPr>
        <w:t xml:space="preserve">на </w:t>
      </w:r>
      <w:r w:rsidRPr="00450D6E">
        <w:rPr>
          <w:rFonts w:ascii="Times New Roman" w:hAnsi="Times New Roman"/>
          <w:sz w:val="28"/>
          <w:szCs w:val="28"/>
          <w:lang w:val="bg-BG"/>
        </w:rPr>
        <w:t>по-ефективно</w:t>
      </w:r>
      <w:r w:rsidR="001828C6">
        <w:rPr>
          <w:rFonts w:ascii="Times New Roman" w:hAnsi="Times New Roman"/>
          <w:sz w:val="28"/>
          <w:szCs w:val="28"/>
          <w:lang w:val="bg-BG"/>
        </w:rPr>
        <w:t>то</w:t>
      </w:r>
      <w:r w:rsidRPr="00450D6E">
        <w:rPr>
          <w:rFonts w:ascii="Times New Roman" w:hAnsi="Times New Roman"/>
          <w:sz w:val="28"/>
          <w:szCs w:val="28"/>
          <w:lang w:val="bg-BG"/>
        </w:rPr>
        <w:t xml:space="preserve"> управление на дейността по допълнително</w:t>
      </w:r>
      <w:r w:rsidR="003D2F82" w:rsidRPr="00450D6E">
        <w:rPr>
          <w:rFonts w:ascii="Times New Roman" w:hAnsi="Times New Roman"/>
          <w:sz w:val="28"/>
          <w:szCs w:val="28"/>
          <w:lang w:val="bg-BG"/>
        </w:rPr>
        <w:t>то</w:t>
      </w:r>
      <w:r w:rsidRPr="00450D6E">
        <w:rPr>
          <w:rFonts w:ascii="Times New Roman" w:hAnsi="Times New Roman"/>
          <w:sz w:val="28"/>
          <w:szCs w:val="28"/>
          <w:lang w:val="bg-BG"/>
        </w:rPr>
        <w:t xml:space="preserve"> пенсионно осигуряване и гарантиране на нейната социално-защитна функция и финансовата й стабилност.</w:t>
      </w:r>
    </w:p>
    <w:p w14:paraId="1A18552D" w14:textId="77777777" w:rsidR="002F7411" w:rsidRPr="00450D6E" w:rsidRDefault="002F7411" w:rsidP="00366F8B">
      <w:pPr>
        <w:spacing w:line="276" w:lineRule="auto"/>
        <w:ind w:firstLine="1134"/>
        <w:jc w:val="both"/>
        <w:rPr>
          <w:rFonts w:ascii="Times New Roman" w:hAnsi="Times New Roman"/>
          <w:sz w:val="28"/>
          <w:szCs w:val="28"/>
          <w:lang w:val="bg-BG"/>
        </w:rPr>
      </w:pPr>
    </w:p>
    <w:p w14:paraId="328864A8" w14:textId="77777777" w:rsidR="002F7411" w:rsidRPr="00450D6E" w:rsidRDefault="002F7411" w:rsidP="00366F8B">
      <w:pPr>
        <w:spacing w:line="276" w:lineRule="auto"/>
        <w:ind w:firstLine="1134"/>
        <w:jc w:val="both"/>
        <w:rPr>
          <w:rFonts w:ascii="Times New Roman" w:hAnsi="Times New Roman"/>
          <w:b/>
          <w:sz w:val="28"/>
          <w:szCs w:val="28"/>
          <w:u w:val="single"/>
          <w:lang w:val="bg-BG"/>
        </w:rPr>
      </w:pPr>
      <w:r w:rsidRPr="00450D6E">
        <w:rPr>
          <w:rFonts w:ascii="Times New Roman" w:hAnsi="Times New Roman"/>
          <w:b/>
          <w:sz w:val="28"/>
          <w:szCs w:val="28"/>
          <w:u w:val="single"/>
          <w:lang w:val="bg-BG"/>
        </w:rPr>
        <w:t>Основни изменения</w:t>
      </w:r>
    </w:p>
    <w:p w14:paraId="358A5B8C" w14:textId="77777777" w:rsidR="002F7411" w:rsidRPr="00450D6E" w:rsidRDefault="002F7411" w:rsidP="00366F8B">
      <w:pPr>
        <w:spacing w:line="276" w:lineRule="auto"/>
        <w:ind w:firstLine="1134"/>
        <w:jc w:val="both"/>
        <w:rPr>
          <w:rFonts w:ascii="Times New Roman" w:hAnsi="Times New Roman"/>
          <w:b/>
          <w:sz w:val="28"/>
          <w:szCs w:val="28"/>
          <w:u w:val="single"/>
          <w:lang w:val="bg-BG"/>
        </w:rPr>
      </w:pPr>
    </w:p>
    <w:p w14:paraId="17E6CD86" w14:textId="77777777" w:rsidR="002F7411" w:rsidRPr="00450D6E" w:rsidRDefault="002F7411" w:rsidP="00366F8B">
      <w:pPr>
        <w:spacing w:line="276" w:lineRule="auto"/>
        <w:ind w:firstLine="1134"/>
        <w:jc w:val="both"/>
        <w:rPr>
          <w:rFonts w:ascii="Times New Roman" w:hAnsi="Times New Roman"/>
          <w:b/>
          <w:sz w:val="28"/>
          <w:szCs w:val="28"/>
          <w:lang w:val="bg-BG"/>
        </w:rPr>
      </w:pPr>
      <w:r w:rsidRPr="00450D6E">
        <w:rPr>
          <w:rFonts w:ascii="Times New Roman" w:hAnsi="Times New Roman"/>
          <w:b/>
          <w:sz w:val="28"/>
          <w:szCs w:val="28"/>
          <w:lang w:val="bg-BG"/>
        </w:rPr>
        <w:t xml:space="preserve">Ⅰ. Въвеждане на многофондова система </w:t>
      </w:r>
    </w:p>
    <w:p w14:paraId="0C6741FC" w14:textId="488E949A"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Със законопроекта се предлага въвеждането на многофондова система във фондовете за допълнително пенсионно осигуряване. По този начин се дава възможност за избор от страна на осигурените лица на начина, по който се инвестират техните пенсионни спестявания, посредством управлението им в инвестиционни портфейли с различен рисков профил. Предложенията в тази насока отчитат препоръките на </w:t>
      </w:r>
      <w:r w:rsidRPr="00450D6E">
        <w:rPr>
          <w:rFonts w:ascii="Times New Roman" w:hAnsi="Times New Roman"/>
          <w:sz w:val="28"/>
          <w:szCs w:val="28"/>
          <w:lang w:val="bg-BG"/>
        </w:rPr>
        <w:lastRenderedPageBreak/>
        <w:t xml:space="preserve">ОИСР и ИСС от декември 2024 г. относно използването на стратегии за инвестиране, свързани с предоставяне на възможност на лицата да избират инвестиционния и рисков профил на средствата </w:t>
      </w:r>
      <w:r w:rsidR="007C0593" w:rsidRPr="00450D6E">
        <w:rPr>
          <w:rFonts w:ascii="Times New Roman" w:hAnsi="Times New Roman"/>
          <w:sz w:val="28"/>
          <w:szCs w:val="28"/>
          <w:lang w:val="bg-BG"/>
        </w:rPr>
        <w:t>си</w:t>
      </w:r>
      <w:r w:rsidRPr="00450D6E">
        <w:rPr>
          <w:rFonts w:ascii="Times New Roman" w:hAnsi="Times New Roman"/>
          <w:sz w:val="28"/>
          <w:szCs w:val="28"/>
          <w:lang w:val="bg-BG"/>
        </w:rPr>
        <w:t xml:space="preserve"> в пенсионните фондове. Във връзка с изготвянето им е обследвана нормативната уредба и добрите практики на държави от Централна и Източна Европа със сходни пенсионни системи – Естония, Латвия, Литва, Словакия, Хърватия, Полша и Румъния, които успешно са въвели многофондовата система в допълнителното пенсионно осигуряване. Публично достъпните отчетни данни за тези държави показват повишаване на инвестиционните резултати на пенсионните фондове посредством въвеждане на портфейли с различен инвестиционен и рисков профил въз основа на жизнения цикъл на осигурените лица. </w:t>
      </w:r>
    </w:p>
    <w:p w14:paraId="705B0BC7" w14:textId="43E3DFD7"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Предлага се в рамките на пенсионния фонд пенсионноосигурителните дружества (ПОД) да създават </w:t>
      </w:r>
      <w:proofErr w:type="spellStart"/>
      <w:r w:rsidRPr="00450D6E">
        <w:rPr>
          <w:rFonts w:ascii="Times New Roman" w:hAnsi="Times New Roman"/>
          <w:sz w:val="28"/>
          <w:szCs w:val="28"/>
          <w:lang w:val="bg-BG"/>
        </w:rPr>
        <w:t>подфондове</w:t>
      </w:r>
      <w:proofErr w:type="spellEnd"/>
      <w:r w:rsidRPr="00450D6E">
        <w:rPr>
          <w:rFonts w:ascii="Times New Roman" w:hAnsi="Times New Roman"/>
          <w:sz w:val="28"/>
          <w:szCs w:val="28"/>
          <w:lang w:val="bg-BG"/>
        </w:rPr>
        <w:t xml:space="preserve"> с различен инвестиционен профил, съобразени с жизнения цикъл на осигурените лица и относимия към </w:t>
      </w:r>
      <w:proofErr w:type="spellStart"/>
      <w:r w:rsidRPr="00450D6E">
        <w:rPr>
          <w:rFonts w:ascii="Times New Roman" w:hAnsi="Times New Roman"/>
          <w:sz w:val="28"/>
          <w:szCs w:val="28"/>
          <w:lang w:val="bg-BG"/>
        </w:rPr>
        <w:t>подфонда</w:t>
      </w:r>
      <w:proofErr w:type="spellEnd"/>
      <w:r w:rsidRPr="00450D6E">
        <w:rPr>
          <w:rFonts w:ascii="Times New Roman" w:hAnsi="Times New Roman"/>
          <w:sz w:val="28"/>
          <w:szCs w:val="28"/>
          <w:lang w:val="bg-BG"/>
        </w:rPr>
        <w:t xml:space="preserve"> инвестиционен риск. Това ще даде възможност за по-висока възвръщаемост и по-големи натрупвания в осигурителните партиди и впоследствие </w:t>
      </w:r>
      <w:r w:rsidR="007C0593" w:rsidRPr="00450D6E">
        <w:rPr>
          <w:rFonts w:ascii="Times New Roman" w:hAnsi="Times New Roman"/>
          <w:sz w:val="28"/>
          <w:szCs w:val="28"/>
          <w:lang w:val="bg-BG"/>
        </w:rPr>
        <w:t xml:space="preserve">- </w:t>
      </w:r>
      <w:r w:rsidRPr="00450D6E">
        <w:rPr>
          <w:rFonts w:ascii="Times New Roman" w:hAnsi="Times New Roman"/>
          <w:sz w:val="28"/>
          <w:szCs w:val="28"/>
          <w:lang w:val="bg-BG"/>
        </w:rPr>
        <w:t xml:space="preserve">до по-високи пенсионни плащания. Същевременно лицата ще могат да избират не само пенсионен фонд, управляван от определено пенсионноосигурително дружество, но също и </w:t>
      </w:r>
      <w:proofErr w:type="spellStart"/>
      <w:r w:rsidRPr="00450D6E">
        <w:rPr>
          <w:rFonts w:ascii="Times New Roman" w:hAnsi="Times New Roman"/>
          <w:sz w:val="28"/>
          <w:szCs w:val="28"/>
          <w:lang w:val="bg-BG"/>
        </w:rPr>
        <w:t>подфонда</w:t>
      </w:r>
      <w:proofErr w:type="spellEnd"/>
      <w:r w:rsidRPr="00450D6E">
        <w:rPr>
          <w:rFonts w:ascii="Times New Roman" w:hAnsi="Times New Roman"/>
          <w:sz w:val="28"/>
          <w:szCs w:val="28"/>
          <w:lang w:val="bg-BG"/>
        </w:rPr>
        <w:t xml:space="preserve"> с инвестиционния профил, който те намират за най-близък до техния рисков </w:t>
      </w:r>
      <w:r w:rsidR="007C0593" w:rsidRPr="00450D6E">
        <w:rPr>
          <w:rFonts w:ascii="Times New Roman" w:hAnsi="Times New Roman"/>
          <w:sz w:val="28"/>
          <w:szCs w:val="28"/>
          <w:lang w:val="bg-BG"/>
        </w:rPr>
        <w:t>профил</w:t>
      </w:r>
      <w:r w:rsidRPr="00450D6E">
        <w:rPr>
          <w:rFonts w:ascii="Times New Roman" w:hAnsi="Times New Roman"/>
          <w:sz w:val="28"/>
          <w:szCs w:val="28"/>
          <w:lang w:val="bg-BG"/>
        </w:rPr>
        <w:t xml:space="preserve">. Всяко дружество, управляващо универсален пенсионен фонд (УПФ), ще създаде в него </w:t>
      </w:r>
      <w:proofErr w:type="spellStart"/>
      <w:r w:rsidRPr="00450D6E">
        <w:rPr>
          <w:rFonts w:ascii="Times New Roman" w:hAnsi="Times New Roman"/>
          <w:sz w:val="28"/>
          <w:szCs w:val="28"/>
          <w:lang w:val="bg-BG"/>
        </w:rPr>
        <w:t>подфондове</w:t>
      </w:r>
      <w:proofErr w:type="spellEnd"/>
      <w:r w:rsidRPr="00450D6E">
        <w:rPr>
          <w:rFonts w:ascii="Times New Roman" w:hAnsi="Times New Roman"/>
          <w:sz w:val="28"/>
          <w:szCs w:val="28"/>
          <w:lang w:val="bg-BG"/>
        </w:rPr>
        <w:t xml:space="preserve">  с различен инвестиционен профил – динамичен, балансиран и консервативен. Основен критерий за определяне на инвестиционните профили на </w:t>
      </w:r>
      <w:proofErr w:type="spellStart"/>
      <w:r w:rsidRPr="00450D6E">
        <w:rPr>
          <w:rFonts w:ascii="Times New Roman" w:hAnsi="Times New Roman"/>
          <w:sz w:val="28"/>
          <w:szCs w:val="28"/>
          <w:lang w:val="bg-BG"/>
        </w:rPr>
        <w:t>подфондовете</w:t>
      </w:r>
      <w:proofErr w:type="spellEnd"/>
      <w:r w:rsidRPr="00450D6E">
        <w:rPr>
          <w:rFonts w:ascii="Times New Roman" w:hAnsi="Times New Roman"/>
          <w:sz w:val="28"/>
          <w:szCs w:val="28"/>
          <w:lang w:val="bg-BG"/>
        </w:rPr>
        <w:t xml:space="preserve"> се предлага да бъде допустимият размер на инвестициите му във финансови инструменти с променлив доход. В динамичния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относителният дял на инвестициите във финансови инструменти с променлив доход ще бъде до 90 на сто, в балансирания - до 55 на сто</w:t>
      </w:r>
      <w:r w:rsidR="007C0593" w:rsidRPr="00450D6E">
        <w:rPr>
          <w:rFonts w:ascii="Times New Roman" w:hAnsi="Times New Roman"/>
          <w:sz w:val="28"/>
          <w:szCs w:val="28"/>
          <w:lang w:val="bg-BG"/>
        </w:rPr>
        <w:t>,</w:t>
      </w:r>
      <w:r w:rsidRPr="00450D6E">
        <w:rPr>
          <w:rFonts w:ascii="Times New Roman" w:hAnsi="Times New Roman"/>
          <w:sz w:val="28"/>
          <w:szCs w:val="28"/>
          <w:lang w:val="bg-BG"/>
        </w:rPr>
        <w:t xml:space="preserve"> и в консервативния - до 25 на сто от активите. За да може всяко дружество да избере най-добрата стратегия за управление на </w:t>
      </w:r>
      <w:proofErr w:type="spellStart"/>
      <w:r w:rsidRPr="00450D6E">
        <w:rPr>
          <w:rFonts w:ascii="Times New Roman" w:hAnsi="Times New Roman"/>
          <w:sz w:val="28"/>
          <w:szCs w:val="28"/>
          <w:lang w:val="bg-BG"/>
        </w:rPr>
        <w:t>подфондовете</w:t>
      </w:r>
      <w:proofErr w:type="spellEnd"/>
      <w:r w:rsidRPr="00450D6E">
        <w:rPr>
          <w:rFonts w:ascii="Times New Roman" w:hAnsi="Times New Roman"/>
          <w:sz w:val="28"/>
          <w:szCs w:val="28"/>
          <w:lang w:val="bg-BG"/>
        </w:rPr>
        <w:t>,  не са заложени минимални лимити.</w:t>
      </w:r>
    </w:p>
    <w:p w14:paraId="6FDFCA13" w14:textId="6A4A14D9"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В рамките на фонд за допълнително доброволно пенсионно осигуряване е предвидена възможността всяко пенсионноосигурително дружество по своя преценка да създаде и </w:t>
      </w:r>
      <w:r w:rsidR="007C0593" w:rsidRPr="00450D6E">
        <w:rPr>
          <w:rFonts w:ascii="Times New Roman" w:hAnsi="Times New Roman"/>
          <w:sz w:val="28"/>
          <w:szCs w:val="28"/>
          <w:lang w:val="bg-BG"/>
        </w:rPr>
        <w:t xml:space="preserve">да </w:t>
      </w:r>
      <w:r w:rsidRPr="00450D6E">
        <w:rPr>
          <w:rFonts w:ascii="Times New Roman" w:hAnsi="Times New Roman"/>
          <w:sz w:val="28"/>
          <w:szCs w:val="28"/>
          <w:lang w:val="bg-BG"/>
        </w:rPr>
        <w:t xml:space="preserve">управлява неограничен брой </w:t>
      </w:r>
      <w:proofErr w:type="spellStart"/>
      <w:r w:rsidRPr="00450D6E">
        <w:rPr>
          <w:rFonts w:ascii="Times New Roman" w:hAnsi="Times New Roman"/>
          <w:sz w:val="28"/>
          <w:szCs w:val="28"/>
          <w:lang w:val="bg-BG"/>
        </w:rPr>
        <w:t>подфондове</w:t>
      </w:r>
      <w:proofErr w:type="spellEnd"/>
      <w:r w:rsidRPr="00450D6E">
        <w:rPr>
          <w:rFonts w:ascii="Times New Roman" w:hAnsi="Times New Roman"/>
          <w:sz w:val="28"/>
          <w:szCs w:val="28"/>
          <w:lang w:val="bg-BG"/>
        </w:rPr>
        <w:t xml:space="preserve"> с различен инвестиционен профил, като е задължително </w:t>
      </w:r>
      <w:r w:rsidRPr="00450D6E">
        <w:rPr>
          <w:rFonts w:ascii="Times New Roman" w:hAnsi="Times New Roman"/>
          <w:sz w:val="28"/>
          <w:szCs w:val="28"/>
          <w:lang w:val="bg-BG"/>
        </w:rPr>
        <w:lastRenderedPageBreak/>
        <w:t xml:space="preserve">създаването на балансиран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(с инвестиции до 55 на сто във финансови инструменти с променлив доход). Това предложение е продиктувано от разбирането, че създаването на </w:t>
      </w:r>
      <w:proofErr w:type="spellStart"/>
      <w:r w:rsidRPr="00450D6E">
        <w:rPr>
          <w:rFonts w:ascii="Times New Roman" w:hAnsi="Times New Roman"/>
          <w:sz w:val="28"/>
          <w:szCs w:val="28"/>
          <w:lang w:val="bg-BG"/>
        </w:rPr>
        <w:t>подфондове</w:t>
      </w:r>
      <w:proofErr w:type="spellEnd"/>
      <w:r w:rsidRPr="00450D6E">
        <w:rPr>
          <w:rFonts w:ascii="Times New Roman" w:hAnsi="Times New Roman"/>
          <w:sz w:val="28"/>
          <w:szCs w:val="28"/>
          <w:lang w:val="bg-BG"/>
        </w:rPr>
        <w:t xml:space="preserve"> е бизнес решение и следва да бъде взето от пенсионноосигурителното дружество въз основа на неговата пазарна стратегия, отчитаща фактори</w:t>
      </w:r>
      <w:r w:rsidR="003D17D1" w:rsidRPr="00450D6E">
        <w:rPr>
          <w:rFonts w:ascii="Times New Roman" w:hAnsi="Times New Roman"/>
          <w:sz w:val="28"/>
          <w:szCs w:val="28"/>
          <w:lang w:val="bg-BG"/>
        </w:rPr>
        <w:t>,</w:t>
      </w:r>
      <w:r w:rsidRPr="00450D6E">
        <w:rPr>
          <w:rFonts w:ascii="Times New Roman" w:hAnsi="Times New Roman"/>
          <w:sz w:val="28"/>
          <w:szCs w:val="28"/>
          <w:lang w:val="bg-BG"/>
        </w:rPr>
        <w:t xml:space="preserve"> като броя на осигурените лица в доброволния пенсионен фонд (ДПФ), размера на активите му, интереса на клиентите, разходите за дейностите и др.</w:t>
      </w:r>
    </w:p>
    <w:p w14:paraId="7758339C" w14:textId="41A8E01E"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В законопроекта е предвидено </w:t>
      </w:r>
      <w:proofErr w:type="spellStart"/>
      <w:r w:rsidRPr="00450D6E">
        <w:rPr>
          <w:rFonts w:ascii="Times New Roman" w:hAnsi="Times New Roman"/>
          <w:sz w:val="28"/>
          <w:szCs w:val="28"/>
          <w:lang w:val="bg-BG"/>
        </w:rPr>
        <w:t>подфондовете</w:t>
      </w:r>
      <w:proofErr w:type="spellEnd"/>
      <w:r w:rsidRPr="00450D6E">
        <w:rPr>
          <w:rFonts w:ascii="Times New Roman" w:hAnsi="Times New Roman"/>
          <w:sz w:val="28"/>
          <w:szCs w:val="28"/>
          <w:lang w:val="bg-BG"/>
        </w:rPr>
        <w:t xml:space="preserve"> в рамките на универсалните и доброволните фондове да бъдат създадени като обособени имущества по аналогия с действащата правна уредба на </w:t>
      </w:r>
      <w:proofErr w:type="spellStart"/>
      <w:r w:rsidRPr="00450D6E">
        <w:rPr>
          <w:rFonts w:ascii="Times New Roman" w:hAnsi="Times New Roman"/>
          <w:sz w:val="28"/>
          <w:szCs w:val="28"/>
          <w:lang w:val="bg-BG"/>
        </w:rPr>
        <w:t>подфондовете</w:t>
      </w:r>
      <w:proofErr w:type="spellEnd"/>
      <w:r w:rsidRPr="00450D6E">
        <w:rPr>
          <w:rFonts w:ascii="Times New Roman" w:hAnsi="Times New Roman"/>
          <w:sz w:val="28"/>
          <w:szCs w:val="28"/>
          <w:lang w:val="bg-BG"/>
        </w:rPr>
        <w:t xml:space="preserve"> в </w:t>
      </w:r>
      <w:r w:rsidR="003D17D1" w:rsidRPr="00450D6E">
        <w:rPr>
          <w:rFonts w:ascii="Times New Roman" w:hAnsi="Times New Roman"/>
          <w:sz w:val="28"/>
          <w:szCs w:val="28"/>
          <w:lang w:val="bg-BG"/>
        </w:rPr>
        <w:t>Д</w:t>
      </w:r>
      <w:r w:rsidRPr="00450D6E">
        <w:rPr>
          <w:rFonts w:ascii="Times New Roman" w:hAnsi="Times New Roman"/>
          <w:sz w:val="28"/>
          <w:szCs w:val="28"/>
          <w:lang w:val="bg-BG"/>
        </w:rPr>
        <w:t xml:space="preserve">оброволния пенсионен фонд за паневропейски пенсионен продукт (ДПФПЕПП). Този подход на обособяване на </w:t>
      </w:r>
      <w:proofErr w:type="spellStart"/>
      <w:r w:rsidRPr="00450D6E">
        <w:rPr>
          <w:rFonts w:ascii="Times New Roman" w:hAnsi="Times New Roman"/>
          <w:sz w:val="28"/>
          <w:szCs w:val="28"/>
          <w:lang w:val="bg-BG"/>
        </w:rPr>
        <w:t>подфондове</w:t>
      </w:r>
      <w:proofErr w:type="spellEnd"/>
      <w:r w:rsidRPr="00450D6E">
        <w:rPr>
          <w:rFonts w:ascii="Times New Roman" w:hAnsi="Times New Roman"/>
          <w:sz w:val="28"/>
          <w:szCs w:val="28"/>
          <w:lang w:val="bg-BG"/>
        </w:rPr>
        <w:t xml:space="preserve"> в рамките на УПФ и ДПФ дава достатъчно гаранции за правата на осигурените лица, като същевременно е свързан с по-малка административна тежест в сравнение с варианта за създаване на инвестиционни портфейли като отделни юридически лица. Във връзка с това са въведени детайлни правила за осигуряване на: </w:t>
      </w:r>
    </w:p>
    <w:p w14:paraId="0DC0D97E" w14:textId="77777777" w:rsidR="002F7411" w:rsidRPr="00450D6E" w:rsidRDefault="002F7411" w:rsidP="00366F8B">
      <w:pPr>
        <w:numPr>
          <w:ilvl w:val="0"/>
          <w:numId w:val="7"/>
        </w:numPr>
        <w:tabs>
          <w:tab w:val="left" w:pos="993"/>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 xml:space="preserve">разделност на активите посредством воденето им по отделни регистри при банката-попечител, която ги съхранява; </w:t>
      </w:r>
    </w:p>
    <w:p w14:paraId="3A6466F4" w14:textId="77777777" w:rsidR="002F7411" w:rsidRPr="00450D6E" w:rsidRDefault="002F7411" w:rsidP="00366F8B">
      <w:pPr>
        <w:numPr>
          <w:ilvl w:val="0"/>
          <w:numId w:val="7"/>
        </w:numPr>
        <w:tabs>
          <w:tab w:val="left" w:pos="993"/>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 xml:space="preserve">отделна отчетност за всеки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предоставяна от ПОД и банката-попечител, за обезпечаване на надзорната дейност;</w:t>
      </w:r>
    </w:p>
    <w:p w14:paraId="38CE709D" w14:textId="77777777" w:rsidR="002F7411" w:rsidRPr="00450D6E" w:rsidRDefault="002F7411" w:rsidP="00366F8B">
      <w:pPr>
        <w:numPr>
          <w:ilvl w:val="0"/>
          <w:numId w:val="7"/>
        </w:numPr>
        <w:tabs>
          <w:tab w:val="left" w:pos="993"/>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 xml:space="preserve">регламентиране на изчисляването на стойност на един дял за всеки от </w:t>
      </w:r>
      <w:proofErr w:type="spellStart"/>
      <w:r w:rsidRPr="00450D6E">
        <w:rPr>
          <w:rFonts w:ascii="Times New Roman" w:hAnsi="Times New Roman"/>
          <w:sz w:val="28"/>
          <w:szCs w:val="28"/>
          <w:lang w:val="bg-BG"/>
        </w:rPr>
        <w:t>подфондовете</w:t>
      </w:r>
      <w:proofErr w:type="spellEnd"/>
      <w:r w:rsidRPr="00450D6E">
        <w:rPr>
          <w:rFonts w:ascii="Times New Roman" w:hAnsi="Times New Roman"/>
          <w:sz w:val="28"/>
          <w:szCs w:val="28"/>
          <w:lang w:val="bg-BG"/>
        </w:rPr>
        <w:t xml:space="preserve"> с различен инвестиционен профил;</w:t>
      </w:r>
    </w:p>
    <w:p w14:paraId="62C305EF" w14:textId="77777777" w:rsidR="002F7411" w:rsidRPr="00450D6E" w:rsidRDefault="002F7411" w:rsidP="00366F8B">
      <w:pPr>
        <w:numPr>
          <w:ilvl w:val="0"/>
          <w:numId w:val="7"/>
        </w:numPr>
        <w:tabs>
          <w:tab w:val="left" w:pos="993"/>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 xml:space="preserve">определяне на реда и начина за създаването на съответния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и вписването му в регистъра, воден от КФН;</w:t>
      </w:r>
    </w:p>
    <w:p w14:paraId="6EC785ED" w14:textId="77777777" w:rsidR="002F7411" w:rsidRPr="00450D6E" w:rsidRDefault="002F7411" w:rsidP="00366F8B">
      <w:pPr>
        <w:numPr>
          <w:ilvl w:val="0"/>
          <w:numId w:val="7"/>
        </w:numPr>
        <w:tabs>
          <w:tab w:val="left" w:pos="993"/>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 xml:space="preserve">уреждане на дейността на </w:t>
      </w:r>
      <w:proofErr w:type="spellStart"/>
      <w:r w:rsidRPr="00450D6E">
        <w:rPr>
          <w:rFonts w:ascii="Times New Roman" w:hAnsi="Times New Roman"/>
          <w:sz w:val="28"/>
          <w:szCs w:val="28"/>
          <w:lang w:val="bg-BG"/>
        </w:rPr>
        <w:t>подфондовете</w:t>
      </w:r>
      <w:proofErr w:type="spellEnd"/>
      <w:r w:rsidRPr="00450D6E">
        <w:rPr>
          <w:rFonts w:ascii="Times New Roman" w:hAnsi="Times New Roman"/>
          <w:sz w:val="28"/>
          <w:szCs w:val="28"/>
          <w:lang w:val="bg-BG"/>
        </w:rPr>
        <w:t xml:space="preserve"> в правилника за организацията и дейността на пенсионния фонд;</w:t>
      </w:r>
    </w:p>
    <w:p w14:paraId="7769C8B5" w14:textId="06AAB8D1" w:rsidR="002F7411" w:rsidRPr="00450D6E" w:rsidRDefault="002F7411" w:rsidP="00366F8B">
      <w:pPr>
        <w:numPr>
          <w:ilvl w:val="0"/>
          <w:numId w:val="7"/>
        </w:numPr>
        <w:tabs>
          <w:tab w:val="left" w:pos="993"/>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 xml:space="preserve">промяна и допълване на изискванията към инвестиционните политики и правилата за управление на риска на пенсионните фондове във връзка със създаване на </w:t>
      </w:r>
      <w:proofErr w:type="spellStart"/>
      <w:r w:rsidRPr="00450D6E">
        <w:rPr>
          <w:rFonts w:ascii="Times New Roman" w:hAnsi="Times New Roman"/>
          <w:sz w:val="28"/>
          <w:szCs w:val="28"/>
          <w:lang w:val="bg-BG"/>
        </w:rPr>
        <w:t>подфондове</w:t>
      </w:r>
      <w:proofErr w:type="spellEnd"/>
      <w:r w:rsidRPr="00450D6E">
        <w:rPr>
          <w:rFonts w:ascii="Times New Roman" w:hAnsi="Times New Roman"/>
          <w:sz w:val="28"/>
          <w:szCs w:val="28"/>
          <w:lang w:val="bg-BG"/>
        </w:rPr>
        <w:t xml:space="preserve"> с различен инвестиционен профил;</w:t>
      </w:r>
    </w:p>
    <w:p w14:paraId="3045D273" w14:textId="108C8C2A" w:rsidR="002F7411" w:rsidRPr="00450D6E" w:rsidRDefault="002F7411" w:rsidP="00366F8B">
      <w:pPr>
        <w:numPr>
          <w:ilvl w:val="0"/>
          <w:numId w:val="7"/>
        </w:numPr>
        <w:tabs>
          <w:tab w:val="left" w:pos="993"/>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 xml:space="preserve">регистриране на </w:t>
      </w:r>
      <w:proofErr w:type="spellStart"/>
      <w:r w:rsidRPr="00450D6E">
        <w:rPr>
          <w:rFonts w:ascii="Times New Roman" w:hAnsi="Times New Roman"/>
          <w:sz w:val="28"/>
          <w:szCs w:val="28"/>
          <w:lang w:val="bg-BG"/>
        </w:rPr>
        <w:t>подфондовете</w:t>
      </w:r>
      <w:proofErr w:type="spellEnd"/>
      <w:r w:rsidRPr="00450D6E">
        <w:rPr>
          <w:rFonts w:ascii="Times New Roman" w:hAnsi="Times New Roman"/>
          <w:sz w:val="28"/>
          <w:szCs w:val="28"/>
          <w:lang w:val="bg-BG"/>
        </w:rPr>
        <w:t xml:space="preserve"> в </w:t>
      </w:r>
      <w:r w:rsidR="003D17D1" w:rsidRPr="00450D6E">
        <w:rPr>
          <w:rFonts w:ascii="Times New Roman" w:hAnsi="Times New Roman"/>
          <w:sz w:val="28"/>
          <w:szCs w:val="28"/>
          <w:lang w:val="bg-BG"/>
        </w:rPr>
        <w:t>Р</w:t>
      </w:r>
      <w:r w:rsidRPr="00450D6E">
        <w:rPr>
          <w:rFonts w:ascii="Times New Roman" w:hAnsi="Times New Roman"/>
          <w:sz w:val="28"/>
          <w:szCs w:val="28"/>
          <w:lang w:val="bg-BG"/>
        </w:rPr>
        <w:t>егистър БУЛСТАТ.</w:t>
      </w:r>
    </w:p>
    <w:p w14:paraId="088E35CE" w14:textId="19DE62EF"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При първоначалното създаване на </w:t>
      </w:r>
      <w:proofErr w:type="spellStart"/>
      <w:r w:rsidRPr="00450D6E">
        <w:rPr>
          <w:rFonts w:ascii="Times New Roman" w:hAnsi="Times New Roman"/>
          <w:sz w:val="28"/>
          <w:szCs w:val="28"/>
          <w:lang w:val="bg-BG"/>
        </w:rPr>
        <w:t>подфондовете</w:t>
      </w:r>
      <w:proofErr w:type="spellEnd"/>
      <w:r w:rsidRPr="00450D6E">
        <w:rPr>
          <w:rFonts w:ascii="Times New Roman" w:hAnsi="Times New Roman"/>
          <w:sz w:val="28"/>
          <w:szCs w:val="28"/>
          <w:lang w:val="bg-BG"/>
        </w:rPr>
        <w:t xml:space="preserve"> с различни инвестиционни профили в рамките на УПФ, управлявани от едно пенсионноосигурително дружество</w:t>
      </w:r>
      <w:r w:rsidR="003D17D1" w:rsidRPr="00450D6E">
        <w:rPr>
          <w:rFonts w:ascii="Times New Roman" w:hAnsi="Times New Roman"/>
          <w:sz w:val="28"/>
          <w:szCs w:val="28"/>
          <w:lang w:val="bg-BG"/>
        </w:rPr>
        <w:t>,</w:t>
      </w:r>
      <w:r w:rsidRPr="00450D6E">
        <w:rPr>
          <w:rFonts w:ascii="Times New Roman" w:hAnsi="Times New Roman"/>
          <w:sz w:val="28"/>
          <w:szCs w:val="28"/>
          <w:lang w:val="bg-BG"/>
        </w:rPr>
        <w:t xml:space="preserve"> ще се наложи преразпределение на активи на значителна стойност, предвид което е регламентирано прехвърлянето както на парични средства, така и на активи между </w:t>
      </w:r>
      <w:proofErr w:type="spellStart"/>
      <w:r w:rsidRPr="00450D6E">
        <w:rPr>
          <w:rFonts w:ascii="Times New Roman" w:hAnsi="Times New Roman"/>
          <w:sz w:val="28"/>
          <w:szCs w:val="28"/>
          <w:lang w:val="bg-BG"/>
        </w:rPr>
        <w:lastRenderedPageBreak/>
        <w:t>подфонодовете</w:t>
      </w:r>
      <w:proofErr w:type="spellEnd"/>
      <w:r w:rsidRPr="00450D6E">
        <w:rPr>
          <w:rFonts w:ascii="Times New Roman" w:hAnsi="Times New Roman"/>
          <w:sz w:val="28"/>
          <w:szCs w:val="28"/>
          <w:lang w:val="bg-BG"/>
        </w:rPr>
        <w:t xml:space="preserve">. Този подход ще се прилага и впоследствие, когато се прехвърлят осигурени лица и техните средства от един в друг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управлявани от едно пенсионноосигурително дружество. По този начин ще се способства за оптимизация на дейността и ще се избегнат допълнителни транзакционни разходи за продажба и последваща покупка на сходни по вид активи от </w:t>
      </w:r>
      <w:proofErr w:type="spellStart"/>
      <w:r w:rsidRPr="00450D6E">
        <w:rPr>
          <w:rFonts w:ascii="Times New Roman" w:hAnsi="Times New Roman"/>
          <w:sz w:val="28"/>
          <w:szCs w:val="28"/>
          <w:lang w:val="bg-BG"/>
        </w:rPr>
        <w:t>подфондовете</w:t>
      </w:r>
      <w:proofErr w:type="spellEnd"/>
      <w:r w:rsidRPr="00450D6E">
        <w:rPr>
          <w:rFonts w:ascii="Times New Roman" w:hAnsi="Times New Roman"/>
          <w:sz w:val="28"/>
          <w:szCs w:val="28"/>
          <w:lang w:val="bg-BG"/>
        </w:rPr>
        <w:t>.</w:t>
      </w:r>
    </w:p>
    <w:p w14:paraId="52B2D1AA" w14:textId="77777777"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Предвижда се запазване на  действащата уредба по отношение на прехвърлянето на средства между фондовете, управлявани от различни пенсионноосигурителни дружества, като в тези случаи ще бъде допустимо прехвърляне само на парични средства.</w:t>
      </w:r>
    </w:p>
    <w:p w14:paraId="31224415" w14:textId="77777777" w:rsidR="002F7411" w:rsidRPr="00450D6E" w:rsidRDefault="002F7411" w:rsidP="00366F8B">
      <w:pPr>
        <w:spacing w:line="276" w:lineRule="auto"/>
        <w:ind w:firstLine="1134"/>
        <w:jc w:val="both"/>
        <w:rPr>
          <w:rFonts w:ascii="Times New Roman" w:hAnsi="Times New Roman"/>
          <w:b/>
          <w:sz w:val="28"/>
          <w:szCs w:val="28"/>
          <w:lang w:val="bg-BG"/>
        </w:rPr>
      </w:pPr>
    </w:p>
    <w:p w14:paraId="0A9AA935" w14:textId="038634B5" w:rsidR="002F7411" w:rsidRPr="00450D6E" w:rsidRDefault="002F7411" w:rsidP="00366F8B">
      <w:pPr>
        <w:spacing w:line="276" w:lineRule="auto"/>
        <w:ind w:firstLine="1134"/>
        <w:jc w:val="both"/>
        <w:rPr>
          <w:rFonts w:ascii="Times New Roman" w:hAnsi="Times New Roman"/>
          <w:b/>
          <w:sz w:val="28"/>
          <w:szCs w:val="28"/>
          <w:lang w:val="bg-BG"/>
        </w:rPr>
      </w:pPr>
      <w:proofErr w:type="spellStart"/>
      <w:r w:rsidRPr="00450D6E">
        <w:rPr>
          <w:rFonts w:ascii="Times New Roman" w:hAnsi="Times New Roman"/>
          <w:b/>
          <w:sz w:val="28"/>
          <w:szCs w:val="28"/>
          <w:lang w:val="bg-BG"/>
        </w:rPr>
        <w:t>ⅠⅠ</w:t>
      </w:r>
      <w:proofErr w:type="spellEnd"/>
      <w:r w:rsidRPr="00450D6E">
        <w:rPr>
          <w:rFonts w:ascii="Times New Roman" w:hAnsi="Times New Roman"/>
          <w:b/>
          <w:sz w:val="28"/>
          <w:szCs w:val="28"/>
          <w:lang w:val="bg-BG"/>
        </w:rPr>
        <w:t xml:space="preserve">. Свобода за избор на осигурените лица на </w:t>
      </w:r>
      <w:proofErr w:type="spellStart"/>
      <w:r w:rsidRPr="00450D6E">
        <w:rPr>
          <w:rFonts w:ascii="Times New Roman" w:hAnsi="Times New Roman"/>
          <w:b/>
          <w:sz w:val="28"/>
          <w:szCs w:val="28"/>
          <w:lang w:val="bg-BG"/>
        </w:rPr>
        <w:t>подфонд</w:t>
      </w:r>
      <w:proofErr w:type="spellEnd"/>
      <w:r w:rsidRPr="00450D6E">
        <w:rPr>
          <w:rFonts w:ascii="Times New Roman" w:hAnsi="Times New Roman"/>
          <w:b/>
          <w:sz w:val="28"/>
          <w:szCs w:val="28"/>
          <w:lang w:val="bg-BG"/>
        </w:rPr>
        <w:t xml:space="preserve"> с определен инвестиционен профил</w:t>
      </w:r>
    </w:p>
    <w:p w14:paraId="6A5A05FB" w14:textId="01E69BC5"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Свободата за избор на осигурените лица на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с определен инвестиционен профил е въведена като основен принцип в законопроекта, т.е. всяко лице при първоначален избор на УПФ трябва да избере и съответния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в който ще бъдат управлявани неговите средства. </w:t>
      </w:r>
      <w:r w:rsidR="003D17D1" w:rsidRPr="00450D6E">
        <w:rPr>
          <w:rFonts w:ascii="Times New Roman" w:hAnsi="Times New Roman"/>
          <w:sz w:val="28"/>
          <w:szCs w:val="28"/>
          <w:lang w:val="bg-BG"/>
        </w:rPr>
        <w:t>Изборът</w:t>
      </w:r>
      <w:r w:rsidRPr="00450D6E">
        <w:rPr>
          <w:rFonts w:ascii="Times New Roman" w:hAnsi="Times New Roman"/>
          <w:sz w:val="28"/>
          <w:szCs w:val="28"/>
          <w:lang w:val="bg-BG"/>
        </w:rPr>
        <w:t xml:space="preserve"> произтича от необходимостта да се отчитат предпочитанията на осигурените лица и да се стимулира активното им участие в инвестиционния процес. В контекста на въвеждане на многофондовата система е предложен принцип</w:t>
      </w:r>
      <w:r w:rsidR="003D17D1" w:rsidRPr="00450D6E">
        <w:rPr>
          <w:rFonts w:ascii="Times New Roman" w:hAnsi="Times New Roman"/>
          <w:sz w:val="28"/>
          <w:szCs w:val="28"/>
          <w:lang w:val="bg-BG"/>
        </w:rPr>
        <w:t>ът</w:t>
      </w:r>
      <w:r w:rsidRPr="00450D6E">
        <w:rPr>
          <w:rFonts w:ascii="Times New Roman" w:hAnsi="Times New Roman"/>
          <w:sz w:val="28"/>
          <w:szCs w:val="28"/>
          <w:lang w:val="bg-BG"/>
        </w:rPr>
        <w:t xml:space="preserve"> за разпределение на осигурените лица в различните </w:t>
      </w:r>
      <w:proofErr w:type="spellStart"/>
      <w:r w:rsidRPr="00450D6E">
        <w:rPr>
          <w:rFonts w:ascii="Times New Roman" w:hAnsi="Times New Roman"/>
          <w:sz w:val="28"/>
          <w:szCs w:val="28"/>
          <w:lang w:val="bg-BG"/>
        </w:rPr>
        <w:t>подфондове</w:t>
      </w:r>
      <w:proofErr w:type="spellEnd"/>
      <w:r w:rsidRPr="00450D6E">
        <w:rPr>
          <w:rFonts w:ascii="Times New Roman" w:hAnsi="Times New Roman"/>
          <w:sz w:val="28"/>
          <w:szCs w:val="28"/>
          <w:lang w:val="bg-BG"/>
        </w:rPr>
        <w:t xml:space="preserve"> в УПФ съобразно възрастта </w:t>
      </w:r>
      <w:r w:rsidR="003D17D1" w:rsidRPr="00450D6E">
        <w:rPr>
          <w:rFonts w:ascii="Times New Roman" w:hAnsi="Times New Roman"/>
          <w:sz w:val="28"/>
          <w:szCs w:val="28"/>
          <w:lang w:val="bg-BG"/>
        </w:rPr>
        <w:t>им</w:t>
      </w:r>
      <w:r w:rsidRPr="00450D6E">
        <w:rPr>
          <w:rFonts w:ascii="Times New Roman" w:hAnsi="Times New Roman"/>
          <w:sz w:val="28"/>
          <w:szCs w:val="28"/>
          <w:lang w:val="bg-BG"/>
        </w:rPr>
        <w:t xml:space="preserve">. Предвижда се автоматичност на разпределението на осигурените лица и прехвърлянето им в съответните </w:t>
      </w:r>
      <w:proofErr w:type="spellStart"/>
      <w:r w:rsidRPr="00450D6E">
        <w:rPr>
          <w:rFonts w:ascii="Times New Roman" w:hAnsi="Times New Roman"/>
          <w:sz w:val="28"/>
          <w:szCs w:val="28"/>
          <w:lang w:val="bg-BG"/>
        </w:rPr>
        <w:t>подфондове</w:t>
      </w:r>
      <w:proofErr w:type="spellEnd"/>
      <w:r w:rsidRPr="00450D6E">
        <w:rPr>
          <w:rFonts w:ascii="Times New Roman" w:hAnsi="Times New Roman"/>
          <w:sz w:val="28"/>
          <w:szCs w:val="28"/>
          <w:lang w:val="bg-BG"/>
        </w:rPr>
        <w:t xml:space="preserve"> на база</w:t>
      </w:r>
      <w:r w:rsidR="003D17D1" w:rsidRPr="00450D6E">
        <w:rPr>
          <w:rFonts w:ascii="Times New Roman" w:hAnsi="Times New Roman"/>
          <w:sz w:val="28"/>
          <w:szCs w:val="28"/>
          <w:lang w:val="bg-BG"/>
        </w:rPr>
        <w:t>та</w:t>
      </w:r>
      <w:r w:rsidRPr="00450D6E">
        <w:rPr>
          <w:rFonts w:ascii="Times New Roman" w:hAnsi="Times New Roman"/>
          <w:sz w:val="28"/>
          <w:szCs w:val="28"/>
          <w:lang w:val="bg-BG"/>
        </w:rPr>
        <w:t xml:space="preserve"> на критерия възраст, освен ако лицето изрично е избрало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Предложението е мотивирано от разбирането, че за постигане на оптимална доходност средствата на осигурените лица е необходимо да бъдат инвестирани за най-дълъг период в динамичен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w:t>
      </w:r>
      <w:r w:rsidR="00594B4D" w:rsidRPr="00450D6E">
        <w:rPr>
          <w:rFonts w:ascii="Times New Roman" w:hAnsi="Times New Roman"/>
          <w:sz w:val="28"/>
          <w:szCs w:val="28"/>
          <w:lang w:val="bg-BG"/>
        </w:rPr>
        <w:t xml:space="preserve">за </w:t>
      </w:r>
      <w:r w:rsidRPr="00450D6E">
        <w:rPr>
          <w:rFonts w:ascii="Times New Roman" w:hAnsi="Times New Roman"/>
          <w:sz w:val="28"/>
          <w:szCs w:val="28"/>
          <w:lang w:val="bg-BG"/>
        </w:rPr>
        <w:t xml:space="preserve">по-кратък срок – в балансиран </w:t>
      </w:r>
      <w:proofErr w:type="spellStart"/>
      <w:r w:rsidRPr="00450D6E">
        <w:rPr>
          <w:rFonts w:ascii="Times New Roman" w:hAnsi="Times New Roman"/>
          <w:sz w:val="28"/>
          <w:szCs w:val="28"/>
          <w:lang w:val="bg-BG"/>
        </w:rPr>
        <w:t>подфонд</w:t>
      </w:r>
      <w:proofErr w:type="spellEnd"/>
      <w:r w:rsidR="00594B4D" w:rsidRPr="00450D6E">
        <w:rPr>
          <w:rFonts w:ascii="Times New Roman" w:hAnsi="Times New Roman"/>
          <w:sz w:val="28"/>
          <w:szCs w:val="28"/>
          <w:lang w:val="bg-BG"/>
        </w:rPr>
        <w:t>,</w:t>
      </w:r>
      <w:r w:rsidRPr="00450D6E">
        <w:rPr>
          <w:rFonts w:ascii="Times New Roman" w:hAnsi="Times New Roman"/>
          <w:sz w:val="28"/>
          <w:szCs w:val="28"/>
          <w:lang w:val="bg-BG"/>
        </w:rPr>
        <w:t xml:space="preserve"> и </w:t>
      </w:r>
      <w:r w:rsidR="00594B4D" w:rsidRPr="00450D6E">
        <w:rPr>
          <w:rFonts w:ascii="Times New Roman" w:hAnsi="Times New Roman"/>
          <w:sz w:val="28"/>
          <w:szCs w:val="28"/>
          <w:lang w:val="bg-BG"/>
        </w:rPr>
        <w:t xml:space="preserve">за </w:t>
      </w:r>
      <w:r w:rsidR="00594B4D" w:rsidRPr="00450D6E">
        <w:rPr>
          <w:rFonts w:ascii="Times New Roman" w:hAnsi="Times New Roman"/>
          <w:sz w:val="28"/>
          <w:szCs w:val="28"/>
          <w:lang w:val="bg-BG"/>
        </w:rPr>
        <w:br/>
      </w:r>
      <w:r w:rsidRPr="00450D6E">
        <w:rPr>
          <w:rFonts w:ascii="Times New Roman" w:hAnsi="Times New Roman"/>
          <w:sz w:val="28"/>
          <w:szCs w:val="28"/>
          <w:lang w:val="bg-BG"/>
        </w:rPr>
        <w:t xml:space="preserve">най-кратък – в консервативен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По отношение на лицата, на които им остават три или по-малко години до навършване на възрастта по чл. 68, </w:t>
      </w:r>
      <w:r w:rsidR="00594B4D" w:rsidRPr="00450D6E">
        <w:rPr>
          <w:rFonts w:ascii="Times New Roman" w:hAnsi="Times New Roman"/>
          <w:sz w:val="28"/>
          <w:szCs w:val="28"/>
          <w:lang w:val="bg-BG"/>
        </w:rPr>
        <w:br/>
      </w:r>
      <w:r w:rsidRPr="00450D6E">
        <w:rPr>
          <w:rFonts w:ascii="Times New Roman" w:hAnsi="Times New Roman"/>
          <w:sz w:val="28"/>
          <w:szCs w:val="28"/>
          <w:lang w:val="bg-BG"/>
        </w:rPr>
        <w:t>ал. 1 от Кодекса за социално осигуряване (КСО)</w:t>
      </w:r>
      <w:r w:rsidR="00594B4D" w:rsidRPr="00450D6E">
        <w:rPr>
          <w:rFonts w:ascii="Times New Roman" w:hAnsi="Times New Roman"/>
          <w:sz w:val="28"/>
          <w:szCs w:val="28"/>
          <w:lang w:val="bg-BG"/>
        </w:rPr>
        <w:t>,</w:t>
      </w:r>
      <w:r w:rsidRPr="00450D6E">
        <w:rPr>
          <w:rFonts w:ascii="Times New Roman" w:hAnsi="Times New Roman"/>
          <w:sz w:val="28"/>
          <w:szCs w:val="28"/>
          <w:lang w:val="bg-BG"/>
        </w:rPr>
        <w:t xml:space="preserve"> се изключва възможността за прехвърляне на натрупаните средства в индивидуалната им партида в </w:t>
      </w:r>
      <w:r w:rsidR="00594B4D" w:rsidRPr="00450D6E">
        <w:rPr>
          <w:rFonts w:ascii="Times New Roman" w:hAnsi="Times New Roman"/>
          <w:sz w:val="28"/>
          <w:szCs w:val="28"/>
          <w:lang w:val="bg-BG"/>
        </w:rPr>
        <w:br/>
      </w:r>
      <w:r w:rsidRPr="00450D6E">
        <w:rPr>
          <w:rFonts w:ascii="Times New Roman" w:hAnsi="Times New Roman"/>
          <w:sz w:val="28"/>
          <w:szCs w:val="28"/>
          <w:lang w:val="bg-BG"/>
        </w:rPr>
        <w:t xml:space="preserve">по-рисков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с цел те да бъдат предпазени от високо </w:t>
      </w:r>
      <w:proofErr w:type="spellStart"/>
      <w:r w:rsidRPr="00450D6E">
        <w:rPr>
          <w:rFonts w:ascii="Times New Roman" w:hAnsi="Times New Roman"/>
          <w:sz w:val="28"/>
          <w:szCs w:val="28"/>
          <w:lang w:val="bg-BG"/>
        </w:rPr>
        <w:t>волатилни</w:t>
      </w:r>
      <w:proofErr w:type="spellEnd"/>
      <w:r w:rsidRPr="00450D6E">
        <w:rPr>
          <w:rFonts w:ascii="Times New Roman" w:hAnsi="Times New Roman"/>
          <w:sz w:val="28"/>
          <w:szCs w:val="28"/>
          <w:lang w:val="bg-BG"/>
        </w:rPr>
        <w:t xml:space="preserve"> движения непосредствено преди придобиване право на пенсия. През този период е препоръчително консервативното инвестиране с оглед </w:t>
      </w:r>
      <w:r w:rsidR="00594B4D" w:rsidRPr="00450D6E">
        <w:rPr>
          <w:rFonts w:ascii="Times New Roman" w:hAnsi="Times New Roman"/>
          <w:sz w:val="28"/>
          <w:szCs w:val="28"/>
          <w:lang w:val="bg-BG"/>
        </w:rPr>
        <w:t xml:space="preserve">на </w:t>
      </w:r>
      <w:r w:rsidRPr="00450D6E">
        <w:rPr>
          <w:rFonts w:ascii="Times New Roman" w:hAnsi="Times New Roman"/>
          <w:sz w:val="28"/>
          <w:szCs w:val="28"/>
          <w:lang w:val="bg-BG"/>
        </w:rPr>
        <w:t xml:space="preserve">избягване на опасността от значителен спад на средствата по </w:t>
      </w:r>
      <w:r w:rsidRPr="00450D6E">
        <w:rPr>
          <w:rFonts w:ascii="Times New Roman" w:hAnsi="Times New Roman"/>
          <w:sz w:val="28"/>
          <w:szCs w:val="28"/>
          <w:lang w:val="bg-BG"/>
        </w:rPr>
        <w:lastRenderedPageBreak/>
        <w:t xml:space="preserve">индивидуалната партида на осигурените лица, тъй като времето може да се окаже недостатъчно за инвестиционните инструменти да възстановят стойността си при по-рисковите </w:t>
      </w:r>
      <w:proofErr w:type="spellStart"/>
      <w:r w:rsidRPr="00450D6E">
        <w:rPr>
          <w:rFonts w:ascii="Times New Roman" w:hAnsi="Times New Roman"/>
          <w:sz w:val="28"/>
          <w:szCs w:val="28"/>
          <w:lang w:val="bg-BG"/>
        </w:rPr>
        <w:t>подфондове</w:t>
      </w:r>
      <w:proofErr w:type="spellEnd"/>
      <w:r w:rsidRPr="00450D6E">
        <w:rPr>
          <w:rFonts w:ascii="Times New Roman" w:hAnsi="Times New Roman"/>
          <w:sz w:val="28"/>
          <w:szCs w:val="28"/>
          <w:lang w:val="bg-BG"/>
        </w:rPr>
        <w:t>.</w:t>
      </w:r>
    </w:p>
    <w:p w14:paraId="1AA46313" w14:textId="1E3503E2"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Разпределението на лицата, които не са избрали УПФ и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в него</w:t>
      </w:r>
      <w:r w:rsidR="00594B4D" w:rsidRPr="00450D6E">
        <w:rPr>
          <w:rFonts w:ascii="Times New Roman" w:hAnsi="Times New Roman"/>
          <w:sz w:val="28"/>
          <w:szCs w:val="28"/>
          <w:lang w:val="bg-BG"/>
        </w:rPr>
        <w:t>,</w:t>
      </w:r>
      <w:r w:rsidRPr="00450D6E">
        <w:rPr>
          <w:rFonts w:ascii="Times New Roman" w:hAnsi="Times New Roman"/>
          <w:sz w:val="28"/>
          <w:szCs w:val="28"/>
          <w:lang w:val="bg-BG"/>
        </w:rPr>
        <w:t xml:space="preserve"> ще се извършва служебно въз основа на възрастта им при следните условия:</w:t>
      </w:r>
    </w:p>
    <w:p w14:paraId="2F79912B" w14:textId="77777777"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 в динамичен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 до навършване на 50 години;</w:t>
      </w:r>
    </w:p>
    <w:p w14:paraId="65C2DA1D" w14:textId="77777777"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 в балансиран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 от навършване на 50 години до 3 години преди възрастта по чл. 68, ал. 1 от Кодекса за социално осигуряване;</w:t>
      </w:r>
    </w:p>
    <w:p w14:paraId="7F366CEA" w14:textId="77777777"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 в консервативен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 задължително участват лица, на които остават 3 или по-малко години до навършване на възрастта по чл. 68 ал. 1 от КСО.</w:t>
      </w:r>
    </w:p>
    <w:p w14:paraId="65FD39CD" w14:textId="7619FF6C"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Осигурените лица ще могат да променят участието си от по-високорисков фонд към по-нискорисков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и обратно</w:t>
      </w:r>
      <w:r w:rsidR="00722381" w:rsidRPr="00450D6E">
        <w:rPr>
          <w:rFonts w:ascii="Times New Roman" w:hAnsi="Times New Roman"/>
          <w:sz w:val="28"/>
          <w:szCs w:val="28"/>
          <w:lang w:val="bg-BG"/>
        </w:rPr>
        <w:t>то</w:t>
      </w:r>
      <w:r w:rsidRPr="00450D6E">
        <w:rPr>
          <w:rFonts w:ascii="Times New Roman" w:hAnsi="Times New Roman"/>
          <w:sz w:val="28"/>
          <w:szCs w:val="28"/>
          <w:lang w:val="bg-BG"/>
        </w:rPr>
        <w:t xml:space="preserve"> след изследване на рисковия им профил чрез попълване на  въпросник, както и </w:t>
      </w:r>
      <w:r w:rsidR="001828C6">
        <w:rPr>
          <w:rFonts w:ascii="Times New Roman" w:hAnsi="Times New Roman"/>
          <w:sz w:val="28"/>
          <w:szCs w:val="28"/>
          <w:lang w:val="bg-BG"/>
        </w:rPr>
        <w:t xml:space="preserve">след </w:t>
      </w:r>
      <w:r w:rsidRPr="00450D6E">
        <w:rPr>
          <w:rFonts w:ascii="Times New Roman" w:hAnsi="Times New Roman"/>
          <w:sz w:val="28"/>
          <w:szCs w:val="28"/>
          <w:lang w:val="bg-BG"/>
        </w:rPr>
        <w:t xml:space="preserve">информиране и консултиране на лицата при избора на подходяща за тях инвестиционна възможност с оглед </w:t>
      </w:r>
      <w:r w:rsidR="00722381" w:rsidRPr="00450D6E">
        <w:rPr>
          <w:rFonts w:ascii="Times New Roman" w:hAnsi="Times New Roman"/>
          <w:sz w:val="28"/>
          <w:szCs w:val="28"/>
          <w:lang w:val="bg-BG"/>
        </w:rPr>
        <w:t xml:space="preserve">на </w:t>
      </w:r>
      <w:r w:rsidRPr="00450D6E">
        <w:rPr>
          <w:rFonts w:ascii="Times New Roman" w:hAnsi="Times New Roman"/>
          <w:sz w:val="28"/>
          <w:szCs w:val="28"/>
          <w:lang w:val="bg-BG"/>
        </w:rPr>
        <w:t xml:space="preserve">вземане на информирано решение. Осигурените лица ще имат право да променят участието си от един в друг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управлявани от едно и също пенсионноосигурително дружество, след изтичане на една година от упражнения предходен избор. Критерият „възраст“ няма да се прилага служебно при заявен от лицата избор на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с изключение на задължителното участие в консервативен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през последните три години преди навършване на възрастта по чл. 68 ал. 1 от КСО.</w:t>
      </w:r>
    </w:p>
    <w:p w14:paraId="0DBEC924" w14:textId="77777777" w:rsidR="002F7411" w:rsidRPr="00450D6E" w:rsidRDefault="002F7411" w:rsidP="00366F8B">
      <w:pPr>
        <w:spacing w:line="276" w:lineRule="auto"/>
        <w:ind w:firstLine="1134"/>
        <w:jc w:val="both"/>
        <w:rPr>
          <w:rFonts w:ascii="Times New Roman" w:hAnsi="Times New Roman"/>
          <w:sz w:val="28"/>
          <w:szCs w:val="28"/>
          <w:highlight w:val="yellow"/>
          <w:lang w:val="bg-BG"/>
        </w:rPr>
      </w:pPr>
    </w:p>
    <w:p w14:paraId="6B372D36" w14:textId="77777777" w:rsidR="002F7411" w:rsidRPr="00450D6E" w:rsidRDefault="002F7411" w:rsidP="00366F8B">
      <w:pPr>
        <w:spacing w:line="276" w:lineRule="auto"/>
        <w:ind w:firstLine="1134"/>
        <w:jc w:val="both"/>
        <w:rPr>
          <w:rFonts w:ascii="Times New Roman" w:hAnsi="Times New Roman"/>
          <w:b/>
          <w:sz w:val="28"/>
          <w:szCs w:val="28"/>
          <w:lang w:val="bg-BG"/>
        </w:rPr>
      </w:pPr>
      <w:proofErr w:type="spellStart"/>
      <w:r w:rsidRPr="00450D6E">
        <w:rPr>
          <w:rFonts w:ascii="Times New Roman" w:hAnsi="Times New Roman"/>
          <w:b/>
          <w:sz w:val="28"/>
          <w:szCs w:val="28"/>
          <w:lang w:val="bg-BG"/>
        </w:rPr>
        <w:t>ⅠⅠⅠ</w:t>
      </w:r>
      <w:proofErr w:type="spellEnd"/>
      <w:r w:rsidRPr="00450D6E">
        <w:rPr>
          <w:rFonts w:ascii="Times New Roman" w:hAnsi="Times New Roman"/>
          <w:b/>
          <w:sz w:val="28"/>
          <w:szCs w:val="28"/>
          <w:lang w:val="bg-BG"/>
        </w:rPr>
        <w:t>. Замяна на механизма за гарантиране на минималната доходност при управлението на средствата на фондовете за допълнително задължително пенсионно осигуряване</w:t>
      </w:r>
      <w:r w:rsidRPr="00450D6E">
        <w:rPr>
          <w:rFonts w:ascii="Times New Roman" w:hAnsi="Times New Roman"/>
          <w:sz w:val="28"/>
          <w:szCs w:val="28"/>
          <w:lang w:val="bg-BG"/>
        </w:rPr>
        <w:t xml:space="preserve"> </w:t>
      </w:r>
      <w:r w:rsidRPr="00450D6E">
        <w:rPr>
          <w:rFonts w:ascii="Times New Roman" w:hAnsi="Times New Roman"/>
          <w:b/>
          <w:sz w:val="28"/>
          <w:szCs w:val="28"/>
          <w:lang w:val="bg-BG"/>
        </w:rPr>
        <w:t>с пазарен показател (бенчмарк)</w:t>
      </w:r>
    </w:p>
    <w:p w14:paraId="3ECE673B" w14:textId="77777777"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В контекста на въвеждането на многофондовия модел се предлага замяна на механизма за гарантиране на минималната доходност от управлението на активите на универсалните и професионалните пенсионни фондове (ППФ) с друг показател за инвестиционните резултати. Това ще даде възможност за по-голяма гъвкавост при управление на активите на тези фондове и постигане на по-пълно съответствие с дългосрочния инвестиционен хоризонт на осигурените в тях лица. </w:t>
      </w:r>
    </w:p>
    <w:p w14:paraId="0F5B0A98" w14:textId="14873818"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lastRenderedPageBreak/>
        <w:t xml:space="preserve">С премахването на гаранционния механизъм ще отпадне стимулът за </w:t>
      </w:r>
      <w:proofErr w:type="spellStart"/>
      <w:r w:rsidR="001828C6">
        <w:rPr>
          <w:rFonts w:ascii="Times New Roman" w:hAnsi="Times New Roman"/>
          <w:sz w:val="28"/>
          <w:szCs w:val="28"/>
          <w:lang w:val="bg-BG"/>
        </w:rPr>
        <w:t>конформистко</w:t>
      </w:r>
      <w:proofErr w:type="spellEnd"/>
      <w:r w:rsidRPr="00450D6E">
        <w:rPr>
          <w:rFonts w:ascii="Times New Roman" w:hAnsi="Times New Roman"/>
          <w:sz w:val="28"/>
          <w:szCs w:val="28"/>
          <w:lang w:val="bg-BG"/>
        </w:rPr>
        <w:t xml:space="preserve"> поведение при инвестиране на средствата на фондовете. Във връзка с това се предлага средствата, покриващи резерва за гарантиране на минималната доходност в УПФ, които понастоящем са в размер</w:t>
      </w:r>
      <w:r w:rsidR="00722381" w:rsidRPr="00450D6E">
        <w:rPr>
          <w:rFonts w:ascii="Times New Roman" w:hAnsi="Times New Roman"/>
          <w:sz w:val="28"/>
          <w:szCs w:val="28"/>
          <w:lang w:val="bg-BG"/>
        </w:rPr>
        <w:t>,</w:t>
      </w:r>
      <w:r w:rsidRPr="00450D6E">
        <w:rPr>
          <w:rFonts w:ascii="Times New Roman" w:hAnsi="Times New Roman"/>
          <w:sz w:val="28"/>
          <w:szCs w:val="28"/>
          <w:lang w:val="bg-BG"/>
        </w:rPr>
        <w:t xml:space="preserve"> не по-малък от 0,5 на сто от активите на фонда, да се пренасочат за увеличение на резерва за гарантиране на брутния размер на вноските в универсалните пенсионни фондове.</w:t>
      </w:r>
    </w:p>
    <w:p w14:paraId="32B219A0" w14:textId="47159DF4"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Аналогичен подход е предложен и  по отношение на съществуващите резерви за гарантиране на минималната доходност на ППФ, които ще се трансформират в резерви за гарантиране на брутния размер на вноските за този вид фондове. Този подход ще доведе до еднакво третиране на осигурените лица в двата вида фонд</w:t>
      </w:r>
      <w:r w:rsidR="00722381" w:rsidRPr="00450D6E">
        <w:rPr>
          <w:rFonts w:ascii="Times New Roman" w:hAnsi="Times New Roman"/>
          <w:sz w:val="28"/>
          <w:szCs w:val="28"/>
          <w:lang w:val="bg-BG"/>
        </w:rPr>
        <w:t>а</w:t>
      </w:r>
      <w:r w:rsidRPr="00450D6E">
        <w:rPr>
          <w:rFonts w:ascii="Times New Roman" w:hAnsi="Times New Roman"/>
          <w:sz w:val="28"/>
          <w:szCs w:val="28"/>
          <w:lang w:val="bg-BG"/>
        </w:rPr>
        <w:t xml:space="preserve"> за допълнително задължително пенсионно осигуряване и ще повиши защитата на интересите на участниците в ППФ.</w:t>
      </w:r>
    </w:p>
    <w:p w14:paraId="758DCFA3" w14:textId="47FDDAC1"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За да се стимулира постигането на по-висока доходност при управлението на универсалните и професионалните пенсионни фондове, както и с оглед </w:t>
      </w:r>
      <w:r w:rsidR="001828C6">
        <w:rPr>
          <w:rFonts w:ascii="Times New Roman" w:hAnsi="Times New Roman"/>
          <w:sz w:val="28"/>
          <w:szCs w:val="28"/>
          <w:lang w:val="bg-BG"/>
        </w:rPr>
        <w:t xml:space="preserve">на </w:t>
      </w:r>
      <w:r w:rsidRPr="00450D6E">
        <w:rPr>
          <w:rFonts w:ascii="Times New Roman" w:hAnsi="Times New Roman"/>
          <w:sz w:val="28"/>
          <w:szCs w:val="28"/>
          <w:lang w:val="bg-BG"/>
        </w:rPr>
        <w:t xml:space="preserve">замяната на гаранционния механизъм за минимална доходност се предлага въвеждането на показател за съпоставяне на  доходността при управлението на всеки от </w:t>
      </w:r>
      <w:proofErr w:type="spellStart"/>
      <w:r w:rsidRPr="00450D6E">
        <w:rPr>
          <w:rFonts w:ascii="Times New Roman" w:hAnsi="Times New Roman"/>
          <w:sz w:val="28"/>
          <w:szCs w:val="28"/>
          <w:lang w:val="bg-BG"/>
        </w:rPr>
        <w:t>подфондовете</w:t>
      </w:r>
      <w:proofErr w:type="spellEnd"/>
      <w:r w:rsidRPr="00450D6E">
        <w:rPr>
          <w:rFonts w:ascii="Times New Roman" w:hAnsi="Times New Roman"/>
          <w:sz w:val="28"/>
          <w:szCs w:val="28"/>
          <w:lang w:val="bg-BG"/>
        </w:rPr>
        <w:t xml:space="preserve">, който ще се изчислява и обявява от Комисията за финансов надзор до края на месеца, следващ всяко тримесечие. Предвижда се този показател да отразява обективното представяне на финансовите пазари и тенденции в дългосрочен план. </w:t>
      </w:r>
      <w:proofErr w:type="spellStart"/>
      <w:r w:rsidRPr="00450D6E">
        <w:rPr>
          <w:rFonts w:ascii="Times New Roman" w:hAnsi="Times New Roman"/>
          <w:sz w:val="28"/>
          <w:szCs w:val="28"/>
          <w:lang w:val="bg-BG"/>
        </w:rPr>
        <w:t>Подфондовете</w:t>
      </w:r>
      <w:proofErr w:type="spellEnd"/>
      <w:r w:rsidRPr="00450D6E">
        <w:rPr>
          <w:rFonts w:ascii="Times New Roman" w:hAnsi="Times New Roman"/>
          <w:sz w:val="28"/>
          <w:szCs w:val="28"/>
          <w:lang w:val="bg-BG"/>
        </w:rPr>
        <w:t xml:space="preserve">, при управлението на които е постигната доходност, която е по-ниска от обявената стойност на показателя, намалена с предвидено в подзаконов нормативен акт отклонение, няма да участват в служебното разпределение на лицата, неизбрали фонд за задължително пенсионно осигуряване, въз основа на критерия доходност. </w:t>
      </w:r>
    </w:p>
    <w:p w14:paraId="5C63891D" w14:textId="77777777" w:rsidR="002F7411" w:rsidRPr="00450D6E" w:rsidRDefault="002F7411" w:rsidP="00366F8B">
      <w:pPr>
        <w:spacing w:line="276" w:lineRule="auto"/>
        <w:ind w:firstLine="1134"/>
        <w:jc w:val="both"/>
        <w:rPr>
          <w:rFonts w:ascii="Times New Roman" w:hAnsi="Times New Roman"/>
          <w:b/>
          <w:sz w:val="28"/>
          <w:szCs w:val="28"/>
          <w:lang w:val="bg-BG"/>
        </w:rPr>
      </w:pPr>
    </w:p>
    <w:p w14:paraId="719002C3" w14:textId="77777777" w:rsidR="002F7411" w:rsidRPr="00450D6E" w:rsidRDefault="002F7411" w:rsidP="00366F8B">
      <w:pPr>
        <w:spacing w:line="276" w:lineRule="auto"/>
        <w:ind w:firstLine="1134"/>
        <w:jc w:val="both"/>
        <w:rPr>
          <w:rFonts w:ascii="Times New Roman" w:hAnsi="Times New Roman"/>
          <w:b/>
          <w:sz w:val="28"/>
          <w:szCs w:val="28"/>
          <w:lang w:val="bg-BG"/>
        </w:rPr>
      </w:pPr>
      <w:proofErr w:type="spellStart"/>
      <w:r w:rsidRPr="00450D6E">
        <w:rPr>
          <w:rFonts w:ascii="Times New Roman" w:hAnsi="Times New Roman"/>
          <w:b/>
          <w:sz w:val="28"/>
          <w:szCs w:val="28"/>
          <w:lang w:val="bg-BG"/>
        </w:rPr>
        <w:t>IⅤ</w:t>
      </w:r>
      <w:proofErr w:type="spellEnd"/>
      <w:r w:rsidRPr="00450D6E">
        <w:rPr>
          <w:rFonts w:ascii="Times New Roman" w:hAnsi="Times New Roman"/>
          <w:b/>
          <w:sz w:val="28"/>
          <w:szCs w:val="28"/>
          <w:lang w:val="bg-BG"/>
        </w:rPr>
        <w:t>. Изисквания към инвестициите и тяхното управление</w:t>
      </w:r>
    </w:p>
    <w:p w14:paraId="3CC6DBE4" w14:textId="77777777"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Въвеждането на многофондовата система е съпътствано с развиване на изискванията към инвестициите на пенсионните фондове и тяхното управление в следните насоки:</w:t>
      </w:r>
    </w:p>
    <w:p w14:paraId="33EE86C8" w14:textId="77777777"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1. В списъка на допустимите финансови инструменти, в които могат да бъдат инвестирани средствата на фондовете, са добавени нови възможности:</w:t>
      </w:r>
    </w:p>
    <w:p w14:paraId="60B56F09" w14:textId="7262E1E6"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lastRenderedPageBreak/>
        <w:t>а) инструменти на паричния пазар, издадени или гарантирани от държава</w:t>
      </w:r>
      <w:r w:rsidR="00722381" w:rsidRPr="00450D6E">
        <w:rPr>
          <w:rFonts w:ascii="Times New Roman" w:hAnsi="Times New Roman"/>
          <w:sz w:val="28"/>
          <w:szCs w:val="28"/>
          <w:lang w:val="bg-BG"/>
        </w:rPr>
        <w:t xml:space="preserve"> </w:t>
      </w:r>
      <w:r w:rsidRPr="00450D6E">
        <w:rPr>
          <w:rFonts w:ascii="Times New Roman" w:hAnsi="Times New Roman"/>
          <w:sz w:val="28"/>
          <w:szCs w:val="28"/>
          <w:lang w:val="bg-BG"/>
        </w:rPr>
        <w:t>-</w:t>
      </w:r>
      <w:r w:rsidR="00722381" w:rsidRPr="00450D6E">
        <w:rPr>
          <w:rFonts w:ascii="Times New Roman" w:hAnsi="Times New Roman"/>
          <w:sz w:val="28"/>
          <w:szCs w:val="28"/>
          <w:lang w:val="bg-BG"/>
        </w:rPr>
        <w:t xml:space="preserve"> </w:t>
      </w:r>
      <w:r w:rsidRPr="00450D6E">
        <w:rPr>
          <w:rFonts w:ascii="Times New Roman" w:hAnsi="Times New Roman"/>
          <w:sz w:val="28"/>
          <w:szCs w:val="28"/>
          <w:lang w:val="bg-BG"/>
        </w:rPr>
        <w:t xml:space="preserve">членка, </w:t>
      </w:r>
      <w:r w:rsidR="00722381" w:rsidRPr="00450D6E">
        <w:rPr>
          <w:rFonts w:ascii="Times New Roman" w:hAnsi="Times New Roman"/>
          <w:sz w:val="28"/>
          <w:szCs w:val="28"/>
          <w:lang w:val="bg-BG"/>
        </w:rPr>
        <w:t xml:space="preserve">от </w:t>
      </w:r>
      <w:r w:rsidRPr="00450D6E">
        <w:rPr>
          <w:rFonts w:ascii="Times New Roman" w:hAnsi="Times New Roman"/>
          <w:sz w:val="28"/>
          <w:szCs w:val="28"/>
          <w:lang w:val="bg-BG"/>
        </w:rPr>
        <w:t xml:space="preserve">Европейската централна банка, </w:t>
      </w:r>
      <w:r w:rsidR="00722381" w:rsidRPr="00450D6E">
        <w:rPr>
          <w:rFonts w:ascii="Times New Roman" w:hAnsi="Times New Roman"/>
          <w:sz w:val="28"/>
          <w:szCs w:val="28"/>
          <w:lang w:val="bg-BG"/>
        </w:rPr>
        <w:t xml:space="preserve">от </w:t>
      </w:r>
      <w:r w:rsidRPr="00450D6E">
        <w:rPr>
          <w:rFonts w:ascii="Times New Roman" w:hAnsi="Times New Roman"/>
          <w:sz w:val="28"/>
          <w:szCs w:val="28"/>
          <w:lang w:val="bg-BG"/>
        </w:rPr>
        <w:t xml:space="preserve">Европейската инвестиционна банка, както и </w:t>
      </w:r>
      <w:r w:rsidR="00722381" w:rsidRPr="00450D6E">
        <w:rPr>
          <w:rFonts w:ascii="Times New Roman" w:hAnsi="Times New Roman"/>
          <w:sz w:val="28"/>
          <w:szCs w:val="28"/>
          <w:lang w:val="bg-BG"/>
        </w:rPr>
        <w:t xml:space="preserve">от </w:t>
      </w:r>
      <w:r w:rsidRPr="00450D6E">
        <w:rPr>
          <w:rFonts w:ascii="Times New Roman" w:hAnsi="Times New Roman"/>
          <w:sz w:val="28"/>
          <w:szCs w:val="28"/>
          <w:lang w:val="bg-BG"/>
        </w:rPr>
        <w:t>трети държави, определени с наредба на Комисията за финансов надзор;</w:t>
      </w:r>
    </w:p>
    <w:p w14:paraId="2B7197F1" w14:textId="77777777"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б) акции и облигации, приети за търговия на пазари за растеж на малки и средни предприятия </w:t>
      </w:r>
      <w:r w:rsidRPr="00450D6E">
        <w:rPr>
          <w:rFonts w:ascii="Times New Roman" w:hAnsi="Times New Roman"/>
          <w:sz w:val="28"/>
          <w:szCs w:val="28"/>
          <w:lang w:val="en-US"/>
        </w:rPr>
        <w:t>(</w:t>
      </w:r>
      <w:r w:rsidRPr="00450D6E">
        <w:rPr>
          <w:rFonts w:ascii="Times New Roman" w:hAnsi="Times New Roman"/>
          <w:sz w:val="28"/>
          <w:szCs w:val="28"/>
          <w:lang w:val="bg-BG"/>
        </w:rPr>
        <w:t>МСП</w:t>
      </w:r>
      <w:r w:rsidRPr="00450D6E">
        <w:rPr>
          <w:rFonts w:ascii="Times New Roman" w:hAnsi="Times New Roman"/>
          <w:sz w:val="28"/>
          <w:szCs w:val="28"/>
          <w:lang w:val="en-US"/>
        </w:rPr>
        <w:t>)</w:t>
      </w:r>
      <w:r w:rsidRPr="00450D6E">
        <w:rPr>
          <w:rFonts w:ascii="Times New Roman" w:hAnsi="Times New Roman"/>
          <w:sz w:val="28"/>
          <w:szCs w:val="28"/>
          <w:lang w:val="bg-BG"/>
        </w:rPr>
        <w:t xml:space="preserve"> или предмет на първично публично предлагане с поет ангажимент за приемане на такива пазари;</w:t>
      </w:r>
    </w:p>
    <w:p w14:paraId="3FDED311" w14:textId="77777777"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в) акции и/или дялове на борсово търгувани фондове, различни от колективни инвестиционни схеми;</w:t>
      </w:r>
    </w:p>
    <w:p w14:paraId="6253F6D6" w14:textId="77777777"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г) акции и/или дялове на алтернативни инвестиционни фондове, управлявани от лице, регистрирано съгласно Директива 2011/61/ЕС.</w:t>
      </w:r>
    </w:p>
    <w:p w14:paraId="4A314A68" w14:textId="03DE548D"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По този начин се предоставят допълнителни инвестиционни възможности в контекста на въвеждането на многофондова система и с оглед </w:t>
      </w:r>
      <w:r w:rsidR="00217483" w:rsidRPr="00450D6E">
        <w:rPr>
          <w:rFonts w:ascii="Times New Roman" w:hAnsi="Times New Roman"/>
          <w:sz w:val="28"/>
          <w:szCs w:val="28"/>
          <w:lang w:val="bg-BG"/>
        </w:rPr>
        <w:t xml:space="preserve">на </w:t>
      </w:r>
      <w:r w:rsidRPr="00450D6E">
        <w:rPr>
          <w:rFonts w:ascii="Times New Roman" w:hAnsi="Times New Roman"/>
          <w:sz w:val="28"/>
          <w:szCs w:val="28"/>
          <w:lang w:val="bg-BG"/>
        </w:rPr>
        <w:t xml:space="preserve">постигане на по-добра доходност и диверсификация на портфейлите на пенсионните фондове. </w:t>
      </w:r>
    </w:p>
    <w:p w14:paraId="60004960" w14:textId="162ACDCB"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С въвеждането на инструментите на паричния пазар, издадени от държави</w:t>
      </w:r>
      <w:r w:rsidR="00217483" w:rsidRPr="00450D6E">
        <w:rPr>
          <w:rFonts w:ascii="Times New Roman" w:hAnsi="Times New Roman"/>
          <w:sz w:val="28"/>
          <w:szCs w:val="28"/>
          <w:lang w:val="bg-BG"/>
        </w:rPr>
        <w:t xml:space="preserve"> </w:t>
      </w:r>
      <w:r w:rsidRPr="00450D6E">
        <w:rPr>
          <w:rFonts w:ascii="Times New Roman" w:hAnsi="Times New Roman"/>
          <w:sz w:val="28"/>
          <w:szCs w:val="28"/>
          <w:lang w:val="bg-BG"/>
        </w:rPr>
        <w:t>-</w:t>
      </w:r>
      <w:r w:rsidR="00217483" w:rsidRPr="00450D6E">
        <w:rPr>
          <w:rFonts w:ascii="Times New Roman" w:hAnsi="Times New Roman"/>
          <w:sz w:val="28"/>
          <w:szCs w:val="28"/>
          <w:lang w:val="bg-BG"/>
        </w:rPr>
        <w:t xml:space="preserve"> </w:t>
      </w:r>
      <w:r w:rsidRPr="00450D6E">
        <w:rPr>
          <w:rFonts w:ascii="Times New Roman" w:hAnsi="Times New Roman"/>
          <w:sz w:val="28"/>
          <w:szCs w:val="28"/>
          <w:lang w:val="bg-BG"/>
        </w:rPr>
        <w:t xml:space="preserve">членки или </w:t>
      </w:r>
      <w:r w:rsidR="00217483" w:rsidRPr="00450D6E">
        <w:rPr>
          <w:rFonts w:ascii="Times New Roman" w:hAnsi="Times New Roman"/>
          <w:sz w:val="28"/>
          <w:szCs w:val="28"/>
          <w:lang w:val="bg-BG"/>
        </w:rPr>
        <w:t xml:space="preserve">от </w:t>
      </w:r>
      <w:r w:rsidRPr="00450D6E">
        <w:rPr>
          <w:rFonts w:ascii="Times New Roman" w:hAnsi="Times New Roman"/>
          <w:sz w:val="28"/>
          <w:szCs w:val="28"/>
          <w:lang w:val="bg-BG"/>
        </w:rPr>
        <w:t>определени трети държави, на първо място се постига хармонизиране на Кодекса за социално осигуряване с други закони, уреждащи дейността на небанковия финансов сектор, като Закона за пазарите на финансови инструменти. Понастоящем в Кодекса за социално осигуряване не е налице разграничение между дългосрочните дългови ценни книжа и инструментите на паричния пазар, докато посоченото разграничение е безспорно утвърдено в практиката и е уредено в редица нормативни актове на национално и европейско ниво. Посредством регламентирането на този вид нискорискови инструменти на паричния пазар като отделен клас активи ще се даде допълнителна възможност за диверсификация при управление на средствата на фондовете.</w:t>
      </w:r>
    </w:p>
    <w:p w14:paraId="060BE0AA" w14:textId="227FB97A"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С въвеждането на втория вид нови активи, а именно акции, приети на пазарите за растеж на МСП в държави </w:t>
      </w:r>
      <w:r w:rsidR="00217483" w:rsidRPr="00450D6E">
        <w:rPr>
          <w:rFonts w:ascii="Times New Roman" w:hAnsi="Times New Roman"/>
          <w:sz w:val="28"/>
          <w:szCs w:val="28"/>
          <w:lang w:val="bg-BG"/>
        </w:rPr>
        <w:t xml:space="preserve">- </w:t>
      </w:r>
      <w:r w:rsidRPr="00450D6E">
        <w:rPr>
          <w:rFonts w:ascii="Times New Roman" w:hAnsi="Times New Roman"/>
          <w:sz w:val="28"/>
          <w:szCs w:val="28"/>
          <w:lang w:val="bg-BG"/>
        </w:rPr>
        <w:t>членки на ЕС</w:t>
      </w:r>
      <w:r w:rsidR="00217483" w:rsidRPr="00450D6E">
        <w:rPr>
          <w:rFonts w:ascii="Times New Roman" w:hAnsi="Times New Roman"/>
          <w:sz w:val="28"/>
          <w:szCs w:val="28"/>
          <w:lang w:val="bg-BG"/>
        </w:rPr>
        <w:t>,</w:t>
      </w:r>
      <w:r w:rsidRPr="00450D6E">
        <w:rPr>
          <w:rFonts w:ascii="Times New Roman" w:hAnsi="Times New Roman"/>
          <w:sz w:val="28"/>
          <w:szCs w:val="28"/>
          <w:lang w:val="bg-BG"/>
        </w:rPr>
        <w:t xml:space="preserve"> и на пазари с подобно предназначение в определени трети държави</w:t>
      </w:r>
      <w:r w:rsidR="00217483" w:rsidRPr="00450D6E">
        <w:rPr>
          <w:rFonts w:ascii="Times New Roman" w:hAnsi="Times New Roman"/>
          <w:sz w:val="28"/>
          <w:szCs w:val="28"/>
          <w:lang w:val="bg-BG"/>
        </w:rPr>
        <w:t>,</w:t>
      </w:r>
      <w:r w:rsidRPr="00450D6E">
        <w:rPr>
          <w:rFonts w:ascii="Times New Roman" w:hAnsi="Times New Roman"/>
          <w:sz w:val="28"/>
          <w:szCs w:val="28"/>
          <w:lang w:val="bg-BG"/>
        </w:rPr>
        <w:t xml:space="preserve"> се цели както разширяване на инвестиционните възможности на фондовете, така и достъп на малките и средни предприятия, които набират капитал на този вид пазари, до институционални инвеститори от </w:t>
      </w:r>
      <w:r w:rsidR="00217483" w:rsidRPr="00450D6E">
        <w:rPr>
          <w:rFonts w:ascii="Times New Roman" w:hAnsi="Times New Roman"/>
          <w:sz w:val="28"/>
          <w:szCs w:val="28"/>
          <w:lang w:val="bg-BG"/>
        </w:rPr>
        <w:t>размера</w:t>
      </w:r>
      <w:r w:rsidRPr="00450D6E">
        <w:rPr>
          <w:rFonts w:ascii="Times New Roman" w:hAnsi="Times New Roman"/>
          <w:sz w:val="28"/>
          <w:szCs w:val="28"/>
          <w:lang w:val="bg-BG"/>
        </w:rPr>
        <w:t xml:space="preserve"> на пенсионните фондове. По този начин, наред с възможността фондовете да постигнат </w:t>
      </w:r>
      <w:r w:rsidRPr="00450D6E">
        <w:rPr>
          <w:rFonts w:ascii="Times New Roman" w:hAnsi="Times New Roman"/>
          <w:sz w:val="28"/>
          <w:szCs w:val="28"/>
          <w:lang w:val="bg-BG"/>
        </w:rPr>
        <w:lastRenderedPageBreak/>
        <w:t>задоволителна доходност от инвестиции в бързорастящи компании, това предложение ще се отрази благоприятно и за развитие на икономиката.</w:t>
      </w:r>
    </w:p>
    <w:p w14:paraId="10B685BE" w14:textId="77777777"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С регламентирането на възможността за инвестиране в дялове на борсово търгувани фондове, различни от колективни инвестиционни схеми, ще се постигне допълнителна диверсификация на портфейлите на фондовете. Освен че се характеризират с висока ликвидност, този вид финансови инструменти ще дадат възможност за непряко инвестиране на пазарите на ценни метали и други суровини, което е от съществено значение, особено в периоди на кризи и несигурност на финансовите пазари.</w:t>
      </w:r>
    </w:p>
    <w:p w14:paraId="45359567" w14:textId="77777777" w:rsidR="002F7411" w:rsidRPr="00450D6E" w:rsidRDefault="002F7411" w:rsidP="00366F8B">
      <w:pPr>
        <w:spacing w:line="276" w:lineRule="auto"/>
        <w:ind w:firstLine="1134"/>
        <w:jc w:val="both"/>
        <w:rPr>
          <w:rFonts w:ascii="Times New Roman" w:hAnsi="Times New Roman"/>
          <w:sz w:val="28"/>
          <w:szCs w:val="28"/>
          <w:lang w:val="en-US"/>
        </w:rPr>
      </w:pPr>
      <w:r w:rsidRPr="00450D6E">
        <w:rPr>
          <w:rFonts w:ascii="Times New Roman" w:hAnsi="Times New Roman"/>
          <w:sz w:val="28"/>
          <w:szCs w:val="28"/>
          <w:lang w:val="bg-BG"/>
        </w:rPr>
        <w:t>В контекста на многофондовата система се развиват и съществуващите възможности за инвестиции в алтернативни инвестиционни фондове, като се допускат и вложения във фондове, които са управлявани от лица, които само са регистрирани като техни управители.</w:t>
      </w:r>
    </w:p>
    <w:p w14:paraId="33B15FEB" w14:textId="2769B38B"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2. Инвестиционните ограничения са детайлизирани, като са съобразени с инвестиционния профил на </w:t>
      </w:r>
      <w:proofErr w:type="spellStart"/>
      <w:r w:rsidRPr="00450D6E">
        <w:rPr>
          <w:rFonts w:ascii="Times New Roman" w:hAnsi="Times New Roman"/>
          <w:sz w:val="28"/>
          <w:szCs w:val="28"/>
          <w:lang w:val="bg-BG"/>
        </w:rPr>
        <w:t>подфондовете</w:t>
      </w:r>
      <w:proofErr w:type="spellEnd"/>
      <w:r w:rsidRPr="00450D6E">
        <w:rPr>
          <w:rFonts w:ascii="Times New Roman" w:hAnsi="Times New Roman"/>
          <w:sz w:val="28"/>
          <w:szCs w:val="28"/>
          <w:lang w:val="bg-BG"/>
        </w:rPr>
        <w:t xml:space="preserve"> в УПФ. По отношение на ДПФ изискванията за управление на </w:t>
      </w:r>
      <w:proofErr w:type="spellStart"/>
      <w:r w:rsidRPr="00450D6E">
        <w:rPr>
          <w:rFonts w:ascii="Times New Roman" w:hAnsi="Times New Roman"/>
          <w:sz w:val="28"/>
          <w:szCs w:val="28"/>
          <w:lang w:val="bg-BG"/>
        </w:rPr>
        <w:t>подфондовете</w:t>
      </w:r>
      <w:proofErr w:type="spellEnd"/>
      <w:r w:rsidRPr="00450D6E">
        <w:rPr>
          <w:rFonts w:ascii="Times New Roman" w:hAnsi="Times New Roman"/>
          <w:sz w:val="28"/>
          <w:szCs w:val="28"/>
          <w:lang w:val="bg-BG"/>
        </w:rPr>
        <w:t xml:space="preserve"> в тях е предвидено да бъдат определени в инвестиционната им политика предвид гъвкавите възможности за създаване на неограничен брой </w:t>
      </w:r>
      <w:proofErr w:type="spellStart"/>
      <w:r w:rsidRPr="00450D6E">
        <w:rPr>
          <w:rFonts w:ascii="Times New Roman" w:hAnsi="Times New Roman"/>
          <w:sz w:val="28"/>
          <w:szCs w:val="28"/>
          <w:lang w:val="bg-BG"/>
        </w:rPr>
        <w:t>подфондове</w:t>
      </w:r>
      <w:proofErr w:type="spellEnd"/>
      <w:r w:rsidRPr="00450D6E">
        <w:rPr>
          <w:rFonts w:ascii="Times New Roman" w:hAnsi="Times New Roman"/>
          <w:sz w:val="28"/>
          <w:szCs w:val="28"/>
          <w:lang w:val="bg-BG"/>
        </w:rPr>
        <w:t xml:space="preserve"> в трети стълб. </w:t>
      </w:r>
    </w:p>
    <w:p w14:paraId="36B9897F" w14:textId="70B1DCFE"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3. Завишени са изискванията към кадровата обезпеченост на пенсионноосигурителните дружества, като се изисква те да разполагат с достатъчно служители, притежаващи необходимите умения, знания и опит за разработване на инвестиционната политика, изготвяне на инвестиционни предложения</w:t>
      </w:r>
      <w:r w:rsidR="00284F96">
        <w:rPr>
          <w:rFonts w:ascii="Times New Roman" w:hAnsi="Times New Roman"/>
          <w:sz w:val="28"/>
          <w:szCs w:val="28"/>
          <w:lang w:val="bg-BG"/>
        </w:rPr>
        <w:t xml:space="preserve"> и</w:t>
      </w:r>
      <w:r w:rsidRPr="00450D6E">
        <w:rPr>
          <w:rFonts w:ascii="Times New Roman" w:hAnsi="Times New Roman"/>
          <w:sz w:val="28"/>
          <w:szCs w:val="28"/>
          <w:lang w:val="bg-BG"/>
        </w:rPr>
        <w:t xml:space="preserve"> </w:t>
      </w:r>
      <w:r w:rsidR="00217483" w:rsidRPr="00450D6E">
        <w:rPr>
          <w:rFonts w:ascii="Times New Roman" w:hAnsi="Times New Roman"/>
          <w:sz w:val="28"/>
          <w:szCs w:val="28"/>
          <w:lang w:val="bg-BG"/>
        </w:rPr>
        <w:t xml:space="preserve">за </w:t>
      </w:r>
      <w:r w:rsidRPr="00450D6E">
        <w:rPr>
          <w:rFonts w:ascii="Times New Roman" w:hAnsi="Times New Roman"/>
          <w:sz w:val="28"/>
          <w:szCs w:val="28"/>
          <w:lang w:val="bg-BG"/>
        </w:rPr>
        <w:t>изпълнение и текущо наблюдение на направените инвестиции. В рамките на това изискване дружеството задължително сключва договор за инвестиционни консултации с лица с необходимата правоспособност и опит или с управляващо дружество и е длъжно да взема предвид техните предложения на всеки етап в процеса по управление на инвестициите.</w:t>
      </w:r>
    </w:p>
    <w:p w14:paraId="06DC9FC9" w14:textId="77777777"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 xml:space="preserve">Посредством посочените промени се разширяват възможностите за постигане на по-добра доходност при управлението на средствата на осигурените лица и пенсионерите, отчитат се различните инвестиционни профили на </w:t>
      </w:r>
      <w:proofErr w:type="spellStart"/>
      <w:r w:rsidRPr="00450D6E">
        <w:rPr>
          <w:rFonts w:ascii="Times New Roman" w:hAnsi="Times New Roman"/>
          <w:sz w:val="28"/>
          <w:szCs w:val="28"/>
          <w:lang w:val="bg-BG"/>
        </w:rPr>
        <w:t>подфондовете</w:t>
      </w:r>
      <w:proofErr w:type="spellEnd"/>
      <w:r w:rsidRPr="00450D6E">
        <w:rPr>
          <w:rFonts w:ascii="Times New Roman" w:hAnsi="Times New Roman"/>
          <w:sz w:val="28"/>
          <w:szCs w:val="28"/>
          <w:lang w:val="bg-BG"/>
        </w:rPr>
        <w:t xml:space="preserve"> и се укрепва капацитетът на дружествата за осъществяване на инвестиционната дейност.</w:t>
      </w:r>
    </w:p>
    <w:p w14:paraId="58EAA2E8" w14:textId="3CFF074A" w:rsidR="002F7411" w:rsidRPr="00450D6E" w:rsidRDefault="002F7411" w:rsidP="00366F8B">
      <w:pPr>
        <w:spacing w:line="276" w:lineRule="auto"/>
        <w:ind w:firstLine="1134"/>
        <w:rPr>
          <w:rFonts w:ascii="Times New Roman" w:hAnsi="Times New Roman"/>
          <w:sz w:val="28"/>
          <w:szCs w:val="28"/>
          <w:lang w:val="bg-BG"/>
        </w:rPr>
      </w:pPr>
    </w:p>
    <w:p w14:paraId="3C7883A9" w14:textId="1EC76E89" w:rsidR="002F7411" w:rsidRPr="00450D6E" w:rsidRDefault="002F7411" w:rsidP="00366F8B">
      <w:pPr>
        <w:spacing w:line="276" w:lineRule="auto"/>
        <w:ind w:firstLine="1134"/>
        <w:rPr>
          <w:rFonts w:ascii="Times New Roman" w:hAnsi="Times New Roman"/>
          <w:b/>
          <w:sz w:val="28"/>
          <w:szCs w:val="28"/>
          <w:lang w:val="bg-BG"/>
        </w:rPr>
      </w:pPr>
      <w:r w:rsidRPr="00450D6E">
        <w:rPr>
          <w:rFonts w:ascii="Times New Roman" w:hAnsi="Times New Roman"/>
          <w:b/>
          <w:sz w:val="28"/>
          <w:szCs w:val="28"/>
          <w:lang w:val="bg-BG"/>
        </w:rPr>
        <w:lastRenderedPageBreak/>
        <w:t>V. Изисквания към продажбата на пенсионни продукти</w:t>
      </w:r>
    </w:p>
    <w:p w14:paraId="765FBB04" w14:textId="24F9A033"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sz w:val="28"/>
          <w:szCs w:val="28"/>
          <w:lang w:val="bg-BG"/>
        </w:rPr>
        <w:t xml:space="preserve">С проекта се предвижда регламентиране в наредба на </w:t>
      </w:r>
      <w:r w:rsidR="00217483" w:rsidRPr="00450D6E">
        <w:rPr>
          <w:rFonts w:ascii="Times New Roman" w:hAnsi="Times New Roman"/>
          <w:sz w:val="28"/>
          <w:szCs w:val="28"/>
          <w:lang w:val="bg-BG"/>
        </w:rPr>
        <w:t xml:space="preserve">Комисията </w:t>
      </w:r>
      <w:r w:rsidRPr="00450D6E">
        <w:rPr>
          <w:rFonts w:ascii="Times New Roman" w:hAnsi="Times New Roman"/>
          <w:sz w:val="28"/>
          <w:szCs w:val="28"/>
          <w:lang w:val="bg-BG"/>
        </w:rPr>
        <w:t xml:space="preserve">на обхвата на първоначалното и последващо обучение за осигурителните посредници, както и провеждане на изпит от страна на пенсионноосигурителните дружества под наблюдението на представители на </w:t>
      </w:r>
      <w:r w:rsidR="00217483" w:rsidRPr="00450D6E">
        <w:rPr>
          <w:rFonts w:ascii="Times New Roman" w:hAnsi="Times New Roman"/>
          <w:sz w:val="28"/>
          <w:szCs w:val="28"/>
          <w:lang w:val="bg-BG"/>
        </w:rPr>
        <w:t>Комисията</w:t>
      </w:r>
      <w:r w:rsidRPr="00450D6E">
        <w:rPr>
          <w:rFonts w:ascii="Times New Roman" w:hAnsi="Times New Roman"/>
          <w:sz w:val="28"/>
          <w:szCs w:val="28"/>
          <w:lang w:val="bg-BG"/>
        </w:rPr>
        <w:t>. Предвидените промени са насочени към подобряване дейността на осигурителните посредници, повишаване и поддържане на познанията им в областта на допълнителното пенсионно осигуряване, както и информирането и консултирането на осигурените лица при избор на пенсионен продукт. С оглед</w:t>
      </w:r>
      <w:r w:rsidR="00786F42" w:rsidRPr="00450D6E">
        <w:rPr>
          <w:rFonts w:ascii="Times New Roman" w:hAnsi="Times New Roman"/>
          <w:sz w:val="28"/>
          <w:szCs w:val="28"/>
          <w:lang w:val="bg-BG"/>
        </w:rPr>
        <w:t xml:space="preserve"> на</w:t>
      </w:r>
      <w:r w:rsidRPr="00450D6E">
        <w:rPr>
          <w:rFonts w:ascii="Times New Roman" w:hAnsi="Times New Roman"/>
          <w:sz w:val="28"/>
          <w:szCs w:val="28"/>
          <w:lang w:val="bg-BG"/>
        </w:rPr>
        <w:t xml:space="preserve"> отчитане на персоналните характеристики на потребителя</w:t>
      </w:r>
      <w:r w:rsidR="00786F42" w:rsidRPr="00450D6E">
        <w:rPr>
          <w:rFonts w:ascii="Times New Roman" w:hAnsi="Times New Roman"/>
          <w:sz w:val="28"/>
          <w:szCs w:val="28"/>
          <w:lang w:val="bg-BG"/>
        </w:rPr>
        <w:t>,</w:t>
      </w:r>
      <w:r w:rsidRPr="00450D6E">
        <w:rPr>
          <w:rFonts w:ascii="Times New Roman" w:hAnsi="Times New Roman"/>
          <w:sz w:val="28"/>
          <w:szCs w:val="28"/>
          <w:lang w:val="bg-BG"/>
        </w:rPr>
        <w:t xml:space="preserve"> като възраст, доходи и склонност за поемане на инвестиционен риск, и предлагането на най-подходящия за него продукт, </w:t>
      </w:r>
      <w:r w:rsidRPr="00450D6E">
        <w:rPr>
          <w:rFonts w:ascii="Times New Roman" w:hAnsi="Times New Roman"/>
          <w:iCs/>
          <w:color w:val="000000"/>
          <w:kern w:val="24"/>
          <w:sz w:val="28"/>
          <w:szCs w:val="28"/>
          <w:lang w:val="bg-BG"/>
        </w:rPr>
        <w:t xml:space="preserve">преди сключване на осигурителен договор пенсионноосигурителното дружество е длъжно да го консултира при избора на </w:t>
      </w:r>
      <w:proofErr w:type="spellStart"/>
      <w:r w:rsidRPr="00450D6E">
        <w:rPr>
          <w:rFonts w:ascii="Times New Roman" w:hAnsi="Times New Roman"/>
          <w:iCs/>
          <w:color w:val="000000"/>
          <w:kern w:val="24"/>
          <w:sz w:val="28"/>
          <w:szCs w:val="28"/>
          <w:lang w:val="bg-BG"/>
        </w:rPr>
        <w:t>подфонд</w:t>
      </w:r>
      <w:proofErr w:type="spellEnd"/>
      <w:r w:rsidRPr="00450D6E">
        <w:rPr>
          <w:rFonts w:ascii="Times New Roman" w:hAnsi="Times New Roman"/>
          <w:iCs/>
          <w:color w:val="000000"/>
          <w:kern w:val="24"/>
          <w:sz w:val="28"/>
          <w:szCs w:val="28"/>
          <w:lang w:val="bg-BG"/>
        </w:rPr>
        <w:t xml:space="preserve"> с подходящ инвестиционен профил. За тази цел дружеството следва да анализира получени</w:t>
      </w:r>
      <w:r w:rsidRPr="00450D6E">
        <w:rPr>
          <w:rFonts w:ascii="Times New Roman" w:hAnsi="Times New Roman"/>
          <w:color w:val="000000"/>
          <w:kern w:val="24"/>
          <w:sz w:val="28"/>
          <w:szCs w:val="28"/>
          <w:lang w:val="bg-BG"/>
        </w:rPr>
        <w:t>те</w:t>
      </w:r>
      <w:r w:rsidRPr="00450D6E">
        <w:rPr>
          <w:rFonts w:ascii="Times New Roman" w:hAnsi="Times New Roman"/>
          <w:iCs/>
          <w:color w:val="000000"/>
          <w:kern w:val="24"/>
          <w:sz w:val="28"/>
          <w:szCs w:val="28"/>
          <w:lang w:val="bg-BG"/>
        </w:rPr>
        <w:t xml:space="preserve"> от лицето данни чрез попълване на въпросник, да прецени степента на допустимия за </w:t>
      </w:r>
      <w:r w:rsidRPr="00450D6E">
        <w:rPr>
          <w:rFonts w:ascii="Times New Roman" w:hAnsi="Times New Roman"/>
          <w:color w:val="000000"/>
          <w:kern w:val="24"/>
          <w:sz w:val="28"/>
          <w:szCs w:val="28"/>
          <w:lang w:val="bg-BG"/>
        </w:rPr>
        <w:t>него</w:t>
      </w:r>
      <w:r w:rsidRPr="00450D6E">
        <w:rPr>
          <w:rFonts w:ascii="Times New Roman" w:hAnsi="Times New Roman"/>
          <w:iCs/>
          <w:color w:val="000000"/>
          <w:kern w:val="24"/>
          <w:sz w:val="28"/>
          <w:szCs w:val="28"/>
          <w:lang w:val="bg-BG"/>
        </w:rPr>
        <w:t xml:space="preserve"> инвестиционен риск, да го запознае с резултатите от тази преценка и да му предостави документ с информация за характеристиките на съответните </w:t>
      </w:r>
      <w:proofErr w:type="spellStart"/>
      <w:r w:rsidRPr="00450D6E">
        <w:rPr>
          <w:rFonts w:ascii="Times New Roman" w:hAnsi="Times New Roman"/>
          <w:iCs/>
          <w:color w:val="000000"/>
          <w:kern w:val="24"/>
          <w:sz w:val="28"/>
          <w:szCs w:val="28"/>
          <w:lang w:val="bg-BG"/>
        </w:rPr>
        <w:t>подфондове</w:t>
      </w:r>
      <w:proofErr w:type="spellEnd"/>
      <w:r w:rsidRPr="00450D6E">
        <w:rPr>
          <w:rFonts w:ascii="Times New Roman" w:hAnsi="Times New Roman"/>
          <w:iCs/>
          <w:color w:val="000000"/>
          <w:kern w:val="24"/>
          <w:sz w:val="28"/>
          <w:szCs w:val="28"/>
          <w:lang w:val="bg-BG"/>
        </w:rPr>
        <w:t>.</w:t>
      </w:r>
    </w:p>
    <w:p w14:paraId="51967360" w14:textId="77777777"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p>
    <w:p w14:paraId="13D50B82" w14:textId="77777777" w:rsidR="002F7411" w:rsidRPr="00450D6E" w:rsidRDefault="002F7411" w:rsidP="00366F8B">
      <w:pPr>
        <w:spacing w:line="276" w:lineRule="auto"/>
        <w:ind w:firstLine="1134"/>
        <w:jc w:val="both"/>
        <w:textAlignment w:val="baseline"/>
        <w:rPr>
          <w:rFonts w:ascii="Times New Roman" w:hAnsi="Times New Roman"/>
          <w:b/>
          <w:sz w:val="28"/>
          <w:szCs w:val="28"/>
          <w:lang w:val="bg-BG"/>
        </w:rPr>
      </w:pPr>
      <w:proofErr w:type="spellStart"/>
      <w:r w:rsidRPr="00450D6E">
        <w:rPr>
          <w:rFonts w:ascii="Times New Roman" w:hAnsi="Times New Roman"/>
          <w:b/>
          <w:sz w:val="28"/>
          <w:szCs w:val="28"/>
          <w:lang w:val="bg-BG"/>
        </w:rPr>
        <w:t>ⅤⅠ</w:t>
      </w:r>
      <w:proofErr w:type="spellEnd"/>
      <w:r w:rsidRPr="00450D6E">
        <w:rPr>
          <w:rFonts w:ascii="Times New Roman" w:hAnsi="Times New Roman"/>
          <w:b/>
          <w:sz w:val="28"/>
          <w:szCs w:val="28"/>
          <w:lang w:val="bg-BG"/>
        </w:rPr>
        <w:t xml:space="preserve">. Намаляване на таксите и удръжките </w:t>
      </w:r>
    </w:p>
    <w:p w14:paraId="6F2747B3" w14:textId="77777777" w:rsidR="002F7411" w:rsidRPr="00450D6E" w:rsidRDefault="002F7411"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sz w:val="28"/>
          <w:szCs w:val="28"/>
          <w:lang w:val="bg-BG"/>
        </w:rPr>
        <w:t xml:space="preserve">Върху натрупването на средства по индивидуалните партиди на участниците във фондовете за допълнително пенсионно осигуряване съществено влияние оказват не само резултатите от инвестициите, но и таксите и удръжките, които осигурените лица заплащат на пенсионноосигурителните дружества, във връзка с което се предлага тяхното оптимизиране. </w:t>
      </w:r>
    </w:p>
    <w:p w14:paraId="50F69730" w14:textId="77777777" w:rsidR="002F7411" w:rsidRPr="00450D6E" w:rsidRDefault="002F7411"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sz w:val="28"/>
          <w:szCs w:val="28"/>
          <w:lang w:val="bg-BG"/>
        </w:rPr>
        <w:t xml:space="preserve">Най-съществено влияние върху обема на натрупаните в индивидуалните партиди средства има инвестиционната такса, която при задължителните пенсионни фондове се удържа независимо от постигнатия инвестиционен резултат. Предвид това със законопроекта се предлага въвеждането на двукомпонентна такса - процент от управляваните активи и от постигнатия инвестиционен резултат. Отчитането на постигнатата доходност от универсалните и професионалните пенсионни фондове насърчава по-активното им управление и конкуренцията между ПОД и </w:t>
      </w:r>
      <w:r w:rsidRPr="00450D6E">
        <w:rPr>
          <w:rFonts w:ascii="Times New Roman" w:hAnsi="Times New Roman"/>
          <w:sz w:val="28"/>
          <w:szCs w:val="28"/>
          <w:lang w:val="bg-BG"/>
        </w:rPr>
        <w:lastRenderedPageBreak/>
        <w:t>съответно способства увеличаването на натрупванията по индивидуалните партиди на осигурените лица.</w:t>
      </w:r>
    </w:p>
    <w:p w14:paraId="1F12DB57" w14:textId="0B161511" w:rsidR="002F7411" w:rsidRPr="00450D6E" w:rsidRDefault="002F7411"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sz w:val="28"/>
          <w:szCs w:val="28"/>
          <w:lang w:val="bg-BG"/>
        </w:rPr>
        <w:t xml:space="preserve">Първият компонент се определя въз основа на стойността на нетните активи на ППФ и на </w:t>
      </w:r>
      <w:proofErr w:type="spellStart"/>
      <w:r w:rsidRPr="00450D6E">
        <w:rPr>
          <w:rFonts w:ascii="Times New Roman" w:hAnsi="Times New Roman"/>
          <w:sz w:val="28"/>
          <w:szCs w:val="28"/>
          <w:lang w:val="bg-BG"/>
        </w:rPr>
        <w:t>подфондовете</w:t>
      </w:r>
      <w:proofErr w:type="spellEnd"/>
      <w:r w:rsidRPr="00450D6E">
        <w:rPr>
          <w:rFonts w:ascii="Times New Roman" w:hAnsi="Times New Roman"/>
          <w:sz w:val="28"/>
          <w:szCs w:val="28"/>
          <w:lang w:val="bg-BG"/>
        </w:rPr>
        <w:t xml:space="preserve"> в УПФ в зависимост от периода, през който те са били управлявани от ПОД. Предвижда се стойността на този компонент да намалява плавно в рамките на десетгодишен период. Вторият компонент се изчислява въз основа </w:t>
      </w:r>
      <w:r w:rsidR="00786F42" w:rsidRPr="00450D6E">
        <w:rPr>
          <w:rFonts w:ascii="Times New Roman" w:hAnsi="Times New Roman"/>
          <w:sz w:val="28"/>
          <w:szCs w:val="28"/>
          <w:lang w:val="bg-BG"/>
        </w:rPr>
        <w:t xml:space="preserve">на </w:t>
      </w:r>
      <w:r w:rsidRPr="00450D6E">
        <w:rPr>
          <w:rFonts w:ascii="Times New Roman" w:hAnsi="Times New Roman"/>
          <w:sz w:val="28"/>
          <w:szCs w:val="28"/>
          <w:lang w:val="bg-BG"/>
        </w:rPr>
        <w:t xml:space="preserve">дохода, реализиран от инвестирането на средствата на ППФ и на </w:t>
      </w:r>
      <w:proofErr w:type="spellStart"/>
      <w:r w:rsidRPr="00450D6E">
        <w:rPr>
          <w:rFonts w:ascii="Times New Roman" w:hAnsi="Times New Roman"/>
          <w:sz w:val="28"/>
          <w:szCs w:val="28"/>
          <w:lang w:val="bg-BG"/>
        </w:rPr>
        <w:t>подфонд</w:t>
      </w:r>
      <w:proofErr w:type="spellEnd"/>
      <w:r w:rsidRPr="00450D6E">
        <w:rPr>
          <w:rFonts w:ascii="Times New Roman" w:hAnsi="Times New Roman"/>
          <w:sz w:val="28"/>
          <w:szCs w:val="28"/>
          <w:lang w:val="bg-BG"/>
        </w:rPr>
        <w:t xml:space="preserve"> в УПФ</w:t>
      </w:r>
      <w:r w:rsidR="00786F42" w:rsidRPr="00450D6E">
        <w:rPr>
          <w:rFonts w:ascii="Times New Roman" w:hAnsi="Times New Roman"/>
          <w:sz w:val="28"/>
          <w:szCs w:val="28"/>
          <w:lang w:val="bg-BG"/>
        </w:rPr>
        <w:t>,</w:t>
      </w:r>
      <w:r w:rsidRPr="00450D6E">
        <w:rPr>
          <w:rFonts w:ascii="Times New Roman" w:hAnsi="Times New Roman"/>
          <w:sz w:val="28"/>
          <w:szCs w:val="28"/>
          <w:lang w:val="bg-BG"/>
        </w:rPr>
        <w:t xml:space="preserve"> и тежестта му се увеличава плавно в рамките на десетгодишен период. Размерите на двата компонента са диференцирани в зависимост от инвестиционния профил на </w:t>
      </w:r>
      <w:proofErr w:type="spellStart"/>
      <w:r w:rsidRPr="00450D6E">
        <w:rPr>
          <w:rFonts w:ascii="Times New Roman" w:hAnsi="Times New Roman"/>
          <w:sz w:val="28"/>
          <w:szCs w:val="28"/>
          <w:lang w:val="bg-BG"/>
        </w:rPr>
        <w:t>подфондовете</w:t>
      </w:r>
      <w:proofErr w:type="spellEnd"/>
      <w:r w:rsidRPr="00450D6E">
        <w:rPr>
          <w:rFonts w:ascii="Times New Roman" w:hAnsi="Times New Roman"/>
          <w:sz w:val="28"/>
          <w:szCs w:val="28"/>
          <w:lang w:val="bg-BG"/>
        </w:rPr>
        <w:t xml:space="preserve"> в УПФ и на ППФ, различните разходи за по-активно управление на инвестициите и свързания с тях риск. </w:t>
      </w:r>
    </w:p>
    <w:p w14:paraId="31755659" w14:textId="7277E9AA" w:rsidR="002F7411" w:rsidRPr="00450D6E" w:rsidRDefault="002F7411"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sz w:val="28"/>
          <w:szCs w:val="28"/>
          <w:lang w:val="bg-BG"/>
        </w:rPr>
        <w:t xml:space="preserve">С оглед </w:t>
      </w:r>
      <w:r w:rsidR="00786F42" w:rsidRPr="00450D6E">
        <w:rPr>
          <w:rFonts w:ascii="Times New Roman" w:hAnsi="Times New Roman"/>
          <w:sz w:val="28"/>
          <w:szCs w:val="28"/>
          <w:lang w:val="bg-BG"/>
        </w:rPr>
        <w:t xml:space="preserve">на </w:t>
      </w:r>
      <w:r w:rsidRPr="00450D6E">
        <w:rPr>
          <w:rFonts w:ascii="Times New Roman" w:hAnsi="Times New Roman"/>
          <w:sz w:val="28"/>
          <w:szCs w:val="28"/>
          <w:lang w:val="bg-BG"/>
        </w:rPr>
        <w:t>стимулиране нарастването на средствата по индивидуалните партиди на лицата в задължителните пенсионни фондове, със законопроекта се предлага и стъпаловидно годишно намаляване на удръжката от всяка осигурителна вноска в рамките на десетгодишен период.</w:t>
      </w:r>
    </w:p>
    <w:p w14:paraId="7D7E6194" w14:textId="487AFC02" w:rsidR="002F7411" w:rsidRPr="00450D6E" w:rsidRDefault="002F7411"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sz w:val="28"/>
          <w:szCs w:val="28"/>
          <w:lang w:val="bg-BG"/>
        </w:rPr>
        <w:t xml:space="preserve">Сравнително дългият период за намаляване на таксите и удръжките, събирани от пенсионноосигурителните дружества, е определен с оглед </w:t>
      </w:r>
      <w:r w:rsidR="00786F42" w:rsidRPr="00450D6E">
        <w:rPr>
          <w:rFonts w:ascii="Times New Roman" w:hAnsi="Times New Roman"/>
          <w:sz w:val="28"/>
          <w:szCs w:val="28"/>
          <w:lang w:val="bg-BG"/>
        </w:rPr>
        <w:t>на</w:t>
      </w:r>
      <w:r w:rsidRPr="00450D6E">
        <w:rPr>
          <w:rFonts w:ascii="Times New Roman" w:hAnsi="Times New Roman"/>
          <w:sz w:val="28"/>
          <w:szCs w:val="28"/>
          <w:lang w:val="bg-BG"/>
        </w:rPr>
        <w:t xml:space="preserve"> избягване на резки колебания в постъпленията, по-добро планиране на разходите и запазване на финансовата стабилност на дружествата и системата за допълнително пенсионно осигуряване като цяло.</w:t>
      </w:r>
    </w:p>
    <w:p w14:paraId="74727561" w14:textId="77777777" w:rsidR="002F7411" w:rsidRPr="00450D6E" w:rsidRDefault="002F7411" w:rsidP="00366F8B">
      <w:pPr>
        <w:spacing w:line="276" w:lineRule="auto"/>
        <w:ind w:firstLine="1134"/>
        <w:jc w:val="both"/>
        <w:textAlignment w:val="baseline"/>
        <w:rPr>
          <w:rFonts w:ascii="Times New Roman" w:hAnsi="Times New Roman"/>
          <w:b/>
          <w:iCs/>
          <w:color w:val="000000"/>
          <w:kern w:val="24"/>
          <w:sz w:val="28"/>
          <w:szCs w:val="28"/>
          <w:lang w:val="bg-BG"/>
        </w:rPr>
      </w:pPr>
    </w:p>
    <w:p w14:paraId="660E0BF0" w14:textId="77777777" w:rsidR="002F7411" w:rsidRPr="00450D6E" w:rsidRDefault="002F7411" w:rsidP="00366F8B">
      <w:pPr>
        <w:spacing w:line="276" w:lineRule="auto"/>
        <w:ind w:firstLine="1134"/>
        <w:jc w:val="both"/>
        <w:textAlignment w:val="baseline"/>
        <w:rPr>
          <w:rFonts w:ascii="Times New Roman" w:hAnsi="Times New Roman"/>
          <w:b/>
          <w:iCs/>
          <w:color w:val="000000"/>
          <w:kern w:val="24"/>
          <w:sz w:val="28"/>
          <w:szCs w:val="28"/>
          <w:lang w:val="bg-BG"/>
        </w:rPr>
      </w:pPr>
      <w:proofErr w:type="spellStart"/>
      <w:r w:rsidRPr="00450D6E">
        <w:rPr>
          <w:rFonts w:ascii="Times New Roman" w:hAnsi="Times New Roman"/>
          <w:b/>
          <w:iCs/>
          <w:color w:val="000000"/>
          <w:kern w:val="24"/>
          <w:sz w:val="28"/>
          <w:szCs w:val="28"/>
          <w:lang w:val="bg-BG"/>
        </w:rPr>
        <w:t>VⅠⅠ</w:t>
      </w:r>
      <w:proofErr w:type="spellEnd"/>
      <w:r w:rsidRPr="00450D6E">
        <w:rPr>
          <w:rFonts w:ascii="Times New Roman" w:hAnsi="Times New Roman"/>
          <w:b/>
          <w:iCs/>
          <w:color w:val="000000"/>
          <w:kern w:val="24"/>
          <w:sz w:val="28"/>
          <w:szCs w:val="28"/>
          <w:lang w:val="bg-BG"/>
        </w:rPr>
        <w:t>. Развиване на уредбата на изплащането на средства при придобиване на право на пенсия</w:t>
      </w:r>
    </w:p>
    <w:p w14:paraId="43ECE036" w14:textId="512FBBF7"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1. С промените в КСО, обнародвани в ДВ, бр. 19 от 2021 г., бе</w:t>
      </w:r>
      <w:r w:rsidR="00284F96">
        <w:rPr>
          <w:rFonts w:ascii="Times New Roman" w:hAnsi="Times New Roman"/>
          <w:iCs/>
          <w:color w:val="000000"/>
          <w:kern w:val="24"/>
          <w:sz w:val="28"/>
          <w:szCs w:val="28"/>
          <w:lang w:val="bg-BG"/>
        </w:rPr>
        <w:t>ше</w:t>
      </w:r>
      <w:r w:rsidRPr="00450D6E">
        <w:rPr>
          <w:rFonts w:ascii="Times New Roman" w:hAnsi="Times New Roman"/>
          <w:iCs/>
          <w:color w:val="000000"/>
          <w:kern w:val="24"/>
          <w:sz w:val="28"/>
          <w:szCs w:val="28"/>
          <w:lang w:val="bg-BG"/>
        </w:rPr>
        <w:t xml:space="preserve"> регламентирано изплащане</w:t>
      </w:r>
      <w:r w:rsidR="00284F96">
        <w:rPr>
          <w:rFonts w:ascii="Times New Roman" w:hAnsi="Times New Roman"/>
          <w:iCs/>
          <w:color w:val="000000"/>
          <w:kern w:val="24"/>
          <w:sz w:val="28"/>
          <w:szCs w:val="28"/>
          <w:lang w:val="bg-BG"/>
        </w:rPr>
        <w:t>то</w:t>
      </w:r>
      <w:r w:rsidRPr="00450D6E">
        <w:rPr>
          <w:rFonts w:ascii="Times New Roman" w:hAnsi="Times New Roman"/>
          <w:iCs/>
          <w:color w:val="000000"/>
          <w:kern w:val="24"/>
          <w:sz w:val="28"/>
          <w:szCs w:val="28"/>
          <w:lang w:val="bg-BG"/>
        </w:rPr>
        <w:t xml:space="preserve"> на пенсиите и разсрочените плащания при придобито право на пенсия във връзка с осигуряване в универсален пенсионен фонд. Предвидено е тези плащания да се извършват от самостоятелни фондове за извършване на плащания, отделени от пенсионноосигурителното дружество и пенсионните фондове, с оглед </w:t>
      </w:r>
      <w:r w:rsidR="00786F42" w:rsidRPr="00450D6E">
        <w:rPr>
          <w:rFonts w:ascii="Times New Roman" w:hAnsi="Times New Roman"/>
          <w:iCs/>
          <w:color w:val="000000"/>
          <w:kern w:val="24"/>
          <w:sz w:val="28"/>
          <w:szCs w:val="28"/>
          <w:lang w:val="bg-BG"/>
        </w:rPr>
        <w:t xml:space="preserve">на </w:t>
      </w:r>
      <w:r w:rsidRPr="00450D6E">
        <w:rPr>
          <w:rFonts w:ascii="Times New Roman" w:hAnsi="Times New Roman"/>
          <w:iCs/>
          <w:color w:val="000000"/>
          <w:kern w:val="24"/>
          <w:sz w:val="28"/>
          <w:szCs w:val="28"/>
          <w:lang w:val="bg-BG"/>
        </w:rPr>
        <w:t xml:space="preserve">недопускане на смесване на активите и задълженията от различните дейности и засягането им от присъщите на тези дейности рискове. В настоящия проект на ЗИД на КСО възприетият подход на отделяне на </w:t>
      </w:r>
      <w:r w:rsidRPr="00450D6E">
        <w:rPr>
          <w:rFonts w:ascii="Times New Roman" w:hAnsi="Times New Roman"/>
          <w:iCs/>
          <w:color w:val="000000"/>
          <w:kern w:val="24"/>
          <w:sz w:val="28"/>
          <w:szCs w:val="28"/>
          <w:lang w:val="bg-BG"/>
        </w:rPr>
        <w:lastRenderedPageBreak/>
        <w:t xml:space="preserve">активите, задълженията и рисковете </w:t>
      </w:r>
      <w:r w:rsidR="003F0B96">
        <w:rPr>
          <w:rFonts w:ascii="Times New Roman" w:hAnsi="Times New Roman"/>
          <w:iCs/>
          <w:color w:val="000000"/>
          <w:kern w:val="24"/>
          <w:sz w:val="28"/>
          <w:szCs w:val="28"/>
          <w:lang w:val="bg-BG"/>
        </w:rPr>
        <w:t>обхваща и</w:t>
      </w:r>
      <w:r w:rsidRPr="00450D6E">
        <w:rPr>
          <w:rFonts w:ascii="Times New Roman" w:hAnsi="Times New Roman"/>
          <w:iCs/>
          <w:color w:val="000000"/>
          <w:kern w:val="24"/>
          <w:sz w:val="28"/>
          <w:szCs w:val="28"/>
          <w:lang w:val="bg-BG"/>
        </w:rPr>
        <w:t xml:space="preserve"> изплащането на пенсиите и разсрочените плащания при придобито право на пенсия от ППФ и ДПФ. </w:t>
      </w:r>
    </w:p>
    <w:p w14:paraId="71625247" w14:textId="61D9BE3D"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 xml:space="preserve">С оглед </w:t>
      </w:r>
      <w:r w:rsidR="00786F42" w:rsidRPr="00450D6E">
        <w:rPr>
          <w:rFonts w:ascii="Times New Roman" w:hAnsi="Times New Roman"/>
          <w:iCs/>
          <w:color w:val="000000"/>
          <w:kern w:val="24"/>
          <w:sz w:val="28"/>
          <w:szCs w:val="28"/>
          <w:lang w:val="bg-BG"/>
        </w:rPr>
        <w:t xml:space="preserve">на </w:t>
      </w:r>
      <w:r w:rsidRPr="00450D6E">
        <w:rPr>
          <w:rFonts w:ascii="Times New Roman" w:hAnsi="Times New Roman"/>
          <w:iCs/>
          <w:color w:val="000000"/>
          <w:kern w:val="24"/>
          <w:sz w:val="28"/>
          <w:szCs w:val="28"/>
          <w:lang w:val="bg-BG"/>
        </w:rPr>
        <w:t>по-добро споделяне на биометричния риск между индивидите в една по-голяма съвкупност лица се предвижда изплащането на пожизнените пенсии, на които дава право осигуряването в УПФ и ДПФ</w:t>
      </w:r>
      <w:r w:rsidR="00786F42" w:rsidRPr="00450D6E">
        <w:rPr>
          <w:rFonts w:ascii="Times New Roman" w:hAnsi="Times New Roman"/>
          <w:iCs/>
          <w:color w:val="000000"/>
          <w:kern w:val="24"/>
          <w:sz w:val="28"/>
          <w:szCs w:val="28"/>
          <w:lang w:val="bg-BG"/>
        </w:rPr>
        <w:t>,</w:t>
      </w:r>
      <w:r w:rsidRPr="00450D6E">
        <w:rPr>
          <w:rFonts w:ascii="Times New Roman" w:hAnsi="Times New Roman"/>
          <w:iCs/>
          <w:color w:val="000000"/>
          <w:kern w:val="24"/>
          <w:sz w:val="28"/>
          <w:szCs w:val="28"/>
          <w:lang w:val="bg-BG"/>
        </w:rPr>
        <w:t xml:space="preserve"> да се извършва от общ фонд за изплащане на пожизнени пенсии. По аналогичен начин се предвижда разсрочените плащания при придобито право на пенсия от УПФ и ДПФ и срочните пенсии от ППФ да се изплащат от общ фонд за срочни плащания. За целта заварените фондове за изплащане на пожизнени пенсии при осигуряване в УПФ ще се използват за изплащане и на пенсиите от ДПФ. Фондовете за разсрочени плащания, създадени във връзка с дейността на УПФ, се трансформират във фондове за срочни плащания, от </w:t>
      </w:r>
      <w:r w:rsidR="003F0B96">
        <w:rPr>
          <w:rFonts w:ascii="Times New Roman" w:hAnsi="Times New Roman"/>
          <w:iCs/>
          <w:color w:val="000000"/>
          <w:kern w:val="24"/>
          <w:sz w:val="28"/>
          <w:szCs w:val="28"/>
          <w:lang w:val="bg-BG"/>
        </w:rPr>
        <w:t>които</w:t>
      </w:r>
      <w:r w:rsidRPr="00450D6E">
        <w:rPr>
          <w:rFonts w:ascii="Times New Roman" w:hAnsi="Times New Roman"/>
          <w:iCs/>
          <w:color w:val="000000"/>
          <w:kern w:val="24"/>
          <w:sz w:val="28"/>
          <w:szCs w:val="28"/>
          <w:lang w:val="bg-BG"/>
        </w:rPr>
        <w:t xml:space="preserve"> да се извършват всички такива плащания при придобито право на пенсия, вкл</w:t>
      </w:r>
      <w:r w:rsidR="00786F42" w:rsidRPr="00450D6E">
        <w:rPr>
          <w:rFonts w:ascii="Times New Roman" w:hAnsi="Times New Roman"/>
          <w:iCs/>
          <w:color w:val="000000"/>
          <w:kern w:val="24"/>
          <w:sz w:val="28"/>
          <w:szCs w:val="28"/>
          <w:lang w:val="bg-BG"/>
        </w:rPr>
        <w:t>ючително</w:t>
      </w:r>
      <w:r w:rsidRPr="00450D6E">
        <w:rPr>
          <w:rFonts w:ascii="Times New Roman" w:hAnsi="Times New Roman"/>
          <w:iCs/>
          <w:color w:val="000000"/>
          <w:kern w:val="24"/>
          <w:sz w:val="28"/>
          <w:szCs w:val="28"/>
          <w:lang w:val="bg-BG"/>
        </w:rPr>
        <w:t xml:space="preserve"> срочните професионални пенсии.</w:t>
      </w:r>
    </w:p>
    <w:p w14:paraId="63FB65C0" w14:textId="77777777"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Във връзка със създадената обща инфраструктура под формата на общи фондове за извършване на плащанията законопроектът дава възможност за обединяване на пенсионните спестявания от УПФ и ДПФ посредством прехвърляне на средствата от ДПФ в УПФ за целите на отпускане на обща пенсия. Въведена е и възможност за обединяване в общ превод на плащанията с един и същ падеж от един фонд за извършване на плащания.</w:t>
      </w:r>
    </w:p>
    <w:p w14:paraId="3E7B6F9C" w14:textId="72AFB6C8"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2. Хармонизиран е каталогът на пенсионните продукти във връзка със създаването на общи фондове за изплащане на пожизнени пенсии и срочни плащания, които ще обединят изплащането на пенсии и разсрочени плащания на лицата, които са придобили пенсионни права във връзка с осигуряването си  в УПФ, ППФ и ДПФ.</w:t>
      </w:r>
      <w:r w:rsidRPr="00450D6E">
        <w:rPr>
          <w:rFonts w:ascii="Times New Roman" w:hAnsi="Times New Roman"/>
          <w:color w:val="000000"/>
          <w:kern w:val="24"/>
          <w:sz w:val="28"/>
          <w:szCs w:val="28"/>
          <w:highlight w:val="lightGray"/>
          <w:lang w:val="bg-BG"/>
        </w:rPr>
        <w:t xml:space="preserve"> </w:t>
      </w:r>
    </w:p>
    <w:p w14:paraId="20758CFD" w14:textId="77777777"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Във връзка с обстоятелството, че срочните пенсии по своята същност представляват вид разсрочени плащания на равномерни периоди, се предлага този вид плащания да отпаднат от каталога на пенсионните продукти в ДПФ, като в този случай на лицата ще се отпускат разсрочени плащания.</w:t>
      </w:r>
    </w:p>
    <w:p w14:paraId="58AE8D2A" w14:textId="77777777"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Предвид слабата разпространеност на инвалидните пенсии от ДПФ се премахва този вид плащане, като вместо това се дава възможност за изтегляне на средства при настъпване на този осигурителен случай.</w:t>
      </w:r>
    </w:p>
    <w:p w14:paraId="3B6A7A7F" w14:textId="77777777"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3. Предлагат се промени при начина на изчисляване на пенсиите в следните насоки:</w:t>
      </w:r>
    </w:p>
    <w:p w14:paraId="7EEA25BC" w14:textId="79640319" w:rsidR="002F7411" w:rsidRPr="00450D6E" w:rsidRDefault="008C1710"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lastRenderedPageBreak/>
        <w:t>3.1.</w:t>
      </w:r>
      <w:r w:rsidR="002F7411" w:rsidRPr="00450D6E">
        <w:rPr>
          <w:rFonts w:ascii="Times New Roman" w:hAnsi="Times New Roman"/>
          <w:iCs/>
          <w:color w:val="000000"/>
          <w:kern w:val="24"/>
          <w:sz w:val="28"/>
          <w:szCs w:val="28"/>
          <w:lang w:val="bg-BG"/>
        </w:rPr>
        <w:t xml:space="preserve"> Отпада използването на технически лихвен процент (ТЛП) за изчисляване на пенсиите от УПФ, ППФ и ДПФ. Посредством този процент се залага очакване за бъдеща доходност от инвестициите на средствата на фонда за изплащане на пожизнени пенсии</w:t>
      </w:r>
      <w:r w:rsidR="003F0B96">
        <w:rPr>
          <w:rFonts w:ascii="Times New Roman" w:hAnsi="Times New Roman"/>
          <w:iCs/>
          <w:color w:val="000000"/>
          <w:kern w:val="24"/>
          <w:sz w:val="28"/>
          <w:szCs w:val="28"/>
          <w:lang w:val="bg-BG"/>
        </w:rPr>
        <w:t>.</w:t>
      </w:r>
      <w:r w:rsidR="002F7411" w:rsidRPr="00450D6E">
        <w:rPr>
          <w:rFonts w:ascii="Times New Roman" w:hAnsi="Times New Roman"/>
          <w:iCs/>
          <w:color w:val="000000"/>
          <w:kern w:val="24"/>
          <w:sz w:val="28"/>
          <w:szCs w:val="28"/>
          <w:lang w:val="bg-BG"/>
        </w:rPr>
        <w:t xml:space="preserve"> Неприлагането на ТЛП при отпускането на пенсия ще допринесе за по-адекватна по размер актуализация на пенсионните плащания впоследствие. Съгласно действащата уредба ТЛП на фонда за изплащане на пожизнени пенсии подлежи на промяна в зависимост от пазарните условия. По този начин, при запазване на действащите към момента изисквания, в бъдеще неминуемо ще се достигне до обособяването на групи пенсионери във фондовете за изплащане на пожизнени пенсии, чиито пенсии са отпуснати с различен ТЛП, което ще доведе до различна по размер актуализация на плащанията, въпреки че средствата на лицата се инвестират заедно. Същевременно, за настоящите пенсионери се запазва ТЛП, с който им е отпусната пенсията, предвид обстоятелството, че начинът на изчисляването й, определен с пенсионния договор, не може да се изменя.</w:t>
      </w:r>
    </w:p>
    <w:p w14:paraId="77B6A810" w14:textId="717B3744" w:rsidR="002F7411" w:rsidRPr="00450D6E" w:rsidRDefault="008C1710"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3.2.</w:t>
      </w:r>
      <w:r w:rsidR="002F7411" w:rsidRPr="00450D6E">
        <w:rPr>
          <w:rFonts w:ascii="Times New Roman" w:hAnsi="Times New Roman"/>
          <w:iCs/>
          <w:color w:val="000000"/>
          <w:kern w:val="24"/>
          <w:sz w:val="28"/>
          <w:szCs w:val="28"/>
          <w:lang w:val="bg-BG"/>
        </w:rPr>
        <w:t xml:space="preserve"> Съгласно уредбата в КСО до момента допълнителната пожизнена пенсия за старост при осигуряване в УПФ е с гарантиран размер, изчислен на база</w:t>
      </w:r>
      <w:r w:rsidRPr="00450D6E">
        <w:rPr>
          <w:rFonts w:ascii="Times New Roman" w:hAnsi="Times New Roman"/>
          <w:iCs/>
          <w:color w:val="000000"/>
          <w:kern w:val="24"/>
          <w:sz w:val="28"/>
          <w:szCs w:val="28"/>
          <w:lang w:val="bg-BG"/>
        </w:rPr>
        <w:t>та на</w:t>
      </w:r>
      <w:r w:rsidR="002F7411" w:rsidRPr="00450D6E">
        <w:rPr>
          <w:rFonts w:ascii="Times New Roman" w:hAnsi="Times New Roman"/>
          <w:iCs/>
          <w:color w:val="000000"/>
          <w:kern w:val="24"/>
          <w:sz w:val="28"/>
          <w:szCs w:val="28"/>
          <w:lang w:val="bg-BG"/>
        </w:rPr>
        <w:t xml:space="preserve"> брутните вноски на лицето. Ако лицето има средства по индивидуалната партида в по-висок размер от брутните вноски, може да се гарантира първоначално договореният размер на пенсията, но се прилага рисков коефициент, който намалява размера на плащането. В законопроекта се предлага пенсионноосигурителното дружество да гарантира пенсията на база</w:t>
      </w:r>
      <w:r w:rsidRPr="00450D6E">
        <w:rPr>
          <w:rFonts w:ascii="Times New Roman" w:hAnsi="Times New Roman"/>
          <w:iCs/>
          <w:color w:val="000000"/>
          <w:kern w:val="24"/>
          <w:sz w:val="28"/>
          <w:szCs w:val="28"/>
          <w:lang w:val="bg-BG"/>
        </w:rPr>
        <w:t>та на</w:t>
      </w:r>
      <w:r w:rsidR="002F7411" w:rsidRPr="00450D6E">
        <w:rPr>
          <w:rFonts w:ascii="Times New Roman" w:hAnsi="Times New Roman"/>
          <w:iCs/>
          <w:color w:val="000000"/>
          <w:kern w:val="24"/>
          <w:sz w:val="28"/>
          <w:szCs w:val="28"/>
          <w:lang w:val="bg-BG"/>
        </w:rPr>
        <w:t xml:space="preserve"> пълния размер на преведените средства от партидата на лицето във фонда за изплащане на пожизнени пенсии, тъй като отпада прилагането на ТЛП и само част от постигнатата доходност при управлението на фонда за изплащане на пожизнени пенсии се използва за увеличаване размера на плащанията, а останалата </w:t>
      </w:r>
      <w:r w:rsidRPr="00450D6E">
        <w:rPr>
          <w:rFonts w:ascii="Times New Roman" w:hAnsi="Times New Roman"/>
          <w:iCs/>
          <w:color w:val="000000"/>
          <w:kern w:val="24"/>
          <w:sz w:val="28"/>
          <w:szCs w:val="28"/>
          <w:lang w:val="bg-BG"/>
        </w:rPr>
        <w:t xml:space="preserve">част </w:t>
      </w:r>
      <w:r w:rsidR="002F7411" w:rsidRPr="00450D6E">
        <w:rPr>
          <w:rFonts w:ascii="Times New Roman" w:hAnsi="Times New Roman"/>
          <w:iCs/>
          <w:color w:val="000000"/>
          <w:kern w:val="24"/>
          <w:sz w:val="28"/>
          <w:szCs w:val="28"/>
          <w:lang w:val="bg-BG"/>
        </w:rPr>
        <w:t>се заделя по аналитична сметка, с която се покрива недостиг при необходимост. По този начин се подобряват предоставяните на лицата гаранции.</w:t>
      </w:r>
    </w:p>
    <w:p w14:paraId="355A56F0" w14:textId="1B3AF17D" w:rsidR="002F7411" w:rsidRPr="00450D6E" w:rsidRDefault="008C1710"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iCs/>
          <w:color w:val="000000"/>
          <w:kern w:val="24"/>
          <w:sz w:val="28"/>
          <w:szCs w:val="28"/>
          <w:lang w:val="bg-BG"/>
        </w:rPr>
        <w:t>3.3.</w:t>
      </w:r>
      <w:r w:rsidR="002F7411" w:rsidRPr="00450D6E">
        <w:rPr>
          <w:rFonts w:ascii="Times New Roman" w:hAnsi="Times New Roman"/>
          <w:iCs/>
          <w:color w:val="000000"/>
          <w:kern w:val="24"/>
          <w:sz w:val="28"/>
          <w:szCs w:val="28"/>
          <w:lang w:val="bg-BG"/>
        </w:rPr>
        <w:t xml:space="preserve"> При изчисляването на допълнителните пожизнени пенсии за старост понастоящем се използва общата таблица за смъртност в страната, публикувана от Националния статистически институт (НСИ). Тази таблица за смъртност съдържа очакваната продължителност на живота на цялото население на страната, в т.ч.</w:t>
      </w:r>
      <w:r w:rsidRPr="00450D6E">
        <w:rPr>
          <w:rFonts w:ascii="Times New Roman" w:hAnsi="Times New Roman"/>
          <w:iCs/>
          <w:color w:val="000000"/>
          <w:kern w:val="24"/>
          <w:sz w:val="28"/>
          <w:szCs w:val="28"/>
          <w:lang w:val="bg-BG"/>
        </w:rPr>
        <w:t xml:space="preserve"> за</w:t>
      </w:r>
      <w:r w:rsidR="002F7411" w:rsidRPr="00450D6E">
        <w:rPr>
          <w:rFonts w:ascii="Times New Roman" w:hAnsi="Times New Roman"/>
          <w:iCs/>
          <w:color w:val="000000"/>
          <w:kern w:val="24"/>
          <w:sz w:val="28"/>
          <w:szCs w:val="28"/>
          <w:lang w:val="bg-BG"/>
        </w:rPr>
        <w:t xml:space="preserve"> лица, които не са осигурени в УПФ, което води до изкривяване на актюерските допускания (напр</w:t>
      </w:r>
      <w:r w:rsidRPr="00450D6E">
        <w:rPr>
          <w:rFonts w:ascii="Times New Roman" w:hAnsi="Times New Roman"/>
          <w:iCs/>
          <w:color w:val="000000"/>
          <w:kern w:val="24"/>
          <w:sz w:val="28"/>
          <w:szCs w:val="28"/>
          <w:lang w:val="bg-BG"/>
        </w:rPr>
        <w:t>имер</w:t>
      </w:r>
      <w:r w:rsidR="002F7411" w:rsidRPr="00450D6E">
        <w:rPr>
          <w:rFonts w:ascii="Times New Roman" w:hAnsi="Times New Roman"/>
          <w:iCs/>
          <w:color w:val="000000"/>
          <w:kern w:val="24"/>
          <w:sz w:val="28"/>
          <w:szCs w:val="28"/>
          <w:lang w:val="bg-BG"/>
        </w:rPr>
        <w:t xml:space="preserve"> в резултат на </w:t>
      </w:r>
      <w:r w:rsidR="002F7411" w:rsidRPr="00450D6E">
        <w:rPr>
          <w:rFonts w:ascii="Times New Roman" w:hAnsi="Times New Roman"/>
          <w:iCs/>
          <w:color w:val="000000"/>
          <w:kern w:val="24"/>
          <w:sz w:val="28"/>
          <w:szCs w:val="28"/>
          <w:lang w:val="bg-BG"/>
        </w:rPr>
        <w:lastRenderedPageBreak/>
        <w:t xml:space="preserve">по-ниската продължителност на живота на лица, които не работят, водят живот в лоши условия и имат по-висока смъртност от останалите) и не отчита очакванията за бъдещото развитие на рисковете. Във връзка с това се предвижда да се използва таблица за смъртност и средна продължителност на предстоящия живот на лицата, родени след </w:t>
      </w:r>
      <w:r w:rsidR="000A18EE" w:rsidRPr="00450D6E">
        <w:rPr>
          <w:rFonts w:ascii="Times New Roman" w:hAnsi="Times New Roman"/>
          <w:iCs/>
          <w:color w:val="000000"/>
          <w:kern w:val="24"/>
          <w:sz w:val="28"/>
          <w:szCs w:val="28"/>
          <w:lang w:val="bg-BG"/>
        </w:rPr>
        <w:br/>
      </w:r>
      <w:r w:rsidR="002F7411" w:rsidRPr="00450D6E">
        <w:rPr>
          <w:rFonts w:ascii="Times New Roman" w:hAnsi="Times New Roman"/>
          <w:iCs/>
          <w:color w:val="000000"/>
          <w:kern w:val="24"/>
          <w:sz w:val="28"/>
          <w:szCs w:val="28"/>
          <w:lang w:val="bg-BG"/>
        </w:rPr>
        <w:t>31 декември 1959 г., които подлежат на осигуряване за старост в държавното обществено осигуряване</w:t>
      </w:r>
      <w:r w:rsidR="002F7411" w:rsidRPr="00450D6E">
        <w:rPr>
          <w:rFonts w:ascii="Times New Roman" w:hAnsi="Times New Roman"/>
          <w:sz w:val="28"/>
          <w:szCs w:val="28"/>
          <w:lang w:val="bg-BG"/>
        </w:rPr>
        <w:t>, която отчита очакваното развитие на средната продължителност на предстоящия живот и на смъртността</w:t>
      </w:r>
      <w:r w:rsidR="002F7411" w:rsidRPr="00450D6E">
        <w:rPr>
          <w:rFonts w:ascii="Times New Roman" w:hAnsi="Times New Roman"/>
          <w:iCs/>
          <w:color w:val="000000"/>
          <w:kern w:val="24"/>
          <w:sz w:val="28"/>
          <w:szCs w:val="28"/>
          <w:lang w:val="bg-BG"/>
        </w:rPr>
        <w:t>. Предлага се таблицата да бъде специално изготвена</w:t>
      </w:r>
      <w:r w:rsidR="002F7411" w:rsidRPr="00450D6E">
        <w:rPr>
          <w:rFonts w:ascii="Times New Roman" w:hAnsi="Times New Roman"/>
          <w:sz w:val="28"/>
          <w:szCs w:val="28"/>
          <w:lang w:val="bg-BG"/>
        </w:rPr>
        <w:t xml:space="preserve"> от НСИ по възлагане от пенсионноосигурителните дружества по чл. 7, ал. 2 от Закона за статистиката. Използването на такава таблица ще позволи по-добро управление на биометричния риск при отпускането на пенсионните плащания. Регламентирана е и актуализацията на таблицата, която следва да се извършва на всеки три години.</w:t>
      </w:r>
    </w:p>
    <w:p w14:paraId="65C60908" w14:textId="48C2E056" w:rsidR="002F7411" w:rsidRPr="00450D6E" w:rsidRDefault="000A18EE"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sz w:val="28"/>
          <w:szCs w:val="28"/>
          <w:lang w:val="bg-BG"/>
        </w:rPr>
        <w:t>3.4.</w:t>
      </w:r>
      <w:r w:rsidR="002F7411" w:rsidRPr="00450D6E">
        <w:rPr>
          <w:rFonts w:ascii="Times New Roman" w:hAnsi="Times New Roman"/>
          <w:sz w:val="28"/>
          <w:szCs w:val="28"/>
          <w:lang w:val="bg-BG"/>
        </w:rPr>
        <w:t xml:space="preserve"> В случай на дефицит във фондовете за извършване на плащания се предвижда той да бъде покриван от резерва за гарантиране на пенсионните плащания, в който се трансформира съществуващият резерв за гарантиране на изплащането на пожизнени пенсии. В резерва за гарантиране на пенсионните плащания ще се влеят и съществуващите пенсионни резерви на ДПФ след прекратяването на изплащането на заварените пожизнени пенсии от тях.</w:t>
      </w:r>
    </w:p>
    <w:p w14:paraId="79555B8F" w14:textId="1C19EB7C" w:rsidR="002F7411" w:rsidRPr="00450D6E" w:rsidRDefault="002F7411"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sz w:val="28"/>
          <w:szCs w:val="28"/>
          <w:lang w:val="bg-BG"/>
        </w:rPr>
        <w:t xml:space="preserve">Понастоящем КСО предвижда, че покриването на дефицит във фонда за разсрочени плащания се извършва от резерва за гарантиране на брутните вноски, чийто размер не се определя в зависимост от дейността на този фонд, а от съвсем различен параметър – размера на активите на УПФ, и има друго предназначение, а именно </w:t>
      </w:r>
      <w:r w:rsidR="000A18EE" w:rsidRPr="00450D6E">
        <w:rPr>
          <w:rFonts w:ascii="Times New Roman" w:hAnsi="Times New Roman"/>
          <w:sz w:val="28"/>
          <w:szCs w:val="28"/>
          <w:lang w:val="bg-BG"/>
        </w:rPr>
        <w:t xml:space="preserve">– </w:t>
      </w:r>
      <w:r w:rsidRPr="00450D6E">
        <w:rPr>
          <w:rFonts w:ascii="Times New Roman" w:hAnsi="Times New Roman"/>
          <w:sz w:val="28"/>
          <w:szCs w:val="28"/>
          <w:lang w:val="bg-BG"/>
        </w:rPr>
        <w:t>гарантиране на брутните вноски в края на фазата на натрупване. Във връзка с това се предлага покриването на дефицит във фонда за разсрочени плащания да се извършва от резерва за гарантиране на пенсионните плащания.</w:t>
      </w:r>
    </w:p>
    <w:p w14:paraId="5AA66D1E" w14:textId="7676C534" w:rsidR="002F7411" w:rsidRPr="00450D6E" w:rsidRDefault="002F7411"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sz w:val="28"/>
          <w:szCs w:val="28"/>
          <w:lang w:val="bg-BG"/>
        </w:rPr>
        <w:t xml:space="preserve">4. Усъвършенствана е и уредбата на изплащането на средства на наследниците на починалите осигурени лица и пенсионери. С оглед </w:t>
      </w:r>
      <w:r w:rsidR="000A18EE" w:rsidRPr="00450D6E">
        <w:rPr>
          <w:rFonts w:ascii="Times New Roman" w:hAnsi="Times New Roman"/>
          <w:sz w:val="28"/>
          <w:szCs w:val="28"/>
          <w:lang w:val="bg-BG"/>
        </w:rPr>
        <w:t xml:space="preserve">на </w:t>
      </w:r>
      <w:r w:rsidRPr="00450D6E">
        <w:rPr>
          <w:rFonts w:ascii="Times New Roman" w:hAnsi="Times New Roman"/>
          <w:sz w:val="28"/>
          <w:szCs w:val="28"/>
          <w:lang w:val="bg-BG"/>
        </w:rPr>
        <w:t>констатирани в практиката проблеми, свързани с неприложимост, съответно непълна приложимост</w:t>
      </w:r>
      <w:r w:rsidR="000A18EE" w:rsidRPr="00450D6E">
        <w:rPr>
          <w:rFonts w:ascii="Times New Roman" w:hAnsi="Times New Roman"/>
          <w:sz w:val="28"/>
          <w:szCs w:val="28"/>
          <w:lang w:val="bg-BG"/>
        </w:rPr>
        <w:t>,</w:t>
      </w:r>
      <w:r w:rsidRPr="00450D6E">
        <w:rPr>
          <w:rFonts w:ascii="Times New Roman" w:hAnsi="Times New Roman"/>
          <w:sz w:val="28"/>
          <w:szCs w:val="28"/>
          <w:lang w:val="bg-BG"/>
        </w:rPr>
        <w:t xml:space="preserve"> на някои институти на наследственото право (фикцията, че заченатият към момента на откриване на наследството се счита за роден, и наследствената трансмисия) и необходимостта от по-справедливо третиране на някои житейски случаи се предлагат допълнения </w:t>
      </w:r>
      <w:r w:rsidRPr="00450D6E">
        <w:rPr>
          <w:rFonts w:ascii="Times New Roman" w:hAnsi="Times New Roman"/>
          <w:sz w:val="28"/>
          <w:szCs w:val="28"/>
          <w:lang w:val="bg-BG"/>
        </w:rPr>
        <w:lastRenderedPageBreak/>
        <w:t>в чл. 170 от КСО. В резултат на промените се дава възможност средствата по партидата на починало осигурено лице във фонд за допълнително задължително пенсионно осигуряване да бъдат изплащани както на децата му, родени преди смъртта му, така и на тези, които само са били заченати в този момент, но са се родили след това. Също така, когато след смъртта на осигуреното лице почине негов наследник по закон, право да получат съответните средства ще имат всички негови наследници, а не само низходящите.</w:t>
      </w:r>
    </w:p>
    <w:p w14:paraId="3DB4EE97" w14:textId="51C9301E" w:rsidR="002F7411" w:rsidRPr="00450D6E" w:rsidRDefault="002F7411"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sz w:val="28"/>
          <w:szCs w:val="28"/>
          <w:lang w:val="bg-BG"/>
        </w:rPr>
        <w:t xml:space="preserve">С оглед </w:t>
      </w:r>
      <w:r w:rsidR="000A18EE" w:rsidRPr="00450D6E">
        <w:rPr>
          <w:rFonts w:ascii="Times New Roman" w:hAnsi="Times New Roman"/>
          <w:sz w:val="28"/>
          <w:szCs w:val="28"/>
          <w:lang w:val="bg-BG"/>
        </w:rPr>
        <w:t xml:space="preserve">на </w:t>
      </w:r>
      <w:r w:rsidRPr="00450D6E">
        <w:rPr>
          <w:rFonts w:ascii="Times New Roman" w:hAnsi="Times New Roman"/>
          <w:sz w:val="28"/>
          <w:szCs w:val="28"/>
          <w:lang w:val="bg-BG"/>
        </w:rPr>
        <w:t>отпадането на техническия лихвен процент при определянето на пожизнената пенсия са адаптирани правата на наследниците на пенсионерите с пенсия с гарантиран период на получаване и с разсрочено изплащане на средства. Предвижда се на наследниците да се изплаща остатъкът от дължимите на починалия плащания за гарантирания период, съответно за периода на разсрочено изплащане (вместо настоящата стойност на задълженията към починалия).</w:t>
      </w:r>
    </w:p>
    <w:p w14:paraId="6131F6C3" w14:textId="77777777" w:rsidR="002F7411" w:rsidRPr="00450D6E" w:rsidRDefault="002F7411"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sz w:val="28"/>
          <w:szCs w:val="28"/>
          <w:lang w:val="bg-BG"/>
        </w:rPr>
        <w:t>Изплащането на средства на наследниците на починалите пенсионери, осигурявани в ДПФ, е съобразено с характеристиките на пенсионните продукти от общите фондове за извършване на плащания в съответствие с подхода за определяне на дължимите средства при смърт на пенсионер във втори стълб.</w:t>
      </w:r>
    </w:p>
    <w:p w14:paraId="54D483DC" w14:textId="77777777" w:rsidR="002F7411" w:rsidRPr="00450D6E" w:rsidRDefault="002F7411" w:rsidP="00366F8B">
      <w:pPr>
        <w:tabs>
          <w:tab w:val="left" w:pos="993"/>
        </w:tabs>
        <w:spacing w:line="276" w:lineRule="auto"/>
        <w:ind w:firstLine="1134"/>
        <w:jc w:val="both"/>
        <w:textAlignment w:val="baseline"/>
        <w:rPr>
          <w:rFonts w:ascii="Times New Roman" w:hAnsi="Times New Roman"/>
          <w:b/>
          <w:sz w:val="28"/>
          <w:szCs w:val="28"/>
          <w:lang w:val="bg-BG"/>
        </w:rPr>
      </w:pPr>
    </w:p>
    <w:p w14:paraId="77D373C6" w14:textId="77777777" w:rsidR="002F7411" w:rsidRPr="00450D6E" w:rsidRDefault="002F7411" w:rsidP="00366F8B">
      <w:pPr>
        <w:tabs>
          <w:tab w:val="left" w:pos="993"/>
        </w:tabs>
        <w:spacing w:line="276" w:lineRule="auto"/>
        <w:ind w:firstLine="1134"/>
        <w:jc w:val="both"/>
        <w:textAlignment w:val="baseline"/>
        <w:rPr>
          <w:rFonts w:ascii="Times New Roman" w:hAnsi="Times New Roman"/>
          <w:b/>
          <w:sz w:val="28"/>
          <w:szCs w:val="28"/>
          <w:lang w:val="bg-BG"/>
        </w:rPr>
      </w:pPr>
      <w:proofErr w:type="spellStart"/>
      <w:r w:rsidRPr="00450D6E">
        <w:rPr>
          <w:rFonts w:ascii="Times New Roman" w:hAnsi="Times New Roman"/>
          <w:b/>
          <w:sz w:val="28"/>
          <w:szCs w:val="28"/>
          <w:lang w:val="bg-BG"/>
        </w:rPr>
        <w:t>VI</w:t>
      </w:r>
      <w:r w:rsidRPr="00450D6E">
        <w:rPr>
          <w:rFonts w:ascii="Times New Roman" w:hAnsi="Times New Roman"/>
          <w:b/>
          <w:iCs/>
          <w:color w:val="000000"/>
          <w:kern w:val="24"/>
          <w:sz w:val="28"/>
          <w:szCs w:val="28"/>
          <w:lang w:val="bg-BG"/>
        </w:rPr>
        <w:t>Ⅰ</w:t>
      </w:r>
      <w:r w:rsidRPr="00450D6E">
        <w:rPr>
          <w:rFonts w:ascii="Times New Roman" w:hAnsi="Times New Roman"/>
          <w:b/>
          <w:sz w:val="28"/>
          <w:szCs w:val="28"/>
          <w:lang w:val="bg-BG"/>
        </w:rPr>
        <w:t>Ⅰ</w:t>
      </w:r>
      <w:proofErr w:type="spellEnd"/>
      <w:r w:rsidRPr="00450D6E">
        <w:rPr>
          <w:rFonts w:ascii="Times New Roman" w:hAnsi="Times New Roman"/>
          <w:b/>
          <w:sz w:val="28"/>
          <w:szCs w:val="28"/>
          <w:lang w:val="bg-BG"/>
        </w:rPr>
        <w:t>. Усъвършенстване на изискванията към капитала на пенсионноосигурителните дружества</w:t>
      </w:r>
    </w:p>
    <w:p w14:paraId="060D5F81" w14:textId="4D02BA56" w:rsidR="002F7411" w:rsidRPr="00450D6E" w:rsidRDefault="002F7411"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sz w:val="28"/>
          <w:szCs w:val="28"/>
          <w:lang w:val="bg-BG"/>
        </w:rPr>
        <w:t xml:space="preserve">Действащите изисквания на КСО към капитала на пенсионноосигурителните дружества са ориентирани към осигуряване на оперативен капитал за дейността на пенсионноосигурителните дружества (чрез минималния капитал при учредяването) и към покриване на поетите рискове във фазата на изплащане (чрез границата на платежоспособност по чл. 121в, ал. 6 от КСО). Същевременно се наблюдава траен растеж на активите на управляваните от дружествата фондове, като при най-големите от тях (УПФ) се гарантират брутните вноски с резерв в размер само 0,5 на сто от нетните им активи. Упражняването на правото на пенсия от все </w:t>
      </w:r>
      <w:r w:rsidR="000A18EE" w:rsidRPr="00450D6E">
        <w:rPr>
          <w:rFonts w:ascii="Times New Roman" w:hAnsi="Times New Roman"/>
          <w:sz w:val="28"/>
          <w:szCs w:val="28"/>
          <w:lang w:val="bg-BG"/>
        </w:rPr>
        <w:br/>
      </w:r>
      <w:r w:rsidRPr="00450D6E">
        <w:rPr>
          <w:rFonts w:ascii="Times New Roman" w:hAnsi="Times New Roman"/>
          <w:sz w:val="28"/>
          <w:szCs w:val="28"/>
          <w:lang w:val="bg-BG"/>
        </w:rPr>
        <w:t xml:space="preserve">по-широк кръг лица обуславя необходимостта от заделянето на повече средства в резерва за гарантиране </w:t>
      </w:r>
      <w:r w:rsidR="000A18EE" w:rsidRPr="00450D6E">
        <w:rPr>
          <w:rFonts w:ascii="Times New Roman" w:hAnsi="Times New Roman"/>
          <w:sz w:val="28"/>
          <w:szCs w:val="28"/>
          <w:lang w:val="bg-BG"/>
        </w:rPr>
        <w:t xml:space="preserve">на </w:t>
      </w:r>
      <w:r w:rsidRPr="00450D6E">
        <w:rPr>
          <w:rFonts w:ascii="Times New Roman" w:hAnsi="Times New Roman"/>
          <w:sz w:val="28"/>
          <w:szCs w:val="28"/>
          <w:lang w:val="bg-BG"/>
        </w:rPr>
        <w:t xml:space="preserve">брутния размер на вноските. Независимо от очакванията за по-висока доходност и обвързаността на инвестициите с жизнения цикъл, управлението на средствата в </w:t>
      </w:r>
      <w:r w:rsidRPr="00450D6E">
        <w:rPr>
          <w:rFonts w:ascii="Times New Roman" w:hAnsi="Times New Roman"/>
          <w:sz w:val="28"/>
          <w:szCs w:val="28"/>
          <w:lang w:val="bg-BG"/>
        </w:rPr>
        <w:lastRenderedPageBreak/>
        <w:t>многофондова система води до поемане на по-висок инвестиционен риск и съответно може да е необходимо покриване на загуби при неблагоприятни пазарни условия. Наличието на капитал в достатъчен размер е условие за осигуряване и на ликвидност в по-голям размер, а именно това е основното противодействие при необходимост от реализиране на гаранции при неблагоприятно развитие на пазара (вместо продажби „на пожар“). В допълнение към това следва да се има предвид и че при упражняване на право на пенсия пенсионноосигурителното дружество следва да е в готовност освен да заплати гаранцията за брутните вноски</w:t>
      </w:r>
      <w:r w:rsidR="003F0B96">
        <w:rPr>
          <w:rFonts w:ascii="Times New Roman" w:hAnsi="Times New Roman"/>
          <w:sz w:val="28"/>
          <w:szCs w:val="28"/>
          <w:lang w:val="bg-BG"/>
        </w:rPr>
        <w:t>,</w:t>
      </w:r>
      <w:r w:rsidRPr="00450D6E">
        <w:rPr>
          <w:rFonts w:ascii="Times New Roman" w:hAnsi="Times New Roman"/>
          <w:sz w:val="28"/>
          <w:szCs w:val="28"/>
          <w:lang w:val="bg-BG"/>
        </w:rPr>
        <w:t xml:space="preserve"> и да задели средства за увеличаване размера на резерва за гарантиране на пенсионните плащания, който зависи от нарастващите задължения на фондовете за извършване на плащания. Обезпечаването на по-висок размер на капитала на пенсионноосигурителните дружества допълнително засилва финансовата стабилност на дружеството и от гледна точка на цялостната фаза на изплащане.</w:t>
      </w:r>
    </w:p>
    <w:p w14:paraId="4A1592FB" w14:textId="3107FDD0" w:rsidR="002F7411" w:rsidRPr="00450D6E" w:rsidRDefault="002F7411"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sz w:val="28"/>
          <w:szCs w:val="28"/>
          <w:lang w:val="bg-BG"/>
        </w:rPr>
        <w:t>Предвид горепосочената необходимост от увеличаване на капиталовото покритие се предлага въвеждане на допълнително изискване за капиталова база в размер</w:t>
      </w:r>
      <w:r w:rsidR="00115D3F" w:rsidRPr="00450D6E">
        <w:rPr>
          <w:rFonts w:ascii="Times New Roman" w:hAnsi="Times New Roman"/>
          <w:sz w:val="28"/>
          <w:szCs w:val="28"/>
          <w:lang w:val="bg-BG"/>
        </w:rPr>
        <w:t>,</w:t>
      </w:r>
      <w:r w:rsidRPr="00450D6E">
        <w:rPr>
          <w:rFonts w:ascii="Times New Roman" w:hAnsi="Times New Roman"/>
          <w:sz w:val="28"/>
          <w:szCs w:val="28"/>
          <w:lang w:val="bg-BG"/>
        </w:rPr>
        <w:t xml:space="preserve"> не по-малък от 2 на сто от нетните активи на управляваните фондове за допълнително пенсионно осигуряване и фондовете за извършване на плащанията. Заделянето на тези средства още във фазата на натрупване осигурява своевременно обезпечаване на ангажиментите на дружествата за гарантиране на брутните вноски и за покриване на резервите във фазата на изплащане. Достигането на посочения размер на собствени средства се планира да бъде извършено по плавен начин за период 10 години, както е описано в </w:t>
      </w:r>
      <w:r w:rsidR="00115D3F" w:rsidRPr="00450D6E">
        <w:rPr>
          <w:rFonts w:ascii="Times New Roman" w:hAnsi="Times New Roman"/>
          <w:sz w:val="28"/>
          <w:szCs w:val="28"/>
          <w:lang w:val="bg-BG"/>
        </w:rPr>
        <w:t xml:space="preserve">Преходните </w:t>
      </w:r>
      <w:r w:rsidRPr="00450D6E">
        <w:rPr>
          <w:rFonts w:ascii="Times New Roman" w:hAnsi="Times New Roman"/>
          <w:sz w:val="28"/>
          <w:szCs w:val="28"/>
          <w:lang w:val="bg-BG"/>
        </w:rPr>
        <w:t>разпоредби на законопроекта.</w:t>
      </w:r>
    </w:p>
    <w:p w14:paraId="38B48D16" w14:textId="77777777" w:rsidR="002F7411" w:rsidRPr="00450D6E" w:rsidRDefault="002F7411" w:rsidP="00366F8B">
      <w:pPr>
        <w:spacing w:line="276" w:lineRule="auto"/>
        <w:ind w:firstLine="1134"/>
        <w:jc w:val="both"/>
        <w:textAlignment w:val="baseline"/>
        <w:rPr>
          <w:rFonts w:ascii="Times New Roman" w:hAnsi="Times New Roman"/>
          <w:b/>
          <w:iCs/>
          <w:color w:val="000000"/>
          <w:kern w:val="24"/>
          <w:sz w:val="28"/>
          <w:szCs w:val="28"/>
          <w:lang w:val="bg-BG"/>
        </w:rPr>
      </w:pPr>
    </w:p>
    <w:p w14:paraId="01956009" w14:textId="77777777" w:rsidR="002F7411" w:rsidRPr="00450D6E" w:rsidRDefault="002F7411" w:rsidP="00366F8B">
      <w:pPr>
        <w:spacing w:line="276" w:lineRule="auto"/>
        <w:ind w:firstLine="1134"/>
        <w:jc w:val="both"/>
        <w:textAlignment w:val="baseline"/>
        <w:rPr>
          <w:rFonts w:ascii="Times New Roman" w:hAnsi="Times New Roman"/>
          <w:b/>
          <w:sz w:val="28"/>
          <w:szCs w:val="28"/>
          <w:lang w:val="bg-BG"/>
        </w:rPr>
      </w:pPr>
      <w:r w:rsidRPr="00450D6E">
        <w:rPr>
          <w:rFonts w:ascii="Times New Roman" w:hAnsi="Times New Roman"/>
          <w:b/>
          <w:iCs/>
          <w:color w:val="000000"/>
          <w:kern w:val="24"/>
          <w:sz w:val="28"/>
          <w:szCs w:val="28"/>
          <w:lang w:val="bg-BG"/>
        </w:rPr>
        <w:t xml:space="preserve">IX. </w:t>
      </w:r>
      <w:r w:rsidRPr="00450D6E">
        <w:rPr>
          <w:rFonts w:ascii="Times New Roman" w:hAnsi="Times New Roman"/>
          <w:b/>
          <w:sz w:val="28"/>
          <w:szCs w:val="28"/>
          <w:lang w:val="bg-BG"/>
        </w:rPr>
        <w:t>Създаване на специален национален счетоводен стандарт за управляваните от ПОД фондове</w:t>
      </w:r>
    </w:p>
    <w:p w14:paraId="5A91E0FB" w14:textId="7CA80547" w:rsidR="002F7411" w:rsidRPr="00450D6E" w:rsidRDefault="002F7411" w:rsidP="00366F8B">
      <w:pPr>
        <w:spacing w:line="276" w:lineRule="auto"/>
        <w:ind w:firstLine="1134"/>
        <w:jc w:val="both"/>
        <w:rPr>
          <w:rFonts w:ascii="Times New Roman" w:hAnsi="Times New Roman"/>
          <w:sz w:val="28"/>
          <w:szCs w:val="28"/>
          <w:lang w:val="bg-BG"/>
        </w:rPr>
      </w:pPr>
      <w:r w:rsidRPr="00450D6E">
        <w:rPr>
          <w:rFonts w:ascii="Times New Roman" w:hAnsi="Times New Roman"/>
          <w:sz w:val="28"/>
          <w:szCs w:val="28"/>
          <w:lang w:val="bg-BG"/>
        </w:rPr>
        <w:t>Съгласно чл. 34, ал. 2, т. 4 от Закона за счетоводството понастоящем финансовите отчети на фондовете за допълнително пенсионно осигуряване и фондовете за извършване на плащания се изготвят</w:t>
      </w:r>
      <w:r w:rsidRPr="00450D6E">
        <w:rPr>
          <w:rFonts w:ascii="Times New Roman" w:hAnsi="Times New Roman"/>
          <w:color w:val="000000"/>
          <w:sz w:val="28"/>
          <w:szCs w:val="28"/>
          <w:lang w:val="bg-BG"/>
        </w:rPr>
        <w:t xml:space="preserve"> на базата на Международните счетоводни стандарти (МСС) и по-специално </w:t>
      </w:r>
      <w:r w:rsidR="00115D3F" w:rsidRPr="00450D6E">
        <w:rPr>
          <w:rFonts w:ascii="Times New Roman" w:hAnsi="Times New Roman"/>
          <w:color w:val="000000"/>
          <w:sz w:val="28"/>
          <w:szCs w:val="28"/>
          <w:lang w:val="bg-BG"/>
        </w:rPr>
        <w:t xml:space="preserve">– </w:t>
      </w:r>
      <w:r w:rsidRPr="00450D6E">
        <w:rPr>
          <w:rFonts w:ascii="Times New Roman" w:hAnsi="Times New Roman"/>
          <w:sz w:val="28"/>
          <w:szCs w:val="28"/>
          <w:lang w:val="bg-BG"/>
        </w:rPr>
        <w:t xml:space="preserve">Международен счетоводен стандарт 26 „Счетоводство и отчитане на планове за пенсионно осигуряване“ (МСС 26). Този стандарт обаче не отговаря на нуждите на всяка възможна пенсионна схема и не е в </w:t>
      </w:r>
      <w:r w:rsidRPr="00450D6E">
        <w:rPr>
          <w:rFonts w:ascii="Times New Roman" w:hAnsi="Times New Roman"/>
          <w:sz w:val="28"/>
          <w:szCs w:val="28"/>
          <w:lang w:val="bg-BG"/>
        </w:rPr>
        <w:lastRenderedPageBreak/>
        <w:t>състояние да отчете всички национални особености.  От влизането си в сила през 1988 г. МСС 26 не е заменен от нов стандарт или променен посредством проект за поддръжка на Съвета по международните счетоводни стандарти. Междувременно, критични и адекватни за пенсионния сектор, последно издадени и приети счетоводни стандарти, като Международен стандарт за финансово отчитане (МСФО) 9 за финансовите инструменти, се оказват неприложими поради по-високата степен в йерархията на МСС 26. Необходимостта от отчитане на актуалните положения в международните счетоводни стандарти и националните особености на функционирането на пенсионните фондове и фондовете за извършване на плащания обуславя създаването на специален национален счетоводен стандарт за тяхното финансово отчитане, чийто първоначален проект е разработен от компетентните организации и посредством който:</w:t>
      </w:r>
    </w:p>
    <w:p w14:paraId="2970E15E" w14:textId="77777777" w:rsidR="002F7411" w:rsidRPr="00450D6E" w:rsidRDefault="002F7411" w:rsidP="00366F8B">
      <w:pPr>
        <w:numPr>
          <w:ilvl w:val="0"/>
          <w:numId w:val="10"/>
        </w:numPr>
        <w:tabs>
          <w:tab w:val="left" w:pos="993"/>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ще бъде създадена актуална, детайлна и съобразена с националните особености счетоводна рамка, осигуряваща синхрон в използвания понятиен апарат и приложимите изисквания към текущата дейност на фондовете и съставянето на годишните им финансови отчети и ще бъде улеснена дейността на съставителите на отчетите, одиторите и надзорните органи;</w:t>
      </w:r>
    </w:p>
    <w:p w14:paraId="6A828C77" w14:textId="052501FF" w:rsidR="002F7411" w:rsidRPr="00450D6E" w:rsidRDefault="002F7411" w:rsidP="00366F8B">
      <w:pPr>
        <w:numPr>
          <w:ilvl w:val="0"/>
          <w:numId w:val="10"/>
        </w:numPr>
        <w:tabs>
          <w:tab w:val="left" w:pos="993"/>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ще бъде минимизиран риск</w:t>
      </w:r>
      <w:r w:rsidR="00115D3F" w:rsidRPr="00450D6E">
        <w:rPr>
          <w:rFonts w:ascii="Times New Roman" w:hAnsi="Times New Roman"/>
          <w:sz w:val="28"/>
          <w:szCs w:val="28"/>
          <w:lang w:val="bg-BG"/>
        </w:rPr>
        <w:t>ът</w:t>
      </w:r>
      <w:r w:rsidRPr="00450D6E">
        <w:rPr>
          <w:rFonts w:ascii="Times New Roman" w:hAnsi="Times New Roman"/>
          <w:sz w:val="28"/>
          <w:szCs w:val="28"/>
          <w:lang w:val="bg-BG"/>
        </w:rPr>
        <w:t xml:space="preserve"> от възможни разлики в ключови показатели за финансово състояние и резултати между финансовата отчетност на фондовете с общо предназначение и тази за надзорни цели;</w:t>
      </w:r>
    </w:p>
    <w:p w14:paraId="2D53AFB6" w14:textId="059A4E0E" w:rsidR="002F7411" w:rsidRPr="00450D6E" w:rsidRDefault="002F7411" w:rsidP="00366F8B">
      <w:pPr>
        <w:numPr>
          <w:ilvl w:val="0"/>
          <w:numId w:val="10"/>
        </w:numPr>
        <w:tabs>
          <w:tab w:val="left" w:pos="993"/>
        </w:tabs>
        <w:spacing w:line="276" w:lineRule="auto"/>
        <w:ind w:left="0" w:firstLine="1134"/>
        <w:contextualSpacing/>
        <w:jc w:val="both"/>
        <w:rPr>
          <w:rFonts w:ascii="Times New Roman" w:hAnsi="Times New Roman"/>
          <w:sz w:val="28"/>
          <w:szCs w:val="28"/>
          <w:lang w:val="bg-BG"/>
        </w:rPr>
      </w:pPr>
      <w:r w:rsidRPr="00450D6E">
        <w:rPr>
          <w:rFonts w:ascii="Times New Roman" w:hAnsi="Times New Roman"/>
          <w:sz w:val="28"/>
          <w:szCs w:val="28"/>
          <w:lang w:val="bg-BG"/>
        </w:rPr>
        <w:t>ще бъде осигурено прозрачно и разбираемо оповестяване на финансова информация за ползвателите на финансовите отчети на фондовете (вкл</w:t>
      </w:r>
      <w:r w:rsidR="00115D3F" w:rsidRPr="00450D6E">
        <w:rPr>
          <w:rFonts w:ascii="Times New Roman" w:hAnsi="Times New Roman"/>
          <w:sz w:val="28"/>
          <w:szCs w:val="28"/>
          <w:lang w:val="bg-BG"/>
        </w:rPr>
        <w:t>ючително</w:t>
      </w:r>
      <w:r w:rsidRPr="00450D6E">
        <w:rPr>
          <w:rFonts w:ascii="Times New Roman" w:hAnsi="Times New Roman"/>
          <w:sz w:val="28"/>
          <w:szCs w:val="28"/>
          <w:lang w:val="bg-BG"/>
        </w:rPr>
        <w:t xml:space="preserve"> на осигурените лица, пенсионерите и техните наследници), която е съпоставима с тази, на база</w:t>
      </w:r>
      <w:r w:rsidR="003F0B96">
        <w:rPr>
          <w:rFonts w:ascii="Times New Roman" w:hAnsi="Times New Roman"/>
          <w:sz w:val="28"/>
          <w:szCs w:val="28"/>
          <w:lang w:val="bg-BG"/>
        </w:rPr>
        <w:t>та</w:t>
      </w:r>
      <w:r w:rsidRPr="00450D6E">
        <w:rPr>
          <w:rFonts w:ascii="Times New Roman" w:hAnsi="Times New Roman"/>
          <w:sz w:val="28"/>
          <w:szCs w:val="28"/>
          <w:lang w:val="bg-BG"/>
        </w:rPr>
        <w:t xml:space="preserve"> на която се изчисляват доходността и плащанията от фондовете.</w:t>
      </w:r>
    </w:p>
    <w:p w14:paraId="7E88A3F8" w14:textId="77777777" w:rsidR="002F7411" w:rsidRPr="00450D6E" w:rsidRDefault="002F7411" w:rsidP="00366F8B">
      <w:pPr>
        <w:spacing w:line="276" w:lineRule="auto"/>
        <w:ind w:firstLine="1134"/>
        <w:jc w:val="both"/>
        <w:textAlignment w:val="baseline"/>
        <w:rPr>
          <w:rFonts w:ascii="Times New Roman" w:hAnsi="Times New Roman"/>
          <w:b/>
          <w:iCs/>
          <w:color w:val="000000"/>
          <w:kern w:val="24"/>
          <w:sz w:val="28"/>
          <w:szCs w:val="28"/>
          <w:lang w:val="bg-BG"/>
        </w:rPr>
      </w:pPr>
    </w:p>
    <w:p w14:paraId="5B074C8A" w14:textId="77777777" w:rsidR="002F7411" w:rsidRPr="00450D6E" w:rsidRDefault="002F7411" w:rsidP="00366F8B">
      <w:pPr>
        <w:spacing w:line="276" w:lineRule="auto"/>
        <w:ind w:firstLine="1134"/>
        <w:jc w:val="both"/>
        <w:textAlignment w:val="baseline"/>
        <w:rPr>
          <w:rFonts w:ascii="Times New Roman" w:hAnsi="Times New Roman"/>
          <w:b/>
          <w:iCs/>
          <w:color w:val="000000"/>
          <w:kern w:val="24"/>
          <w:sz w:val="28"/>
          <w:szCs w:val="28"/>
          <w:lang w:val="bg-BG"/>
        </w:rPr>
      </w:pPr>
      <w:r w:rsidRPr="00450D6E">
        <w:rPr>
          <w:rFonts w:ascii="Times New Roman" w:hAnsi="Times New Roman"/>
          <w:b/>
          <w:iCs/>
          <w:color w:val="000000"/>
          <w:kern w:val="24"/>
          <w:sz w:val="28"/>
          <w:szCs w:val="28"/>
          <w:lang w:val="bg-BG"/>
        </w:rPr>
        <w:t>X. Други промени</w:t>
      </w:r>
    </w:p>
    <w:p w14:paraId="42103641" w14:textId="4DE846CB"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В допълнение със законопроекта са извършени отделни промени, насочени към развиване и поясняване на някои разпоредби на КСО</w:t>
      </w:r>
      <w:r w:rsidR="00115D3F" w:rsidRPr="00450D6E">
        <w:rPr>
          <w:rFonts w:ascii="Times New Roman" w:hAnsi="Times New Roman"/>
          <w:iCs/>
          <w:color w:val="000000"/>
          <w:kern w:val="24"/>
          <w:sz w:val="28"/>
          <w:szCs w:val="28"/>
          <w:lang w:val="bg-BG"/>
        </w:rPr>
        <w:t>,</w:t>
      </w:r>
      <w:r w:rsidRPr="00450D6E">
        <w:rPr>
          <w:rFonts w:ascii="Times New Roman" w:hAnsi="Times New Roman"/>
          <w:iCs/>
          <w:color w:val="000000"/>
          <w:kern w:val="24"/>
          <w:sz w:val="28"/>
          <w:szCs w:val="28"/>
          <w:lang w:val="bg-BG"/>
        </w:rPr>
        <w:t xml:space="preserve"> въз основа на натрупания опит при тяхното прилагане:</w:t>
      </w:r>
    </w:p>
    <w:p w14:paraId="02FE3994" w14:textId="77777777"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1. В синхрон с уредбата в други нормативни актове, регулиращи финансовия сектор:</w:t>
      </w:r>
    </w:p>
    <w:p w14:paraId="6DF38DB2" w14:textId="248DFDDD" w:rsidR="002F7411" w:rsidRPr="00450D6E" w:rsidRDefault="00115D3F"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1.1.</w:t>
      </w:r>
      <w:r w:rsidR="002F7411" w:rsidRPr="00450D6E">
        <w:rPr>
          <w:rFonts w:ascii="Times New Roman" w:hAnsi="Times New Roman"/>
          <w:iCs/>
          <w:color w:val="000000"/>
          <w:kern w:val="24"/>
          <w:sz w:val="28"/>
          <w:szCs w:val="28"/>
          <w:lang w:val="bg-BG"/>
        </w:rPr>
        <w:t xml:space="preserve"> в производствата по издаване на предвидените в част втора на КСО лицензи, разрешения и одобрения са създадени делегации за наредби, </w:t>
      </w:r>
      <w:r w:rsidR="002F7411" w:rsidRPr="00450D6E">
        <w:rPr>
          <w:rFonts w:ascii="Times New Roman" w:hAnsi="Times New Roman"/>
          <w:iCs/>
          <w:color w:val="000000"/>
          <w:kern w:val="24"/>
          <w:sz w:val="28"/>
          <w:szCs w:val="28"/>
          <w:lang w:val="bg-BG"/>
        </w:rPr>
        <w:lastRenderedPageBreak/>
        <w:t>с които по максимално гъвкав начин на подзаконово ниво да бъдат определени изискуемите документи в тези производства и изискванията към тяхното съдържание;</w:t>
      </w:r>
    </w:p>
    <w:p w14:paraId="338FE8F1" w14:textId="5D83BEE3" w:rsidR="002F7411" w:rsidRPr="00450D6E" w:rsidRDefault="00115D3F"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1.2.</w:t>
      </w:r>
      <w:r w:rsidR="002F7411" w:rsidRPr="00450D6E">
        <w:rPr>
          <w:rFonts w:ascii="Times New Roman" w:hAnsi="Times New Roman"/>
          <w:iCs/>
          <w:color w:val="000000"/>
          <w:kern w:val="24"/>
          <w:sz w:val="28"/>
          <w:szCs w:val="28"/>
          <w:lang w:val="bg-BG"/>
        </w:rPr>
        <w:t xml:space="preserve"> развити са изискванията към членовете на управителните и контролни органи на пенсионноосигурителните дружества, като се изисква да не са извършвали не само системни, но и груби нарушения през последните 5 (вместо 3) години.</w:t>
      </w:r>
    </w:p>
    <w:p w14:paraId="32E83919" w14:textId="5606DAB9"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 xml:space="preserve">2. При изискванията към независимите членове на съветите на директорите и </w:t>
      </w:r>
      <w:r w:rsidR="00115D3F" w:rsidRPr="00450D6E">
        <w:rPr>
          <w:rFonts w:ascii="Times New Roman" w:hAnsi="Times New Roman"/>
          <w:iCs/>
          <w:color w:val="000000"/>
          <w:kern w:val="24"/>
          <w:sz w:val="28"/>
          <w:szCs w:val="28"/>
          <w:lang w:val="bg-BG"/>
        </w:rPr>
        <w:t xml:space="preserve">на </w:t>
      </w:r>
      <w:r w:rsidRPr="00450D6E">
        <w:rPr>
          <w:rFonts w:ascii="Times New Roman" w:hAnsi="Times New Roman"/>
          <w:iCs/>
          <w:color w:val="000000"/>
          <w:kern w:val="24"/>
          <w:sz w:val="28"/>
          <w:szCs w:val="28"/>
          <w:lang w:val="bg-BG"/>
        </w:rPr>
        <w:t>надзорните съвети на пенсионноосигурителните дружества изрично се уточнява, че те следва да не са членове на управителните и контролните им органи и да не са заемали ръководна длъжност не само текущо, а и през последните 5 години преди подаването на заявление за одобряване като независим член. Това изискване обезпечава независимостта на лицата и се базира на подхода, възприет в насоките на европейските надзорни органи.</w:t>
      </w:r>
    </w:p>
    <w:p w14:paraId="11E33BDE" w14:textId="699D8E34" w:rsidR="002F7411" w:rsidRPr="00450D6E" w:rsidRDefault="002F7411"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iCs/>
          <w:color w:val="000000"/>
          <w:kern w:val="24"/>
          <w:sz w:val="28"/>
          <w:szCs w:val="28"/>
          <w:lang w:val="bg-BG"/>
        </w:rPr>
        <w:t xml:space="preserve">3. Прецизирани са текстовете, забраняващи принудителното изпълнение върху средствата по индивидуалните партиди на осигурените лица и сметките за ПЕПП. </w:t>
      </w:r>
      <w:r w:rsidRPr="00450D6E">
        <w:rPr>
          <w:rFonts w:ascii="Times New Roman" w:hAnsi="Times New Roman"/>
          <w:sz w:val="28"/>
          <w:szCs w:val="28"/>
          <w:lang w:val="bg-BG"/>
        </w:rPr>
        <w:t>Видно от съдебната практика, забраната за принудително изпълнение върху средствата по индивидуалната партида е свързана със социалното предназначение на тези средства (да осигурят допълнителна пенсия на осигуреното лице) и „ползва единствено титуляр</w:t>
      </w:r>
      <w:r w:rsidR="00987AB2" w:rsidRPr="00450D6E">
        <w:rPr>
          <w:rFonts w:ascii="Times New Roman" w:hAnsi="Times New Roman"/>
          <w:sz w:val="28"/>
          <w:szCs w:val="28"/>
          <w:lang w:val="bg-BG"/>
        </w:rPr>
        <w:t>я</w:t>
      </w:r>
      <w:r w:rsidRPr="00450D6E">
        <w:rPr>
          <w:rFonts w:ascii="Times New Roman" w:hAnsi="Times New Roman"/>
          <w:sz w:val="28"/>
          <w:szCs w:val="28"/>
          <w:lang w:val="bg-BG"/>
        </w:rPr>
        <w:t xml:space="preserve"> на партидата и то, докато сумите представляват натрупани средства по индивидуалната му партида“. След смъртта на лицето и преминаването на средствата в </w:t>
      </w:r>
      <w:proofErr w:type="spellStart"/>
      <w:r w:rsidRPr="00450D6E">
        <w:rPr>
          <w:rFonts w:ascii="Times New Roman" w:hAnsi="Times New Roman"/>
          <w:sz w:val="28"/>
          <w:szCs w:val="28"/>
          <w:lang w:val="bg-BG"/>
        </w:rPr>
        <w:t>патримониума</w:t>
      </w:r>
      <w:proofErr w:type="spellEnd"/>
      <w:r w:rsidRPr="00450D6E">
        <w:rPr>
          <w:rFonts w:ascii="Times New Roman" w:hAnsi="Times New Roman"/>
          <w:sz w:val="28"/>
          <w:szCs w:val="28"/>
          <w:lang w:val="bg-BG"/>
        </w:rPr>
        <w:t xml:space="preserve"> на наследниците му закрилата срещу принудително изпълнение отпада. Видно от чл. 1, т. 2 от КСО, допълнителното пенсионно осигуряване предоставя закрила не само срещу риска „старост“, но и при риска „смърт“, което предполага защитата на средствата по индивидуалната партида да ползва не само осигурения, а и неговите наследници. Във връзка с това в чл. 129, ал. 10 и 11, чл. 234, ал. 11 и чл. 234б изрично се уточнява, че забраната за принудително изпълнение важи до отпускане на съответното плащане на осигуреното лице, осигуреното по ПЕПП лице, пенсионера, </w:t>
      </w:r>
      <w:proofErr w:type="spellStart"/>
      <w:r w:rsidRPr="00450D6E">
        <w:rPr>
          <w:rFonts w:ascii="Times New Roman" w:hAnsi="Times New Roman"/>
          <w:sz w:val="28"/>
          <w:szCs w:val="28"/>
          <w:lang w:val="bg-BG"/>
        </w:rPr>
        <w:t>бенефициера</w:t>
      </w:r>
      <w:proofErr w:type="spellEnd"/>
      <w:r w:rsidRPr="00450D6E">
        <w:rPr>
          <w:rFonts w:ascii="Times New Roman" w:hAnsi="Times New Roman"/>
          <w:sz w:val="28"/>
          <w:szCs w:val="28"/>
          <w:lang w:val="bg-BG"/>
        </w:rPr>
        <w:t xml:space="preserve"> на ПЕПП или наследника и се разпростира и върху средствата, преведени в Държавния фонд за гарантиране устойчивостта на държавната пенсионна система. След настъпване на осигурителен случай е допустимо принудително </w:t>
      </w:r>
      <w:r w:rsidRPr="00450D6E">
        <w:rPr>
          <w:rFonts w:ascii="Times New Roman" w:hAnsi="Times New Roman"/>
          <w:sz w:val="28"/>
          <w:szCs w:val="28"/>
          <w:lang w:val="bg-BG"/>
        </w:rPr>
        <w:lastRenderedPageBreak/>
        <w:t xml:space="preserve">изпълнение върху отпуснатите плащания по общия ред на ГПК, в синхрон с подхода в държавното обществено осигуряване. </w:t>
      </w:r>
    </w:p>
    <w:p w14:paraId="557C6793" w14:textId="77777777" w:rsidR="002F7411" w:rsidRPr="00450D6E" w:rsidRDefault="002F7411" w:rsidP="00366F8B">
      <w:pPr>
        <w:spacing w:line="276" w:lineRule="auto"/>
        <w:ind w:firstLine="1134"/>
        <w:jc w:val="both"/>
        <w:textAlignment w:val="baseline"/>
        <w:rPr>
          <w:rFonts w:ascii="Times New Roman" w:hAnsi="Times New Roman"/>
          <w:b/>
          <w:iCs/>
          <w:color w:val="000000"/>
          <w:kern w:val="24"/>
          <w:sz w:val="28"/>
          <w:szCs w:val="28"/>
          <w:lang w:val="bg-BG"/>
        </w:rPr>
      </w:pPr>
    </w:p>
    <w:p w14:paraId="209E4786" w14:textId="77777777" w:rsidR="002F7411" w:rsidRPr="00450D6E" w:rsidRDefault="002F7411" w:rsidP="00366F8B">
      <w:pPr>
        <w:spacing w:line="276" w:lineRule="auto"/>
        <w:ind w:firstLine="1134"/>
        <w:jc w:val="both"/>
        <w:textAlignment w:val="baseline"/>
        <w:rPr>
          <w:rFonts w:ascii="Times New Roman" w:hAnsi="Times New Roman"/>
          <w:b/>
          <w:iCs/>
          <w:color w:val="000000"/>
          <w:kern w:val="24"/>
          <w:sz w:val="28"/>
          <w:szCs w:val="28"/>
          <w:lang w:val="bg-BG"/>
        </w:rPr>
      </w:pPr>
      <w:r w:rsidRPr="00450D6E">
        <w:rPr>
          <w:rFonts w:ascii="Times New Roman" w:hAnsi="Times New Roman"/>
          <w:b/>
          <w:iCs/>
          <w:color w:val="000000"/>
          <w:kern w:val="24"/>
          <w:sz w:val="28"/>
          <w:szCs w:val="28"/>
          <w:lang w:val="bg-BG"/>
        </w:rPr>
        <w:t>XI. Влизане в сила и преходна уредба</w:t>
      </w:r>
    </w:p>
    <w:p w14:paraId="732AA057" w14:textId="3064F347"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 xml:space="preserve">Предвижда се законопроектът да влезе в сила от 1 януари 2027 г. с оглед </w:t>
      </w:r>
      <w:r w:rsidR="00987AB2" w:rsidRPr="00450D6E">
        <w:rPr>
          <w:rFonts w:ascii="Times New Roman" w:hAnsi="Times New Roman"/>
          <w:iCs/>
          <w:color w:val="000000"/>
          <w:kern w:val="24"/>
          <w:sz w:val="28"/>
          <w:szCs w:val="28"/>
          <w:lang w:val="bg-BG"/>
        </w:rPr>
        <w:t xml:space="preserve">на </w:t>
      </w:r>
      <w:r w:rsidRPr="00450D6E">
        <w:rPr>
          <w:rFonts w:ascii="Times New Roman" w:hAnsi="Times New Roman"/>
          <w:iCs/>
          <w:color w:val="000000"/>
          <w:kern w:val="24"/>
          <w:sz w:val="28"/>
          <w:szCs w:val="28"/>
          <w:lang w:val="bg-BG"/>
        </w:rPr>
        <w:t xml:space="preserve">осигуряване на достатъчно време за развиване на подзаконовата нормативна уредба и привеждане в съответствие на дейността на пенсионноосигурителните дружества, както и с оглед </w:t>
      </w:r>
      <w:r w:rsidR="00987AB2" w:rsidRPr="00450D6E">
        <w:rPr>
          <w:rFonts w:ascii="Times New Roman" w:hAnsi="Times New Roman"/>
          <w:iCs/>
          <w:color w:val="000000"/>
          <w:kern w:val="24"/>
          <w:sz w:val="28"/>
          <w:szCs w:val="28"/>
          <w:lang w:val="bg-BG"/>
        </w:rPr>
        <w:t xml:space="preserve">на </w:t>
      </w:r>
      <w:r w:rsidRPr="00450D6E">
        <w:rPr>
          <w:rFonts w:ascii="Times New Roman" w:hAnsi="Times New Roman"/>
          <w:iCs/>
          <w:color w:val="000000"/>
          <w:kern w:val="24"/>
          <w:sz w:val="28"/>
          <w:szCs w:val="28"/>
          <w:lang w:val="bg-BG"/>
        </w:rPr>
        <w:t>избягване на усложнения при съставянето на годишните финансови отчети. За разпоредби, по отношение на които не се изисква предприемане на специални мерки за привеждане в съответствие, е заложено влизане в сила в общия срок от 3 дни след обнародване на закона.</w:t>
      </w:r>
    </w:p>
    <w:p w14:paraId="45562071" w14:textId="1DC6F0FF"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 xml:space="preserve">В </w:t>
      </w:r>
      <w:r w:rsidR="00987AB2" w:rsidRPr="00450D6E">
        <w:rPr>
          <w:rFonts w:ascii="Times New Roman" w:hAnsi="Times New Roman"/>
          <w:iCs/>
          <w:color w:val="000000"/>
          <w:kern w:val="24"/>
          <w:sz w:val="28"/>
          <w:szCs w:val="28"/>
          <w:lang w:val="bg-BG"/>
        </w:rPr>
        <w:t xml:space="preserve">Преходните </w:t>
      </w:r>
      <w:r w:rsidRPr="00450D6E">
        <w:rPr>
          <w:rFonts w:ascii="Times New Roman" w:hAnsi="Times New Roman"/>
          <w:iCs/>
          <w:color w:val="000000"/>
          <w:kern w:val="24"/>
          <w:sz w:val="28"/>
          <w:szCs w:val="28"/>
          <w:lang w:val="bg-BG"/>
        </w:rPr>
        <w:t xml:space="preserve">и заключителните разпоредби детайлно е уредено обезпечаването на прилагането на новата регламентация, </w:t>
      </w:r>
      <w:proofErr w:type="spellStart"/>
      <w:r w:rsidRPr="00450D6E">
        <w:rPr>
          <w:rFonts w:ascii="Times New Roman" w:hAnsi="Times New Roman"/>
          <w:iCs/>
          <w:color w:val="000000"/>
          <w:kern w:val="24"/>
          <w:sz w:val="28"/>
          <w:szCs w:val="28"/>
          <w:lang w:val="bg-BG"/>
        </w:rPr>
        <w:t>вкл</w:t>
      </w:r>
      <w:r w:rsidR="00987AB2" w:rsidRPr="00450D6E">
        <w:rPr>
          <w:rFonts w:ascii="Times New Roman" w:hAnsi="Times New Roman"/>
          <w:iCs/>
          <w:color w:val="000000"/>
          <w:kern w:val="24"/>
          <w:sz w:val="28"/>
          <w:szCs w:val="28"/>
          <w:lang w:val="bg-BG"/>
        </w:rPr>
        <w:t>ючитебно</w:t>
      </w:r>
      <w:proofErr w:type="spellEnd"/>
      <w:r w:rsidRPr="00450D6E">
        <w:rPr>
          <w:rFonts w:ascii="Times New Roman" w:hAnsi="Times New Roman"/>
          <w:iCs/>
          <w:color w:val="000000"/>
          <w:kern w:val="24"/>
          <w:sz w:val="28"/>
          <w:szCs w:val="28"/>
          <w:lang w:val="bg-BG"/>
        </w:rPr>
        <w:t xml:space="preserve"> от гл</w:t>
      </w:r>
      <w:r w:rsidR="00987AB2" w:rsidRPr="00450D6E">
        <w:rPr>
          <w:rFonts w:ascii="Times New Roman" w:hAnsi="Times New Roman"/>
          <w:iCs/>
          <w:color w:val="000000"/>
          <w:kern w:val="24"/>
          <w:sz w:val="28"/>
          <w:szCs w:val="28"/>
          <w:lang w:val="bg-BG"/>
        </w:rPr>
        <w:t xml:space="preserve">една </w:t>
      </w:r>
      <w:r w:rsidRPr="00450D6E">
        <w:rPr>
          <w:rFonts w:ascii="Times New Roman" w:hAnsi="Times New Roman"/>
          <w:iCs/>
          <w:color w:val="000000"/>
          <w:kern w:val="24"/>
          <w:sz w:val="28"/>
          <w:szCs w:val="28"/>
          <w:lang w:val="bg-BG"/>
        </w:rPr>
        <w:t>т</w:t>
      </w:r>
      <w:r w:rsidR="00987AB2" w:rsidRPr="00450D6E">
        <w:rPr>
          <w:rFonts w:ascii="Times New Roman" w:hAnsi="Times New Roman"/>
          <w:iCs/>
          <w:color w:val="000000"/>
          <w:kern w:val="24"/>
          <w:sz w:val="28"/>
          <w:szCs w:val="28"/>
          <w:lang w:val="bg-BG"/>
        </w:rPr>
        <w:t>очка</w:t>
      </w:r>
      <w:r w:rsidRPr="00450D6E">
        <w:rPr>
          <w:rFonts w:ascii="Times New Roman" w:hAnsi="Times New Roman"/>
          <w:iCs/>
          <w:color w:val="000000"/>
          <w:kern w:val="24"/>
          <w:sz w:val="28"/>
          <w:szCs w:val="28"/>
          <w:lang w:val="bg-BG"/>
        </w:rPr>
        <w:t xml:space="preserve"> приемането</w:t>
      </w:r>
      <w:r w:rsidRPr="00450D6E">
        <w:rPr>
          <w:rFonts w:ascii="Times New Roman" w:hAnsi="Times New Roman"/>
          <w:iCs/>
          <w:color w:val="000000"/>
          <w:kern w:val="24"/>
          <w:sz w:val="28"/>
          <w:szCs w:val="28"/>
          <w:lang w:val="en-US"/>
        </w:rPr>
        <w:t xml:space="preserve"> </w:t>
      </w:r>
      <w:r w:rsidRPr="00450D6E">
        <w:rPr>
          <w:rFonts w:ascii="Times New Roman" w:hAnsi="Times New Roman"/>
          <w:iCs/>
          <w:color w:val="000000"/>
          <w:kern w:val="24"/>
          <w:sz w:val="28"/>
          <w:szCs w:val="28"/>
          <w:lang w:val="bg-BG"/>
        </w:rPr>
        <w:t xml:space="preserve">на подзаконовата нормативна уредба, обмена на необходимата информация, привеждането в съответствие на пенсионноосигурителните дружества, извършването на служебно разпределение на лицата, които не са избрали </w:t>
      </w:r>
      <w:proofErr w:type="spellStart"/>
      <w:r w:rsidRPr="00450D6E">
        <w:rPr>
          <w:rFonts w:ascii="Times New Roman" w:hAnsi="Times New Roman"/>
          <w:iCs/>
          <w:color w:val="000000"/>
          <w:kern w:val="24"/>
          <w:sz w:val="28"/>
          <w:szCs w:val="28"/>
          <w:lang w:val="bg-BG"/>
        </w:rPr>
        <w:t>подфонд</w:t>
      </w:r>
      <w:proofErr w:type="spellEnd"/>
      <w:r w:rsidRPr="00450D6E">
        <w:rPr>
          <w:rFonts w:ascii="Times New Roman" w:hAnsi="Times New Roman"/>
          <w:iCs/>
          <w:color w:val="000000"/>
          <w:kern w:val="24"/>
          <w:sz w:val="28"/>
          <w:szCs w:val="28"/>
          <w:lang w:val="bg-BG"/>
        </w:rPr>
        <w:t xml:space="preserve"> в УПФ, запазване на правата на лицата по вече сключените пенсионни договори и др. Предвидена е специална защитна норма за лицата на възраст между 45 и 49 г., разпределени в динамичен </w:t>
      </w:r>
      <w:proofErr w:type="spellStart"/>
      <w:r w:rsidRPr="00450D6E">
        <w:rPr>
          <w:rFonts w:ascii="Times New Roman" w:hAnsi="Times New Roman"/>
          <w:iCs/>
          <w:color w:val="000000"/>
          <w:kern w:val="24"/>
          <w:sz w:val="28"/>
          <w:szCs w:val="28"/>
          <w:lang w:val="bg-BG"/>
        </w:rPr>
        <w:t>подфонд</w:t>
      </w:r>
      <w:proofErr w:type="spellEnd"/>
      <w:r w:rsidRPr="00450D6E">
        <w:rPr>
          <w:rFonts w:ascii="Times New Roman" w:hAnsi="Times New Roman"/>
          <w:iCs/>
          <w:color w:val="000000"/>
          <w:kern w:val="24"/>
          <w:sz w:val="28"/>
          <w:szCs w:val="28"/>
          <w:lang w:val="bg-BG"/>
        </w:rPr>
        <w:t xml:space="preserve"> на универсален пенсионен фонд, като се предвижда да участват в него поне 5 години (освен ако изрично изберат друг </w:t>
      </w:r>
      <w:proofErr w:type="spellStart"/>
      <w:r w:rsidRPr="00450D6E">
        <w:rPr>
          <w:rFonts w:ascii="Times New Roman" w:hAnsi="Times New Roman"/>
          <w:iCs/>
          <w:color w:val="000000"/>
          <w:kern w:val="24"/>
          <w:sz w:val="28"/>
          <w:szCs w:val="28"/>
          <w:lang w:val="bg-BG"/>
        </w:rPr>
        <w:t>подфонд</w:t>
      </w:r>
      <w:proofErr w:type="spellEnd"/>
      <w:r w:rsidRPr="00450D6E">
        <w:rPr>
          <w:rFonts w:ascii="Times New Roman" w:hAnsi="Times New Roman"/>
          <w:iCs/>
          <w:color w:val="000000"/>
          <w:kern w:val="24"/>
          <w:sz w:val="28"/>
          <w:szCs w:val="28"/>
          <w:lang w:val="bg-BG"/>
        </w:rPr>
        <w:t xml:space="preserve">). По този начин се намалява рискът от реализиране на загуби за тези осигурени лица вследствие волатилността на инвестициите на динамичния </w:t>
      </w:r>
      <w:proofErr w:type="spellStart"/>
      <w:r w:rsidRPr="00450D6E">
        <w:rPr>
          <w:rFonts w:ascii="Times New Roman" w:hAnsi="Times New Roman"/>
          <w:iCs/>
          <w:color w:val="000000"/>
          <w:kern w:val="24"/>
          <w:sz w:val="28"/>
          <w:szCs w:val="28"/>
          <w:lang w:val="bg-BG"/>
        </w:rPr>
        <w:t>подфонд</w:t>
      </w:r>
      <w:proofErr w:type="spellEnd"/>
      <w:r w:rsidRPr="00450D6E">
        <w:rPr>
          <w:rFonts w:ascii="Times New Roman" w:hAnsi="Times New Roman"/>
          <w:iCs/>
          <w:color w:val="000000"/>
          <w:kern w:val="24"/>
          <w:sz w:val="28"/>
          <w:szCs w:val="28"/>
          <w:lang w:val="bg-BG"/>
        </w:rPr>
        <w:t xml:space="preserve"> за кратък период преди преминаването им в друг </w:t>
      </w:r>
      <w:proofErr w:type="spellStart"/>
      <w:r w:rsidRPr="00450D6E">
        <w:rPr>
          <w:rFonts w:ascii="Times New Roman" w:hAnsi="Times New Roman"/>
          <w:iCs/>
          <w:color w:val="000000"/>
          <w:kern w:val="24"/>
          <w:sz w:val="28"/>
          <w:szCs w:val="28"/>
          <w:lang w:val="bg-BG"/>
        </w:rPr>
        <w:t>подфонд</w:t>
      </w:r>
      <w:proofErr w:type="spellEnd"/>
      <w:r w:rsidRPr="00450D6E">
        <w:rPr>
          <w:rFonts w:ascii="Times New Roman" w:hAnsi="Times New Roman"/>
          <w:iCs/>
          <w:color w:val="000000"/>
          <w:kern w:val="24"/>
          <w:sz w:val="28"/>
          <w:szCs w:val="28"/>
          <w:lang w:val="bg-BG"/>
        </w:rPr>
        <w:t xml:space="preserve">. </w:t>
      </w:r>
    </w:p>
    <w:p w14:paraId="14276C31" w14:textId="77777777"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С тези разпоредби се осигурява плавен преход към прилагането на новата уредба.</w:t>
      </w:r>
    </w:p>
    <w:p w14:paraId="476E3ECF" w14:textId="77777777"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p>
    <w:p w14:paraId="6B6C6F14" w14:textId="77777777" w:rsidR="002F7411" w:rsidRPr="00450D6E" w:rsidRDefault="002F7411" w:rsidP="00366F8B">
      <w:pPr>
        <w:spacing w:line="276" w:lineRule="auto"/>
        <w:ind w:firstLine="1134"/>
        <w:jc w:val="both"/>
        <w:textAlignment w:val="baseline"/>
        <w:rPr>
          <w:rFonts w:ascii="Times New Roman" w:hAnsi="Times New Roman"/>
          <w:b/>
          <w:sz w:val="28"/>
          <w:szCs w:val="28"/>
          <w:u w:val="single"/>
          <w:lang w:val="bg-BG"/>
        </w:rPr>
      </w:pPr>
      <w:r w:rsidRPr="00450D6E">
        <w:rPr>
          <w:rFonts w:ascii="Times New Roman" w:hAnsi="Times New Roman"/>
          <w:b/>
          <w:sz w:val="28"/>
          <w:szCs w:val="28"/>
          <w:u w:val="single"/>
          <w:lang w:val="bg-BG"/>
        </w:rPr>
        <w:t xml:space="preserve">Очаквани резултати от прилагането </w:t>
      </w:r>
    </w:p>
    <w:p w14:paraId="39EE30FA" w14:textId="77777777" w:rsidR="002F7411" w:rsidRPr="00450D6E" w:rsidRDefault="002F7411"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sz w:val="28"/>
          <w:szCs w:val="28"/>
          <w:lang w:val="bg-BG"/>
        </w:rPr>
        <w:t xml:space="preserve">В резултат от приемането на законопроекта пенсионноосигурителните дружества ще могат да предлагат </w:t>
      </w:r>
      <w:proofErr w:type="spellStart"/>
      <w:r w:rsidRPr="00450D6E">
        <w:rPr>
          <w:rFonts w:ascii="Times New Roman" w:hAnsi="Times New Roman"/>
          <w:sz w:val="28"/>
          <w:szCs w:val="28"/>
          <w:lang w:val="bg-BG"/>
        </w:rPr>
        <w:t>подфондове</w:t>
      </w:r>
      <w:proofErr w:type="spellEnd"/>
      <w:r w:rsidRPr="00450D6E">
        <w:rPr>
          <w:rFonts w:ascii="Times New Roman" w:hAnsi="Times New Roman"/>
          <w:sz w:val="28"/>
          <w:szCs w:val="28"/>
          <w:lang w:val="bg-BG"/>
        </w:rPr>
        <w:t xml:space="preserve"> с различен инвестиционен профил, което ще позволи отчитане на индивидуалните предпочитания и толерантност към риска на осигурените лица в съответствие с жизнения им цикъл. Промените в изискванията към инвестициите и тяхното управление и съпоставката на инвестиционните </w:t>
      </w:r>
      <w:r w:rsidRPr="00450D6E">
        <w:rPr>
          <w:rFonts w:ascii="Times New Roman" w:hAnsi="Times New Roman"/>
          <w:sz w:val="28"/>
          <w:szCs w:val="28"/>
          <w:lang w:val="bg-BG"/>
        </w:rPr>
        <w:lastRenderedPageBreak/>
        <w:t>резултати при служебното разпределение ще създадат предпоставки за постигане на по-добра доходност. Подобряването на доходността и намаляването на събираните такси и удръжки ще доведат до увеличаване на средствата на осигурените лица. Ще бъде подобрено покритието на рисковете във фазата на изплащане посредством изплащането на пенсиите при осигуряване в ППФ и ДПФ от предвидените фондове за извършване на плащания и посредством предлагането на нови пенсионни продукти. Дейността по допълнително пенсионно осигуряване ще бъде обезпечена по-добре капиталово.</w:t>
      </w:r>
    </w:p>
    <w:p w14:paraId="01D9B114" w14:textId="77777777" w:rsidR="002F7411" w:rsidRPr="00450D6E" w:rsidRDefault="002F7411" w:rsidP="00366F8B">
      <w:pPr>
        <w:spacing w:line="276" w:lineRule="auto"/>
        <w:ind w:firstLine="1134"/>
        <w:jc w:val="both"/>
        <w:textAlignment w:val="baseline"/>
        <w:rPr>
          <w:rFonts w:ascii="Times New Roman" w:hAnsi="Times New Roman"/>
          <w:b/>
          <w:sz w:val="28"/>
          <w:szCs w:val="28"/>
          <w:lang w:val="bg-BG"/>
        </w:rPr>
      </w:pPr>
    </w:p>
    <w:p w14:paraId="176AFFF8" w14:textId="77777777" w:rsidR="002F7411" w:rsidRPr="00022D69" w:rsidRDefault="002F7411" w:rsidP="00366F8B">
      <w:pPr>
        <w:spacing w:line="276" w:lineRule="auto"/>
        <w:ind w:firstLine="1134"/>
        <w:jc w:val="both"/>
        <w:textAlignment w:val="baseline"/>
        <w:rPr>
          <w:rFonts w:ascii="Times New Roman" w:hAnsi="Times New Roman"/>
          <w:b/>
          <w:sz w:val="28"/>
          <w:szCs w:val="28"/>
          <w:lang w:val="bg-BG"/>
        </w:rPr>
      </w:pPr>
      <w:r w:rsidRPr="00022D69">
        <w:rPr>
          <w:rFonts w:ascii="Times New Roman" w:hAnsi="Times New Roman"/>
          <w:b/>
          <w:sz w:val="28"/>
          <w:szCs w:val="28"/>
          <w:lang w:val="bg-BG"/>
        </w:rPr>
        <w:t>Анализ на разходите на лицата, упражняващи стопанска дейност, възможностите за упражняване на ефективен административен контрол и въздействието върху бюджета</w:t>
      </w:r>
    </w:p>
    <w:p w14:paraId="7EEA8D4E" w14:textId="3DF4D8DD" w:rsidR="002F7411" w:rsidRPr="00450D6E" w:rsidRDefault="002F7411"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sz w:val="28"/>
          <w:szCs w:val="28"/>
          <w:lang w:val="bg-BG"/>
        </w:rPr>
        <w:t>Законопроектът е свързан с допълнителни разходи за пенсионноосигурителните дружества във връзка с развиване на тяхната дейност</w:t>
      </w:r>
      <w:r w:rsidR="00022D69">
        <w:rPr>
          <w:rFonts w:ascii="Times New Roman" w:hAnsi="Times New Roman"/>
          <w:sz w:val="28"/>
          <w:szCs w:val="28"/>
          <w:lang w:val="bg-BG"/>
        </w:rPr>
        <w:t>,</w:t>
      </w:r>
      <w:r w:rsidRPr="00450D6E">
        <w:rPr>
          <w:rFonts w:ascii="Times New Roman" w:hAnsi="Times New Roman"/>
          <w:sz w:val="28"/>
          <w:szCs w:val="28"/>
          <w:lang w:val="bg-BG"/>
        </w:rPr>
        <w:t xml:space="preserve"> като укрепване на кадровата обезпеченост, обучения на служители и посредници, адаптиране на информационни системи, разработване на документи и др., които неминуемо произтичат от създадените нови продукти и възможности за осъществяване на дейност. Същевременно проектът на Закон за изменение и допълнение на Кодекса за социално осигуряване се стреми да постигне своите цели по икономичен, ефективен и пропорционален начин (напр</w:t>
      </w:r>
      <w:r w:rsidR="00CB7EFE" w:rsidRPr="00450D6E">
        <w:rPr>
          <w:rFonts w:ascii="Times New Roman" w:hAnsi="Times New Roman"/>
          <w:sz w:val="28"/>
          <w:szCs w:val="28"/>
          <w:lang w:val="bg-BG"/>
        </w:rPr>
        <w:t>имер</w:t>
      </w:r>
      <w:r w:rsidRPr="00450D6E">
        <w:rPr>
          <w:rFonts w:ascii="Times New Roman" w:hAnsi="Times New Roman"/>
          <w:sz w:val="28"/>
          <w:szCs w:val="28"/>
          <w:lang w:val="bg-BG"/>
        </w:rPr>
        <w:t xml:space="preserve"> посредством създаване на </w:t>
      </w:r>
      <w:proofErr w:type="spellStart"/>
      <w:r w:rsidRPr="00450D6E">
        <w:rPr>
          <w:rFonts w:ascii="Times New Roman" w:hAnsi="Times New Roman"/>
          <w:sz w:val="28"/>
          <w:szCs w:val="28"/>
          <w:lang w:val="bg-BG"/>
        </w:rPr>
        <w:t>подфондове</w:t>
      </w:r>
      <w:proofErr w:type="spellEnd"/>
      <w:r w:rsidRPr="00450D6E">
        <w:rPr>
          <w:rFonts w:ascii="Times New Roman" w:hAnsi="Times New Roman"/>
          <w:sz w:val="28"/>
          <w:szCs w:val="28"/>
          <w:lang w:val="bg-BG"/>
        </w:rPr>
        <w:t xml:space="preserve"> в съществуващите пенсионни фондове, вместо отделни юридически лица, използване на съществуващите фондове за извършване на плащания, формулиране на изисквания в съответствие с естеството, сложността и мащаба на дейността на дружествата и др.).</w:t>
      </w:r>
    </w:p>
    <w:p w14:paraId="073BF3BB" w14:textId="4B7FDCE3" w:rsidR="002F7411" w:rsidRPr="00450D6E" w:rsidRDefault="002F7411" w:rsidP="00366F8B">
      <w:pPr>
        <w:spacing w:line="276" w:lineRule="auto"/>
        <w:ind w:firstLine="1134"/>
        <w:jc w:val="both"/>
        <w:textAlignment w:val="baseline"/>
        <w:rPr>
          <w:rFonts w:ascii="Times New Roman" w:hAnsi="Times New Roman"/>
          <w:sz w:val="28"/>
          <w:szCs w:val="28"/>
          <w:lang w:val="bg-BG"/>
        </w:rPr>
      </w:pPr>
      <w:r w:rsidRPr="00450D6E">
        <w:rPr>
          <w:rFonts w:ascii="Times New Roman" w:hAnsi="Times New Roman"/>
          <w:sz w:val="28"/>
          <w:szCs w:val="28"/>
          <w:lang w:val="bg-BG" w:eastAsia="bg-BG"/>
        </w:rPr>
        <w:t>Спазването на нормативните изисквания ще се контролира в рамките на системата за осъществяване на надзор над дейността по допълнително пенсионно осигуряване, като ще е необходимо укрепване на кадровата обезпеченост на управление "Осигурителен надзор" и адаптиране на информационната система с цел обезпечаване на надзорните функции на административния орган и развиване</w:t>
      </w:r>
      <w:r w:rsidR="00CB7EFE" w:rsidRPr="00450D6E">
        <w:rPr>
          <w:rFonts w:ascii="Times New Roman" w:hAnsi="Times New Roman"/>
          <w:sz w:val="28"/>
          <w:szCs w:val="28"/>
          <w:lang w:val="bg-BG" w:eastAsia="bg-BG"/>
        </w:rPr>
        <w:t xml:space="preserve"> на</w:t>
      </w:r>
      <w:r w:rsidRPr="00450D6E">
        <w:rPr>
          <w:rFonts w:ascii="Times New Roman" w:hAnsi="Times New Roman"/>
          <w:sz w:val="28"/>
          <w:szCs w:val="28"/>
          <w:lang w:val="bg-BG" w:eastAsia="bg-BG"/>
        </w:rPr>
        <w:t xml:space="preserve"> електронното обслужване на бизнеса и гражданите.</w:t>
      </w:r>
    </w:p>
    <w:p w14:paraId="2202134B" w14:textId="77777777"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Предложеният проект на Закон за изменение и допълнение на Кодекса за социално осигуряване не се очаква да доведе до пряко и/или косвено въздействие върху държавния бюджет на Република България.</w:t>
      </w:r>
    </w:p>
    <w:p w14:paraId="44AAED3A" w14:textId="77777777" w:rsidR="002F7411" w:rsidRPr="00450D6E" w:rsidRDefault="002F7411" w:rsidP="00366F8B">
      <w:pPr>
        <w:autoSpaceDE w:val="0"/>
        <w:autoSpaceDN w:val="0"/>
        <w:adjustRightInd w:val="0"/>
        <w:ind w:firstLine="1134"/>
        <w:rPr>
          <w:rFonts w:ascii="Times New Roman" w:eastAsia="Calibri" w:hAnsi="Times New Roman"/>
          <w:color w:val="000000"/>
          <w:sz w:val="28"/>
          <w:szCs w:val="28"/>
          <w:lang w:val="bg-BG"/>
        </w:rPr>
      </w:pPr>
    </w:p>
    <w:p w14:paraId="6C5BA0C3" w14:textId="77777777" w:rsidR="002F7411" w:rsidRPr="00022D69" w:rsidRDefault="002F7411" w:rsidP="00366F8B">
      <w:pPr>
        <w:autoSpaceDE w:val="0"/>
        <w:autoSpaceDN w:val="0"/>
        <w:adjustRightInd w:val="0"/>
        <w:ind w:firstLine="1134"/>
        <w:rPr>
          <w:rFonts w:ascii="Times New Roman" w:eastAsia="Calibri" w:hAnsi="Times New Roman"/>
          <w:b/>
          <w:color w:val="000000"/>
          <w:sz w:val="28"/>
          <w:szCs w:val="28"/>
          <w:lang w:val="bg-BG"/>
        </w:rPr>
      </w:pPr>
      <w:r w:rsidRPr="00022D69">
        <w:rPr>
          <w:rFonts w:ascii="Times New Roman" w:eastAsia="Calibri" w:hAnsi="Times New Roman"/>
          <w:b/>
          <w:color w:val="000000"/>
          <w:sz w:val="28"/>
          <w:szCs w:val="28"/>
          <w:lang w:val="bg-BG"/>
        </w:rPr>
        <w:t xml:space="preserve">Анализ за съответствие с правото на Европейския съюз </w:t>
      </w:r>
    </w:p>
    <w:p w14:paraId="123338C0" w14:textId="77777777"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r w:rsidRPr="00450D6E">
        <w:rPr>
          <w:rFonts w:ascii="Times New Roman" w:hAnsi="Times New Roman"/>
          <w:iCs/>
          <w:color w:val="000000"/>
          <w:kern w:val="24"/>
          <w:sz w:val="28"/>
          <w:szCs w:val="28"/>
          <w:lang w:val="bg-BG"/>
        </w:rPr>
        <w:t>Законопроектът не съдържа разпоредби, транспониращи актове на Европейския съюз.</w:t>
      </w:r>
    </w:p>
    <w:p w14:paraId="5214E468" w14:textId="77777777" w:rsidR="002F7411" w:rsidRPr="00450D6E" w:rsidRDefault="002F7411" w:rsidP="00366F8B">
      <w:pPr>
        <w:spacing w:line="276" w:lineRule="auto"/>
        <w:ind w:firstLine="1134"/>
        <w:jc w:val="both"/>
        <w:textAlignment w:val="baseline"/>
        <w:rPr>
          <w:rFonts w:ascii="Times New Roman" w:hAnsi="Times New Roman"/>
          <w:iCs/>
          <w:color w:val="000000"/>
          <w:kern w:val="24"/>
          <w:sz w:val="28"/>
          <w:szCs w:val="28"/>
          <w:lang w:val="bg-BG"/>
        </w:rPr>
      </w:pPr>
    </w:p>
    <w:p w14:paraId="068B4EA3" w14:textId="77777777" w:rsidR="002F7411" w:rsidRPr="00022D69" w:rsidRDefault="002F7411" w:rsidP="00366F8B">
      <w:pPr>
        <w:spacing w:line="276" w:lineRule="auto"/>
        <w:ind w:firstLine="1134"/>
        <w:jc w:val="both"/>
        <w:textAlignment w:val="baseline"/>
        <w:rPr>
          <w:rFonts w:ascii="Times New Roman" w:hAnsi="Times New Roman"/>
          <w:b/>
          <w:iCs/>
          <w:color w:val="000000"/>
          <w:kern w:val="24"/>
          <w:sz w:val="28"/>
          <w:szCs w:val="28"/>
          <w:lang w:val="bg-BG"/>
        </w:rPr>
      </w:pPr>
      <w:r w:rsidRPr="00022D69">
        <w:rPr>
          <w:rFonts w:ascii="Times New Roman" w:hAnsi="Times New Roman"/>
          <w:b/>
          <w:iCs/>
          <w:color w:val="000000"/>
          <w:kern w:val="24"/>
          <w:sz w:val="28"/>
          <w:szCs w:val="28"/>
          <w:lang w:val="bg-BG"/>
        </w:rPr>
        <w:t>Информация за проведени обществени консултации</w:t>
      </w:r>
    </w:p>
    <w:p w14:paraId="2954896D" w14:textId="0720189E" w:rsidR="002F7411" w:rsidRPr="00450D6E" w:rsidRDefault="002F7411" w:rsidP="00366F8B">
      <w:pPr>
        <w:spacing w:line="276" w:lineRule="auto"/>
        <w:ind w:firstLine="1134"/>
        <w:jc w:val="both"/>
        <w:textAlignment w:val="baseline"/>
        <w:rPr>
          <w:rFonts w:ascii="Times New Roman" w:hAnsi="Times New Roman"/>
          <w:iCs/>
          <w:color w:val="000000"/>
          <w:kern w:val="24"/>
          <w:szCs w:val="24"/>
          <w:lang w:val="bg-BG"/>
        </w:rPr>
      </w:pPr>
      <w:r w:rsidRPr="00450D6E">
        <w:rPr>
          <w:rFonts w:ascii="Times New Roman" w:hAnsi="Times New Roman"/>
          <w:iCs/>
          <w:color w:val="000000"/>
          <w:kern w:val="24"/>
          <w:sz w:val="28"/>
          <w:szCs w:val="28"/>
          <w:lang w:val="bg-BG"/>
        </w:rPr>
        <w:t xml:space="preserve">По </w:t>
      </w:r>
      <w:r w:rsidR="00022D69" w:rsidRPr="00450D6E">
        <w:rPr>
          <w:rFonts w:ascii="Times New Roman" w:hAnsi="Times New Roman"/>
          <w:iCs/>
          <w:color w:val="000000"/>
          <w:kern w:val="24"/>
          <w:sz w:val="28"/>
          <w:szCs w:val="28"/>
          <w:lang w:val="bg-BG"/>
        </w:rPr>
        <w:t>З</w:t>
      </w:r>
      <w:r w:rsidRPr="00450D6E">
        <w:rPr>
          <w:rFonts w:ascii="Times New Roman" w:hAnsi="Times New Roman"/>
          <w:iCs/>
          <w:color w:val="000000"/>
          <w:kern w:val="24"/>
          <w:sz w:val="28"/>
          <w:szCs w:val="28"/>
          <w:lang w:val="bg-BG"/>
        </w:rPr>
        <w:t xml:space="preserve">аконопроекта за изменение и допълнение на Кодекса за социално осигуряване са проведени обществени консултации съгласно </w:t>
      </w:r>
      <w:r w:rsidR="00CB7EFE" w:rsidRPr="00450D6E">
        <w:rPr>
          <w:rFonts w:ascii="Times New Roman" w:hAnsi="Times New Roman"/>
          <w:iCs/>
          <w:color w:val="000000"/>
          <w:kern w:val="24"/>
          <w:sz w:val="28"/>
          <w:szCs w:val="28"/>
          <w:lang w:val="bg-BG"/>
        </w:rPr>
        <w:br/>
      </w:r>
      <w:r w:rsidRPr="00450D6E">
        <w:rPr>
          <w:rFonts w:ascii="Times New Roman" w:hAnsi="Times New Roman"/>
          <w:iCs/>
          <w:color w:val="000000"/>
          <w:kern w:val="24"/>
          <w:sz w:val="28"/>
          <w:szCs w:val="28"/>
          <w:lang w:val="bg-BG"/>
        </w:rPr>
        <w:t>чл. 26, ал. 3 от Закона за нормативните актове, като законопроектът и мотивите към него, частичната предварителна оценка на въздействието и становището на дирекция „Модернизация на администрацията“ в администрацията на Министерския съвет по частичната предварителна оценка на въздействието са публикувани на интернет страницата на Министерството на финансите и на Портала за обществени консултации.</w:t>
      </w:r>
      <w:r w:rsidRPr="00450D6E">
        <w:rPr>
          <w:rFonts w:ascii="Times New Roman" w:hAnsi="Times New Roman"/>
          <w:iCs/>
          <w:color w:val="000000"/>
          <w:kern w:val="24"/>
          <w:szCs w:val="24"/>
          <w:lang w:val="bg-BG"/>
        </w:rPr>
        <w:t xml:space="preserve"> </w:t>
      </w:r>
    </w:p>
    <w:p w14:paraId="246C965D"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56CF9E80" w14:textId="77777777" w:rsidR="00CC3471" w:rsidRDefault="00CC3471"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4D1399C" w14:textId="77777777" w:rsidR="00AD087A" w:rsidRPr="00FA121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99C0EFC" w14:textId="38A461D5" w:rsidR="00AD087A" w:rsidRPr="009E4806" w:rsidRDefault="00AD087A" w:rsidP="004B4A70">
      <w:pPr>
        <w:tabs>
          <w:tab w:val="left" w:pos="1790"/>
        </w:tabs>
        <w:ind w:left="1134"/>
        <w:rPr>
          <w:rFonts w:ascii="Times New Roman" w:hAnsi="Times New Roman"/>
          <w:b/>
          <w:sz w:val="28"/>
          <w:szCs w:val="28"/>
        </w:rPr>
      </w:pPr>
      <w:bookmarkStart w:id="0" w:name="_Hlk92799938"/>
      <w:r w:rsidRPr="009E4806">
        <w:rPr>
          <w:rFonts w:ascii="Times New Roman" w:hAnsi="Times New Roman"/>
          <w:b/>
          <w:sz w:val="28"/>
          <w:szCs w:val="28"/>
        </w:rPr>
        <w:t>МИНИСТЪР-ПРЕДСЕДАТЕЛ:</w:t>
      </w:r>
    </w:p>
    <w:bookmarkEnd w:id="0"/>
    <w:p w14:paraId="12F79006" w14:textId="2449CC73" w:rsidR="00AD087A" w:rsidRDefault="00EC759A" w:rsidP="004B4A70">
      <w:pPr>
        <w:tabs>
          <w:tab w:val="left" w:pos="1790"/>
        </w:tabs>
        <w:jc w:val="right"/>
        <w:rPr>
          <w:sz w:val="26"/>
          <w:szCs w:val="26"/>
        </w:rPr>
      </w:pPr>
      <w:r>
        <w:rPr>
          <w:sz w:val="26"/>
          <w:szCs w:val="26"/>
        </w:rPr>
        <w:pict w14:anchorId="187D9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1.5pt;height:96.5pt">
            <v:imagedata r:id="rId7" o:title=""/>
            <o:lock v:ext="edit" ungrouping="t" rotation="t" cropping="t" verticies="t" text="t" grouping="t"/>
            <o:signatureline v:ext="edit" id="{EF61EB5B-2924-41CC-BA61-E24F7AA35ED2}" provid="{00000000-0000-0000-0000-000000000000}" issignatureline="t"/>
          </v:shape>
        </w:pict>
      </w:r>
    </w:p>
    <w:sectPr w:rsidR="00AD087A"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72417" w14:textId="77777777" w:rsidR="00A57F4C" w:rsidRDefault="00A57F4C">
      <w:r>
        <w:separator/>
      </w:r>
    </w:p>
  </w:endnote>
  <w:endnote w:type="continuationSeparator" w:id="0">
    <w:p w14:paraId="4D25743C" w14:textId="77777777" w:rsidR="00A57F4C" w:rsidRDefault="00A5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F409" w14:textId="3C8254E9" w:rsidR="00AD087A" w:rsidRPr="0052153C" w:rsidRDefault="00EC759A"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FB2BCB" w:rsidRPr="00FB2BCB">
      <w:rPr>
        <w:rFonts w:ascii="Times New Roman" w:hAnsi="Times New Roman" w:hint="eastAsia"/>
        <w:i/>
        <w:caps/>
        <w:noProof/>
        <w:sz w:val="16"/>
        <w:szCs w:val="16"/>
        <w:lang w:val="ru-RU"/>
      </w:rPr>
      <w:t>МОТИВИ</w:t>
    </w:r>
    <w:r w:rsidR="00FB2BCB" w:rsidRPr="00FB2BCB">
      <w:rPr>
        <w:rFonts w:ascii="Times New Roman" w:hAnsi="Times New Roman"/>
        <w:i/>
        <w:caps/>
        <w:noProof/>
        <w:sz w:val="16"/>
        <w:szCs w:val="16"/>
        <w:lang w:val="ru-RU"/>
      </w:rPr>
      <w:t>-</w:t>
    </w:r>
    <w:r w:rsidR="00FB2BCB" w:rsidRPr="00FB2BCB">
      <w:rPr>
        <w:rFonts w:ascii="Times New Roman" w:hAnsi="Times New Roman" w:hint="eastAsia"/>
        <w:i/>
        <w:caps/>
        <w:noProof/>
        <w:sz w:val="16"/>
        <w:szCs w:val="16"/>
        <w:lang w:val="ru-RU"/>
      </w:rPr>
      <w:t>ЗИД</w:t>
    </w:r>
    <w:r w:rsidR="00FB2BCB" w:rsidRPr="00FB2BCB">
      <w:rPr>
        <w:rFonts w:ascii="Times New Roman" w:hAnsi="Times New Roman"/>
        <w:i/>
        <w:caps/>
        <w:noProof/>
        <w:sz w:val="16"/>
        <w:szCs w:val="16"/>
        <w:lang w:val="ru-RU"/>
      </w:rPr>
      <w:t>_</w:t>
    </w:r>
    <w:r w:rsidR="00FB2BCB" w:rsidRPr="00FB2BCB">
      <w:rPr>
        <w:rFonts w:ascii="Times New Roman" w:hAnsi="Times New Roman" w:hint="eastAsia"/>
        <w:i/>
        <w:caps/>
        <w:noProof/>
        <w:sz w:val="16"/>
        <w:szCs w:val="16"/>
        <w:lang w:val="ru-RU"/>
      </w:rPr>
      <w:t>КСО</w:t>
    </w:r>
    <w:r w:rsidR="00FB2BCB" w:rsidRPr="00FB2BCB">
      <w:rPr>
        <w:rFonts w:ascii="Times New Roman" w:hAnsi="Times New Roman"/>
        <w:i/>
        <w:caps/>
        <w:noProof/>
        <w:sz w:val="16"/>
        <w:szCs w:val="16"/>
        <w:lang w:val="ru-RU"/>
      </w:rPr>
      <w:t>.docx</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6B94" w14:textId="4C2C87CC" w:rsidR="00AD087A" w:rsidRPr="0052153C" w:rsidRDefault="00EC759A"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FB2BCB" w:rsidRPr="00FB2BCB">
      <w:rPr>
        <w:rFonts w:ascii="Times New Roman" w:hAnsi="Times New Roman" w:hint="eastAsia"/>
        <w:i/>
        <w:caps/>
        <w:noProof/>
        <w:sz w:val="16"/>
        <w:szCs w:val="16"/>
        <w:lang w:val="ru-RU"/>
      </w:rPr>
      <w:t>МОТИВИ</w:t>
    </w:r>
    <w:r w:rsidR="00FB2BCB" w:rsidRPr="00FB2BCB">
      <w:rPr>
        <w:rFonts w:ascii="Times New Roman" w:hAnsi="Times New Roman"/>
        <w:i/>
        <w:caps/>
        <w:noProof/>
        <w:sz w:val="16"/>
        <w:szCs w:val="16"/>
        <w:lang w:val="ru-RU"/>
      </w:rPr>
      <w:t>-</w:t>
    </w:r>
    <w:r w:rsidR="00FB2BCB" w:rsidRPr="00FB2BCB">
      <w:rPr>
        <w:rFonts w:ascii="Times New Roman" w:hAnsi="Times New Roman" w:hint="eastAsia"/>
        <w:i/>
        <w:caps/>
        <w:noProof/>
        <w:sz w:val="16"/>
        <w:szCs w:val="16"/>
        <w:lang w:val="ru-RU"/>
      </w:rPr>
      <w:t>ЗИД</w:t>
    </w:r>
    <w:r w:rsidR="00FB2BCB" w:rsidRPr="00FB2BCB">
      <w:rPr>
        <w:rFonts w:ascii="Times New Roman" w:hAnsi="Times New Roman"/>
        <w:i/>
        <w:caps/>
        <w:noProof/>
        <w:sz w:val="16"/>
        <w:szCs w:val="16"/>
        <w:lang w:val="ru-RU"/>
      </w:rPr>
      <w:t>_</w:t>
    </w:r>
    <w:r w:rsidR="00FB2BCB" w:rsidRPr="00FB2BCB">
      <w:rPr>
        <w:rFonts w:ascii="Times New Roman" w:hAnsi="Times New Roman" w:hint="eastAsia"/>
        <w:i/>
        <w:caps/>
        <w:noProof/>
        <w:sz w:val="16"/>
        <w:szCs w:val="16"/>
        <w:lang w:val="ru-RU"/>
      </w:rPr>
      <w:t>КСО</w:t>
    </w:r>
    <w:r w:rsidR="00FB2BCB" w:rsidRPr="00FB2BCB">
      <w:rPr>
        <w:rFonts w:ascii="Times New Roman" w:hAnsi="Times New Roman"/>
        <w:i/>
        <w:caps/>
        <w:noProof/>
        <w:sz w:val="16"/>
        <w:szCs w:val="16"/>
        <w:lang w:val="ru-RU"/>
      </w:rPr>
      <w:t>.docx</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0DBA9" w14:textId="77777777" w:rsidR="00A57F4C" w:rsidRDefault="00A57F4C">
      <w:r>
        <w:separator/>
      </w:r>
    </w:p>
  </w:footnote>
  <w:footnote w:type="continuationSeparator" w:id="0">
    <w:p w14:paraId="270409E2" w14:textId="77777777" w:rsidR="00A57F4C" w:rsidRDefault="00A57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094C"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0E7E42"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64B"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7077147D" w14:textId="77777777" w:rsidR="00AD087A" w:rsidRPr="004343CF" w:rsidRDefault="00AD087A">
    <w:pPr>
      <w:pStyle w:val="Header"/>
      <w:rPr>
        <w:rFonts w:ascii="Times New Roman" w:hAnsi="Times New Roman"/>
        <w:lang w:val="bg-BG"/>
      </w:rPr>
    </w:pPr>
  </w:p>
  <w:p w14:paraId="2359F6EC" w14:textId="77777777" w:rsidR="00AD087A" w:rsidRDefault="00AD087A">
    <w:pPr>
      <w:pStyle w:val="Header"/>
      <w:rPr>
        <w:rFonts w:ascii="Times New Roman" w:hAnsi="Times New Roman"/>
        <w:lang w:val="bg-BG"/>
      </w:rPr>
    </w:pPr>
  </w:p>
  <w:p w14:paraId="4D628AC9"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DB96CF2"/>
    <w:multiLevelType w:val="hybridMultilevel"/>
    <w:tmpl w:val="98464F84"/>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71E5C34"/>
    <w:multiLevelType w:val="hybridMultilevel"/>
    <w:tmpl w:val="08D2A8F6"/>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5"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7"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abstractNum w:abstractNumId="8" w15:restartNumberingAfterBreak="0">
    <w:nsid w:val="6C681F5C"/>
    <w:multiLevelType w:val="hybridMultilevel"/>
    <w:tmpl w:val="9F841B50"/>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 w15:restartNumberingAfterBreak="0">
    <w:nsid w:val="739F60D9"/>
    <w:multiLevelType w:val="hybridMultilevel"/>
    <w:tmpl w:val="B5D6427A"/>
    <w:lvl w:ilvl="0" w:tplc="982E89D8">
      <w:start w:val="1"/>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num w:numId="1" w16cid:durableId="639309641">
    <w:abstractNumId w:val="6"/>
  </w:num>
  <w:num w:numId="2" w16cid:durableId="450787864">
    <w:abstractNumId w:val="4"/>
  </w:num>
  <w:num w:numId="3" w16cid:durableId="681736364">
    <w:abstractNumId w:val="0"/>
  </w:num>
  <w:num w:numId="4" w16cid:durableId="113838686">
    <w:abstractNumId w:val="2"/>
  </w:num>
  <w:num w:numId="5" w16cid:durableId="1527668816">
    <w:abstractNumId w:val="7"/>
  </w:num>
  <w:num w:numId="6" w16cid:durableId="676200500">
    <w:abstractNumId w:val="5"/>
  </w:num>
  <w:num w:numId="7" w16cid:durableId="2138376707">
    <w:abstractNumId w:val="9"/>
  </w:num>
  <w:num w:numId="8" w16cid:durableId="2087804661">
    <w:abstractNumId w:val="3"/>
  </w:num>
  <w:num w:numId="9" w16cid:durableId="1005858430">
    <w:abstractNumId w:val="1"/>
  </w:num>
  <w:num w:numId="10" w16cid:durableId="1023215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22D69"/>
    <w:rsid w:val="00040404"/>
    <w:rsid w:val="00050D9F"/>
    <w:rsid w:val="00055E5C"/>
    <w:rsid w:val="0006233E"/>
    <w:rsid w:val="00065B09"/>
    <w:rsid w:val="0006731A"/>
    <w:rsid w:val="00076940"/>
    <w:rsid w:val="00080705"/>
    <w:rsid w:val="000A18EE"/>
    <w:rsid w:val="000A7804"/>
    <w:rsid w:val="000B3D48"/>
    <w:rsid w:val="000B3F5C"/>
    <w:rsid w:val="000C02BB"/>
    <w:rsid w:val="000F4878"/>
    <w:rsid w:val="000F6735"/>
    <w:rsid w:val="00101719"/>
    <w:rsid w:val="001019D1"/>
    <w:rsid w:val="00107F8F"/>
    <w:rsid w:val="0011488D"/>
    <w:rsid w:val="00114EA5"/>
    <w:rsid w:val="00115D3F"/>
    <w:rsid w:val="00147990"/>
    <w:rsid w:val="001828C6"/>
    <w:rsid w:val="001902BA"/>
    <w:rsid w:val="001B21EF"/>
    <w:rsid w:val="001B311D"/>
    <w:rsid w:val="001C1AA5"/>
    <w:rsid w:val="001C27B2"/>
    <w:rsid w:val="001C623C"/>
    <w:rsid w:val="001C765C"/>
    <w:rsid w:val="001C7C50"/>
    <w:rsid w:val="001D2797"/>
    <w:rsid w:val="001F0C5E"/>
    <w:rsid w:val="001F109F"/>
    <w:rsid w:val="00200362"/>
    <w:rsid w:val="00216BB5"/>
    <w:rsid w:val="00217483"/>
    <w:rsid w:val="00224F7F"/>
    <w:rsid w:val="00234F17"/>
    <w:rsid w:val="002469B9"/>
    <w:rsid w:val="00247FCD"/>
    <w:rsid w:val="00251D6E"/>
    <w:rsid w:val="002553AB"/>
    <w:rsid w:val="00255B7D"/>
    <w:rsid w:val="00263307"/>
    <w:rsid w:val="002743E4"/>
    <w:rsid w:val="00284F96"/>
    <w:rsid w:val="00287754"/>
    <w:rsid w:val="002C0227"/>
    <w:rsid w:val="002C08C4"/>
    <w:rsid w:val="002C6AFA"/>
    <w:rsid w:val="002D76CB"/>
    <w:rsid w:val="002E08B6"/>
    <w:rsid w:val="002F7411"/>
    <w:rsid w:val="00311227"/>
    <w:rsid w:val="003160E8"/>
    <w:rsid w:val="00322981"/>
    <w:rsid w:val="00327C7B"/>
    <w:rsid w:val="00357B65"/>
    <w:rsid w:val="00361393"/>
    <w:rsid w:val="00366F8B"/>
    <w:rsid w:val="003A24FF"/>
    <w:rsid w:val="003A2A0D"/>
    <w:rsid w:val="003A6F92"/>
    <w:rsid w:val="003B1FC8"/>
    <w:rsid w:val="003B62B1"/>
    <w:rsid w:val="003C02E9"/>
    <w:rsid w:val="003C496A"/>
    <w:rsid w:val="003D17D1"/>
    <w:rsid w:val="003D2F82"/>
    <w:rsid w:val="003D6EE4"/>
    <w:rsid w:val="003E7829"/>
    <w:rsid w:val="003F0B96"/>
    <w:rsid w:val="00406D09"/>
    <w:rsid w:val="00410B81"/>
    <w:rsid w:val="00416062"/>
    <w:rsid w:val="0042458D"/>
    <w:rsid w:val="0043009C"/>
    <w:rsid w:val="004343CF"/>
    <w:rsid w:val="00435CCA"/>
    <w:rsid w:val="004405FE"/>
    <w:rsid w:val="0044363D"/>
    <w:rsid w:val="00446581"/>
    <w:rsid w:val="00450D6E"/>
    <w:rsid w:val="00487D19"/>
    <w:rsid w:val="00490227"/>
    <w:rsid w:val="00492C7E"/>
    <w:rsid w:val="004945E7"/>
    <w:rsid w:val="004B4A70"/>
    <w:rsid w:val="004B5B01"/>
    <w:rsid w:val="004C4EC3"/>
    <w:rsid w:val="004C5C6C"/>
    <w:rsid w:val="005033E0"/>
    <w:rsid w:val="005075C6"/>
    <w:rsid w:val="005202D7"/>
    <w:rsid w:val="0052153C"/>
    <w:rsid w:val="00524A62"/>
    <w:rsid w:val="005321AB"/>
    <w:rsid w:val="005374EB"/>
    <w:rsid w:val="00543CA4"/>
    <w:rsid w:val="00544B67"/>
    <w:rsid w:val="005503AA"/>
    <w:rsid w:val="00557EA5"/>
    <w:rsid w:val="0058543A"/>
    <w:rsid w:val="00590DC5"/>
    <w:rsid w:val="00594B4D"/>
    <w:rsid w:val="005B7B97"/>
    <w:rsid w:val="005E23BB"/>
    <w:rsid w:val="005E2FAA"/>
    <w:rsid w:val="00601E7F"/>
    <w:rsid w:val="006112DA"/>
    <w:rsid w:val="006126B0"/>
    <w:rsid w:val="006374F1"/>
    <w:rsid w:val="00680C33"/>
    <w:rsid w:val="00695542"/>
    <w:rsid w:val="006D149C"/>
    <w:rsid w:val="006D7DBF"/>
    <w:rsid w:val="006E20E3"/>
    <w:rsid w:val="006F4CBD"/>
    <w:rsid w:val="006F65D3"/>
    <w:rsid w:val="007006FE"/>
    <w:rsid w:val="0071097D"/>
    <w:rsid w:val="007216A1"/>
    <w:rsid w:val="00722381"/>
    <w:rsid w:val="00737F39"/>
    <w:rsid w:val="00775FF6"/>
    <w:rsid w:val="00786F42"/>
    <w:rsid w:val="00791C0B"/>
    <w:rsid w:val="007C0593"/>
    <w:rsid w:val="007C0969"/>
    <w:rsid w:val="007D0119"/>
    <w:rsid w:val="007E5BD8"/>
    <w:rsid w:val="007F2214"/>
    <w:rsid w:val="00801C3F"/>
    <w:rsid w:val="00804255"/>
    <w:rsid w:val="008279DE"/>
    <w:rsid w:val="0083405F"/>
    <w:rsid w:val="008424E0"/>
    <w:rsid w:val="008464CC"/>
    <w:rsid w:val="00847576"/>
    <w:rsid w:val="0087096A"/>
    <w:rsid w:val="00881B55"/>
    <w:rsid w:val="008A019C"/>
    <w:rsid w:val="008A0F64"/>
    <w:rsid w:val="008A3336"/>
    <w:rsid w:val="008B02D8"/>
    <w:rsid w:val="008C11C0"/>
    <w:rsid w:val="008C1710"/>
    <w:rsid w:val="008E1559"/>
    <w:rsid w:val="008F293A"/>
    <w:rsid w:val="008F7AE5"/>
    <w:rsid w:val="00904DD3"/>
    <w:rsid w:val="00905B61"/>
    <w:rsid w:val="00916222"/>
    <w:rsid w:val="009214E6"/>
    <w:rsid w:val="00932CF8"/>
    <w:rsid w:val="00987AB2"/>
    <w:rsid w:val="0099021C"/>
    <w:rsid w:val="00990366"/>
    <w:rsid w:val="00994D64"/>
    <w:rsid w:val="009B2C89"/>
    <w:rsid w:val="009B4B81"/>
    <w:rsid w:val="009B68B3"/>
    <w:rsid w:val="009B76A3"/>
    <w:rsid w:val="009D21FD"/>
    <w:rsid w:val="009D31A3"/>
    <w:rsid w:val="009D7025"/>
    <w:rsid w:val="009E4806"/>
    <w:rsid w:val="00A018E4"/>
    <w:rsid w:val="00A02A74"/>
    <w:rsid w:val="00A14E68"/>
    <w:rsid w:val="00A25CC8"/>
    <w:rsid w:val="00A27685"/>
    <w:rsid w:val="00A31E3E"/>
    <w:rsid w:val="00A34F2C"/>
    <w:rsid w:val="00A52257"/>
    <w:rsid w:val="00A57A93"/>
    <w:rsid w:val="00A57F4C"/>
    <w:rsid w:val="00A6158C"/>
    <w:rsid w:val="00A83BB6"/>
    <w:rsid w:val="00A92287"/>
    <w:rsid w:val="00A93DD8"/>
    <w:rsid w:val="00A94298"/>
    <w:rsid w:val="00A95806"/>
    <w:rsid w:val="00A97573"/>
    <w:rsid w:val="00AA1688"/>
    <w:rsid w:val="00AA5FB8"/>
    <w:rsid w:val="00AB2D4B"/>
    <w:rsid w:val="00AC4387"/>
    <w:rsid w:val="00AD087A"/>
    <w:rsid w:val="00AD3749"/>
    <w:rsid w:val="00AF2C6E"/>
    <w:rsid w:val="00B03B72"/>
    <w:rsid w:val="00B10EA3"/>
    <w:rsid w:val="00B1430E"/>
    <w:rsid w:val="00B77163"/>
    <w:rsid w:val="00BB0346"/>
    <w:rsid w:val="00BB0613"/>
    <w:rsid w:val="00BB0DFF"/>
    <w:rsid w:val="00BB1768"/>
    <w:rsid w:val="00BB253E"/>
    <w:rsid w:val="00BB4014"/>
    <w:rsid w:val="00BC287C"/>
    <w:rsid w:val="00BE4C60"/>
    <w:rsid w:val="00BE6590"/>
    <w:rsid w:val="00C05E74"/>
    <w:rsid w:val="00C11F14"/>
    <w:rsid w:val="00C213CB"/>
    <w:rsid w:val="00C459B8"/>
    <w:rsid w:val="00C5560E"/>
    <w:rsid w:val="00C65583"/>
    <w:rsid w:val="00C94123"/>
    <w:rsid w:val="00CA3F1E"/>
    <w:rsid w:val="00CB73D9"/>
    <w:rsid w:val="00CB7EFE"/>
    <w:rsid w:val="00CC3471"/>
    <w:rsid w:val="00CC4E18"/>
    <w:rsid w:val="00CD79CE"/>
    <w:rsid w:val="00CE3631"/>
    <w:rsid w:val="00CF4BBF"/>
    <w:rsid w:val="00CF73BF"/>
    <w:rsid w:val="00D013AB"/>
    <w:rsid w:val="00D1528B"/>
    <w:rsid w:val="00D26731"/>
    <w:rsid w:val="00D45E05"/>
    <w:rsid w:val="00D573B1"/>
    <w:rsid w:val="00D71501"/>
    <w:rsid w:val="00D80E80"/>
    <w:rsid w:val="00D86E39"/>
    <w:rsid w:val="00D92A8F"/>
    <w:rsid w:val="00D9679C"/>
    <w:rsid w:val="00DA2A20"/>
    <w:rsid w:val="00DC6199"/>
    <w:rsid w:val="00DE1005"/>
    <w:rsid w:val="00DE2D91"/>
    <w:rsid w:val="00DF29A2"/>
    <w:rsid w:val="00E01A69"/>
    <w:rsid w:val="00E07AEE"/>
    <w:rsid w:val="00E17DBD"/>
    <w:rsid w:val="00E27B98"/>
    <w:rsid w:val="00E522CC"/>
    <w:rsid w:val="00E522E9"/>
    <w:rsid w:val="00E5592E"/>
    <w:rsid w:val="00E6311F"/>
    <w:rsid w:val="00E70618"/>
    <w:rsid w:val="00E717E1"/>
    <w:rsid w:val="00E97846"/>
    <w:rsid w:val="00EB0E3F"/>
    <w:rsid w:val="00EC3B52"/>
    <w:rsid w:val="00EC40B3"/>
    <w:rsid w:val="00EC5548"/>
    <w:rsid w:val="00EC759A"/>
    <w:rsid w:val="00ED238C"/>
    <w:rsid w:val="00ED4BAB"/>
    <w:rsid w:val="00EE492F"/>
    <w:rsid w:val="00EE7D4F"/>
    <w:rsid w:val="00F06AAB"/>
    <w:rsid w:val="00F100BC"/>
    <w:rsid w:val="00F141DB"/>
    <w:rsid w:val="00F24630"/>
    <w:rsid w:val="00F3465E"/>
    <w:rsid w:val="00F41459"/>
    <w:rsid w:val="00F44114"/>
    <w:rsid w:val="00F90BFF"/>
    <w:rsid w:val="00F9263A"/>
    <w:rsid w:val="00FA009F"/>
    <w:rsid w:val="00FA1216"/>
    <w:rsid w:val="00FB2BCB"/>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D1D72C"/>
  <w15:docId w15:val="{B20F945F-7A43-40BF-91DC-2D959929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5503AA"/>
    <w:rPr>
      <w:rFonts w:ascii="Calibri" w:hAnsi="Calibri" w:cs="Times New Roman"/>
      <w:b/>
      <w:bCs/>
      <w:lang w:val="en-GB" w:eastAsia="en-US"/>
    </w:rPr>
  </w:style>
  <w:style w:type="character" w:customStyle="1" w:styleId="Heading7Char">
    <w:name w:val="Heading 7 Char"/>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5503AA"/>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6185</Words>
  <Characters>37256</Characters>
  <Application>Microsoft Office Word</Application>
  <DocSecurity>0</DocSecurity>
  <Lines>310</Lines>
  <Paragraphs>86</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43355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2026-01-26T13:04:00Z</cp:lastPrinted>
  <dcterms:created xsi:type="dcterms:W3CDTF">2026-01-28T08:06:00Z</dcterms:created>
  <dcterms:modified xsi:type="dcterms:W3CDTF">2026-01-28T08:06:00Z</dcterms:modified>
</cp:coreProperties>
</file>