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88F4FE" w14:textId="77777777" w:rsidR="00112A2D" w:rsidRPr="00F96464" w:rsidRDefault="00112A2D" w:rsidP="00F96464">
      <w:pPr>
        <w:spacing w:line="360" w:lineRule="auto"/>
        <w:ind w:left="6372" w:firstLine="708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632B6EB7" w14:textId="7BE4457E" w:rsidR="00F96464" w:rsidRPr="003356BF" w:rsidRDefault="00105472" w:rsidP="003356BF">
      <w:pPr>
        <w:spacing w:line="360" w:lineRule="auto"/>
        <w:jc w:val="center"/>
        <w:rPr>
          <w:b/>
          <w:bCs/>
          <w:color w:val="000000"/>
          <w:spacing w:val="166"/>
          <w:sz w:val="32"/>
          <w:szCs w:val="32"/>
        </w:rPr>
      </w:pPr>
      <w:r w:rsidRPr="003356BF">
        <w:rPr>
          <w:b/>
          <w:bCs/>
          <w:color w:val="000000"/>
          <w:spacing w:val="166"/>
          <w:sz w:val="32"/>
          <w:szCs w:val="32"/>
        </w:rPr>
        <w:t>НАРЕДБА</w:t>
      </w:r>
    </w:p>
    <w:p w14:paraId="14435666" w14:textId="77777777" w:rsidR="00F96464" w:rsidRPr="003356BF" w:rsidRDefault="00105472" w:rsidP="003356BF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 xml:space="preserve">за определяне на концесионното </w:t>
      </w:r>
      <w:r w:rsidR="00EE44A1" w:rsidRPr="003356BF">
        <w:rPr>
          <w:b/>
          <w:bCs/>
          <w:color w:val="000000"/>
          <w:sz w:val="28"/>
          <w:szCs w:val="28"/>
        </w:rPr>
        <w:t>плащане</w:t>
      </w:r>
      <w:r w:rsidRPr="003356BF">
        <w:rPr>
          <w:b/>
          <w:bCs/>
          <w:color w:val="000000"/>
          <w:sz w:val="28"/>
          <w:szCs w:val="28"/>
        </w:rPr>
        <w:t xml:space="preserve"> за добив на подземни богатства по Закона за подземните богатства</w:t>
      </w:r>
    </w:p>
    <w:p w14:paraId="76563A74" w14:textId="77777777" w:rsidR="00105472" w:rsidRPr="003356BF" w:rsidRDefault="00105472" w:rsidP="00F96464">
      <w:pPr>
        <w:spacing w:line="360" w:lineRule="auto"/>
        <w:ind w:firstLine="480"/>
        <w:jc w:val="center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 xml:space="preserve"> </w:t>
      </w:r>
    </w:p>
    <w:p w14:paraId="650D6535" w14:textId="5B47BE58" w:rsidR="00105472" w:rsidRPr="003356BF" w:rsidRDefault="00105472" w:rsidP="00F96464">
      <w:pPr>
        <w:spacing w:line="360" w:lineRule="auto"/>
        <w:ind w:firstLine="480"/>
        <w:jc w:val="both"/>
        <w:divId w:val="1037051924"/>
        <w:rPr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>Чл. 1.</w:t>
      </w:r>
      <w:r w:rsidRPr="003356BF">
        <w:rPr>
          <w:color w:val="000000"/>
          <w:sz w:val="28"/>
          <w:szCs w:val="28"/>
        </w:rPr>
        <w:t xml:space="preserve"> Наредбата урежда </w:t>
      </w:r>
      <w:r w:rsidR="00690735" w:rsidRPr="003356BF">
        <w:rPr>
          <w:color w:val="000000"/>
          <w:sz w:val="28"/>
          <w:szCs w:val="28"/>
        </w:rPr>
        <w:t>условията и реда</w:t>
      </w:r>
      <w:r w:rsidRPr="003356BF">
        <w:rPr>
          <w:color w:val="000000"/>
          <w:sz w:val="28"/>
          <w:szCs w:val="28"/>
        </w:rPr>
        <w:t xml:space="preserve"> </w:t>
      </w:r>
      <w:r w:rsidR="001278BF" w:rsidRPr="003356BF">
        <w:rPr>
          <w:color w:val="000000"/>
          <w:sz w:val="28"/>
          <w:szCs w:val="28"/>
        </w:rPr>
        <w:t xml:space="preserve">за </w:t>
      </w:r>
      <w:r w:rsidRPr="003356BF">
        <w:rPr>
          <w:color w:val="000000"/>
          <w:sz w:val="28"/>
          <w:szCs w:val="28"/>
        </w:rPr>
        <w:t>определя</w:t>
      </w:r>
      <w:r w:rsidR="001278BF" w:rsidRPr="003356BF">
        <w:rPr>
          <w:color w:val="000000"/>
          <w:sz w:val="28"/>
          <w:szCs w:val="28"/>
        </w:rPr>
        <w:t>не на</w:t>
      </w:r>
      <w:r w:rsidRPr="003356BF">
        <w:rPr>
          <w:color w:val="000000"/>
          <w:sz w:val="28"/>
          <w:szCs w:val="28"/>
        </w:rPr>
        <w:t xml:space="preserve"> </w:t>
      </w:r>
      <w:r w:rsidR="001278BF" w:rsidRPr="003356BF">
        <w:rPr>
          <w:color w:val="000000"/>
          <w:sz w:val="28"/>
          <w:szCs w:val="28"/>
        </w:rPr>
        <w:t>конкретния</w:t>
      </w:r>
      <w:r w:rsidR="00521E22" w:rsidRPr="003356BF">
        <w:rPr>
          <w:color w:val="000000"/>
          <w:sz w:val="28"/>
          <w:szCs w:val="28"/>
        </w:rPr>
        <w:t xml:space="preserve">, включително </w:t>
      </w:r>
      <w:r w:rsidR="001638F4">
        <w:rPr>
          <w:color w:val="000000"/>
          <w:sz w:val="28"/>
          <w:szCs w:val="28"/>
        </w:rPr>
        <w:t xml:space="preserve">на </w:t>
      </w:r>
      <w:r w:rsidR="001950F0" w:rsidRPr="003356BF">
        <w:rPr>
          <w:color w:val="000000"/>
          <w:sz w:val="28"/>
          <w:szCs w:val="28"/>
        </w:rPr>
        <w:t>минималния</w:t>
      </w:r>
      <w:r w:rsidR="007857B3">
        <w:rPr>
          <w:color w:val="000000"/>
          <w:sz w:val="28"/>
          <w:szCs w:val="28"/>
        </w:rPr>
        <w:t>,</w:t>
      </w:r>
      <w:r w:rsidR="001950F0" w:rsidRPr="003356BF">
        <w:rPr>
          <w:color w:val="000000"/>
          <w:sz w:val="28"/>
          <w:szCs w:val="28"/>
        </w:rPr>
        <w:t xml:space="preserve"> </w:t>
      </w:r>
      <w:r w:rsidR="001278BF" w:rsidRPr="003356BF">
        <w:rPr>
          <w:color w:val="000000"/>
          <w:sz w:val="28"/>
          <w:szCs w:val="28"/>
        </w:rPr>
        <w:t xml:space="preserve">размер на </w:t>
      </w:r>
      <w:r w:rsidRPr="003356BF">
        <w:rPr>
          <w:color w:val="000000"/>
          <w:sz w:val="28"/>
          <w:szCs w:val="28"/>
        </w:rPr>
        <w:t xml:space="preserve">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="00A91898" w:rsidRPr="003356BF">
        <w:rPr>
          <w:color w:val="000000"/>
          <w:sz w:val="28"/>
          <w:szCs w:val="28"/>
        </w:rPr>
        <w:t xml:space="preserve"> по </w:t>
      </w:r>
      <w:r w:rsidR="001950F0" w:rsidRPr="003356BF">
        <w:rPr>
          <w:color w:val="000000"/>
          <w:sz w:val="28"/>
          <w:szCs w:val="28"/>
        </w:rPr>
        <w:t>Закона за подземните богатства</w:t>
      </w:r>
      <w:r w:rsidR="009B594F" w:rsidRPr="003356BF">
        <w:rPr>
          <w:color w:val="000000"/>
          <w:sz w:val="28"/>
          <w:szCs w:val="28"/>
        </w:rPr>
        <w:t xml:space="preserve"> (ЗПБ)</w:t>
      </w:r>
      <w:r w:rsidR="001278BF" w:rsidRPr="003356BF">
        <w:rPr>
          <w:color w:val="000000"/>
          <w:sz w:val="28"/>
          <w:szCs w:val="28"/>
        </w:rPr>
        <w:t>.</w:t>
      </w:r>
    </w:p>
    <w:p w14:paraId="4DF07FD7" w14:textId="77777777" w:rsidR="00105472" w:rsidRPr="003356BF" w:rsidRDefault="00105472" w:rsidP="00F96464">
      <w:pPr>
        <w:spacing w:line="360" w:lineRule="auto"/>
        <w:ind w:firstLine="480"/>
        <w:jc w:val="both"/>
        <w:divId w:val="1037051893"/>
        <w:rPr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>Чл. 2.</w:t>
      </w:r>
      <w:r w:rsidRPr="003356BF">
        <w:rPr>
          <w:color w:val="000000"/>
          <w:sz w:val="28"/>
          <w:szCs w:val="28"/>
        </w:rPr>
        <w:t xml:space="preserve">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Pr="003356BF">
        <w:rPr>
          <w:color w:val="000000"/>
          <w:sz w:val="28"/>
          <w:szCs w:val="28"/>
        </w:rPr>
        <w:t xml:space="preserve"> е цената, която концесионерът заплаща на концедента за предоставеното му право на експлоатация на подземни богатства</w:t>
      </w:r>
      <w:r w:rsidR="00372121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 xml:space="preserve">чрез добив </w:t>
      </w:r>
      <w:r w:rsidR="00984BC2" w:rsidRPr="003356BF">
        <w:rPr>
          <w:color w:val="000000"/>
          <w:sz w:val="28"/>
          <w:szCs w:val="28"/>
        </w:rPr>
        <w:t>от съответното находище</w:t>
      </w:r>
      <w:r w:rsidRPr="003356BF">
        <w:rPr>
          <w:color w:val="000000"/>
          <w:sz w:val="28"/>
          <w:szCs w:val="28"/>
        </w:rPr>
        <w:t xml:space="preserve">. </w:t>
      </w:r>
    </w:p>
    <w:p w14:paraId="1E652FED" w14:textId="74B228F9" w:rsidR="00105472" w:rsidRPr="003356BF" w:rsidRDefault="00105472" w:rsidP="00F03A5A">
      <w:pPr>
        <w:spacing w:line="360" w:lineRule="auto"/>
        <w:ind w:firstLine="480"/>
        <w:jc w:val="both"/>
        <w:divId w:val="1037051916"/>
        <w:rPr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>Чл. 3.</w:t>
      </w:r>
      <w:r w:rsidRPr="003356BF">
        <w:rPr>
          <w:color w:val="000000"/>
          <w:sz w:val="28"/>
          <w:szCs w:val="28"/>
        </w:rPr>
        <w:t xml:space="preserve"> </w:t>
      </w:r>
      <w:r w:rsidR="00224331" w:rsidRPr="003356BF">
        <w:rPr>
          <w:color w:val="000000"/>
          <w:sz w:val="28"/>
          <w:szCs w:val="28"/>
        </w:rPr>
        <w:t>К</w:t>
      </w:r>
      <w:r w:rsidR="00A91898" w:rsidRPr="003356BF">
        <w:rPr>
          <w:color w:val="000000"/>
          <w:sz w:val="28"/>
          <w:szCs w:val="28"/>
        </w:rPr>
        <w:t xml:space="preserve">онцесионното плащане се определя в зависимост от вида, групата и ценността на подземните богатства, както и от специфичните условия за осъществяване на </w:t>
      </w:r>
      <w:r w:rsidR="00884367" w:rsidRPr="003356BF">
        <w:rPr>
          <w:color w:val="000000"/>
          <w:sz w:val="28"/>
          <w:szCs w:val="28"/>
        </w:rPr>
        <w:t xml:space="preserve">добива или </w:t>
      </w:r>
      <w:r w:rsidR="00A91898" w:rsidRPr="003356BF">
        <w:rPr>
          <w:color w:val="000000"/>
          <w:sz w:val="28"/>
          <w:szCs w:val="28"/>
        </w:rPr>
        <w:t xml:space="preserve">добива </w:t>
      </w:r>
      <w:r w:rsidR="00884367" w:rsidRPr="003356BF">
        <w:rPr>
          <w:color w:val="000000"/>
          <w:sz w:val="28"/>
          <w:szCs w:val="28"/>
        </w:rPr>
        <w:t xml:space="preserve">и </w:t>
      </w:r>
      <w:r w:rsidR="00A91898" w:rsidRPr="003356BF">
        <w:rPr>
          <w:color w:val="000000"/>
          <w:sz w:val="28"/>
          <w:szCs w:val="28"/>
        </w:rPr>
        <w:t>преработка</w:t>
      </w:r>
      <w:r w:rsidR="00884367" w:rsidRPr="003356BF">
        <w:rPr>
          <w:color w:val="000000"/>
          <w:sz w:val="28"/>
          <w:szCs w:val="28"/>
        </w:rPr>
        <w:t>та</w:t>
      </w:r>
      <w:r w:rsidR="00A91898" w:rsidRPr="003356BF">
        <w:rPr>
          <w:color w:val="000000"/>
          <w:sz w:val="28"/>
          <w:szCs w:val="28"/>
        </w:rPr>
        <w:t xml:space="preserve"> при отчитане на</w:t>
      </w:r>
      <w:r w:rsidR="00224331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 xml:space="preserve"> размера на фактическата или очакваната икономическа изгода</w:t>
      </w:r>
      <w:r w:rsidR="00224331" w:rsidRPr="003356BF">
        <w:rPr>
          <w:color w:val="000000"/>
          <w:sz w:val="28"/>
          <w:szCs w:val="28"/>
        </w:rPr>
        <w:t xml:space="preserve"> и</w:t>
      </w:r>
      <w:r w:rsidRPr="003356BF">
        <w:rPr>
          <w:color w:val="000000"/>
          <w:sz w:val="28"/>
          <w:szCs w:val="28"/>
        </w:rPr>
        <w:t xml:space="preserve"> начина на разпределяне на икономическата изгода между концесионера и концедента.</w:t>
      </w:r>
    </w:p>
    <w:p w14:paraId="2AEC6241" w14:textId="77777777" w:rsidR="00105472" w:rsidRPr="003356BF" w:rsidRDefault="00105472" w:rsidP="00F96464">
      <w:pPr>
        <w:spacing w:line="360" w:lineRule="auto"/>
        <w:ind w:firstLine="480"/>
        <w:jc w:val="both"/>
        <w:divId w:val="1037051827"/>
        <w:rPr>
          <w:rStyle w:val="ala2"/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>Чл. 4.</w:t>
      </w:r>
      <w:r w:rsidRPr="003356BF">
        <w:rPr>
          <w:color w:val="000000"/>
          <w:sz w:val="28"/>
          <w:szCs w:val="28"/>
        </w:rPr>
        <w:t xml:space="preserve"> </w:t>
      </w:r>
      <w:r w:rsidRPr="001A2E9F">
        <w:rPr>
          <w:rStyle w:val="alcapt2"/>
          <w:b/>
          <w:bCs/>
          <w:i w:val="0"/>
          <w:color w:val="000000"/>
          <w:sz w:val="28"/>
          <w:szCs w:val="28"/>
        </w:rPr>
        <w:t>(1)</w:t>
      </w:r>
      <w:r w:rsidRPr="003356BF">
        <w:rPr>
          <w:rStyle w:val="ala2"/>
          <w:color w:val="000000"/>
          <w:sz w:val="28"/>
          <w:szCs w:val="28"/>
        </w:rPr>
        <w:t xml:space="preserve"> </w:t>
      </w:r>
      <w:r w:rsidR="00A91898" w:rsidRPr="003356BF">
        <w:rPr>
          <w:rStyle w:val="ala2"/>
          <w:color w:val="000000"/>
          <w:sz w:val="28"/>
          <w:szCs w:val="28"/>
        </w:rPr>
        <w:t xml:space="preserve">Конкретният размер </w:t>
      </w:r>
      <w:r w:rsidRPr="003356BF">
        <w:rPr>
          <w:rStyle w:val="ala2"/>
          <w:color w:val="000000"/>
          <w:sz w:val="28"/>
          <w:szCs w:val="28"/>
        </w:rPr>
        <w:t xml:space="preserve">на концесионното </w:t>
      </w:r>
      <w:r w:rsidR="00EE44A1" w:rsidRPr="003356BF">
        <w:rPr>
          <w:rStyle w:val="ala2"/>
          <w:color w:val="000000"/>
          <w:sz w:val="28"/>
          <w:szCs w:val="28"/>
        </w:rPr>
        <w:t>плащане</w:t>
      </w:r>
      <w:r w:rsidRPr="003356BF">
        <w:rPr>
          <w:rStyle w:val="ala2"/>
          <w:color w:val="000000"/>
          <w:sz w:val="28"/>
          <w:szCs w:val="28"/>
        </w:rPr>
        <w:t xml:space="preserve"> за всеки </w:t>
      </w:r>
      <w:r w:rsidR="00BD0BC8" w:rsidRPr="003356BF">
        <w:rPr>
          <w:rStyle w:val="ala2"/>
          <w:color w:val="000000"/>
          <w:sz w:val="28"/>
          <w:szCs w:val="28"/>
        </w:rPr>
        <w:t xml:space="preserve">съответен </w:t>
      </w:r>
      <w:r w:rsidRPr="003356BF">
        <w:rPr>
          <w:rStyle w:val="ala2"/>
          <w:color w:val="000000"/>
          <w:sz w:val="28"/>
          <w:szCs w:val="28"/>
        </w:rPr>
        <w:t xml:space="preserve">период от срока на концесията, определен с концесионния договор, наричан по-нататък "съответния период", се определя, както следва: </w:t>
      </w:r>
    </w:p>
    <w:p w14:paraId="49821235" w14:textId="77777777" w:rsidR="00BD0BC8" w:rsidRPr="003356BF" w:rsidRDefault="00BD0BC8" w:rsidP="00F96464">
      <w:pPr>
        <w:spacing w:line="360" w:lineRule="auto"/>
        <w:ind w:firstLine="480"/>
        <w:jc w:val="both"/>
        <w:divId w:val="1037051827"/>
        <w:rPr>
          <w:rStyle w:val="ala2"/>
          <w:sz w:val="28"/>
          <w:szCs w:val="28"/>
        </w:rPr>
      </w:pPr>
    </w:p>
    <w:p w14:paraId="1E0156BE" w14:textId="77777777" w:rsidR="00105472" w:rsidRPr="003356BF" w:rsidRDefault="00105472" w:rsidP="00F96464">
      <w:pPr>
        <w:spacing w:line="360" w:lineRule="auto"/>
        <w:ind w:firstLine="480"/>
        <w:jc w:val="both"/>
        <w:divId w:val="1037051866"/>
        <w:rPr>
          <w:sz w:val="28"/>
          <w:szCs w:val="28"/>
        </w:rPr>
      </w:pPr>
      <w:r w:rsidRPr="003356BF">
        <w:rPr>
          <w:b/>
          <w:color w:val="000000"/>
          <w:sz w:val="28"/>
          <w:szCs w:val="28"/>
        </w:rPr>
        <w:t>К</w:t>
      </w:r>
      <w:r w:rsidR="00234340" w:rsidRPr="003356BF">
        <w:rPr>
          <w:b/>
          <w:color w:val="000000"/>
          <w:sz w:val="28"/>
          <w:szCs w:val="28"/>
        </w:rPr>
        <w:t>П</w:t>
      </w:r>
      <w:r w:rsidRPr="003356BF">
        <w:rPr>
          <w:b/>
          <w:color w:val="000000"/>
          <w:sz w:val="28"/>
          <w:szCs w:val="28"/>
        </w:rPr>
        <w:t xml:space="preserve"> = </w:t>
      </w:r>
      <w:r w:rsidR="00741797" w:rsidRPr="003356BF">
        <w:rPr>
          <w:b/>
          <w:color w:val="000000"/>
          <w:sz w:val="28"/>
          <w:szCs w:val="28"/>
        </w:rPr>
        <w:t>БКП</w:t>
      </w:r>
      <w:r w:rsidRPr="003356BF">
        <w:rPr>
          <w:b/>
          <w:color w:val="000000"/>
          <w:sz w:val="28"/>
          <w:szCs w:val="28"/>
        </w:rPr>
        <w:t xml:space="preserve"> x </w:t>
      </w:r>
      <w:r w:rsidR="00217216" w:rsidRPr="003356BF">
        <w:rPr>
          <w:b/>
          <w:color w:val="000000"/>
          <w:sz w:val="28"/>
          <w:szCs w:val="28"/>
        </w:rPr>
        <w:t>ПКП</w:t>
      </w:r>
      <w:r w:rsidRPr="003356BF">
        <w:rPr>
          <w:color w:val="000000"/>
          <w:sz w:val="28"/>
          <w:szCs w:val="28"/>
        </w:rPr>
        <w:t>,</w:t>
      </w:r>
    </w:p>
    <w:p w14:paraId="3469888C" w14:textId="77777777" w:rsidR="00105472" w:rsidRPr="003356BF" w:rsidRDefault="00105472" w:rsidP="00F96464">
      <w:pPr>
        <w:spacing w:line="360" w:lineRule="auto"/>
        <w:ind w:firstLine="480"/>
        <w:jc w:val="both"/>
        <w:divId w:val="1037051937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където:</w:t>
      </w:r>
    </w:p>
    <w:p w14:paraId="4FA82E50" w14:textId="77777777" w:rsidR="00105472" w:rsidRPr="003356BF" w:rsidRDefault="00105472" w:rsidP="00F96464">
      <w:pPr>
        <w:spacing w:line="360" w:lineRule="auto"/>
        <w:ind w:firstLine="480"/>
        <w:jc w:val="both"/>
        <w:divId w:val="10370519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К</w:t>
      </w:r>
      <w:r w:rsidR="00234340" w:rsidRPr="003356BF">
        <w:rPr>
          <w:color w:val="000000"/>
          <w:sz w:val="28"/>
          <w:szCs w:val="28"/>
        </w:rPr>
        <w:t>П</w:t>
      </w:r>
      <w:r w:rsidRPr="003356BF">
        <w:rPr>
          <w:color w:val="000000"/>
          <w:sz w:val="28"/>
          <w:szCs w:val="28"/>
        </w:rPr>
        <w:t xml:space="preserve"> е размерът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Pr="003356BF">
        <w:rPr>
          <w:color w:val="000000"/>
          <w:sz w:val="28"/>
          <w:szCs w:val="28"/>
        </w:rPr>
        <w:t>;</w:t>
      </w:r>
    </w:p>
    <w:p w14:paraId="02058989" w14:textId="77777777" w:rsidR="00105472" w:rsidRPr="003356BF" w:rsidRDefault="00741797" w:rsidP="00F96464">
      <w:pPr>
        <w:spacing w:line="360" w:lineRule="auto"/>
        <w:ind w:firstLine="480"/>
        <w:jc w:val="both"/>
        <w:divId w:val="1037051883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БКП</w:t>
      </w:r>
      <w:r w:rsidR="003A1BE5" w:rsidRPr="003356BF">
        <w:rPr>
          <w:color w:val="000000"/>
          <w:sz w:val="28"/>
          <w:szCs w:val="28"/>
        </w:rPr>
        <w:t xml:space="preserve"> </w:t>
      </w:r>
      <w:r w:rsidR="00984BC2" w:rsidRPr="003356BF">
        <w:rPr>
          <w:color w:val="000000"/>
          <w:sz w:val="28"/>
          <w:szCs w:val="28"/>
        </w:rPr>
        <w:t xml:space="preserve">е </w:t>
      </w:r>
      <w:r w:rsidR="003A1BE5" w:rsidRPr="003356BF">
        <w:rPr>
          <w:color w:val="000000"/>
          <w:sz w:val="28"/>
          <w:szCs w:val="28"/>
        </w:rPr>
        <w:t xml:space="preserve"> </w:t>
      </w:r>
      <w:r w:rsidR="00105472" w:rsidRPr="003356BF">
        <w:rPr>
          <w:color w:val="000000"/>
          <w:sz w:val="28"/>
          <w:szCs w:val="28"/>
        </w:rPr>
        <w:t xml:space="preserve">базата за изчисляване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="00105472" w:rsidRPr="003356BF">
        <w:rPr>
          <w:color w:val="000000"/>
          <w:sz w:val="28"/>
          <w:szCs w:val="28"/>
        </w:rPr>
        <w:t>;</w:t>
      </w:r>
    </w:p>
    <w:p w14:paraId="2979F169" w14:textId="77777777" w:rsidR="00105472" w:rsidRPr="003356BF" w:rsidRDefault="00217216" w:rsidP="00F96464">
      <w:pPr>
        <w:spacing w:line="360" w:lineRule="auto"/>
        <w:ind w:firstLine="480"/>
        <w:jc w:val="both"/>
        <w:divId w:val="1037051854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ПКП</w:t>
      </w:r>
      <w:r w:rsidR="003A1BE5" w:rsidRPr="003356BF">
        <w:rPr>
          <w:color w:val="000000"/>
          <w:sz w:val="28"/>
          <w:szCs w:val="28"/>
        </w:rPr>
        <w:t xml:space="preserve"> </w:t>
      </w:r>
      <w:r w:rsidR="00984BC2" w:rsidRPr="003356BF">
        <w:rPr>
          <w:color w:val="000000"/>
          <w:sz w:val="28"/>
          <w:szCs w:val="28"/>
        </w:rPr>
        <w:t xml:space="preserve">е </w:t>
      </w:r>
      <w:r w:rsidR="00105472" w:rsidRPr="003356BF">
        <w:rPr>
          <w:color w:val="000000"/>
          <w:sz w:val="28"/>
          <w:szCs w:val="28"/>
        </w:rPr>
        <w:t xml:space="preserve">процентният размер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="00105472" w:rsidRPr="003356BF">
        <w:rPr>
          <w:color w:val="000000"/>
          <w:sz w:val="28"/>
          <w:szCs w:val="28"/>
        </w:rPr>
        <w:t>.</w:t>
      </w:r>
    </w:p>
    <w:p w14:paraId="462F1C2B" w14:textId="77777777" w:rsidR="00105472" w:rsidRPr="003356BF" w:rsidRDefault="00105472" w:rsidP="00F96464">
      <w:pPr>
        <w:spacing w:line="360" w:lineRule="auto"/>
        <w:ind w:firstLine="480"/>
        <w:jc w:val="both"/>
        <w:divId w:val="1037051890"/>
        <w:rPr>
          <w:color w:val="000000"/>
          <w:sz w:val="28"/>
          <w:szCs w:val="28"/>
        </w:rPr>
      </w:pPr>
      <w:r w:rsidRPr="001A2E9F">
        <w:rPr>
          <w:rStyle w:val="alcapt2"/>
          <w:b/>
          <w:bCs/>
          <w:i w:val="0"/>
          <w:color w:val="000000"/>
          <w:sz w:val="28"/>
          <w:szCs w:val="28"/>
        </w:rPr>
        <w:t>(2)</w:t>
      </w:r>
      <w:r w:rsidRPr="003356BF">
        <w:rPr>
          <w:color w:val="000000"/>
          <w:sz w:val="28"/>
          <w:szCs w:val="28"/>
        </w:rPr>
        <w:t xml:space="preserve"> Базата за изчисляване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Pr="003356BF">
        <w:rPr>
          <w:color w:val="000000"/>
          <w:sz w:val="28"/>
          <w:szCs w:val="28"/>
        </w:rPr>
        <w:t xml:space="preserve"> изразява размера на фактическата или очакваната икономическа изгода от предоставеното право на концесионера да добива подземни богатства от находището.</w:t>
      </w:r>
    </w:p>
    <w:p w14:paraId="185871FE" w14:textId="77777777" w:rsidR="00105472" w:rsidRPr="003356BF" w:rsidRDefault="00105472" w:rsidP="00F96464">
      <w:pPr>
        <w:spacing w:line="360" w:lineRule="auto"/>
        <w:ind w:firstLine="480"/>
        <w:jc w:val="both"/>
        <w:divId w:val="1037051958"/>
        <w:rPr>
          <w:color w:val="000000"/>
          <w:sz w:val="28"/>
          <w:szCs w:val="28"/>
        </w:rPr>
      </w:pPr>
      <w:r w:rsidRPr="001A2E9F">
        <w:rPr>
          <w:rStyle w:val="alcapt2"/>
          <w:b/>
          <w:bCs/>
          <w:i w:val="0"/>
          <w:color w:val="000000"/>
          <w:sz w:val="28"/>
          <w:szCs w:val="28"/>
        </w:rPr>
        <w:lastRenderedPageBreak/>
        <w:t>(3)</w:t>
      </w:r>
      <w:r w:rsidRPr="003356BF">
        <w:rPr>
          <w:color w:val="000000"/>
          <w:sz w:val="28"/>
          <w:szCs w:val="28"/>
        </w:rPr>
        <w:t xml:space="preserve"> Процентният размер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Pr="003356BF">
        <w:rPr>
          <w:color w:val="000000"/>
          <w:sz w:val="28"/>
          <w:szCs w:val="28"/>
        </w:rPr>
        <w:t xml:space="preserve"> е количественият израз на съотношението, в което получената икономическа изгода се разпределя между концесионера и концедента.</w:t>
      </w:r>
    </w:p>
    <w:p w14:paraId="1419E4FC" w14:textId="77777777" w:rsidR="00105472" w:rsidRPr="003356BF" w:rsidRDefault="00105472" w:rsidP="00F96464">
      <w:pPr>
        <w:spacing w:line="360" w:lineRule="auto"/>
        <w:ind w:firstLine="480"/>
        <w:jc w:val="both"/>
        <w:divId w:val="1037051914"/>
        <w:rPr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>Чл. 5.</w:t>
      </w:r>
      <w:r w:rsidRPr="003356BF">
        <w:rPr>
          <w:color w:val="000000"/>
          <w:sz w:val="28"/>
          <w:szCs w:val="28"/>
        </w:rPr>
        <w:t xml:space="preserve"> Процентният размер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Pr="003356BF">
        <w:rPr>
          <w:color w:val="000000"/>
          <w:sz w:val="28"/>
          <w:szCs w:val="28"/>
        </w:rPr>
        <w:t xml:space="preserve"> </w:t>
      </w:r>
      <w:r w:rsidR="002A68C5" w:rsidRPr="003356BF">
        <w:rPr>
          <w:color w:val="000000"/>
          <w:sz w:val="28"/>
          <w:szCs w:val="28"/>
        </w:rPr>
        <w:t xml:space="preserve">е в зависимост </w:t>
      </w:r>
      <w:r w:rsidR="00905EDB" w:rsidRPr="003356BF">
        <w:rPr>
          <w:color w:val="000000"/>
          <w:sz w:val="28"/>
          <w:szCs w:val="28"/>
        </w:rPr>
        <w:t xml:space="preserve">от вида, групата и ценността на подземните богатства, както и от специфичните условия за осъществяване на </w:t>
      </w:r>
      <w:r w:rsidR="00884367" w:rsidRPr="003356BF">
        <w:rPr>
          <w:color w:val="000000"/>
          <w:sz w:val="28"/>
          <w:szCs w:val="28"/>
        </w:rPr>
        <w:t>добива или добива и преработката</w:t>
      </w:r>
      <w:r w:rsidRPr="003356BF">
        <w:rPr>
          <w:color w:val="000000"/>
          <w:sz w:val="28"/>
          <w:szCs w:val="28"/>
        </w:rPr>
        <w:t xml:space="preserve">. </w:t>
      </w:r>
    </w:p>
    <w:p w14:paraId="40724481" w14:textId="77777777" w:rsidR="00206727" w:rsidRPr="003356BF" w:rsidRDefault="00105472" w:rsidP="00F96464">
      <w:pPr>
        <w:spacing w:line="360" w:lineRule="auto"/>
        <w:ind w:firstLine="480"/>
        <w:jc w:val="both"/>
        <w:divId w:val="1037051859"/>
        <w:rPr>
          <w:rStyle w:val="ala3"/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>Чл. 6.</w:t>
      </w:r>
      <w:r w:rsidRPr="003356BF">
        <w:rPr>
          <w:color w:val="000000"/>
          <w:sz w:val="28"/>
          <w:szCs w:val="28"/>
        </w:rPr>
        <w:t xml:space="preserve"> </w:t>
      </w:r>
      <w:r w:rsidRPr="001A2E9F">
        <w:rPr>
          <w:rStyle w:val="alcapt2"/>
          <w:b/>
          <w:bCs/>
          <w:i w:val="0"/>
          <w:color w:val="000000"/>
          <w:sz w:val="28"/>
          <w:szCs w:val="28"/>
        </w:rPr>
        <w:t>(1)</w:t>
      </w:r>
      <w:r w:rsidRPr="003356BF">
        <w:rPr>
          <w:rStyle w:val="ala3"/>
          <w:color w:val="000000"/>
          <w:sz w:val="28"/>
          <w:szCs w:val="28"/>
        </w:rPr>
        <w:t xml:space="preserve"> </w:t>
      </w:r>
      <w:r w:rsidR="00990665" w:rsidRPr="003356BF">
        <w:rPr>
          <w:rStyle w:val="ala3"/>
          <w:color w:val="000000"/>
          <w:sz w:val="28"/>
          <w:szCs w:val="28"/>
        </w:rPr>
        <w:t>Конкретният р</w:t>
      </w:r>
      <w:r w:rsidRPr="003356BF">
        <w:rPr>
          <w:rStyle w:val="ala3"/>
          <w:color w:val="000000"/>
          <w:sz w:val="28"/>
          <w:szCs w:val="28"/>
        </w:rPr>
        <w:t xml:space="preserve">азмер на концесионното </w:t>
      </w:r>
      <w:r w:rsidR="00EE44A1" w:rsidRPr="003356BF">
        <w:rPr>
          <w:rStyle w:val="ala3"/>
          <w:color w:val="000000"/>
          <w:sz w:val="28"/>
          <w:szCs w:val="28"/>
        </w:rPr>
        <w:t>плащане</w:t>
      </w:r>
      <w:r w:rsidRPr="003356BF">
        <w:rPr>
          <w:rStyle w:val="ala3"/>
          <w:color w:val="000000"/>
          <w:sz w:val="28"/>
          <w:szCs w:val="28"/>
        </w:rPr>
        <w:t xml:space="preserve"> не може да бъде по-нисък от съответния минимален размер, </w:t>
      </w:r>
      <w:r w:rsidR="005A6CCA" w:rsidRPr="003356BF">
        <w:rPr>
          <w:rStyle w:val="ala3"/>
          <w:color w:val="000000"/>
          <w:sz w:val="28"/>
          <w:szCs w:val="28"/>
        </w:rPr>
        <w:t xml:space="preserve">който </w:t>
      </w:r>
      <w:r w:rsidRPr="003356BF">
        <w:rPr>
          <w:rStyle w:val="ala3"/>
          <w:color w:val="000000"/>
          <w:sz w:val="28"/>
          <w:szCs w:val="28"/>
        </w:rPr>
        <w:t xml:space="preserve">се </w:t>
      </w:r>
      <w:r w:rsidR="00D8728D" w:rsidRPr="003356BF">
        <w:rPr>
          <w:rStyle w:val="ala3"/>
          <w:color w:val="000000"/>
          <w:sz w:val="28"/>
          <w:szCs w:val="28"/>
        </w:rPr>
        <w:t xml:space="preserve">дължи и </w:t>
      </w:r>
      <w:r w:rsidR="00771493" w:rsidRPr="003356BF">
        <w:rPr>
          <w:rStyle w:val="ala3"/>
          <w:color w:val="000000"/>
          <w:sz w:val="28"/>
          <w:szCs w:val="28"/>
        </w:rPr>
        <w:t xml:space="preserve">се </w:t>
      </w:r>
      <w:r w:rsidRPr="003356BF">
        <w:rPr>
          <w:rStyle w:val="ala3"/>
          <w:color w:val="000000"/>
          <w:sz w:val="28"/>
          <w:szCs w:val="28"/>
        </w:rPr>
        <w:t xml:space="preserve">заплаща </w:t>
      </w:r>
      <w:r w:rsidR="00D8728D" w:rsidRPr="003356BF">
        <w:rPr>
          <w:rStyle w:val="ala3"/>
          <w:color w:val="000000"/>
          <w:sz w:val="28"/>
          <w:szCs w:val="28"/>
        </w:rPr>
        <w:t xml:space="preserve">от концесионера </w:t>
      </w:r>
      <w:r w:rsidRPr="003356BF">
        <w:rPr>
          <w:rStyle w:val="ala3"/>
          <w:color w:val="000000"/>
          <w:sz w:val="28"/>
          <w:szCs w:val="28"/>
        </w:rPr>
        <w:t xml:space="preserve">независимо от </w:t>
      </w:r>
      <w:r w:rsidR="00D8728D" w:rsidRPr="003356BF">
        <w:rPr>
          <w:rStyle w:val="ala3"/>
          <w:color w:val="000000"/>
          <w:sz w:val="28"/>
          <w:szCs w:val="28"/>
        </w:rPr>
        <w:t xml:space="preserve">крайния </w:t>
      </w:r>
      <w:r w:rsidRPr="003356BF">
        <w:rPr>
          <w:rStyle w:val="ala3"/>
          <w:color w:val="000000"/>
          <w:sz w:val="28"/>
          <w:szCs w:val="28"/>
        </w:rPr>
        <w:t xml:space="preserve">финансов резултат </w:t>
      </w:r>
      <w:r w:rsidR="00D8728D" w:rsidRPr="003356BF">
        <w:rPr>
          <w:rStyle w:val="ala3"/>
          <w:color w:val="000000"/>
          <w:sz w:val="28"/>
          <w:szCs w:val="28"/>
        </w:rPr>
        <w:t>от дейността му</w:t>
      </w:r>
      <w:r w:rsidRPr="003356BF">
        <w:rPr>
          <w:rStyle w:val="ala3"/>
          <w:color w:val="000000"/>
          <w:sz w:val="28"/>
          <w:szCs w:val="28"/>
        </w:rPr>
        <w:t>.</w:t>
      </w:r>
      <w:r w:rsidRPr="003356BF">
        <w:rPr>
          <w:color w:val="000000"/>
          <w:sz w:val="28"/>
          <w:szCs w:val="28"/>
        </w:rPr>
        <w:t xml:space="preserve"> </w:t>
      </w:r>
    </w:p>
    <w:p w14:paraId="7ABAE21A" w14:textId="542CCC28" w:rsidR="00105472" w:rsidRPr="003356BF" w:rsidRDefault="00973CAF" w:rsidP="00F96464">
      <w:pPr>
        <w:spacing w:line="360" w:lineRule="auto"/>
        <w:ind w:firstLine="480"/>
        <w:jc w:val="both"/>
        <w:divId w:val="1037051859"/>
        <w:rPr>
          <w:rStyle w:val="ala3"/>
          <w:color w:val="000000"/>
          <w:sz w:val="28"/>
          <w:szCs w:val="28"/>
        </w:rPr>
      </w:pPr>
      <w:r w:rsidRPr="001A2E9F">
        <w:rPr>
          <w:rStyle w:val="ala3"/>
          <w:b/>
          <w:bCs/>
          <w:color w:val="000000"/>
          <w:sz w:val="28"/>
          <w:szCs w:val="28"/>
        </w:rPr>
        <w:t>(2)</w:t>
      </w:r>
      <w:r w:rsidRPr="003356BF">
        <w:rPr>
          <w:rStyle w:val="ala3"/>
          <w:color w:val="000000"/>
          <w:sz w:val="28"/>
          <w:szCs w:val="28"/>
        </w:rPr>
        <w:t xml:space="preserve"> Конкретният</w:t>
      </w:r>
      <w:r w:rsidR="00C349C0" w:rsidRPr="003356BF">
        <w:rPr>
          <w:rStyle w:val="ala3"/>
          <w:color w:val="000000"/>
          <w:sz w:val="28"/>
          <w:szCs w:val="28"/>
        </w:rPr>
        <w:t xml:space="preserve">, включително </w:t>
      </w:r>
      <w:r w:rsidRPr="003356BF">
        <w:rPr>
          <w:rStyle w:val="ala3"/>
          <w:color w:val="000000"/>
          <w:sz w:val="28"/>
          <w:szCs w:val="28"/>
        </w:rPr>
        <w:t>м</w:t>
      </w:r>
      <w:r w:rsidR="005A6CCA" w:rsidRPr="003356BF">
        <w:rPr>
          <w:rStyle w:val="ala3"/>
          <w:color w:val="000000"/>
          <w:sz w:val="28"/>
          <w:szCs w:val="28"/>
        </w:rPr>
        <w:t>инималният</w:t>
      </w:r>
      <w:r w:rsidR="001638F4">
        <w:rPr>
          <w:rStyle w:val="ala3"/>
          <w:color w:val="000000"/>
          <w:sz w:val="28"/>
          <w:szCs w:val="28"/>
        </w:rPr>
        <w:t>,</w:t>
      </w:r>
      <w:r w:rsidR="005A6CCA" w:rsidRPr="003356BF">
        <w:rPr>
          <w:rStyle w:val="ala3"/>
          <w:color w:val="000000"/>
          <w:sz w:val="28"/>
          <w:szCs w:val="28"/>
        </w:rPr>
        <w:t xml:space="preserve"> размер </w:t>
      </w:r>
      <w:r w:rsidR="00990665" w:rsidRPr="003356BF">
        <w:rPr>
          <w:rStyle w:val="ala3"/>
          <w:color w:val="000000"/>
          <w:sz w:val="28"/>
          <w:szCs w:val="28"/>
        </w:rPr>
        <w:t xml:space="preserve">на концесионното плащане </w:t>
      </w:r>
      <w:r w:rsidR="006E485E" w:rsidRPr="003356BF">
        <w:rPr>
          <w:rStyle w:val="ala3"/>
          <w:color w:val="000000"/>
          <w:sz w:val="28"/>
          <w:szCs w:val="28"/>
        </w:rPr>
        <w:t xml:space="preserve">се </w:t>
      </w:r>
      <w:r w:rsidR="005A6CCA" w:rsidRPr="003356BF">
        <w:rPr>
          <w:rStyle w:val="ala3"/>
          <w:color w:val="000000"/>
          <w:sz w:val="28"/>
          <w:szCs w:val="28"/>
        </w:rPr>
        <w:t>определ</w:t>
      </w:r>
      <w:r w:rsidR="006E485E" w:rsidRPr="003356BF">
        <w:rPr>
          <w:rStyle w:val="ala3"/>
          <w:color w:val="000000"/>
          <w:sz w:val="28"/>
          <w:szCs w:val="28"/>
        </w:rPr>
        <w:t>я</w:t>
      </w:r>
      <w:r w:rsidRPr="003356BF">
        <w:rPr>
          <w:rStyle w:val="ala3"/>
          <w:color w:val="000000"/>
          <w:sz w:val="28"/>
          <w:szCs w:val="28"/>
        </w:rPr>
        <w:t>т</w:t>
      </w:r>
      <w:r w:rsidR="005A6CCA" w:rsidRPr="003356BF">
        <w:rPr>
          <w:rStyle w:val="ala3"/>
          <w:color w:val="000000"/>
          <w:sz w:val="28"/>
          <w:szCs w:val="28"/>
        </w:rPr>
        <w:t xml:space="preserve"> съгласно чл. </w:t>
      </w:r>
      <w:r w:rsidR="007839AC" w:rsidRPr="003356BF">
        <w:rPr>
          <w:rStyle w:val="ala3"/>
          <w:color w:val="000000"/>
          <w:sz w:val="28"/>
          <w:szCs w:val="28"/>
        </w:rPr>
        <w:t>9</w:t>
      </w:r>
      <w:r w:rsidRPr="003356BF">
        <w:rPr>
          <w:rStyle w:val="ala3"/>
          <w:color w:val="000000"/>
          <w:sz w:val="28"/>
          <w:szCs w:val="28"/>
        </w:rPr>
        <w:t>-1</w:t>
      </w:r>
      <w:r w:rsidR="00C349C0" w:rsidRPr="003356BF">
        <w:rPr>
          <w:rStyle w:val="ala3"/>
          <w:color w:val="000000"/>
          <w:sz w:val="28"/>
          <w:szCs w:val="28"/>
        </w:rPr>
        <w:t>5</w:t>
      </w:r>
      <w:r w:rsidR="006E485E" w:rsidRPr="003356BF">
        <w:rPr>
          <w:rStyle w:val="ala3"/>
          <w:color w:val="000000"/>
          <w:sz w:val="28"/>
          <w:szCs w:val="28"/>
        </w:rPr>
        <w:t>.</w:t>
      </w:r>
    </w:p>
    <w:p w14:paraId="6E80E618" w14:textId="77777777" w:rsidR="00100D33" w:rsidRPr="003356BF" w:rsidRDefault="00973CAF" w:rsidP="00D70FFA">
      <w:pPr>
        <w:spacing w:line="360" w:lineRule="auto"/>
        <w:ind w:firstLine="480"/>
        <w:jc w:val="both"/>
        <w:divId w:val="1037051925"/>
        <w:rPr>
          <w:color w:val="000000"/>
          <w:sz w:val="28"/>
          <w:szCs w:val="28"/>
        </w:rPr>
      </w:pPr>
      <w:r w:rsidRPr="003356BF">
        <w:rPr>
          <w:rStyle w:val="alcapt2"/>
          <w:b/>
          <w:i w:val="0"/>
          <w:color w:val="000000"/>
          <w:sz w:val="28"/>
          <w:szCs w:val="28"/>
        </w:rPr>
        <w:t xml:space="preserve">Чл. </w:t>
      </w:r>
      <w:r w:rsidR="00C349C0" w:rsidRPr="003356BF">
        <w:rPr>
          <w:rStyle w:val="alcapt2"/>
          <w:b/>
          <w:i w:val="0"/>
          <w:color w:val="000000"/>
          <w:sz w:val="28"/>
          <w:szCs w:val="28"/>
        </w:rPr>
        <w:t>7</w:t>
      </w:r>
      <w:r w:rsidR="00D70FFA" w:rsidRPr="003356BF">
        <w:rPr>
          <w:rStyle w:val="alcapt2"/>
          <w:b/>
          <w:i w:val="0"/>
          <w:color w:val="000000"/>
          <w:sz w:val="28"/>
          <w:szCs w:val="28"/>
        </w:rPr>
        <w:t xml:space="preserve">. </w:t>
      </w:r>
      <w:r w:rsidR="00100D33" w:rsidRPr="003356BF">
        <w:rPr>
          <w:color w:val="000000"/>
          <w:sz w:val="28"/>
          <w:szCs w:val="28"/>
        </w:rPr>
        <w:t>За находища на подземни богатства с доказани неблагоприятни минно-геоложки, техноложки и икономически характеристики или за възстановяване на добива от находища с преустановен добив в района на общини с трайна безработица Министерският съвет може да приеме решение за:</w:t>
      </w:r>
    </w:p>
    <w:p w14:paraId="6208213A" w14:textId="77777777" w:rsidR="00100D33" w:rsidRPr="003356BF" w:rsidRDefault="00100D33" w:rsidP="00100D33">
      <w:pPr>
        <w:spacing w:line="360" w:lineRule="auto"/>
        <w:ind w:firstLine="480"/>
        <w:jc w:val="both"/>
        <w:divId w:val="103705192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 освобождаване на концесионера от концесионно плащане за период до 5 години, или</w:t>
      </w:r>
    </w:p>
    <w:p w14:paraId="6CEF874F" w14:textId="0D2A9E57" w:rsidR="00100D33" w:rsidRPr="003356BF" w:rsidRDefault="00100D33" w:rsidP="00100D33">
      <w:pPr>
        <w:spacing w:line="360" w:lineRule="auto"/>
        <w:ind w:firstLine="480"/>
        <w:jc w:val="both"/>
        <w:divId w:val="103705192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2. намаляване размера на концесионното плащане до 50 на сто от вече определения</w:t>
      </w:r>
      <w:r w:rsidR="001638F4">
        <w:rPr>
          <w:color w:val="000000"/>
          <w:sz w:val="28"/>
          <w:szCs w:val="28"/>
        </w:rPr>
        <w:t xml:space="preserve"> размер</w:t>
      </w:r>
      <w:r w:rsidRPr="003356BF">
        <w:rPr>
          <w:color w:val="000000"/>
          <w:sz w:val="28"/>
          <w:szCs w:val="28"/>
        </w:rPr>
        <w:t xml:space="preserve"> за период до 5 години.</w:t>
      </w:r>
    </w:p>
    <w:p w14:paraId="3C26C85A" w14:textId="77777777" w:rsidR="00105472" w:rsidRPr="003356BF" w:rsidRDefault="00105472" w:rsidP="00F96464">
      <w:pPr>
        <w:spacing w:line="360" w:lineRule="auto"/>
        <w:ind w:firstLine="480"/>
        <w:jc w:val="both"/>
        <w:divId w:val="1037051980"/>
        <w:rPr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 xml:space="preserve">Чл. </w:t>
      </w:r>
      <w:r w:rsidR="00C349C0" w:rsidRPr="003356BF">
        <w:rPr>
          <w:rStyle w:val="parcapt2"/>
          <w:color w:val="000000"/>
          <w:sz w:val="28"/>
          <w:szCs w:val="28"/>
        </w:rPr>
        <w:t>8</w:t>
      </w:r>
      <w:r w:rsidRPr="003356BF">
        <w:rPr>
          <w:rStyle w:val="parcapt2"/>
          <w:color w:val="000000"/>
          <w:sz w:val="28"/>
          <w:szCs w:val="28"/>
        </w:rPr>
        <w:t>.</w:t>
      </w:r>
      <w:r w:rsidRPr="003356BF">
        <w:rPr>
          <w:color w:val="000000"/>
          <w:sz w:val="28"/>
          <w:szCs w:val="28"/>
        </w:rPr>
        <w:t xml:space="preserve"> </w:t>
      </w:r>
      <w:r w:rsidRPr="001A2E9F">
        <w:rPr>
          <w:rStyle w:val="alcapt2"/>
          <w:b/>
          <w:bCs/>
          <w:i w:val="0"/>
          <w:color w:val="000000"/>
          <w:sz w:val="28"/>
          <w:szCs w:val="28"/>
        </w:rPr>
        <w:t>(1)</w:t>
      </w:r>
      <w:r w:rsidRPr="003356BF">
        <w:rPr>
          <w:rStyle w:val="ala4"/>
          <w:color w:val="000000"/>
          <w:sz w:val="28"/>
          <w:szCs w:val="28"/>
        </w:rPr>
        <w:t xml:space="preserve"> Концесионерът </w:t>
      </w:r>
      <w:r w:rsidR="00B106A1" w:rsidRPr="003356BF">
        <w:rPr>
          <w:rStyle w:val="ala4"/>
          <w:color w:val="000000"/>
          <w:sz w:val="28"/>
          <w:szCs w:val="28"/>
        </w:rPr>
        <w:t>организира и осъществява счетоводното отчитане на дейността си в съответствие със Закона за счетоводството и приложимите счетоводни стандарти, като осигурява всеобхватното хронологично регистриране на счетоводната информация в аналитични и синтетични счетоводни сметки за всяка отделна концесия.</w:t>
      </w:r>
      <w:r w:rsidR="0052234A" w:rsidRPr="003356BF">
        <w:rPr>
          <w:rStyle w:val="ala4"/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 xml:space="preserve"> </w:t>
      </w:r>
    </w:p>
    <w:p w14:paraId="36E0F8D7" w14:textId="77777777" w:rsidR="00FC42C0" w:rsidRPr="003356BF" w:rsidRDefault="00FB5823" w:rsidP="00FC42C0">
      <w:pPr>
        <w:spacing w:line="360" w:lineRule="auto"/>
        <w:ind w:firstLine="480"/>
        <w:jc w:val="both"/>
        <w:divId w:val="1037051980"/>
        <w:rPr>
          <w:color w:val="000000"/>
          <w:sz w:val="28"/>
          <w:szCs w:val="28"/>
        </w:rPr>
      </w:pPr>
      <w:r w:rsidRPr="001A2E9F">
        <w:rPr>
          <w:b/>
          <w:bCs/>
          <w:iCs/>
          <w:color w:val="000000"/>
          <w:sz w:val="28"/>
          <w:szCs w:val="28"/>
        </w:rPr>
        <w:t>(2)</w:t>
      </w:r>
      <w:r w:rsidRPr="003356BF">
        <w:rPr>
          <w:color w:val="000000"/>
          <w:sz w:val="28"/>
          <w:szCs w:val="28"/>
        </w:rPr>
        <w:t xml:space="preserve"> Концесионерът изготвя и пред</w:t>
      </w:r>
      <w:r w:rsidR="00E04A1D" w:rsidRPr="003356BF">
        <w:rPr>
          <w:color w:val="000000"/>
          <w:sz w:val="28"/>
          <w:szCs w:val="28"/>
        </w:rPr>
        <w:t>о</w:t>
      </w:r>
      <w:r w:rsidRPr="003356BF">
        <w:rPr>
          <w:color w:val="000000"/>
          <w:sz w:val="28"/>
          <w:szCs w:val="28"/>
        </w:rPr>
        <w:t xml:space="preserve">ставя на </w:t>
      </w:r>
      <w:r w:rsidR="00A905EA" w:rsidRPr="003356BF">
        <w:rPr>
          <w:color w:val="000000"/>
          <w:sz w:val="28"/>
          <w:szCs w:val="28"/>
        </w:rPr>
        <w:t xml:space="preserve">министъра на енергетиката </w:t>
      </w:r>
      <w:r w:rsidR="002448DF" w:rsidRPr="003356BF">
        <w:rPr>
          <w:color w:val="000000"/>
          <w:sz w:val="28"/>
          <w:szCs w:val="28"/>
        </w:rPr>
        <w:t xml:space="preserve">отчети за определяне размера на концесионното плащане </w:t>
      </w:r>
      <w:r w:rsidRPr="003356BF">
        <w:rPr>
          <w:color w:val="000000"/>
          <w:sz w:val="28"/>
          <w:szCs w:val="28"/>
        </w:rPr>
        <w:t>за всеки съответен</w:t>
      </w:r>
      <w:r w:rsidR="00A21888" w:rsidRPr="003356BF">
        <w:rPr>
          <w:color w:val="000000"/>
          <w:sz w:val="28"/>
          <w:szCs w:val="28"/>
        </w:rPr>
        <w:t xml:space="preserve"> отчетен</w:t>
      </w:r>
      <w:r w:rsidR="001F3198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>период</w:t>
      </w:r>
      <w:r w:rsidR="002448DF" w:rsidRPr="003356BF">
        <w:rPr>
          <w:color w:val="000000"/>
          <w:sz w:val="28"/>
          <w:szCs w:val="28"/>
        </w:rPr>
        <w:t>, съгласно концесионния договор</w:t>
      </w:r>
      <w:r w:rsidRPr="003356BF">
        <w:rPr>
          <w:color w:val="000000"/>
          <w:sz w:val="28"/>
          <w:szCs w:val="28"/>
        </w:rPr>
        <w:t>.</w:t>
      </w:r>
    </w:p>
    <w:p w14:paraId="6FB72944" w14:textId="75D2D6F0" w:rsidR="00105472" w:rsidRPr="003356BF" w:rsidRDefault="00105472" w:rsidP="00F96464">
      <w:pPr>
        <w:spacing w:line="360" w:lineRule="auto"/>
        <w:ind w:firstLine="480"/>
        <w:jc w:val="both"/>
        <w:divId w:val="1037051918"/>
        <w:rPr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lastRenderedPageBreak/>
        <w:t xml:space="preserve">Чл. </w:t>
      </w:r>
      <w:r w:rsidR="00C349C0" w:rsidRPr="003356BF">
        <w:rPr>
          <w:rStyle w:val="parcapt2"/>
          <w:color w:val="000000"/>
          <w:sz w:val="28"/>
          <w:szCs w:val="28"/>
        </w:rPr>
        <w:t>9</w:t>
      </w:r>
      <w:r w:rsidRPr="003356BF">
        <w:rPr>
          <w:rStyle w:val="parcapt2"/>
          <w:color w:val="000000"/>
          <w:sz w:val="28"/>
          <w:szCs w:val="28"/>
        </w:rPr>
        <w:t>.</w:t>
      </w:r>
      <w:r w:rsidRPr="003356BF">
        <w:rPr>
          <w:color w:val="000000"/>
          <w:sz w:val="28"/>
          <w:szCs w:val="28"/>
        </w:rPr>
        <w:t xml:space="preserve"> Конкретният размер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Pr="003356BF">
        <w:rPr>
          <w:color w:val="000000"/>
          <w:sz w:val="28"/>
          <w:szCs w:val="28"/>
        </w:rPr>
        <w:t xml:space="preserve"> за подземните богатства по чл. 2, </w:t>
      </w:r>
      <w:r w:rsidR="00234340" w:rsidRPr="003356BF">
        <w:rPr>
          <w:color w:val="000000"/>
          <w:sz w:val="28"/>
          <w:szCs w:val="28"/>
        </w:rPr>
        <w:t xml:space="preserve">ал. 1, </w:t>
      </w:r>
      <w:r w:rsidRPr="003356BF">
        <w:rPr>
          <w:color w:val="000000"/>
          <w:sz w:val="28"/>
          <w:szCs w:val="28"/>
        </w:rPr>
        <w:t xml:space="preserve">т. </w:t>
      </w:r>
      <w:r w:rsidR="00A0360A" w:rsidRPr="003356BF">
        <w:rPr>
          <w:color w:val="000000"/>
          <w:sz w:val="28"/>
          <w:szCs w:val="28"/>
        </w:rPr>
        <w:t xml:space="preserve">1 </w:t>
      </w:r>
      <w:r w:rsidRPr="003356BF">
        <w:rPr>
          <w:color w:val="000000"/>
          <w:sz w:val="28"/>
          <w:szCs w:val="28"/>
        </w:rPr>
        <w:t>от</w:t>
      </w:r>
      <w:r w:rsidR="002A1737" w:rsidRPr="003356BF">
        <w:rPr>
          <w:color w:val="000000"/>
          <w:sz w:val="28"/>
          <w:szCs w:val="28"/>
        </w:rPr>
        <w:t xml:space="preserve"> ЗПБ – метални полезни изкопаеми</w:t>
      </w:r>
      <w:r w:rsidR="005021DB" w:rsidRPr="003356BF">
        <w:rPr>
          <w:color w:val="000000"/>
          <w:sz w:val="28"/>
          <w:szCs w:val="28"/>
        </w:rPr>
        <w:t>,</w:t>
      </w:r>
      <w:r w:rsidRPr="003356BF">
        <w:rPr>
          <w:color w:val="000000"/>
          <w:sz w:val="28"/>
          <w:szCs w:val="28"/>
        </w:rPr>
        <w:t xml:space="preserve"> се определя съгласно </w:t>
      </w:r>
      <w:r w:rsidR="001638F4" w:rsidRPr="003356BF">
        <w:rPr>
          <w:color w:val="000000"/>
          <w:sz w:val="28"/>
          <w:szCs w:val="28"/>
        </w:rPr>
        <w:t xml:space="preserve">Приложение </w:t>
      </w:r>
      <w:r w:rsidRPr="003356BF">
        <w:rPr>
          <w:color w:val="000000"/>
          <w:sz w:val="28"/>
          <w:szCs w:val="28"/>
        </w:rPr>
        <w:t xml:space="preserve">№ 1. </w:t>
      </w:r>
    </w:p>
    <w:p w14:paraId="60B71BC0" w14:textId="11D034D7" w:rsidR="00A0360A" w:rsidRPr="003356BF" w:rsidRDefault="00A0360A" w:rsidP="00F96464">
      <w:pPr>
        <w:spacing w:line="360" w:lineRule="auto"/>
        <w:ind w:firstLine="480"/>
        <w:jc w:val="both"/>
        <w:divId w:val="1037051918"/>
        <w:rPr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 xml:space="preserve">Чл. </w:t>
      </w:r>
      <w:r w:rsidR="00973CAF" w:rsidRPr="003356BF">
        <w:rPr>
          <w:rStyle w:val="parcapt2"/>
          <w:color w:val="000000"/>
          <w:sz w:val="28"/>
          <w:szCs w:val="28"/>
        </w:rPr>
        <w:t>1</w:t>
      </w:r>
      <w:r w:rsidR="00C349C0" w:rsidRPr="003356BF">
        <w:rPr>
          <w:rStyle w:val="parcapt2"/>
          <w:color w:val="000000"/>
          <w:sz w:val="28"/>
          <w:szCs w:val="28"/>
        </w:rPr>
        <w:t>0</w:t>
      </w:r>
      <w:r w:rsidRPr="003356BF">
        <w:rPr>
          <w:rStyle w:val="parcapt2"/>
          <w:color w:val="000000"/>
          <w:sz w:val="28"/>
          <w:szCs w:val="28"/>
        </w:rPr>
        <w:t>.</w:t>
      </w:r>
      <w:r w:rsidRPr="003356BF">
        <w:rPr>
          <w:color w:val="000000"/>
          <w:sz w:val="28"/>
          <w:szCs w:val="28"/>
        </w:rPr>
        <w:t xml:space="preserve"> Конкретният размер на концесионното плащане за подземните богатства по чл. 2, ал. 1, т. 2 от</w:t>
      </w:r>
      <w:r w:rsidR="002A1737" w:rsidRPr="003356BF">
        <w:rPr>
          <w:color w:val="000000"/>
          <w:sz w:val="28"/>
          <w:szCs w:val="28"/>
        </w:rPr>
        <w:t xml:space="preserve"> ЗПБ – неметални полезни изкопаеми – индустриални минерали</w:t>
      </w:r>
      <w:r w:rsidR="005021DB" w:rsidRPr="003356BF">
        <w:rPr>
          <w:color w:val="000000"/>
          <w:sz w:val="28"/>
          <w:szCs w:val="28"/>
        </w:rPr>
        <w:t>,</w:t>
      </w:r>
      <w:r w:rsidR="002A1737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 xml:space="preserve">се определя съгласно </w:t>
      </w:r>
      <w:r w:rsidR="001638F4" w:rsidRPr="003356BF">
        <w:rPr>
          <w:color w:val="000000"/>
          <w:sz w:val="28"/>
          <w:szCs w:val="28"/>
        </w:rPr>
        <w:t xml:space="preserve">Приложение </w:t>
      </w:r>
      <w:r w:rsidRPr="003356BF">
        <w:rPr>
          <w:color w:val="000000"/>
          <w:sz w:val="28"/>
          <w:szCs w:val="28"/>
        </w:rPr>
        <w:t xml:space="preserve">№ </w:t>
      </w:r>
      <w:r w:rsidR="00781232" w:rsidRPr="003356BF">
        <w:rPr>
          <w:color w:val="000000"/>
          <w:sz w:val="28"/>
          <w:szCs w:val="28"/>
        </w:rPr>
        <w:t>2</w:t>
      </w:r>
      <w:r w:rsidRPr="003356BF">
        <w:rPr>
          <w:color w:val="000000"/>
          <w:sz w:val="28"/>
          <w:szCs w:val="28"/>
        </w:rPr>
        <w:t xml:space="preserve">. </w:t>
      </w:r>
    </w:p>
    <w:p w14:paraId="6BB06CF0" w14:textId="2749D53D" w:rsidR="00105472" w:rsidRPr="003356BF" w:rsidRDefault="00105472" w:rsidP="00F96464">
      <w:pPr>
        <w:spacing w:line="360" w:lineRule="auto"/>
        <w:ind w:firstLine="480"/>
        <w:jc w:val="both"/>
        <w:divId w:val="1037051928"/>
        <w:rPr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 xml:space="preserve">Чл. </w:t>
      </w:r>
      <w:r w:rsidR="00973CAF" w:rsidRPr="003356BF">
        <w:rPr>
          <w:rStyle w:val="parcapt2"/>
          <w:color w:val="000000"/>
          <w:sz w:val="28"/>
          <w:szCs w:val="28"/>
        </w:rPr>
        <w:t>1</w:t>
      </w:r>
      <w:r w:rsidR="00C349C0" w:rsidRPr="003356BF">
        <w:rPr>
          <w:rStyle w:val="parcapt2"/>
          <w:color w:val="000000"/>
          <w:sz w:val="28"/>
          <w:szCs w:val="28"/>
        </w:rPr>
        <w:t>1</w:t>
      </w:r>
      <w:r w:rsidRPr="003356BF">
        <w:rPr>
          <w:rStyle w:val="parcapt2"/>
          <w:color w:val="000000"/>
          <w:sz w:val="28"/>
          <w:szCs w:val="28"/>
        </w:rPr>
        <w:t>.</w:t>
      </w:r>
      <w:r w:rsidRPr="003356BF">
        <w:rPr>
          <w:color w:val="000000"/>
          <w:sz w:val="28"/>
          <w:szCs w:val="28"/>
        </w:rPr>
        <w:t xml:space="preserve"> Конкретният размер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Pr="003356BF">
        <w:rPr>
          <w:color w:val="000000"/>
          <w:sz w:val="28"/>
          <w:szCs w:val="28"/>
        </w:rPr>
        <w:t xml:space="preserve"> за подземните богатства по чл. 2, </w:t>
      </w:r>
      <w:r w:rsidR="00234340" w:rsidRPr="003356BF">
        <w:rPr>
          <w:color w:val="000000"/>
          <w:sz w:val="28"/>
          <w:szCs w:val="28"/>
        </w:rPr>
        <w:t xml:space="preserve">ал. 1, </w:t>
      </w:r>
      <w:r w:rsidRPr="003356BF">
        <w:rPr>
          <w:color w:val="000000"/>
          <w:sz w:val="28"/>
          <w:szCs w:val="28"/>
        </w:rPr>
        <w:t xml:space="preserve">т. </w:t>
      </w:r>
      <w:r w:rsidR="00A0360A" w:rsidRPr="003356BF">
        <w:rPr>
          <w:color w:val="000000"/>
          <w:sz w:val="28"/>
          <w:szCs w:val="28"/>
        </w:rPr>
        <w:t>3</w:t>
      </w:r>
      <w:r w:rsidRPr="003356BF">
        <w:rPr>
          <w:color w:val="000000"/>
          <w:sz w:val="28"/>
          <w:szCs w:val="28"/>
        </w:rPr>
        <w:t xml:space="preserve"> от </w:t>
      </w:r>
      <w:r w:rsidR="002A1737" w:rsidRPr="003356BF">
        <w:rPr>
          <w:color w:val="000000"/>
          <w:sz w:val="28"/>
          <w:szCs w:val="28"/>
        </w:rPr>
        <w:t>ЗПБ</w:t>
      </w:r>
      <w:r w:rsidRPr="003356BF">
        <w:rPr>
          <w:color w:val="000000"/>
          <w:sz w:val="28"/>
          <w:szCs w:val="28"/>
        </w:rPr>
        <w:t xml:space="preserve"> </w:t>
      </w:r>
      <w:r w:rsidR="002A1737" w:rsidRPr="003356BF">
        <w:rPr>
          <w:color w:val="000000"/>
          <w:sz w:val="28"/>
          <w:szCs w:val="28"/>
        </w:rPr>
        <w:t>– нефт и природен газ</w:t>
      </w:r>
      <w:r w:rsidR="005021DB" w:rsidRPr="003356BF">
        <w:rPr>
          <w:color w:val="000000"/>
          <w:sz w:val="28"/>
          <w:szCs w:val="28"/>
        </w:rPr>
        <w:t>,</w:t>
      </w:r>
      <w:r w:rsidR="002A1737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 xml:space="preserve">се определя съгласно </w:t>
      </w:r>
      <w:r w:rsidR="001638F4" w:rsidRPr="003356BF">
        <w:rPr>
          <w:color w:val="000000"/>
          <w:sz w:val="28"/>
          <w:szCs w:val="28"/>
        </w:rPr>
        <w:t xml:space="preserve">Приложение </w:t>
      </w:r>
      <w:r w:rsidRPr="003356BF">
        <w:rPr>
          <w:color w:val="000000"/>
          <w:sz w:val="28"/>
          <w:szCs w:val="28"/>
        </w:rPr>
        <w:t xml:space="preserve">№ </w:t>
      </w:r>
      <w:r w:rsidR="00781232" w:rsidRPr="003356BF">
        <w:rPr>
          <w:color w:val="000000"/>
          <w:sz w:val="28"/>
          <w:szCs w:val="28"/>
        </w:rPr>
        <w:t>3</w:t>
      </w:r>
      <w:r w:rsidRPr="003356BF">
        <w:rPr>
          <w:color w:val="000000"/>
          <w:sz w:val="28"/>
          <w:szCs w:val="28"/>
        </w:rPr>
        <w:t xml:space="preserve">. </w:t>
      </w:r>
    </w:p>
    <w:p w14:paraId="6A502B5F" w14:textId="78CCB923" w:rsidR="00105472" w:rsidRPr="003356BF" w:rsidRDefault="00105472" w:rsidP="00F96464">
      <w:pPr>
        <w:spacing w:line="360" w:lineRule="auto"/>
        <w:ind w:firstLine="480"/>
        <w:jc w:val="both"/>
        <w:divId w:val="1037051941"/>
        <w:rPr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 xml:space="preserve">Чл. </w:t>
      </w:r>
      <w:r w:rsidR="00973CAF" w:rsidRPr="003356BF">
        <w:rPr>
          <w:rStyle w:val="parcapt2"/>
          <w:color w:val="000000"/>
          <w:sz w:val="28"/>
          <w:szCs w:val="28"/>
        </w:rPr>
        <w:t>1</w:t>
      </w:r>
      <w:r w:rsidR="00C349C0" w:rsidRPr="003356BF">
        <w:rPr>
          <w:rStyle w:val="parcapt2"/>
          <w:color w:val="000000"/>
          <w:sz w:val="28"/>
          <w:szCs w:val="28"/>
        </w:rPr>
        <w:t>2</w:t>
      </w:r>
      <w:r w:rsidRPr="003356BF">
        <w:rPr>
          <w:rStyle w:val="parcapt2"/>
          <w:color w:val="000000"/>
          <w:sz w:val="28"/>
          <w:szCs w:val="28"/>
        </w:rPr>
        <w:t>.</w:t>
      </w:r>
      <w:r w:rsidRPr="003356BF">
        <w:rPr>
          <w:color w:val="000000"/>
          <w:sz w:val="28"/>
          <w:szCs w:val="28"/>
        </w:rPr>
        <w:t xml:space="preserve"> Конкретният размер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Pr="003356BF">
        <w:rPr>
          <w:color w:val="000000"/>
          <w:sz w:val="28"/>
          <w:szCs w:val="28"/>
        </w:rPr>
        <w:t xml:space="preserve"> за подземните богатства по чл. 2, </w:t>
      </w:r>
      <w:r w:rsidR="00234340" w:rsidRPr="003356BF">
        <w:rPr>
          <w:color w:val="000000"/>
          <w:sz w:val="28"/>
          <w:szCs w:val="28"/>
        </w:rPr>
        <w:t xml:space="preserve">ал. 1, </w:t>
      </w:r>
      <w:r w:rsidRPr="003356BF">
        <w:rPr>
          <w:color w:val="000000"/>
          <w:sz w:val="28"/>
          <w:szCs w:val="28"/>
        </w:rPr>
        <w:t xml:space="preserve">т. </w:t>
      </w:r>
      <w:r w:rsidR="00A0360A" w:rsidRPr="003356BF">
        <w:rPr>
          <w:color w:val="000000"/>
          <w:sz w:val="28"/>
          <w:szCs w:val="28"/>
        </w:rPr>
        <w:t xml:space="preserve">4 </w:t>
      </w:r>
      <w:r w:rsidRPr="003356BF">
        <w:rPr>
          <w:color w:val="000000"/>
          <w:sz w:val="28"/>
          <w:szCs w:val="28"/>
        </w:rPr>
        <w:t xml:space="preserve">от </w:t>
      </w:r>
      <w:r w:rsidR="002A1737" w:rsidRPr="003356BF">
        <w:rPr>
          <w:color w:val="000000"/>
          <w:sz w:val="28"/>
          <w:szCs w:val="28"/>
        </w:rPr>
        <w:t>ЗПБ – твърди горива</w:t>
      </w:r>
      <w:r w:rsidR="005021DB" w:rsidRPr="003356BF">
        <w:rPr>
          <w:color w:val="000000"/>
          <w:sz w:val="28"/>
          <w:szCs w:val="28"/>
        </w:rPr>
        <w:t>,</w:t>
      </w:r>
      <w:r w:rsidR="002A1737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 xml:space="preserve">се определя съгласно </w:t>
      </w:r>
      <w:r w:rsidR="001638F4" w:rsidRPr="003356BF">
        <w:rPr>
          <w:color w:val="000000"/>
          <w:sz w:val="28"/>
          <w:szCs w:val="28"/>
        </w:rPr>
        <w:t xml:space="preserve">Приложение </w:t>
      </w:r>
      <w:r w:rsidRPr="003356BF">
        <w:rPr>
          <w:color w:val="000000"/>
          <w:sz w:val="28"/>
          <w:szCs w:val="28"/>
        </w:rPr>
        <w:t xml:space="preserve">№ </w:t>
      </w:r>
      <w:r w:rsidR="00781232" w:rsidRPr="003356BF">
        <w:rPr>
          <w:color w:val="000000"/>
          <w:sz w:val="28"/>
          <w:szCs w:val="28"/>
        </w:rPr>
        <w:t>4</w:t>
      </w:r>
      <w:r w:rsidRPr="003356BF">
        <w:rPr>
          <w:color w:val="000000"/>
          <w:sz w:val="28"/>
          <w:szCs w:val="28"/>
        </w:rPr>
        <w:t xml:space="preserve">. </w:t>
      </w:r>
    </w:p>
    <w:p w14:paraId="209CC2D7" w14:textId="2BF4BD7F" w:rsidR="00105472" w:rsidRPr="003356BF" w:rsidRDefault="00105472" w:rsidP="00F96464">
      <w:pPr>
        <w:spacing w:line="360" w:lineRule="auto"/>
        <w:ind w:firstLine="480"/>
        <w:jc w:val="both"/>
        <w:divId w:val="1037051900"/>
        <w:rPr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 xml:space="preserve">Чл. </w:t>
      </w:r>
      <w:r w:rsidR="00973CAF" w:rsidRPr="003356BF">
        <w:rPr>
          <w:rStyle w:val="parcapt2"/>
          <w:color w:val="000000"/>
          <w:sz w:val="28"/>
          <w:szCs w:val="28"/>
        </w:rPr>
        <w:t>1</w:t>
      </w:r>
      <w:r w:rsidR="00C349C0" w:rsidRPr="003356BF">
        <w:rPr>
          <w:rStyle w:val="parcapt2"/>
          <w:color w:val="000000"/>
          <w:sz w:val="28"/>
          <w:szCs w:val="28"/>
        </w:rPr>
        <w:t>3</w:t>
      </w:r>
      <w:r w:rsidRPr="003356BF">
        <w:rPr>
          <w:rStyle w:val="parcapt2"/>
          <w:color w:val="000000"/>
          <w:sz w:val="28"/>
          <w:szCs w:val="28"/>
        </w:rPr>
        <w:t>.</w:t>
      </w:r>
      <w:r w:rsidRPr="003356BF">
        <w:rPr>
          <w:color w:val="000000"/>
          <w:sz w:val="28"/>
          <w:szCs w:val="28"/>
        </w:rPr>
        <w:t xml:space="preserve"> Конкретният размер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Pr="003356BF">
        <w:rPr>
          <w:color w:val="000000"/>
          <w:sz w:val="28"/>
          <w:szCs w:val="28"/>
        </w:rPr>
        <w:t xml:space="preserve"> за подземните богатства по чл. 2, </w:t>
      </w:r>
      <w:r w:rsidR="00234340" w:rsidRPr="003356BF">
        <w:rPr>
          <w:color w:val="000000"/>
          <w:sz w:val="28"/>
          <w:szCs w:val="28"/>
        </w:rPr>
        <w:t xml:space="preserve">ал. 1, </w:t>
      </w:r>
      <w:r w:rsidRPr="003356BF">
        <w:rPr>
          <w:color w:val="000000"/>
          <w:sz w:val="28"/>
          <w:szCs w:val="28"/>
        </w:rPr>
        <w:t xml:space="preserve">т. 5 и 6 от </w:t>
      </w:r>
      <w:r w:rsidR="002A1737" w:rsidRPr="003356BF">
        <w:rPr>
          <w:color w:val="000000"/>
          <w:sz w:val="28"/>
          <w:szCs w:val="28"/>
        </w:rPr>
        <w:t>ЗПБ – строителни материали и скалнооблицовъчни материали</w:t>
      </w:r>
      <w:r w:rsidR="005021DB" w:rsidRPr="003356BF">
        <w:rPr>
          <w:color w:val="000000"/>
          <w:sz w:val="28"/>
          <w:szCs w:val="28"/>
        </w:rPr>
        <w:t>,</w:t>
      </w:r>
      <w:r w:rsidR="002A1737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 xml:space="preserve">се определя съгласно </w:t>
      </w:r>
      <w:r w:rsidR="001638F4" w:rsidRPr="003356BF">
        <w:rPr>
          <w:color w:val="000000"/>
          <w:sz w:val="28"/>
          <w:szCs w:val="28"/>
        </w:rPr>
        <w:t xml:space="preserve">Приложение </w:t>
      </w:r>
      <w:r w:rsidRPr="003356BF">
        <w:rPr>
          <w:color w:val="000000"/>
          <w:sz w:val="28"/>
          <w:szCs w:val="28"/>
        </w:rPr>
        <w:t xml:space="preserve">№ </w:t>
      </w:r>
      <w:r w:rsidR="00781232" w:rsidRPr="003356BF">
        <w:rPr>
          <w:color w:val="000000"/>
          <w:sz w:val="28"/>
          <w:szCs w:val="28"/>
        </w:rPr>
        <w:t>5</w:t>
      </w:r>
      <w:r w:rsidRPr="003356BF">
        <w:rPr>
          <w:color w:val="000000"/>
          <w:sz w:val="28"/>
          <w:szCs w:val="28"/>
        </w:rPr>
        <w:t xml:space="preserve">. </w:t>
      </w:r>
    </w:p>
    <w:p w14:paraId="38EB7817" w14:textId="67167F82" w:rsidR="00741452" w:rsidRPr="003356BF" w:rsidRDefault="00105472" w:rsidP="00F96464">
      <w:pPr>
        <w:spacing w:line="360" w:lineRule="auto"/>
        <w:ind w:firstLine="480"/>
        <w:jc w:val="both"/>
        <w:divId w:val="1037051862"/>
        <w:rPr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 xml:space="preserve">Чл. </w:t>
      </w:r>
      <w:r w:rsidR="00973CAF" w:rsidRPr="003356BF">
        <w:rPr>
          <w:rStyle w:val="parcapt2"/>
          <w:color w:val="000000"/>
          <w:sz w:val="28"/>
          <w:szCs w:val="28"/>
        </w:rPr>
        <w:t>1</w:t>
      </w:r>
      <w:r w:rsidR="00C349C0" w:rsidRPr="003356BF">
        <w:rPr>
          <w:rStyle w:val="parcapt2"/>
          <w:color w:val="000000"/>
          <w:sz w:val="28"/>
          <w:szCs w:val="28"/>
        </w:rPr>
        <w:t>4</w:t>
      </w:r>
      <w:r w:rsidRPr="003356BF">
        <w:rPr>
          <w:rStyle w:val="parcapt2"/>
          <w:color w:val="000000"/>
          <w:sz w:val="28"/>
          <w:szCs w:val="28"/>
        </w:rPr>
        <w:t>.</w:t>
      </w:r>
      <w:r w:rsidRPr="003356BF">
        <w:rPr>
          <w:color w:val="000000"/>
          <w:sz w:val="28"/>
          <w:szCs w:val="28"/>
        </w:rPr>
        <w:t xml:space="preserve"> Конкретният размер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Pr="003356BF">
        <w:rPr>
          <w:color w:val="000000"/>
          <w:sz w:val="28"/>
          <w:szCs w:val="28"/>
        </w:rPr>
        <w:t xml:space="preserve"> за подземните богатства по чл. 2, </w:t>
      </w:r>
      <w:r w:rsidR="00234340" w:rsidRPr="003356BF">
        <w:rPr>
          <w:color w:val="000000"/>
          <w:sz w:val="28"/>
          <w:szCs w:val="28"/>
        </w:rPr>
        <w:t xml:space="preserve">ал. 1, </w:t>
      </w:r>
      <w:r w:rsidRPr="003356BF">
        <w:rPr>
          <w:color w:val="000000"/>
          <w:sz w:val="28"/>
          <w:szCs w:val="28"/>
        </w:rPr>
        <w:t xml:space="preserve">т. </w:t>
      </w:r>
      <w:r w:rsidR="00C37A3D" w:rsidRPr="003356BF">
        <w:rPr>
          <w:color w:val="000000"/>
          <w:sz w:val="28"/>
          <w:szCs w:val="28"/>
          <w:lang w:val="en-US"/>
        </w:rPr>
        <w:t>7</w:t>
      </w:r>
      <w:r w:rsidR="00000B02" w:rsidRPr="003356BF">
        <w:rPr>
          <w:color w:val="000000"/>
          <w:sz w:val="28"/>
          <w:szCs w:val="28"/>
        </w:rPr>
        <w:t xml:space="preserve"> </w:t>
      </w:r>
      <w:r w:rsidR="007D31FB" w:rsidRPr="003356BF">
        <w:rPr>
          <w:color w:val="000000"/>
          <w:sz w:val="28"/>
          <w:szCs w:val="28"/>
        </w:rPr>
        <w:t>от</w:t>
      </w:r>
      <w:r w:rsidRPr="003356BF">
        <w:rPr>
          <w:color w:val="000000"/>
          <w:sz w:val="28"/>
          <w:szCs w:val="28"/>
        </w:rPr>
        <w:t xml:space="preserve"> </w:t>
      </w:r>
      <w:r w:rsidR="002A1737" w:rsidRPr="003356BF">
        <w:rPr>
          <w:color w:val="000000"/>
          <w:sz w:val="28"/>
          <w:szCs w:val="28"/>
        </w:rPr>
        <w:t>ЗПБ – минни отпадъци</w:t>
      </w:r>
      <w:r w:rsidR="001638F4">
        <w:rPr>
          <w:color w:val="000000"/>
          <w:sz w:val="28"/>
          <w:szCs w:val="28"/>
        </w:rPr>
        <w:t>,</w:t>
      </w:r>
      <w:r w:rsidR="002A1737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 xml:space="preserve">се определя съгласно </w:t>
      </w:r>
      <w:r w:rsidR="005C6AEC" w:rsidRPr="003356BF">
        <w:rPr>
          <w:color w:val="000000"/>
          <w:sz w:val="28"/>
          <w:szCs w:val="28"/>
        </w:rPr>
        <w:t xml:space="preserve">съответното приложение </w:t>
      </w:r>
      <w:r w:rsidRPr="003356BF">
        <w:rPr>
          <w:color w:val="000000"/>
          <w:sz w:val="28"/>
          <w:szCs w:val="28"/>
        </w:rPr>
        <w:t xml:space="preserve">към чл. </w:t>
      </w:r>
      <w:r w:rsidR="0034292C" w:rsidRPr="003356BF">
        <w:rPr>
          <w:color w:val="000000"/>
          <w:sz w:val="28"/>
          <w:szCs w:val="28"/>
        </w:rPr>
        <w:t xml:space="preserve">9, </w:t>
      </w:r>
      <w:r w:rsidR="007516CC" w:rsidRPr="003356BF">
        <w:rPr>
          <w:color w:val="000000"/>
          <w:sz w:val="28"/>
          <w:szCs w:val="28"/>
        </w:rPr>
        <w:t xml:space="preserve">10, 11, 12 </w:t>
      </w:r>
      <w:r w:rsidR="0034292C" w:rsidRPr="003356BF">
        <w:rPr>
          <w:color w:val="000000"/>
          <w:sz w:val="28"/>
          <w:szCs w:val="28"/>
        </w:rPr>
        <w:t xml:space="preserve">или </w:t>
      </w:r>
      <w:r w:rsidR="007516CC" w:rsidRPr="003356BF">
        <w:rPr>
          <w:color w:val="000000"/>
          <w:sz w:val="28"/>
          <w:szCs w:val="28"/>
        </w:rPr>
        <w:t>13.</w:t>
      </w:r>
      <w:r w:rsidR="002A1737" w:rsidRPr="003356BF">
        <w:rPr>
          <w:color w:val="000000"/>
          <w:sz w:val="28"/>
          <w:szCs w:val="28"/>
        </w:rPr>
        <w:t xml:space="preserve"> </w:t>
      </w:r>
    </w:p>
    <w:p w14:paraId="3C6AD6DC" w14:textId="1592F3E5" w:rsidR="00591F0F" w:rsidRPr="003356BF" w:rsidRDefault="002D440E" w:rsidP="000B0BAB">
      <w:pPr>
        <w:spacing w:line="360" w:lineRule="auto"/>
        <w:ind w:firstLine="480"/>
        <w:jc w:val="both"/>
        <w:divId w:val="1037051862"/>
        <w:rPr>
          <w:color w:val="000000"/>
          <w:sz w:val="28"/>
          <w:szCs w:val="28"/>
        </w:rPr>
      </w:pPr>
      <w:r w:rsidRPr="003356BF">
        <w:rPr>
          <w:rStyle w:val="parcapt2"/>
          <w:color w:val="000000"/>
          <w:sz w:val="28"/>
          <w:szCs w:val="28"/>
        </w:rPr>
        <w:t>Чл. 1</w:t>
      </w:r>
      <w:r w:rsidR="00C349C0" w:rsidRPr="003356BF">
        <w:rPr>
          <w:rStyle w:val="parcapt2"/>
          <w:color w:val="000000"/>
          <w:sz w:val="28"/>
          <w:szCs w:val="28"/>
        </w:rPr>
        <w:t>5</w:t>
      </w:r>
      <w:r w:rsidRPr="003356BF">
        <w:rPr>
          <w:rStyle w:val="parcapt2"/>
          <w:color w:val="000000"/>
          <w:sz w:val="28"/>
          <w:szCs w:val="28"/>
        </w:rPr>
        <w:t>.</w:t>
      </w:r>
      <w:r w:rsidRPr="003356BF">
        <w:rPr>
          <w:color w:val="000000"/>
          <w:sz w:val="28"/>
          <w:szCs w:val="28"/>
        </w:rPr>
        <w:t xml:space="preserve"> Конкретният размер на концесионното плащане за подземните богатства по чл. 2, ал. 1, т. 8 от ЗПБ – дълбоки геотермални ресурси</w:t>
      </w:r>
      <w:r w:rsidR="001A0671" w:rsidRPr="003356BF">
        <w:rPr>
          <w:color w:val="000000"/>
          <w:sz w:val="28"/>
          <w:szCs w:val="28"/>
        </w:rPr>
        <w:t xml:space="preserve">, </w:t>
      </w:r>
      <w:r w:rsidR="00F67839" w:rsidRPr="003356BF">
        <w:rPr>
          <w:color w:val="000000"/>
          <w:sz w:val="28"/>
          <w:szCs w:val="28"/>
        </w:rPr>
        <w:t xml:space="preserve">се определя съгласно </w:t>
      </w:r>
      <w:r w:rsidR="001638F4" w:rsidRPr="003356BF">
        <w:rPr>
          <w:color w:val="000000"/>
          <w:sz w:val="28"/>
          <w:szCs w:val="28"/>
        </w:rPr>
        <w:t xml:space="preserve">Приложение </w:t>
      </w:r>
      <w:r w:rsidR="00F67839" w:rsidRPr="003356BF">
        <w:rPr>
          <w:color w:val="000000"/>
          <w:sz w:val="28"/>
          <w:szCs w:val="28"/>
        </w:rPr>
        <w:t>№ 6</w:t>
      </w:r>
      <w:r w:rsidR="00591F0F" w:rsidRPr="003356BF">
        <w:rPr>
          <w:color w:val="000000"/>
          <w:sz w:val="28"/>
          <w:szCs w:val="28"/>
        </w:rPr>
        <w:t>.</w:t>
      </w:r>
    </w:p>
    <w:p w14:paraId="40C769F3" w14:textId="77777777" w:rsidR="00741452" w:rsidRPr="003356BF" w:rsidRDefault="004F2F07" w:rsidP="001A2E9F">
      <w:pPr>
        <w:spacing w:before="240" w:after="240" w:line="360" w:lineRule="auto"/>
        <w:ind w:firstLine="482"/>
        <w:jc w:val="center"/>
        <w:divId w:val="1037051862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>ЗАКЛЮЧИТЕЛНА РАЗПОРЕДБА</w:t>
      </w:r>
    </w:p>
    <w:p w14:paraId="3D3855A3" w14:textId="77777777" w:rsidR="00741452" w:rsidRPr="003356BF" w:rsidRDefault="004F2F07" w:rsidP="00F96464">
      <w:pPr>
        <w:spacing w:line="360" w:lineRule="auto"/>
        <w:ind w:firstLine="480"/>
        <w:jc w:val="both"/>
        <w:divId w:val="1037051862"/>
        <w:rPr>
          <w:color w:val="000000"/>
          <w:sz w:val="28"/>
          <w:szCs w:val="28"/>
        </w:rPr>
      </w:pPr>
      <w:r w:rsidRPr="003356BF">
        <w:rPr>
          <w:b/>
          <w:color w:val="000000"/>
          <w:sz w:val="28"/>
          <w:szCs w:val="28"/>
        </w:rPr>
        <w:t>Параграф единствен</w:t>
      </w:r>
      <w:r w:rsidR="00741452" w:rsidRPr="003356BF">
        <w:rPr>
          <w:b/>
          <w:color w:val="000000"/>
          <w:sz w:val="28"/>
          <w:szCs w:val="28"/>
        </w:rPr>
        <w:t>.</w:t>
      </w:r>
      <w:r w:rsidR="00741452" w:rsidRPr="003356BF">
        <w:rPr>
          <w:color w:val="000000"/>
          <w:sz w:val="28"/>
          <w:szCs w:val="28"/>
        </w:rPr>
        <w:t xml:space="preserve"> </w:t>
      </w:r>
      <w:r w:rsidR="002371F6" w:rsidRPr="003356BF">
        <w:rPr>
          <w:color w:val="000000"/>
          <w:sz w:val="28"/>
          <w:szCs w:val="28"/>
        </w:rPr>
        <w:t>Наредбата</w:t>
      </w:r>
      <w:r w:rsidR="00741452" w:rsidRPr="003356BF">
        <w:rPr>
          <w:color w:val="000000"/>
          <w:sz w:val="28"/>
          <w:szCs w:val="28"/>
        </w:rPr>
        <w:t xml:space="preserve"> се приема на основание чл. 61, ал. 3 от Закона за подземните богатства</w:t>
      </w:r>
      <w:r w:rsidR="00FE3DF6" w:rsidRPr="003356BF">
        <w:rPr>
          <w:color w:val="000000"/>
          <w:sz w:val="28"/>
          <w:szCs w:val="28"/>
        </w:rPr>
        <w:t>.</w:t>
      </w:r>
    </w:p>
    <w:p w14:paraId="353A1732" w14:textId="77777777" w:rsidR="00B32EEF" w:rsidRPr="003356BF" w:rsidRDefault="00B32EEF" w:rsidP="006532A1">
      <w:pPr>
        <w:spacing w:line="360" w:lineRule="auto"/>
        <w:ind w:left="5664"/>
        <w:rPr>
          <w:color w:val="000000"/>
          <w:sz w:val="28"/>
          <w:szCs w:val="28"/>
        </w:rPr>
      </w:pPr>
    </w:p>
    <w:p w14:paraId="1098AFDC" w14:textId="77777777" w:rsidR="00B32EEF" w:rsidRPr="003356BF" w:rsidRDefault="00B32EEF" w:rsidP="006532A1">
      <w:pPr>
        <w:spacing w:line="360" w:lineRule="auto"/>
        <w:ind w:left="5664"/>
        <w:rPr>
          <w:color w:val="000000"/>
          <w:sz w:val="28"/>
          <w:szCs w:val="28"/>
        </w:rPr>
      </w:pPr>
    </w:p>
    <w:p w14:paraId="4C9F4477" w14:textId="77777777" w:rsidR="00B32EEF" w:rsidRPr="003356BF" w:rsidRDefault="00B32EEF" w:rsidP="006532A1">
      <w:pPr>
        <w:spacing w:line="360" w:lineRule="auto"/>
        <w:ind w:left="5664"/>
        <w:rPr>
          <w:color w:val="000000"/>
          <w:sz w:val="28"/>
          <w:szCs w:val="28"/>
        </w:rPr>
      </w:pPr>
    </w:p>
    <w:p w14:paraId="15127641" w14:textId="77777777" w:rsidR="00B32EEF" w:rsidRPr="003356BF" w:rsidRDefault="00B32EEF" w:rsidP="006532A1">
      <w:pPr>
        <w:spacing w:line="360" w:lineRule="auto"/>
        <w:ind w:left="5664"/>
        <w:rPr>
          <w:color w:val="000000"/>
          <w:sz w:val="28"/>
          <w:szCs w:val="28"/>
        </w:rPr>
      </w:pPr>
    </w:p>
    <w:p w14:paraId="07217DD8" w14:textId="77777777" w:rsidR="001638F4" w:rsidRDefault="001638F4" w:rsidP="006532A1">
      <w:pPr>
        <w:spacing w:line="360" w:lineRule="auto"/>
        <w:ind w:left="5664"/>
        <w:rPr>
          <w:color w:val="000000"/>
          <w:sz w:val="28"/>
          <w:szCs w:val="28"/>
        </w:rPr>
        <w:sectPr w:rsidR="001638F4" w:rsidSect="003356BF">
          <w:headerReference w:type="default" r:id="rId8"/>
          <w:footerReference w:type="default" r:id="rId9"/>
          <w:pgSz w:w="11907" w:h="16839"/>
          <w:pgMar w:top="1134" w:right="1417" w:bottom="1135" w:left="1417" w:header="708" w:footer="158" w:gutter="0"/>
          <w:cols w:space="708"/>
          <w:titlePg/>
          <w:docGrid w:linePitch="360"/>
        </w:sectPr>
      </w:pPr>
    </w:p>
    <w:p w14:paraId="2F0F252B" w14:textId="77777777" w:rsidR="00B32EEF" w:rsidRPr="003356BF" w:rsidRDefault="00B32EEF" w:rsidP="006532A1">
      <w:pPr>
        <w:spacing w:line="360" w:lineRule="auto"/>
        <w:ind w:left="5664"/>
        <w:rPr>
          <w:color w:val="000000"/>
          <w:sz w:val="28"/>
          <w:szCs w:val="28"/>
        </w:rPr>
      </w:pPr>
    </w:p>
    <w:p w14:paraId="7311B74A" w14:textId="77777777" w:rsidR="004C780D" w:rsidRPr="001638F4" w:rsidRDefault="004C780D" w:rsidP="006532A1">
      <w:pPr>
        <w:spacing w:line="360" w:lineRule="auto"/>
        <w:ind w:left="5664"/>
        <w:rPr>
          <w:b/>
          <w:bCs/>
          <w:color w:val="000000"/>
        </w:rPr>
      </w:pPr>
      <w:r w:rsidRPr="001638F4">
        <w:rPr>
          <w:b/>
          <w:bCs/>
          <w:color w:val="000000"/>
        </w:rPr>
        <w:t xml:space="preserve">Приложение № </w:t>
      </w:r>
      <w:r w:rsidR="009D159D" w:rsidRPr="001638F4">
        <w:rPr>
          <w:b/>
          <w:bCs/>
          <w:color w:val="000000"/>
        </w:rPr>
        <w:t>1</w:t>
      </w:r>
      <w:r w:rsidRPr="001638F4">
        <w:rPr>
          <w:b/>
          <w:bCs/>
          <w:color w:val="000000"/>
        </w:rPr>
        <w:t xml:space="preserve"> към чл. </w:t>
      </w:r>
      <w:r w:rsidR="00A10E82" w:rsidRPr="001638F4">
        <w:rPr>
          <w:b/>
          <w:bCs/>
          <w:color w:val="000000"/>
        </w:rPr>
        <w:t>9</w:t>
      </w:r>
    </w:p>
    <w:p w14:paraId="09B17577" w14:textId="77777777" w:rsidR="00944474" w:rsidRDefault="00944474" w:rsidP="006532A1">
      <w:pPr>
        <w:spacing w:line="360" w:lineRule="auto"/>
        <w:jc w:val="center"/>
        <w:rPr>
          <w:b/>
          <w:bCs/>
          <w:color w:val="000000"/>
          <w:sz w:val="28"/>
          <w:szCs w:val="28"/>
          <w:highlight w:val="yellow"/>
        </w:rPr>
      </w:pPr>
    </w:p>
    <w:p w14:paraId="641C5E5F" w14:textId="77777777" w:rsidR="00452AAE" w:rsidRPr="003356BF" w:rsidRDefault="00452AAE" w:rsidP="006532A1">
      <w:pPr>
        <w:spacing w:line="360" w:lineRule="auto"/>
        <w:jc w:val="center"/>
        <w:rPr>
          <w:b/>
          <w:bCs/>
          <w:color w:val="000000"/>
          <w:sz w:val="28"/>
          <w:szCs w:val="28"/>
          <w:highlight w:val="yellow"/>
        </w:rPr>
      </w:pPr>
    </w:p>
    <w:p w14:paraId="77F41923" w14:textId="3D54DC78" w:rsidR="004C780D" w:rsidRPr="003356BF" w:rsidRDefault="002C762F" w:rsidP="006532A1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>К</w:t>
      </w:r>
      <w:r w:rsidR="004C780D" w:rsidRPr="003356BF">
        <w:rPr>
          <w:b/>
          <w:bCs/>
          <w:color w:val="000000"/>
          <w:sz w:val="28"/>
          <w:szCs w:val="28"/>
        </w:rPr>
        <w:t>онкрет</w:t>
      </w:r>
      <w:r w:rsidRPr="003356BF">
        <w:rPr>
          <w:b/>
          <w:bCs/>
          <w:color w:val="000000"/>
          <w:sz w:val="28"/>
          <w:szCs w:val="28"/>
        </w:rPr>
        <w:t>е</w:t>
      </w:r>
      <w:r w:rsidR="004C780D" w:rsidRPr="003356BF">
        <w:rPr>
          <w:b/>
          <w:bCs/>
          <w:color w:val="000000"/>
          <w:sz w:val="28"/>
          <w:szCs w:val="28"/>
        </w:rPr>
        <w:t>н</w:t>
      </w:r>
      <w:r w:rsidR="00633A4D" w:rsidRPr="003356BF">
        <w:rPr>
          <w:b/>
          <w:bCs/>
          <w:color w:val="000000"/>
          <w:sz w:val="28"/>
          <w:szCs w:val="28"/>
        </w:rPr>
        <w:t>, включително</w:t>
      </w:r>
      <w:r w:rsidR="00385DDC" w:rsidRPr="003356BF">
        <w:rPr>
          <w:b/>
          <w:bCs/>
          <w:color w:val="000000"/>
          <w:sz w:val="28"/>
          <w:szCs w:val="28"/>
        </w:rPr>
        <w:t xml:space="preserve"> минимал</w:t>
      </w:r>
      <w:r w:rsidRPr="003356BF">
        <w:rPr>
          <w:b/>
          <w:bCs/>
          <w:color w:val="000000"/>
          <w:sz w:val="28"/>
          <w:szCs w:val="28"/>
        </w:rPr>
        <w:t>е</w:t>
      </w:r>
      <w:r w:rsidR="00385DDC" w:rsidRPr="003356BF">
        <w:rPr>
          <w:b/>
          <w:bCs/>
          <w:color w:val="000000"/>
          <w:sz w:val="28"/>
          <w:szCs w:val="28"/>
        </w:rPr>
        <w:t>н</w:t>
      </w:r>
      <w:r w:rsidR="001638F4">
        <w:rPr>
          <w:b/>
          <w:bCs/>
          <w:color w:val="000000"/>
          <w:sz w:val="28"/>
          <w:szCs w:val="28"/>
        </w:rPr>
        <w:t>,</w:t>
      </w:r>
      <w:r w:rsidR="00385DDC" w:rsidRPr="003356BF">
        <w:rPr>
          <w:b/>
          <w:bCs/>
          <w:color w:val="000000"/>
          <w:sz w:val="28"/>
          <w:szCs w:val="28"/>
        </w:rPr>
        <w:t xml:space="preserve"> </w:t>
      </w:r>
      <w:r w:rsidR="004C780D" w:rsidRPr="003356BF">
        <w:rPr>
          <w:b/>
          <w:bCs/>
          <w:color w:val="000000"/>
          <w:sz w:val="28"/>
          <w:szCs w:val="28"/>
        </w:rPr>
        <w:t>размер на концесионното</w:t>
      </w:r>
    </w:p>
    <w:p w14:paraId="6A755BC8" w14:textId="77777777" w:rsidR="004C780D" w:rsidRPr="003356BF" w:rsidRDefault="004C780D" w:rsidP="00375DD5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>плащане за метални полезни изкопаеми</w:t>
      </w:r>
    </w:p>
    <w:p w14:paraId="334F0277" w14:textId="77777777" w:rsidR="00944474" w:rsidRPr="003356BF" w:rsidRDefault="00944474" w:rsidP="00375DD5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791E5DE7" w14:textId="77777777" w:rsidR="004C780D" w:rsidRPr="003356BF" w:rsidRDefault="002008F9" w:rsidP="00452AAE">
      <w:pPr>
        <w:spacing w:before="120"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4C780D" w:rsidRPr="003356BF">
        <w:rPr>
          <w:color w:val="000000"/>
          <w:sz w:val="28"/>
          <w:szCs w:val="28"/>
        </w:rPr>
        <w:t xml:space="preserve"> Концесионното плащане за метални полезни изкопаеми се определя за единица добито подземно богатство за съответния период, както следва: </w:t>
      </w:r>
    </w:p>
    <w:p w14:paraId="1D055C7C" w14:textId="34993126" w:rsidR="006F5A4A" w:rsidRPr="003356BF" w:rsidRDefault="002008F9" w:rsidP="00452AAE">
      <w:pPr>
        <w:spacing w:before="120"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793DD9" w:rsidRPr="003356BF">
        <w:rPr>
          <w:color w:val="000000"/>
          <w:sz w:val="28"/>
          <w:szCs w:val="28"/>
        </w:rPr>
        <w:t xml:space="preserve">1. </w:t>
      </w:r>
      <w:r w:rsidR="001638F4" w:rsidRPr="003356BF">
        <w:rPr>
          <w:color w:val="000000"/>
          <w:sz w:val="28"/>
          <w:szCs w:val="28"/>
        </w:rPr>
        <w:t xml:space="preserve">Процентният </w:t>
      </w:r>
      <w:r w:rsidR="004C780D" w:rsidRPr="003356BF">
        <w:rPr>
          <w:color w:val="000000"/>
          <w:sz w:val="28"/>
          <w:szCs w:val="28"/>
        </w:rPr>
        <w:t>размер на концесионното плащане (ПКП) се определя по следната</w:t>
      </w:r>
      <w:r w:rsidR="006F5A4A" w:rsidRPr="003356BF">
        <w:rPr>
          <w:color w:val="000000"/>
          <w:sz w:val="28"/>
          <w:szCs w:val="28"/>
        </w:rPr>
        <w:t xml:space="preserve"> </w:t>
      </w:r>
      <w:r w:rsidR="004C780D" w:rsidRPr="003356BF">
        <w:rPr>
          <w:color w:val="000000"/>
          <w:sz w:val="28"/>
          <w:szCs w:val="28"/>
        </w:rPr>
        <w:t>формула:</w:t>
      </w:r>
    </w:p>
    <w:p w14:paraId="71B9B45F" w14:textId="77777777" w:rsidR="00CD4C45" w:rsidRPr="003356BF" w:rsidRDefault="00CD4C45" w:rsidP="00452AAE">
      <w:pPr>
        <w:pStyle w:val="1"/>
        <w:spacing w:before="120"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3356BF">
        <w:rPr>
          <w:rStyle w:val="a"/>
          <w:rFonts w:ascii="Times New Roman" w:hAnsi="Times New Roman" w:cs="Times New Roman"/>
          <w:b/>
          <w:sz w:val="28"/>
          <w:szCs w:val="28"/>
        </w:rPr>
        <w:t xml:space="preserve">ПКП = </w:t>
      </w:r>
      <w:proofErr w:type="spellStart"/>
      <w:r w:rsidRPr="003356BF">
        <w:rPr>
          <w:rStyle w:val="a"/>
          <w:rFonts w:ascii="Times New Roman" w:hAnsi="Times New Roman" w:cs="Times New Roman"/>
          <w:b/>
          <w:bCs/>
          <w:sz w:val="28"/>
          <w:szCs w:val="28"/>
          <w:lang w:bidi="en-US"/>
        </w:rPr>
        <w:t>ПKПmin</w:t>
      </w:r>
      <w:proofErr w:type="spellEnd"/>
      <w:r w:rsidRPr="003356BF">
        <w:rPr>
          <w:rStyle w:val="a"/>
          <w:rFonts w:ascii="Times New Roman" w:hAnsi="Times New Roman" w:cs="Times New Roman"/>
          <w:b/>
          <w:sz w:val="28"/>
          <w:szCs w:val="28"/>
        </w:rPr>
        <w:t xml:space="preserve"> + a (Ro-</w:t>
      </w:r>
      <w:proofErr w:type="spellStart"/>
      <w:r w:rsidRPr="003356BF">
        <w:rPr>
          <w:rStyle w:val="a"/>
          <w:rFonts w:ascii="Times New Roman" w:hAnsi="Times New Roman" w:cs="Times New Roman"/>
          <w:b/>
          <w:sz w:val="28"/>
          <w:szCs w:val="28"/>
        </w:rPr>
        <w:t>Rmin</w:t>
      </w:r>
      <w:proofErr w:type="spellEnd"/>
      <w:r w:rsidRPr="003356BF">
        <w:rPr>
          <w:rStyle w:val="a"/>
          <w:rFonts w:ascii="Times New Roman" w:hAnsi="Times New Roman" w:cs="Times New Roman"/>
          <w:b/>
          <w:sz w:val="28"/>
          <w:szCs w:val="28"/>
        </w:rPr>
        <w:t>),</w:t>
      </w:r>
    </w:p>
    <w:p w14:paraId="7C498A9B" w14:textId="77777777" w:rsidR="004C780D" w:rsidRPr="003356BF" w:rsidRDefault="004C780D" w:rsidP="00452AAE">
      <w:pPr>
        <w:spacing w:before="120" w:line="360" w:lineRule="auto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където:</w:t>
      </w:r>
    </w:p>
    <w:p w14:paraId="2C57644E" w14:textId="77777777" w:rsidR="004C780D" w:rsidRPr="003356BF" w:rsidRDefault="004C780D" w:rsidP="00452AAE">
      <w:pPr>
        <w:spacing w:before="120"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ПКП е процентният размер на концесионното плащане за съответния период от срока на концесията;</w:t>
      </w:r>
    </w:p>
    <w:p w14:paraId="2FAFD1E3" w14:textId="77777777" w:rsidR="004C780D" w:rsidRPr="003356BF" w:rsidRDefault="004C780D" w:rsidP="00452AAE">
      <w:pPr>
        <w:spacing w:before="120" w:line="360" w:lineRule="auto"/>
        <w:ind w:firstLine="480"/>
        <w:jc w:val="both"/>
        <w:rPr>
          <w:color w:val="000000"/>
          <w:sz w:val="28"/>
          <w:szCs w:val="28"/>
        </w:rPr>
      </w:pPr>
      <w:proofErr w:type="spellStart"/>
      <w:r w:rsidRPr="003356BF">
        <w:rPr>
          <w:color w:val="000000"/>
          <w:sz w:val="28"/>
          <w:szCs w:val="28"/>
        </w:rPr>
        <w:t>ПКПmin</w:t>
      </w:r>
      <w:proofErr w:type="spellEnd"/>
      <w:r w:rsidR="001447A8" w:rsidRPr="003356BF">
        <w:rPr>
          <w:color w:val="000000"/>
          <w:sz w:val="28"/>
          <w:szCs w:val="28"/>
        </w:rPr>
        <w:t xml:space="preserve"> е </w:t>
      </w:r>
      <w:r w:rsidRPr="003356BF">
        <w:rPr>
          <w:color w:val="000000"/>
          <w:sz w:val="28"/>
          <w:szCs w:val="28"/>
        </w:rPr>
        <w:t>минималният процентен размер на концесионното плащане за вида подземно богатство;</w:t>
      </w:r>
    </w:p>
    <w:p w14:paraId="0713CB3C" w14:textId="7FBEDB81" w:rsidR="005306FB" w:rsidRPr="003356BF" w:rsidRDefault="001638F4" w:rsidP="00452AAE">
      <w:pPr>
        <w:spacing w:before="120"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е </w:t>
      </w:r>
      <w:r w:rsidR="004C780D" w:rsidRPr="003356BF">
        <w:rPr>
          <w:color w:val="000000"/>
          <w:sz w:val="28"/>
          <w:szCs w:val="28"/>
        </w:rPr>
        <w:t>коефициент на пропорционалност и се изчислява по следната формула:</w:t>
      </w:r>
    </w:p>
    <w:p w14:paraId="1D686124" w14:textId="77777777" w:rsidR="00AC1B4F" w:rsidRPr="003356BF" w:rsidRDefault="00AC1B4F" w:rsidP="00452AAE">
      <w:pPr>
        <w:spacing w:before="120" w:line="360" w:lineRule="auto"/>
        <w:ind w:firstLine="480"/>
        <w:jc w:val="both"/>
        <w:rPr>
          <w:color w:val="000000"/>
          <w:sz w:val="28"/>
          <w:szCs w:val="28"/>
        </w:rPr>
      </w:pPr>
    </w:p>
    <w:p w14:paraId="4863593A" w14:textId="77777777" w:rsidR="00FD6CC9" w:rsidRPr="003356BF" w:rsidRDefault="00FD6CC9" w:rsidP="00452AAE">
      <w:pPr>
        <w:pStyle w:val="1"/>
        <w:spacing w:before="120" w:line="360" w:lineRule="auto"/>
        <w:ind w:firstLine="9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6BF">
        <w:rPr>
          <w:rStyle w:val="a"/>
          <w:rFonts w:ascii="Times New Roman" w:hAnsi="Times New Roman" w:cs="Times New Roman"/>
          <w:sz w:val="28"/>
          <w:szCs w:val="28"/>
        </w:rPr>
        <w:t>ПКПmах</w:t>
      </w:r>
      <w:proofErr w:type="spellEnd"/>
      <w:r w:rsidRPr="003356BF">
        <w:rPr>
          <w:rStyle w:val="a"/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356BF">
        <w:rPr>
          <w:rStyle w:val="a"/>
          <w:rFonts w:ascii="Times New Roman" w:hAnsi="Times New Roman" w:cs="Times New Roman"/>
          <w:sz w:val="28"/>
          <w:szCs w:val="28"/>
        </w:rPr>
        <w:t>ПКПmin</w:t>
      </w:r>
      <w:proofErr w:type="spellEnd"/>
    </w:p>
    <w:p w14:paraId="2662D3EC" w14:textId="77777777" w:rsidR="00FD6CC9" w:rsidRPr="003356BF" w:rsidRDefault="00FD6CC9" w:rsidP="00452AAE">
      <w:pPr>
        <w:pStyle w:val="1"/>
        <w:tabs>
          <w:tab w:val="left" w:leader="hyphen" w:pos="2851"/>
        </w:tabs>
        <w:spacing w:before="120"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56BF">
        <w:rPr>
          <w:rStyle w:val="a"/>
          <w:rFonts w:ascii="Times New Roman" w:hAnsi="Times New Roman" w:cs="Times New Roman"/>
          <w:i/>
          <w:iCs/>
          <w:sz w:val="28"/>
          <w:szCs w:val="28"/>
        </w:rPr>
        <w:t>а =</w:t>
      </w:r>
      <w:r w:rsidRPr="003356BF">
        <w:rPr>
          <w:rStyle w:val="a"/>
          <w:rFonts w:ascii="Times New Roman" w:hAnsi="Times New Roman" w:cs="Times New Roman"/>
          <w:i/>
          <w:iCs/>
          <w:sz w:val="28"/>
          <w:szCs w:val="28"/>
        </w:rPr>
        <w:tab/>
      </w:r>
      <w:r w:rsidRPr="003356BF">
        <w:rPr>
          <w:rStyle w:val="a"/>
          <w:rFonts w:ascii="Times New Roman" w:hAnsi="Times New Roman" w:cs="Times New Roman"/>
          <w:sz w:val="28"/>
          <w:szCs w:val="28"/>
          <w:lang w:bidi="en-US"/>
        </w:rPr>
        <w:t>,</w:t>
      </w:r>
      <w:r w:rsidRPr="003356BF">
        <w:rPr>
          <w:rStyle w:val="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6BF">
        <w:rPr>
          <w:rStyle w:val="a"/>
          <w:rFonts w:ascii="Times New Roman" w:hAnsi="Times New Roman" w:cs="Times New Roman"/>
          <w:sz w:val="28"/>
          <w:szCs w:val="28"/>
        </w:rPr>
        <w:t>където</w:t>
      </w:r>
      <w:proofErr w:type="spellEnd"/>
      <w:r w:rsidRPr="003356BF">
        <w:rPr>
          <w:rStyle w:val="a"/>
          <w:rFonts w:ascii="Times New Roman" w:hAnsi="Times New Roman" w:cs="Times New Roman"/>
          <w:sz w:val="28"/>
          <w:szCs w:val="28"/>
        </w:rPr>
        <w:t>:</w:t>
      </w:r>
    </w:p>
    <w:p w14:paraId="3868D402" w14:textId="77777777" w:rsidR="00D54329" w:rsidRPr="003356BF" w:rsidRDefault="00FD6CC9" w:rsidP="00452AAE">
      <w:pPr>
        <w:pStyle w:val="1"/>
        <w:spacing w:before="120" w:after="440" w:line="360" w:lineRule="auto"/>
        <w:ind w:left="126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6BF">
        <w:rPr>
          <w:rStyle w:val="a"/>
          <w:rFonts w:ascii="Times New Roman" w:hAnsi="Times New Roman" w:cs="Times New Roman"/>
          <w:sz w:val="28"/>
          <w:szCs w:val="28"/>
          <w:lang w:bidi="en-US"/>
        </w:rPr>
        <w:t>Rmax</w:t>
      </w:r>
      <w:proofErr w:type="spellEnd"/>
      <w:r w:rsidRPr="003356BF">
        <w:rPr>
          <w:rStyle w:val="a"/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3356BF">
        <w:rPr>
          <w:rStyle w:val="a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56BF">
        <w:rPr>
          <w:rStyle w:val="a"/>
          <w:rFonts w:ascii="Times New Roman" w:hAnsi="Times New Roman" w:cs="Times New Roman"/>
          <w:sz w:val="28"/>
          <w:szCs w:val="28"/>
          <w:lang w:bidi="en-US"/>
        </w:rPr>
        <w:t>Rmin</w:t>
      </w:r>
      <w:proofErr w:type="spellEnd"/>
    </w:p>
    <w:p w14:paraId="289A3150" w14:textId="77777777" w:rsidR="004C780D" w:rsidRPr="003356BF" w:rsidRDefault="004C780D" w:rsidP="00452AAE">
      <w:pPr>
        <w:spacing w:before="120" w:line="360" w:lineRule="auto"/>
        <w:ind w:firstLine="480"/>
        <w:jc w:val="both"/>
        <w:rPr>
          <w:color w:val="000000"/>
          <w:sz w:val="28"/>
          <w:szCs w:val="28"/>
        </w:rPr>
      </w:pPr>
      <w:proofErr w:type="spellStart"/>
      <w:r w:rsidRPr="003356BF">
        <w:rPr>
          <w:color w:val="000000"/>
          <w:sz w:val="28"/>
          <w:szCs w:val="28"/>
        </w:rPr>
        <w:t>ПКПmax</w:t>
      </w:r>
      <w:proofErr w:type="spellEnd"/>
      <w:r w:rsidR="001447A8" w:rsidRPr="003356BF">
        <w:rPr>
          <w:color w:val="000000"/>
          <w:sz w:val="28"/>
          <w:szCs w:val="28"/>
        </w:rPr>
        <w:t xml:space="preserve"> е </w:t>
      </w:r>
      <w:r w:rsidRPr="003356BF">
        <w:rPr>
          <w:color w:val="000000"/>
          <w:sz w:val="28"/>
          <w:szCs w:val="28"/>
        </w:rPr>
        <w:t>максималният процентен размер на концесионното плащане за вида подземно богатство;</w:t>
      </w:r>
    </w:p>
    <w:p w14:paraId="3E6282B5" w14:textId="77777777" w:rsidR="004C780D" w:rsidRPr="003356BF" w:rsidRDefault="004C780D" w:rsidP="00452AAE">
      <w:pPr>
        <w:spacing w:before="120" w:line="360" w:lineRule="auto"/>
        <w:ind w:firstLine="480"/>
        <w:jc w:val="both"/>
        <w:rPr>
          <w:color w:val="000000"/>
          <w:sz w:val="28"/>
          <w:szCs w:val="28"/>
        </w:rPr>
      </w:pPr>
      <w:proofErr w:type="spellStart"/>
      <w:r w:rsidRPr="003356BF">
        <w:rPr>
          <w:color w:val="000000"/>
          <w:sz w:val="28"/>
          <w:szCs w:val="28"/>
        </w:rPr>
        <w:lastRenderedPageBreak/>
        <w:t>Rmax</w:t>
      </w:r>
      <w:proofErr w:type="spellEnd"/>
      <w:r w:rsidR="001447A8" w:rsidRPr="003356BF">
        <w:rPr>
          <w:color w:val="000000"/>
          <w:sz w:val="28"/>
          <w:szCs w:val="28"/>
        </w:rPr>
        <w:t xml:space="preserve"> е </w:t>
      </w:r>
      <w:r w:rsidRPr="003356BF">
        <w:rPr>
          <w:color w:val="000000"/>
          <w:sz w:val="28"/>
          <w:szCs w:val="28"/>
        </w:rPr>
        <w:t>горната граница на рентабилността, съответстваща на максимално допустимия процентен размер на концесионното плащане за вида подземно богатство, в %;</w:t>
      </w:r>
    </w:p>
    <w:p w14:paraId="643D3FE1" w14:textId="77777777" w:rsidR="004C780D" w:rsidRDefault="004C780D" w:rsidP="00452AAE">
      <w:pPr>
        <w:spacing w:before="120" w:line="360" w:lineRule="auto"/>
        <w:ind w:firstLine="480"/>
        <w:jc w:val="both"/>
        <w:rPr>
          <w:color w:val="000000"/>
          <w:sz w:val="28"/>
          <w:szCs w:val="28"/>
        </w:rPr>
      </w:pPr>
      <w:proofErr w:type="spellStart"/>
      <w:r w:rsidRPr="003356BF">
        <w:rPr>
          <w:color w:val="000000"/>
          <w:sz w:val="28"/>
          <w:szCs w:val="28"/>
        </w:rPr>
        <w:t>Rmin</w:t>
      </w:r>
      <w:proofErr w:type="spellEnd"/>
      <w:r w:rsidR="001447A8" w:rsidRPr="003356BF">
        <w:rPr>
          <w:color w:val="000000"/>
          <w:sz w:val="28"/>
          <w:szCs w:val="28"/>
        </w:rPr>
        <w:t xml:space="preserve"> е </w:t>
      </w:r>
      <w:r w:rsidRPr="003356BF">
        <w:rPr>
          <w:color w:val="000000"/>
          <w:sz w:val="28"/>
          <w:szCs w:val="28"/>
        </w:rPr>
        <w:t xml:space="preserve">долната граница на рентабилността, съответстваща на минимално допустимия процентен размер на концесионното плащане за вида подземно богатство, в </w:t>
      </w:r>
      <w:r w:rsidR="0086392A" w:rsidRPr="003356BF">
        <w:rPr>
          <w:color w:val="000000"/>
          <w:sz w:val="28"/>
          <w:szCs w:val="28"/>
        </w:rPr>
        <w:t xml:space="preserve">процент </w:t>
      </w:r>
      <w:r w:rsidR="0086392A" w:rsidRPr="003356BF">
        <w:rPr>
          <w:color w:val="000000"/>
          <w:sz w:val="28"/>
          <w:szCs w:val="28"/>
          <w:lang w:val="en-US"/>
        </w:rPr>
        <w:t>(</w:t>
      </w:r>
      <w:r w:rsidRPr="003356BF">
        <w:rPr>
          <w:color w:val="000000"/>
          <w:sz w:val="28"/>
          <w:szCs w:val="28"/>
        </w:rPr>
        <w:t>%</w:t>
      </w:r>
      <w:r w:rsidR="0086392A" w:rsidRPr="003356BF">
        <w:rPr>
          <w:color w:val="000000"/>
          <w:sz w:val="28"/>
          <w:szCs w:val="28"/>
          <w:lang w:val="en-US"/>
        </w:rPr>
        <w:t>)</w:t>
      </w:r>
      <w:r w:rsidRPr="003356BF">
        <w:rPr>
          <w:color w:val="000000"/>
          <w:sz w:val="28"/>
          <w:szCs w:val="28"/>
        </w:rPr>
        <w:t>;</w:t>
      </w:r>
    </w:p>
    <w:p w14:paraId="1CC88AAF" w14:textId="77777777" w:rsidR="004C780D" w:rsidRPr="003356BF" w:rsidRDefault="004C780D" w:rsidP="00452AAE">
      <w:pPr>
        <w:spacing w:before="120" w:line="360" w:lineRule="auto"/>
        <w:ind w:firstLine="480"/>
        <w:jc w:val="both"/>
        <w:rPr>
          <w:color w:val="000000"/>
          <w:sz w:val="28"/>
          <w:szCs w:val="28"/>
        </w:rPr>
      </w:pPr>
      <w:proofErr w:type="spellStart"/>
      <w:r w:rsidRPr="003356BF">
        <w:rPr>
          <w:color w:val="000000"/>
          <w:sz w:val="28"/>
          <w:szCs w:val="28"/>
        </w:rPr>
        <w:t>Ro</w:t>
      </w:r>
      <w:proofErr w:type="spellEnd"/>
      <w:r w:rsidR="001447A8" w:rsidRPr="003356BF">
        <w:rPr>
          <w:color w:val="000000"/>
          <w:sz w:val="28"/>
          <w:szCs w:val="28"/>
        </w:rPr>
        <w:t xml:space="preserve"> е </w:t>
      </w:r>
      <w:r w:rsidRPr="003356BF">
        <w:rPr>
          <w:color w:val="000000"/>
          <w:sz w:val="28"/>
          <w:szCs w:val="28"/>
        </w:rPr>
        <w:t xml:space="preserve">рентабилността на нетните приходи от продажби на обекта на концесията за </w:t>
      </w:r>
      <w:r w:rsidR="000D7D07" w:rsidRPr="003356BF">
        <w:rPr>
          <w:color w:val="000000"/>
          <w:sz w:val="28"/>
          <w:szCs w:val="28"/>
        </w:rPr>
        <w:t xml:space="preserve"> предходния годишен </w:t>
      </w:r>
      <w:r w:rsidRPr="003356BF">
        <w:rPr>
          <w:color w:val="000000"/>
          <w:sz w:val="28"/>
          <w:szCs w:val="28"/>
        </w:rPr>
        <w:t xml:space="preserve">период, в </w:t>
      </w:r>
      <w:r w:rsidR="009D63AD" w:rsidRPr="003356BF">
        <w:rPr>
          <w:color w:val="000000"/>
          <w:sz w:val="28"/>
          <w:szCs w:val="28"/>
        </w:rPr>
        <w:t xml:space="preserve">процент </w:t>
      </w:r>
      <w:r w:rsidR="009D63AD" w:rsidRPr="003356BF">
        <w:rPr>
          <w:color w:val="000000"/>
          <w:sz w:val="28"/>
          <w:szCs w:val="28"/>
          <w:lang w:val="en-US"/>
        </w:rPr>
        <w:t>(</w:t>
      </w:r>
      <w:r w:rsidRPr="003356BF">
        <w:rPr>
          <w:color w:val="000000"/>
          <w:sz w:val="28"/>
          <w:szCs w:val="28"/>
        </w:rPr>
        <w:t>%</w:t>
      </w:r>
      <w:r w:rsidR="009D63AD" w:rsidRPr="003356BF">
        <w:rPr>
          <w:color w:val="000000"/>
          <w:sz w:val="28"/>
          <w:szCs w:val="28"/>
          <w:lang w:val="en-US"/>
        </w:rPr>
        <w:t>)</w:t>
      </w:r>
      <w:r w:rsidRPr="003356BF">
        <w:rPr>
          <w:color w:val="000000"/>
          <w:sz w:val="28"/>
          <w:szCs w:val="28"/>
        </w:rPr>
        <w:t>, и се изчислява по следната формула:</w:t>
      </w:r>
    </w:p>
    <w:p w14:paraId="547D1D49" w14:textId="77777777" w:rsidR="00873008" w:rsidRPr="003356BF" w:rsidRDefault="00873008" w:rsidP="00873008">
      <w:pPr>
        <w:pStyle w:val="20"/>
        <w:spacing w:after="0" w:line="360" w:lineRule="auto"/>
        <w:jc w:val="both"/>
        <w:rPr>
          <w:sz w:val="28"/>
          <w:szCs w:val="28"/>
        </w:rPr>
      </w:pPr>
      <w:r w:rsidRPr="003356BF">
        <w:rPr>
          <w:rStyle w:val="2"/>
          <w:sz w:val="28"/>
          <w:szCs w:val="28"/>
        </w:rPr>
        <w:t>СФР</w:t>
      </w:r>
    </w:p>
    <w:p w14:paraId="5ED95ED2" w14:textId="77777777" w:rsidR="00873008" w:rsidRPr="003356BF" w:rsidRDefault="00873008" w:rsidP="00873008">
      <w:pPr>
        <w:pStyle w:val="20"/>
        <w:tabs>
          <w:tab w:val="left" w:leader="hyphen" w:pos="1362"/>
        </w:tabs>
        <w:spacing w:after="0" w:line="360" w:lineRule="auto"/>
        <w:ind w:firstLine="200"/>
        <w:jc w:val="both"/>
        <w:rPr>
          <w:sz w:val="28"/>
          <w:szCs w:val="28"/>
        </w:rPr>
      </w:pPr>
      <w:r w:rsidRPr="003356BF">
        <w:rPr>
          <w:rStyle w:val="2"/>
          <w:sz w:val="28"/>
          <w:szCs w:val="28"/>
          <w:lang w:bidi="en-US"/>
        </w:rPr>
        <w:t xml:space="preserve">Ro </w:t>
      </w:r>
      <w:r w:rsidRPr="003356BF">
        <w:rPr>
          <w:rStyle w:val="2"/>
          <w:sz w:val="28"/>
          <w:szCs w:val="28"/>
        </w:rPr>
        <w:t xml:space="preserve">= </w:t>
      </w:r>
      <w:r w:rsidRPr="003356BF">
        <w:rPr>
          <w:rStyle w:val="2"/>
          <w:sz w:val="28"/>
          <w:szCs w:val="28"/>
        </w:rPr>
        <w:tab/>
        <w:t xml:space="preserve"> 100, </w:t>
      </w:r>
      <w:r w:rsidRPr="003356BF">
        <w:rPr>
          <w:rStyle w:val="2"/>
          <w:smallCaps/>
          <w:sz w:val="28"/>
          <w:szCs w:val="28"/>
        </w:rPr>
        <w:t>в</w:t>
      </w:r>
      <w:r w:rsidRPr="003356BF">
        <w:rPr>
          <w:rStyle w:val="2"/>
          <w:sz w:val="28"/>
          <w:szCs w:val="28"/>
        </w:rPr>
        <w:t xml:space="preserve"> %, </w:t>
      </w:r>
      <w:proofErr w:type="spellStart"/>
      <w:r w:rsidRPr="003356BF">
        <w:rPr>
          <w:rStyle w:val="2"/>
          <w:sz w:val="28"/>
          <w:szCs w:val="28"/>
        </w:rPr>
        <w:t>където</w:t>
      </w:r>
      <w:proofErr w:type="spellEnd"/>
      <w:r w:rsidRPr="003356BF">
        <w:rPr>
          <w:rStyle w:val="2"/>
          <w:sz w:val="28"/>
          <w:szCs w:val="28"/>
        </w:rPr>
        <w:t>:</w:t>
      </w:r>
    </w:p>
    <w:p w14:paraId="54178E4E" w14:textId="77777777" w:rsidR="00873008" w:rsidRPr="003356BF" w:rsidRDefault="00586A18" w:rsidP="00873008">
      <w:pPr>
        <w:pStyle w:val="20"/>
        <w:tabs>
          <w:tab w:val="left" w:pos="1880"/>
        </w:tabs>
        <w:spacing w:after="0" w:line="360" w:lineRule="auto"/>
        <w:ind w:firstLine="920"/>
        <w:jc w:val="both"/>
        <w:rPr>
          <w:sz w:val="28"/>
          <w:szCs w:val="28"/>
        </w:rPr>
      </w:pPr>
      <w:r w:rsidRPr="003356BF">
        <w:rPr>
          <w:rStyle w:val="2"/>
          <w:sz w:val="28"/>
          <w:szCs w:val="28"/>
        </w:rPr>
        <w:t>П</w:t>
      </w:r>
      <w:r w:rsidRPr="003356BF">
        <w:rPr>
          <w:rStyle w:val="2"/>
          <w:sz w:val="28"/>
          <w:szCs w:val="28"/>
        </w:rPr>
        <w:tab/>
      </w:r>
    </w:p>
    <w:p w14:paraId="26BB3562" w14:textId="77777777" w:rsidR="004C780D" w:rsidRPr="003356BF" w:rsidRDefault="004C780D" w:rsidP="00F96464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br/>
      </w:r>
      <w:r w:rsidR="009E01AE" w:rsidRPr="003356BF">
        <w:rPr>
          <w:color w:val="000000"/>
          <w:sz w:val="28"/>
          <w:szCs w:val="28"/>
        </w:rPr>
        <w:t xml:space="preserve">      </w:t>
      </w:r>
      <w:r w:rsidRPr="003356BF">
        <w:rPr>
          <w:color w:val="000000"/>
          <w:sz w:val="28"/>
          <w:szCs w:val="28"/>
        </w:rPr>
        <w:t>СФР</w:t>
      </w:r>
      <w:r w:rsidR="001447A8" w:rsidRPr="003356BF">
        <w:rPr>
          <w:color w:val="000000"/>
          <w:sz w:val="28"/>
          <w:szCs w:val="28"/>
        </w:rPr>
        <w:t xml:space="preserve"> е </w:t>
      </w:r>
      <w:r w:rsidRPr="003356BF">
        <w:rPr>
          <w:color w:val="000000"/>
          <w:sz w:val="28"/>
          <w:szCs w:val="28"/>
        </w:rPr>
        <w:t xml:space="preserve">счетоводният финансов резултат (печалбата/загубата) по отчета за приходите и разходите/отчета за доходите за обекта на концесията за </w:t>
      </w:r>
      <w:r w:rsidR="000D7D07" w:rsidRPr="003356BF">
        <w:rPr>
          <w:color w:val="000000"/>
          <w:sz w:val="28"/>
          <w:szCs w:val="28"/>
        </w:rPr>
        <w:t>предходния годишен</w:t>
      </w:r>
      <w:r w:rsidRPr="003356BF">
        <w:rPr>
          <w:color w:val="000000"/>
          <w:sz w:val="28"/>
          <w:szCs w:val="28"/>
        </w:rPr>
        <w:t xml:space="preserve"> период преди начисляването на разходите за данъци от печалбата;</w:t>
      </w:r>
    </w:p>
    <w:p w14:paraId="76FBAB6B" w14:textId="77777777" w:rsidR="004C780D" w:rsidRPr="003356BF" w:rsidRDefault="004C780D" w:rsidP="00F96464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П са нетните приходи от продажби на крайните продукти от добитото подземно богатство за </w:t>
      </w:r>
      <w:r w:rsidR="000D7D07" w:rsidRPr="003356BF">
        <w:rPr>
          <w:color w:val="000000"/>
          <w:sz w:val="28"/>
          <w:szCs w:val="28"/>
        </w:rPr>
        <w:t>предходния годишен</w:t>
      </w:r>
      <w:r w:rsidRPr="003356BF">
        <w:rPr>
          <w:color w:val="000000"/>
          <w:sz w:val="28"/>
          <w:szCs w:val="28"/>
        </w:rPr>
        <w:t xml:space="preserve"> период; крайните продукти от добитото подземно богатство се определят с концесионния договор;</w:t>
      </w:r>
    </w:p>
    <w:p w14:paraId="2FEC1844" w14:textId="16C30A91" w:rsidR="004C780D" w:rsidRPr="003356BF" w:rsidRDefault="002008F9" w:rsidP="00F96464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4C780D" w:rsidRPr="003356BF">
        <w:rPr>
          <w:color w:val="000000"/>
          <w:sz w:val="28"/>
          <w:szCs w:val="28"/>
        </w:rPr>
        <w:t>2.</w:t>
      </w:r>
      <w:r w:rsidR="008E62DA" w:rsidRPr="003356BF">
        <w:rPr>
          <w:color w:val="000000"/>
          <w:sz w:val="28"/>
          <w:szCs w:val="28"/>
        </w:rPr>
        <w:t xml:space="preserve"> </w:t>
      </w:r>
      <w:r w:rsidR="00C740A8" w:rsidRPr="003356BF">
        <w:rPr>
          <w:color w:val="000000"/>
          <w:sz w:val="28"/>
          <w:szCs w:val="28"/>
        </w:rPr>
        <w:t>Н</w:t>
      </w:r>
      <w:r w:rsidR="004C780D" w:rsidRPr="003356BF">
        <w:rPr>
          <w:color w:val="000000"/>
          <w:sz w:val="28"/>
          <w:szCs w:val="28"/>
        </w:rPr>
        <w:t xml:space="preserve">етните приходи от продажби на крайните продукти от добитото подземно богатство се определят </w:t>
      </w:r>
      <w:r w:rsidR="00810B4F" w:rsidRPr="003356BF">
        <w:rPr>
          <w:color w:val="000000"/>
          <w:sz w:val="28"/>
          <w:szCs w:val="28"/>
        </w:rPr>
        <w:t xml:space="preserve">при условията и </w:t>
      </w:r>
      <w:r w:rsidR="004C780D" w:rsidRPr="003356BF">
        <w:rPr>
          <w:color w:val="000000"/>
          <w:sz w:val="28"/>
          <w:szCs w:val="28"/>
        </w:rPr>
        <w:t>по реда на Закона за счетоводството и приложимите счетоводни стандарти</w:t>
      </w:r>
      <w:r w:rsidR="00452AAE">
        <w:rPr>
          <w:color w:val="000000"/>
          <w:sz w:val="28"/>
          <w:szCs w:val="28"/>
        </w:rPr>
        <w:t>.</w:t>
      </w:r>
    </w:p>
    <w:p w14:paraId="0F6BADDD" w14:textId="6A86AAA2" w:rsidR="004C780D" w:rsidRPr="003356BF" w:rsidRDefault="002008F9" w:rsidP="00F96464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4C780D" w:rsidRPr="003356BF">
        <w:rPr>
          <w:color w:val="000000"/>
          <w:sz w:val="28"/>
          <w:szCs w:val="28"/>
        </w:rPr>
        <w:t>3.</w:t>
      </w:r>
      <w:r w:rsidR="008E62DA" w:rsidRPr="003356BF">
        <w:rPr>
          <w:color w:val="000000"/>
          <w:sz w:val="28"/>
          <w:szCs w:val="28"/>
        </w:rPr>
        <w:t xml:space="preserve"> </w:t>
      </w:r>
      <w:r w:rsidR="00C740A8" w:rsidRPr="003356BF">
        <w:rPr>
          <w:color w:val="000000"/>
          <w:sz w:val="28"/>
          <w:szCs w:val="28"/>
        </w:rPr>
        <w:t>В</w:t>
      </w:r>
      <w:r w:rsidR="004C780D" w:rsidRPr="003356BF">
        <w:rPr>
          <w:color w:val="000000"/>
          <w:sz w:val="28"/>
          <w:szCs w:val="28"/>
        </w:rPr>
        <w:t xml:space="preserve"> случаите, когато размерът на показателя </w:t>
      </w:r>
      <w:proofErr w:type="spellStart"/>
      <w:r w:rsidR="004C780D" w:rsidRPr="003356BF">
        <w:rPr>
          <w:color w:val="000000"/>
          <w:sz w:val="28"/>
          <w:szCs w:val="28"/>
        </w:rPr>
        <w:t>Ro</w:t>
      </w:r>
      <w:proofErr w:type="spellEnd"/>
      <w:r w:rsidR="004C780D" w:rsidRPr="003356BF">
        <w:rPr>
          <w:color w:val="000000"/>
          <w:sz w:val="28"/>
          <w:szCs w:val="28"/>
        </w:rPr>
        <w:t xml:space="preserve"> е по-малък от размера на показателя </w:t>
      </w:r>
      <w:proofErr w:type="spellStart"/>
      <w:r w:rsidR="004C780D" w:rsidRPr="003356BF">
        <w:rPr>
          <w:color w:val="000000"/>
          <w:sz w:val="28"/>
          <w:szCs w:val="28"/>
        </w:rPr>
        <w:t>Rmin</w:t>
      </w:r>
      <w:proofErr w:type="spellEnd"/>
      <w:r w:rsidR="004C780D" w:rsidRPr="003356BF">
        <w:rPr>
          <w:color w:val="000000"/>
          <w:sz w:val="28"/>
          <w:szCs w:val="28"/>
        </w:rPr>
        <w:t>, процентният размер на концесионното плащане за съответния период от срока на концесията е равен на минималния процентен размер на концесионното плащане за вида подземно богатство</w:t>
      </w:r>
      <w:r w:rsidR="00452AAE">
        <w:rPr>
          <w:color w:val="000000"/>
          <w:sz w:val="28"/>
          <w:szCs w:val="28"/>
        </w:rPr>
        <w:t>.</w:t>
      </w:r>
    </w:p>
    <w:p w14:paraId="30F9C3DD" w14:textId="77777777" w:rsidR="004C780D" w:rsidRPr="003356BF" w:rsidRDefault="002008F9" w:rsidP="00F96464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lastRenderedPageBreak/>
        <w:t>1.</w:t>
      </w:r>
      <w:r w:rsidR="004C780D" w:rsidRPr="003356BF">
        <w:rPr>
          <w:color w:val="000000"/>
          <w:sz w:val="28"/>
          <w:szCs w:val="28"/>
        </w:rPr>
        <w:t>4.</w:t>
      </w:r>
      <w:r w:rsidR="008E62DA" w:rsidRPr="003356BF">
        <w:rPr>
          <w:color w:val="000000"/>
          <w:sz w:val="28"/>
          <w:szCs w:val="28"/>
        </w:rPr>
        <w:t xml:space="preserve"> </w:t>
      </w:r>
      <w:r w:rsidR="00C740A8" w:rsidRPr="003356BF">
        <w:rPr>
          <w:color w:val="000000"/>
          <w:sz w:val="28"/>
          <w:szCs w:val="28"/>
        </w:rPr>
        <w:t>Г</w:t>
      </w:r>
      <w:r w:rsidR="004C780D" w:rsidRPr="003356BF">
        <w:rPr>
          <w:color w:val="000000"/>
          <w:sz w:val="28"/>
          <w:szCs w:val="28"/>
        </w:rPr>
        <w:t>раниците на минималния и максималния процентен размер в съответствие с вида на подземното богатство и границите на рентабилност от дейността, свързана с обекта на концесията, се определят, както следва: </w:t>
      </w:r>
    </w:p>
    <w:p w14:paraId="78DBC12F" w14:textId="77777777" w:rsidR="004C780D" w:rsidRPr="003356BF" w:rsidRDefault="004C780D" w:rsidP="00F96464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250"/>
        <w:gridCol w:w="1152"/>
        <w:gridCol w:w="1276"/>
        <w:gridCol w:w="987"/>
        <w:gridCol w:w="1134"/>
        <w:gridCol w:w="1701"/>
      </w:tblGrid>
      <w:tr w:rsidR="007C5D86" w:rsidRPr="003356BF" w14:paraId="7A699907" w14:textId="77777777" w:rsidTr="00BA197B">
        <w:trPr>
          <w:trHeight w:val="1232"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285B" w14:textId="77777777" w:rsidR="007C5D86" w:rsidRPr="003356BF" w:rsidRDefault="007C5D86" w:rsidP="00F9646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Вид подземно богатство</w:t>
            </w:r>
            <w:r w:rsidR="00FB378E" w:rsidRPr="003356BF">
              <w:rPr>
                <w:color w:val="000000"/>
                <w:sz w:val="28"/>
                <w:szCs w:val="28"/>
              </w:rPr>
              <w:t xml:space="preserve"> - метални полезни изкопаеми: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DD57" w14:textId="77777777" w:rsidR="007C5D86" w:rsidRPr="003356BF" w:rsidRDefault="007C5D86" w:rsidP="00F9646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Граници на концесионното плащане (в %)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0183" w14:textId="77777777" w:rsidR="007C5D86" w:rsidRPr="003356BF" w:rsidRDefault="007C5D86" w:rsidP="00F9646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Граници на рентабилността (в 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CD30" w14:textId="77777777" w:rsidR="007C5D86" w:rsidRPr="003356BF" w:rsidRDefault="007C5D86" w:rsidP="00F96464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Коефициент на </w:t>
            </w:r>
            <w:proofErr w:type="spellStart"/>
            <w:r w:rsidRPr="003356BF">
              <w:rPr>
                <w:color w:val="000000"/>
                <w:sz w:val="28"/>
                <w:szCs w:val="28"/>
              </w:rPr>
              <w:t>пропорцио-налност</w:t>
            </w:r>
            <w:proofErr w:type="spellEnd"/>
          </w:p>
        </w:tc>
      </w:tr>
      <w:tr w:rsidR="007C5D86" w:rsidRPr="003356BF" w14:paraId="77464EE8" w14:textId="77777777" w:rsidTr="00D772CB">
        <w:trPr>
          <w:trHeight w:val="463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A5A4" w14:textId="77777777" w:rsidR="007C5D86" w:rsidRPr="003356BF" w:rsidRDefault="007C5D86" w:rsidP="00FE3DF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6769" w14:textId="77777777" w:rsidR="007C5D86" w:rsidRPr="003356BF" w:rsidRDefault="007C5D86" w:rsidP="00FE3DF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ПКП </w:t>
            </w:r>
            <w:proofErr w:type="spellStart"/>
            <w:r w:rsidRPr="003356BF">
              <w:rPr>
                <w:color w:val="000000"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F107" w14:textId="77777777" w:rsidR="007C5D86" w:rsidRPr="003356BF" w:rsidRDefault="007C5D86" w:rsidP="00FE3DF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ПКП </w:t>
            </w:r>
            <w:proofErr w:type="spellStart"/>
            <w:r w:rsidRPr="003356BF">
              <w:rPr>
                <w:color w:val="000000"/>
                <w:sz w:val="28"/>
                <w:szCs w:val="28"/>
              </w:rPr>
              <w:t>max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50C3" w14:textId="77777777" w:rsidR="007C5D86" w:rsidRPr="003356BF" w:rsidRDefault="007C5D86" w:rsidP="00FE3DF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R </w:t>
            </w:r>
            <w:proofErr w:type="spellStart"/>
            <w:r w:rsidRPr="003356BF">
              <w:rPr>
                <w:color w:val="000000"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4405" w14:textId="77777777" w:rsidR="007C5D86" w:rsidRPr="003356BF" w:rsidRDefault="007C5D86" w:rsidP="00FE3DF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R </w:t>
            </w:r>
            <w:proofErr w:type="spellStart"/>
            <w:r w:rsidRPr="003356BF">
              <w:rPr>
                <w:color w:val="000000"/>
                <w:sz w:val="28"/>
                <w:szCs w:val="28"/>
              </w:rPr>
              <w:t>max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6555" w14:textId="77777777" w:rsidR="007C5D86" w:rsidRPr="003356BF" w:rsidRDefault="007C5D86" w:rsidP="00FE3DF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a</w:t>
            </w:r>
          </w:p>
        </w:tc>
      </w:tr>
      <w:tr w:rsidR="007C5D86" w:rsidRPr="003356BF" w14:paraId="5D8335EE" w14:textId="77777777" w:rsidTr="00D772CB">
        <w:trPr>
          <w:trHeight w:val="119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2319" w14:textId="77777777" w:rsidR="00DC0D42" w:rsidRPr="003356BF" w:rsidRDefault="00582F4E" w:rsidP="00FB378E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а) </w:t>
            </w:r>
            <w:r w:rsidR="00017DEB" w:rsidRPr="003356BF">
              <w:rPr>
                <w:color w:val="000000"/>
                <w:sz w:val="28"/>
                <w:szCs w:val="28"/>
              </w:rPr>
              <w:t>олово и цинк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69FF" w14:textId="77777777" w:rsidR="007C5D86" w:rsidRPr="003356BF" w:rsidRDefault="00017DEB" w:rsidP="00C23FE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03568" w14:textId="77777777" w:rsidR="007C5D86" w:rsidRPr="003356BF" w:rsidRDefault="00017DEB" w:rsidP="00EB64B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D7B1F" w14:textId="77777777" w:rsidR="007C5D86" w:rsidRPr="003356BF" w:rsidRDefault="000C335C" w:rsidP="00D75DAA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931C7" w14:textId="77777777" w:rsidR="007C5D86" w:rsidRPr="003356BF" w:rsidRDefault="000C335C" w:rsidP="00D75DAA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46C9" w14:textId="77777777" w:rsidR="007C5D86" w:rsidRPr="003356BF" w:rsidRDefault="000C335C" w:rsidP="006C772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  <w:lang w:val="en-US"/>
              </w:rPr>
              <w:t>0</w:t>
            </w:r>
            <w:r w:rsidRPr="003356BF">
              <w:rPr>
                <w:color w:val="000000"/>
                <w:sz w:val="28"/>
                <w:szCs w:val="28"/>
              </w:rPr>
              <w:t>,08</w:t>
            </w:r>
            <w:r w:rsidR="00D33D9E" w:rsidRPr="003356BF">
              <w:rPr>
                <w:color w:val="000000"/>
                <w:sz w:val="28"/>
                <w:szCs w:val="28"/>
              </w:rPr>
              <w:t>0</w:t>
            </w:r>
          </w:p>
        </w:tc>
      </w:tr>
      <w:tr w:rsidR="00E20688" w:rsidRPr="003356BF" w14:paraId="22063E73" w14:textId="77777777" w:rsidTr="00D772CB">
        <w:trPr>
          <w:trHeight w:val="119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8CC0C" w14:textId="77777777" w:rsidR="00E20688" w:rsidRPr="003356BF" w:rsidRDefault="00E20688" w:rsidP="00E2068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б) благородни метали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A102" w14:textId="77777777" w:rsidR="00E20688" w:rsidRPr="003356BF" w:rsidDel="00DC0D42" w:rsidRDefault="00E20688" w:rsidP="00E2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5897D" w14:textId="77777777" w:rsidR="00E20688" w:rsidRPr="003356BF" w:rsidDel="00DC0D42" w:rsidRDefault="00E20688" w:rsidP="00E2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705A" w14:textId="77777777" w:rsidR="00E20688" w:rsidRPr="003356BF" w:rsidDel="00DC0D42" w:rsidRDefault="00E20688" w:rsidP="00E2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14ED" w14:textId="77777777" w:rsidR="00E20688" w:rsidRPr="003356BF" w:rsidDel="00DC0D42" w:rsidRDefault="00E20688" w:rsidP="00E2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E6E9C" w14:textId="77777777" w:rsidR="00E20688" w:rsidRPr="003356BF" w:rsidDel="00DC0D42" w:rsidRDefault="00E20688" w:rsidP="00E2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0,100</w:t>
            </w:r>
          </w:p>
        </w:tc>
      </w:tr>
      <w:tr w:rsidR="00E20688" w:rsidRPr="003356BF" w14:paraId="59E6D941" w14:textId="77777777" w:rsidTr="00D772CB">
        <w:trPr>
          <w:trHeight w:val="77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8B35" w14:textId="67F46F96" w:rsidR="00E20688" w:rsidRPr="003356BF" w:rsidRDefault="00E20688" w:rsidP="00E2068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в) метални полезни изкопаеми, извън посочените по б</w:t>
            </w:r>
            <w:r w:rsidR="00BA197B">
              <w:rPr>
                <w:color w:val="000000"/>
                <w:sz w:val="28"/>
                <w:szCs w:val="28"/>
              </w:rPr>
              <w:t>укви</w:t>
            </w:r>
            <w:r w:rsidRPr="003356BF">
              <w:rPr>
                <w:color w:val="000000"/>
                <w:sz w:val="28"/>
                <w:szCs w:val="28"/>
              </w:rPr>
              <w:t xml:space="preserve"> „а“ и „б“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74A64" w14:textId="77777777" w:rsidR="00E20688" w:rsidRPr="003356BF" w:rsidDel="00DC0D42" w:rsidRDefault="00E20688" w:rsidP="00E2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DCBDF" w14:textId="77777777" w:rsidR="00E20688" w:rsidRPr="003356BF" w:rsidDel="00DC0D42" w:rsidRDefault="00E20688" w:rsidP="00E2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3196E" w14:textId="77777777" w:rsidR="00E20688" w:rsidRPr="003356BF" w:rsidDel="00DC0D42" w:rsidRDefault="00E20688" w:rsidP="00E2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6E9F" w14:textId="77777777" w:rsidR="00E20688" w:rsidRPr="003356BF" w:rsidDel="00DC0D42" w:rsidRDefault="00E20688" w:rsidP="00E2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7A58C" w14:textId="77777777" w:rsidR="00E20688" w:rsidRPr="003356BF" w:rsidDel="00DC0D42" w:rsidRDefault="00E20688" w:rsidP="00E2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0,075</w:t>
            </w:r>
          </w:p>
        </w:tc>
      </w:tr>
    </w:tbl>
    <w:p w14:paraId="082973F3" w14:textId="77777777" w:rsidR="004C780D" w:rsidRPr="003356BF" w:rsidRDefault="004C780D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</w:p>
    <w:p w14:paraId="3951E2E1" w14:textId="021CA88A" w:rsidR="004C780D" w:rsidRPr="003356BF" w:rsidRDefault="004D5DD4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017B0A" w:rsidRPr="003356BF">
        <w:rPr>
          <w:color w:val="000000"/>
          <w:sz w:val="28"/>
          <w:szCs w:val="28"/>
        </w:rPr>
        <w:t>5</w:t>
      </w:r>
      <w:r w:rsidR="00793DD9" w:rsidRPr="003356BF">
        <w:rPr>
          <w:color w:val="000000"/>
          <w:sz w:val="28"/>
          <w:szCs w:val="28"/>
        </w:rPr>
        <w:t xml:space="preserve">. </w:t>
      </w:r>
      <w:r w:rsidR="00C740A8" w:rsidRPr="003356BF">
        <w:rPr>
          <w:color w:val="000000"/>
          <w:sz w:val="28"/>
          <w:szCs w:val="28"/>
        </w:rPr>
        <w:t>К</w:t>
      </w:r>
      <w:r w:rsidR="004C780D" w:rsidRPr="003356BF">
        <w:rPr>
          <w:color w:val="000000"/>
          <w:sz w:val="28"/>
          <w:szCs w:val="28"/>
        </w:rPr>
        <w:t>онкретният минимален процентен размер на концесионното плащане (</w:t>
      </w:r>
      <w:proofErr w:type="spellStart"/>
      <w:r w:rsidR="004C780D" w:rsidRPr="003356BF">
        <w:rPr>
          <w:color w:val="000000"/>
          <w:sz w:val="28"/>
          <w:szCs w:val="28"/>
        </w:rPr>
        <w:t>ПКПmin</w:t>
      </w:r>
      <w:proofErr w:type="spellEnd"/>
      <w:r w:rsidR="004C780D" w:rsidRPr="003356BF">
        <w:rPr>
          <w:color w:val="000000"/>
          <w:sz w:val="28"/>
          <w:szCs w:val="28"/>
        </w:rPr>
        <w:t xml:space="preserve">), съответно коефициентът на пропорционалност (а), се определя въз основа на финансово-икономическия анализ </w:t>
      </w:r>
      <w:r w:rsidR="00944474" w:rsidRPr="003356BF">
        <w:rPr>
          <w:color w:val="000000"/>
          <w:sz w:val="28"/>
          <w:szCs w:val="28"/>
        </w:rPr>
        <w:t xml:space="preserve">или </w:t>
      </w:r>
      <w:r w:rsidR="004C780D" w:rsidRPr="003356BF">
        <w:rPr>
          <w:color w:val="000000"/>
          <w:sz w:val="28"/>
          <w:szCs w:val="28"/>
        </w:rPr>
        <w:t xml:space="preserve">обосновка в границите </w:t>
      </w:r>
      <w:r w:rsidR="00747454" w:rsidRPr="003356BF">
        <w:rPr>
          <w:color w:val="000000"/>
          <w:sz w:val="28"/>
          <w:szCs w:val="28"/>
        </w:rPr>
        <w:t xml:space="preserve">съгласно </w:t>
      </w:r>
      <w:r w:rsidR="004C780D" w:rsidRPr="003356BF">
        <w:rPr>
          <w:color w:val="000000"/>
          <w:sz w:val="28"/>
          <w:szCs w:val="28"/>
        </w:rPr>
        <w:t xml:space="preserve">таблицата по т. </w:t>
      </w:r>
      <w:r w:rsidR="00FE6312" w:rsidRPr="003356BF">
        <w:rPr>
          <w:color w:val="000000"/>
          <w:sz w:val="28"/>
          <w:szCs w:val="28"/>
        </w:rPr>
        <w:t>1.</w:t>
      </w:r>
      <w:r w:rsidR="004C780D" w:rsidRPr="003356BF">
        <w:rPr>
          <w:color w:val="000000"/>
          <w:sz w:val="28"/>
          <w:szCs w:val="28"/>
        </w:rPr>
        <w:t>4</w:t>
      </w:r>
      <w:r w:rsidR="00BA197B">
        <w:rPr>
          <w:color w:val="000000"/>
          <w:sz w:val="28"/>
          <w:szCs w:val="28"/>
        </w:rPr>
        <w:t>.</w:t>
      </w:r>
    </w:p>
    <w:p w14:paraId="1579B505" w14:textId="3C4F4284" w:rsidR="004C780D" w:rsidRPr="003356BF" w:rsidRDefault="004D5DD4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017B0A" w:rsidRPr="003356BF">
        <w:rPr>
          <w:color w:val="000000"/>
          <w:sz w:val="28"/>
          <w:szCs w:val="28"/>
        </w:rPr>
        <w:t>6</w:t>
      </w:r>
      <w:r w:rsidR="00793DD9" w:rsidRPr="003356BF">
        <w:rPr>
          <w:color w:val="000000"/>
          <w:sz w:val="28"/>
          <w:szCs w:val="28"/>
        </w:rPr>
        <w:t xml:space="preserve">. </w:t>
      </w:r>
      <w:r w:rsidR="00C740A8" w:rsidRPr="003356BF">
        <w:rPr>
          <w:color w:val="000000"/>
          <w:sz w:val="28"/>
          <w:szCs w:val="28"/>
        </w:rPr>
        <w:t>Б</w:t>
      </w:r>
      <w:r w:rsidR="004C780D" w:rsidRPr="003356BF">
        <w:rPr>
          <w:color w:val="000000"/>
          <w:sz w:val="28"/>
          <w:szCs w:val="28"/>
        </w:rPr>
        <w:t xml:space="preserve">азата за изчисляване на концесионното плащане (БКП) е стойността на добитите подземни богатства за съответния период, определена </w:t>
      </w:r>
      <w:r w:rsidR="00FB378E" w:rsidRPr="003356BF">
        <w:rPr>
          <w:color w:val="000000"/>
          <w:sz w:val="28"/>
          <w:szCs w:val="28"/>
        </w:rPr>
        <w:t>съгласно</w:t>
      </w:r>
      <w:r w:rsidR="004C780D" w:rsidRPr="003356BF">
        <w:rPr>
          <w:color w:val="000000"/>
          <w:sz w:val="28"/>
          <w:szCs w:val="28"/>
        </w:rPr>
        <w:t xml:space="preserve"> </w:t>
      </w:r>
      <w:r w:rsidR="00017B0A" w:rsidRPr="003356BF">
        <w:rPr>
          <w:color w:val="000000"/>
          <w:sz w:val="28"/>
          <w:szCs w:val="28"/>
        </w:rPr>
        <w:t>т. 1.7 или 1.8</w:t>
      </w:r>
      <w:r w:rsidR="00BA197B">
        <w:rPr>
          <w:color w:val="000000"/>
          <w:sz w:val="28"/>
          <w:szCs w:val="28"/>
        </w:rPr>
        <w:t>.</w:t>
      </w:r>
    </w:p>
    <w:p w14:paraId="58175107" w14:textId="77777777" w:rsidR="000D788E" w:rsidRDefault="000D788E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</w:p>
    <w:p w14:paraId="4FA4058F" w14:textId="77777777" w:rsidR="000D788E" w:rsidRDefault="000D788E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</w:p>
    <w:p w14:paraId="79224E24" w14:textId="118C54F5" w:rsidR="004C780D" w:rsidRPr="003356BF" w:rsidRDefault="00FE6312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017B0A" w:rsidRPr="003356BF">
        <w:rPr>
          <w:color w:val="000000"/>
          <w:sz w:val="28"/>
          <w:szCs w:val="28"/>
        </w:rPr>
        <w:t>7</w:t>
      </w:r>
      <w:r w:rsidR="00793DD9" w:rsidRPr="003356BF">
        <w:rPr>
          <w:color w:val="000000"/>
          <w:sz w:val="28"/>
          <w:szCs w:val="28"/>
        </w:rPr>
        <w:t xml:space="preserve">. </w:t>
      </w:r>
      <w:r w:rsidR="00C740A8" w:rsidRPr="003356BF">
        <w:rPr>
          <w:color w:val="000000"/>
          <w:sz w:val="28"/>
          <w:szCs w:val="28"/>
        </w:rPr>
        <w:t>З</w:t>
      </w:r>
      <w:r w:rsidR="004C780D" w:rsidRPr="003356BF">
        <w:rPr>
          <w:color w:val="000000"/>
          <w:sz w:val="28"/>
          <w:szCs w:val="28"/>
        </w:rPr>
        <w:t>а подземните богатства, съдържащи метали, за цените на които Лондонската метална борса поддържа информация, стойността на добитите подземни богатства се определя като произведение от съдържащите се в тях метали, определени в концесионния договор, и средноаритметичната им цена съгласно обявените цени на Лондонската метална борса за съответния период</w:t>
      </w:r>
      <w:r w:rsidR="00BA197B">
        <w:rPr>
          <w:color w:val="000000"/>
          <w:sz w:val="28"/>
          <w:szCs w:val="28"/>
        </w:rPr>
        <w:t>.</w:t>
      </w:r>
    </w:p>
    <w:p w14:paraId="341CA64D" w14:textId="3AA22934" w:rsidR="004C780D" w:rsidRPr="003356BF" w:rsidRDefault="00FE6312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017B0A" w:rsidRPr="003356BF">
        <w:rPr>
          <w:color w:val="000000"/>
          <w:sz w:val="28"/>
          <w:szCs w:val="28"/>
        </w:rPr>
        <w:t>8</w:t>
      </w:r>
      <w:r w:rsidR="00793DD9" w:rsidRPr="003356BF">
        <w:rPr>
          <w:color w:val="000000"/>
          <w:sz w:val="28"/>
          <w:szCs w:val="28"/>
        </w:rPr>
        <w:t xml:space="preserve">. </w:t>
      </w:r>
      <w:r w:rsidR="00C740A8" w:rsidRPr="003356BF">
        <w:rPr>
          <w:color w:val="000000"/>
          <w:sz w:val="28"/>
          <w:szCs w:val="28"/>
        </w:rPr>
        <w:t>З</w:t>
      </w:r>
      <w:r w:rsidR="004C780D" w:rsidRPr="003356BF">
        <w:rPr>
          <w:color w:val="000000"/>
          <w:sz w:val="28"/>
          <w:szCs w:val="28"/>
        </w:rPr>
        <w:t>а металните полезни изкопаеми, които не се търгуват на Лондонската метална борса, стойността на добитите подземни богатства се определя като произведение от количеството добито подземно богатство и среднопретеглената му продажна цена за съответния период, но не по-ниска от пазарната цена, определена на база</w:t>
      </w:r>
      <w:r w:rsidR="00BA197B">
        <w:rPr>
          <w:color w:val="000000"/>
          <w:sz w:val="28"/>
          <w:szCs w:val="28"/>
        </w:rPr>
        <w:t>та на</w:t>
      </w:r>
      <w:r w:rsidR="004C780D" w:rsidRPr="003356BF">
        <w:rPr>
          <w:color w:val="000000"/>
          <w:sz w:val="28"/>
          <w:szCs w:val="28"/>
        </w:rPr>
        <w:t xml:space="preserve"> неконтролирани сделки между несвързани лица, а при износ</w:t>
      </w:r>
      <w:r w:rsidR="007516CC" w:rsidRPr="003356BF">
        <w:rPr>
          <w:color w:val="000000"/>
          <w:sz w:val="28"/>
          <w:szCs w:val="28"/>
        </w:rPr>
        <w:t xml:space="preserve"> </w:t>
      </w:r>
      <w:r w:rsidR="004C780D" w:rsidRPr="003356BF">
        <w:rPr>
          <w:color w:val="000000"/>
          <w:sz w:val="28"/>
          <w:szCs w:val="28"/>
        </w:rPr>
        <w:t>-</w:t>
      </w:r>
      <w:r w:rsidR="007516CC" w:rsidRPr="003356BF">
        <w:rPr>
          <w:color w:val="000000"/>
          <w:sz w:val="28"/>
          <w:szCs w:val="28"/>
        </w:rPr>
        <w:t xml:space="preserve"> </w:t>
      </w:r>
      <w:r w:rsidR="004C780D" w:rsidRPr="003356BF">
        <w:rPr>
          <w:color w:val="000000"/>
          <w:sz w:val="28"/>
          <w:szCs w:val="28"/>
        </w:rPr>
        <w:t>не по-ниска от минималната цена за съответния продукт по данни от "Метал Бюлетин"</w:t>
      </w:r>
      <w:r w:rsidR="005D1766" w:rsidRPr="003356BF">
        <w:rPr>
          <w:color w:val="000000"/>
          <w:sz w:val="28"/>
          <w:szCs w:val="28"/>
        </w:rPr>
        <w:t xml:space="preserve"> </w:t>
      </w:r>
      <w:r w:rsidR="005D1766" w:rsidRPr="003356BF">
        <w:rPr>
          <w:sz w:val="28"/>
          <w:szCs w:val="28"/>
        </w:rPr>
        <w:t>(</w:t>
      </w:r>
      <w:hyperlink r:id="rId10" w:history="1">
        <w:r w:rsidR="002D5416" w:rsidRPr="003356BF">
          <w:rPr>
            <w:rStyle w:val="Hyperlink"/>
            <w:color w:val="auto"/>
            <w:sz w:val="28"/>
            <w:szCs w:val="28"/>
            <w:u w:val="none"/>
          </w:rPr>
          <w:t>https://www.fastmarkets.com/metal-bulletin-is-part-of-fastmarkets/</w:t>
        </w:r>
      </w:hyperlink>
      <w:r w:rsidR="005D1766" w:rsidRPr="003356BF">
        <w:rPr>
          <w:sz w:val="28"/>
          <w:szCs w:val="28"/>
        </w:rPr>
        <w:t>)</w:t>
      </w:r>
      <w:r w:rsidR="00104456" w:rsidRPr="003356BF">
        <w:rPr>
          <w:color w:val="000000"/>
          <w:sz w:val="28"/>
          <w:szCs w:val="28"/>
        </w:rPr>
        <w:t xml:space="preserve"> </w:t>
      </w:r>
      <w:r w:rsidR="008F524C" w:rsidRPr="003356BF">
        <w:rPr>
          <w:color w:val="000000"/>
          <w:sz w:val="28"/>
          <w:szCs w:val="28"/>
        </w:rPr>
        <w:t>или друг официален бюлетин</w:t>
      </w:r>
      <w:r w:rsidR="005D1766" w:rsidRPr="003356BF">
        <w:rPr>
          <w:color w:val="000000"/>
          <w:sz w:val="28"/>
          <w:szCs w:val="28"/>
        </w:rPr>
        <w:t xml:space="preserve">, </w:t>
      </w:r>
      <w:r w:rsidR="00FB378E" w:rsidRPr="003356BF">
        <w:rPr>
          <w:color w:val="000000"/>
          <w:sz w:val="28"/>
          <w:szCs w:val="28"/>
        </w:rPr>
        <w:t>когато</w:t>
      </w:r>
      <w:r w:rsidR="005D1766" w:rsidRPr="003356BF">
        <w:rPr>
          <w:color w:val="000000"/>
          <w:sz w:val="28"/>
          <w:szCs w:val="28"/>
        </w:rPr>
        <w:t xml:space="preserve"> тези данни не се съдържат в „Метал Бюлетин“</w:t>
      </w:r>
      <w:r w:rsidR="00BA197B">
        <w:rPr>
          <w:color w:val="000000"/>
          <w:sz w:val="28"/>
          <w:szCs w:val="28"/>
        </w:rPr>
        <w:t>.</w:t>
      </w:r>
    </w:p>
    <w:p w14:paraId="4A24AF1D" w14:textId="7A137C64" w:rsidR="00160D73" w:rsidRPr="003356BF" w:rsidRDefault="00160D73" w:rsidP="00BA197B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3356BF">
        <w:rPr>
          <w:bCs/>
          <w:color w:val="000000"/>
          <w:sz w:val="28"/>
          <w:szCs w:val="28"/>
        </w:rPr>
        <w:t xml:space="preserve">2. </w:t>
      </w:r>
      <w:r w:rsidR="000157C5" w:rsidRPr="003356BF">
        <w:rPr>
          <w:sz w:val="28"/>
          <w:szCs w:val="28"/>
        </w:rPr>
        <w:t>При</w:t>
      </w:r>
      <w:r w:rsidRPr="003356BF">
        <w:rPr>
          <w:sz w:val="28"/>
          <w:szCs w:val="28"/>
        </w:rPr>
        <w:t xml:space="preserve"> извършване на изчисленията се правят следните закръгления</w:t>
      </w:r>
      <w:r w:rsidR="00300778" w:rsidRPr="003356BF">
        <w:rPr>
          <w:sz w:val="28"/>
          <w:szCs w:val="28"/>
        </w:rPr>
        <w:t xml:space="preserve"> за</w:t>
      </w:r>
      <w:r w:rsidRPr="003356BF">
        <w:rPr>
          <w:sz w:val="28"/>
          <w:szCs w:val="28"/>
        </w:rPr>
        <w:t>:</w:t>
      </w:r>
    </w:p>
    <w:p w14:paraId="7C5ECEE3" w14:textId="77777777" w:rsidR="00160D73" w:rsidRPr="003356BF" w:rsidRDefault="00160D73" w:rsidP="00BA197B">
      <w:pPr>
        <w:spacing w:line="360" w:lineRule="auto"/>
        <w:ind w:firstLine="567"/>
        <w:jc w:val="both"/>
        <w:rPr>
          <w:sz w:val="28"/>
          <w:szCs w:val="28"/>
        </w:rPr>
      </w:pPr>
      <w:r w:rsidRPr="003356BF">
        <w:rPr>
          <w:sz w:val="28"/>
          <w:szCs w:val="28"/>
        </w:rPr>
        <w:t xml:space="preserve">2.1. </w:t>
      </w:r>
      <w:r w:rsidR="00A1330C" w:rsidRPr="003356BF">
        <w:rPr>
          <w:sz w:val="28"/>
          <w:szCs w:val="28"/>
        </w:rPr>
        <w:t xml:space="preserve">а </w:t>
      </w:r>
      <w:r w:rsidR="00A1330C" w:rsidRPr="003356BF">
        <w:rPr>
          <w:sz w:val="28"/>
          <w:szCs w:val="28"/>
          <w:lang w:val="en-US"/>
        </w:rPr>
        <w:t>(</w:t>
      </w:r>
      <w:proofErr w:type="spellStart"/>
      <w:r w:rsidRPr="003356BF">
        <w:rPr>
          <w:sz w:val="28"/>
          <w:szCs w:val="28"/>
        </w:rPr>
        <w:t>коефицент</w:t>
      </w:r>
      <w:proofErr w:type="spellEnd"/>
      <w:r w:rsidRPr="003356BF">
        <w:rPr>
          <w:sz w:val="28"/>
          <w:szCs w:val="28"/>
        </w:rPr>
        <w:t xml:space="preserve"> на пропорционалност</w:t>
      </w:r>
      <w:r w:rsidR="00A1330C" w:rsidRPr="003356BF">
        <w:rPr>
          <w:sz w:val="28"/>
          <w:szCs w:val="28"/>
          <w:lang w:val="en-US"/>
        </w:rPr>
        <w:t>)</w:t>
      </w:r>
      <w:r w:rsidRPr="003356BF">
        <w:rPr>
          <w:sz w:val="28"/>
          <w:szCs w:val="28"/>
        </w:rPr>
        <w:t xml:space="preserve"> - до петия знак след десетичната запетая, където е необходимо;</w:t>
      </w:r>
    </w:p>
    <w:p w14:paraId="5C33D51F" w14:textId="2622CAE4" w:rsidR="00160D73" w:rsidRPr="003356BF" w:rsidRDefault="00160D73" w:rsidP="00BA197B">
      <w:pPr>
        <w:spacing w:line="360" w:lineRule="auto"/>
        <w:ind w:firstLine="567"/>
        <w:jc w:val="both"/>
        <w:rPr>
          <w:sz w:val="28"/>
          <w:szCs w:val="28"/>
        </w:rPr>
      </w:pPr>
      <w:r w:rsidRPr="003356BF">
        <w:rPr>
          <w:sz w:val="28"/>
          <w:szCs w:val="28"/>
        </w:rPr>
        <w:t>2.2. R (рентабилност) - до втория знак след десетичната запетая;</w:t>
      </w:r>
    </w:p>
    <w:p w14:paraId="4B83ED70" w14:textId="77777777" w:rsidR="000157C5" w:rsidRPr="003356BF" w:rsidRDefault="00160D73" w:rsidP="00BA197B">
      <w:pPr>
        <w:spacing w:line="360" w:lineRule="auto"/>
        <w:ind w:firstLine="567"/>
        <w:jc w:val="both"/>
        <w:rPr>
          <w:sz w:val="28"/>
          <w:szCs w:val="28"/>
        </w:rPr>
      </w:pPr>
      <w:r w:rsidRPr="003356BF">
        <w:rPr>
          <w:sz w:val="28"/>
          <w:szCs w:val="28"/>
        </w:rPr>
        <w:t>2.3.</w:t>
      </w:r>
      <w:r w:rsidR="000157C5" w:rsidRPr="003356BF">
        <w:rPr>
          <w:color w:val="000000"/>
          <w:sz w:val="28"/>
          <w:szCs w:val="28"/>
        </w:rPr>
        <w:t xml:space="preserve"> </w:t>
      </w:r>
      <w:r w:rsidR="000157C5" w:rsidRPr="003356BF">
        <w:rPr>
          <w:sz w:val="28"/>
          <w:szCs w:val="28"/>
        </w:rPr>
        <w:t>ПКП (процентния размер на концесионното плащане за съответния период) - до петия знак след десетичната запетая, където е необходимо;</w:t>
      </w:r>
    </w:p>
    <w:p w14:paraId="1F38C019" w14:textId="77777777" w:rsidR="00160D73" w:rsidRPr="003356BF" w:rsidRDefault="000157C5" w:rsidP="00BA197B">
      <w:pPr>
        <w:spacing w:line="360" w:lineRule="auto"/>
        <w:ind w:firstLine="567"/>
        <w:jc w:val="both"/>
        <w:rPr>
          <w:sz w:val="28"/>
          <w:szCs w:val="28"/>
        </w:rPr>
      </w:pPr>
      <w:r w:rsidRPr="003356BF">
        <w:rPr>
          <w:sz w:val="28"/>
          <w:szCs w:val="28"/>
        </w:rPr>
        <w:t>2.4.</w:t>
      </w:r>
      <w:r w:rsidR="00BB7994" w:rsidRPr="003356BF">
        <w:rPr>
          <w:sz w:val="28"/>
          <w:szCs w:val="28"/>
          <w:lang w:val="en-US"/>
        </w:rPr>
        <w:t xml:space="preserve"> </w:t>
      </w:r>
      <w:r w:rsidR="00D42851" w:rsidRPr="003356BF">
        <w:rPr>
          <w:sz w:val="28"/>
          <w:szCs w:val="28"/>
        </w:rPr>
        <w:t>П</w:t>
      </w:r>
      <w:r w:rsidR="00160D73" w:rsidRPr="003356BF">
        <w:rPr>
          <w:sz w:val="28"/>
          <w:szCs w:val="28"/>
        </w:rPr>
        <w:t>олучените след изчисленията суми - до втория знак след десетичната запетая.</w:t>
      </w:r>
    </w:p>
    <w:p w14:paraId="5F2E53D3" w14:textId="62760E85" w:rsidR="00314540" w:rsidRDefault="00314540" w:rsidP="00BA197B">
      <w:pPr>
        <w:pStyle w:val="NormalWeb"/>
        <w:tabs>
          <w:tab w:val="left" w:pos="993"/>
        </w:tabs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3356BF">
        <w:rPr>
          <w:color w:val="000000"/>
          <w:sz w:val="28"/>
          <w:szCs w:val="28"/>
          <w:lang w:val="ru-RU"/>
        </w:rPr>
        <w:t xml:space="preserve">3. </w:t>
      </w:r>
      <w:proofErr w:type="spellStart"/>
      <w:r w:rsidRPr="003356BF">
        <w:rPr>
          <w:color w:val="000000"/>
          <w:sz w:val="28"/>
          <w:szCs w:val="28"/>
          <w:lang w:val="ru-RU"/>
        </w:rPr>
        <w:t>Минималният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размер на </w:t>
      </w:r>
      <w:proofErr w:type="spellStart"/>
      <w:r w:rsidRPr="003356BF">
        <w:rPr>
          <w:color w:val="000000"/>
          <w:sz w:val="28"/>
          <w:szCs w:val="28"/>
          <w:lang w:val="ru-RU"/>
        </w:rPr>
        <w:t>дължимото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356BF">
        <w:rPr>
          <w:color w:val="000000"/>
          <w:sz w:val="28"/>
          <w:szCs w:val="28"/>
          <w:lang w:val="ru-RU"/>
        </w:rPr>
        <w:t>годишно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356BF">
        <w:rPr>
          <w:color w:val="000000"/>
          <w:sz w:val="28"/>
          <w:szCs w:val="28"/>
          <w:lang w:val="ru-RU"/>
        </w:rPr>
        <w:t>концесионно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356BF">
        <w:rPr>
          <w:color w:val="000000"/>
          <w:sz w:val="28"/>
          <w:szCs w:val="28"/>
          <w:lang w:val="ru-RU"/>
        </w:rPr>
        <w:t>плащане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по т. 1 не </w:t>
      </w:r>
      <w:proofErr w:type="spellStart"/>
      <w:r w:rsidRPr="003356BF">
        <w:rPr>
          <w:color w:val="000000"/>
          <w:sz w:val="28"/>
          <w:szCs w:val="28"/>
          <w:lang w:val="ru-RU"/>
        </w:rPr>
        <w:t>може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да </w:t>
      </w:r>
      <w:proofErr w:type="spellStart"/>
      <w:r w:rsidRPr="003356BF">
        <w:rPr>
          <w:color w:val="000000"/>
          <w:sz w:val="28"/>
          <w:szCs w:val="28"/>
          <w:lang w:val="ru-RU"/>
        </w:rPr>
        <w:t>бъде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356BF">
        <w:rPr>
          <w:color w:val="000000"/>
          <w:sz w:val="28"/>
          <w:szCs w:val="28"/>
          <w:lang w:val="ru-RU"/>
        </w:rPr>
        <w:t>по-нисък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от </w:t>
      </w:r>
      <w:proofErr w:type="spellStart"/>
      <w:r w:rsidRPr="003356BF">
        <w:rPr>
          <w:color w:val="000000"/>
          <w:sz w:val="28"/>
          <w:szCs w:val="28"/>
          <w:lang w:val="ru-RU"/>
        </w:rPr>
        <w:t>стойността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, определена на </w:t>
      </w:r>
      <w:proofErr w:type="spellStart"/>
      <w:r w:rsidRPr="003356BF">
        <w:rPr>
          <w:color w:val="000000"/>
          <w:sz w:val="28"/>
          <w:szCs w:val="28"/>
          <w:lang w:val="ru-RU"/>
        </w:rPr>
        <w:t>базата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на </w:t>
      </w:r>
      <w:r w:rsidR="000D788E">
        <w:rPr>
          <w:color w:val="000000"/>
          <w:sz w:val="28"/>
          <w:szCs w:val="28"/>
          <w:lang w:val="ru-RU"/>
        </w:rPr>
        <w:br/>
      </w:r>
      <w:r w:rsidRPr="003356BF">
        <w:rPr>
          <w:color w:val="000000"/>
          <w:sz w:val="28"/>
          <w:szCs w:val="28"/>
          <w:lang w:val="ru-RU"/>
        </w:rPr>
        <w:t xml:space="preserve">30 на сто от предвидения </w:t>
      </w:r>
      <w:proofErr w:type="spellStart"/>
      <w:r w:rsidRPr="003356BF">
        <w:rPr>
          <w:color w:val="000000"/>
          <w:sz w:val="28"/>
          <w:szCs w:val="28"/>
          <w:lang w:val="ru-RU"/>
        </w:rPr>
        <w:t>средногодишен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добив </w:t>
      </w:r>
      <w:proofErr w:type="gramStart"/>
      <w:r w:rsidRPr="003356BF">
        <w:rPr>
          <w:color w:val="000000"/>
          <w:sz w:val="28"/>
          <w:szCs w:val="28"/>
          <w:lang w:val="ru-RU"/>
        </w:rPr>
        <w:t>за срока</w:t>
      </w:r>
      <w:proofErr w:type="gramEnd"/>
      <w:r w:rsidRPr="003356B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3356BF">
        <w:rPr>
          <w:color w:val="000000"/>
          <w:sz w:val="28"/>
          <w:szCs w:val="28"/>
          <w:lang w:val="ru-RU"/>
        </w:rPr>
        <w:t>концесията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3356BF">
        <w:rPr>
          <w:color w:val="000000"/>
          <w:sz w:val="28"/>
          <w:szCs w:val="28"/>
          <w:lang w:val="ru-RU"/>
        </w:rPr>
        <w:t>минималната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граница на </w:t>
      </w:r>
      <w:proofErr w:type="spellStart"/>
      <w:r w:rsidRPr="003356BF">
        <w:rPr>
          <w:color w:val="000000"/>
          <w:sz w:val="28"/>
          <w:szCs w:val="28"/>
          <w:lang w:val="ru-RU"/>
        </w:rPr>
        <w:t>концесионното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356BF">
        <w:rPr>
          <w:color w:val="000000"/>
          <w:sz w:val="28"/>
          <w:szCs w:val="28"/>
          <w:lang w:val="ru-RU"/>
        </w:rPr>
        <w:t>плащане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(в %) </w:t>
      </w:r>
      <w:proofErr w:type="spellStart"/>
      <w:r w:rsidRPr="003356BF">
        <w:rPr>
          <w:color w:val="000000"/>
          <w:sz w:val="28"/>
          <w:szCs w:val="28"/>
          <w:lang w:val="ru-RU"/>
        </w:rPr>
        <w:t>съгласно</w:t>
      </w:r>
      <w:proofErr w:type="spellEnd"/>
      <w:r w:rsidRPr="003356BF">
        <w:rPr>
          <w:color w:val="000000"/>
          <w:sz w:val="28"/>
          <w:szCs w:val="28"/>
          <w:lang w:val="ru-RU"/>
        </w:rPr>
        <w:t xml:space="preserve"> </w:t>
      </w:r>
      <w:r w:rsidRPr="003356BF">
        <w:rPr>
          <w:sz w:val="28"/>
          <w:szCs w:val="28"/>
          <w:lang w:val="ru-RU"/>
        </w:rPr>
        <w:t>т. 1.4 - 1.5</w:t>
      </w:r>
      <w:r w:rsidR="002B2F82" w:rsidRPr="003356BF">
        <w:rPr>
          <w:sz w:val="28"/>
          <w:szCs w:val="28"/>
          <w:lang w:val="ru-RU"/>
        </w:rPr>
        <w:t>,</w:t>
      </w:r>
      <w:r w:rsidRPr="003356BF">
        <w:rPr>
          <w:sz w:val="28"/>
          <w:szCs w:val="28"/>
          <w:lang w:val="ru-RU"/>
        </w:rPr>
        <w:t xml:space="preserve"> </w:t>
      </w:r>
      <w:r w:rsidRPr="003356BF">
        <w:rPr>
          <w:sz w:val="28"/>
          <w:szCs w:val="28"/>
        </w:rPr>
        <w:t>и:</w:t>
      </w:r>
    </w:p>
    <w:p w14:paraId="6F0D2447" w14:textId="77777777" w:rsidR="000D788E" w:rsidRDefault="000D788E" w:rsidP="00BA197B">
      <w:pPr>
        <w:pStyle w:val="NormalWeb"/>
        <w:tabs>
          <w:tab w:val="left" w:pos="993"/>
        </w:tabs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</w:p>
    <w:p w14:paraId="4D8FA91F" w14:textId="77777777" w:rsidR="00090D07" w:rsidRDefault="00090D07" w:rsidP="00BA197B">
      <w:pPr>
        <w:pStyle w:val="NormalWeb"/>
        <w:tabs>
          <w:tab w:val="left" w:pos="993"/>
        </w:tabs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</w:p>
    <w:p w14:paraId="17BB9D51" w14:textId="77777777" w:rsidR="00090D07" w:rsidRPr="003356BF" w:rsidRDefault="00090D07" w:rsidP="00BA197B">
      <w:pPr>
        <w:pStyle w:val="NormalWeb"/>
        <w:tabs>
          <w:tab w:val="left" w:pos="993"/>
        </w:tabs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</w:p>
    <w:p w14:paraId="0F52B034" w14:textId="6434CDE7" w:rsidR="00314540" w:rsidRPr="003356BF" w:rsidRDefault="00BA197B" w:rsidP="00BA197B">
      <w:pPr>
        <w:pStyle w:val="NormalWeb"/>
        <w:numPr>
          <w:ilvl w:val="1"/>
          <w:numId w:val="7"/>
        </w:numPr>
        <w:tabs>
          <w:tab w:val="left" w:pos="993"/>
        </w:tabs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4540" w:rsidRPr="003356BF">
        <w:rPr>
          <w:sz w:val="28"/>
          <w:szCs w:val="28"/>
        </w:rPr>
        <w:t>средноаритметичната им цена съгласно обявените цени на Лондонската метална борса за съответния период за подземните богатства, съдържащи метали, за цените на които Лондонската метална борса поддържа информация;</w:t>
      </w:r>
    </w:p>
    <w:p w14:paraId="723E799A" w14:textId="610360DB" w:rsidR="00314540" w:rsidRPr="003356BF" w:rsidRDefault="00BA197B" w:rsidP="00BA197B">
      <w:pPr>
        <w:pStyle w:val="NormalWeb"/>
        <w:numPr>
          <w:ilvl w:val="1"/>
          <w:numId w:val="7"/>
        </w:numPr>
        <w:tabs>
          <w:tab w:val="left" w:pos="993"/>
        </w:tabs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4540" w:rsidRPr="003356BF">
        <w:rPr>
          <w:sz w:val="28"/>
          <w:szCs w:val="28"/>
        </w:rPr>
        <w:t>среднопретеглената му продажна цена за съответния период, но не по-ниска от пазарната цена, определена на база</w:t>
      </w:r>
      <w:r>
        <w:rPr>
          <w:sz w:val="28"/>
          <w:szCs w:val="28"/>
        </w:rPr>
        <w:t>та на</w:t>
      </w:r>
      <w:r w:rsidR="00314540" w:rsidRPr="003356BF">
        <w:rPr>
          <w:sz w:val="28"/>
          <w:szCs w:val="28"/>
        </w:rPr>
        <w:t xml:space="preserve"> неконтролирани сделки между несвързани лица, а при износ – не по-ниска от минималната цена за съответния продукт по данни от "Метал Бюлетин" (</w:t>
      </w:r>
      <w:hyperlink r:id="rId11" w:tgtFrame="_new" w:history="1">
        <w:r w:rsidR="00314540" w:rsidRPr="003356BF">
          <w:rPr>
            <w:rStyle w:val="Hyperlink"/>
            <w:color w:val="auto"/>
            <w:sz w:val="28"/>
            <w:szCs w:val="28"/>
            <w:u w:val="none"/>
          </w:rPr>
          <w:t>https://www.fastmarkets.com/metal-bulletin-is-part-of-fastmarkets/</w:t>
        </w:r>
      </w:hyperlink>
      <w:r w:rsidR="00314540" w:rsidRPr="003356BF">
        <w:rPr>
          <w:sz w:val="28"/>
          <w:szCs w:val="28"/>
        </w:rPr>
        <w:t>) или друг официален бюлетин, когато тези данни не се съдържат в „Метал Бюлетин“ за металните полезни изкопаеми, които не се търгуват на Лондонската метална борса.</w:t>
      </w:r>
    </w:p>
    <w:p w14:paraId="61CC0A6B" w14:textId="77777777" w:rsidR="004C780D" w:rsidRPr="003356BF" w:rsidRDefault="00160D73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4</w:t>
      </w:r>
      <w:r w:rsidR="00FE6312" w:rsidRPr="003356BF">
        <w:rPr>
          <w:color w:val="000000"/>
          <w:sz w:val="28"/>
          <w:szCs w:val="28"/>
        </w:rPr>
        <w:t>.</w:t>
      </w:r>
      <w:r w:rsidR="004C780D" w:rsidRPr="003356BF">
        <w:rPr>
          <w:color w:val="000000"/>
          <w:sz w:val="28"/>
          <w:szCs w:val="28"/>
        </w:rPr>
        <w:t xml:space="preserve"> Средногодишният добив по </w:t>
      </w:r>
      <w:r w:rsidR="00FE6312" w:rsidRPr="003356BF">
        <w:rPr>
          <w:color w:val="000000"/>
          <w:sz w:val="28"/>
          <w:szCs w:val="28"/>
        </w:rPr>
        <w:t>т</w:t>
      </w:r>
      <w:r w:rsidRPr="003356BF">
        <w:rPr>
          <w:color w:val="000000"/>
          <w:sz w:val="28"/>
          <w:szCs w:val="28"/>
        </w:rPr>
        <w:t>. 3</w:t>
      </w:r>
      <w:r w:rsidR="004C780D" w:rsidRPr="003356BF">
        <w:rPr>
          <w:color w:val="000000"/>
          <w:sz w:val="28"/>
          <w:szCs w:val="28"/>
        </w:rPr>
        <w:t xml:space="preserve"> се определя с предложението за предоставяне на концесия въз основа на финансово-икономическия анализ или обосновка.</w:t>
      </w:r>
    </w:p>
    <w:p w14:paraId="6BB8A647" w14:textId="77777777" w:rsidR="00727629" w:rsidRPr="003356BF" w:rsidRDefault="00727629" w:rsidP="0072762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sz w:val="28"/>
          <w:szCs w:val="28"/>
        </w:rPr>
        <w:t>5. Когато с решението за предоставяне на концесия не е определен средногодишен добив за срока на концесията, минималният размер на концесионно плащане се определя</w:t>
      </w:r>
      <w:r w:rsidR="00824B2F" w:rsidRPr="003356BF">
        <w:rPr>
          <w:sz w:val="28"/>
          <w:szCs w:val="28"/>
          <w:lang w:val="en-US"/>
        </w:rPr>
        <w:t xml:space="preserve"> </w:t>
      </w:r>
      <w:r w:rsidR="00824B2F" w:rsidRPr="003356BF">
        <w:rPr>
          <w:sz w:val="28"/>
          <w:szCs w:val="28"/>
        </w:rPr>
        <w:t>на базата на 30 сто</w:t>
      </w:r>
      <w:r w:rsidRPr="003356BF">
        <w:rPr>
          <w:sz w:val="28"/>
          <w:szCs w:val="28"/>
        </w:rPr>
        <w:t xml:space="preserve"> </w:t>
      </w:r>
      <w:r w:rsidR="00824B2F" w:rsidRPr="003356BF">
        <w:rPr>
          <w:sz w:val="28"/>
          <w:szCs w:val="28"/>
        </w:rPr>
        <w:t>от</w:t>
      </w:r>
      <w:r w:rsidRPr="003356BF">
        <w:rPr>
          <w:sz w:val="28"/>
          <w:szCs w:val="28"/>
        </w:rPr>
        <w:t xml:space="preserve"> средногодишния добив</w:t>
      </w:r>
      <w:r w:rsidR="00C02B81" w:rsidRPr="003356BF">
        <w:rPr>
          <w:sz w:val="28"/>
          <w:szCs w:val="28"/>
        </w:rPr>
        <w:t>,</w:t>
      </w:r>
      <w:r w:rsidRPr="003356BF">
        <w:rPr>
          <w:sz w:val="28"/>
          <w:szCs w:val="28"/>
        </w:rPr>
        <w:t xml:space="preserve"> </w:t>
      </w:r>
      <w:r w:rsidR="008404FC" w:rsidRPr="003356BF">
        <w:rPr>
          <w:sz w:val="28"/>
          <w:szCs w:val="28"/>
        </w:rPr>
        <w:t>предвиден</w:t>
      </w:r>
      <w:r w:rsidR="00C02B81" w:rsidRPr="003356BF">
        <w:rPr>
          <w:sz w:val="28"/>
          <w:szCs w:val="28"/>
        </w:rPr>
        <w:t xml:space="preserve"> </w:t>
      </w:r>
      <w:r w:rsidR="008404FC" w:rsidRPr="003356BF">
        <w:rPr>
          <w:sz w:val="28"/>
          <w:szCs w:val="28"/>
        </w:rPr>
        <w:t xml:space="preserve">със </w:t>
      </w:r>
      <w:r w:rsidRPr="003356BF">
        <w:rPr>
          <w:sz w:val="28"/>
          <w:szCs w:val="28"/>
        </w:rPr>
        <w:t>съгласувания цялостен работен проект за добив и първична преработка на подземни богатства.</w:t>
      </w:r>
    </w:p>
    <w:p w14:paraId="25CFD1DA" w14:textId="77777777" w:rsidR="00824B2F" w:rsidRPr="003356BF" w:rsidRDefault="00824B2F" w:rsidP="001128D3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</w:p>
    <w:p w14:paraId="30B26CF1" w14:textId="77777777" w:rsidR="00824B2F" w:rsidRPr="003356BF" w:rsidRDefault="00824B2F" w:rsidP="001128D3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</w:p>
    <w:p w14:paraId="2338374D" w14:textId="77777777" w:rsidR="00747134" w:rsidRDefault="00747134" w:rsidP="001128D3">
      <w:pPr>
        <w:spacing w:line="360" w:lineRule="auto"/>
        <w:jc w:val="right"/>
        <w:rPr>
          <w:b/>
          <w:bCs/>
          <w:color w:val="000000"/>
          <w:sz w:val="28"/>
          <w:szCs w:val="28"/>
        </w:rPr>
        <w:sectPr w:rsidR="00747134" w:rsidSect="00452AAE">
          <w:pgSz w:w="11907" w:h="16839"/>
          <w:pgMar w:top="1134" w:right="1417" w:bottom="1135" w:left="1417" w:header="708" w:footer="158" w:gutter="0"/>
          <w:pgNumType w:start="1"/>
          <w:cols w:space="708"/>
          <w:titlePg/>
          <w:docGrid w:linePitch="360"/>
        </w:sectPr>
      </w:pPr>
    </w:p>
    <w:p w14:paraId="480A1DBC" w14:textId="77777777" w:rsidR="00824B2F" w:rsidRPr="003356BF" w:rsidRDefault="00824B2F" w:rsidP="001128D3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</w:p>
    <w:p w14:paraId="47239A60" w14:textId="77777777" w:rsidR="009D159D" w:rsidRPr="003356BF" w:rsidRDefault="009D159D" w:rsidP="001128D3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 xml:space="preserve">Приложение № 2 към чл. </w:t>
      </w:r>
      <w:r w:rsidR="00A10E82" w:rsidRPr="003356BF">
        <w:rPr>
          <w:b/>
          <w:bCs/>
          <w:color w:val="000000"/>
          <w:sz w:val="28"/>
          <w:szCs w:val="28"/>
        </w:rPr>
        <w:t xml:space="preserve">10 </w:t>
      </w:r>
    </w:p>
    <w:p w14:paraId="3BE62FFD" w14:textId="77777777" w:rsidR="00F04603" w:rsidRPr="003356BF" w:rsidRDefault="00F04603" w:rsidP="001128D3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</w:p>
    <w:p w14:paraId="08CBD1F5" w14:textId="32CFC6C4" w:rsidR="009D159D" w:rsidRPr="003356BF" w:rsidRDefault="00633A4D" w:rsidP="009B5172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>Конкретен, включително минимален</w:t>
      </w:r>
      <w:r w:rsidR="000D788E">
        <w:rPr>
          <w:b/>
          <w:bCs/>
          <w:color w:val="000000"/>
          <w:sz w:val="28"/>
          <w:szCs w:val="28"/>
        </w:rPr>
        <w:t>,</w:t>
      </w:r>
      <w:r w:rsidRPr="003356BF">
        <w:rPr>
          <w:b/>
          <w:bCs/>
          <w:color w:val="000000"/>
          <w:sz w:val="28"/>
          <w:szCs w:val="28"/>
        </w:rPr>
        <w:t xml:space="preserve"> размер </w:t>
      </w:r>
      <w:r w:rsidR="009D159D" w:rsidRPr="003356BF">
        <w:rPr>
          <w:b/>
          <w:bCs/>
          <w:color w:val="000000"/>
          <w:sz w:val="28"/>
          <w:szCs w:val="28"/>
        </w:rPr>
        <w:t>на концесионното</w:t>
      </w:r>
    </w:p>
    <w:p w14:paraId="0E425DB4" w14:textId="3202645D" w:rsidR="009D159D" w:rsidRPr="003356BF" w:rsidRDefault="009D159D" w:rsidP="009B5172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>плащане за неметални полезни изкопаеми</w:t>
      </w:r>
      <w:r w:rsidR="00747134">
        <w:rPr>
          <w:b/>
          <w:bCs/>
          <w:color w:val="000000"/>
          <w:sz w:val="28"/>
          <w:szCs w:val="28"/>
        </w:rPr>
        <w:t xml:space="preserve"> </w:t>
      </w:r>
      <w:r w:rsidRPr="003356BF">
        <w:rPr>
          <w:b/>
          <w:bCs/>
          <w:color w:val="000000"/>
          <w:sz w:val="28"/>
          <w:szCs w:val="28"/>
        </w:rPr>
        <w:t>-</w:t>
      </w:r>
      <w:r w:rsidR="00747134">
        <w:rPr>
          <w:b/>
          <w:bCs/>
          <w:color w:val="000000"/>
          <w:sz w:val="28"/>
          <w:szCs w:val="28"/>
        </w:rPr>
        <w:t xml:space="preserve"> </w:t>
      </w:r>
      <w:r w:rsidRPr="003356BF">
        <w:rPr>
          <w:b/>
          <w:bCs/>
          <w:color w:val="000000"/>
          <w:sz w:val="28"/>
          <w:szCs w:val="28"/>
        </w:rPr>
        <w:t xml:space="preserve">индустриални минерали </w:t>
      </w:r>
    </w:p>
    <w:p w14:paraId="231170A0" w14:textId="77777777" w:rsidR="004C780D" w:rsidRPr="003356BF" w:rsidRDefault="004C780D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</w:p>
    <w:p w14:paraId="6F1A605F" w14:textId="20D11DB4" w:rsidR="004C780D" w:rsidRPr="003356BF" w:rsidRDefault="00D81BE7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4C780D" w:rsidRPr="003356BF">
        <w:rPr>
          <w:color w:val="000000"/>
          <w:sz w:val="28"/>
          <w:szCs w:val="28"/>
        </w:rPr>
        <w:t xml:space="preserve"> Концесионното плащане за неметални полезни изкопаеми</w:t>
      </w:r>
      <w:r w:rsidR="00747134">
        <w:rPr>
          <w:color w:val="000000"/>
          <w:sz w:val="28"/>
          <w:szCs w:val="28"/>
        </w:rPr>
        <w:t xml:space="preserve"> </w:t>
      </w:r>
      <w:r w:rsidR="004C780D" w:rsidRPr="003356BF">
        <w:rPr>
          <w:color w:val="000000"/>
          <w:sz w:val="28"/>
          <w:szCs w:val="28"/>
        </w:rPr>
        <w:t>-индустриални минерали, се определя за единица добито подземно богатство за съответния период, както следва:</w:t>
      </w:r>
    </w:p>
    <w:p w14:paraId="61F009D5" w14:textId="258A5964" w:rsidR="004C780D" w:rsidRPr="003356BF" w:rsidRDefault="00F94479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4C780D" w:rsidRPr="003356BF">
        <w:rPr>
          <w:color w:val="000000"/>
          <w:sz w:val="28"/>
          <w:szCs w:val="28"/>
        </w:rPr>
        <w:t>1.</w:t>
      </w:r>
      <w:r w:rsidR="008E62DA" w:rsidRPr="003356BF">
        <w:rPr>
          <w:color w:val="000000"/>
          <w:sz w:val="28"/>
          <w:szCs w:val="28"/>
        </w:rPr>
        <w:t xml:space="preserve"> </w:t>
      </w:r>
      <w:r w:rsidR="00A1330C" w:rsidRPr="003356BF">
        <w:rPr>
          <w:color w:val="000000"/>
          <w:sz w:val="28"/>
          <w:szCs w:val="28"/>
        </w:rPr>
        <w:t>П</w:t>
      </w:r>
      <w:r w:rsidR="004C780D" w:rsidRPr="003356BF">
        <w:rPr>
          <w:color w:val="000000"/>
          <w:sz w:val="28"/>
          <w:szCs w:val="28"/>
        </w:rPr>
        <w:t xml:space="preserve">роцентният размер на концесионното плащане (ПКП) е </w:t>
      </w:r>
      <w:r w:rsidR="006926A4" w:rsidRPr="003356BF">
        <w:rPr>
          <w:color w:val="000000"/>
          <w:sz w:val="28"/>
          <w:szCs w:val="28"/>
        </w:rPr>
        <w:t>4</w:t>
      </w:r>
      <w:r w:rsidR="005D1766" w:rsidRPr="003356BF">
        <w:rPr>
          <w:color w:val="000000"/>
          <w:sz w:val="28"/>
          <w:szCs w:val="28"/>
        </w:rPr>
        <w:t xml:space="preserve"> </w:t>
      </w:r>
      <w:r w:rsidR="004C780D" w:rsidRPr="003356BF">
        <w:rPr>
          <w:color w:val="000000"/>
          <w:sz w:val="28"/>
          <w:szCs w:val="28"/>
        </w:rPr>
        <w:t>на сто от базата за изчисляване на концесионното плащане (БКП)</w:t>
      </w:r>
      <w:r w:rsidR="00747134">
        <w:rPr>
          <w:color w:val="000000"/>
          <w:sz w:val="28"/>
          <w:szCs w:val="28"/>
        </w:rPr>
        <w:t>.</w:t>
      </w:r>
    </w:p>
    <w:p w14:paraId="50B60AD1" w14:textId="3EBFD5DE" w:rsidR="004C780D" w:rsidRPr="003356BF" w:rsidRDefault="00F94479" w:rsidP="009B5172">
      <w:pPr>
        <w:spacing w:line="360" w:lineRule="auto"/>
        <w:ind w:firstLine="480"/>
        <w:jc w:val="both"/>
        <w:rPr>
          <w:rFonts w:eastAsia="Calibri"/>
          <w:iCs/>
          <w:color w:val="353838"/>
          <w:sz w:val="28"/>
          <w:szCs w:val="28"/>
          <w:lang w:eastAsia="en-US"/>
        </w:rPr>
      </w:pPr>
      <w:r w:rsidRPr="003356BF">
        <w:rPr>
          <w:color w:val="000000"/>
          <w:sz w:val="28"/>
          <w:szCs w:val="28"/>
        </w:rPr>
        <w:t>1.</w:t>
      </w:r>
      <w:r w:rsidR="004C780D" w:rsidRPr="003356BF">
        <w:rPr>
          <w:color w:val="000000"/>
          <w:sz w:val="28"/>
          <w:szCs w:val="28"/>
        </w:rPr>
        <w:t xml:space="preserve">2. </w:t>
      </w:r>
      <w:r w:rsidR="00815CE0" w:rsidRPr="003356BF">
        <w:rPr>
          <w:color w:val="000000"/>
          <w:sz w:val="28"/>
          <w:szCs w:val="28"/>
        </w:rPr>
        <w:t>Б</w:t>
      </w:r>
      <w:r w:rsidR="004C780D" w:rsidRPr="003356BF">
        <w:rPr>
          <w:color w:val="000000"/>
          <w:sz w:val="28"/>
          <w:szCs w:val="28"/>
        </w:rPr>
        <w:t xml:space="preserve">азата за изчисляване на концесионното плащане е среднопретеглената продажна цена </w:t>
      </w:r>
      <w:r w:rsidR="005D1766" w:rsidRPr="003356BF">
        <w:rPr>
          <w:color w:val="000000"/>
          <w:sz w:val="28"/>
          <w:szCs w:val="28"/>
        </w:rPr>
        <w:t xml:space="preserve">на добито подземно богатство </w:t>
      </w:r>
      <w:r w:rsidR="004C780D" w:rsidRPr="003356BF">
        <w:rPr>
          <w:color w:val="000000"/>
          <w:sz w:val="28"/>
          <w:szCs w:val="28"/>
        </w:rPr>
        <w:t>за съответния период, която се определя на основата на данни, предоставени от концесионера, но не по-ниска от пазарната цена, определена на база</w:t>
      </w:r>
      <w:r w:rsidR="00747134">
        <w:rPr>
          <w:color w:val="000000"/>
          <w:sz w:val="28"/>
          <w:szCs w:val="28"/>
        </w:rPr>
        <w:t>та на</w:t>
      </w:r>
      <w:r w:rsidR="004C780D" w:rsidRPr="003356BF">
        <w:rPr>
          <w:color w:val="000000"/>
          <w:sz w:val="28"/>
          <w:szCs w:val="28"/>
        </w:rPr>
        <w:t xml:space="preserve"> неконтролирани сделки между несвързани лица</w:t>
      </w:r>
      <w:r w:rsidR="00AE2EF8" w:rsidRPr="003356BF">
        <w:rPr>
          <w:color w:val="000000"/>
          <w:sz w:val="28"/>
          <w:szCs w:val="28"/>
        </w:rPr>
        <w:t>;</w:t>
      </w:r>
      <w:r w:rsidR="004C780D" w:rsidRPr="003356BF">
        <w:rPr>
          <w:color w:val="000000"/>
          <w:sz w:val="28"/>
          <w:szCs w:val="28"/>
        </w:rPr>
        <w:t xml:space="preserve"> </w:t>
      </w:r>
      <w:r w:rsidR="00826496" w:rsidRPr="003356BF">
        <w:rPr>
          <w:color w:val="353838"/>
          <w:sz w:val="28"/>
          <w:szCs w:val="28"/>
        </w:rPr>
        <w:t>п</w:t>
      </w:r>
      <w:r w:rsidR="00945435" w:rsidRPr="003356BF">
        <w:rPr>
          <w:color w:val="353838"/>
          <w:sz w:val="28"/>
          <w:szCs w:val="28"/>
        </w:rPr>
        <w:t xml:space="preserve">ри липса на официална информация за </w:t>
      </w:r>
      <w:r w:rsidR="00945435" w:rsidRPr="003356BF">
        <w:rPr>
          <w:rFonts w:eastAsia="Calibri"/>
          <w:color w:val="353838"/>
          <w:sz w:val="28"/>
          <w:szCs w:val="28"/>
          <w:lang w:eastAsia="en-US"/>
        </w:rPr>
        <w:t>пазарната цена, определена на база</w:t>
      </w:r>
      <w:r w:rsidR="00747134">
        <w:rPr>
          <w:rFonts w:eastAsia="Calibri"/>
          <w:color w:val="353838"/>
          <w:sz w:val="28"/>
          <w:szCs w:val="28"/>
          <w:lang w:eastAsia="en-US"/>
        </w:rPr>
        <w:t>та на</w:t>
      </w:r>
      <w:r w:rsidR="00945435" w:rsidRPr="003356BF">
        <w:rPr>
          <w:rFonts w:eastAsia="Calibri"/>
          <w:color w:val="353838"/>
          <w:sz w:val="28"/>
          <w:szCs w:val="28"/>
          <w:lang w:eastAsia="en-US"/>
        </w:rPr>
        <w:t xml:space="preserve"> неконтролирани сделки между несвързани лица в България, </w:t>
      </w:r>
      <w:r w:rsidR="00945435" w:rsidRPr="003356BF">
        <w:rPr>
          <w:rFonts w:eastAsia="Calibri"/>
          <w:iCs/>
          <w:color w:val="353838"/>
          <w:sz w:val="28"/>
          <w:szCs w:val="28"/>
          <w:lang w:eastAsia="en-US"/>
        </w:rPr>
        <w:t xml:space="preserve">продажната цена за съответния период се определя на основата на данни, предоставени от концесионера, но не по-ниска от себестойността на </w:t>
      </w:r>
      <w:r w:rsidR="00826496" w:rsidRPr="003356BF">
        <w:rPr>
          <w:rFonts w:eastAsia="Calibri"/>
          <w:iCs/>
          <w:color w:val="353838"/>
          <w:sz w:val="28"/>
          <w:szCs w:val="28"/>
          <w:lang w:eastAsia="en-US"/>
        </w:rPr>
        <w:t>добитот</w:t>
      </w:r>
      <w:r w:rsidR="00967285" w:rsidRPr="003356BF">
        <w:rPr>
          <w:rFonts w:eastAsia="Calibri"/>
          <w:iCs/>
          <w:color w:val="353838"/>
          <w:sz w:val="28"/>
          <w:szCs w:val="28"/>
          <w:lang w:eastAsia="en-US"/>
        </w:rPr>
        <w:t>о подземно богатство, определена</w:t>
      </w:r>
      <w:r w:rsidR="00826496" w:rsidRPr="003356BF">
        <w:rPr>
          <w:rFonts w:eastAsia="Calibri"/>
          <w:iCs/>
          <w:color w:val="353838"/>
          <w:sz w:val="28"/>
          <w:szCs w:val="28"/>
          <w:lang w:eastAsia="en-US"/>
        </w:rPr>
        <w:t xml:space="preserve"> от</w:t>
      </w:r>
      <w:r w:rsidR="00945435" w:rsidRPr="003356BF">
        <w:rPr>
          <w:rFonts w:eastAsia="Calibri"/>
          <w:iCs/>
          <w:color w:val="353838"/>
          <w:sz w:val="28"/>
          <w:szCs w:val="28"/>
          <w:lang w:eastAsia="en-US"/>
        </w:rPr>
        <w:t xml:space="preserve"> концесионера</w:t>
      </w:r>
      <w:r w:rsidR="00747134">
        <w:rPr>
          <w:rFonts w:eastAsia="Calibri"/>
          <w:iCs/>
          <w:color w:val="353838"/>
          <w:sz w:val="28"/>
          <w:szCs w:val="28"/>
          <w:lang w:eastAsia="en-US"/>
        </w:rPr>
        <w:t>.</w:t>
      </w:r>
    </w:p>
    <w:p w14:paraId="72C9D6FA" w14:textId="77777777" w:rsidR="006A24B9" w:rsidRPr="003356BF" w:rsidRDefault="006A24B9" w:rsidP="006A24B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1.3. </w:t>
      </w:r>
      <w:r w:rsidR="001727AE" w:rsidRPr="003356BF">
        <w:rPr>
          <w:color w:val="000000"/>
          <w:sz w:val="28"/>
          <w:szCs w:val="28"/>
        </w:rPr>
        <w:t>К</w:t>
      </w:r>
      <w:r w:rsidRPr="003356BF">
        <w:rPr>
          <w:color w:val="000000"/>
          <w:sz w:val="28"/>
          <w:szCs w:val="28"/>
        </w:rPr>
        <w:t>онцесионното плащане за единица добито подземно богатство не може да бъде по-ниско от следните стойности за съответния вид подземни богатства:</w:t>
      </w:r>
    </w:p>
    <w:p w14:paraId="444939F8" w14:textId="77777777" w:rsidR="006A24B9" w:rsidRPr="003356BF" w:rsidRDefault="006A24B9" w:rsidP="006A24B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а) кварц-каолинова суровина – </w:t>
      </w:r>
      <w:r w:rsidR="00AC0F5F" w:rsidRPr="003356BF">
        <w:rPr>
          <w:color w:val="000000"/>
          <w:sz w:val="28"/>
          <w:szCs w:val="28"/>
        </w:rPr>
        <w:t xml:space="preserve"> 0,73 евро</w:t>
      </w:r>
      <w:r w:rsidRPr="003356BF">
        <w:rPr>
          <w:color w:val="000000"/>
          <w:sz w:val="28"/>
          <w:szCs w:val="28"/>
        </w:rPr>
        <w:t>/тон;</w:t>
      </w:r>
    </w:p>
    <w:p w14:paraId="4841B064" w14:textId="77777777" w:rsidR="006A24B9" w:rsidRPr="003356BF" w:rsidRDefault="006A24B9" w:rsidP="006A24B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б) варовици, доломити, мергели за индустриални цели </w:t>
      </w:r>
      <w:r w:rsidR="00CA4C9D" w:rsidRPr="003356BF">
        <w:rPr>
          <w:color w:val="000000"/>
          <w:sz w:val="28"/>
          <w:szCs w:val="28"/>
        </w:rPr>
        <w:t>–</w:t>
      </w:r>
      <w:r w:rsidRPr="003356BF">
        <w:rPr>
          <w:color w:val="000000"/>
          <w:sz w:val="28"/>
          <w:szCs w:val="28"/>
        </w:rPr>
        <w:t xml:space="preserve"> </w:t>
      </w:r>
      <w:r w:rsidR="00AC0F5F" w:rsidRPr="003356BF">
        <w:rPr>
          <w:color w:val="000000"/>
          <w:sz w:val="28"/>
          <w:szCs w:val="28"/>
        </w:rPr>
        <w:t>0</w:t>
      </w:r>
      <w:r w:rsidR="00CA4C9D" w:rsidRPr="003356BF">
        <w:rPr>
          <w:color w:val="000000"/>
          <w:sz w:val="28"/>
          <w:szCs w:val="28"/>
        </w:rPr>
        <w:t>,</w:t>
      </w:r>
      <w:r w:rsidR="00AC0F5F" w:rsidRPr="003356BF">
        <w:rPr>
          <w:color w:val="000000"/>
          <w:sz w:val="28"/>
          <w:szCs w:val="28"/>
        </w:rPr>
        <w:t>2</w:t>
      </w:r>
      <w:r w:rsidR="00987511" w:rsidRPr="003356BF">
        <w:rPr>
          <w:color w:val="000000"/>
          <w:sz w:val="28"/>
          <w:szCs w:val="28"/>
        </w:rPr>
        <w:t>7</w:t>
      </w:r>
      <w:r w:rsidR="00AC0F5F" w:rsidRPr="003356BF">
        <w:rPr>
          <w:color w:val="000000"/>
          <w:sz w:val="28"/>
          <w:szCs w:val="28"/>
        </w:rPr>
        <w:t xml:space="preserve"> евро</w:t>
      </w:r>
      <w:r w:rsidRPr="003356BF">
        <w:rPr>
          <w:color w:val="000000"/>
          <w:sz w:val="28"/>
          <w:szCs w:val="28"/>
        </w:rPr>
        <w:t>/тон;</w:t>
      </w:r>
    </w:p>
    <w:p w14:paraId="1B18C93E" w14:textId="77777777" w:rsidR="006A24B9" w:rsidRPr="003356BF" w:rsidRDefault="006A24B9" w:rsidP="006A24B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в) глини, в т.ч. огнеупорна пръст -</w:t>
      </w:r>
      <w:r w:rsidR="00AC0F5F" w:rsidRPr="003356BF">
        <w:rPr>
          <w:color w:val="000000"/>
          <w:sz w:val="28"/>
          <w:szCs w:val="28"/>
        </w:rPr>
        <w:t xml:space="preserve"> 0,44 евро</w:t>
      </w:r>
      <w:r w:rsidRPr="003356BF">
        <w:rPr>
          <w:color w:val="000000"/>
          <w:sz w:val="28"/>
          <w:szCs w:val="28"/>
        </w:rPr>
        <w:t>/тон;</w:t>
      </w:r>
    </w:p>
    <w:p w14:paraId="20ED0BFE" w14:textId="77777777" w:rsidR="006A24B9" w:rsidRPr="003356BF" w:rsidRDefault="006A24B9" w:rsidP="006A24B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г) фелдшпат - </w:t>
      </w:r>
      <w:r w:rsidR="00AC0F5F" w:rsidRPr="003356BF">
        <w:rPr>
          <w:color w:val="000000"/>
          <w:sz w:val="28"/>
          <w:szCs w:val="28"/>
        </w:rPr>
        <w:t>0,2</w:t>
      </w:r>
      <w:r w:rsidR="00987511" w:rsidRPr="003356BF">
        <w:rPr>
          <w:color w:val="000000"/>
          <w:sz w:val="28"/>
          <w:szCs w:val="28"/>
        </w:rPr>
        <w:t>7</w:t>
      </w:r>
      <w:r w:rsidR="00AC0F5F" w:rsidRPr="003356BF">
        <w:rPr>
          <w:color w:val="000000"/>
          <w:sz w:val="28"/>
          <w:szCs w:val="28"/>
        </w:rPr>
        <w:t xml:space="preserve"> евро</w:t>
      </w:r>
      <w:r w:rsidRPr="003356BF">
        <w:rPr>
          <w:color w:val="000000"/>
          <w:sz w:val="28"/>
          <w:szCs w:val="28"/>
        </w:rPr>
        <w:t>/тон;</w:t>
      </w:r>
    </w:p>
    <w:p w14:paraId="40F1D927" w14:textId="77777777" w:rsidR="006A24B9" w:rsidRPr="003356BF" w:rsidRDefault="006A24B9" w:rsidP="006A24B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д) талк, кварц – </w:t>
      </w:r>
      <w:r w:rsidR="00AC0F5F" w:rsidRPr="003356BF">
        <w:rPr>
          <w:color w:val="000000"/>
          <w:sz w:val="28"/>
          <w:szCs w:val="28"/>
        </w:rPr>
        <w:t>0,80 евро</w:t>
      </w:r>
      <w:r w:rsidRPr="003356BF">
        <w:rPr>
          <w:color w:val="000000"/>
          <w:sz w:val="28"/>
          <w:szCs w:val="28"/>
        </w:rPr>
        <w:t>/тон;</w:t>
      </w:r>
    </w:p>
    <w:p w14:paraId="19248AC2" w14:textId="77777777" w:rsidR="006A24B9" w:rsidRPr="003356BF" w:rsidRDefault="006A24B9" w:rsidP="006A24B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е) кварцови пясъци – </w:t>
      </w:r>
      <w:r w:rsidR="00AC0F5F" w:rsidRPr="003356BF">
        <w:rPr>
          <w:color w:val="000000"/>
          <w:sz w:val="28"/>
          <w:szCs w:val="28"/>
        </w:rPr>
        <w:t>0,36 евро</w:t>
      </w:r>
      <w:r w:rsidRPr="003356BF">
        <w:rPr>
          <w:color w:val="000000"/>
          <w:sz w:val="28"/>
          <w:szCs w:val="28"/>
        </w:rPr>
        <w:t>/тон;</w:t>
      </w:r>
    </w:p>
    <w:p w14:paraId="29EBE2EF" w14:textId="77777777" w:rsidR="006A24B9" w:rsidRPr="003356BF" w:rsidRDefault="006A24B9" w:rsidP="006A24B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lastRenderedPageBreak/>
        <w:t xml:space="preserve">ж) </w:t>
      </w:r>
      <w:proofErr w:type="spellStart"/>
      <w:r w:rsidRPr="003356BF">
        <w:rPr>
          <w:color w:val="000000"/>
          <w:sz w:val="28"/>
          <w:szCs w:val="28"/>
        </w:rPr>
        <w:t>бентонит</w:t>
      </w:r>
      <w:proofErr w:type="spellEnd"/>
      <w:r w:rsidRPr="003356BF">
        <w:rPr>
          <w:color w:val="000000"/>
          <w:sz w:val="28"/>
          <w:szCs w:val="28"/>
        </w:rPr>
        <w:t xml:space="preserve"> – </w:t>
      </w:r>
      <w:r w:rsidR="00AC0F5F" w:rsidRPr="003356BF">
        <w:rPr>
          <w:color w:val="000000"/>
          <w:sz w:val="28"/>
          <w:szCs w:val="28"/>
        </w:rPr>
        <w:t>0,61 евро</w:t>
      </w:r>
      <w:r w:rsidRPr="003356BF">
        <w:rPr>
          <w:color w:val="000000"/>
          <w:sz w:val="28"/>
          <w:szCs w:val="28"/>
        </w:rPr>
        <w:t>/тон;</w:t>
      </w:r>
    </w:p>
    <w:p w14:paraId="596DB5FA" w14:textId="77777777" w:rsidR="006A24B9" w:rsidRPr="003356BF" w:rsidRDefault="006A24B9" w:rsidP="006A24B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з) </w:t>
      </w:r>
      <w:proofErr w:type="spellStart"/>
      <w:r w:rsidRPr="003356BF">
        <w:rPr>
          <w:color w:val="000000"/>
          <w:sz w:val="28"/>
          <w:szCs w:val="28"/>
        </w:rPr>
        <w:t>перлит</w:t>
      </w:r>
      <w:proofErr w:type="spellEnd"/>
      <w:r w:rsidRPr="003356BF">
        <w:rPr>
          <w:color w:val="000000"/>
          <w:sz w:val="28"/>
          <w:szCs w:val="28"/>
        </w:rPr>
        <w:t xml:space="preserve"> - </w:t>
      </w:r>
      <w:r w:rsidR="00AC0F5F" w:rsidRPr="003356BF">
        <w:rPr>
          <w:color w:val="000000"/>
          <w:sz w:val="28"/>
          <w:szCs w:val="28"/>
        </w:rPr>
        <w:t>0,44 евро</w:t>
      </w:r>
      <w:r w:rsidRPr="003356BF">
        <w:rPr>
          <w:color w:val="000000"/>
          <w:sz w:val="28"/>
          <w:szCs w:val="28"/>
        </w:rPr>
        <w:t>/тон;</w:t>
      </w:r>
    </w:p>
    <w:p w14:paraId="60EB18C7" w14:textId="77777777" w:rsidR="006A24B9" w:rsidRPr="003356BF" w:rsidRDefault="006A24B9" w:rsidP="006A24B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и) флуорит - </w:t>
      </w:r>
      <w:r w:rsidR="00AC0F5F" w:rsidRPr="003356BF">
        <w:rPr>
          <w:color w:val="000000"/>
          <w:sz w:val="28"/>
          <w:szCs w:val="28"/>
        </w:rPr>
        <w:t>0,53 евро</w:t>
      </w:r>
      <w:r w:rsidRPr="003356BF">
        <w:rPr>
          <w:color w:val="000000"/>
          <w:sz w:val="28"/>
          <w:szCs w:val="28"/>
        </w:rPr>
        <w:t>/тон;</w:t>
      </w:r>
    </w:p>
    <w:p w14:paraId="362265C8" w14:textId="77777777" w:rsidR="006A24B9" w:rsidRPr="003356BF" w:rsidRDefault="006A24B9" w:rsidP="006A24B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й) каменна сол - </w:t>
      </w:r>
      <w:r w:rsidR="00AC0F5F" w:rsidRPr="003356BF">
        <w:rPr>
          <w:color w:val="000000"/>
          <w:sz w:val="28"/>
          <w:szCs w:val="28"/>
        </w:rPr>
        <w:t>0,09 евро</w:t>
      </w:r>
      <w:r w:rsidRPr="003356BF">
        <w:rPr>
          <w:color w:val="000000"/>
          <w:sz w:val="28"/>
          <w:szCs w:val="28"/>
        </w:rPr>
        <w:t>/тон;</w:t>
      </w:r>
    </w:p>
    <w:p w14:paraId="60A77B2D" w14:textId="77777777" w:rsidR="006A24B9" w:rsidRPr="003356BF" w:rsidRDefault="006A24B9" w:rsidP="006A24B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к) други индустриални суровини – </w:t>
      </w:r>
      <w:r w:rsidR="00AC0F5F" w:rsidRPr="003356BF">
        <w:rPr>
          <w:color w:val="000000"/>
          <w:sz w:val="28"/>
          <w:szCs w:val="28"/>
        </w:rPr>
        <w:t>0,38 евро</w:t>
      </w:r>
      <w:r w:rsidRPr="003356BF">
        <w:rPr>
          <w:color w:val="000000"/>
          <w:sz w:val="28"/>
          <w:szCs w:val="28"/>
        </w:rPr>
        <w:t>/тон.</w:t>
      </w:r>
    </w:p>
    <w:p w14:paraId="142D5F2B" w14:textId="607C731F" w:rsidR="004C780D" w:rsidRPr="003356BF" w:rsidRDefault="004D10A7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1.4.</w:t>
      </w:r>
      <w:r w:rsidR="008D086F" w:rsidRPr="003356BF">
        <w:rPr>
          <w:color w:val="000000"/>
          <w:sz w:val="28"/>
          <w:szCs w:val="28"/>
        </w:rPr>
        <w:t xml:space="preserve"> </w:t>
      </w:r>
      <w:r w:rsidR="00D12547" w:rsidRPr="003356BF">
        <w:rPr>
          <w:color w:val="000000"/>
          <w:sz w:val="28"/>
          <w:szCs w:val="28"/>
        </w:rPr>
        <w:t>С</w:t>
      </w:r>
      <w:r w:rsidR="004C780D" w:rsidRPr="003356BF">
        <w:rPr>
          <w:color w:val="000000"/>
          <w:sz w:val="28"/>
          <w:szCs w:val="28"/>
        </w:rPr>
        <w:t xml:space="preserve">тойностите на концесионното плащане за единица добито подземно богатство по </w:t>
      </w:r>
      <w:r w:rsidRPr="003356BF">
        <w:rPr>
          <w:color w:val="000000"/>
          <w:sz w:val="28"/>
          <w:szCs w:val="28"/>
          <w:lang w:val="en-US"/>
        </w:rPr>
        <w:t>т. 1.3</w:t>
      </w:r>
      <w:r w:rsidR="004C780D" w:rsidRPr="003356BF">
        <w:rPr>
          <w:color w:val="000000"/>
          <w:sz w:val="28"/>
          <w:szCs w:val="28"/>
        </w:rPr>
        <w:t xml:space="preserve"> се индексират ежегодно с процента на увеличение на цените на неметалните полезни изкопаеми</w:t>
      </w:r>
      <w:r w:rsidR="00810B4F" w:rsidRPr="003356BF">
        <w:rPr>
          <w:color w:val="000000"/>
          <w:sz w:val="28"/>
          <w:szCs w:val="28"/>
        </w:rPr>
        <w:t xml:space="preserve"> </w:t>
      </w:r>
      <w:r w:rsidR="004C780D" w:rsidRPr="003356BF">
        <w:rPr>
          <w:color w:val="000000"/>
          <w:sz w:val="28"/>
          <w:szCs w:val="28"/>
        </w:rPr>
        <w:t>-</w:t>
      </w:r>
      <w:r w:rsidR="00810B4F" w:rsidRPr="003356BF">
        <w:rPr>
          <w:color w:val="000000"/>
          <w:sz w:val="28"/>
          <w:szCs w:val="28"/>
        </w:rPr>
        <w:t xml:space="preserve"> </w:t>
      </w:r>
      <w:r w:rsidR="004C780D" w:rsidRPr="003356BF">
        <w:rPr>
          <w:color w:val="000000"/>
          <w:sz w:val="28"/>
          <w:szCs w:val="28"/>
        </w:rPr>
        <w:t>индустриални минерали, по информация, предоставена от Националния статистически институт, при базова статистическа информация за цените за 202</w:t>
      </w:r>
      <w:r w:rsidR="0071024F" w:rsidRPr="003356BF">
        <w:rPr>
          <w:color w:val="000000"/>
          <w:sz w:val="28"/>
          <w:szCs w:val="28"/>
        </w:rPr>
        <w:t xml:space="preserve">1 </w:t>
      </w:r>
      <w:r w:rsidR="004C780D" w:rsidRPr="003356BF">
        <w:rPr>
          <w:color w:val="000000"/>
          <w:sz w:val="28"/>
          <w:szCs w:val="28"/>
        </w:rPr>
        <w:t>г.</w:t>
      </w:r>
    </w:p>
    <w:p w14:paraId="2BA8A4BA" w14:textId="584D8809" w:rsidR="004C780D" w:rsidRPr="003356BF" w:rsidRDefault="004D10A7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2</w:t>
      </w:r>
      <w:r w:rsidR="00F94479" w:rsidRPr="003356BF">
        <w:rPr>
          <w:color w:val="000000"/>
          <w:sz w:val="28"/>
          <w:szCs w:val="28"/>
        </w:rPr>
        <w:t>.</w:t>
      </w:r>
      <w:r w:rsidR="004C780D" w:rsidRPr="003356BF">
        <w:rPr>
          <w:color w:val="000000"/>
          <w:sz w:val="28"/>
          <w:szCs w:val="28"/>
        </w:rPr>
        <w:t xml:space="preserve"> Минималният размер на дължимото годишно концесионно плащане не може да бъде по-нисък от стойността, определена на базата на </w:t>
      </w:r>
      <w:r w:rsidR="001E52EA" w:rsidRPr="003356BF">
        <w:rPr>
          <w:color w:val="000000"/>
          <w:sz w:val="28"/>
          <w:szCs w:val="28"/>
        </w:rPr>
        <w:t>3</w:t>
      </w:r>
      <w:r w:rsidR="004C780D" w:rsidRPr="003356BF">
        <w:rPr>
          <w:color w:val="000000"/>
          <w:sz w:val="28"/>
          <w:szCs w:val="28"/>
        </w:rPr>
        <w:t xml:space="preserve">0 на сто от средногодишния добив за срока на концесията и предвидените стойности за единица добито подземно богатство съгласно </w:t>
      </w:r>
      <w:r w:rsidR="00D81BE7" w:rsidRPr="003356BF">
        <w:rPr>
          <w:color w:val="000000"/>
          <w:sz w:val="28"/>
          <w:szCs w:val="28"/>
        </w:rPr>
        <w:t xml:space="preserve">т. </w:t>
      </w:r>
      <w:r w:rsidR="00EA63DB" w:rsidRPr="003356BF">
        <w:rPr>
          <w:color w:val="000000"/>
          <w:sz w:val="28"/>
          <w:szCs w:val="28"/>
        </w:rPr>
        <w:t>1</w:t>
      </w:r>
      <w:r w:rsidR="008B6E81" w:rsidRPr="003356BF">
        <w:rPr>
          <w:color w:val="000000"/>
          <w:sz w:val="28"/>
          <w:szCs w:val="28"/>
        </w:rPr>
        <w:t>.3 и 1.4</w:t>
      </w:r>
      <w:r w:rsidR="00747134">
        <w:rPr>
          <w:color w:val="000000"/>
          <w:sz w:val="28"/>
          <w:szCs w:val="28"/>
        </w:rPr>
        <w:t>.</w:t>
      </w:r>
    </w:p>
    <w:p w14:paraId="7FC43E92" w14:textId="77777777" w:rsidR="004C780D" w:rsidRPr="003356BF" w:rsidRDefault="004D10A7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3</w:t>
      </w:r>
      <w:r w:rsidR="00F94479" w:rsidRPr="003356BF">
        <w:rPr>
          <w:color w:val="000000"/>
          <w:sz w:val="28"/>
          <w:szCs w:val="28"/>
        </w:rPr>
        <w:t>.</w:t>
      </w:r>
      <w:r w:rsidR="004C780D" w:rsidRPr="003356BF">
        <w:rPr>
          <w:color w:val="000000"/>
          <w:sz w:val="28"/>
          <w:szCs w:val="28"/>
        </w:rPr>
        <w:t xml:space="preserve"> </w:t>
      </w:r>
      <w:r w:rsidR="008E62DA" w:rsidRPr="003356BF">
        <w:rPr>
          <w:color w:val="000000"/>
          <w:sz w:val="28"/>
          <w:szCs w:val="28"/>
        </w:rPr>
        <w:t>С</w:t>
      </w:r>
      <w:r w:rsidR="004C780D" w:rsidRPr="003356BF">
        <w:rPr>
          <w:color w:val="000000"/>
          <w:sz w:val="28"/>
          <w:szCs w:val="28"/>
        </w:rPr>
        <w:t xml:space="preserve">редногодишният добив по </w:t>
      </w:r>
      <w:r w:rsidR="00D81BE7" w:rsidRPr="003356BF">
        <w:rPr>
          <w:color w:val="000000"/>
          <w:sz w:val="28"/>
          <w:szCs w:val="28"/>
        </w:rPr>
        <w:t xml:space="preserve">т. </w:t>
      </w:r>
      <w:r w:rsidR="003B7EF0" w:rsidRPr="003356BF">
        <w:rPr>
          <w:color w:val="000000"/>
          <w:sz w:val="28"/>
          <w:szCs w:val="28"/>
        </w:rPr>
        <w:t>2</w:t>
      </w:r>
      <w:r w:rsidR="004C780D" w:rsidRPr="003356BF">
        <w:rPr>
          <w:color w:val="000000"/>
          <w:sz w:val="28"/>
          <w:szCs w:val="28"/>
        </w:rPr>
        <w:t xml:space="preserve"> се определя с предложението за предоставяне на концесия въз основа на финансово-икономически анализ или обосновка.</w:t>
      </w:r>
    </w:p>
    <w:p w14:paraId="26A1606D" w14:textId="77777777" w:rsidR="00727629" w:rsidRPr="003356BF" w:rsidRDefault="00727629" w:rsidP="00727629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  <w:r w:rsidRPr="003356BF">
        <w:rPr>
          <w:sz w:val="28"/>
          <w:szCs w:val="28"/>
        </w:rPr>
        <w:t xml:space="preserve">4. Когато с решението за предоставяне на концесия не е определен средногодишен добив за срока на концесията, минималният размер на концесионно плащане се определя </w:t>
      </w:r>
      <w:r w:rsidR="00EF5138" w:rsidRPr="003356BF">
        <w:rPr>
          <w:sz w:val="28"/>
          <w:szCs w:val="28"/>
        </w:rPr>
        <w:t>на базата на 30 сто от</w:t>
      </w:r>
      <w:r w:rsidRPr="003356BF">
        <w:rPr>
          <w:sz w:val="28"/>
          <w:szCs w:val="28"/>
        </w:rPr>
        <w:t xml:space="preserve"> средногодишния добив</w:t>
      </w:r>
      <w:r w:rsidR="00C02B81" w:rsidRPr="003356BF">
        <w:rPr>
          <w:sz w:val="28"/>
          <w:szCs w:val="28"/>
        </w:rPr>
        <w:t>,</w:t>
      </w:r>
      <w:r w:rsidRPr="003356BF">
        <w:rPr>
          <w:sz w:val="28"/>
          <w:szCs w:val="28"/>
        </w:rPr>
        <w:t xml:space="preserve"> </w:t>
      </w:r>
      <w:r w:rsidR="000D7E99" w:rsidRPr="003356BF">
        <w:rPr>
          <w:sz w:val="28"/>
          <w:szCs w:val="28"/>
        </w:rPr>
        <w:t xml:space="preserve">предвиден със </w:t>
      </w:r>
      <w:r w:rsidRPr="003356BF">
        <w:rPr>
          <w:sz w:val="28"/>
          <w:szCs w:val="28"/>
        </w:rPr>
        <w:t>съгласувания цялостен работен проект за добив и първична преработка на подземни богатства.</w:t>
      </w:r>
    </w:p>
    <w:p w14:paraId="17FCF2F7" w14:textId="77777777" w:rsidR="00727629" w:rsidRPr="003356BF" w:rsidRDefault="00727629" w:rsidP="009B5172">
      <w:pPr>
        <w:spacing w:line="360" w:lineRule="auto"/>
        <w:ind w:firstLine="480"/>
        <w:jc w:val="both"/>
        <w:rPr>
          <w:color w:val="000000"/>
          <w:sz w:val="28"/>
          <w:szCs w:val="28"/>
        </w:rPr>
      </w:pPr>
    </w:p>
    <w:p w14:paraId="32774F7E" w14:textId="77777777" w:rsidR="00D16EF9" w:rsidRPr="003356BF" w:rsidRDefault="00D16EF9" w:rsidP="00195771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</w:p>
    <w:p w14:paraId="31689BDC" w14:textId="77777777" w:rsidR="00747134" w:rsidRDefault="00747134" w:rsidP="00195771">
      <w:pPr>
        <w:spacing w:line="360" w:lineRule="auto"/>
        <w:jc w:val="right"/>
        <w:rPr>
          <w:b/>
          <w:bCs/>
          <w:color w:val="000000"/>
          <w:sz w:val="28"/>
          <w:szCs w:val="28"/>
        </w:rPr>
        <w:sectPr w:rsidR="00747134" w:rsidSect="00452AAE">
          <w:pgSz w:w="11907" w:h="16839"/>
          <w:pgMar w:top="1134" w:right="1417" w:bottom="1135" w:left="1417" w:header="708" w:footer="158" w:gutter="0"/>
          <w:pgNumType w:start="1"/>
          <w:cols w:space="708"/>
          <w:titlePg/>
          <w:docGrid w:linePitch="360"/>
        </w:sectPr>
      </w:pPr>
    </w:p>
    <w:p w14:paraId="7D070FB8" w14:textId="77777777" w:rsidR="00105472" w:rsidRPr="00747134" w:rsidRDefault="00105472" w:rsidP="00195771">
      <w:pPr>
        <w:spacing w:line="360" w:lineRule="auto"/>
        <w:jc w:val="right"/>
        <w:rPr>
          <w:b/>
          <w:bCs/>
          <w:color w:val="000000"/>
        </w:rPr>
      </w:pPr>
      <w:r w:rsidRPr="00747134">
        <w:rPr>
          <w:b/>
          <w:bCs/>
          <w:color w:val="000000"/>
        </w:rPr>
        <w:lastRenderedPageBreak/>
        <w:t xml:space="preserve">Приложение № </w:t>
      </w:r>
      <w:r w:rsidR="006B2C41" w:rsidRPr="00747134">
        <w:rPr>
          <w:b/>
          <w:bCs/>
          <w:color w:val="000000"/>
        </w:rPr>
        <w:t xml:space="preserve">3 </w:t>
      </w:r>
      <w:r w:rsidRPr="00747134">
        <w:rPr>
          <w:b/>
          <w:bCs/>
          <w:color w:val="000000"/>
        </w:rPr>
        <w:t xml:space="preserve">към чл. </w:t>
      </w:r>
      <w:r w:rsidR="006B2C41" w:rsidRPr="00747134">
        <w:rPr>
          <w:b/>
          <w:bCs/>
          <w:color w:val="000000"/>
        </w:rPr>
        <w:t>1</w:t>
      </w:r>
      <w:r w:rsidR="00A10E82" w:rsidRPr="00747134">
        <w:rPr>
          <w:b/>
          <w:bCs/>
          <w:color w:val="000000"/>
        </w:rPr>
        <w:t>1</w:t>
      </w:r>
      <w:r w:rsidRPr="00747134">
        <w:rPr>
          <w:b/>
          <w:bCs/>
          <w:color w:val="000000"/>
        </w:rPr>
        <w:t xml:space="preserve"> </w:t>
      </w:r>
    </w:p>
    <w:p w14:paraId="12F31423" w14:textId="77777777" w:rsidR="000F23A3" w:rsidRPr="003356BF" w:rsidRDefault="000F23A3" w:rsidP="009B5172">
      <w:pPr>
        <w:spacing w:line="360" w:lineRule="auto"/>
        <w:jc w:val="center"/>
        <w:divId w:val="1037051926"/>
        <w:rPr>
          <w:b/>
          <w:bCs/>
          <w:color w:val="000000"/>
          <w:sz w:val="28"/>
          <w:szCs w:val="28"/>
        </w:rPr>
      </w:pPr>
    </w:p>
    <w:p w14:paraId="125833CC" w14:textId="672783CB" w:rsidR="00105472" w:rsidRPr="003356BF" w:rsidRDefault="00633A4D" w:rsidP="009B5172">
      <w:pPr>
        <w:spacing w:line="360" w:lineRule="auto"/>
        <w:jc w:val="center"/>
        <w:divId w:val="1037051926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>Конкретен, включително минимален</w:t>
      </w:r>
      <w:r w:rsidR="00747134">
        <w:rPr>
          <w:b/>
          <w:bCs/>
          <w:color w:val="000000"/>
          <w:sz w:val="28"/>
          <w:szCs w:val="28"/>
        </w:rPr>
        <w:t>,</w:t>
      </w:r>
      <w:r w:rsidRPr="003356BF">
        <w:rPr>
          <w:b/>
          <w:bCs/>
          <w:color w:val="000000"/>
          <w:sz w:val="28"/>
          <w:szCs w:val="28"/>
        </w:rPr>
        <w:t xml:space="preserve"> размер </w:t>
      </w:r>
      <w:r w:rsidR="00105472" w:rsidRPr="003356BF">
        <w:rPr>
          <w:b/>
          <w:bCs/>
          <w:color w:val="000000"/>
          <w:sz w:val="28"/>
          <w:szCs w:val="28"/>
        </w:rPr>
        <w:t>на концесионното</w:t>
      </w:r>
    </w:p>
    <w:p w14:paraId="5CC7CB9C" w14:textId="77777777" w:rsidR="00105472" w:rsidRPr="003356BF" w:rsidRDefault="00EE44A1" w:rsidP="009B5172">
      <w:pPr>
        <w:spacing w:line="360" w:lineRule="auto"/>
        <w:jc w:val="center"/>
        <w:divId w:val="1037051938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>плащане</w:t>
      </w:r>
      <w:r w:rsidR="00105472" w:rsidRPr="003356BF">
        <w:rPr>
          <w:b/>
          <w:bCs/>
          <w:color w:val="000000"/>
          <w:sz w:val="28"/>
          <w:szCs w:val="28"/>
        </w:rPr>
        <w:t xml:space="preserve"> за добив на нефт и </w:t>
      </w:r>
      <w:r w:rsidRPr="003356BF">
        <w:rPr>
          <w:b/>
          <w:bCs/>
          <w:color w:val="000000"/>
          <w:sz w:val="28"/>
          <w:szCs w:val="28"/>
        </w:rPr>
        <w:t xml:space="preserve">природен </w:t>
      </w:r>
      <w:r w:rsidR="002E2B6C" w:rsidRPr="003356BF">
        <w:rPr>
          <w:b/>
          <w:bCs/>
          <w:color w:val="000000"/>
          <w:sz w:val="28"/>
          <w:szCs w:val="28"/>
        </w:rPr>
        <w:t>газ</w:t>
      </w:r>
    </w:p>
    <w:p w14:paraId="77DB09D8" w14:textId="77777777" w:rsidR="000F23A3" w:rsidRPr="003356BF" w:rsidRDefault="000F23A3" w:rsidP="009B5172">
      <w:pPr>
        <w:spacing w:line="360" w:lineRule="auto"/>
        <w:jc w:val="center"/>
        <w:divId w:val="1037051938"/>
        <w:rPr>
          <w:b/>
          <w:bCs/>
          <w:color w:val="000000"/>
          <w:sz w:val="28"/>
          <w:szCs w:val="28"/>
        </w:rPr>
      </w:pPr>
    </w:p>
    <w:p w14:paraId="29158C12" w14:textId="77777777" w:rsidR="00CD6B7B" w:rsidRPr="003356BF" w:rsidRDefault="00394938" w:rsidP="006C2E9D">
      <w:pPr>
        <w:spacing w:line="312" w:lineRule="auto"/>
        <w:ind w:firstLine="425"/>
        <w:jc w:val="both"/>
        <w:divId w:val="1037051971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105472" w:rsidRPr="003356BF">
        <w:rPr>
          <w:color w:val="000000"/>
          <w:sz w:val="28"/>
          <w:szCs w:val="28"/>
        </w:rPr>
        <w:t xml:space="preserve"> Размерът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="00105472" w:rsidRPr="003356BF">
        <w:rPr>
          <w:color w:val="000000"/>
          <w:sz w:val="28"/>
          <w:szCs w:val="28"/>
        </w:rPr>
        <w:t xml:space="preserve"> за добив на нефт и</w:t>
      </w:r>
      <w:r w:rsidR="00EE44A1" w:rsidRPr="003356BF">
        <w:rPr>
          <w:color w:val="000000"/>
          <w:sz w:val="28"/>
          <w:szCs w:val="28"/>
        </w:rPr>
        <w:t xml:space="preserve"> природен</w:t>
      </w:r>
      <w:r w:rsidR="00105472" w:rsidRPr="003356BF">
        <w:rPr>
          <w:color w:val="000000"/>
          <w:sz w:val="28"/>
          <w:szCs w:val="28"/>
        </w:rPr>
        <w:t xml:space="preserve"> газ се определя като процент от общия приход от дейността,</w:t>
      </w:r>
      <w:r w:rsidR="00CD6B7B" w:rsidRPr="003356BF">
        <w:rPr>
          <w:color w:val="000000"/>
          <w:sz w:val="28"/>
          <w:szCs w:val="28"/>
        </w:rPr>
        <w:t xml:space="preserve"> </w:t>
      </w:r>
      <w:r w:rsidR="00105472" w:rsidRPr="003356BF">
        <w:rPr>
          <w:color w:val="000000"/>
          <w:sz w:val="28"/>
          <w:szCs w:val="28"/>
        </w:rPr>
        <w:t>свързана с обекта на концесия, чрез скала на R-фактор.</w:t>
      </w:r>
      <w:r w:rsidR="00CD6B7B" w:rsidRPr="003356BF">
        <w:rPr>
          <w:color w:val="000000"/>
          <w:sz w:val="28"/>
          <w:szCs w:val="28"/>
        </w:rPr>
        <w:t xml:space="preserve"> </w:t>
      </w:r>
    </w:p>
    <w:p w14:paraId="3AAB57E5" w14:textId="77777777" w:rsidR="00394938" w:rsidRPr="003356BF" w:rsidRDefault="00394938" w:rsidP="006C2E9D">
      <w:pPr>
        <w:spacing w:line="312" w:lineRule="auto"/>
        <w:ind w:firstLine="425"/>
        <w:jc w:val="both"/>
        <w:divId w:val="103705185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2.</w:t>
      </w:r>
      <w:r w:rsidR="00105472" w:rsidRPr="003356BF">
        <w:rPr>
          <w:color w:val="000000"/>
          <w:sz w:val="28"/>
          <w:szCs w:val="28"/>
        </w:rPr>
        <w:t xml:space="preserve"> Формулата за изчисляване на R-фактора е:</w:t>
      </w:r>
      <w:r w:rsidR="00CD6B7B" w:rsidRPr="003356BF">
        <w:rPr>
          <w:color w:val="000000"/>
          <w:sz w:val="28"/>
          <w:szCs w:val="28"/>
        </w:rPr>
        <w:t xml:space="preserve"> </w:t>
      </w:r>
    </w:p>
    <w:p w14:paraId="5A57BF5C" w14:textId="77777777" w:rsidR="00105472" w:rsidRPr="003356BF" w:rsidRDefault="00105472" w:rsidP="006C2E9D">
      <w:pPr>
        <w:spacing w:line="312" w:lineRule="auto"/>
        <w:ind w:firstLine="425"/>
        <w:jc w:val="both"/>
        <w:divId w:val="103705185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R-фактор = ОКП/ОКР,</w:t>
      </w:r>
      <w:r w:rsidR="00CD6B7B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>където:</w:t>
      </w:r>
    </w:p>
    <w:p w14:paraId="73551E16" w14:textId="77777777" w:rsidR="00105472" w:rsidRPr="003356BF" w:rsidRDefault="00105472" w:rsidP="006C2E9D">
      <w:pPr>
        <w:spacing w:line="312" w:lineRule="auto"/>
        <w:ind w:firstLine="425"/>
        <w:jc w:val="both"/>
        <w:divId w:val="1037051831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ОКП е размерът на общите кумулативни приходи от дейността, свързана с</w:t>
      </w:r>
      <w:r w:rsidR="00CD6B7B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>обекта на концесия, за всички отчетни периоди</w:t>
      </w:r>
      <w:r w:rsidR="0003614A" w:rsidRPr="003356BF">
        <w:rPr>
          <w:color w:val="000000"/>
          <w:sz w:val="28"/>
          <w:szCs w:val="28"/>
        </w:rPr>
        <w:t xml:space="preserve">, намален със заплатените концесионни </w:t>
      </w:r>
      <w:r w:rsidR="0024558A" w:rsidRPr="003356BF">
        <w:rPr>
          <w:color w:val="000000"/>
          <w:sz w:val="28"/>
          <w:szCs w:val="28"/>
        </w:rPr>
        <w:t>плащания</w:t>
      </w:r>
      <w:r w:rsidR="0003614A" w:rsidRPr="003356BF">
        <w:rPr>
          <w:color w:val="000000"/>
          <w:sz w:val="28"/>
          <w:szCs w:val="28"/>
        </w:rPr>
        <w:t>;</w:t>
      </w:r>
    </w:p>
    <w:p w14:paraId="237020E3" w14:textId="50542FF1" w:rsidR="00105472" w:rsidRPr="003356BF" w:rsidRDefault="00105472" w:rsidP="006C2E9D">
      <w:pPr>
        <w:spacing w:line="312" w:lineRule="auto"/>
        <w:ind w:firstLine="425"/>
        <w:jc w:val="both"/>
        <w:divId w:val="1037051834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ОКР </w:t>
      </w:r>
      <w:r w:rsidR="00747134">
        <w:rPr>
          <w:color w:val="000000"/>
          <w:sz w:val="28"/>
          <w:szCs w:val="28"/>
        </w:rPr>
        <w:t>е</w:t>
      </w:r>
      <w:r w:rsidRPr="003356BF">
        <w:rPr>
          <w:color w:val="000000"/>
          <w:sz w:val="28"/>
          <w:szCs w:val="28"/>
        </w:rPr>
        <w:t xml:space="preserve"> размерът на общите кумулативни разходи по дейността, свързана с</w:t>
      </w:r>
      <w:r w:rsidR="00CD6B7B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>обекта на концесия (търсене, проучване, оценяване, разработване,</w:t>
      </w:r>
      <w:r w:rsidR="00CD6B7B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>експлоатация), за всички отчетни периоди</w:t>
      </w:r>
      <w:r w:rsidR="00F96049" w:rsidRPr="003356BF">
        <w:rPr>
          <w:color w:val="000000"/>
          <w:sz w:val="28"/>
          <w:szCs w:val="28"/>
        </w:rPr>
        <w:t xml:space="preserve">, като не се включват </w:t>
      </w:r>
      <w:r w:rsidR="0024558A" w:rsidRPr="003356BF">
        <w:rPr>
          <w:color w:val="000000"/>
          <w:sz w:val="28"/>
          <w:szCs w:val="28"/>
        </w:rPr>
        <w:t>заплатените концесионни плащания</w:t>
      </w:r>
      <w:r w:rsidR="00F96049" w:rsidRPr="003356BF">
        <w:rPr>
          <w:color w:val="000000"/>
          <w:sz w:val="28"/>
          <w:szCs w:val="28"/>
        </w:rPr>
        <w:t>.</w:t>
      </w:r>
    </w:p>
    <w:p w14:paraId="1FAA77B6" w14:textId="77777777" w:rsidR="00105472" w:rsidRPr="003356BF" w:rsidRDefault="00394938" w:rsidP="006C2E9D">
      <w:pPr>
        <w:spacing w:line="312" w:lineRule="auto"/>
        <w:ind w:firstLine="425"/>
        <w:jc w:val="both"/>
        <w:divId w:val="1037051829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3</w:t>
      </w:r>
      <w:r w:rsidR="00105472" w:rsidRPr="003356BF">
        <w:rPr>
          <w:color w:val="000000"/>
          <w:sz w:val="28"/>
          <w:szCs w:val="28"/>
        </w:rPr>
        <w:t>. Изчисленият R-фактор се прилага при определяне процента на</w:t>
      </w:r>
      <w:r w:rsidR="00CD6B7B" w:rsidRPr="003356BF">
        <w:rPr>
          <w:color w:val="000000"/>
          <w:sz w:val="28"/>
          <w:szCs w:val="28"/>
        </w:rPr>
        <w:t xml:space="preserve"> </w:t>
      </w:r>
      <w:r w:rsidR="00105472" w:rsidRPr="003356BF">
        <w:rPr>
          <w:color w:val="000000"/>
          <w:sz w:val="28"/>
          <w:szCs w:val="28"/>
        </w:rPr>
        <w:t xml:space="preserve">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="00105472" w:rsidRPr="003356BF">
        <w:rPr>
          <w:color w:val="000000"/>
          <w:sz w:val="28"/>
          <w:szCs w:val="28"/>
        </w:rPr>
        <w:t xml:space="preserve"> в следните граници:</w:t>
      </w:r>
      <w:r w:rsidR="00CD6B7B" w:rsidRPr="003356BF">
        <w:rPr>
          <w:color w:val="000000"/>
          <w:sz w:val="28"/>
          <w:szCs w:val="28"/>
        </w:rPr>
        <w:t xml:space="preserve"> </w:t>
      </w:r>
    </w:p>
    <w:tbl>
      <w:tblPr>
        <w:tblW w:w="67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8"/>
        <w:gridCol w:w="1831"/>
        <w:gridCol w:w="1207"/>
        <w:gridCol w:w="2964"/>
      </w:tblGrid>
      <w:tr w:rsidR="00105472" w:rsidRPr="003356BF" w14:paraId="0CCCC5E9" w14:textId="77777777" w:rsidTr="000D788E">
        <w:trPr>
          <w:divId w:val="1037051838"/>
          <w:trHeight w:val="845"/>
          <w:tblCellSpacing w:w="7" w:type="dxa"/>
          <w:jc w:val="center"/>
        </w:trPr>
        <w:tc>
          <w:tcPr>
            <w:tcW w:w="189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BF5363" w14:textId="77777777" w:rsidR="00105472" w:rsidRPr="003356BF" w:rsidRDefault="00105472" w:rsidP="009B5172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R-фактор </w:t>
            </w:r>
          </w:p>
        </w:tc>
        <w:tc>
          <w:tcPr>
            <w:tcW w:w="307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EEE7BC" w14:textId="77777777" w:rsidR="00105472" w:rsidRPr="003356BF" w:rsidRDefault="00105472" w:rsidP="00DA12A8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Процент на концесионното </w:t>
            </w:r>
          </w:p>
          <w:p w14:paraId="473D1148" w14:textId="77777777" w:rsidR="00105472" w:rsidRPr="003356BF" w:rsidRDefault="00EE44A1" w:rsidP="00DA12A8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плащане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 съгласно </w:t>
            </w:r>
            <w:r w:rsidR="00A74CCC" w:rsidRPr="003356BF">
              <w:rPr>
                <w:color w:val="000000"/>
                <w:sz w:val="28"/>
                <w:szCs w:val="28"/>
              </w:rPr>
              <w:t>т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. 1 </w:t>
            </w:r>
          </w:p>
        </w:tc>
      </w:tr>
      <w:tr w:rsidR="00105472" w:rsidRPr="003356BF" w14:paraId="11A806EE" w14:textId="77777777" w:rsidTr="000D788E">
        <w:trPr>
          <w:divId w:val="1037051838"/>
          <w:tblCellSpacing w:w="7" w:type="dxa"/>
          <w:jc w:val="center"/>
        </w:trPr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D12B73" w14:textId="77777777" w:rsidR="00105472" w:rsidRPr="003356BF" w:rsidRDefault="00105472" w:rsidP="009B5172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&lt; 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7CB045" w14:textId="77777777" w:rsidR="00105472" w:rsidRPr="003356BF" w:rsidRDefault="00105472" w:rsidP="009B5172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1,50 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832A92" w14:textId="77777777" w:rsidR="00105472" w:rsidRPr="003356BF" w:rsidRDefault="007B3923" w:rsidP="007B3923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3,5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050545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</w:tr>
      <w:tr w:rsidR="00105472" w:rsidRPr="003356BF" w14:paraId="3DBF9B85" w14:textId="77777777" w:rsidTr="000D788E">
        <w:trPr>
          <w:divId w:val="1037051838"/>
          <w:tblCellSpacing w:w="7" w:type="dxa"/>
          <w:jc w:val="center"/>
        </w:trPr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1E8A49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AC0AB5" w14:textId="77777777" w:rsidR="00105472" w:rsidRPr="003356BF" w:rsidRDefault="00105472" w:rsidP="00A006C5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1,50-1,</w:t>
            </w:r>
            <w:r w:rsidR="00A006C5" w:rsidRPr="003356BF">
              <w:rPr>
                <w:color w:val="000000"/>
                <w:sz w:val="28"/>
                <w:szCs w:val="28"/>
              </w:rPr>
              <w:t xml:space="preserve">74 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2382B8" w14:textId="77777777" w:rsidR="00105472" w:rsidRPr="003356BF" w:rsidRDefault="007B3923" w:rsidP="009B5172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7</w:t>
            </w:r>
            <w:r w:rsidR="00937E85" w:rsidRPr="003356BF">
              <w:rPr>
                <w:color w:val="000000"/>
                <w:sz w:val="28"/>
                <w:szCs w:val="28"/>
              </w:rPr>
              <w:t>,0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5A92D3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</w:tr>
      <w:tr w:rsidR="00105472" w:rsidRPr="003356BF" w14:paraId="3ED20072" w14:textId="77777777" w:rsidTr="000D788E">
        <w:trPr>
          <w:divId w:val="1037051838"/>
          <w:tblCellSpacing w:w="7" w:type="dxa"/>
          <w:jc w:val="center"/>
        </w:trPr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BE023F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692F48" w14:textId="77777777" w:rsidR="00105472" w:rsidRPr="003356BF" w:rsidRDefault="00105472" w:rsidP="00A006C5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1,75-</w:t>
            </w:r>
            <w:r w:rsidR="00A006C5" w:rsidRPr="003356BF">
              <w:rPr>
                <w:color w:val="000000"/>
                <w:sz w:val="28"/>
                <w:szCs w:val="28"/>
              </w:rPr>
              <w:t>1</w:t>
            </w:r>
            <w:r w:rsidR="00BD4790" w:rsidRPr="003356BF">
              <w:rPr>
                <w:color w:val="000000"/>
                <w:sz w:val="28"/>
                <w:szCs w:val="28"/>
              </w:rPr>
              <w:t>,9</w:t>
            </w:r>
            <w:r w:rsidR="00A006C5" w:rsidRPr="003356BF">
              <w:rPr>
                <w:color w:val="000000"/>
                <w:sz w:val="28"/>
                <w:szCs w:val="28"/>
              </w:rPr>
              <w:t>9</w:t>
            </w:r>
            <w:r w:rsidRPr="003356B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47DBDC" w14:textId="77777777" w:rsidR="00105472" w:rsidRPr="003356BF" w:rsidRDefault="007B3923" w:rsidP="007B3923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9</w:t>
            </w:r>
            <w:r w:rsidR="00937E85" w:rsidRPr="003356BF">
              <w:rPr>
                <w:color w:val="000000"/>
                <w:sz w:val="28"/>
                <w:szCs w:val="28"/>
              </w:rPr>
              <w:t>,0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CA66AF" w14:textId="77777777" w:rsidR="00105472" w:rsidRPr="003356BF" w:rsidRDefault="00105472" w:rsidP="007B3923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до </w:t>
            </w:r>
            <w:r w:rsidR="007B3923" w:rsidRPr="003356BF">
              <w:rPr>
                <w:color w:val="000000"/>
                <w:sz w:val="28"/>
                <w:szCs w:val="28"/>
              </w:rPr>
              <w:t>11,4</w:t>
            </w:r>
            <w:r w:rsidR="00937E85" w:rsidRPr="003356BF">
              <w:rPr>
                <w:color w:val="000000"/>
                <w:sz w:val="28"/>
                <w:szCs w:val="28"/>
              </w:rPr>
              <w:t>9</w:t>
            </w:r>
            <w:r w:rsidRPr="003356BF">
              <w:rPr>
                <w:color w:val="000000"/>
                <w:sz w:val="28"/>
                <w:szCs w:val="28"/>
              </w:rPr>
              <w:t xml:space="preserve">% </w:t>
            </w:r>
          </w:p>
        </w:tc>
      </w:tr>
      <w:tr w:rsidR="00105472" w:rsidRPr="003356BF" w14:paraId="06B7BD4F" w14:textId="77777777" w:rsidTr="000D788E">
        <w:trPr>
          <w:divId w:val="1037051838"/>
          <w:tblCellSpacing w:w="7" w:type="dxa"/>
          <w:jc w:val="center"/>
        </w:trPr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67EA16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8C0B35" w14:textId="77777777" w:rsidR="00105472" w:rsidRPr="003356BF" w:rsidRDefault="00105472" w:rsidP="00A006C5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2,00-2,</w:t>
            </w:r>
            <w:r w:rsidR="00A006C5" w:rsidRPr="003356BF">
              <w:rPr>
                <w:color w:val="000000"/>
                <w:sz w:val="28"/>
                <w:szCs w:val="28"/>
              </w:rPr>
              <w:t>49</w:t>
            </w:r>
            <w:r w:rsidRPr="003356B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96D975" w14:textId="77777777" w:rsidR="00105472" w:rsidRPr="003356BF" w:rsidRDefault="007B3923" w:rsidP="00027B37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11,5</w:t>
            </w:r>
            <w:r w:rsidR="00937E85" w:rsidRPr="003356BF">
              <w:rPr>
                <w:color w:val="000000"/>
                <w:sz w:val="28"/>
                <w:szCs w:val="28"/>
              </w:rPr>
              <w:t>0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2111E1" w14:textId="77777777" w:rsidR="00105472" w:rsidRPr="003356BF" w:rsidRDefault="00105472" w:rsidP="007B3923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до </w:t>
            </w:r>
            <w:r w:rsidR="007B3923" w:rsidRPr="003356BF">
              <w:rPr>
                <w:color w:val="000000"/>
                <w:sz w:val="28"/>
                <w:szCs w:val="28"/>
              </w:rPr>
              <w:t>13,9</w:t>
            </w:r>
            <w:r w:rsidR="00937E85" w:rsidRPr="003356BF">
              <w:rPr>
                <w:color w:val="000000"/>
                <w:sz w:val="28"/>
                <w:szCs w:val="28"/>
              </w:rPr>
              <w:t>9</w:t>
            </w:r>
            <w:r w:rsidRPr="003356BF">
              <w:rPr>
                <w:color w:val="000000"/>
                <w:sz w:val="28"/>
                <w:szCs w:val="28"/>
              </w:rPr>
              <w:t xml:space="preserve">% </w:t>
            </w:r>
          </w:p>
        </w:tc>
      </w:tr>
      <w:tr w:rsidR="00105472" w:rsidRPr="003356BF" w14:paraId="5339A29C" w14:textId="77777777" w:rsidTr="000D788E">
        <w:trPr>
          <w:divId w:val="1037051838"/>
          <w:tblCellSpacing w:w="7" w:type="dxa"/>
          <w:jc w:val="center"/>
        </w:trPr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E627A3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8B6AF1" w14:textId="77777777" w:rsidR="00105472" w:rsidRPr="003356BF" w:rsidRDefault="00105472" w:rsidP="00A006C5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2,50-</w:t>
            </w:r>
            <w:r w:rsidR="004E23D3" w:rsidRPr="003356BF">
              <w:rPr>
                <w:color w:val="000000"/>
                <w:sz w:val="28"/>
                <w:szCs w:val="28"/>
              </w:rPr>
              <w:t>2,9</w:t>
            </w:r>
            <w:r w:rsidR="00A006C5" w:rsidRPr="003356BF">
              <w:rPr>
                <w:color w:val="000000"/>
                <w:sz w:val="28"/>
                <w:szCs w:val="28"/>
              </w:rPr>
              <w:t>9</w:t>
            </w:r>
            <w:r w:rsidRPr="003356B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92410B" w14:textId="77777777" w:rsidR="00105472" w:rsidRPr="003356BF" w:rsidRDefault="007B3923" w:rsidP="00027B37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14</w:t>
            </w:r>
            <w:r w:rsidR="00937E85" w:rsidRPr="003356BF">
              <w:rPr>
                <w:color w:val="000000"/>
                <w:sz w:val="28"/>
                <w:szCs w:val="28"/>
              </w:rPr>
              <w:t>,0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D62442" w14:textId="77777777" w:rsidR="00105472" w:rsidRPr="003356BF" w:rsidRDefault="00105472" w:rsidP="007B3923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до </w:t>
            </w:r>
            <w:r w:rsidR="007B3923" w:rsidRPr="003356BF">
              <w:rPr>
                <w:color w:val="000000"/>
                <w:sz w:val="28"/>
                <w:szCs w:val="28"/>
              </w:rPr>
              <w:t>19,9</w:t>
            </w:r>
            <w:r w:rsidR="00937E85" w:rsidRPr="003356BF">
              <w:rPr>
                <w:color w:val="000000"/>
                <w:sz w:val="28"/>
                <w:szCs w:val="28"/>
              </w:rPr>
              <w:t>9</w:t>
            </w:r>
            <w:r w:rsidRPr="003356BF">
              <w:rPr>
                <w:color w:val="000000"/>
                <w:sz w:val="28"/>
                <w:szCs w:val="28"/>
              </w:rPr>
              <w:t xml:space="preserve">% </w:t>
            </w:r>
          </w:p>
        </w:tc>
      </w:tr>
      <w:tr w:rsidR="00105472" w:rsidRPr="003356BF" w14:paraId="615E086F" w14:textId="77777777" w:rsidTr="000D788E">
        <w:trPr>
          <w:divId w:val="1037051838"/>
          <w:tblCellSpacing w:w="7" w:type="dxa"/>
          <w:jc w:val="center"/>
        </w:trPr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202212" w14:textId="77777777" w:rsidR="00105472" w:rsidRPr="003356BF" w:rsidRDefault="00A006C5" w:rsidP="00A006C5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=и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&gt; 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C7FFDB" w14:textId="77777777" w:rsidR="00105472" w:rsidRPr="003356BF" w:rsidRDefault="00105472" w:rsidP="009B5172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3,00 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F3CF1" w14:textId="77777777" w:rsidR="00105472" w:rsidRPr="003356BF" w:rsidRDefault="007B3923" w:rsidP="009B5172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20</w:t>
            </w:r>
            <w:r w:rsidR="00937E85" w:rsidRPr="003356BF">
              <w:rPr>
                <w:color w:val="000000"/>
                <w:sz w:val="28"/>
                <w:szCs w:val="28"/>
              </w:rPr>
              <w:t>,0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C1AEDC" w14:textId="77777777" w:rsidR="00105472" w:rsidRPr="003356BF" w:rsidRDefault="00105472" w:rsidP="007B3923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до </w:t>
            </w:r>
            <w:r w:rsidR="007B3923" w:rsidRPr="003356BF">
              <w:rPr>
                <w:color w:val="000000"/>
                <w:sz w:val="28"/>
                <w:szCs w:val="28"/>
              </w:rPr>
              <w:t>35</w:t>
            </w:r>
            <w:r w:rsidR="00937E85" w:rsidRPr="003356BF">
              <w:rPr>
                <w:color w:val="000000"/>
                <w:sz w:val="28"/>
                <w:szCs w:val="28"/>
              </w:rPr>
              <w:t>,0</w:t>
            </w:r>
            <w:r w:rsidRPr="003356BF">
              <w:rPr>
                <w:color w:val="000000"/>
                <w:sz w:val="28"/>
                <w:szCs w:val="28"/>
              </w:rPr>
              <w:t xml:space="preserve">% </w:t>
            </w:r>
          </w:p>
        </w:tc>
      </w:tr>
    </w:tbl>
    <w:p w14:paraId="6F767458" w14:textId="77777777" w:rsidR="0033395A" w:rsidRPr="003356BF" w:rsidRDefault="0033395A" w:rsidP="009B5172">
      <w:pPr>
        <w:spacing w:line="360" w:lineRule="auto"/>
        <w:ind w:firstLine="708"/>
        <w:jc w:val="both"/>
        <w:divId w:val="1037051978"/>
        <w:rPr>
          <w:color w:val="000000"/>
          <w:sz w:val="28"/>
          <w:szCs w:val="28"/>
        </w:rPr>
      </w:pPr>
    </w:p>
    <w:p w14:paraId="2E5A54FF" w14:textId="68091AAD" w:rsidR="008D086F" w:rsidRPr="003356BF" w:rsidRDefault="008D086F" w:rsidP="006C2E9D">
      <w:pPr>
        <w:spacing w:line="312" w:lineRule="auto"/>
        <w:ind w:firstLine="708"/>
        <w:jc w:val="both"/>
        <w:divId w:val="1037051956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lastRenderedPageBreak/>
        <w:t>3.1. При стойност на R-фактора от 1,75 до 1,99 формира концесионно плащане от 9,0% до 11,49% от общия приход от дейността, като всяко увеличение на R-фактора с 0,01 увеличава процента на концесионното плащане с 0,1039%</w:t>
      </w:r>
      <w:r w:rsidR="006C2E9D">
        <w:rPr>
          <w:color w:val="000000"/>
          <w:sz w:val="28"/>
          <w:szCs w:val="28"/>
        </w:rPr>
        <w:t>.</w:t>
      </w:r>
    </w:p>
    <w:p w14:paraId="5A7B8C62" w14:textId="39908F69" w:rsidR="008D086F" w:rsidRPr="003356BF" w:rsidRDefault="008D086F" w:rsidP="006C2E9D">
      <w:pPr>
        <w:spacing w:line="312" w:lineRule="auto"/>
        <w:ind w:firstLine="708"/>
        <w:jc w:val="both"/>
        <w:divId w:val="1037051956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3.2. При стойност на R-фактора от 2 до 2,49 формира концесионно плащане от 11,50% до 13,99% от общия приход от дейността, като всяко увеличение на R- фактора с 0,01 увеличава процента на концесионното плащане  с 0,0508%</w:t>
      </w:r>
      <w:r w:rsidR="006C2E9D">
        <w:rPr>
          <w:color w:val="000000"/>
          <w:sz w:val="28"/>
          <w:szCs w:val="28"/>
        </w:rPr>
        <w:t>.</w:t>
      </w:r>
    </w:p>
    <w:p w14:paraId="5AF29C15" w14:textId="4C95A1F2" w:rsidR="008D086F" w:rsidRPr="003356BF" w:rsidRDefault="008D086F" w:rsidP="006C2E9D">
      <w:pPr>
        <w:spacing w:line="312" w:lineRule="auto"/>
        <w:ind w:firstLine="708"/>
        <w:jc w:val="both"/>
        <w:divId w:val="1037051956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3.3. При стойност на R-фактора от 2,50 до 2,99 формира концесионно плащане от 14,00% до 19,99% от общия приход от дейността, като всяко увеличение на R-фактора с 0,01 увеличава процента на концесионното плащане с  0,1222%</w:t>
      </w:r>
      <w:r w:rsidR="006C2E9D">
        <w:rPr>
          <w:color w:val="000000"/>
          <w:sz w:val="28"/>
          <w:szCs w:val="28"/>
        </w:rPr>
        <w:t>.</w:t>
      </w:r>
    </w:p>
    <w:p w14:paraId="285AC073" w14:textId="2372ADF0" w:rsidR="008D086F" w:rsidRPr="003356BF" w:rsidRDefault="008D086F" w:rsidP="006C2E9D">
      <w:pPr>
        <w:spacing w:line="312" w:lineRule="auto"/>
        <w:ind w:firstLine="709"/>
        <w:jc w:val="both"/>
        <w:divId w:val="1037051956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3.4. При стойност на R-фактора, равна на или над 3,00</w:t>
      </w:r>
      <w:r w:rsidR="006C2E9D">
        <w:rPr>
          <w:color w:val="000000"/>
          <w:sz w:val="28"/>
          <w:szCs w:val="28"/>
        </w:rPr>
        <w:t>,</w:t>
      </w:r>
      <w:r w:rsidRPr="003356BF">
        <w:rPr>
          <w:color w:val="000000"/>
          <w:sz w:val="28"/>
          <w:szCs w:val="28"/>
        </w:rPr>
        <w:t xml:space="preserve"> формира концесионно плащане от 20,0% до 35,0% от общия приход от дейността, като всяко увеличение на R-фактора с 0,01 увеличава процента на концесионното плащане с 0,2%.</w:t>
      </w:r>
    </w:p>
    <w:p w14:paraId="3C95C80E" w14:textId="77777777" w:rsidR="00A01B3E" w:rsidRPr="003356BF" w:rsidRDefault="008D086F" w:rsidP="006C2E9D">
      <w:pPr>
        <w:spacing w:line="312" w:lineRule="auto"/>
        <w:ind w:firstLine="709"/>
        <w:jc w:val="both"/>
        <w:divId w:val="1037051956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4. Концесионното </w:t>
      </w:r>
      <w:r w:rsidR="007F4DF4" w:rsidRPr="003356BF">
        <w:rPr>
          <w:color w:val="000000"/>
          <w:sz w:val="28"/>
          <w:szCs w:val="28"/>
        </w:rPr>
        <w:t xml:space="preserve">плащане </w:t>
      </w:r>
      <w:r w:rsidRPr="003356BF">
        <w:rPr>
          <w:color w:val="000000"/>
          <w:sz w:val="28"/>
          <w:szCs w:val="28"/>
        </w:rPr>
        <w:t>се заплаща като процент от общия приход от добитите през отчетния период нефт и газ, доведени до търговски продукт</w:t>
      </w:r>
      <w:r w:rsidR="001265A5" w:rsidRPr="003356BF">
        <w:rPr>
          <w:color w:val="000000"/>
          <w:sz w:val="28"/>
          <w:szCs w:val="28"/>
        </w:rPr>
        <w:t>.</w:t>
      </w:r>
    </w:p>
    <w:p w14:paraId="5928977A" w14:textId="6AD63351" w:rsidR="00A01B3E" w:rsidRPr="003356BF" w:rsidRDefault="008D086F" w:rsidP="006C2E9D">
      <w:pPr>
        <w:spacing w:line="312" w:lineRule="auto"/>
        <w:ind w:firstLine="709"/>
        <w:jc w:val="both"/>
        <w:divId w:val="1037051956"/>
        <w:rPr>
          <w:sz w:val="28"/>
          <w:szCs w:val="28"/>
        </w:rPr>
      </w:pPr>
      <w:r w:rsidRPr="003356BF">
        <w:rPr>
          <w:sz w:val="28"/>
          <w:szCs w:val="28"/>
        </w:rPr>
        <w:t xml:space="preserve">5. Минималният размер на дължимото годишно концесионно плащане не може да бъде по-нисък от </w:t>
      </w:r>
      <w:r w:rsidR="00A01B3E" w:rsidRPr="003356BF">
        <w:rPr>
          <w:sz w:val="28"/>
          <w:szCs w:val="28"/>
        </w:rPr>
        <w:t xml:space="preserve"> стойността</w:t>
      </w:r>
      <w:r w:rsidRPr="003356BF">
        <w:rPr>
          <w:sz w:val="28"/>
          <w:szCs w:val="28"/>
        </w:rPr>
        <w:t>, определена на базата на 10 на сто от предвидения средногодишен добив за срока на концесията</w:t>
      </w:r>
      <w:r w:rsidR="00A01B3E" w:rsidRPr="003356BF">
        <w:rPr>
          <w:sz w:val="28"/>
          <w:szCs w:val="28"/>
        </w:rPr>
        <w:t>,</w:t>
      </w:r>
      <w:r w:rsidRPr="003356BF">
        <w:rPr>
          <w:sz w:val="28"/>
          <w:szCs w:val="28"/>
        </w:rPr>
        <w:t xml:space="preserve"> минималния процент на концесионното плащане съгласно т. 3</w:t>
      </w:r>
      <w:r w:rsidR="0001470F" w:rsidRPr="003356BF">
        <w:rPr>
          <w:sz w:val="28"/>
          <w:szCs w:val="28"/>
        </w:rPr>
        <w:t xml:space="preserve"> и средно</w:t>
      </w:r>
      <w:r w:rsidR="00A01B3E" w:rsidRPr="003356BF">
        <w:rPr>
          <w:sz w:val="28"/>
          <w:szCs w:val="28"/>
        </w:rPr>
        <w:t xml:space="preserve">претеглената продажна цена на добитото подземно богатство за съответния период, определена на основата на данни, предоставени от концесионера, но не </w:t>
      </w:r>
      <w:r w:rsidR="006C2E9D">
        <w:rPr>
          <w:sz w:val="28"/>
          <w:szCs w:val="28"/>
        </w:rPr>
        <w:br/>
      </w:r>
      <w:r w:rsidR="00A01B3E" w:rsidRPr="003356BF">
        <w:rPr>
          <w:sz w:val="28"/>
          <w:szCs w:val="28"/>
        </w:rPr>
        <w:t>по-ниска от пазарната цена, определена на база</w:t>
      </w:r>
      <w:r w:rsidR="006C2E9D">
        <w:rPr>
          <w:sz w:val="28"/>
          <w:szCs w:val="28"/>
        </w:rPr>
        <w:t>та на</w:t>
      </w:r>
      <w:r w:rsidR="00A01B3E" w:rsidRPr="003356BF">
        <w:rPr>
          <w:sz w:val="28"/>
          <w:szCs w:val="28"/>
        </w:rPr>
        <w:t xml:space="preserve"> неконтролирани сделки между несвързани лица</w:t>
      </w:r>
      <w:r w:rsidR="001265A5" w:rsidRPr="003356BF">
        <w:rPr>
          <w:sz w:val="28"/>
          <w:szCs w:val="28"/>
        </w:rPr>
        <w:t>.</w:t>
      </w:r>
    </w:p>
    <w:p w14:paraId="05480DB9" w14:textId="77777777" w:rsidR="008D086F" w:rsidRPr="003356BF" w:rsidRDefault="008D086F" w:rsidP="006C2E9D">
      <w:pPr>
        <w:spacing w:line="312" w:lineRule="auto"/>
        <w:ind w:firstLine="480"/>
        <w:jc w:val="both"/>
        <w:divId w:val="1037051956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6. Средногодишният добив по т. 5 се определя с предложението за предоставяне на концесия въз основа на финансово-икономически анализ или обосновка.</w:t>
      </w:r>
    </w:p>
    <w:p w14:paraId="5CA4DE66" w14:textId="77777777" w:rsidR="00F14D07" w:rsidRDefault="007F0564" w:rsidP="006C2E9D">
      <w:pPr>
        <w:spacing w:line="312" w:lineRule="auto"/>
        <w:ind w:firstLine="480"/>
        <w:jc w:val="both"/>
        <w:divId w:val="1037051956"/>
        <w:rPr>
          <w:sz w:val="28"/>
          <w:szCs w:val="28"/>
        </w:rPr>
        <w:sectPr w:rsidR="00F14D07" w:rsidSect="006C2E9D">
          <w:pgSz w:w="11907" w:h="16839"/>
          <w:pgMar w:top="1134" w:right="1417" w:bottom="993" w:left="1417" w:header="708" w:footer="158" w:gutter="0"/>
          <w:pgNumType w:start="1"/>
          <w:cols w:space="708"/>
          <w:titlePg/>
          <w:docGrid w:linePitch="360"/>
        </w:sectPr>
      </w:pPr>
      <w:r w:rsidRPr="003356BF">
        <w:rPr>
          <w:sz w:val="28"/>
          <w:szCs w:val="28"/>
        </w:rPr>
        <w:t xml:space="preserve">7. Когато с решението за предоставяне на концесия не е определен средногодишен добив за срока на концесията, минималният размер на концесионно плащане се определя </w:t>
      </w:r>
      <w:r w:rsidR="00394BA9" w:rsidRPr="003356BF">
        <w:rPr>
          <w:sz w:val="28"/>
          <w:szCs w:val="28"/>
        </w:rPr>
        <w:t>на базата на 10 сто от</w:t>
      </w:r>
      <w:r w:rsidRPr="003356BF">
        <w:rPr>
          <w:sz w:val="28"/>
          <w:szCs w:val="28"/>
        </w:rPr>
        <w:t xml:space="preserve"> средногодишния добив</w:t>
      </w:r>
      <w:r w:rsidR="00C02B81" w:rsidRPr="003356BF">
        <w:rPr>
          <w:sz w:val="28"/>
          <w:szCs w:val="28"/>
        </w:rPr>
        <w:t>,</w:t>
      </w:r>
      <w:r w:rsidRPr="003356BF">
        <w:rPr>
          <w:sz w:val="28"/>
          <w:szCs w:val="28"/>
        </w:rPr>
        <w:t xml:space="preserve"> </w:t>
      </w:r>
      <w:r w:rsidR="00DB7C9D" w:rsidRPr="003356BF">
        <w:rPr>
          <w:sz w:val="28"/>
          <w:szCs w:val="28"/>
        </w:rPr>
        <w:t xml:space="preserve">предвиден със </w:t>
      </w:r>
      <w:r w:rsidRPr="003356BF">
        <w:rPr>
          <w:sz w:val="28"/>
          <w:szCs w:val="28"/>
        </w:rPr>
        <w:t>съгласувания цялостен работен проект за добив и първична преработка на подземни богатства.</w:t>
      </w:r>
    </w:p>
    <w:p w14:paraId="0F44C35C" w14:textId="77777777" w:rsidR="00105472" w:rsidRPr="00F14D07" w:rsidRDefault="00105472" w:rsidP="008A6F7E">
      <w:pPr>
        <w:spacing w:line="360" w:lineRule="auto"/>
        <w:jc w:val="right"/>
        <w:rPr>
          <w:b/>
          <w:bCs/>
          <w:color w:val="000000"/>
        </w:rPr>
      </w:pPr>
      <w:r w:rsidRPr="00F14D07">
        <w:rPr>
          <w:b/>
          <w:bCs/>
          <w:color w:val="000000"/>
        </w:rPr>
        <w:lastRenderedPageBreak/>
        <w:t xml:space="preserve">Приложение № </w:t>
      </w:r>
      <w:r w:rsidR="00F37703" w:rsidRPr="00F14D07">
        <w:rPr>
          <w:b/>
          <w:bCs/>
          <w:color w:val="000000"/>
        </w:rPr>
        <w:t xml:space="preserve">4 </w:t>
      </w:r>
      <w:r w:rsidRPr="00F14D07">
        <w:rPr>
          <w:b/>
          <w:bCs/>
          <w:color w:val="000000"/>
        </w:rPr>
        <w:t xml:space="preserve">към чл. </w:t>
      </w:r>
      <w:r w:rsidR="00F37703" w:rsidRPr="00F14D07">
        <w:rPr>
          <w:b/>
          <w:bCs/>
          <w:color w:val="000000"/>
        </w:rPr>
        <w:t>1</w:t>
      </w:r>
      <w:r w:rsidR="00A10E82" w:rsidRPr="00F14D07">
        <w:rPr>
          <w:b/>
          <w:bCs/>
          <w:color w:val="000000"/>
        </w:rPr>
        <w:t>2</w:t>
      </w:r>
    </w:p>
    <w:p w14:paraId="5C0752D9" w14:textId="77777777" w:rsidR="000F23A3" w:rsidRPr="003356BF" w:rsidRDefault="000F23A3" w:rsidP="009B5172">
      <w:pPr>
        <w:spacing w:line="360" w:lineRule="auto"/>
        <w:jc w:val="center"/>
        <w:divId w:val="1037051923"/>
        <w:rPr>
          <w:b/>
          <w:bCs/>
          <w:color w:val="000000"/>
          <w:sz w:val="28"/>
          <w:szCs w:val="28"/>
        </w:rPr>
      </w:pPr>
    </w:p>
    <w:p w14:paraId="2002320A" w14:textId="77081F38" w:rsidR="00105472" w:rsidRPr="003356BF" w:rsidRDefault="00633A4D" w:rsidP="009B5172">
      <w:pPr>
        <w:spacing w:line="360" w:lineRule="auto"/>
        <w:jc w:val="center"/>
        <w:divId w:val="1037051923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>Конкретен, включително минимален</w:t>
      </w:r>
      <w:r w:rsidR="00F14D07">
        <w:rPr>
          <w:b/>
          <w:bCs/>
          <w:color w:val="000000"/>
          <w:sz w:val="28"/>
          <w:szCs w:val="28"/>
        </w:rPr>
        <w:t>,</w:t>
      </w:r>
      <w:r w:rsidRPr="003356BF">
        <w:rPr>
          <w:b/>
          <w:bCs/>
          <w:color w:val="000000"/>
          <w:sz w:val="28"/>
          <w:szCs w:val="28"/>
        </w:rPr>
        <w:t xml:space="preserve"> размер </w:t>
      </w:r>
      <w:r w:rsidR="00105472" w:rsidRPr="003356BF">
        <w:rPr>
          <w:b/>
          <w:bCs/>
          <w:color w:val="000000"/>
          <w:sz w:val="28"/>
          <w:szCs w:val="28"/>
        </w:rPr>
        <w:t>на концесионното</w:t>
      </w:r>
    </w:p>
    <w:p w14:paraId="0F466FFE" w14:textId="77777777" w:rsidR="00105472" w:rsidRPr="003356BF" w:rsidRDefault="00EE44A1" w:rsidP="009B5172">
      <w:pPr>
        <w:spacing w:line="360" w:lineRule="auto"/>
        <w:jc w:val="center"/>
        <w:divId w:val="1037051904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>плащане</w:t>
      </w:r>
      <w:r w:rsidR="00105472" w:rsidRPr="003356BF">
        <w:rPr>
          <w:b/>
          <w:bCs/>
          <w:color w:val="000000"/>
          <w:sz w:val="28"/>
          <w:szCs w:val="28"/>
        </w:rPr>
        <w:t xml:space="preserve"> за добив на твърди горива</w:t>
      </w:r>
    </w:p>
    <w:p w14:paraId="1C432C42" w14:textId="77777777" w:rsidR="000F23A3" w:rsidRPr="003356BF" w:rsidRDefault="000F23A3" w:rsidP="009B5172">
      <w:pPr>
        <w:spacing w:line="360" w:lineRule="auto"/>
        <w:jc w:val="center"/>
        <w:divId w:val="1037051904"/>
        <w:rPr>
          <w:b/>
          <w:bCs/>
          <w:color w:val="000000"/>
          <w:sz w:val="28"/>
          <w:szCs w:val="28"/>
        </w:rPr>
      </w:pPr>
    </w:p>
    <w:p w14:paraId="5805904E" w14:textId="77777777" w:rsidR="00105472" w:rsidRPr="003356BF" w:rsidRDefault="003C0826" w:rsidP="0033395A">
      <w:pPr>
        <w:spacing w:line="360" w:lineRule="auto"/>
        <w:ind w:firstLine="708"/>
        <w:jc w:val="both"/>
        <w:divId w:val="1037051977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</w:t>
      </w:r>
      <w:r w:rsidR="00105472" w:rsidRPr="003356BF">
        <w:rPr>
          <w:color w:val="000000"/>
          <w:sz w:val="28"/>
          <w:szCs w:val="28"/>
        </w:rPr>
        <w:t xml:space="preserve">. Размерът на 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="00105472" w:rsidRPr="003356BF">
        <w:rPr>
          <w:color w:val="000000"/>
          <w:sz w:val="28"/>
          <w:szCs w:val="28"/>
        </w:rPr>
        <w:t xml:space="preserve"> за добив на твърди горива се определя като процент от общия приход от</w:t>
      </w:r>
      <w:r w:rsidR="00CD6B7B" w:rsidRPr="003356BF">
        <w:rPr>
          <w:color w:val="000000"/>
          <w:sz w:val="28"/>
          <w:szCs w:val="28"/>
        </w:rPr>
        <w:t xml:space="preserve"> </w:t>
      </w:r>
      <w:r w:rsidR="00105472" w:rsidRPr="003356BF">
        <w:rPr>
          <w:color w:val="000000"/>
          <w:sz w:val="28"/>
          <w:szCs w:val="28"/>
        </w:rPr>
        <w:t>дейността, свързана с обекта на концесия, чрез скала</w:t>
      </w:r>
      <w:r w:rsidR="00CD6B7B" w:rsidRPr="003356BF">
        <w:rPr>
          <w:color w:val="000000"/>
          <w:sz w:val="28"/>
          <w:szCs w:val="28"/>
        </w:rPr>
        <w:t xml:space="preserve"> </w:t>
      </w:r>
      <w:r w:rsidR="00105472" w:rsidRPr="003356BF">
        <w:rPr>
          <w:color w:val="000000"/>
          <w:sz w:val="28"/>
          <w:szCs w:val="28"/>
        </w:rPr>
        <w:t>на R-фактор.</w:t>
      </w:r>
    </w:p>
    <w:p w14:paraId="687DE03E" w14:textId="77777777" w:rsidR="00105472" w:rsidRPr="003356BF" w:rsidRDefault="003C0826" w:rsidP="0033395A">
      <w:pPr>
        <w:spacing w:line="360" w:lineRule="auto"/>
        <w:ind w:firstLine="708"/>
        <w:jc w:val="both"/>
        <w:divId w:val="103705184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2</w:t>
      </w:r>
      <w:r w:rsidR="00105472" w:rsidRPr="003356BF">
        <w:rPr>
          <w:color w:val="000000"/>
          <w:sz w:val="28"/>
          <w:szCs w:val="28"/>
        </w:rPr>
        <w:t>. Формулата за изчисляване на R-фактора е:</w:t>
      </w:r>
    </w:p>
    <w:p w14:paraId="4010978B" w14:textId="77777777" w:rsidR="00105472" w:rsidRPr="003356BF" w:rsidRDefault="00105472" w:rsidP="0033395A">
      <w:pPr>
        <w:spacing w:line="360" w:lineRule="auto"/>
        <w:ind w:firstLine="708"/>
        <w:jc w:val="both"/>
        <w:divId w:val="1037051950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R-фактор = ОКП / ОКР,</w:t>
      </w:r>
      <w:r w:rsidR="00CD6B7B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>където:</w:t>
      </w:r>
    </w:p>
    <w:p w14:paraId="57929459" w14:textId="77777777" w:rsidR="00105472" w:rsidRPr="003356BF" w:rsidRDefault="00105472" w:rsidP="0033395A">
      <w:pPr>
        <w:spacing w:line="360" w:lineRule="auto"/>
        <w:ind w:firstLine="708"/>
        <w:jc w:val="both"/>
        <w:divId w:val="1037051888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ОКП е размерът на общите кумулативни приходи от дейността, свързана с</w:t>
      </w:r>
      <w:r w:rsidR="00CD6B7B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>обекта на концесия, за всички отчетни периоди</w:t>
      </w:r>
      <w:r w:rsidR="00B01779" w:rsidRPr="003356BF">
        <w:rPr>
          <w:color w:val="000000"/>
          <w:sz w:val="28"/>
          <w:szCs w:val="28"/>
        </w:rPr>
        <w:t>, намален със заплатените концесионни възнаграждения</w:t>
      </w:r>
      <w:r w:rsidRPr="003356BF">
        <w:rPr>
          <w:color w:val="000000"/>
          <w:sz w:val="28"/>
          <w:szCs w:val="28"/>
        </w:rPr>
        <w:t>;</w:t>
      </w:r>
    </w:p>
    <w:p w14:paraId="2D5206E8" w14:textId="1C640565" w:rsidR="00105472" w:rsidRPr="003356BF" w:rsidRDefault="00105472" w:rsidP="0033395A">
      <w:pPr>
        <w:spacing w:line="360" w:lineRule="auto"/>
        <w:ind w:firstLine="708"/>
        <w:jc w:val="both"/>
        <w:divId w:val="1037051912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ОКР </w:t>
      </w:r>
      <w:r w:rsidR="001D7F5F">
        <w:rPr>
          <w:color w:val="000000"/>
          <w:sz w:val="28"/>
          <w:szCs w:val="28"/>
        </w:rPr>
        <w:t>е</w:t>
      </w:r>
      <w:r w:rsidRPr="003356BF">
        <w:rPr>
          <w:color w:val="000000"/>
          <w:sz w:val="28"/>
          <w:szCs w:val="28"/>
        </w:rPr>
        <w:t xml:space="preserve"> размерът на общите кумулативни разходи по дейността, свързана с</w:t>
      </w:r>
      <w:r w:rsidR="00CD6B7B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>обекта на концесия (търсене, проучване, оценяване, разработване,</w:t>
      </w:r>
      <w:r w:rsidR="00CD6B7B" w:rsidRPr="003356BF">
        <w:rPr>
          <w:color w:val="000000"/>
          <w:sz w:val="28"/>
          <w:szCs w:val="28"/>
        </w:rPr>
        <w:t xml:space="preserve"> </w:t>
      </w:r>
      <w:r w:rsidRPr="003356BF">
        <w:rPr>
          <w:color w:val="000000"/>
          <w:sz w:val="28"/>
          <w:szCs w:val="28"/>
        </w:rPr>
        <w:t>експлоатация), за всички отчетни периоди</w:t>
      </w:r>
      <w:r w:rsidR="00B01779" w:rsidRPr="003356BF">
        <w:rPr>
          <w:color w:val="000000"/>
          <w:sz w:val="28"/>
          <w:szCs w:val="28"/>
        </w:rPr>
        <w:t>, като не се включват заплатените концесионни възнаграждения.</w:t>
      </w:r>
    </w:p>
    <w:p w14:paraId="3EDFAD53" w14:textId="77777777" w:rsidR="00105472" w:rsidRPr="003356BF" w:rsidRDefault="003C0826" w:rsidP="00E50A78">
      <w:pPr>
        <w:spacing w:line="360" w:lineRule="auto"/>
        <w:ind w:firstLine="708"/>
        <w:jc w:val="both"/>
        <w:divId w:val="1037051947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3</w:t>
      </w:r>
      <w:r w:rsidR="00105472" w:rsidRPr="003356BF">
        <w:rPr>
          <w:color w:val="000000"/>
          <w:sz w:val="28"/>
          <w:szCs w:val="28"/>
        </w:rPr>
        <w:t>. Изчисленият R-фактор се прилага при определяне процента на</w:t>
      </w:r>
      <w:r w:rsidR="00CD6B7B" w:rsidRPr="003356BF">
        <w:rPr>
          <w:color w:val="000000"/>
          <w:sz w:val="28"/>
          <w:szCs w:val="28"/>
        </w:rPr>
        <w:t xml:space="preserve"> </w:t>
      </w:r>
      <w:r w:rsidR="00105472" w:rsidRPr="003356BF">
        <w:rPr>
          <w:color w:val="000000"/>
          <w:sz w:val="28"/>
          <w:szCs w:val="28"/>
        </w:rPr>
        <w:t xml:space="preserve">концесионното </w:t>
      </w:r>
      <w:r w:rsidR="00EE44A1" w:rsidRPr="003356BF">
        <w:rPr>
          <w:color w:val="000000"/>
          <w:sz w:val="28"/>
          <w:szCs w:val="28"/>
        </w:rPr>
        <w:t>плащане</w:t>
      </w:r>
      <w:r w:rsidR="00105472" w:rsidRPr="003356BF">
        <w:rPr>
          <w:color w:val="000000"/>
          <w:sz w:val="28"/>
          <w:szCs w:val="28"/>
        </w:rPr>
        <w:t xml:space="preserve"> в следните граници:</w:t>
      </w:r>
    </w:p>
    <w:tbl>
      <w:tblPr>
        <w:tblW w:w="6870" w:type="dxa"/>
        <w:tblCellSpacing w:w="7" w:type="dxa"/>
        <w:tblInd w:w="8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5"/>
        <w:gridCol w:w="1855"/>
        <w:gridCol w:w="2114"/>
        <w:gridCol w:w="2066"/>
      </w:tblGrid>
      <w:tr w:rsidR="00105472" w:rsidRPr="003356BF" w14:paraId="5750A859" w14:textId="77777777" w:rsidTr="001C3B0D">
        <w:trPr>
          <w:divId w:val="1037051974"/>
          <w:tblCellSpacing w:w="7" w:type="dxa"/>
        </w:trPr>
        <w:tc>
          <w:tcPr>
            <w:tcW w:w="194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092817" w14:textId="77777777" w:rsidR="00105472" w:rsidRPr="003356BF" w:rsidRDefault="00105472" w:rsidP="009B5172">
            <w:pPr>
              <w:pStyle w:val="c2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R-фактор </w:t>
            </w:r>
          </w:p>
        </w:tc>
        <w:tc>
          <w:tcPr>
            <w:tcW w:w="302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53B327" w14:textId="77777777" w:rsidR="00105472" w:rsidRPr="003356BF" w:rsidRDefault="00105472" w:rsidP="000F23A3">
            <w:pPr>
              <w:pStyle w:val="c2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Процент на концесионното </w:t>
            </w:r>
          </w:p>
          <w:p w14:paraId="4E0CACDE" w14:textId="77777777" w:rsidR="00105472" w:rsidRPr="003356BF" w:rsidRDefault="00EE44A1" w:rsidP="000F23A3">
            <w:pPr>
              <w:pStyle w:val="c2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плащане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 съгласно </w:t>
            </w:r>
            <w:r w:rsidR="000F23A3" w:rsidRPr="003356BF">
              <w:rPr>
                <w:color w:val="000000"/>
                <w:sz w:val="28"/>
                <w:szCs w:val="28"/>
              </w:rPr>
              <w:t>т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. 1 </w:t>
            </w:r>
          </w:p>
        </w:tc>
      </w:tr>
      <w:tr w:rsidR="00105472" w:rsidRPr="003356BF" w14:paraId="744B206A" w14:textId="77777777" w:rsidTr="004A4967">
        <w:trPr>
          <w:divId w:val="1037051974"/>
          <w:trHeight w:val="339"/>
          <w:tblCellSpacing w:w="7" w:type="dxa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574728" w14:textId="77777777" w:rsidR="00105472" w:rsidRPr="003356BF" w:rsidRDefault="00105472" w:rsidP="009B5172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&lt; 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51A7CA" w14:textId="77777777" w:rsidR="00105472" w:rsidRPr="003356BF" w:rsidRDefault="00105472" w:rsidP="009B5172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1,00 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9EDD8E" w14:textId="77777777" w:rsidR="00105472" w:rsidRPr="003356BF" w:rsidRDefault="004E57C8" w:rsidP="009B5172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2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,0% 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A65D03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</w:tr>
      <w:tr w:rsidR="00105472" w:rsidRPr="003356BF" w14:paraId="20FB0DDD" w14:textId="77777777" w:rsidTr="001C3B0D">
        <w:trPr>
          <w:divId w:val="1037051974"/>
          <w:tblCellSpacing w:w="7" w:type="dxa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278B08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0D6395" w14:textId="77777777" w:rsidR="00105472" w:rsidRPr="003356BF" w:rsidRDefault="00105472" w:rsidP="009B5172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1,00-</w:t>
            </w:r>
            <w:r w:rsidR="00065C40" w:rsidRPr="003356BF">
              <w:rPr>
                <w:color w:val="000000"/>
                <w:sz w:val="28"/>
                <w:szCs w:val="28"/>
              </w:rPr>
              <w:t>1,49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B23561" w14:textId="77777777" w:rsidR="00105472" w:rsidRPr="003356BF" w:rsidRDefault="004E57C8" w:rsidP="009B5172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3</w:t>
            </w:r>
            <w:r w:rsidR="00EF0674" w:rsidRPr="003356BF">
              <w:rPr>
                <w:color w:val="000000"/>
                <w:sz w:val="28"/>
                <w:szCs w:val="28"/>
              </w:rPr>
              <w:t>,0%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B69EE8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</w:tr>
      <w:tr w:rsidR="00105472" w:rsidRPr="003356BF" w14:paraId="2CC5838B" w14:textId="77777777" w:rsidTr="001C3B0D">
        <w:trPr>
          <w:divId w:val="1037051974"/>
          <w:tblCellSpacing w:w="7" w:type="dxa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4F9A1F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D87200" w14:textId="77777777" w:rsidR="00105472" w:rsidRPr="003356BF" w:rsidRDefault="00105472" w:rsidP="00065C40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1,50- </w:t>
            </w:r>
            <w:r w:rsidR="00065C40" w:rsidRPr="003356BF">
              <w:rPr>
                <w:color w:val="000000"/>
                <w:sz w:val="28"/>
                <w:szCs w:val="28"/>
              </w:rPr>
              <w:t>1,99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9A4291" w14:textId="77777777" w:rsidR="00105472" w:rsidRPr="003356BF" w:rsidRDefault="004E57C8" w:rsidP="009B5172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4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,0% 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F882F9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</w:tr>
      <w:tr w:rsidR="00105472" w:rsidRPr="003356BF" w14:paraId="2BFC9B5A" w14:textId="77777777" w:rsidTr="001C3B0D">
        <w:trPr>
          <w:divId w:val="1037051974"/>
          <w:tblCellSpacing w:w="7" w:type="dxa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54335B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42E4F4" w14:textId="77777777" w:rsidR="00105472" w:rsidRPr="003356BF" w:rsidRDefault="00105472" w:rsidP="009B5172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2,00-</w:t>
            </w:r>
            <w:r w:rsidR="00065C40" w:rsidRPr="003356BF">
              <w:rPr>
                <w:color w:val="000000"/>
                <w:sz w:val="28"/>
                <w:szCs w:val="28"/>
              </w:rPr>
              <w:t>2,49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5635A4" w14:textId="77777777" w:rsidR="00105472" w:rsidRPr="003356BF" w:rsidRDefault="004E57C8" w:rsidP="004E57C8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6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,0% 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54959E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</w:tr>
      <w:tr w:rsidR="00105472" w:rsidRPr="003356BF" w14:paraId="53918D92" w14:textId="77777777" w:rsidTr="001C3B0D">
        <w:trPr>
          <w:divId w:val="1037051974"/>
          <w:tblCellSpacing w:w="7" w:type="dxa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9414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9D8894" w14:textId="77777777" w:rsidR="00105472" w:rsidRPr="003356BF" w:rsidRDefault="00105472" w:rsidP="004E5084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2,50-</w:t>
            </w:r>
            <w:r w:rsidR="004E5084" w:rsidRPr="003356BF">
              <w:rPr>
                <w:color w:val="000000"/>
                <w:sz w:val="28"/>
                <w:szCs w:val="28"/>
              </w:rPr>
              <w:t>2,99</w:t>
            </w:r>
            <w:r w:rsidRPr="003356B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8D49EA" w14:textId="77777777" w:rsidR="00105472" w:rsidRPr="003356BF" w:rsidRDefault="004E57C8" w:rsidP="004E57C8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8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,0% 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598009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</w:tr>
      <w:tr w:rsidR="00105472" w:rsidRPr="003356BF" w14:paraId="63AE65CC" w14:textId="77777777" w:rsidTr="001C3B0D">
        <w:trPr>
          <w:divId w:val="1037051974"/>
          <w:tblCellSpacing w:w="7" w:type="dxa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0EBA4" w14:textId="77777777" w:rsidR="00105472" w:rsidRPr="003356BF" w:rsidRDefault="00105472" w:rsidP="009B5172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&gt; 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8C9EA2" w14:textId="77777777" w:rsidR="00105472" w:rsidRPr="003356BF" w:rsidRDefault="00105472" w:rsidP="009B5172">
            <w:pPr>
              <w:pStyle w:val="Norma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3,00 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AEA590" w14:textId="77777777" w:rsidR="00105472" w:rsidRPr="003356BF" w:rsidRDefault="004E57C8" w:rsidP="00EF0674">
            <w:pPr>
              <w:pStyle w:val="c1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>1</w:t>
            </w:r>
            <w:r w:rsidR="00EF0674" w:rsidRPr="003356BF">
              <w:rPr>
                <w:color w:val="000000"/>
                <w:sz w:val="28"/>
                <w:szCs w:val="28"/>
              </w:rPr>
              <w:t>0</w:t>
            </w:r>
            <w:r w:rsidR="00105472" w:rsidRPr="003356BF">
              <w:rPr>
                <w:color w:val="000000"/>
                <w:sz w:val="28"/>
                <w:szCs w:val="28"/>
              </w:rPr>
              <w:t xml:space="preserve">,0% 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1250B2" w14:textId="77777777" w:rsidR="00105472" w:rsidRPr="003356BF" w:rsidRDefault="00105472" w:rsidP="009B517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56BF">
              <w:rPr>
                <w:color w:val="000000"/>
                <w:sz w:val="28"/>
                <w:szCs w:val="28"/>
              </w:rPr>
              <w:t xml:space="preserve">  </w:t>
            </w:r>
          </w:p>
        </w:tc>
      </w:tr>
    </w:tbl>
    <w:p w14:paraId="34843899" w14:textId="77777777" w:rsidR="004E57C8" w:rsidRPr="003356BF" w:rsidRDefault="000226AD" w:rsidP="003D7C99">
      <w:pPr>
        <w:spacing w:line="360" w:lineRule="auto"/>
        <w:ind w:firstLine="708"/>
        <w:jc w:val="both"/>
        <w:divId w:val="1037051836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lastRenderedPageBreak/>
        <w:t>4.</w:t>
      </w:r>
      <w:r w:rsidR="00952CAD" w:rsidRPr="003356BF">
        <w:rPr>
          <w:color w:val="000000"/>
          <w:sz w:val="28"/>
          <w:szCs w:val="28"/>
        </w:rPr>
        <w:t xml:space="preserve"> </w:t>
      </w:r>
      <w:r w:rsidR="004E57C8" w:rsidRPr="003356BF">
        <w:rPr>
          <w:color w:val="000000"/>
          <w:sz w:val="28"/>
          <w:szCs w:val="28"/>
        </w:rPr>
        <w:t xml:space="preserve">Концесионното </w:t>
      </w:r>
      <w:r w:rsidR="007F4DF4" w:rsidRPr="003356BF">
        <w:rPr>
          <w:color w:val="000000"/>
          <w:sz w:val="28"/>
          <w:szCs w:val="28"/>
        </w:rPr>
        <w:t xml:space="preserve">плащане </w:t>
      </w:r>
      <w:r w:rsidR="004E57C8" w:rsidRPr="003356BF">
        <w:rPr>
          <w:color w:val="000000"/>
          <w:sz w:val="28"/>
          <w:szCs w:val="28"/>
        </w:rPr>
        <w:t>се заплаща като процент от общия приход от добитите през отчетния период твърди горива</w:t>
      </w:r>
      <w:r w:rsidR="0024558A" w:rsidRPr="003356BF">
        <w:rPr>
          <w:color w:val="000000"/>
          <w:sz w:val="28"/>
          <w:szCs w:val="28"/>
        </w:rPr>
        <w:t>, доведени до търговски продукт</w:t>
      </w:r>
      <w:r w:rsidR="004E57C8" w:rsidRPr="003356BF">
        <w:rPr>
          <w:color w:val="000000"/>
          <w:sz w:val="28"/>
          <w:szCs w:val="28"/>
        </w:rPr>
        <w:t>.</w:t>
      </w:r>
    </w:p>
    <w:p w14:paraId="4F7C183A" w14:textId="2769E43F" w:rsidR="000226AD" w:rsidRPr="003356BF" w:rsidRDefault="004E57C8" w:rsidP="003D7C99">
      <w:pPr>
        <w:spacing w:line="360" w:lineRule="auto"/>
        <w:ind w:firstLine="708"/>
        <w:jc w:val="both"/>
        <w:divId w:val="1037051836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5. </w:t>
      </w:r>
      <w:r w:rsidR="00725935" w:rsidRPr="003356BF">
        <w:rPr>
          <w:color w:val="000000"/>
          <w:sz w:val="28"/>
          <w:szCs w:val="28"/>
        </w:rPr>
        <w:t>Минималният размер на дължимото годишно концесионно плащане не може да бъде по-нисък от</w:t>
      </w:r>
      <w:r w:rsidR="00DD3283" w:rsidRPr="003356BF">
        <w:rPr>
          <w:color w:val="000000"/>
          <w:sz w:val="28"/>
          <w:szCs w:val="28"/>
        </w:rPr>
        <w:t xml:space="preserve"> </w:t>
      </w:r>
      <w:r w:rsidR="00ED6DE2" w:rsidRPr="003356BF">
        <w:rPr>
          <w:color w:val="000000"/>
          <w:sz w:val="28"/>
          <w:szCs w:val="28"/>
        </w:rPr>
        <w:t xml:space="preserve"> стойността</w:t>
      </w:r>
      <w:r w:rsidR="00725935" w:rsidRPr="003356BF">
        <w:rPr>
          <w:color w:val="000000"/>
          <w:sz w:val="28"/>
          <w:szCs w:val="28"/>
        </w:rPr>
        <w:t xml:space="preserve">, определена на базата на </w:t>
      </w:r>
      <w:r w:rsidRPr="003356BF">
        <w:rPr>
          <w:color w:val="000000"/>
          <w:sz w:val="28"/>
          <w:szCs w:val="28"/>
        </w:rPr>
        <w:t>1</w:t>
      </w:r>
      <w:r w:rsidR="00725935" w:rsidRPr="003356BF">
        <w:rPr>
          <w:color w:val="000000"/>
          <w:sz w:val="28"/>
          <w:szCs w:val="28"/>
        </w:rPr>
        <w:t>0 на сто от предвидения</w:t>
      </w:r>
      <w:r w:rsidR="00ED6DE2" w:rsidRPr="003356BF">
        <w:rPr>
          <w:color w:val="000000"/>
          <w:sz w:val="28"/>
          <w:szCs w:val="28"/>
        </w:rPr>
        <w:t xml:space="preserve"> </w:t>
      </w:r>
      <w:r w:rsidR="00725935" w:rsidRPr="003356BF">
        <w:rPr>
          <w:color w:val="000000"/>
          <w:sz w:val="28"/>
          <w:szCs w:val="28"/>
        </w:rPr>
        <w:t>средногодишен добив за срока на концесията</w:t>
      </w:r>
      <w:r w:rsidR="00ED6DE2" w:rsidRPr="003356BF">
        <w:rPr>
          <w:color w:val="000000"/>
          <w:sz w:val="28"/>
          <w:szCs w:val="28"/>
        </w:rPr>
        <w:t>,</w:t>
      </w:r>
      <w:r w:rsidR="00725935" w:rsidRPr="003356BF">
        <w:rPr>
          <w:color w:val="000000"/>
          <w:sz w:val="28"/>
          <w:szCs w:val="28"/>
        </w:rPr>
        <w:t xml:space="preserve">  минималния процент на концесионното плащане съгласно </w:t>
      </w:r>
      <w:r w:rsidR="00C97334" w:rsidRPr="003356BF">
        <w:rPr>
          <w:color w:val="000000"/>
          <w:sz w:val="28"/>
          <w:szCs w:val="28"/>
        </w:rPr>
        <w:t>т. 3</w:t>
      </w:r>
      <w:r w:rsidR="00ED6DE2" w:rsidRPr="003356BF">
        <w:rPr>
          <w:color w:val="000000"/>
          <w:sz w:val="28"/>
          <w:szCs w:val="28"/>
        </w:rPr>
        <w:t xml:space="preserve"> и </w:t>
      </w:r>
      <w:r w:rsidR="0001470F" w:rsidRPr="003356BF">
        <w:rPr>
          <w:sz w:val="28"/>
          <w:szCs w:val="28"/>
        </w:rPr>
        <w:t>средно</w:t>
      </w:r>
      <w:r w:rsidR="00ED6DE2" w:rsidRPr="003356BF">
        <w:rPr>
          <w:sz w:val="28"/>
          <w:szCs w:val="28"/>
        </w:rPr>
        <w:t xml:space="preserve">претеглената продажна цена на добитото подземно богатство за съответния период, която се определя на основата на данни, предоставени от концесионера, но не </w:t>
      </w:r>
      <w:r w:rsidR="001D7F5F">
        <w:rPr>
          <w:sz w:val="28"/>
          <w:szCs w:val="28"/>
        </w:rPr>
        <w:br/>
      </w:r>
      <w:r w:rsidR="00ED6DE2" w:rsidRPr="003356BF">
        <w:rPr>
          <w:sz w:val="28"/>
          <w:szCs w:val="28"/>
        </w:rPr>
        <w:t>по-ниска от пазарната цена, определена на база</w:t>
      </w:r>
      <w:r w:rsidR="001D7F5F">
        <w:rPr>
          <w:sz w:val="28"/>
          <w:szCs w:val="28"/>
        </w:rPr>
        <w:t>та на</w:t>
      </w:r>
      <w:r w:rsidR="00ED6DE2" w:rsidRPr="003356BF">
        <w:rPr>
          <w:sz w:val="28"/>
          <w:szCs w:val="28"/>
        </w:rPr>
        <w:t xml:space="preserve"> неконтролирани сделки между несвързани лица</w:t>
      </w:r>
      <w:r w:rsidR="000F3B73">
        <w:rPr>
          <w:color w:val="000000"/>
          <w:sz w:val="28"/>
          <w:szCs w:val="28"/>
        </w:rPr>
        <w:t>.</w:t>
      </w:r>
    </w:p>
    <w:p w14:paraId="66BA5052" w14:textId="77777777" w:rsidR="00CD6B7B" w:rsidRPr="003356BF" w:rsidRDefault="004E57C8" w:rsidP="00E50A7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6</w:t>
      </w:r>
      <w:r w:rsidR="000226AD" w:rsidRPr="003356BF">
        <w:rPr>
          <w:color w:val="000000"/>
          <w:sz w:val="28"/>
          <w:szCs w:val="28"/>
        </w:rPr>
        <w:t>.</w:t>
      </w:r>
      <w:r w:rsidR="00952CAD" w:rsidRPr="003356BF">
        <w:rPr>
          <w:color w:val="000000"/>
          <w:sz w:val="28"/>
          <w:szCs w:val="28"/>
        </w:rPr>
        <w:t xml:space="preserve"> Средногодишният добив по </w:t>
      </w:r>
      <w:r w:rsidR="00C97334" w:rsidRPr="003356BF">
        <w:rPr>
          <w:color w:val="000000"/>
          <w:sz w:val="28"/>
          <w:szCs w:val="28"/>
        </w:rPr>
        <w:t xml:space="preserve">т. </w:t>
      </w:r>
      <w:r w:rsidRPr="003356BF">
        <w:rPr>
          <w:color w:val="000000"/>
          <w:sz w:val="28"/>
          <w:szCs w:val="28"/>
        </w:rPr>
        <w:t>5</w:t>
      </w:r>
      <w:r w:rsidR="00952CAD" w:rsidRPr="003356BF">
        <w:rPr>
          <w:color w:val="000000"/>
          <w:sz w:val="28"/>
          <w:szCs w:val="28"/>
        </w:rPr>
        <w:t xml:space="preserve"> се определя с предложението за предоставяне на концесия въз основа на финансово-икономическия анализ или обосновка.</w:t>
      </w:r>
    </w:p>
    <w:p w14:paraId="14A83F2C" w14:textId="77777777" w:rsidR="001265A5" w:rsidRPr="003356BF" w:rsidRDefault="001265A5" w:rsidP="001265A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356BF">
        <w:rPr>
          <w:sz w:val="28"/>
          <w:szCs w:val="28"/>
        </w:rPr>
        <w:t xml:space="preserve">7. Когато с решението за предоставяне на концесия не е определен средногодишен добив за срока на концесията,  минималният размер на концесионно плащане се определя </w:t>
      </w:r>
      <w:r w:rsidR="00A65D4C" w:rsidRPr="003356BF">
        <w:rPr>
          <w:sz w:val="28"/>
          <w:szCs w:val="28"/>
        </w:rPr>
        <w:t xml:space="preserve">на базата на 10 на сто </w:t>
      </w:r>
      <w:r w:rsidRPr="003356BF">
        <w:rPr>
          <w:sz w:val="28"/>
          <w:szCs w:val="28"/>
        </w:rPr>
        <w:t xml:space="preserve"> </w:t>
      </w:r>
      <w:r w:rsidR="00A65D4C" w:rsidRPr="003356BF">
        <w:rPr>
          <w:sz w:val="28"/>
          <w:szCs w:val="28"/>
        </w:rPr>
        <w:t xml:space="preserve">от </w:t>
      </w:r>
      <w:r w:rsidRPr="003356BF">
        <w:rPr>
          <w:sz w:val="28"/>
          <w:szCs w:val="28"/>
        </w:rPr>
        <w:t>средногодишния добив</w:t>
      </w:r>
      <w:r w:rsidR="00C02B81" w:rsidRPr="003356BF">
        <w:rPr>
          <w:sz w:val="28"/>
          <w:szCs w:val="28"/>
        </w:rPr>
        <w:t>,</w:t>
      </w:r>
      <w:r w:rsidRPr="003356BF">
        <w:rPr>
          <w:sz w:val="28"/>
          <w:szCs w:val="28"/>
        </w:rPr>
        <w:t xml:space="preserve"> </w:t>
      </w:r>
      <w:r w:rsidR="00A65D4C" w:rsidRPr="003356BF">
        <w:rPr>
          <w:sz w:val="28"/>
          <w:szCs w:val="28"/>
        </w:rPr>
        <w:t xml:space="preserve">предвиден със </w:t>
      </w:r>
      <w:r w:rsidRPr="003356BF">
        <w:rPr>
          <w:sz w:val="28"/>
          <w:szCs w:val="28"/>
        </w:rPr>
        <w:t>съгласувания цялостен работен проект за добив и първична преработка на подземни богатства.</w:t>
      </w:r>
    </w:p>
    <w:p w14:paraId="158C253F" w14:textId="77777777" w:rsidR="001265A5" w:rsidRPr="003356BF" w:rsidRDefault="001265A5" w:rsidP="00E50A7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668FB22E" w14:textId="77777777" w:rsidR="001D7F5F" w:rsidRDefault="001D7F5F" w:rsidP="001C3B0D">
      <w:pPr>
        <w:spacing w:line="360" w:lineRule="auto"/>
        <w:jc w:val="right"/>
        <w:divId w:val="1037051870"/>
        <w:rPr>
          <w:b/>
          <w:bCs/>
          <w:color w:val="000000"/>
          <w:sz w:val="28"/>
          <w:szCs w:val="28"/>
        </w:rPr>
        <w:sectPr w:rsidR="001D7F5F" w:rsidSect="006C2E9D">
          <w:pgSz w:w="11907" w:h="16839"/>
          <w:pgMar w:top="1134" w:right="1417" w:bottom="993" w:left="1417" w:header="708" w:footer="158" w:gutter="0"/>
          <w:pgNumType w:start="1"/>
          <w:cols w:space="708"/>
          <w:titlePg/>
          <w:docGrid w:linePitch="360"/>
        </w:sectPr>
      </w:pPr>
    </w:p>
    <w:p w14:paraId="69C88329" w14:textId="77777777" w:rsidR="000E6A57" w:rsidRPr="003356BF" w:rsidRDefault="000E6A57" w:rsidP="001C3B0D">
      <w:pPr>
        <w:spacing w:line="360" w:lineRule="auto"/>
        <w:jc w:val="right"/>
        <w:divId w:val="1037051870"/>
        <w:rPr>
          <w:b/>
          <w:bCs/>
          <w:color w:val="000000"/>
          <w:sz w:val="28"/>
          <w:szCs w:val="28"/>
        </w:rPr>
      </w:pPr>
    </w:p>
    <w:p w14:paraId="4C5CA29F" w14:textId="77777777" w:rsidR="004C780D" w:rsidRPr="001D7F5F" w:rsidRDefault="004C780D" w:rsidP="001C3B0D">
      <w:pPr>
        <w:spacing w:line="360" w:lineRule="auto"/>
        <w:jc w:val="right"/>
        <w:divId w:val="1037051870"/>
        <w:rPr>
          <w:b/>
          <w:bCs/>
          <w:color w:val="000000"/>
        </w:rPr>
      </w:pPr>
      <w:r w:rsidRPr="001D7F5F">
        <w:rPr>
          <w:b/>
          <w:bCs/>
          <w:color w:val="000000"/>
        </w:rPr>
        <w:t xml:space="preserve">Приложение № </w:t>
      </w:r>
      <w:r w:rsidR="00F37703" w:rsidRPr="001D7F5F">
        <w:rPr>
          <w:b/>
          <w:bCs/>
          <w:color w:val="000000"/>
        </w:rPr>
        <w:t>5</w:t>
      </w:r>
      <w:r w:rsidRPr="001D7F5F">
        <w:rPr>
          <w:b/>
          <w:bCs/>
          <w:color w:val="000000"/>
        </w:rPr>
        <w:t xml:space="preserve"> към чл. 1</w:t>
      </w:r>
      <w:r w:rsidR="00A10E82" w:rsidRPr="001D7F5F">
        <w:rPr>
          <w:b/>
          <w:bCs/>
          <w:color w:val="000000"/>
        </w:rPr>
        <w:t>3</w:t>
      </w:r>
    </w:p>
    <w:p w14:paraId="18D788BA" w14:textId="77777777" w:rsidR="001C3B0D" w:rsidRPr="003356BF" w:rsidRDefault="001C3B0D" w:rsidP="009B5172">
      <w:pPr>
        <w:spacing w:line="360" w:lineRule="auto"/>
        <w:jc w:val="center"/>
        <w:divId w:val="1037051880"/>
        <w:rPr>
          <w:b/>
          <w:bCs/>
          <w:color w:val="000000"/>
          <w:sz w:val="28"/>
          <w:szCs w:val="28"/>
        </w:rPr>
      </w:pPr>
    </w:p>
    <w:p w14:paraId="1FA50EAE" w14:textId="1CA77ADE" w:rsidR="00105472" w:rsidRPr="003356BF" w:rsidRDefault="00633A4D" w:rsidP="009B5172">
      <w:pPr>
        <w:spacing w:line="360" w:lineRule="auto"/>
        <w:jc w:val="center"/>
        <w:divId w:val="1037051880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>Конкретен, включително минимален</w:t>
      </w:r>
      <w:r w:rsidR="001D7F5F">
        <w:rPr>
          <w:b/>
          <w:bCs/>
          <w:color w:val="000000"/>
          <w:sz w:val="28"/>
          <w:szCs w:val="28"/>
        </w:rPr>
        <w:t>,</w:t>
      </w:r>
      <w:r w:rsidRPr="003356BF">
        <w:rPr>
          <w:b/>
          <w:bCs/>
          <w:color w:val="000000"/>
          <w:sz w:val="28"/>
          <w:szCs w:val="28"/>
        </w:rPr>
        <w:t xml:space="preserve"> размер </w:t>
      </w:r>
      <w:r w:rsidR="00105472" w:rsidRPr="003356BF">
        <w:rPr>
          <w:b/>
          <w:bCs/>
          <w:color w:val="000000"/>
          <w:sz w:val="28"/>
          <w:szCs w:val="28"/>
        </w:rPr>
        <w:t>на концесионното</w:t>
      </w:r>
    </w:p>
    <w:p w14:paraId="1A30EB27" w14:textId="77777777" w:rsidR="00105472" w:rsidRPr="003356BF" w:rsidRDefault="00EE44A1" w:rsidP="00E201C3">
      <w:pPr>
        <w:tabs>
          <w:tab w:val="left" w:pos="993"/>
        </w:tabs>
        <w:spacing w:line="360" w:lineRule="auto"/>
        <w:ind w:firstLine="567"/>
        <w:jc w:val="center"/>
        <w:divId w:val="1037051902"/>
        <w:rPr>
          <w:b/>
          <w:bCs/>
          <w:color w:val="000000"/>
          <w:sz w:val="28"/>
          <w:szCs w:val="28"/>
        </w:rPr>
      </w:pPr>
      <w:r w:rsidRPr="003356BF">
        <w:rPr>
          <w:b/>
          <w:bCs/>
          <w:color w:val="000000"/>
          <w:sz w:val="28"/>
          <w:szCs w:val="28"/>
        </w:rPr>
        <w:t>плащане</w:t>
      </w:r>
      <w:r w:rsidR="00105472" w:rsidRPr="003356BF">
        <w:rPr>
          <w:b/>
          <w:bCs/>
          <w:color w:val="000000"/>
          <w:sz w:val="28"/>
          <w:szCs w:val="28"/>
        </w:rPr>
        <w:t xml:space="preserve"> </w:t>
      </w:r>
      <w:r w:rsidR="00E201C3" w:rsidRPr="003356BF">
        <w:rPr>
          <w:b/>
          <w:bCs/>
          <w:color w:val="000000"/>
          <w:sz w:val="28"/>
          <w:szCs w:val="28"/>
        </w:rPr>
        <w:t>за добив на строителни и скално</w:t>
      </w:r>
      <w:r w:rsidR="00105472" w:rsidRPr="003356BF">
        <w:rPr>
          <w:b/>
          <w:bCs/>
          <w:color w:val="000000"/>
          <w:sz w:val="28"/>
          <w:szCs w:val="28"/>
        </w:rPr>
        <w:t>облицовъчни материали</w:t>
      </w:r>
    </w:p>
    <w:p w14:paraId="61B9E4A6" w14:textId="77777777" w:rsidR="001C3B0D" w:rsidRPr="003356BF" w:rsidRDefault="001C3B0D" w:rsidP="009B5172">
      <w:pPr>
        <w:tabs>
          <w:tab w:val="left" w:pos="993"/>
        </w:tabs>
        <w:spacing w:line="360" w:lineRule="auto"/>
        <w:ind w:firstLine="567"/>
        <w:jc w:val="center"/>
        <w:divId w:val="1037051902"/>
        <w:rPr>
          <w:b/>
          <w:bCs/>
          <w:color w:val="000000"/>
          <w:sz w:val="28"/>
          <w:szCs w:val="28"/>
        </w:rPr>
      </w:pPr>
    </w:p>
    <w:p w14:paraId="338597F6" w14:textId="77777777" w:rsidR="00817063" w:rsidRPr="003356BF" w:rsidRDefault="000226AD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3D7C99" w:rsidRPr="003356BF">
        <w:rPr>
          <w:color w:val="000000"/>
          <w:sz w:val="28"/>
          <w:szCs w:val="28"/>
        </w:rPr>
        <w:t xml:space="preserve"> </w:t>
      </w:r>
      <w:r w:rsidR="00817063" w:rsidRPr="003356BF">
        <w:rPr>
          <w:color w:val="000000"/>
          <w:sz w:val="28"/>
          <w:szCs w:val="28"/>
        </w:rPr>
        <w:t xml:space="preserve">Концесионното плащане се определя за единица добито подземно богатство за съответния период, както следва: </w:t>
      </w:r>
    </w:p>
    <w:p w14:paraId="2723822C" w14:textId="7BC5F585" w:rsidR="00817063" w:rsidRPr="003356BF" w:rsidRDefault="000226AD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817063" w:rsidRPr="003356BF">
        <w:rPr>
          <w:color w:val="000000"/>
          <w:sz w:val="28"/>
          <w:szCs w:val="28"/>
        </w:rPr>
        <w:t xml:space="preserve">1. </w:t>
      </w:r>
      <w:r w:rsidR="00557D82" w:rsidRPr="003356BF">
        <w:rPr>
          <w:color w:val="000000"/>
          <w:sz w:val="28"/>
          <w:szCs w:val="28"/>
        </w:rPr>
        <w:t>З</w:t>
      </w:r>
      <w:r w:rsidR="00817063" w:rsidRPr="003356BF">
        <w:rPr>
          <w:color w:val="000000"/>
          <w:sz w:val="28"/>
          <w:szCs w:val="28"/>
        </w:rPr>
        <w:t xml:space="preserve">а строителните материали процентният размер на концесионното плащане (ПКП) е </w:t>
      </w:r>
      <w:r w:rsidR="00BC6D7C" w:rsidRPr="003356BF">
        <w:rPr>
          <w:color w:val="000000"/>
          <w:sz w:val="28"/>
          <w:szCs w:val="28"/>
        </w:rPr>
        <w:t>7</w:t>
      </w:r>
      <w:r w:rsidR="00817063" w:rsidRPr="003356BF">
        <w:rPr>
          <w:color w:val="000000"/>
          <w:sz w:val="28"/>
          <w:szCs w:val="28"/>
        </w:rPr>
        <w:t xml:space="preserve"> на сто от базата за изчисляване на концесионното </w:t>
      </w:r>
      <w:r w:rsidR="00321302" w:rsidRPr="003356BF">
        <w:rPr>
          <w:color w:val="000000"/>
          <w:sz w:val="28"/>
          <w:szCs w:val="28"/>
        </w:rPr>
        <w:t xml:space="preserve">плащане </w:t>
      </w:r>
      <w:r w:rsidR="00817063" w:rsidRPr="003356BF">
        <w:rPr>
          <w:color w:val="000000"/>
          <w:sz w:val="28"/>
          <w:szCs w:val="28"/>
        </w:rPr>
        <w:t>(БКП)</w:t>
      </w:r>
      <w:r w:rsidR="001D7F5F">
        <w:rPr>
          <w:color w:val="000000"/>
          <w:sz w:val="28"/>
          <w:szCs w:val="28"/>
        </w:rPr>
        <w:t>.</w:t>
      </w:r>
    </w:p>
    <w:p w14:paraId="1845A89B" w14:textId="77777777" w:rsidR="00817063" w:rsidRPr="003356BF" w:rsidRDefault="000226AD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1.</w:t>
      </w:r>
      <w:r w:rsidR="00817063" w:rsidRPr="003356BF">
        <w:rPr>
          <w:color w:val="000000"/>
          <w:sz w:val="28"/>
          <w:szCs w:val="28"/>
        </w:rPr>
        <w:t>2.</w:t>
      </w:r>
      <w:r w:rsidR="003D7C99" w:rsidRPr="003356BF">
        <w:rPr>
          <w:color w:val="000000"/>
          <w:sz w:val="28"/>
          <w:szCs w:val="28"/>
        </w:rPr>
        <w:t xml:space="preserve"> </w:t>
      </w:r>
      <w:r w:rsidR="00557D82" w:rsidRPr="003356BF">
        <w:rPr>
          <w:color w:val="000000"/>
          <w:sz w:val="28"/>
          <w:szCs w:val="28"/>
        </w:rPr>
        <w:t>З</w:t>
      </w:r>
      <w:r w:rsidR="00C0633A" w:rsidRPr="003356BF">
        <w:rPr>
          <w:color w:val="000000"/>
          <w:sz w:val="28"/>
          <w:szCs w:val="28"/>
        </w:rPr>
        <w:t>а скално</w:t>
      </w:r>
      <w:r w:rsidR="00817063" w:rsidRPr="003356BF">
        <w:rPr>
          <w:color w:val="000000"/>
          <w:sz w:val="28"/>
          <w:szCs w:val="28"/>
        </w:rPr>
        <w:t xml:space="preserve">облицовъчните материали процентният размер на концесионното плащане (ПКП) е </w:t>
      </w:r>
      <w:r w:rsidR="001173C3" w:rsidRPr="003356BF">
        <w:rPr>
          <w:color w:val="000000"/>
          <w:sz w:val="28"/>
          <w:szCs w:val="28"/>
        </w:rPr>
        <w:t>4</w:t>
      </w:r>
      <w:r w:rsidR="00817063" w:rsidRPr="003356BF">
        <w:rPr>
          <w:color w:val="000000"/>
          <w:sz w:val="28"/>
          <w:szCs w:val="28"/>
        </w:rPr>
        <w:t xml:space="preserve"> на сто от базата за изчисляване на концесионното плащане (БКП).</w:t>
      </w:r>
    </w:p>
    <w:p w14:paraId="4361F4E3" w14:textId="041BB089" w:rsidR="00817063" w:rsidRPr="003356BF" w:rsidRDefault="000226AD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2.</w:t>
      </w:r>
      <w:r w:rsidR="00817063" w:rsidRPr="003356BF">
        <w:rPr>
          <w:color w:val="000000"/>
          <w:sz w:val="28"/>
          <w:szCs w:val="28"/>
        </w:rPr>
        <w:t xml:space="preserve"> Базата за изчисляване на концесионното </w:t>
      </w:r>
      <w:r w:rsidR="00321302" w:rsidRPr="003356BF">
        <w:rPr>
          <w:color w:val="000000"/>
          <w:sz w:val="28"/>
          <w:szCs w:val="28"/>
        </w:rPr>
        <w:t xml:space="preserve">плащане </w:t>
      </w:r>
      <w:r w:rsidR="00817063" w:rsidRPr="003356BF">
        <w:rPr>
          <w:color w:val="000000"/>
          <w:sz w:val="28"/>
          <w:szCs w:val="28"/>
        </w:rPr>
        <w:t xml:space="preserve">е </w:t>
      </w:r>
      <w:r w:rsidR="00D823EA" w:rsidRPr="003356BF">
        <w:rPr>
          <w:color w:val="000000"/>
          <w:sz w:val="28"/>
          <w:szCs w:val="28"/>
        </w:rPr>
        <w:t>среднопретеглената продажна цена на добито подземно богатство за съответния период</w:t>
      </w:r>
      <w:r w:rsidR="00817063" w:rsidRPr="003356BF">
        <w:rPr>
          <w:color w:val="000000"/>
          <w:sz w:val="28"/>
          <w:szCs w:val="28"/>
        </w:rPr>
        <w:t>, която се определя на основата на данни, предоставени от концесионера</w:t>
      </w:r>
      <w:r w:rsidR="002769D7" w:rsidRPr="003356BF">
        <w:rPr>
          <w:color w:val="000000"/>
          <w:sz w:val="28"/>
          <w:szCs w:val="28"/>
        </w:rPr>
        <w:t>, но не по-ниска от пазарната цена, определена на база</w:t>
      </w:r>
      <w:r w:rsidR="001D7F5F">
        <w:rPr>
          <w:color w:val="000000"/>
          <w:sz w:val="28"/>
          <w:szCs w:val="28"/>
        </w:rPr>
        <w:t>та на</w:t>
      </w:r>
      <w:r w:rsidR="002769D7" w:rsidRPr="003356BF">
        <w:rPr>
          <w:color w:val="000000"/>
          <w:sz w:val="28"/>
          <w:szCs w:val="28"/>
        </w:rPr>
        <w:t xml:space="preserve"> неконтролирани сделки между несвързани лица</w:t>
      </w:r>
      <w:r w:rsidR="009A2F9B" w:rsidRPr="003356BF">
        <w:rPr>
          <w:color w:val="000000"/>
          <w:sz w:val="28"/>
          <w:szCs w:val="28"/>
        </w:rPr>
        <w:t>; при липса на официална информация за пазарната цена, определена на база</w:t>
      </w:r>
      <w:r w:rsidR="001D7F5F">
        <w:rPr>
          <w:color w:val="000000"/>
          <w:sz w:val="28"/>
          <w:szCs w:val="28"/>
        </w:rPr>
        <w:t>та на</w:t>
      </w:r>
      <w:r w:rsidR="009A2F9B" w:rsidRPr="003356BF">
        <w:rPr>
          <w:color w:val="000000"/>
          <w:sz w:val="28"/>
          <w:szCs w:val="28"/>
        </w:rPr>
        <w:t xml:space="preserve"> неконтролирани сделки между несвързани лица в България, продажната цена за съответния период се определя на основата на данни, предоставени от концесионера, но не по-ниска от себестойността на добитото подземно богатство, определена от концесионера</w:t>
      </w:r>
      <w:r w:rsidR="00817063" w:rsidRPr="003356BF">
        <w:rPr>
          <w:color w:val="000000"/>
          <w:sz w:val="28"/>
          <w:szCs w:val="28"/>
        </w:rPr>
        <w:t>.</w:t>
      </w:r>
    </w:p>
    <w:p w14:paraId="1FFC733F" w14:textId="77777777" w:rsidR="00817063" w:rsidRPr="003356BF" w:rsidRDefault="004464FB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3.</w:t>
      </w:r>
      <w:r w:rsidR="00817063" w:rsidRPr="003356BF">
        <w:rPr>
          <w:color w:val="000000"/>
          <w:sz w:val="28"/>
          <w:szCs w:val="28"/>
        </w:rPr>
        <w:t xml:space="preserve"> Концесионното плащане за единица добито подземно богатство не може да бъде по-ниско от следните стойности, групирани по полезни изкопаеми:</w:t>
      </w:r>
    </w:p>
    <w:p w14:paraId="32DDF601" w14:textId="77777777" w:rsidR="00B10201" w:rsidRPr="003356BF" w:rsidRDefault="00B10201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3.1. </w:t>
      </w:r>
      <w:r w:rsidR="00557D82" w:rsidRPr="003356BF">
        <w:rPr>
          <w:color w:val="000000"/>
          <w:sz w:val="28"/>
          <w:szCs w:val="28"/>
        </w:rPr>
        <w:t>З</w:t>
      </w:r>
      <w:r w:rsidRPr="003356BF">
        <w:rPr>
          <w:color w:val="000000"/>
          <w:sz w:val="28"/>
          <w:szCs w:val="28"/>
        </w:rPr>
        <w:t>а строителни материали:</w:t>
      </w:r>
    </w:p>
    <w:p w14:paraId="08334E19" w14:textId="77777777" w:rsidR="00B10201" w:rsidRPr="003356BF" w:rsidRDefault="00B10201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а) скали за трошени фракции (за пътища, за пълнител за бетон, за вар, за цимент и др.) - </w:t>
      </w:r>
      <w:r w:rsidR="009F4686" w:rsidRPr="003356BF">
        <w:rPr>
          <w:color w:val="000000"/>
          <w:sz w:val="28"/>
          <w:szCs w:val="28"/>
        </w:rPr>
        <w:t>0,2</w:t>
      </w:r>
      <w:r w:rsidR="00987511" w:rsidRPr="003356BF">
        <w:rPr>
          <w:color w:val="000000"/>
          <w:sz w:val="28"/>
          <w:szCs w:val="28"/>
        </w:rPr>
        <w:t>7</w:t>
      </w:r>
      <w:r w:rsidR="009F4686" w:rsidRPr="003356BF">
        <w:rPr>
          <w:color w:val="000000"/>
          <w:sz w:val="28"/>
          <w:szCs w:val="28"/>
        </w:rPr>
        <w:t xml:space="preserve"> евро</w:t>
      </w:r>
      <w:r w:rsidRPr="003356BF">
        <w:rPr>
          <w:color w:val="000000"/>
          <w:sz w:val="28"/>
          <w:szCs w:val="28"/>
        </w:rPr>
        <w:t>/тон;</w:t>
      </w:r>
    </w:p>
    <w:p w14:paraId="3347BE5E" w14:textId="77777777" w:rsidR="00B10201" w:rsidRPr="003356BF" w:rsidRDefault="00B10201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б) глини, мергели и др. за строителна керамика - </w:t>
      </w:r>
      <w:r w:rsidR="009F4686" w:rsidRPr="003356BF">
        <w:rPr>
          <w:color w:val="000000"/>
          <w:sz w:val="28"/>
          <w:szCs w:val="28"/>
        </w:rPr>
        <w:t>0,2</w:t>
      </w:r>
      <w:r w:rsidR="00987511" w:rsidRPr="003356BF">
        <w:rPr>
          <w:color w:val="000000"/>
          <w:sz w:val="28"/>
          <w:szCs w:val="28"/>
        </w:rPr>
        <w:t>7</w:t>
      </w:r>
      <w:r w:rsidR="009F4686" w:rsidRPr="003356BF">
        <w:rPr>
          <w:color w:val="000000"/>
          <w:sz w:val="28"/>
          <w:szCs w:val="28"/>
        </w:rPr>
        <w:t xml:space="preserve"> евро</w:t>
      </w:r>
      <w:r w:rsidRPr="003356BF">
        <w:rPr>
          <w:color w:val="000000"/>
          <w:sz w:val="28"/>
          <w:szCs w:val="28"/>
        </w:rPr>
        <w:t>/тон;</w:t>
      </w:r>
    </w:p>
    <w:p w14:paraId="625EF935" w14:textId="77777777" w:rsidR="00B10201" w:rsidRPr="003356BF" w:rsidRDefault="00B10201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в) пясък и чакъл – </w:t>
      </w:r>
      <w:r w:rsidR="009F4686" w:rsidRPr="003356BF">
        <w:rPr>
          <w:color w:val="000000"/>
          <w:sz w:val="28"/>
          <w:szCs w:val="28"/>
        </w:rPr>
        <w:t>0,36 евро</w:t>
      </w:r>
      <w:r w:rsidRPr="003356BF">
        <w:rPr>
          <w:color w:val="000000"/>
          <w:sz w:val="28"/>
          <w:szCs w:val="28"/>
        </w:rPr>
        <w:t>/тон;</w:t>
      </w:r>
    </w:p>
    <w:p w14:paraId="708B5705" w14:textId="77777777" w:rsidR="00B10201" w:rsidRPr="003356BF" w:rsidRDefault="00B10201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lastRenderedPageBreak/>
        <w:t xml:space="preserve">г) глини, мергели и др. за фина и битова керамика – </w:t>
      </w:r>
      <w:r w:rsidR="009F4686" w:rsidRPr="003356BF">
        <w:rPr>
          <w:color w:val="000000"/>
          <w:sz w:val="28"/>
          <w:szCs w:val="28"/>
        </w:rPr>
        <w:t>0,44 евро</w:t>
      </w:r>
      <w:r w:rsidRPr="003356BF">
        <w:rPr>
          <w:color w:val="000000"/>
          <w:sz w:val="28"/>
          <w:szCs w:val="28"/>
        </w:rPr>
        <w:t>/тон;</w:t>
      </w:r>
    </w:p>
    <w:p w14:paraId="2C9642D2" w14:textId="5F1F26FD" w:rsidR="00B10201" w:rsidRPr="003356BF" w:rsidRDefault="00B10201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д) суров гипс – </w:t>
      </w:r>
      <w:r w:rsidR="009F4686" w:rsidRPr="003356BF">
        <w:rPr>
          <w:color w:val="000000"/>
          <w:sz w:val="28"/>
          <w:szCs w:val="28"/>
        </w:rPr>
        <w:t>1,16 евро</w:t>
      </w:r>
      <w:r w:rsidRPr="003356BF">
        <w:rPr>
          <w:color w:val="000000"/>
          <w:sz w:val="28"/>
          <w:szCs w:val="28"/>
        </w:rPr>
        <w:t>/тон</w:t>
      </w:r>
      <w:r w:rsidR="001D7F5F">
        <w:rPr>
          <w:color w:val="000000"/>
          <w:sz w:val="28"/>
          <w:szCs w:val="28"/>
        </w:rPr>
        <w:t>.</w:t>
      </w:r>
    </w:p>
    <w:p w14:paraId="1B8E2A43" w14:textId="10EF2351" w:rsidR="00B10201" w:rsidRPr="003356BF" w:rsidRDefault="00B10201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3.2. </w:t>
      </w:r>
      <w:r w:rsidR="001D7F5F" w:rsidRPr="003356BF">
        <w:rPr>
          <w:color w:val="000000"/>
          <w:sz w:val="28"/>
          <w:szCs w:val="28"/>
        </w:rPr>
        <w:t xml:space="preserve">За </w:t>
      </w:r>
      <w:r w:rsidRPr="003356BF">
        <w:rPr>
          <w:color w:val="000000"/>
          <w:sz w:val="28"/>
          <w:szCs w:val="28"/>
        </w:rPr>
        <w:t>скалнооблицовъчни материали:</w:t>
      </w:r>
    </w:p>
    <w:p w14:paraId="37F81A1E" w14:textId="77777777" w:rsidR="00B10201" w:rsidRPr="003356BF" w:rsidRDefault="00B10201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а) седиментни и метаморфни скали (варовици, мрамори, гнайси, шисти, пясъчници и др.) – </w:t>
      </w:r>
      <w:r w:rsidR="009F4686" w:rsidRPr="003356BF">
        <w:rPr>
          <w:color w:val="000000"/>
          <w:sz w:val="28"/>
          <w:szCs w:val="28"/>
        </w:rPr>
        <w:t>8,89 евро</w:t>
      </w:r>
      <w:r w:rsidRPr="003356BF">
        <w:rPr>
          <w:color w:val="000000"/>
          <w:sz w:val="28"/>
          <w:szCs w:val="28"/>
        </w:rPr>
        <w:t>/куб. м;</w:t>
      </w:r>
    </w:p>
    <w:p w14:paraId="440EB934" w14:textId="1B614843" w:rsidR="00B10201" w:rsidRPr="003356BF" w:rsidRDefault="00B10201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б) </w:t>
      </w:r>
      <w:proofErr w:type="spellStart"/>
      <w:r w:rsidRPr="003356BF">
        <w:rPr>
          <w:color w:val="000000"/>
          <w:sz w:val="28"/>
          <w:szCs w:val="28"/>
        </w:rPr>
        <w:t>интрузивни</w:t>
      </w:r>
      <w:proofErr w:type="spellEnd"/>
      <w:r w:rsidRPr="003356BF">
        <w:rPr>
          <w:color w:val="000000"/>
          <w:sz w:val="28"/>
          <w:szCs w:val="28"/>
        </w:rPr>
        <w:t xml:space="preserve"> и </w:t>
      </w:r>
      <w:proofErr w:type="spellStart"/>
      <w:r w:rsidRPr="003356BF">
        <w:rPr>
          <w:color w:val="000000"/>
          <w:sz w:val="28"/>
          <w:szCs w:val="28"/>
        </w:rPr>
        <w:t>вулкански</w:t>
      </w:r>
      <w:proofErr w:type="spellEnd"/>
      <w:r w:rsidRPr="003356BF">
        <w:rPr>
          <w:color w:val="000000"/>
          <w:sz w:val="28"/>
          <w:szCs w:val="28"/>
        </w:rPr>
        <w:t xml:space="preserve"> скали (гранити, </w:t>
      </w:r>
      <w:proofErr w:type="spellStart"/>
      <w:r w:rsidRPr="003356BF">
        <w:rPr>
          <w:color w:val="000000"/>
          <w:sz w:val="28"/>
          <w:szCs w:val="28"/>
        </w:rPr>
        <w:t>риолити</w:t>
      </w:r>
      <w:proofErr w:type="spellEnd"/>
      <w:r w:rsidRPr="003356BF">
        <w:rPr>
          <w:color w:val="000000"/>
          <w:sz w:val="28"/>
          <w:szCs w:val="28"/>
        </w:rPr>
        <w:t xml:space="preserve">, </w:t>
      </w:r>
      <w:proofErr w:type="spellStart"/>
      <w:r w:rsidRPr="003356BF">
        <w:rPr>
          <w:color w:val="000000"/>
          <w:sz w:val="28"/>
          <w:szCs w:val="28"/>
        </w:rPr>
        <w:t>габро</w:t>
      </w:r>
      <w:proofErr w:type="spellEnd"/>
      <w:r w:rsidRPr="003356BF">
        <w:rPr>
          <w:color w:val="000000"/>
          <w:sz w:val="28"/>
          <w:szCs w:val="28"/>
        </w:rPr>
        <w:t xml:space="preserve"> и др.) – </w:t>
      </w:r>
      <w:r w:rsidR="001D7F5F">
        <w:rPr>
          <w:color w:val="000000"/>
          <w:sz w:val="28"/>
          <w:szCs w:val="28"/>
        </w:rPr>
        <w:br/>
      </w:r>
      <w:r w:rsidR="009F4686" w:rsidRPr="003356BF">
        <w:rPr>
          <w:color w:val="000000"/>
          <w:sz w:val="28"/>
          <w:szCs w:val="28"/>
        </w:rPr>
        <w:t>10,67 евро</w:t>
      </w:r>
      <w:r w:rsidRPr="003356BF">
        <w:rPr>
          <w:color w:val="000000"/>
          <w:sz w:val="28"/>
          <w:szCs w:val="28"/>
        </w:rPr>
        <w:t>/куб. м;</w:t>
      </w:r>
    </w:p>
    <w:p w14:paraId="03E3E499" w14:textId="7E1DEAE8" w:rsidR="00B10201" w:rsidRPr="003356BF" w:rsidRDefault="00B10201" w:rsidP="00F00925">
      <w:pPr>
        <w:spacing w:line="336" w:lineRule="auto"/>
        <w:ind w:right="-283"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в) скали за добив на плочи (гнайси, шисти, пясъчници и др.) – </w:t>
      </w:r>
      <w:r w:rsidR="001D7F5F">
        <w:rPr>
          <w:color w:val="000000"/>
          <w:sz w:val="28"/>
          <w:szCs w:val="28"/>
        </w:rPr>
        <w:br/>
      </w:r>
      <w:r w:rsidR="006D7C6B" w:rsidRPr="003356BF">
        <w:rPr>
          <w:color w:val="000000"/>
          <w:sz w:val="28"/>
          <w:szCs w:val="28"/>
        </w:rPr>
        <w:t>8,89 евро</w:t>
      </w:r>
      <w:r w:rsidRPr="003356BF">
        <w:rPr>
          <w:color w:val="000000"/>
          <w:sz w:val="28"/>
          <w:szCs w:val="28"/>
        </w:rPr>
        <w:t>/куб. м.</w:t>
      </w:r>
    </w:p>
    <w:p w14:paraId="58C579DA" w14:textId="77777777" w:rsidR="00B10201" w:rsidRPr="003356BF" w:rsidRDefault="00B10201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4. Минималните стойности на концесионното плащане за единица добито подземно богатство по т. 3 се индексират ежегодно с процента на увеличение на цените на строителните и скалнооблицовъчните материали по информация, предоставена от Националния статистически институт, при базова статистическа информация за цените за 2021 г.</w:t>
      </w:r>
    </w:p>
    <w:p w14:paraId="2AE089D9" w14:textId="6423939A" w:rsidR="005306FB" w:rsidRPr="003356BF" w:rsidRDefault="005306FB" w:rsidP="00F00925">
      <w:pPr>
        <w:spacing w:line="336" w:lineRule="auto"/>
        <w:ind w:firstLine="482"/>
        <w:jc w:val="both"/>
        <w:divId w:val="1037051875"/>
        <w:rPr>
          <w:sz w:val="28"/>
          <w:szCs w:val="28"/>
        </w:rPr>
      </w:pPr>
      <w:r w:rsidRPr="003356BF">
        <w:rPr>
          <w:color w:val="000000"/>
          <w:sz w:val="28"/>
          <w:szCs w:val="28"/>
          <w:lang w:val="en-US"/>
        </w:rPr>
        <w:t>5</w:t>
      </w:r>
      <w:r w:rsidR="004464FB" w:rsidRPr="003356BF">
        <w:rPr>
          <w:color w:val="000000"/>
          <w:sz w:val="28"/>
          <w:szCs w:val="28"/>
        </w:rPr>
        <w:t>.</w:t>
      </w:r>
      <w:r w:rsidRPr="003356BF">
        <w:rPr>
          <w:color w:val="000000"/>
          <w:sz w:val="28"/>
          <w:szCs w:val="28"/>
          <w:lang w:val="en-US"/>
        </w:rPr>
        <w:t xml:space="preserve"> </w:t>
      </w:r>
      <w:r w:rsidRPr="003356BF">
        <w:rPr>
          <w:sz w:val="28"/>
          <w:szCs w:val="28"/>
        </w:rPr>
        <w:t>Концесионното плащане за съответния период при добив на скалнооблицовъчни материали се определя като сбор от</w:t>
      </w:r>
      <w:r w:rsidRPr="003356BF">
        <w:rPr>
          <w:sz w:val="28"/>
          <w:szCs w:val="28"/>
          <w:lang w:val="en-US"/>
        </w:rPr>
        <w:t xml:space="preserve"> </w:t>
      </w:r>
      <w:r w:rsidRPr="003356BF">
        <w:rPr>
          <w:sz w:val="28"/>
          <w:szCs w:val="28"/>
        </w:rPr>
        <w:t>дължимото концесионното плащане за добитите подземни богатства, използвани като скалнооблицовъчни материали</w:t>
      </w:r>
      <w:r w:rsidR="00F00925">
        <w:rPr>
          <w:sz w:val="28"/>
          <w:szCs w:val="28"/>
        </w:rPr>
        <w:t>,</w:t>
      </w:r>
      <w:r w:rsidRPr="003356BF">
        <w:rPr>
          <w:sz w:val="28"/>
          <w:szCs w:val="28"/>
        </w:rPr>
        <w:t xml:space="preserve"> и дължимото концесионно плащане за добитите подземните богатства,</w:t>
      </w:r>
      <w:r w:rsidR="00727CE3" w:rsidRPr="003356BF">
        <w:rPr>
          <w:sz w:val="28"/>
          <w:szCs w:val="28"/>
        </w:rPr>
        <w:t xml:space="preserve"> използвани за строителни цели</w:t>
      </w:r>
      <w:r w:rsidR="00F00925">
        <w:rPr>
          <w:sz w:val="28"/>
          <w:szCs w:val="28"/>
        </w:rPr>
        <w:t>.</w:t>
      </w:r>
    </w:p>
    <w:p w14:paraId="031501A8" w14:textId="602B6E8A" w:rsidR="00817063" w:rsidRPr="003356BF" w:rsidRDefault="006E55A1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6.</w:t>
      </w:r>
      <w:r w:rsidR="00817063" w:rsidRPr="003356BF">
        <w:rPr>
          <w:color w:val="000000"/>
          <w:sz w:val="28"/>
          <w:szCs w:val="28"/>
        </w:rPr>
        <w:t xml:space="preserve"> Минималният размер на дължимото годишно концесионно плащане не може да бъде по-нисък от </w:t>
      </w:r>
      <w:r w:rsidR="007224B4" w:rsidRPr="003356BF">
        <w:rPr>
          <w:color w:val="000000"/>
          <w:sz w:val="28"/>
          <w:szCs w:val="28"/>
        </w:rPr>
        <w:t xml:space="preserve"> стойността</w:t>
      </w:r>
      <w:r w:rsidR="00817063" w:rsidRPr="003356BF">
        <w:rPr>
          <w:color w:val="000000"/>
          <w:sz w:val="28"/>
          <w:szCs w:val="28"/>
        </w:rPr>
        <w:t xml:space="preserve">, определена на базата на </w:t>
      </w:r>
      <w:r w:rsidR="00365C5D" w:rsidRPr="003356BF">
        <w:rPr>
          <w:color w:val="000000"/>
          <w:sz w:val="28"/>
          <w:szCs w:val="28"/>
        </w:rPr>
        <w:t>3</w:t>
      </w:r>
      <w:r w:rsidR="00817063" w:rsidRPr="003356BF">
        <w:rPr>
          <w:color w:val="000000"/>
          <w:sz w:val="28"/>
          <w:szCs w:val="28"/>
        </w:rPr>
        <w:t xml:space="preserve">0 на сто от предвидения средногодишен добив за срока на концесията и предвидените стойности за единица добито подземно богатство съгласно </w:t>
      </w:r>
      <w:r w:rsidR="009E0DC2" w:rsidRPr="003356BF">
        <w:rPr>
          <w:color w:val="000000"/>
          <w:sz w:val="28"/>
          <w:szCs w:val="28"/>
        </w:rPr>
        <w:t>т. 3</w:t>
      </w:r>
      <w:r w:rsidR="00727CE3" w:rsidRPr="003356BF">
        <w:rPr>
          <w:color w:val="000000"/>
          <w:sz w:val="28"/>
          <w:szCs w:val="28"/>
        </w:rPr>
        <w:t>–</w:t>
      </w:r>
      <w:r w:rsidR="00784220" w:rsidRPr="003356BF">
        <w:rPr>
          <w:color w:val="000000"/>
          <w:sz w:val="28"/>
          <w:szCs w:val="28"/>
        </w:rPr>
        <w:t>5</w:t>
      </w:r>
      <w:r w:rsidR="00F00925">
        <w:rPr>
          <w:color w:val="000000"/>
          <w:sz w:val="28"/>
          <w:szCs w:val="28"/>
        </w:rPr>
        <w:t>.</w:t>
      </w:r>
    </w:p>
    <w:p w14:paraId="57ED49DE" w14:textId="77777777" w:rsidR="00817063" w:rsidRPr="003356BF" w:rsidRDefault="006E55A1" w:rsidP="00F00925">
      <w:pPr>
        <w:spacing w:line="336" w:lineRule="auto"/>
        <w:ind w:firstLine="482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7.</w:t>
      </w:r>
      <w:r w:rsidR="00817063" w:rsidRPr="003356BF">
        <w:rPr>
          <w:color w:val="000000"/>
          <w:sz w:val="28"/>
          <w:szCs w:val="28"/>
        </w:rPr>
        <w:t xml:space="preserve"> Средногодишният добив по </w:t>
      </w:r>
      <w:r w:rsidR="00C97334" w:rsidRPr="003356BF">
        <w:rPr>
          <w:color w:val="000000"/>
          <w:sz w:val="28"/>
          <w:szCs w:val="28"/>
        </w:rPr>
        <w:t xml:space="preserve">т. </w:t>
      </w:r>
      <w:r w:rsidR="00784220" w:rsidRPr="003356BF">
        <w:rPr>
          <w:color w:val="000000"/>
          <w:sz w:val="28"/>
          <w:szCs w:val="28"/>
        </w:rPr>
        <w:t xml:space="preserve">6 </w:t>
      </w:r>
      <w:r w:rsidR="00817063" w:rsidRPr="003356BF">
        <w:rPr>
          <w:color w:val="000000"/>
          <w:sz w:val="28"/>
          <w:szCs w:val="28"/>
        </w:rPr>
        <w:t>се определя с предложението за предоставяне на концесия въз основа на финансово-икономически анализ или обосновка.</w:t>
      </w:r>
    </w:p>
    <w:p w14:paraId="18E68044" w14:textId="77777777" w:rsidR="00F00925" w:rsidRDefault="00EB43ED" w:rsidP="00F00925">
      <w:pPr>
        <w:spacing w:line="336" w:lineRule="auto"/>
        <w:ind w:firstLine="482"/>
        <w:jc w:val="both"/>
        <w:divId w:val="1037051875"/>
        <w:rPr>
          <w:sz w:val="28"/>
          <w:szCs w:val="28"/>
        </w:rPr>
        <w:sectPr w:rsidR="00F00925" w:rsidSect="006C2E9D">
          <w:pgSz w:w="11907" w:h="16839"/>
          <w:pgMar w:top="1134" w:right="1417" w:bottom="993" w:left="1417" w:header="708" w:footer="158" w:gutter="0"/>
          <w:pgNumType w:start="1"/>
          <w:cols w:space="708"/>
          <w:titlePg/>
          <w:docGrid w:linePitch="360"/>
        </w:sectPr>
      </w:pPr>
      <w:r w:rsidRPr="003356BF">
        <w:rPr>
          <w:sz w:val="28"/>
          <w:szCs w:val="28"/>
        </w:rPr>
        <w:t>8. Когато с решението за предоставяне на концесия не е определен средногодишен</w:t>
      </w:r>
      <w:r w:rsidR="00815CE0" w:rsidRPr="003356BF">
        <w:rPr>
          <w:sz w:val="28"/>
          <w:szCs w:val="28"/>
        </w:rPr>
        <w:t xml:space="preserve"> </w:t>
      </w:r>
      <w:r w:rsidRPr="003356BF">
        <w:rPr>
          <w:sz w:val="28"/>
          <w:szCs w:val="28"/>
        </w:rPr>
        <w:t xml:space="preserve">добив за срока на концесията,  минималният размер на концесионно плащане се определя </w:t>
      </w:r>
      <w:r w:rsidR="00C767D8" w:rsidRPr="003356BF">
        <w:rPr>
          <w:sz w:val="28"/>
          <w:szCs w:val="28"/>
        </w:rPr>
        <w:t xml:space="preserve">на базата на 30 сто от </w:t>
      </w:r>
      <w:r w:rsidRPr="003356BF">
        <w:rPr>
          <w:sz w:val="28"/>
          <w:szCs w:val="28"/>
        </w:rPr>
        <w:t>средногодишния добив</w:t>
      </w:r>
      <w:r w:rsidR="00C02B81" w:rsidRPr="003356BF">
        <w:rPr>
          <w:sz w:val="28"/>
          <w:szCs w:val="28"/>
        </w:rPr>
        <w:t>,</w:t>
      </w:r>
      <w:r w:rsidRPr="003356BF">
        <w:rPr>
          <w:sz w:val="28"/>
          <w:szCs w:val="28"/>
        </w:rPr>
        <w:t xml:space="preserve"> </w:t>
      </w:r>
      <w:r w:rsidR="00C767D8" w:rsidRPr="003356BF">
        <w:rPr>
          <w:sz w:val="28"/>
          <w:szCs w:val="28"/>
        </w:rPr>
        <w:t>предвиде</w:t>
      </w:r>
      <w:r w:rsidR="00C02B81" w:rsidRPr="003356BF">
        <w:rPr>
          <w:sz w:val="28"/>
          <w:szCs w:val="28"/>
        </w:rPr>
        <w:t>н</w:t>
      </w:r>
      <w:r w:rsidR="00C767D8" w:rsidRPr="003356BF">
        <w:rPr>
          <w:sz w:val="28"/>
          <w:szCs w:val="28"/>
        </w:rPr>
        <w:t xml:space="preserve"> със </w:t>
      </w:r>
      <w:r w:rsidRPr="003356BF">
        <w:rPr>
          <w:sz w:val="28"/>
          <w:szCs w:val="28"/>
        </w:rPr>
        <w:t>съгласувания цялостен работен проект за добив и първична преработка на подземни богатства.</w:t>
      </w:r>
    </w:p>
    <w:p w14:paraId="1F222DEE" w14:textId="77777777" w:rsidR="008E665C" w:rsidRPr="009F2096" w:rsidRDefault="008E665C" w:rsidP="00B228E0">
      <w:pPr>
        <w:spacing w:line="360" w:lineRule="auto"/>
        <w:ind w:left="5664"/>
        <w:jc w:val="both"/>
        <w:divId w:val="1037051875"/>
        <w:rPr>
          <w:b/>
        </w:rPr>
      </w:pPr>
      <w:r w:rsidRPr="009F2096">
        <w:rPr>
          <w:b/>
        </w:rPr>
        <w:lastRenderedPageBreak/>
        <w:t xml:space="preserve">Приложение № 6 към чл. 15 </w:t>
      </w:r>
    </w:p>
    <w:p w14:paraId="7D48C492" w14:textId="77777777" w:rsidR="008E665C" w:rsidRPr="003356BF" w:rsidRDefault="008E665C" w:rsidP="008E665C">
      <w:pPr>
        <w:spacing w:line="360" w:lineRule="auto"/>
        <w:ind w:firstLine="480"/>
        <w:jc w:val="both"/>
        <w:divId w:val="1037051875"/>
        <w:rPr>
          <w:sz w:val="28"/>
          <w:szCs w:val="28"/>
        </w:rPr>
      </w:pPr>
    </w:p>
    <w:p w14:paraId="6BAA0F52" w14:textId="712E92F4" w:rsidR="008E665C" w:rsidRPr="003356BF" w:rsidRDefault="008E665C" w:rsidP="00090D07">
      <w:pPr>
        <w:spacing w:line="360" w:lineRule="auto"/>
        <w:jc w:val="center"/>
        <w:divId w:val="1037051875"/>
        <w:rPr>
          <w:b/>
          <w:sz w:val="28"/>
          <w:szCs w:val="28"/>
        </w:rPr>
      </w:pPr>
      <w:r w:rsidRPr="003356BF">
        <w:rPr>
          <w:b/>
          <w:sz w:val="28"/>
          <w:szCs w:val="28"/>
        </w:rPr>
        <w:t>Конкретен, включително минимален</w:t>
      </w:r>
      <w:r w:rsidR="009F2096">
        <w:rPr>
          <w:b/>
          <w:sz w:val="28"/>
          <w:szCs w:val="28"/>
        </w:rPr>
        <w:t>,</w:t>
      </w:r>
      <w:r w:rsidRPr="003356BF">
        <w:rPr>
          <w:b/>
          <w:sz w:val="28"/>
          <w:szCs w:val="28"/>
        </w:rPr>
        <w:t xml:space="preserve"> размер на концесионното</w:t>
      </w:r>
    </w:p>
    <w:p w14:paraId="761AA769" w14:textId="77777777" w:rsidR="008E665C" w:rsidRPr="003356BF" w:rsidRDefault="008E665C" w:rsidP="00B228E0">
      <w:pPr>
        <w:spacing w:line="360" w:lineRule="auto"/>
        <w:ind w:firstLine="480"/>
        <w:jc w:val="center"/>
        <w:divId w:val="1037051875"/>
        <w:rPr>
          <w:b/>
          <w:sz w:val="28"/>
          <w:szCs w:val="28"/>
        </w:rPr>
      </w:pPr>
      <w:r w:rsidRPr="003356BF">
        <w:rPr>
          <w:b/>
          <w:sz w:val="28"/>
          <w:szCs w:val="28"/>
        </w:rPr>
        <w:t xml:space="preserve">плащане за </w:t>
      </w:r>
      <w:r w:rsidR="00870A2A" w:rsidRPr="003356BF">
        <w:rPr>
          <w:b/>
          <w:sz w:val="28"/>
          <w:szCs w:val="28"/>
        </w:rPr>
        <w:t>дълбоки геотермални ресурси</w:t>
      </w:r>
    </w:p>
    <w:p w14:paraId="77955343" w14:textId="77777777" w:rsidR="008E665C" w:rsidRPr="003356BF" w:rsidRDefault="008E665C" w:rsidP="008E665C">
      <w:pPr>
        <w:spacing w:line="360" w:lineRule="auto"/>
        <w:ind w:firstLine="480"/>
        <w:jc w:val="both"/>
        <w:divId w:val="1037051875"/>
        <w:rPr>
          <w:sz w:val="28"/>
          <w:szCs w:val="28"/>
        </w:rPr>
      </w:pPr>
    </w:p>
    <w:p w14:paraId="36A835BD" w14:textId="77777777" w:rsidR="00870A2A" w:rsidRPr="003356BF" w:rsidRDefault="00870A2A" w:rsidP="009F2096">
      <w:pPr>
        <w:spacing w:line="324" w:lineRule="auto"/>
        <w:ind w:firstLine="708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1. Размерът на концесионното плащане за добив на дълбоки геотермални ресурси </w:t>
      </w:r>
      <w:r w:rsidR="00EF6BBE" w:rsidRPr="003356BF">
        <w:rPr>
          <w:color w:val="000000"/>
          <w:sz w:val="28"/>
          <w:szCs w:val="28"/>
        </w:rPr>
        <w:t>е</w:t>
      </w:r>
      <w:r w:rsidRPr="003356BF">
        <w:rPr>
          <w:color w:val="000000"/>
          <w:sz w:val="28"/>
          <w:szCs w:val="28"/>
        </w:rPr>
        <w:t xml:space="preserve"> 4 на сто от нетните приходи от продажби на крайните продукти от добитото подземно богатство за съответния период.</w:t>
      </w:r>
    </w:p>
    <w:p w14:paraId="6E226C00" w14:textId="77777777" w:rsidR="00870A2A" w:rsidRPr="003356BF" w:rsidRDefault="00870A2A" w:rsidP="009F2096">
      <w:pPr>
        <w:spacing w:line="324" w:lineRule="auto"/>
        <w:ind w:firstLine="708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 xml:space="preserve">2. </w:t>
      </w:r>
      <w:r w:rsidRPr="003356BF">
        <w:rPr>
          <w:sz w:val="28"/>
          <w:szCs w:val="28"/>
        </w:rPr>
        <w:t>Минималният размер на дължимото годишно концесионно плащане не може да бъде по-нисък от стойността, определена като 4 на сто от произведението на 30 на сто от предвиденото с решението за предоставяне на концесията средногодишно количество крайни продукти от добитото подземно богатство за срока на концесията и среднопретеглената продажна цена на крайните продукти за съответния период, която се определя на основата на данни, предоставени от концесионера, но не по-ниска от пазарната цена, определена съобразно спецификата на конкретния краен продукт.</w:t>
      </w:r>
    </w:p>
    <w:p w14:paraId="39961BC2" w14:textId="02AA3C16" w:rsidR="00A76234" w:rsidRPr="003356BF" w:rsidRDefault="00A76234" w:rsidP="009F2096">
      <w:pPr>
        <w:pStyle w:val="NormalWeb"/>
        <w:spacing w:before="0" w:beforeAutospacing="0" w:after="0" w:afterAutospacing="0" w:line="324" w:lineRule="auto"/>
        <w:ind w:firstLine="709"/>
        <w:jc w:val="both"/>
        <w:divId w:val="1037051875"/>
        <w:rPr>
          <w:sz w:val="28"/>
          <w:szCs w:val="28"/>
        </w:rPr>
      </w:pPr>
      <w:r w:rsidRPr="003356BF">
        <w:rPr>
          <w:sz w:val="28"/>
          <w:szCs w:val="28"/>
        </w:rPr>
        <w:t xml:space="preserve">3. В случай че концесионерът използва част или цялото количество крайни продукти от добитото подземно богатство за собствено потребление по смисъла на § 1, т. 7 от </w:t>
      </w:r>
      <w:r w:rsidR="009F2096" w:rsidRPr="003356BF">
        <w:rPr>
          <w:sz w:val="28"/>
          <w:szCs w:val="28"/>
        </w:rPr>
        <w:t xml:space="preserve">Допълнителните </w:t>
      </w:r>
      <w:r w:rsidRPr="003356BF">
        <w:rPr>
          <w:sz w:val="28"/>
          <w:szCs w:val="28"/>
        </w:rPr>
        <w:t>разпоредби на Закона за енергията от възобновяеми източници, дължимото концесионно плащане се определя в размер на 4 на сто от произведението на количеството крайни продукти от добитото подземно богатство за съответния период и среднопретеглената продажна цена на крайните продукти за съответния период, която се определя на основата на данни, предоставени от концесионера, но не по-ниска от пазарната цена</w:t>
      </w:r>
      <w:r w:rsidR="00690FA8" w:rsidRPr="003356BF">
        <w:rPr>
          <w:sz w:val="28"/>
          <w:szCs w:val="28"/>
        </w:rPr>
        <w:t xml:space="preserve"> за съответния период</w:t>
      </w:r>
      <w:r w:rsidRPr="003356BF">
        <w:rPr>
          <w:sz w:val="28"/>
          <w:szCs w:val="28"/>
        </w:rPr>
        <w:t>, определена съобразно спецификата на конкретния краен продукт.</w:t>
      </w:r>
    </w:p>
    <w:p w14:paraId="4EB3C0B6" w14:textId="77777777" w:rsidR="00870A2A" w:rsidRPr="003356BF" w:rsidRDefault="00A76234" w:rsidP="009F2096">
      <w:pPr>
        <w:spacing w:line="324" w:lineRule="auto"/>
        <w:ind w:firstLine="708"/>
        <w:jc w:val="both"/>
        <w:divId w:val="1037051875"/>
        <w:rPr>
          <w:color w:val="000000"/>
          <w:sz w:val="28"/>
          <w:szCs w:val="28"/>
        </w:rPr>
      </w:pPr>
      <w:r w:rsidRPr="003356BF">
        <w:rPr>
          <w:color w:val="000000"/>
          <w:sz w:val="28"/>
          <w:szCs w:val="28"/>
        </w:rPr>
        <w:t>4</w:t>
      </w:r>
      <w:r w:rsidR="00870A2A" w:rsidRPr="003356BF">
        <w:rPr>
          <w:color w:val="000000"/>
          <w:sz w:val="28"/>
          <w:szCs w:val="28"/>
        </w:rPr>
        <w:t xml:space="preserve">. Средногодишното количество по т. </w:t>
      </w:r>
      <w:r w:rsidRPr="003356BF">
        <w:rPr>
          <w:color w:val="000000"/>
          <w:sz w:val="28"/>
          <w:szCs w:val="28"/>
        </w:rPr>
        <w:t>2</w:t>
      </w:r>
      <w:r w:rsidR="00870A2A" w:rsidRPr="003356BF">
        <w:rPr>
          <w:color w:val="000000"/>
          <w:sz w:val="28"/>
          <w:szCs w:val="28"/>
        </w:rPr>
        <w:t xml:space="preserve"> се определя с предложението за предоставяне на концесия въз основа на финансово-икономически анализ или обосновка.</w:t>
      </w:r>
    </w:p>
    <w:p w14:paraId="60F4DAC9" w14:textId="57C0C328" w:rsidR="008E665C" w:rsidRPr="003356BF" w:rsidRDefault="00A76234" w:rsidP="009F2096">
      <w:pPr>
        <w:pStyle w:val="NormalWeb"/>
        <w:spacing w:before="0" w:beforeAutospacing="0" w:after="0" w:afterAutospacing="0" w:line="324" w:lineRule="auto"/>
        <w:ind w:firstLine="709"/>
        <w:jc w:val="both"/>
        <w:divId w:val="1037051875"/>
        <w:rPr>
          <w:sz w:val="28"/>
          <w:szCs w:val="28"/>
          <w:highlight w:val="yellow"/>
        </w:rPr>
      </w:pPr>
      <w:r w:rsidRPr="003356BF">
        <w:rPr>
          <w:sz w:val="28"/>
          <w:szCs w:val="28"/>
        </w:rPr>
        <w:t>5.</w:t>
      </w:r>
      <w:r w:rsidR="008E665C" w:rsidRPr="003356BF">
        <w:rPr>
          <w:sz w:val="28"/>
          <w:szCs w:val="28"/>
        </w:rPr>
        <w:t xml:space="preserve"> Количеството крайни продукти от добитото подземно богатство се измерва със средства за търговско измерване по смисъла на § 1, т. 58 от </w:t>
      </w:r>
      <w:r w:rsidR="009F2096" w:rsidRPr="003356BF">
        <w:rPr>
          <w:sz w:val="28"/>
          <w:szCs w:val="28"/>
        </w:rPr>
        <w:t xml:space="preserve">Допълнителните </w:t>
      </w:r>
      <w:r w:rsidR="008E665C" w:rsidRPr="003356BF">
        <w:rPr>
          <w:sz w:val="28"/>
          <w:szCs w:val="28"/>
        </w:rPr>
        <w:t>разпоредби на Закона за енергетиката.</w:t>
      </w:r>
    </w:p>
    <w:sectPr w:rsidR="008E665C" w:rsidRPr="003356BF" w:rsidSect="006C2E9D">
      <w:pgSz w:w="11907" w:h="16839"/>
      <w:pgMar w:top="1134" w:right="1417" w:bottom="993" w:left="1417" w:header="708" w:footer="1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9D9B" w14:textId="77777777" w:rsidR="00B36323" w:rsidRDefault="00B36323" w:rsidP="00421B5C">
      <w:r>
        <w:separator/>
      </w:r>
    </w:p>
  </w:endnote>
  <w:endnote w:type="continuationSeparator" w:id="0">
    <w:p w14:paraId="16677101" w14:textId="77777777" w:rsidR="00B36323" w:rsidRDefault="00B36323" w:rsidP="0042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E900" w14:textId="5E769B10" w:rsidR="007F4705" w:rsidRPr="001C3B0D" w:rsidRDefault="003356BF">
    <w:pPr>
      <w:pStyle w:val="Footer"/>
      <w:jc w:val="center"/>
      <w:rPr>
        <w:rFonts w:ascii="Verdana" w:hAnsi="Verdana"/>
        <w:caps/>
        <w:noProof/>
        <w:sz w:val="20"/>
        <w:szCs w:val="20"/>
      </w:rPr>
    </w:pPr>
    <w:proofErr w:type="spellStart"/>
    <w:r w:rsidRPr="00A85B22">
      <w:rPr>
        <w:rFonts w:ascii="NewSaturionCyr" w:hAnsi="NewSaturionCyr"/>
        <w:sz w:val="16"/>
        <w:szCs w:val="16"/>
      </w:rPr>
      <w:t>мб</w:t>
    </w:r>
    <w:proofErr w:type="spellEnd"/>
    <w:r w:rsidRPr="00A85B22">
      <w:rPr>
        <w:rFonts w:ascii="NewSaturionCyr" w:hAnsi="NewSaturionCyr"/>
        <w:sz w:val="16"/>
        <w:szCs w:val="16"/>
      </w:rPr>
      <w:t>-ЕТ</w:t>
    </w:r>
    <w:r w:rsidRPr="0017323F">
      <w:rPr>
        <w:sz w:val="16"/>
        <w:szCs w:val="16"/>
      </w:rPr>
      <w:tab/>
    </w:r>
    <w:r w:rsidRPr="0017323F">
      <w:rPr>
        <w:sz w:val="16"/>
        <w:szCs w:val="16"/>
      </w:rPr>
      <w:tab/>
    </w:r>
    <w:r w:rsidRPr="00E27170">
      <w:rPr>
        <w:rFonts w:ascii="NewSaturionCyr" w:hAnsi="NewSaturionCyr"/>
        <w:sz w:val="16"/>
        <w:szCs w:val="16"/>
      </w:rPr>
      <w:fldChar w:fldCharType="begin"/>
    </w:r>
    <w:r w:rsidRPr="00E27170">
      <w:rPr>
        <w:rFonts w:ascii="NewSaturionCyr" w:hAnsi="NewSaturionCyr"/>
        <w:sz w:val="16"/>
        <w:szCs w:val="16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</w:rPr>
      <w:fldChar w:fldCharType="separate"/>
    </w:r>
    <w:r>
      <w:rPr>
        <w:rFonts w:ascii="NewSaturionCyr" w:hAnsi="NewSaturionCyr"/>
        <w:noProof/>
        <w:sz w:val="16"/>
        <w:szCs w:val="16"/>
      </w:rPr>
      <w:t>NN-НАРЕДБА_КП.docx</w:t>
    </w:r>
    <w:r w:rsidRPr="00E27170">
      <w:rPr>
        <w:rFonts w:ascii="NewSaturionCyr" w:hAnsi="NewSaturionCyr"/>
        <w:sz w:val="16"/>
        <w:szCs w:val="16"/>
      </w:rPr>
      <w:fldChar w:fldCharType="end"/>
    </w:r>
  </w:p>
  <w:p w14:paraId="13796C43" w14:textId="77777777" w:rsidR="007F4705" w:rsidRDefault="007F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8A41" w14:textId="77777777" w:rsidR="00B36323" w:rsidRDefault="00B36323" w:rsidP="00421B5C">
      <w:r>
        <w:separator/>
      </w:r>
    </w:p>
  </w:footnote>
  <w:footnote w:type="continuationSeparator" w:id="0">
    <w:p w14:paraId="188A9BD0" w14:textId="77777777" w:rsidR="00B36323" w:rsidRDefault="00B36323" w:rsidP="0042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068517"/>
      <w:docPartObj>
        <w:docPartGallery w:val="Page Numbers (Top of Page)"/>
        <w:docPartUnique/>
      </w:docPartObj>
    </w:sdtPr>
    <w:sdtEndPr/>
    <w:sdtContent>
      <w:p w14:paraId="7C08660B" w14:textId="56B2D7A8" w:rsidR="003356BF" w:rsidRDefault="003356B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CA6D4" w14:textId="77777777" w:rsidR="003356BF" w:rsidRDefault="00335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102"/>
    <w:multiLevelType w:val="multilevel"/>
    <w:tmpl w:val="989A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F03AB"/>
    <w:multiLevelType w:val="hybridMultilevel"/>
    <w:tmpl w:val="7268937E"/>
    <w:lvl w:ilvl="0" w:tplc="01D810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0A94E8E"/>
    <w:multiLevelType w:val="hybridMultilevel"/>
    <w:tmpl w:val="9A3423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534AC"/>
    <w:multiLevelType w:val="hybridMultilevel"/>
    <w:tmpl w:val="4588F486"/>
    <w:lvl w:ilvl="0" w:tplc="4426E9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13900E7"/>
    <w:multiLevelType w:val="multilevel"/>
    <w:tmpl w:val="9312A4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EE51B4C"/>
    <w:multiLevelType w:val="multilevel"/>
    <w:tmpl w:val="3EC46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B0FF1"/>
    <w:multiLevelType w:val="hybridMultilevel"/>
    <w:tmpl w:val="7BD2938E"/>
    <w:lvl w:ilvl="0" w:tplc="348AFE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010227">
    <w:abstractNumId w:val="1"/>
  </w:num>
  <w:num w:numId="2" w16cid:durableId="425540784">
    <w:abstractNumId w:val="2"/>
  </w:num>
  <w:num w:numId="3" w16cid:durableId="487598222">
    <w:abstractNumId w:val="3"/>
  </w:num>
  <w:num w:numId="4" w16cid:durableId="742725024">
    <w:abstractNumId w:val="6"/>
  </w:num>
  <w:num w:numId="5" w16cid:durableId="160826215">
    <w:abstractNumId w:val="0"/>
  </w:num>
  <w:num w:numId="6" w16cid:durableId="445199648">
    <w:abstractNumId w:val="5"/>
  </w:num>
  <w:num w:numId="7" w16cid:durableId="413479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36"/>
    <w:rsid w:val="00000B02"/>
    <w:rsid w:val="00003E8D"/>
    <w:rsid w:val="000043AE"/>
    <w:rsid w:val="00006F8F"/>
    <w:rsid w:val="00011436"/>
    <w:rsid w:val="0001393A"/>
    <w:rsid w:val="0001470F"/>
    <w:rsid w:val="000157C5"/>
    <w:rsid w:val="00017B0A"/>
    <w:rsid w:val="00017DEB"/>
    <w:rsid w:val="00021073"/>
    <w:rsid w:val="00021F14"/>
    <w:rsid w:val="0002211F"/>
    <w:rsid w:val="000226AD"/>
    <w:rsid w:val="00023D05"/>
    <w:rsid w:val="00027B37"/>
    <w:rsid w:val="00027C9D"/>
    <w:rsid w:val="0003614A"/>
    <w:rsid w:val="0004220B"/>
    <w:rsid w:val="00044AE3"/>
    <w:rsid w:val="0004681A"/>
    <w:rsid w:val="00047CCC"/>
    <w:rsid w:val="000519B3"/>
    <w:rsid w:val="00051F3E"/>
    <w:rsid w:val="0005335D"/>
    <w:rsid w:val="000543DB"/>
    <w:rsid w:val="00057394"/>
    <w:rsid w:val="0006257E"/>
    <w:rsid w:val="000631FA"/>
    <w:rsid w:val="00063FA5"/>
    <w:rsid w:val="00065C40"/>
    <w:rsid w:val="00073A0A"/>
    <w:rsid w:val="00082581"/>
    <w:rsid w:val="0008286D"/>
    <w:rsid w:val="00082A2C"/>
    <w:rsid w:val="00082BCD"/>
    <w:rsid w:val="00083E2C"/>
    <w:rsid w:val="00086AAE"/>
    <w:rsid w:val="00090A4E"/>
    <w:rsid w:val="00090D07"/>
    <w:rsid w:val="00091DE1"/>
    <w:rsid w:val="00092CD3"/>
    <w:rsid w:val="00096F7C"/>
    <w:rsid w:val="000A0F90"/>
    <w:rsid w:val="000A2334"/>
    <w:rsid w:val="000A31BF"/>
    <w:rsid w:val="000A4647"/>
    <w:rsid w:val="000A7486"/>
    <w:rsid w:val="000A7D2A"/>
    <w:rsid w:val="000B09B3"/>
    <w:rsid w:val="000B0BAB"/>
    <w:rsid w:val="000B1423"/>
    <w:rsid w:val="000B31DF"/>
    <w:rsid w:val="000B4226"/>
    <w:rsid w:val="000B4B72"/>
    <w:rsid w:val="000B6028"/>
    <w:rsid w:val="000B6763"/>
    <w:rsid w:val="000B68F5"/>
    <w:rsid w:val="000C335C"/>
    <w:rsid w:val="000C60B3"/>
    <w:rsid w:val="000D23A9"/>
    <w:rsid w:val="000D788E"/>
    <w:rsid w:val="000D7D07"/>
    <w:rsid w:val="000D7E00"/>
    <w:rsid w:val="000D7E99"/>
    <w:rsid w:val="000E1059"/>
    <w:rsid w:val="000E6A57"/>
    <w:rsid w:val="000E757F"/>
    <w:rsid w:val="000E78F6"/>
    <w:rsid w:val="000F23A3"/>
    <w:rsid w:val="000F349C"/>
    <w:rsid w:val="000F3859"/>
    <w:rsid w:val="000F3B73"/>
    <w:rsid w:val="000F3C0E"/>
    <w:rsid w:val="000F3E71"/>
    <w:rsid w:val="000F7AD4"/>
    <w:rsid w:val="00100D33"/>
    <w:rsid w:val="00100F02"/>
    <w:rsid w:val="00104323"/>
    <w:rsid w:val="00104456"/>
    <w:rsid w:val="001050DD"/>
    <w:rsid w:val="00105472"/>
    <w:rsid w:val="001128D3"/>
    <w:rsid w:val="00112A2D"/>
    <w:rsid w:val="001173C3"/>
    <w:rsid w:val="001201E3"/>
    <w:rsid w:val="00122CFB"/>
    <w:rsid w:val="001265A5"/>
    <w:rsid w:val="00127287"/>
    <w:rsid w:val="001278BF"/>
    <w:rsid w:val="00127C2F"/>
    <w:rsid w:val="00134A3E"/>
    <w:rsid w:val="001439F3"/>
    <w:rsid w:val="001447A8"/>
    <w:rsid w:val="00147C5C"/>
    <w:rsid w:val="00153CE3"/>
    <w:rsid w:val="00153F98"/>
    <w:rsid w:val="00160D73"/>
    <w:rsid w:val="001638F4"/>
    <w:rsid w:val="00170896"/>
    <w:rsid w:val="001709E0"/>
    <w:rsid w:val="001726E1"/>
    <w:rsid w:val="001727AE"/>
    <w:rsid w:val="00173452"/>
    <w:rsid w:val="00184979"/>
    <w:rsid w:val="001920D5"/>
    <w:rsid w:val="001950F0"/>
    <w:rsid w:val="00195771"/>
    <w:rsid w:val="001A034D"/>
    <w:rsid w:val="001A0671"/>
    <w:rsid w:val="001A0E0F"/>
    <w:rsid w:val="001A105B"/>
    <w:rsid w:val="001A2E9F"/>
    <w:rsid w:val="001A78D6"/>
    <w:rsid w:val="001B0B2F"/>
    <w:rsid w:val="001B3057"/>
    <w:rsid w:val="001B4B58"/>
    <w:rsid w:val="001B6464"/>
    <w:rsid w:val="001C0384"/>
    <w:rsid w:val="001C3B0D"/>
    <w:rsid w:val="001C4092"/>
    <w:rsid w:val="001C51CA"/>
    <w:rsid w:val="001D1694"/>
    <w:rsid w:val="001D4382"/>
    <w:rsid w:val="001D7F5F"/>
    <w:rsid w:val="001E241F"/>
    <w:rsid w:val="001E52EA"/>
    <w:rsid w:val="001E644D"/>
    <w:rsid w:val="001E6510"/>
    <w:rsid w:val="001F0DA1"/>
    <w:rsid w:val="001F2E70"/>
    <w:rsid w:val="001F3198"/>
    <w:rsid w:val="001F7837"/>
    <w:rsid w:val="002008F9"/>
    <w:rsid w:val="00202275"/>
    <w:rsid w:val="002022BA"/>
    <w:rsid w:val="00204011"/>
    <w:rsid w:val="00204CE3"/>
    <w:rsid w:val="00205D13"/>
    <w:rsid w:val="00206727"/>
    <w:rsid w:val="0021467A"/>
    <w:rsid w:val="00217216"/>
    <w:rsid w:val="00217535"/>
    <w:rsid w:val="00220270"/>
    <w:rsid w:val="00221AEC"/>
    <w:rsid w:val="00221CA0"/>
    <w:rsid w:val="00223B7E"/>
    <w:rsid w:val="00224331"/>
    <w:rsid w:val="00225827"/>
    <w:rsid w:val="00225831"/>
    <w:rsid w:val="00225B7C"/>
    <w:rsid w:val="00230329"/>
    <w:rsid w:val="00233EF3"/>
    <w:rsid w:val="00234222"/>
    <w:rsid w:val="00234340"/>
    <w:rsid w:val="002371F6"/>
    <w:rsid w:val="002402DF"/>
    <w:rsid w:val="002448DF"/>
    <w:rsid w:val="00245195"/>
    <w:rsid w:val="0024558A"/>
    <w:rsid w:val="002458C7"/>
    <w:rsid w:val="002473AF"/>
    <w:rsid w:val="0026180A"/>
    <w:rsid w:val="00271DA4"/>
    <w:rsid w:val="002769D7"/>
    <w:rsid w:val="00284249"/>
    <w:rsid w:val="0028492F"/>
    <w:rsid w:val="002855DE"/>
    <w:rsid w:val="00286DC0"/>
    <w:rsid w:val="002873E7"/>
    <w:rsid w:val="00291044"/>
    <w:rsid w:val="002910FE"/>
    <w:rsid w:val="002A1737"/>
    <w:rsid w:val="002A1DD1"/>
    <w:rsid w:val="002A2666"/>
    <w:rsid w:val="002A2BC5"/>
    <w:rsid w:val="002A2DB4"/>
    <w:rsid w:val="002A4F10"/>
    <w:rsid w:val="002A68C5"/>
    <w:rsid w:val="002A7759"/>
    <w:rsid w:val="002B0FC0"/>
    <w:rsid w:val="002B2AD7"/>
    <w:rsid w:val="002B2F82"/>
    <w:rsid w:val="002B3037"/>
    <w:rsid w:val="002C67F8"/>
    <w:rsid w:val="002C762F"/>
    <w:rsid w:val="002C7C63"/>
    <w:rsid w:val="002D0AFD"/>
    <w:rsid w:val="002D15F5"/>
    <w:rsid w:val="002D2BA3"/>
    <w:rsid w:val="002D32D1"/>
    <w:rsid w:val="002D440E"/>
    <w:rsid w:val="002D5416"/>
    <w:rsid w:val="002D63BD"/>
    <w:rsid w:val="002E03E5"/>
    <w:rsid w:val="002E0A77"/>
    <w:rsid w:val="002E2484"/>
    <w:rsid w:val="002E280C"/>
    <w:rsid w:val="002E2B6C"/>
    <w:rsid w:val="002E7D6B"/>
    <w:rsid w:val="002F5D46"/>
    <w:rsid w:val="00300778"/>
    <w:rsid w:val="0030273E"/>
    <w:rsid w:val="00304527"/>
    <w:rsid w:val="00306314"/>
    <w:rsid w:val="00314540"/>
    <w:rsid w:val="00321302"/>
    <w:rsid w:val="00323752"/>
    <w:rsid w:val="0032514C"/>
    <w:rsid w:val="00325F55"/>
    <w:rsid w:val="00331186"/>
    <w:rsid w:val="00333351"/>
    <w:rsid w:val="0033395A"/>
    <w:rsid w:val="003356BF"/>
    <w:rsid w:val="00335F5A"/>
    <w:rsid w:val="00336391"/>
    <w:rsid w:val="00336E44"/>
    <w:rsid w:val="00336F9E"/>
    <w:rsid w:val="003406F3"/>
    <w:rsid w:val="0034292C"/>
    <w:rsid w:val="003471D5"/>
    <w:rsid w:val="00350735"/>
    <w:rsid w:val="00354414"/>
    <w:rsid w:val="003564A4"/>
    <w:rsid w:val="00357DCE"/>
    <w:rsid w:val="00363143"/>
    <w:rsid w:val="003646A6"/>
    <w:rsid w:val="00365062"/>
    <w:rsid w:val="00365C5D"/>
    <w:rsid w:val="0036720F"/>
    <w:rsid w:val="00367A01"/>
    <w:rsid w:val="00372121"/>
    <w:rsid w:val="00375B09"/>
    <w:rsid w:val="00375DD5"/>
    <w:rsid w:val="00375E4D"/>
    <w:rsid w:val="00381A62"/>
    <w:rsid w:val="00384A74"/>
    <w:rsid w:val="00385635"/>
    <w:rsid w:val="00385DDC"/>
    <w:rsid w:val="003903EA"/>
    <w:rsid w:val="00394018"/>
    <w:rsid w:val="00394938"/>
    <w:rsid w:val="00394BA9"/>
    <w:rsid w:val="00396BFC"/>
    <w:rsid w:val="003A0B73"/>
    <w:rsid w:val="003A1BE5"/>
    <w:rsid w:val="003B02B9"/>
    <w:rsid w:val="003B0A6C"/>
    <w:rsid w:val="003B3267"/>
    <w:rsid w:val="003B3D04"/>
    <w:rsid w:val="003B7C52"/>
    <w:rsid w:val="003B7EF0"/>
    <w:rsid w:val="003C0826"/>
    <w:rsid w:val="003C68C0"/>
    <w:rsid w:val="003C7826"/>
    <w:rsid w:val="003C7DF7"/>
    <w:rsid w:val="003D7C99"/>
    <w:rsid w:val="003E1C91"/>
    <w:rsid w:val="003E28D0"/>
    <w:rsid w:val="003F01D1"/>
    <w:rsid w:val="003F36E3"/>
    <w:rsid w:val="003F4CB0"/>
    <w:rsid w:val="004009F4"/>
    <w:rsid w:val="0040150D"/>
    <w:rsid w:val="0040292E"/>
    <w:rsid w:val="004046D9"/>
    <w:rsid w:val="00412E97"/>
    <w:rsid w:val="00412F63"/>
    <w:rsid w:val="004150B0"/>
    <w:rsid w:val="00417DDF"/>
    <w:rsid w:val="00421B5C"/>
    <w:rsid w:val="00422D6A"/>
    <w:rsid w:val="00430B30"/>
    <w:rsid w:val="004354ED"/>
    <w:rsid w:val="00437127"/>
    <w:rsid w:val="0044197A"/>
    <w:rsid w:val="004460E3"/>
    <w:rsid w:val="004464FB"/>
    <w:rsid w:val="00447887"/>
    <w:rsid w:val="00452AAE"/>
    <w:rsid w:val="004546BB"/>
    <w:rsid w:val="00460402"/>
    <w:rsid w:val="00463148"/>
    <w:rsid w:val="00464CBF"/>
    <w:rsid w:val="004742A5"/>
    <w:rsid w:val="00477AFD"/>
    <w:rsid w:val="0048007C"/>
    <w:rsid w:val="00481F01"/>
    <w:rsid w:val="004847B3"/>
    <w:rsid w:val="00487ED7"/>
    <w:rsid w:val="004900EA"/>
    <w:rsid w:val="004950CE"/>
    <w:rsid w:val="004961B7"/>
    <w:rsid w:val="0049631C"/>
    <w:rsid w:val="00496F87"/>
    <w:rsid w:val="004A0DC3"/>
    <w:rsid w:val="004A15DD"/>
    <w:rsid w:val="004A4967"/>
    <w:rsid w:val="004A5695"/>
    <w:rsid w:val="004B40C8"/>
    <w:rsid w:val="004B56A8"/>
    <w:rsid w:val="004B6D0E"/>
    <w:rsid w:val="004C17C7"/>
    <w:rsid w:val="004C17E3"/>
    <w:rsid w:val="004C2B4A"/>
    <w:rsid w:val="004C529C"/>
    <w:rsid w:val="004C6064"/>
    <w:rsid w:val="004C780D"/>
    <w:rsid w:val="004C7E2F"/>
    <w:rsid w:val="004D0568"/>
    <w:rsid w:val="004D10A7"/>
    <w:rsid w:val="004D48DB"/>
    <w:rsid w:val="004D5DD4"/>
    <w:rsid w:val="004E1B9D"/>
    <w:rsid w:val="004E23D3"/>
    <w:rsid w:val="004E35C9"/>
    <w:rsid w:val="004E3634"/>
    <w:rsid w:val="004E3D59"/>
    <w:rsid w:val="004E5084"/>
    <w:rsid w:val="004E57C8"/>
    <w:rsid w:val="004E6214"/>
    <w:rsid w:val="004E6749"/>
    <w:rsid w:val="004F093E"/>
    <w:rsid w:val="004F277F"/>
    <w:rsid w:val="004F2F07"/>
    <w:rsid w:val="004F4B63"/>
    <w:rsid w:val="005016E7"/>
    <w:rsid w:val="00502096"/>
    <w:rsid w:val="005021DB"/>
    <w:rsid w:val="005040AB"/>
    <w:rsid w:val="00505967"/>
    <w:rsid w:val="00506D9C"/>
    <w:rsid w:val="00507223"/>
    <w:rsid w:val="00514D4C"/>
    <w:rsid w:val="005169AD"/>
    <w:rsid w:val="00521E22"/>
    <w:rsid w:val="0052234A"/>
    <w:rsid w:val="00522E60"/>
    <w:rsid w:val="00524184"/>
    <w:rsid w:val="00526EAE"/>
    <w:rsid w:val="0053021C"/>
    <w:rsid w:val="005306FB"/>
    <w:rsid w:val="005315FE"/>
    <w:rsid w:val="005343F6"/>
    <w:rsid w:val="00534A73"/>
    <w:rsid w:val="00537647"/>
    <w:rsid w:val="005452E7"/>
    <w:rsid w:val="00546934"/>
    <w:rsid w:val="00546AD8"/>
    <w:rsid w:val="00557D82"/>
    <w:rsid w:val="005619FD"/>
    <w:rsid w:val="00564ADA"/>
    <w:rsid w:val="00565BF7"/>
    <w:rsid w:val="00573D46"/>
    <w:rsid w:val="00581062"/>
    <w:rsid w:val="00581B9B"/>
    <w:rsid w:val="00582F4E"/>
    <w:rsid w:val="005860FE"/>
    <w:rsid w:val="00586A18"/>
    <w:rsid w:val="00591F0F"/>
    <w:rsid w:val="00595198"/>
    <w:rsid w:val="005958DF"/>
    <w:rsid w:val="005A0E7C"/>
    <w:rsid w:val="005A2B25"/>
    <w:rsid w:val="005A3CC3"/>
    <w:rsid w:val="005A6CCA"/>
    <w:rsid w:val="005B006F"/>
    <w:rsid w:val="005B3990"/>
    <w:rsid w:val="005B495F"/>
    <w:rsid w:val="005B5A77"/>
    <w:rsid w:val="005C15E5"/>
    <w:rsid w:val="005C4394"/>
    <w:rsid w:val="005C6339"/>
    <w:rsid w:val="005C6AC1"/>
    <w:rsid w:val="005C6AEC"/>
    <w:rsid w:val="005C7DE5"/>
    <w:rsid w:val="005D1766"/>
    <w:rsid w:val="005D3BEE"/>
    <w:rsid w:val="005D6661"/>
    <w:rsid w:val="005E6761"/>
    <w:rsid w:val="005E6EF6"/>
    <w:rsid w:val="005E70ED"/>
    <w:rsid w:val="005F2E0D"/>
    <w:rsid w:val="005F54A9"/>
    <w:rsid w:val="005F55CF"/>
    <w:rsid w:val="005F6A62"/>
    <w:rsid w:val="005F72D2"/>
    <w:rsid w:val="00600E0C"/>
    <w:rsid w:val="006132DA"/>
    <w:rsid w:val="00620420"/>
    <w:rsid w:val="00623B9A"/>
    <w:rsid w:val="00626395"/>
    <w:rsid w:val="00632D36"/>
    <w:rsid w:val="00633A4D"/>
    <w:rsid w:val="006352A3"/>
    <w:rsid w:val="00635724"/>
    <w:rsid w:val="00641718"/>
    <w:rsid w:val="00641882"/>
    <w:rsid w:val="006451AB"/>
    <w:rsid w:val="0064743F"/>
    <w:rsid w:val="0064755D"/>
    <w:rsid w:val="00650F28"/>
    <w:rsid w:val="00653056"/>
    <w:rsid w:val="006532A1"/>
    <w:rsid w:val="0066275B"/>
    <w:rsid w:val="00667FF2"/>
    <w:rsid w:val="00677672"/>
    <w:rsid w:val="00684608"/>
    <w:rsid w:val="00684C03"/>
    <w:rsid w:val="00690735"/>
    <w:rsid w:val="00690FA8"/>
    <w:rsid w:val="0069129D"/>
    <w:rsid w:val="006914C3"/>
    <w:rsid w:val="00691AAB"/>
    <w:rsid w:val="00692125"/>
    <w:rsid w:val="0069221F"/>
    <w:rsid w:val="0069251B"/>
    <w:rsid w:val="006926A4"/>
    <w:rsid w:val="00694260"/>
    <w:rsid w:val="00697D21"/>
    <w:rsid w:val="006A24B9"/>
    <w:rsid w:val="006A304E"/>
    <w:rsid w:val="006A6DB2"/>
    <w:rsid w:val="006B1E12"/>
    <w:rsid w:val="006B2C41"/>
    <w:rsid w:val="006B5141"/>
    <w:rsid w:val="006B6036"/>
    <w:rsid w:val="006B6ECC"/>
    <w:rsid w:val="006C234A"/>
    <w:rsid w:val="006C2E9D"/>
    <w:rsid w:val="006C30E4"/>
    <w:rsid w:val="006C46BD"/>
    <w:rsid w:val="006C7634"/>
    <w:rsid w:val="006C7727"/>
    <w:rsid w:val="006D1DC4"/>
    <w:rsid w:val="006D4330"/>
    <w:rsid w:val="006D701E"/>
    <w:rsid w:val="006D7C6B"/>
    <w:rsid w:val="006E485E"/>
    <w:rsid w:val="006E55A1"/>
    <w:rsid w:val="006F2136"/>
    <w:rsid w:val="006F5A4A"/>
    <w:rsid w:val="006F6D26"/>
    <w:rsid w:val="00700A46"/>
    <w:rsid w:val="00704E15"/>
    <w:rsid w:val="00706AC7"/>
    <w:rsid w:val="00707772"/>
    <w:rsid w:val="0071024F"/>
    <w:rsid w:val="0071381E"/>
    <w:rsid w:val="00714238"/>
    <w:rsid w:val="00716079"/>
    <w:rsid w:val="007224B4"/>
    <w:rsid w:val="00723E19"/>
    <w:rsid w:val="007244EA"/>
    <w:rsid w:val="00724D5E"/>
    <w:rsid w:val="00725935"/>
    <w:rsid w:val="00727629"/>
    <w:rsid w:val="00727CE3"/>
    <w:rsid w:val="007305D5"/>
    <w:rsid w:val="00735228"/>
    <w:rsid w:val="00735810"/>
    <w:rsid w:val="00735947"/>
    <w:rsid w:val="00740BE5"/>
    <w:rsid w:val="007410CE"/>
    <w:rsid w:val="00741452"/>
    <w:rsid w:val="00741797"/>
    <w:rsid w:val="00744A56"/>
    <w:rsid w:val="00747134"/>
    <w:rsid w:val="00747454"/>
    <w:rsid w:val="007516CC"/>
    <w:rsid w:val="00751750"/>
    <w:rsid w:val="00762D83"/>
    <w:rsid w:val="00763C2F"/>
    <w:rsid w:val="00764E31"/>
    <w:rsid w:val="00771493"/>
    <w:rsid w:val="007715F9"/>
    <w:rsid w:val="0077526C"/>
    <w:rsid w:val="007769E8"/>
    <w:rsid w:val="00780DC1"/>
    <w:rsid w:val="00781232"/>
    <w:rsid w:val="00781777"/>
    <w:rsid w:val="0078340B"/>
    <w:rsid w:val="007839AC"/>
    <w:rsid w:val="00783B01"/>
    <w:rsid w:val="00784220"/>
    <w:rsid w:val="007845C1"/>
    <w:rsid w:val="007857B3"/>
    <w:rsid w:val="007862B3"/>
    <w:rsid w:val="0079017C"/>
    <w:rsid w:val="00793DD9"/>
    <w:rsid w:val="007A3CFA"/>
    <w:rsid w:val="007B1014"/>
    <w:rsid w:val="007B180C"/>
    <w:rsid w:val="007B1F59"/>
    <w:rsid w:val="007B239D"/>
    <w:rsid w:val="007B3923"/>
    <w:rsid w:val="007C1B8A"/>
    <w:rsid w:val="007C3EE9"/>
    <w:rsid w:val="007C5D86"/>
    <w:rsid w:val="007C6B17"/>
    <w:rsid w:val="007D1E1B"/>
    <w:rsid w:val="007D31FB"/>
    <w:rsid w:val="007D79D5"/>
    <w:rsid w:val="007D7E61"/>
    <w:rsid w:val="007E29C4"/>
    <w:rsid w:val="007E4559"/>
    <w:rsid w:val="007E4C2B"/>
    <w:rsid w:val="007E61AD"/>
    <w:rsid w:val="007E67EE"/>
    <w:rsid w:val="007F0564"/>
    <w:rsid w:val="007F3432"/>
    <w:rsid w:val="007F4705"/>
    <w:rsid w:val="007F4DF4"/>
    <w:rsid w:val="00802088"/>
    <w:rsid w:val="00810B4F"/>
    <w:rsid w:val="00813869"/>
    <w:rsid w:val="00813A05"/>
    <w:rsid w:val="00814315"/>
    <w:rsid w:val="00814ED9"/>
    <w:rsid w:val="00815CE0"/>
    <w:rsid w:val="00817063"/>
    <w:rsid w:val="00817217"/>
    <w:rsid w:val="00820ED4"/>
    <w:rsid w:val="008224DB"/>
    <w:rsid w:val="00822D5A"/>
    <w:rsid w:val="00822E57"/>
    <w:rsid w:val="00822E98"/>
    <w:rsid w:val="008234AA"/>
    <w:rsid w:val="0082448B"/>
    <w:rsid w:val="00824B2F"/>
    <w:rsid w:val="00826496"/>
    <w:rsid w:val="00830016"/>
    <w:rsid w:val="0083513A"/>
    <w:rsid w:val="008404FC"/>
    <w:rsid w:val="008578B2"/>
    <w:rsid w:val="00860DDD"/>
    <w:rsid w:val="00863205"/>
    <w:rsid w:val="0086392A"/>
    <w:rsid w:val="00866A25"/>
    <w:rsid w:val="00866A35"/>
    <w:rsid w:val="00870A2A"/>
    <w:rsid w:val="00870DB1"/>
    <w:rsid w:val="00872CCE"/>
    <w:rsid w:val="00873008"/>
    <w:rsid w:val="0087416E"/>
    <w:rsid w:val="008769A8"/>
    <w:rsid w:val="0088025A"/>
    <w:rsid w:val="00882C7D"/>
    <w:rsid w:val="0088315A"/>
    <w:rsid w:val="00884367"/>
    <w:rsid w:val="00893D98"/>
    <w:rsid w:val="008A6F7E"/>
    <w:rsid w:val="008A7F93"/>
    <w:rsid w:val="008B0232"/>
    <w:rsid w:val="008B0C82"/>
    <w:rsid w:val="008B46B1"/>
    <w:rsid w:val="008B6E81"/>
    <w:rsid w:val="008C0B73"/>
    <w:rsid w:val="008C1735"/>
    <w:rsid w:val="008C1E70"/>
    <w:rsid w:val="008D084A"/>
    <w:rsid w:val="008D086F"/>
    <w:rsid w:val="008D1D45"/>
    <w:rsid w:val="008D2F81"/>
    <w:rsid w:val="008D48FC"/>
    <w:rsid w:val="008E0A9C"/>
    <w:rsid w:val="008E16D3"/>
    <w:rsid w:val="008E1CD3"/>
    <w:rsid w:val="008E34CA"/>
    <w:rsid w:val="008E5104"/>
    <w:rsid w:val="008E62DA"/>
    <w:rsid w:val="008E665C"/>
    <w:rsid w:val="008F4BC5"/>
    <w:rsid w:val="008F524C"/>
    <w:rsid w:val="009002DF"/>
    <w:rsid w:val="00901F2F"/>
    <w:rsid w:val="009048DB"/>
    <w:rsid w:val="00904C56"/>
    <w:rsid w:val="0090572E"/>
    <w:rsid w:val="00905EDB"/>
    <w:rsid w:val="00906622"/>
    <w:rsid w:val="00910C43"/>
    <w:rsid w:val="00910EF1"/>
    <w:rsid w:val="009118A7"/>
    <w:rsid w:val="0091488E"/>
    <w:rsid w:val="009171F6"/>
    <w:rsid w:val="0092094E"/>
    <w:rsid w:val="00924FF2"/>
    <w:rsid w:val="00927386"/>
    <w:rsid w:val="009356E1"/>
    <w:rsid w:val="00936154"/>
    <w:rsid w:val="00937E85"/>
    <w:rsid w:val="0094024F"/>
    <w:rsid w:val="009427C2"/>
    <w:rsid w:val="00944474"/>
    <w:rsid w:val="009446A9"/>
    <w:rsid w:val="00945435"/>
    <w:rsid w:val="00950683"/>
    <w:rsid w:val="00952CAD"/>
    <w:rsid w:val="0095707F"/>
    <w:rsid w:val="00957C37"/>
    <w:rsid w:val="00967285"/>
    <w:rsid w:val="00970AD8"/>
    <w:rsid w:val="00973CAF"/>
    <w:rsid w:val="009815F9"/>
    <w:rsid w:val="00981794"/>
    <w:rsid w:val="00984BC2"/>
    <w:rsid w:val="00987511"/>
    <w:rsid w:val="00990665"/>
    <w:rsid w:val="00991276"/>
    <w:rsid w:val="009A2F9B"/>
    <w:rsid w:val="009A6229"/>
    <w:rsid w:val="009B19F4"/>
    <w:rsid w:val="009B5172"/>
    <w:rsid w:val="009B594F"/>
    <w:rsid w:val="009B6BEA"/>
    <w:rsid w:val="009C1224"/>
    <w:rsid w:val="009C1A2A"/>
    <w:rsid w:val="009C3E49"/>
    <w:rsid w:val="009C4954"/>
    <w:rsid w:val="009D159D"/>
    <w:rsid w:val="009D4D58"/>
    <w:rsid w:val="009D4E0A"/>
    <w:rsid w:val="009D533B"/>
    <w:rsid w:val="009D594A"/>
    <w:rsid w:val="009D63AD"/>
    <w:rsid w:val="009E01AE"/>
    <w:rsid w:val="009E0DC2"/>
    <w:rsid w:val="009E257B"/>
    <w:rsid w:val="009E721D"/>
    <w:rsid w:val="009F0A6B"/>
    <w:rsid w:val="009F0CA8"/>
    <w:rsid w:val="009F2096"/>
    <w:rsid w:val="009F276B"/>
    <w:rsid w:val="009F4686"/>
    <w:rsid w:val="009F5191"/>
    <w:rsid w:val="009F580F"/>
    <w:rsid w:val="009F7535"/>
    <w:rsid w:val="009F7EB3"/>
    <w:rsid w:val="00A006C5"/>
    <w:rsid w:val="00A01B3E"/>
    <w:rsid w:val="00A029D5"/>
    <w:rsid w:val="00A0360A"/>
    <w:rsid w:val="00A04AE4"/>
    <w:rsid w:val="00A10E82"/>
    <w:rsid w:val="00A1330C"/>
    <w:rsid w:val="00A144E0"/>
    <w:rsid w:val="00A14550"/>
    <w:rsid w:val="00A15260"/>
    <w:rsid w:val="00A15BFE"/>
    <w:rsid w:val="00A21888"/>
    <w:rsid w:val="00A23727"/>
    <w:rsid w:val="00A23FB4"/>
    <w:rsid w:val="00A26C94"/>
    <w:rsid w:val="00A2738D"/>
    <w:rsid w:val="00A310DD"/>
    <w:rsid w:val="00A34AC5"/>
    <w:rsid w:val="00A35364"/>
    <w:rsid w:val="00A36299"/>
    <w:rsid w:val="00A37627"/>
    <w:rsid w:val="00A52BDE"/>
    <w:rsid w:val="00A53606"/>
    <w:rsid w:val="00A60015"/>
    <w:rsid w:val="00A65898"/>
    <w:rsid w:val="00A65D4C"/>
    <w:rsid w:val="00A67E19"/>
    <w:rsid w:val="00A71FEF"/>
    <w:rsid w:val="00A743DD"/>
    <w:rsid w:val="00A74CCC"/>
    <w:rsid w:val="00A752ED"/>
    <w:rsid w:val="00A75BEE"/>
    <w:rsid w:val="00A76234"/>
    <w:rsid w:val="00A81582"/>
    <w:rsid w:val="00A82D45"/>
    <w:rsid w:val="00A8583E"/>
    <w:rsid w:val="00A905EA"/>
    <w:rsid w:val="00A91898"/>
    <w:rsid w:val="00A92148"/>
    <w:rsid w:val="00A97F4A"/>
    <w:rsid w:val="00AA151A"/>
    <w:rsid w:val="00AA297A"/>
    <w:rsid w:val="00AA435A"/>
    <w:rsid w:val="00AB0640"/>
    <w:rsid w:val="00AB06A3"/>
    <w:rsid w:val="00AB09B4"/>
    <w:rsid w:val="00AB43F5"/>
    <w:rsid w:val="00AC0F5F"/>
    <w:rsid w:val="00AC1B4F"/>
    <w:rsid w:val="00AC1EEA"/>
    <w:rsid w:val="00AC24C7"/>
    <w:rsid w:val="00AC5051"/>
    <w:rsid w:val="00AC60DE"/>
    <w:rsid w:val="00AD4F85"/>
    <w:rsid w:val="00AE0E77"/>
    <w:rsid w:val="00AE1642"/>
    <w:rsid w:val="00AE2EF8"/>
    <w:rsid w:val="00AE6679"/>
    <w:rsid w:val="00AF06C3"/>
    <w:rsid w:val="00AF35CC"/>
    <w:rsid w:val="00AF36A2"/>
    <w:rsid w:val="00AF7A5B"/>
    <w:rsid w:val="00AF7F70"/>
    <w:rsid w:val="00B01779"/>
    <w:rsid w:val="00B0318F"/>
    <w:rsid w:val="00B10201"/>
    <w:rsid w:val="00B106A1"/>
    <w:rsid w:val="00B135F1"/>
    <w:rsid w:val="00B172FD"/>
    <w:rsid w:val="00B17BE4"/>
    <w:rsid w:val="00B219F5"/>
    <w:rsid w:val="00B228E0"/>
    <w:rsid w:val="00B240D5"/>
    <w:rsid w:val="00B24B5C"/>
    <w:rsid w:val="00B24B88"/>
    <w:rsid w:val="00B30A19"/>
    <w:rsid w:val="00B30A3B"/>
    <w:rsid w:val="00B32EEF"/>
    <w:rsid w:val="00B3491B"/>
    <w:rsid w:val="00B36323"/>
    <w:rsid w:val="00B37F17"/>
    <w:rsid w:val="00B413C8"/>
    <w:rsid w:val="00B45277"/>
    <w:rsid w:val="00B505E7"/>
    <w:rsid w:val="00B576A9"/>
    <w:rsid w:val="00B57890"/>
    <w:rsid w:val="00B60E7A"/>
    <w:rsid w:val="00B6421F"/>
    <w:rsid w:val="00B6563A"/>
    <w:rsid w:val="00B66547"/>
    <w:rsid w:val="00B66D55"/>
    <w:rsid w:val="00B67319"/>
    <w:rsid w:val="00B724E0"/>
    <w:rsid w:val="00B85DB1"/>
    <w:rsid w:val="00B923B8"/>
    <w:rsid w:val="00BA03F7"/>
    <w:rsid w:val="00BA0A1E"/>
    <w:rsid w:val="00BA197B"/>
    <w:rsid w:val="00BB5D76"/>
    <w:rsid w:val="00BB6522"/>
    <w:rsid w:val="00BB6873"/>
    <w:rsid w:val="00BB7994"/>
    <w:rsid w:val="00BC2B67"/>
    <w:rsid w:val="00BC5440"/>
    <w:rsid w:val="00BC64D4"/>
    <w:rsid w:val="00BC6D7C"/>
    <w:rsid w:val="00BC7652"/>
    <w:rsid w:val="00BC77B8"/>
    <w:rsid w:val="00BD08AC"/>
    <w:rsid w:val="00BD0BC8"/>
    <w:rsid w:val="00BD4790"/>
    <w:rsid w:val="00BD7DD8"/>
    <w:rsid w:val="00BF4164"/>
    <w:rsid w:val="00C00459"/>
    <w:rsid w:val="00C02B81"/>
    <w:rsid w:val="00C03749"/>
    <w:rsid w:val="00C0633A"/>
    <w:rsid w:val="00C07256"/>
    <w:rsid w:val="00C10CDB"/>
    <w:rsid w:val="00C1259E"/>
    <w:rsid w:val="00C125E9"/>
    <w:rsid w:val="00C13D4C"/>
    <w:rsid w:val="00C14772"/>
    <w:rsid w:val="00C2001B"/>
    <w:rsid w:val="00C2033C"/>
    <w:rsid w:val="00C225D1"/>
    <w:rsid w:val="00C23FEC"/>
    <w:rsid w:val="00C273F7"/>
    <w:rsid w:val="00C33C6C"/>
    <w:rsid w:val="00C349C0"/>
    <w:rsid w:val="00C37A3D"/>
    <w:rsid w:val="00C459D4"/>
    <w:rsid w:val="00C4684B"/>
    <w:rsid w:val="00C47FE3"/>
    <w:rsid w:val="00C51188"/>
    <w:rsid w:val="00C55684"/>
    <w:rsid w:val="00C56427"/>
    <w:rsid w:val="00C60143"/>
    <w:rsid w:val="00C60728"/>
    <w:rsid w:val="00C609A0"/>
    <w:rsid w:val="00C62F90"/>
    <w:rsid w:val="00C64310"/>
    <w:rsid w:val="00C64833"/>
    <w:rsid w:val="00C65F59"/>
    <w:rsid w:val="00C66077"/>
    <w:rsid w:val="00C67F78"/>
    <w:rsid w:val="00C71A3F"/>
    <w:rsid w:val="00C729F3"/>
    <w:rsid w:val="00C72E66"/>
    <w:rsid w:val="00C738F6"/>
    <w:rsid w:val="00C740A8"/>
    <w:rsid w:val="00C74BC8"/>
    <w:rsid w:val="00C767D8"/>
    <w:rsid w:val="00C81763"/>
    <w:rsid w:val="00C84DC9"/>
    <w:rsid w:val="00C84FD6"/>
    <w:rsid w:val="00C8557F"/>
    <w:rsid w:val="00C86037"/>
    <w:rsid w:val="00C905E7"/>
    <w:rsid w:val="00C94EA3"/>
    <w:rsid w:val="00C963D3"/>
    <w:rsid w:val="00C97334"/>
    <w:rsid w:val="00CA1C14"/>
    <w:rsid w:val="00CA2058"/>
    <w:rsid w:val="00CA2991"/>
    <w:rsid w:val="00CA3EBB"/>
    <w:rsid w:val="00CA4C9D"/>
    <w:rsid w:val="00CA62AE"/>
    <w:rsid w:val="00CA6B2F"/>
    <w:rsid w:val="00CA6F64"/>
    <w:rsid w:val="00CB06E3"/>
    <w:rsid w:val="00CC1133"/>
    <w:rsid w:val="00CC1216"/>
    <w:rsid w:val="00CC1E51"/>
    <w:rsid w:val="00CC5F92"/>
    <w:rsid w:val="00CD17EC"/>
    <w:rsid w:val="00CD4C45"/>
    <w:rsid w:val="00CD696E"/>
    <w:rsid w:val="00CD6B7B"/>
    <w:rsid w:val="00CE074C"/>
    <w:rsid w:val="00CE423A"/>
    <w:rsid w:val="00CE77E1"/>
    <w:rsid w:val="00CF01D6"/>
    <w:rsid w:val="00CF652F"/>
    <w:rsid w:val="00D00055"/>
    <w:rsid w:val="00D035A1"/>
    <w:rsid w:val="00D04788"/>
    <w:rsid w:val="00D07A69"/>
    <w:rsid w:val="00D12547"/>
    <w:rsid w:val="00D16EF9"/>
    <w:rsid w:val="00D23693"/>
    <w:rsid w:val="00D308E0"/>
    <w:rsid w:val="00D326F0"/>
    <w:rsid w:val="00D33D9E"/>
    <w:rsid w:val="00D33EAD"/>
    <w:rsid w:val="00D36ABC"/>
    <w:rsid w:val="00D36C78"/>
    <w:rsid w:val="00D42851"/>
    <w:rsid w:val="00D42A23"/>
    <w:rsid w:val="00D44A81"/>
    <w:rsid w:val="00D46B9E"/>
    <w:rsid w:val="00D52B6D"/>
    <w:rsid w:val="00D54329"/>
    <w:rsid w:val="00D546B7"/>
    <w:rsid w:val="00D55380"/>
    <w:rsid w:val="00D57776"/>
    <w:rsid w:val="00D6211F"/>
    <w:rsid w:val="00D65EDF"/>
    <w:rsid w:val="00D67267"/>
    <w:rsid w:val="00D70FFA"/>
    <w:rsid w:val="00D74A54"/>
    <w:rsid w:val="00D75D7A"/>
    <w:rsid w:val="00D75DAA"/>
    <w:rsid w:val="00D76A60"/>
    <w:rsid w:val="00D76FA6"/>
    <w:rsid w:val="00D772CB"/>
    <w:rsid w:val="00D81BE7"/>
    <w:rsid w:val="00D823EA"/>
    <w:rsid w:val="00D83021"/>
    <w:rsid w:val="00D844D8"/>
    <w:rsid w:val="00D85868"/>
    <w:rsid w:val="00D861D2"/>
    <w:rsid w:val="00D8728D"/>
    <w:rsid w:val="00D91483"/>
    <w:rsid w:val="00D91EA4"/>
    <w:rsid w:val="00D924B4"/>
    <w:rsid w:val="00D955B2"/>
    <w:rsid w:val="00D9683A"/>
    <w:rsid w:val="00DA12A8"/>
    <w:rsid w:val="00DA420C"/>
    <w:rsid w:val="00DA49B6"/>
    <w:rsid w:val="00DA5015"/>
    <w:rsid w:val="00DA6B85"/>
    <w:rsid w:val="00DA7B5D"/>
    <w:rsid w:val="00DB7C9D"/>
    <w:rsid w:val="00DC0D42"/>
    <w:rsid w:val="00DC1E81"/>
    <w:rsid w:val="00DD3283"/>
    <w:rsid w:val="00DE357F"/>
    <w:rsid w:val="00DE77B8"/>
    <w:rsid w:val="00DE78D2"/>
    <w:rsid w:val="00DE7CDD"/>
    <w:rsid w:val="00DF1353"/>
    <w:rsid w:val="00DF39E1"/>
    <w:rsid w:val="00DF55BB"/>
    <w:rsid w:val="00E00614"/>
    <w:rsid w:val="00E02FCC"/>
    <w:rsid w:val="00E0308F"/>
    <w:rsid w:val="00E03509"/>
    <w:rsid w:val="00E04A1D"/>
    <w:rsid w:val="00E1019F"/>
    <w:rsid w:val="00E10613"/>
    <w:rsid w:val="00E11431"/>
    <w:rsid w:val="00E16829"/>
    <w:rsid w:val="00E17C64"/>
    <w:rsid w:val="00E201C3"/>
    <w:rsid w:val="00E20262"/>
    <w:rsid w:val="00E2028A"/>
    <w:rsid w:val="00E20688"/>
    <w:rsid w:val="00E2278A"/>
    <w:rsid w:val="00E26396"/>
    <w:rsid w:val="00E359E5"/>
    <w:rsid w:val="00E3629E"/>
    <w:rsid w:val="00E458E8"/>
    <w:rsid w:val="00E50A78"/>
    <w:rsid w:val="00E61395"/>
    <w:rsid w:val="00E62D24"/>
    <w:rsid w:val="00E64A35"/>
    <w:rsid w:val="00E64FB7"/>
    <w:rsid w:val="00E66FF8"/>
    <w:rsid w:val="00E75DD5"/>
    <w:rsid w:val="00E75F67"/>
    <w:rsid w:val="00E7673E"/>
    <w:rsid w:val="00E77A92"/>
    <w:rsid w:val="00E817B5"/>
    <w:rsid w:val="00E82EF7"/>
    <w:rsid w:val="00E8480B"/>
    <w:rsid w:val="00E8799D"/>
    <w:rsid w:val="00E96BDD"/>
    <w:rsid w:val="00EA0D09"/>
    <w:rsid w:val="00EA2D3C"/>
    <w:rsid w:val="00EA5E8A"/>
    <w:rsid w:val="00EA63DB"/>
    <w:rsid w:val="00EA64FB"/>
    <w:rsid w:val="00EB04B5"/>
    <w:rsid w:val="00EB43ED"/>
    <w:rsid w:val="00EB4C2C"/>
    <w:rsid w:val="00EB5760"/>
    <w:rsid w:val="00EB6227"/>
    <w:rsid w:val="00EB64B4"/>
    <w:rsid w:val="00EC079E"/>
    <w:rsid w:val="00EC10EA"/>
    <w:rsid w:val="00EC1D1E"/>
    <w:rsid w:val="00EC1E31"/>
    <w:rsid w:val="00ED1BD4"/>
    <w:rsid w:val="00ED1FDF"/>
    <w:rsid w:val="00ED223A"/>
    <w:rsid w:val="00ED2529"/>
    <w:rsid w:val="00ED6DE2"/>
    <w:rsid w:val="00EE23A3"/>
    <w:rsid w:val="00EE280F"/>
    <w:rsid w:val="00EE442F"/>
    <w:rsid w:val="00EE44A1"/>
    <w:rsid w:val="00EE463D"/>
    <w:rsid w:val="00EE50FF"/>
    <w:rsid w:val="00EE56D6"/>
    <w:rsid w:val="00EE6DBC"/>
    <w:rsid w:val="00EE7E65"/>
    <w:rsid w:val="00EF0674"/>
    <w:rsid w:val="00EF5138"/>
    <w:rsid w:val="00EF6BBE"/>
    <w:rsid w:val="00EF74F4"/>
    <w:rsid w:val="00F00925"/>
    <w:rsid w:val="00F00980"/>
    <w:rsid w:val="00F03A5A"/>
    <w:rsid w:val="00F04603"/>
    <w:rsid w:val="00F11171"/>
    <w:rsid w:val="00F14D07"/>
    <w:rsid w:val="00F1612A"/>
    <w:rsid w:val="00F1684D"/>
    <w:rsid w:val="00F177E4"/>
    <w:rsid w:val="00F179A8"/>
    <w:rsid w:val="00F17BC8"/>
    <w:rsid w:val="00F20023"/>
    <w:rsid w:val="00F20746"/>
    <w:rsid w:val="00F21A9E"/>
    <w:rsid w:val="00F2326E"/>
    <w:rsid w:val="00F2654E"/>
    <w:rsid w:val="00F301C8"/>
    <w:rsid w:val="00F349AF"/>
    <w:rsid w:val="00F36B2F"/>
    <w:rsid w:val="00F37212"/>
    <w:rsid w:val="00F37703"/>
    <w:rsid w:val="00F41F35"/>
    <w:rsid w:val="00F42EBB"/>
    <w:rsid w:val="00F45E68"/>
    <w:rsid w:val="00F5113D"/>
    <w:rsid w:val="00F53A4C"/>
    <w:rsid w:val="00F55D1A"/>
    <w:rsid w:val="00F62063"/>
    <w:rsid w:val="00F62798"/>
    <w:rsid w:val="00F64D2A"/>
    <w:rsid w:val="00F677FA"/>
    <w:rsid w:val="00F67839"/>
    <w:rsid w:val="00F67A6D"/>
    <w:rsid w:val="00F7077A"/>
    <w:rsid w:val="00F77AF5"/>
    <w:rsid w:val="00F84970"/>
    <w:rsid w:val="00F87CAA"/>
    <w:rsid w:val="00F93A50"/>
    <w:rsid w:val="00F94479"/>
    <w:rsid w:val="00F96049"/>
    <w:rsid w:val="00F96464"/>
    <w:rsid w:val="00F96840"/>
    <w:rsid w:val="00FA14D8"/>
    <w:rsid w:val="00FA5B52"/>
    <w:rsid w:val="00FA6670"/>
    <w:rsid w:val="00FA7332"/>
    <w:rsid w:val="00FB378E"/>
    <w:rsid w:val="00FB5823"/>
    <w:rsid w:val="00FC321B"/>
    <w:rsid w:val="00FC347E"/>
    <w:rsid w:val="00FC42C0"/>
    <w:rsid w:val="00FC6529"/>
    <w:rsid w:val="00FC67ED"/>
    <w:rsid w:val="00FD0966"/>
    <w:rsid w:val="00FD4D65"/>
    <w:rsid w:val="00FD6CC9"/>
    <w:rsid w:val="00FD74EA"/>
    <w:rsid w:val="00FE213D"/>
    <w:rsid w:val="00FE221E"/>
    <w:rsid w:val="00FE3DF6"/>
    <w:rsid w:val="00FE6312"/>
    <w:rsid w:val="00FF082D"/>
    <w:rsid w:val="00FF10D6"/>
    <w:rsid w:val="00FF29EC"/>
    <w:rsid w:val="00FF3FA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1CB9B6"/>
  <w14:defaultImageDpi w14:val="96"/>
  <w15:chartTrackingRefBased/>
  <w15:docId w15:val="{7FBCE5A4-1AE0-4145-AFBD-A04B4E8D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519B3"/>
    <w:pPr>
      <w:keepNext/>
      <w:jc w:val="both"/>
      <w:outlineLvl w:val="8"/>
    </w:pPr>
    <w:rPr>
      <w:b/>
      <w:i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rFonts w:cs="Times New Roman"/>
      <w:color w:val="0000FF"/>
      <w:u w:val="single"/>
    </w:rPr>
  </w:style>
  <w:style w:type="paragraph" w:customStyle="1" w:styleId="htleft">
    <w:name w:val="htleft"/>
    <w:basedOn w:val="Normal"/>
    <w:pPr>
      <w:spacing w:before="100" w:beforeAutospacing="1" w:after="100" w:afterAutospacing="1"/>
    </w:pPr>
  </w:style>
  <w:style w:type="paragraph" w:customStyle="1" w:styleId="htright">
    <w:name w:val="htright"/>
    <w:basedOn w:val="Normal"/>
    <w:pPr>
      <w:spacing w:before="100" w:beforeAutospacing="1" w:after="100" w:afterAutospacing="1"/>
      <w:jc w:val="right"/>
    </w:pPr>
  </w:style>
  <w:style w:type="paragraph" w:customStyle="1" w:styleId="htcenter">
    <w:name w:val="htcenter"/>
    <w:basedOn w:val="Normal"/>
    <w:pPr>
      <w:spacing w:before="100" w:beforeAutospacing="1" w:after="100" w:afterAutospacing="1"/>
      <w:jc w:val="center"/>
    </w:pPr>
  </w:style>
  <w:style w:type="paragraph" w:customStyle="1" w:styleId="htjust">
    <w:name w:val="htjust"/>
    <w:basedOn w:val="Normal"/>
    <w:pPr>
      <w:spacing w:before="100" w:beforeAutospacing="1" w:after="100" w:afterAutospacing="1"/>
      <w:jc w:val="both"/>
    </w:pPr>
  </w:style>
  <w:style w:type="paragraph" w:customStyle="1" w:styleId="c2">
    <w:name w:val="c2"/>
    <w:basedOn w:val="Normal"/>
    <w:pPr>
      <w:spacing w:before="100" w:beforeAutospacing="1" w:after="100" w:afterAutospacing="1"/>
      <w:jc w:val="center"/>
    </w:pPr>
  </w:style>
  <w:style w:type="paragraph" w:customStyle="1" w:styleId="c1">
    <w:name w:val="c1"/>
    <w:basedOn w:val="Normal"/>
    <w:pPr>
      <w:spacing w:before="100" w:beforeAutospacing="1" w:after="100" w:afterAutospacing="1"/>
      <w:jc w:val="right"/>
    </w:pPr>
  </w:style>
  <w:style w:type="paragraph" w:customStyle="1" w:styleId="doccontent">
    <w:name w:val="doccontent"/>
    <w:basedOn w:val="Normal"/>
    <w:pPr>
      <w:shd w:val="clear" w:color="auto" w:fill="FFFFFF"/>
      <w:spacing w:before="100" w:beforeAutospacing="1" w:after="100" w:afterAutospacing="1"/>
      <w:jc w:val="both"/>
    </w:pPr>
    <w:rPr>
      <w:rFonts w:ascii="Tahoma" w:hAnsi="Tahoma" w:cs="Tahoma"/>
      <w:color w:val="000000"/>
      <w:sz w:val="22"/>
      <w:szCs w:val="22"/>
    </w:rPr>
  </w:style>
  <w:style w:type="paragraph" w:customStyle="1" w:styleId="repealed">
    <w:name w:val="repealed"/>
    <w:basedOn w:val="Normal"/>
    <w:pPr>
      <w:spacing w:before="100" w:beforeAutospacing="1" w:after="100" w:afterAutospacing="1"/>
    </w:pPr>
  </w:style>
  <w:style w:type="paragraph" w:customStyle="1" w:styleId="oldrevision">
    <w:name w:val="old_revision"/>
    <w:basedOn w:val="Normal"/>
    <w:pPr>
      <w:spacing w:before="100" w:beforeAutospacing="1" w:after="100" w:afterAutospacing="1"/>
    </w:pPr>
  </w:style>
  <w:style w:type="paragraph" w:customStyle="1" w:styleId="archive">
    <w:name w:val="archive"/>
    <w:basedOn w:val="Normal"/>
    <w:pPr>
      <w:spacing w:before="100" w:beforeAutospacing="1" w:after="100" w:afterAutospacing="1"/>
    </w:pPr>
  </w:style>
  <w:style w:type="paragraph" w:customStyle="1" w:styleId="hiddenref">
    <w:name w:val="hiddenref"/>
    <w:basedOn w:val="Normal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idwrap">
    <w:name w:val="idwrap"/>
    <w:basedOn w:val="Normal"/>
    <w:pPr>
      <w:spacing w:before="100" w:beforeAutospacing="1" w:after="100" w:afterAutospacing="1"/>
    </w:pPr>
  </w:style>
  <w:style w:type="paragraph" w:customStyle="1" w:styleId="idwrapselected">
    <w:name w:val="idwrapselected"/>
    <w:basedOn w:val="Normal"/>
    <w:pPr>
      <w:shd w:val="clear" w:color="auto" w:fill="6E95C8"/>
      <w:spacing w:before="100" w:beforeAutospacing="1" w:after="100" w:afterAutospacing="1"/>
    </w:pPr>
  </w:style>
  <w:style w:type="paragraph" w:customStyle="1" w:styleId="articlecontent">
    <w:name w:val="articlecontent"/>
    <w:basedOn w:val="Normal"/>
    <w:pPr>
      <w:spacing w:before="100" w:beforeAutospacing="1" w:after="100" w:afterAutospacing="1"/>
      <w:ind w:left="150"/>
    </w:pPr>
  </w:style>
  <w:style w:type="paragraph" w:customStyle="1" w:styleId="selectedouter">
    <w:name w:val="selectedouter"/>
    <w:basedOn w:val="Normal"/>
    <w:pPr>
      <w:shd w:val="clear" w:color="auto" w:fill="5077AA"/>
      <w:spacing w:before="100" w:beforeAutospacing="1" w:after="100" w:afterAutospacing="1"/>
      <w:ind w:left="-375" w:right="-75"/>
    </w:pPr>
  </w:style>
  <w:style w:type="paragraph" w:customStyle="1" w:styleId="selectedinner">
    <w:name w:val="selectedinner"/>
    <w:basedOn w:val="Normal"/>
    <w:pPr>
      <w:shd w:val="clear" w:color="auto" w:fill="FFFFC8"/>
      <w:spacing w:before="100" w:beforeAutospacing="1" w:after="100" w:afterAutospacing="1"/>
    </w:pPr>
  </w:style>
  <w:style w:type="paragraph" w:customStyle="1" w:styleId="selectedinnerfa">
    <w:name w:val="selectedinnerfa"/>
    <w:basedOn w:val="Normal"/>
    <w:pPr>
      <w:shd w:val="clear" w:color="auto" w:fill="FFFFC8"/>
      <w:spacing w:before="100" w:beforeAutospacing="1" w:after="100" w:afterAutospacing="1"/>
    </w:pPr>
  </w:style>
  <w:style w:type="paragraph" w:customStyle="1" w:styleId="divid">
    <w:name w:val="divid"/>
    <w:basedOn w:val="Normal"/>
    <w:pPr>
      <w:shd w:val="clear" w:color="auto" w:fill="FF0000"/>
      <w:spacing w:before="100" w:beforeAutospacing="1" w:after="100" w:afterAutospacing="1"/>
    </w:pPr>
    <w:rPr>
      <w:color w:val="FFFFFF"/>
    </w:rPr>
  </w:style>
  <w:style w:type="paragraph" w:customStyle="1" w:styleId="spanid">
    <w:name w:val="spanid"/>
    <w:basedOn w:val="Normal"/>
    <w:pPr>
      <w:shd w:val="clear" w:color="auto" w:fill="00AB36"/>
      <w:spacing w:before="100" w:beforeAutospacing="1" w:after="100" w:afterAutospacing="1"/>
    </w:pPr>
    <w:rPr>
      <w:color w:val="FFFFFF"/>
    </w:rPr>
  </w:style>
  <w:style w:type="paragraph" w:customStyle="1" w:styleId="ahref">
    <w:name w:val="ahref"/>
    <w:basedOn w:val="Normal"/>
    <w:pPr>
      <w:shd w:val="clear" w:color="auto" w:fill="05DFF9"/>
      <w:spacing w:before="100" w:beforeAutospacing="1" w:after="100" w:afterAutospacing="1"/>
    </w:pPr>
    <w:rPr>
      <w:color w:val="000000"/>
    </w:rPr>
  </w:style>
  <w:style w:type="paragraph" w:customStyle="1" w:styleId="light">
    <w:name w:val="light"/>
    <w:basedOn w:val="Normal"/>
    <w:pPr>
      <w:shd w:val="clear" w:color="auto" w:fill="FFFF00"/>
      <w:spacing w:before="100" w:beforeAutospacing="1" w:after="100" w:afterAutospacing="1"/>
    </w:pPr>
  </w:style>
  <w:style w:type="paragraph" w:customStyle="1" w:styleId="greenlight">
    <w:name w:val="greenlight"/>
    <w:basedOn w:val="Normal"/>
    <w:pPr>
      <w:shd w:val="clear" w:color="auto" w:fill="90EE90"/>
      <w:spacing w:before="100" w:beforeAutospacing="1" w:after="100" w:afterAutospacing="1"/>
    </w:pPr>
  </w:style>
  <w:style w:type="paragraph" w:customStyle="1" w:styleId="todo">
    <w:name w:val="todo"/>
    <w:basedOn w:val="Normal"/>
    <w:pPr>
      <w:shd w:val="clear" w:color="auto" w:fill="FF0000"/>
      <w:spacing w:before="100" w:beforeAutospacing="1" w:after="100" w:afterAutospacing="1"/>
    </w:pPr>
    <w:rPr>
      <w:vanish/>
      <w:color w:val="FFFFFF"/>
    </w:rPr>
  </w:style>
  <w:style w:type="paragraph" w:customStyle="1" w:styleId="paramerr">
    <w:name w:val="param_err"/>
    <w:basedOn w:val="Normal"/>
    <w:pPr>
      <w:shd w:val="clear" w:color="auto" w:fill="FF0000"/>
      <w:spacing w:before="100" w:beforeAutospacing="1" w:after="100" w:afterAutospacing="1"/>
    </w:pPr>
    <w:rPr>
      <w:vanish/>
      <w:color w:val="FFFFFF"/>
    </w:rPr>
  </w:style>
  <w:style w:type="paragraph" w:styleId="Title">
    <w:name w:val="Title"/>
    <w:basedOn w:val="Normal"/>
    <w:link w:val="TitleChar"/>
    <w:uiPriority w:val="10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hangelog">
    <w:name w:val="changelog"/>
    <w:basedOn w:val="Normal"/>
    <w:pPr>
      <w:spacing w:before="100" w:beforeAutospacing="1" w:after="100" w:afterAutospacing="1"/>
      <w:ind w:firstLine="480"/>
    </w:pPr>
  </w:style>
  <w:style w:type="paragraph" w:customStyle="1" w:styleId="parinclink">
    <w:name w:val="parinclink"/>
    <w:basedOn w:val="Normal"/>
    <w:pPr>
      <w:spacing w:before="100" w:beforeAutospacing="1" w:after="100" w:afterAutospacing="1"/>
      <w:ind w:left="-240"/>
    </w:pPr>
  </w:style>
  <w:style w:type="paragraph" w:customStyle="1" w:styleId="pardislink">
    <w:name w:val="pardislink"/>
    <w:basedOn w:val="Normal"/>
    <w:pPr>
      <w:spacing w:before="100" w:beforeAutospacing="1" w:after="100" w:afterAutospacing="1"/>
      <w:ind w:left="-240"/>
    </w:pPr>
  </w:style>
  <w:style w:type="paragraph" w:customStyle="1" w:styleId="parnotelink">
    <w:name w:val="parnotelink"/>
    <w:basedOn w:val="Normal"/>
    <w:pPr>
      <w:spacing w:before="100" w:beforeAutospacing="1" w:after="100" w:afterAutospacing="1"/>
      <w:ind w:left="-450"/>
    </w:pPr>
  </w:style>
  <w:style w:type="paragraph" w:customStyle="1" w:styleId="faparnotelink">
    <w:name w:val="faparnotelink"/>
    <w:basedOn w:val="Normal"/>
    <w:pPr>
      <w:spacing w:before="100" w:beforeAutospacing="1" w:after="100" w:afterAutospacing="1"/>
    </w:pPr>
  </w:style>
  <w:style w:type="paragraph" w:customStyle="1" w:styleId="subparinclink">
    <w:name w:val="subparinclink"/>
    <w:basedOn w:val="Normal"/>
    <w:pPr>
      <w:spacing w:before="100" w:beforeAutospacing="1" w:after="100" w:afterAutospacing="1"/>
      <w:ind w:left="-165"/>
    </w:pPr>
  </w:style>
  <w:style w:type="paragraph" w:customStyle="1" w:styleId="subpardislink">
    <w:name w:val="subpardislink"/>
    <w:basedOn w:val="Normal"/>
    <w:pPr>
      <w:spacing w:before="100" w:beforeAutospacing="1" w:after="100" w:afterAutospacing="1"/>
      <w:ind w:left="-165"/>
    </w:pPr>
  </w:style>
  <w:style w:type="paragraph" w:customStyle="1" w:styleId="fasubparinclink">
    <w:name w:val="fasubparinclink"/>
    <w:basedOn w:val="Normal"/>
    <w:pPr>
      <w:spacing w:before="100" w:beforeAutospacing="1" w:after="100" w:afterAutospacing="1"/>
    </w:pPr>
  </w:style>
  <w:style w:type="paragraph" w:customStyle="1" w:styleId="fasubpardislink">
    <w:name w:val="fasubpardislink"/>
    <w:basedOn w:val="Normal"/>
    <w:pPr>
      <w:spacing w:before="100" w:beforeAutospacing="1" w:after="100" w:afterAutospacing="1"/>
    </w:pPr>
  </w:style>
  <w:style w:type="paragraph" w:customStyle="1" w:styleId="changeinnernew">
    <w:name w:val="changeinnernew"/>
    <w:basedOn w:val="Normal"/>
    <w:pPr>
      <w:shd w:val="clear" w:color="auto" w:fill="FFC8C8"/>
      <w:spacing w:before="100" w:beforeAutospacing="1" w:after="100" w:afterAutospacing="1"/>
    </w:pPr>
    <w:rPr>
      <w:i/>
      <w:iCs/>
    </w:rPr>
  </w:style>
  <w:style w:type="paragraph" w:customStyle="1" w:styleId="changeinnernewcaption">
    <w:name w:val="changeinnernewcaption"/>
    <w:basedOn w:val="Normal"/>
    <w:pPr>
      <w:shd w:val="clear" w:color="auto" w:fill="FFAAAA"/>
      <w:spacing w:before="100" w:beforeAutospacing="1" w:after="100" w:afterAutospacing="1"/>
    </w:pPr>
  </w:style>
  <w:style w:type="paragraph" w:customStyle="1" w:styleId="changeinnerold">
    <w:name w:val="changeinnerold"/>
    <w:basedOn w:val="Normal"/>
    <w:pPr>
      <w:shd w:val="clear" w:color="auto" w:fill="FFE6E6"/>
      <w:spacing w:before="100" w:beforeAutospacing="1" w:after="100" w:afterAutospacing="1"/>
    </w:pPr>
  </w:style>
  <w:style w:type="paragraph" w:customStyle="1" w:styleId="sectionc">
    <w:name w:val="section_c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ectiond">
    <w:name w:val="section_d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ectiong">
    <w:name w:val="section_g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ectionr">
    <w:name w:val="section_r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ectionpz">
    <w:name w:val="section_pz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ectionsa">
    <w:name w:val="section_sa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ection">
    <w:name w:val="section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par">
    <w:name w:val="par"/>
    <w:basedOn w:val="Normal"/>
    <w:pPr>
      <w:spacing w:before="100" w:beforeAutospacing="1" w:after="100" w:afterAutospacing="1"/>
      <w:ind w:firstLine="480"/>
    </w:pPr>
  </w:style>
  <w:style w:type="paragraph" w:customStyle="1" w:styleId="parc">
    <w:name w:val="par_c"/>
    <w:basedOn w:val="Normal"/>
    <w:pPr>
      <w:spacing w:before="100" w:beforeAutospacing="1" w:after="100" w:afterAutospacing="1"/>
      <w:ind w:firstLine="480"/>
    </w:pPr>
  </w:style>
  <w:style w:type="paragraph" w:customStyle="1" w:styleId="parp">
    <w:name w:val="par_p"/>
    <w:basedOn w:val="Normal"/>
    <w:pPr>
      <w:spacing w:before="100" w:beforeAutospacing="1" w:after="100" w:afterAutospacing="1"/>
      <w:ind w:firstLine="480"/>
    </w:pPr>
  </w:style>
  <w:style w:type="paragraph" w:customStyle="1" w:styleId="parsupercapt">
    <w:name w:val="par_super_capt"/>
    <w:basedOn w:val="Normal"/>
    <w:pPr>
      <w:spacing w:before="100" w:beforeAutospacing="1" w:after="100" w:afterAutospacing="1"/>
      <w:ind w:firstLine="480"/>
    </w:pPr>
  </w:style>
  <w:style w:type="paragraph" w:customStyle="1" w:styleId="al">
    <w:name w:val="al"/>
    <w:basedOn w:val="Normal"/>
    <w:pPr>
      <w:spacing w:before="100" w:beforeAutospacing="1" w:after="100" w:afterAutospacing="1"/>
    </w:pPr>
  </w:style>
  <w:style w:type="paragraph" w:customStyle="1" w:styleId="ala">
    <w:name w:val="al_a"/>
    <w:basedOn w:val="Normal"/>
    <w:pPr>
      <w:spacing w:before="100" w:beforeAutospacing="1" w:after="100" w:afterAutospacing="1"/>
    </w:pPr>
  </w:style>
  <w:style w:type="paragraph" w:customStyle="1" w:styleId="alt">
    <w:name w:val="al_t"/>
    <w:basedOn w:val="Normal"/>
    <w:pPr>
      <w:spacing w:before="100" w:beforeAutospacing="1" w:after="100" w:afterAutospacing="1"/>
    </w:pPr>
  </w:style>
  <w:style w:type="paragraph" w:customStyle="1" w:styleId="alb">
    <w:name w:val="al_b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</w:style>
  <w:style w:type="paragraph" w:customStyle="1" w:styleId="parcapt">
    <w:name w:val="par_capt"/>
    <w:basedOn w:val="Normal"/>
    <w:pPr>
      <w:spacing w:before="100" w:beforeAutospacing="1" w:after="100" w:afterAutospacing="1"/>
      <w:ind w:firstLine="480"/>
    </w:pPr>
    <w:rPr>
      <w:b/>
      <w:bCs/>
    </w:rPr>
  </w:style>
  <w:style w:type="paragraph" w:customStyle="1" w:styleId="alcapt">
    <w:name w:val="al_cap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changed">
    <w:name w:val="changed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">
    <w:name w:val="p"/>
    <w:basedOn w:val="Normal"/>
    <w:pPr>
      <w:spacing w:before="100" w:beforeAutospacing="1" w:after="100" w:afterAutospacing="1"/>
    </w:pPr>
  </w:style>
  <w:style w:type="paragraph" w:customStyle="1" w:styleId="ldef">
    <w:name w:val="ldef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irefword">
    <w:name w:val="iref_wor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ind">
    <w:name w:val="ind"/>
    <w:basedOn w:val="Normal"/>
    <w:pPr>
      <w:spacing w:before="100" w:beforeAutospacing="1" w:after="100" w:afterAutospacing="1"/>
      <w:ind w:firstLine="480"/>
    </w:pPr>
  </w:style>
  <w:style w:type="paragraph" w:customStyle="1" w:styleId="nl">
    <w:name w:val="nl"/>
    <w:basedOn w:val="Normal"/>
    <w:pPr>
      <w:spacing w:before="100" w:beforeAutospacing="1" w:after="100" w:afterAutospacing="1"/>
    </w:pPr>
  </w:style>
  <w:style w:type="paragraph" w:customStyle="1" w:styleId="selectedinhint">
    <w:name w:val="selectedinhint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whatsnewsection">
    <w:name w:val="whatsnew_section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whatsnewpar">
    <w:name w:val="whatsnew_par"/>
    <w:basedOn w:val="Normal"/>
    <w:pPr>
      <w:spacing w:before="100" w:beforeAutospacing="1" w:after="100" w:afterAutospacing="1"/>
      <w:ind w:firstLine="240"/>
    </w:pPr>
    <w:rPr>
      <w:b/>
      <w:bCs/>
    </w:rPr>
  </w:style>
  <w:style w:type="paragraph" w:customStyle="1" w:styleId="whatsnewul">
    <w:name w:val="whatsnew_ul"/>
    <w:basedOn w:val="Normal"/>
    <w:pPr>
      <w:spacing w:before="75" w:after="75"/>
    </w:pPr>
  </w:style>
  <w:style w:type="paragraph" w:customStyle="1" w:styleId="ncp">
    <w:name w:val="ncp"/>
    <w:basedOn w:val="Normal"/>
    <w:pPr>
      <w:spacing w:before="100" w:beforeAutospacing="1" w:after="100" w:afterAutospacing="1"/>
      <w:ind w:firstLine="480"/>
    </w:pPr>
  </w:style>
  <w:style w:type="paragraph" w:customStyle="1" w:styleId="evabbrev">
    <w:name w:val="ev_abbrev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evlang">
    <w:name w:val="ev_lang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glostitle">
    <w:name w:val="glos_title"/>
    <w:basedOn w:val="Normal"/>
    <w:pPr>
      <w:spacing w:before="100" w:beforeAutospacing="1" w:after="75"/>
      <w:ind w:firstLine="480"/>
    </w:pPr>
    <w:rPr>
      <w:b/>
      <w:bCs/>
    </w:rPr>
  </w:style>
  <w:style w:type="paragraph" w:customStyle="1" w:styleId="glosdesc">
    <w:name w:val="glos_desc"/>
    <w:basedOn w:val="Normal"/>
    <w:pPr>
      <w:spacing w:before="100" w:beforeAutospacing="1" w:after="100" w:afterAutospacing="1"/>
      <w:ind w:firstLine="480"/>
    </w:pPr>
  </w:style>
  <w:style w:type="paragraph" w:customStyle="1" w:styleId="articlehistory">
    <w:name w:val="article_history"/>
    <w:basedOn w:val="Normal"/>
    <w:pPr>
      <w:pBdr>
        <w:bottom w:val="dotted" w:sz="6" w:space="0" w:color="000000"/>
      </w:pBdr>
      <w:spacing w:before="100" w:beforeAutospacing="1" w:after="100" w:afterAutospacing="1"/>
    </w:pPr>
  </w:style>
  <w:style w:type="paragraph" w:customStyle="1" w:styleId="topic">
    <w:name w:val="topic"/>
    <w:basedOn w:val="Normal"/>
    <w:pPr>
      <w:spacing w:after="90"/>
    </w:pPr>
  </w:style>
  <w:style w:type="paragraph" w:customStyle="1" w:styleId="topicannotations">
    <w:name w:val="topic_annotations"/>
    <w:basedOn w:val="Normal"/>
    <w:pPr>
      <w:shd w:val="clear" w:color="auto" w:fill="EFEFEF"/>
      <w:spacing w:before="100" w:beforeAutospacing="1" w:after="100" w:afterAutospacing="1"/>
    </w:pPr>
    <w:rPr>
      <w:vanish/>
    </w:rPr>
  </w:style>
  <w:style w:type="paragraph" w:customStyle="1" w:styleId="articletopiccaption">
    <w:name w:val="article_topic_caption"/>
    <w:basedOn w:val="Normal"/>
    <w:pPr>
      <w:pBdr>
        <w:bottom w:val="dashed" w:sz="6" w:space="0" w:color="auto"/>
      </w:pBdr>
      <w:spacing w:before="100" w:beforeAutospacing="1" w:after="100" w:afterAutospacing="1"/>
    </w:pPr>
    <w:rPr>
      <w:color w:val="00007F"/>
    </w:rPr>
  </w:style>
  <w:style w:type="paragraph" w:customStyle="1" w:styleId="articletopicopen">
    <w:name w:val="article_topic_open"/>
    <w:basedOn w:val="Normal"/>
    <w:pPr>
      <w:pBdr>
        <w:bottom w:val="dashed" w:sz="6" w:space="0" w:color="00007F"/>
      </w:pBdr>
      <w:spacing w:before="100" w:beforeAutospacing="1" w:after="100" w:afterAutospacing="1"/>
    </w:pPr>
  </w:style>
  <w:style w:type="paragraph" w:customStyle="1" w:styleId="annotation">
    <w:name w:val="annotation"/>
    <w:basedOn w:val="Normal"/>
    <w:pPr>
      <w:spacing w:before="100" w:beforeAutospacing="1" w:after="90"/>
      <w:ind w:left="240"/>
    </w:pPr>
  </w:style>
  <w:style w:type="paragraph" w:customStyle="1" w:styleId="annotationpar">
    <w:name w:val="annotation_par"/>
    <w:basedOn w:val="Normal"/>
    <w:pPr>
      <w:spacing w:before="100" w:beforeAutospacing="1" w:after="100" w:afterAutospacing="1"/>
      <w:ind w:left="480"/>
    </w:pPr>
  </w:style>
  <w:style w:type="paragraph" w:customStyle="1" w:styleId="topicgroup">
    <w:name w:val="topic_group"/>
    <w:basedOn w:val="Normal"/>
    <w:pPr>
      <w:spacing w:before="100" w:beforeAutospacing="1" w:after="120"/>
    </w:pPr>
  </w:style>
  <w:style w:type="paragraph" w:customStyle="1" w:styleId="topicgroupcaption">
    <w:name w:val="topic_group_caption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opicinfo">
    <w:name w:val="topic_info"/>
    <w:basedOn w:val="Normal"/>
    <w:pPr>
      <w:spacing w:before="90"/>
      <w:ind w:left="240"/>
    </w:pPr>
  </w:style>
  <w:style w:type="paragraph" w:customStyle="1" w:styleId="topicinfoempty">
    <w:name w:val="topic_info_empty"/>
    <w:basedOn w:val="Normal"/>
    <w:pPr>
      <w:spacing w:before="100" w:beforeAutospacing="1" w:after="100" w:afterAutospacing="1"/>
    </w:pPr>
  </w:style>
  <w:style w:type="paragraph" w:customStyle="1" w:styleId="historytimelinedate">
    <w:name w:val="history_timeline_date"/>
    <w:basedOn w:val="Normal"/>
    <w:pPr>
      <w:spacing w:before="100" w:beforeAutospacing="1" w:after="100" w:afterAutospacing="1"/>
    </w:pPr>
  </w:style>
  <w:style w:type="paragraph" w:customStyle="1" w:styleId="historytimelineissue">
    <w:name w:val="history_timeline_issue"/>
    <w:basedOn w:val="Normal"/>
    <w:pPr>
      <w:shd w:val="clear" w:color="auto" w:fill="FFFFFF"/>
      <w:spacing w:before="240"/>
    </w:pPr>
  </w:style>
  <w:style w:type="paragraph" w:customStyle="1" w:styleId="historytimelinedocumentcontent">
    <w:name w:val="history_timeline_document_content"/>
    <w:basedOn w:val="Normal"/>
    <w:pPr>
      <w:pBdr>
        <w:top w:val="single" w:sz="6" w:space="0" w:color="BBBBBB"/>
        <w:left w:val="single" w:sz="6" w:space="3" w:color="BBBBBB"/>
        <w:bottom w:val="single" w:sz="6" w:space="2" w:color="333333"/>
        <w:right w:val="single" w:sz="6" w:space="3" w:color="333333"/>
      </w:pBdr>
      <w:shd w:val="clear" w:color="auto" w:fill="FFFFFF"/>
      <w:spacing w:before="240"/>
    </w:pPr>
  </w:style>
  <w:style w:type="paragraph" w:customStyle="1" w:styleId="historytimelinedocument">
    <w:name w:val="history_timeline_document"/>
    <w:basedOn w:val="Normal"/>
    <w:pPr>
      <w:spacing w:after="240"/>
    </w:pPr>
  </w:style>
  <w:style w:type="paragraph" w:customStyle="1" w:styleId="historytimelinedocumentexpand">
    <w:name w:val="history_timeline_document_expand"/>
    <w:basedOn w:val="Normal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changelogexpand">
    <w:name w:val="changelog_expand"/>
    <w:basedOn w:val="Normal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changelogheader">
    <w:name w:val="changelog_header"/>
    <w:basedOn w:val="Normal"/>
    <w:pPr>
      <w:spacing w:before="150" w:after="150"/>
      <w:ind w:left="150"/>
    </w:pPr>
  </w:style>
  <w:style w:type="paragraph" w:customStyle="1" w:styleId="changelogheadercaption">
    <w:name w:val="changelog_header_caption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hangelogheadertimelinebutton">
    <w:name w:val="changelog_header_timeline_button"/>
    <w:basedOn w:val="Normal"/>
    <w:pPr>
      <w:spacing w:before="100" w:beforeAutospacing="1" w:after="100" w:afterAutospacing="1"/>
    </w:pPr>
    <w:rPr>
      <w:color w:val="0000FF"/>
    </w:rPr>
  </w:style>
  <w:style w:type="paragraph" w:customStyle="1" w:styleId="changelogheaderhistorybutton">
    <w:name w:val="changelog_header_history_button"/>
    <w:basedOn w:val="Normal"/>
    <w:pPr>
      <w:spacing w:before="100" w:beforeAutospacing="1" w:after="100" w:afterAutospacing="1"/>
    </w:pPr>
    <w:rPr>
      <w:color w:val="0000FF"/>
    </w:rPr>
  </w:style>
  <w:style w:type="paragraph" w:customStyle="1" w:styleId="changeloghidden">
    <w:name w:val="changelog_hidden"/>
    <w:basedOn w:val="Normal"/>
    <w:pPr>
      <w:spacing w:before="100" w:beforeAutospacing="1" w:after="100" w:afterAutospacing="1"/>
    </w:pPr>
    <w:rPr>
      <w:vanish/>
    </w:rPr>
  </w:style>
  <w:style w:type="paragraph" w:customStyle="1" w:styleId="timelinehidden">
    <w:name w:val="timeline_hidden"/>
    <w:basedOn w:val="Normal"/>
    <w:pPr>
      <w:spacing w:before="100" w:beforeAutospacing="1" w:after="100" w:afterAutospacing="1"/>
    </w:pPr>
    <w:rPr>
      <w:vanish/>
    </w:rPr>
  </w:style>
  <w:style w:type="paragraph" w:customStyle="1" w:styleId="doclinkhint">
    <w:name w:val="doclinkhint"/>
    <w:basedOn w:val="Normal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popboximagesmall">
    <w:name w:val="popboximagesmall"/>
    <w:basedOn w:val="Normal"/>
    <w:pPr>
      <w:spacing w:before="100" w:beforeAutospacing="1" w:after="100" w:afterAutospacing="1"/>
    </w:pPr>
  </w:style>
  <w:style w:type="paragraph" w:customStyle="1" w:styleId="popboximagelarge">
    <w:name w:val="popboximagelarge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popboximagemove">
    <w:name w:val="popboximagemove"/>
    <w:basedOn w:val="Normal"/>
    <w:pPr>
      <w:spacing w:before="100" w:beforeAutospacing="1" w:after="100" w:afterAutospacing="1"/>
    </w:pPr>
  </w:style>
  <w:style w:type="paragraph" w:customStyle="1" w:styleId="tablecell">
    <w:name w:val="table_cell"/>
    <w:basedOn w:val="Normal"/>
    <w:pPr>
      <w:spacing w:before="100" w:beforeAutospacing="1" w:after="100" w:afterAutospacing="1"/>
    </w:pPr>
  </w:style>
  <w:style w:type="paragraph" w:customStyle="1" w:styleId="documenttitle">
    <w:name w:val="document_title"/>
    <w:basedOn w:val="Normal"/>
    <w:pPr>
      <w:spacing w:before="100" w:beforeAutospacing="1" w:after="100" w:afterAutospacing="1"/>
    </w:pPr>
  </w:style>
  <w:style w:type="paragraph" w:customStyle="1" w:styleId="addedtext">
    <w:name w:val="added_text"/>
    <w:basedOn w:val="Normal"/>
    <w:pPr>
      <w:shd w:val="clear" w:color="auto" w:fill="E1E1FF"/>
      <w:spacing w:before="100" w:beforeAutospacing="1" w:after="100" w:afterAutospacing="1"/>
    </w:pPr>
  </w:style>
  <w:style w:type="paragraph" w:customStyle="1" w:styleId="deletedtext">
    <w:name w:val="deleted_text"/>
    <w:basedOn w:val="Normal"/>
    <w:pPr>
      <w:spacing w:before="100" w:beforeAutospacing="1" w:after="100" w:afterAutospacing="1"/>
    </w:pPr>
    <w:rPr>
      <w:strike/>
      <w:color w:val="800000"/>
    </w:rPr>
  </w:style>
  <w:style w:type="paragraph" w:customStyle="1" w:styleId="changingarticles">
    <w:name w:val="changing_articles"/>
    <w:basedOn w:val="Normal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pacing w:before="60" w:after="60"/>
      <w:ind w:left="480"/>
    </w:pPr>
    <w:rPr>
      <w:sz w:val="19"/>
      <w:szCs w:val="19"/>
    </w:rPr>
  </w:style>
  <w:style w:type="paragraph" w:customStyle="1" w:styleId="changingopen">
    <w:name w:val="changing_open"/>
    <w:basedOn w:val="Normal"/>
    <w:pPr>
      <w:spacing w:before="100" w:beforeAutospacing="1" w:after="100" w:afterAutospacing="1"/>
      <w:ind w:left="-720"/>
    </w:pPr>
  </w:style>
  <w:style w:type="paragraph" w:customStyle="1" w:styleId="changedclose">
    <w:name w:val="changed_close"/>
    <w:basedOn w:val="Normal"/>
    <w:pPr>
      <w:spacing w:before="100" w:beforeAutospacing="1" w:after="100" w:afterAutospacing="1"/>
      <w:ind w:left="-720"/>
    </w:pPr>
  </w:style>
  <w:style w:type="paragraph" w:customStyle="1" w:styleId="changingclose">
    <w:name w:val="changing_close"/>
    <w:basedOn w:val="Normal"/>
    <w:pPr>
      <w:spacing w:before="100" w:beforeAutospacing="1" w:after="100" w:afterAutospacing="1"/>
      <w:ind w:left="-780"/>
    </w:pPr>
  </w:style>
  <w:style w:type="paragraph" w:customStyle="1" w:styleId="relatedsubjectspanel">
    <w:name w:val="related_subjects_panel"/>
    <w:basedOn w:val="Normal"/>
    <w:pPr>
      <w:spacing w:before="150" w:after="100" w:afterAutospacing="1"/>
    </w:pPr>
  </w:style>
  <w:style w:type="paragraph" w:customStyle="1" w:styleId="relatedsubjectsinfo">
    <w:name w:val="related_subjects_info"/>
    <w:basedOn w:val="Normal"/>
    <w:pPr>
      <w:spacing w:before="100" w:beforeAutospacing="1" w:after="100" w:afterAutospacing="1"/>
    </w:pPr>
  </w:style>
  <w:style w:type="paragraph" w:customStyle="1" w:styleId="relatedsubjectselected">
    <w:name w:val="related_subject_selected"/>
    <w:basedOn w:val="Normal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joinedsubject">
    <w:name w:val="joined_subject"/>
    <w:basedOn w:val="Normal"/>
    <w:pPr>
      <w:spacing w:before="100" w:beforeAutospacing="1" w:after="100" w:afterAutospacing="1"/>
      <w:jc w:val="center"/>
    </w:pPr>
  </w:style>
  <w:style w:type="paragraph" w:customStyle="1" w:styleId="joinedrelation">
    <w:name w:val="joined_relation"/>
    <w:basedOn w:val="Normal"/>
    <w:pPr>
      <w:spacing w:before="100" w:beforeAutospacing="1" w:after="100" w:afterAutospacing="1"/>
      <w:jc w:val="center"/>
    </w:pPr>
  </w:style>
  <w:style w:type="paragraph" w:customStyle="1" w:styleId="findsubjectizmp">
    <w:name w:val="find_subject_izmp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relationsubject">
    <w:name w:val="relation_subject"/>
    <w:basedOn w:val="Normal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identcaption">
    <w:name w:val="ident_caption"/>
    <w:basedOn w:val="Normal"/>
    <w:pPr>
      <w:spacing w:before="100" w:beforeAutospacing="1" w:after="100" w:afterAutospacing="1"/>
    </w:pPr>
  </w:style>
  <w:style w:type="paragraph" w:customStyle="1" w:styleId="parcaption">
    <w:name w:val="par_caption"/>
    <w:basedOn w:val="Normal"/>
    <w:pPr>
      <w:spacing w:before="100" w:beforeAutospacing="1" w:after="100" w:afterAutospacing="1"/>
    </w:pPr>
  </w:style>
  <w:style w:type="paragraph" w:customStyle="1" w:styleId="identtable">
    <w:name w:val="ident_table"/>
    <w:basedOn w:val="Normal"/>
    <w:pPr>
      <w:spacing w:before="100" w:beforeAutospacing="1" w:after="100" w:afterAutospacing="1"/>
    </w:pPr>
  </w:style>
  <w:style w:type="paragraph" w:customStyle="1" w:styleId="partable">
    <w:name w:val="par_table"/>
    <w:basedOn w:val="Normal"/>
    <w:pPr>
      <w:spacing w:before="100" w:beforeAutospacing="1" w:after="100" w:afterAutospacing="1"/>
    </w:pPr>
  </w:style>
  <w:style w:type="paragraph" w:customStyle="1" w:styleId="identtablecol">
    <w:name w:val="ident_table_col"/>
    <w:basedOn w:val="Normal"/>
    <w:pPr>
      <w:spacing w:before="100" w:beforeAutospacing="1" w:after="100" w:afterAutospacing="1"/>
    </w:pPr>
  </w:style>
  <w:style w:type="paragraph" w:customStyle="1" w:styleId="partablecol">
    <w:name w:val="par_table_col"/>
    <w:basedOn w:val="Normal"/>
    <w:pPr>
      <w:spacing w:before="100" w:beforeAutospacing="1" w:after="100" w:afterAutospacing="1"/>
    </w:pPr>
  </w:style>
  <w:style w:type="paragraph" w:customStyle="1" w:styleId="popupblank">
    <w:name w:val="popup_blank"/>
    <w:basedOn w:val="Normal"/>
    <w:pPr>
      <w:shd w:val="clear" w:color="auto" w:fill="111111"/>
      <w:spacing w:before="100" w:beforeAutospacing="1" w:after="100" w:afterAutospacing="1"/>
    </w:pPr>
  </w:style>
  <w:style w:type="paragraph" w:customStyle="1" w:styleId="popupframe">
    <w:name w:val="popup_fram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popupcontent">
    <w:name w:val="popup_content"/>
    <w:basedOn w:val="Normal"/>
    <w:pPr>
      <w:spacing w:before="100" w:beforeAutospacing="1" w:after="100" w:afterAutospacing="1"/>
    </w:pPr>
  </w:style>
  <w:style w:type="paragraph" w:customStyle="1" w:styleId="articlecontent1">
    <w:name w:val="articlecontent1"/>
    <w:basedOn w:val="Normal"/>
    <w:pPr>
      <w:shd w:val="clear" w:color="auto" w:fill="FFFFFF"/>
      <w:spacing w:before="100" w:beforeAutospacing="1" w:after="100" w:afterAutospacing="1"/>
      <w:ind w:left="150"/>
    </w:pPr>
  </w:style>
  <w:style w:type="paragraph" w:customStyle="1" w:styleId="hiddenref1">
    <w:name w:val="hiddenref1"/>
    <w:basedOn w:val="Normal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todo1">
    <w:name w:val="todo1"/>
    <w:basedOn w:val="Normal"/>
    <w:pPr>
      <w:shd w:val="clear" w:color="auto" w:fill="FF0000"/>
      <w:spacing w:before="100" w:beforeAutospacing="1" w:after="100" w:afterAutospacing="1"/>
    </w:pPr>
    <w:rPr>
      <w:vanish/>
      <w:color w:val="FFFFFF"/>
    </w:rPr>
  </w:style>
  <w:style w:type="paragraph" w:customStyle="1" w:styleId="paramerr1">
    <w:name w:val="param_err1"/>
    <w:basedOn w:val="Normal"/>
    <w:pPr>
      <w:shd w:val="clear" w:color="auto" w:fill="FF0000"/>
      <w:spacing w:before="100" w:beforeAutospacing="1" w:after="100" w:afterAutospacing="1"/>
    </w:pPr>
    <w:rPr>
      <w:vanish/>
      <w:color w:val="FFFFFF"/>
    </w:rPr>
  </w:style>
  <w:style w:type="paragraph" w:customStyle="1" w:styleId="sectionc1">
    <w:name w:val="section_c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ectiond1">
    <w:name w:val="section_d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ectiong1">
    <w:name w:val="section_g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ectionr1">
    <w:name w:val="section_r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ectionpz1">
    <w:name w:val="section_pz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ectionsa1">
    <w:name w:val="section_sa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ection1">
    <w:name w:val="section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par1">
    <w:name w:val="par1"/>
    <w:basedOn w:val="Normal"/>
    <w:pPr>
      <w:spacing w:before="100" w:beforeAutospacing="1" w:after="100" w:afterAutospacing="1"/>
      <w:ind w:firstLine="400"/>
    </w:pPr>
  </w:style>
  <w:style w:type="paragraph" w:customStyle="1" w:styleId="parc1">
    <w:name w:val="par_c1"/>
    <w:basedOn w:val="Normal"/>
    <w:pPr>
      <w:spacing w:before="100" w:beforeAutospacing="1" w:after="100" w:afterAutospacing="1"/>
      <w:ind w:firstLine="400"/>
    </w:pPr>
  </w:style>
  <w:style w:type="paragraph" w:customStyle="1" w:styleId="parp1">
    <w:name w:val="par_p1"/>
    <w:basedOn w:val="Normal"/>
    <w:pPr>
      <w:spacing w:before="100" w:beforeAutospacing="1" w:after="100" w:afterAutospacing="1"/>
      <w:ind w:firstLine="400"/>
    </w:pPr>
  </w:style>
  <w:style w:type="paragraph" w:customStyle="1" w:styleId="parsupercapt1">
    <w:name w:val="par_super_capt1"/>
    <w:basedOn w:val="Normal"/>
    <w:pPr>
      <w:spacing w:before="100" w:beforeAutospacing="1" w:after="100" w:afterAutospacing="1"/>
      <w:ind w:firstLine="480"/>
    </w:pPr>
  </w:style>
  <w:style w:type="paragraph" w:customStyle="1" w:styleId="al1">
    <w:name w:val="al1"/>
    <w:basedOn w:val="Normal"/>
    <w:pPr>
      <w:spacing w:before="100" w:beforeAutospacing="1" w:after="100" w:afterAutospacing="1"/>
    </w:pPr>
  </w:style>
  <w:style w:type="paragraph" w:customStyle="1" w:styleId="ala1">
    <w:name w:val="al_a1"/>
    <w:basedOn w:val="Normal"/>
    <w:pPr>
      <w:spacing w:before="100" w:beforeAutospacing="1" w:after="100" w:afterAutospacing="1"/>
    </w:pPr>
  </w:style>
  <w:style w:type="paragraph" w:customStyle="1" w:styleId="alt1">
    <w:name w:val="al_t1"/>
    <w:basedOn w:val="Normal"/>
    <w:pPr>
      <w:spacing w:before="100" w:beforeAutospacing="1" w:after="100" w:afterAutospacing="1"/>
    </w:pPr>
  </w:style>
  <w:style w:type="paragraph" w:customStyle="1" w:styleId="alb1">
    <w:name w:val="al_b1"/>
    <w:basedOn w:val="Normal"/>
    <w:pPr>
      <w:spacing w:before="100" w:beforeAutospacing="1" w:after="100" w:afterAutospacing="1"/>
    </w:pPr>
  </w:style>
  <w:style w:type="paragraph" w:customStyle="1" w:styleId="fa1">
    <w:name w:val="fa1"/>
    <w:basedOn w:val="Normal"/>
    <w:pPr>
      <w:spacing w:before="100" w:beforeAutospacing="1" w:after="100" w:afterAutospacing="1"/>
    </w:pPr>
  </w:style>
  <w:style w:type="paragraph" w:customStyle="1" w:styleId="parcapt1">
    <w:name w:val="par_capt1"/>
    <w:basedOn w:val="Normal"/>
    <w:pPr>
      <w:spacing w:before="100" w:beforeAutospacing="1" w:after="100" w:afterAutospacing="1"/>
      <w:ind w:firstLine="480"/>
    </w:pPr>
    <w:rPr>
      <w:b/>
      <w:bCs/>
    </w:rPr>
  </w:style>
  <w:style w:type="paragraph" w:customStyle="1" w:styleId="alcapt1">
    <w:name w:val="al_capt1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changed1">
    <w:name w:val="changed1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1">
    <w:name w:val="p1"/>
    <w:basedOn w:val="Normal"/>
    <w:pPr>
      <w:spacing w:before="100" w:beforeAutospacing="1" w:after="100" w:afterAutospacing="1"/>
    </w:pPr>
  </w:style>
  <w:style w:type="paragraph" w:customStyle="1" w:styleId="ldef1">
    <w:name w:val="ldef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irefword1">
    <w:name w:val="iref_word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ind1">
    <w:name w:val="ind1"/>
    <w:basedOn w:val="Normal"/>
    <w:pPr>
      <w:spacing w:before="100" w:beforeAutospacing="1" w:after="100" w:afterAutospacing="1"/>
      <w:ind w:firstLine="400"/>
    </w:pPr>
  </w:style>
  <w:style w:type="paragraph" w:customStyle="1" w:styleId="nl1">
    <w:name w:val="nl1"/>
    <w:basedOn w:val="Normal"/>
    <w:pPr>
      <w:spacing w:before="100" w:beforeAutospacing="1" w:after="100" w:afterAutospacing="1"/>
    </w:pPr>
  </w:style>
  <w:style w:type="paragraph" w:customStyle="1" w:styleId="selectedinhint1">
    <w:name w:val="selectedinhint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hangingopen1">
    <w:name w:val="changing_open1"/>
    <w:basedOn w:val="Normal"/>
  </w:style>
  <w:style w:type="paragraph" w:customStyle="1" w:styleId="changedclose1">
    <w:name w:val="changed_close1"/>
    <w:basedOn w:val="Normal"/>
  </w:style>
  <w:style w:type="character" w:customStyle="1" w:styleId="parcapt2">
    <w:name w:val="par_capt2"/>
    <w:rPr>
      <w:rFonts w:cs="Times New Roman"/>
      <w:b/>
      <w:bCs/>
    </w:rPr>
  </w:style>
  <w:style w:type="character" w:customStyle="1" w:styleId="alcapt2">
    <w:name w:val="al_capt2"/>
    <w:rPr>
      <w:rFonts w:cs="Times New Roman"/>
      <w:i/>
      <w:iCs/>
    </w:rPr>
  </w:style>
  <w:style w:type="character" w:customStyle="1" w:styleId="ala2">
    <w:name w:val="al_a2"/>
    <w:rPr>
      <w:rFonts w:cs="Times New Roman"/>
    </w:rPr>
  </w:style>
  <w:style w:type="character" w:customStyle="1" w:styleId="ala3">
    <w:name w:val="al_a3"/>
    <w:rPr>
      <w:rFonts w:cs="Times New Roman"/>
    </w:rPr>
  </w:style>
  <w:style w:type="character" w:customStyle="1" w:styleId="ala4">
    <w:name w:val="al_a4"/>
    <w:rPr>
      <w:rFonts w:cs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1C4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0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C4092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0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4092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4092"/>
    <w:rPr>
      <w:rFonts w:ascii="Segoe UI" w:hAnsi="Segoe UI" w:cs="Segoe UI"/>
      <w:sz w:val="18"/>
      <w:szCs w:val="18"/>
      <w:lang w:val="bg-BG" w:eastAsia="bg-BG"/>
    </w:rPr>
  </w:style>
  <w:style w:type="paragraph" w:styleId="Revision">
    <w:name w:val="Revision"/>
    <w:hidden/>
    <w:uiPriority w:val="99"/>
    <w:semiHidden/>
    <w:rsid w:val="00AB064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594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1B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21B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1B5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1B5C"/>
    <w:rPr>
      <w:sz w:val="24"/>
      <w:szCs w:val="24"/>
    </w:rPr>
  </w:style>
  <w:style w:type="character" w:customStyle="1" w:styleId="Heading9Char">
    <w:name w:val="Heading 9 Char"/>
    <w:link w:val="Heading9"/>
    <w:rsid w:val="000519B3"/>
    <w:rPr>
      <w:b/>
      <w:i/>
      <w:sz w:val="28"/>
      <w:u w:val="single"/>
    </w:rPr>
  </w:style>
  <w:style w:type="paragraph" w:customStyle="1" w:styleId="m">
    <w:name w:val="m"/>
    <w:basedOn w:val="Normal"/>
    <w:rsid w:val="004950CE"/>
    <w:pPr>
      <w:spacing w:before="100" w:beforeAutospacing="1" w:after="100" w:afterAutospacing="1"/>
    </w:pPr>
  </w:style>
  <w:style w:type="character" w:customStyle="1" w:styleId="a">
    <w:name w:val="Основен текст_"/>
    <w:link w:val="1"/>
    <w:rsid w:val="00FD6CC9"/>
    <w:rPr>
      <w:rFonts w:ascii="Arial" w:eastAsia="Arial" w:hAnsi="Arial" w:cs="Arial"/>
    </w:rPr>
  </w:style>
  <w:style w:type="paragraph" w:customStyle="1" w:styleId="1">
    <w:name w:val="Основен текст1"/>
    <w:basedOn w:val="Normal"/>
    <w:link w:val="a"/>
    <w:rsid w:val="00FD6CC9"/>
    <w:pPr>
      <w:widowControl w:val="0"/>
      <w:spacing w:line="305" w:lineRule="auto"/>
      <w:ind w:firstLine="40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2">
    <w:name w:val="Основен текст (2)_"/>
    <w:link w:val="20"/>
    <w:rsid w:val="00873008"/>
    <w:rPr>
      <w:sz w:val="19"/>
      <w:szCs w:val="19"/>
    </w:rPr>
  </w:style>
  <w:style w:type="paragraph" w:customStyle="1" w:styleId="20">
    <w:name w:val="Основен текст (2)"/>
    <w:basedOn w:val="Normal"/>
    <w:link w:val="2"/>
    <w:rsid w:val="00873008"/>
    <w:pPr>
      <w:widowControl w:val="0"/>
      <w:spacing w:after="190" w:line="209" w:lineRule="auto"/>
      <w:ind w:firstLine="840"/>
    </w:pPr>
    <w:rPr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5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stmarkets.com/metal-bulletin-is-part-of-fastmarke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stmarkets.com/metal-bulletin-is-part-of-fastmarket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B962-EAB6-42DF-9028-CF32BF08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3435</Words>
  <Characters>20508</Characters>
  <Application>Microsoft Office Word</Application>
  <DocSecurity>0</DocSecurity>
  <Lines>170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НАРЕДБА за принципите и методиката за определяне на концесионното възнаграждение за добив на подземни богатства по реда на Закона за подземните богатства</vt:lpstr>
      <vt:lpstr>НАРЕДБА за принципите и методиката за определяне на концесионното възнаграждение за добив на подземни богатства по реда на Закона за подземните богатства</vt:lpstr>
    </vt:vector>
  </TitlesOfParts>
  <Company/>
  <LinksUpToDate>false</LinksUpToDate>
  <CharactersWithSpaces>23896</CharactersWithSpaces>
  <SharedDoc>false</SharedDoc>
  <HLinks>
    <vt:vector size="12" baseType="variant">
      <vt:variant>
        <vt:i4>3145774</vt:i4>
      </vt:variant>
      <vt:variant>
        <vt:i4>3</vt:i4>
      </vt:variant>
      <vt:variant>
        <vt:i4>0</vt:i4>
      </vt:variant>
      <vt:variant>
        <vt:i4>5</vt:i4>
      </vt:variant>
      <vt:variant>
        <vt:lpwstr>https://www.fastmarkets.com/metal-bulletin-is-part-of-fastmarkets/</vt:lpwstr>
      </vt:variant>
      <vt:variant>
        <vt:lpwstr/>
      </vt:variant>
      <vt:variant>
        <vt:i4>3145774</vt:i4>
      </vt:variant>
      <vt:variant>
        <vt:i4>0</vt:i4>
      </vt:variant>
      <vt:variant>
        <vt:i4>0</vt:i4>
      </vt:variant>
      <vt:variant>
        <vt:i4>5</vt:i4>
      </vt:variant>
      <vt:variant>
        <vt:lpwstr>https://www.fastmarkets.com/metal-bulletin-is-part-of-fastmarkets/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 за принципите и методиката за определяне на концесионното възнаграждение за добив на подземни богатства по реда на Закона за подземните богатства</dc:title>
  <dc:subject/>
  <dc:creator>User</dc:creator>
  <cp:keywords/>
  <dc:description/>
  <cp:lastModifiedBy>Мария Любомирова Карагьозова</cp:lastModifiedBy>
  <cp:revision>2</cp:revision>
  <cp:lastPrinted>2025-07-07T09:01:00Z</cp:lastPrinted>
  <dcterms:created xsi:type="dcterms:W3CDTF">2026-01-29T08:14:00Z</dcterms:created>
  <dcterms:modified xsi:type="dcterms:W3CDTF">2026-01-29T08:14:00Z</dcterms:modified>
</cp:coreProperties>
</file>