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C1B32" w14:textId="104B3C31" w:rsidR="00683DAE" w:rsidRDefault="00683DAE">
      <w:pPr>
        <w:pStyle w:val="Title"/>
        <w:rPr>
          <w:noProof/>
          <w:lang w:val="bg-BG"/>
        </w:rPr>
      </w:pPr>
    </w:p>
    <w:p w14:paraId="073F9ADF" w14:textId="77777777" w:rsidR="002203F0" w:rsidRDefault="002203F0">
      <w:pPr>
        <w:pStyle w:val="Title"/>
        <w:rPr>
          <w:noProof/>
          <w:lang w:val="bg-BG"/>
        </w:rPr>
      </w:pPr>
    </w:p>
    <w:p w14:paraId="620E180C" w14:textId="77777777" w:rsidR="002203F0" w:rsidRDefault="002203F0">
      <w:pPr>
        <w:pStyle w:val="Title"/>
        <w:rPr>
          <w:noProof/>
          <w:lang w:val="bg-BG"/>
        </w:rPr>
      </w:pPr>
    </w:p>
    <w:p w14:paraId="6B184213" w14:textId="77777777" w:rsidR="002203F0" w:rsidRDefault="002203F0">
      <w:pPr>
        <w:pStyle w:val="Title"/>
        <w:rPr>
          <w:noProof/>
          <w:lang w:val="bg-BG"/>
        </w:rPr>
      </w:pPr>
    </w:p>
    <w:p w14:paraId="02B833A2" w14:textId="77777777" w:rsidR="002203F0" w:rsidRPr="00951281" w:rsidRDefault="002203F0">
      <w:pPr>
        <w:pStyle w:val="Title"/>
        <w:rPr>
          <w:rFonts w:ascii="Times New Roman" w:hAnsi="Times New Roman"/>
          <w:lang w:val="bg-BG"/>
        </w:rPr>
      </w:pPr>
    </w:p>
    <w:p w14:paraId="566C11F2" w14:textId="77777777" w:rsidR="0069784B" w:rsidRPr="00951281" w:rsidRDefault="00FD000C">
      <w:pPr>
        <w:pStyle w:val="Title"/>
        <w:rPr>
          <w:rFonts w:ascii="Times New Roman" w:hAnsi="Times New Roman"/>
          <w:sz w:val="24"/>
          <w:szCs w:val="24"/>
          <w:lang w:val="bg-BG"/>
        </w:rPr>
      </w:pPr>
      <w:r w:rsidRPr="00951281">
        <w:rPr>
          <w:rFonts w:ascii="Times New Roman" w:hAnsi="Times New Roman"/>
          <w:sz w:val="24"/>
          <w:szCs w:val="24"/>
          <w:lang w:val="bg-BG"/>
        </w:rPr>
        <w:t>Р</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Е</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П</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У</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Б</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Л</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И</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К</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А</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Б</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Ъ</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Л</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Г</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А</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Р</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И</w:t>
      </w:r>
      <w:r w:rsidR="0069784B" w:rsidRPr="00951281">
        <w:rPr>
          <w:rFonts w:ascii="Times New Roman" w:hAnsi="Times New Roman"/>
          <w:sz w:val="24"/>
          <w:szCs w:val="24"/>
          <w:lang w:val="bg-BG"/>
        </w:rPr>
        <w:t xml:space="preserve"> </w:t>
      </w:r>
      <w:r w:rsidRPr="00951281">
        <w:rPr>
          <w:rFonts w:ascii="Times New Roman" w:hAnsi="Times New Roman"/>
          <w:sz w:val="24"/>
          <w:szCs w:val="24"/>
          <w:lang w:val="bg-BG"/>
        </w:rPr>
        <w:t>Я</w:t>
      </w:r>
    </w:p>
    <w:p w14:paraId="0AF96761" w14:textId="77777777" w:rsidR="0069784B" w:rsidRPr="00951281" w:rsidRDefault="00FD000C">
      <w:pPr>
        <w:pBdr>
          <w:bottom w:val="single" w:sz="12" w:space="1" w:color="auto"/>
        </w:pBdr>
        <w:jc w:val="center"/>
        <w:rPr>
          <w:rFonts w:ascii="Times New Roman" w:hAnsi="Times New Roman"/>
          <w:b/>
          <w:spacing w:val="100"/>
          <w:sz w:val="32"/>
          <w:lang w:val="bg-BG"/>
        </w:rPr>
      </w:pPr>
      <w:r w:rsidRPr="00951281">
        <w:rPr>
          <w:rFonts w:ascii="Times New Roman" w:hAnsi="Times New Roman"/>
          <w:b/>
          <w:spacing w:val="60"/>
          <w:sz w:val="32"/>
          <w:lang w:val="bg-BG"/>
        </w:rPr>
        <w:t>М</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И</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Н</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И</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С</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Т</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Е</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Р</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С</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К</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И</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С</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Ъ</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В</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Е</w:t>
      </w:r>
      <w:r w:rsidR="0069784B" w:rsidRPr="00951281">
        <w:rPr>
          <w:rFonts w:ascii="Times New Roman" w:hAnsi="Times New Roman"/>
          <w:b/>
          <w:spacing w:val="60"/>
          <w:sz w:val="32"/>
          <w:lang w:val="bg-BG"/>
        </w:rPr>
        <w:t xml:space="preserve"> </w:t>
      </w:r>
      <w:r w:rsidRPr="00951281">
        <w:rPr>
          <w:rFonts w:ascii="Times New Roman" w:hAnsi="Times New Roman"/>
          <w:b/>
          <w:spacing w:val="60"/>
          <w:sz w:val="32"/>
          <w:lang w:val="bg-BG"/>
        </w:rPr>
        <w:t>Т</w:t>
      </w:r>
    </w:p>
    <w:p w14:paraId="1CFFAE63" w14:textId="2C3DBEB2" w:rsidR="0069784B" w:rsidRPr="00067840" w:rsidRDefault="00597EA5" w:rsidP="00D36EA5">
      <w:pPr>
        <w:jc w:val="right"/>
        <w:rPr>
          <w:rFonts w:ascii="Arial" w:hAnsi="Arial"/>
          <w:szCs w:val="24"/>
          <w:lang w:val="bg-BG"/>
        </w:rPr>
      </w:pPr>
      <w:r w:rsidRPr="00597EA5">
        <w:rPr>
          <w:rFonts w:ascii="Arial" w:hAnsi="Arial"/>
          <w:b/>
          <w:szCs w:val="24"/>
          <w:lang w:val="bg-BG"/>
        </w:rPr>
        <w:t>Препис</w:t>
      </w:r>
    </w:p>
    <w:p w14:paraId="17D1BDA5" w14:textId="77777777" w:rsidR="0069784B" w:rsidRDefault="0069784B">
      <w:pPr>
        <w:jc w:val="center"/>
        <w:rPr>
          <w:rFonts w:ascii="Times New Roman" w:hAnsi="Times New Roman"/>
          <w:sz w:val="28"/>
          <w:szCs w:val="28"/>
          <w:lang w:val="bg-BG"/>
        </w:rPr>
      </w:pPr>
    </w:p>
    <w:p w14:paraId="1623E019" w14:textId="5DB6781C" w:rsidR="0069784B" w:rsidRPr="00951281" w:rsidRDefault="000900B0">
      <w:pPr>
        <w:spacing w:line="360" w:lineRule="auto"/>
        <w:jc w:val="center"/>
        <w:rPr>
          <w:rFonts w:ascii="Times New Roman" w:hAnsi="Times New Roman"/>
          <w:b/>
          <w:spacing w:val="180"/>
          <w:sz w:val="40"/>
          <w:szCs w:val="40"/>
          <w:lang w:val="bg-BG"/>
        </w:rPr>
      </w:pPr>
      <w:r w:rsidRPr="00951281">
        <w:rPr>
          <w:rFonts w:ascii="Times New Roman" w:hAnsi="Times New Roman"/>
          <w:b/>
          <w:spacing w:val="180"/>
          <w:sz w:val="40"/>
          <w:szCs w:val="40"/>
          <w:lang w:val="bg-BG"/>
        </w:rPr>
        <w:t>ПОСТАНОВЛЕНИЕ</w:t>
      </w:r>
      <w:r w:rsidR="0069784B" w:rsidRPr="00951281">
        <w:rPr>
          <w:rFonts w:ascii="Times New Roman" w:hAnsi="Times New Roman"/>
          <w:b/>
          <w:spacing w:val="180"/>
          <w:sz w:val="40"/>
          <w:szCs w:val="40"/>
          <w:lang w:val="bg-BG"/>
        </w:rPr>
        <w:t xml:space="preserve">  </w:t>
      </w:r>
      <w:r w:rsidR="0069784B" w:rsidRPr="00951281">
        <w:rPr>
          <w:rFonts w:ascii="Times New Roman" w:hAnsi="Times New Roman"/>
          <w:b/>
          <w:spacing w:val="180"/>
          <w:sz w:val="40"/>
          <w:szCs w:val="40"/>
          <w:lang w:val="bg-BG"/>
        </w:rPr>
        <w:sym w:font="Times New Roman" w:char="2116"/>
      </w:r>
      <w:r w:rsidR="00597EA5">
        <w:rPr>
          <w:rFonts w:ascii="Times New Roman" w:hAnsi="Times New Roman"/>
          <w:b/>
          <w:spacing w:val="180"/>
          <w:sz w:val="40"/>
          <w:szCs w:val="40"/>
          <w:lang w:val="bg-BG"/>
        </w:rPr>
        <w:t xml:space="preserve"> 22</w:t>
      </w:r>
    </w:p>
    <w:p w14:paraId="7958E6EF" w14:textId="77777777" w:rsidR="0069784B" w:rsidRPr="00FE4818" w:rsidRDefault="0069784B">
      <w:pPr>
        <w:jc w:val="center"/>
        <w:rPr>
          <w:rFonts w:ascii="Times New Roman" w:hAnsi="Times New Roman"/>
          <w:b/>
          <w:szCs w:val="24"/>
          <w:lang w:val="bg-BG"/>
        </w:rPr>
      </w:pPr>
    </w:p>
    <w:p w14:paraId="62A06671" w14:textId="15325462" w:rsidR="0069784B" w:rsidRPr="00951281" w:rsidRDefault="00FD000C">
      <w:pPr>
        <w:jc w:val="center"/>
        <w:rPr>
          <w:rFonts w:ascii="Times New Roman" w:hAnsi="Times New Roman"/>
          <w:b/>
          <w:sz w:val="30"/>
          <w:szCs w:val="30"/>
          <w:lang w:val="bg-BG"/>
        </w:rPr>
      </w:pPr>
      <w:r w:rsidRPr="00951281">
        <w:rPr>
          <w:rFonts w:ascii="Times New Roman" w:hAnsi="Times New Roman"/>
          <w:b/>
          <w:sz w:val="30"/>
          <w:szCs w:val="30"/>
          <w:lang w:val="bg-BG"/>
        </w:rPr>
        <w:t>от</w:t>
      </w:r>
      <w:r w:rsidR="0069784B" w:rsidRPr="00951281">
        <w:rPr>
          <w:rFonts w:ascii="Times New Roman" w:hAnsi="Times New Roman"/>
          <w:b/>
          <w:sz w:val="30"/>
          <w:szCs w:val="30"/>
          <w:lang w:val="bg-BG"/>
        </w:rPr>
        <w:t xml:space="preserve">   </w:t>
      </w:r>
      <w:r w:rsidR="00597EA5">
        <w:rPr>
          <w:rFonts w:ascii="Times New Roman" w:hAnsi="Times New Roman"/>
          <w:b/>
          <w:sz w:val="30"/>
          <w:szCs w:val="30"/>
          <w:lang w:val="bg-BG"/>
        </w:rPr>
        <w:t>29   януари</w:t>
      </w:r>
      <w:r w:rsidR="0069784B" w:rsidRPr="00951281">
        <w:rPr>
          <w:rFonts w:ascii="Times New Roman" w:hAnsi="Times New Roman"/>
          <w:b/>
          <w:sz w:val="30"/>
          <w:szCs w:val="30"/>
          <w:lang w:val="bg-BG"/>
        </w:rPr>
        <w:t xml:space="preserve">   20</w:t>
      </w:r>
      <w:r w:rsidR="005C05D8">
        <w:rPr>
          <w:rFonts w:ascii="Times New Roman" w:hAnsi="Times New Roman"/>
          <w:b/>
          <w:sz w:val="30"/>
          <w:szCs w:val="30"/>
          <w:lang w:val="bg-BG"/>
        </w:rPr>
        <w:t>2</w:t>
      </w:r>
      <w:r w:rsidR="002F7150">
        <w:rPr>
          <w:rFonts w:ascii="Times New Roman" w:hAnsi="Times New Roman"/>
          <w:b/>
          <w:sz w:val="30"/>
          <w:szCs w:val="30"/>
          <w:lang w:val="bg-BG"/>
        </w:rPr>
        <w:t>6</w:t>
      </w:r>
      <w:r w:rsidR="0069784B" w:rsidRPr="00951281">
        <w:rPr>
          <w:rFonts w:ascii="Times New Roman" w:hAnsi="Times New Roman"/>
          <w:b/>
          <w:sz w:val="30"/>
          <w:szCs w:val="30"/>
          <w:lang w:val="bg-BG"/>
        </w:rPr>
        <w:t xml:space="preserve"> </w:t>
      </w:r>
      <w:r w:rsidRPr="00951281">
        <w:rPr>
          <w:rFonts w:ascii="Times New Roman" w:hAnsi="Times New Roman"/>
          <w:b/>
          <w:sz w:val="30"/>
          <w:szCs w:val="30"/>
          <w:lang w:val="bg-BG"/>
        </w:rPr>
        <w:t>година</w:t>
      </w:r>
    </w:p>
    <w:p w14:paraId="3E86F490" w14:textId="77777777" w:rsidR="00D36324" w:rsidRPr="00951281" w:rsidRDefault="00D36324">
      <w:pPr>
        <w:rPr>
          <w:rFonts w:ascii="Times New Roman" w:hAnsi="Times New Roman"/>
          <w:b/>
          <w:lang w:val="bg-BG"/>
        </w:rPr>
      </w:pPr>
    </w:p>
    <w:p w14:paraId="5A610749" w14:textId="77777777" w:rsidR="005866D4" w:rsidRPr="00951281" w:rsidRDefault="005866D4">
      <w:pPr>
        <w:rPr>
          <w:rFonts w:ascii="Times New Roman" w:hAnsi="Times New Roman"/>
          <w:b/>
          <w:lang w:val="bg-BG"/>
        </w:rPr>
      </w:pPr>
    </w:p>
    <w:p w14:paraId="57616697" w14:textId="49CCFA14" w:rsidR="0069784B" w:rsidRPr="005C3D2E" w:rsidRDefault="0069784B" w:rsidP="00191DC5">
      <w:pPr>
        <w:spacing w:line="276" w:lineRule="auto"/>
        <w:ind w:left="1701" w:right="1134" w:hanging="567"/>
        <w:jc w:val="center"/>
        <w:rPr>
          <w:rFonts w:ascii="Arial" w:hAnsi="Arial" w:cs="Arial"/>
          <w:b/>
          <w:smallCaps/>
          <w:sz w:val="28"/>
          <w:szCs w:val="28"/>
          <w:lang w:val="bg-BG"/>
        </w:rPr>
      </w:pPr>
      <w:r w:rsidRPr="00C54D9E">
        <w:rPr>
          <w:rFonts w:ascii="Arial" w:hAnsi="Arial" w:cs="Arial"/>
          <w:b/>
          <w:sz w:val="28"/>
          <w:szCs w:val="28"/>
          <w:lang w:val="bg-BG"/>
        </w:rPr>
        <w:t>ЗА</w:t>
      </w:r>
      <w:r w:rsidR="005C3D2E" w:rsidRPr="005C3D2E">
        <w:rPr>
          <w:rFonts w:hint="eastAsia"/>
        </w:rPr>
        <w:t xml:space="preserve"> </w:t>
      </w:r>
      <w:r w:rsidR="005C3D2E" w:rsidRPr="005C3D2E">
        <w:rPr>
          <w:rFonts w:ascii="Arial" w:hAnsi="Arial" w:cs="Arial" w:hint="eastAsia"/>
          <w:b/>
          <w:smallCaps/>
          <w:sz w:val="28"/>
          <w:szCs w:val="28"/>
          <w:lang w:val="bg-BG"/>
        </w:rPr>
        <w:t>възлагане</w:t>
      </w:r>
      <w:r w:rsidR="005C3D2E" w:rsidRPr="005C3D2E">
        <w:rPr>
          <w:rFonts w:ascii="Arial" w:hAnsi="Arial" w:cs="Arial"/>
          <w:b/>
          <w:smallCaps/>
          <w:sz w:val="28"/>
          <w:szCs w:val="28"/>
          <w:lang w:val="bg-BG"/>
        </w:rPr>
        <w:t xml:space="preserve"> </w:t>
      </w:r>
      <w:r w:rsidR="005C3D2E" w:rsidRPr="005C3D2E">
        <w:rPr>
          <w:rFonts w:ascii="Arial" w:hAnsi="Arial" w:cs="Arial" w:hint="eastAsia"/>
          <w:b/>
          <w:smallCaps/>
          <w:sz w:val="28"/>
          <w:szCs w:val="28"/>
          <w:lang w:val="bg-BG"/>
        </w:rPr>
        <w:t>на</w:t>
      </w:r>
      <w:r w:rsidR="005C3D2E" w:rsidRPr="005C3D2E">
        <w:rPr>
          <w:rFonts w:ascii="Arial" w:hAnsi="Arial" w:cs="Arial"/>
          <w:b/>
          <w:smallCaps/>
          <w:sz w:val="28"/>
          <w:szCs w:val="28"/>
          <w:lang w:val="bg-BG"/>
        </w:rPr>
        <w:t xml:space="preserve"> </w:t>
      </w:r>
      <w:r w:rsidR="005C3D2E" w:rsidRPr="005C3D2E">
        <w:rPr>
          <w:rFonts w:ascii="Arial" w:hAnsi="Arial" w:cs="Arial" w:hint="eastAsia"/>
          <w:b/>
          <w:smallCaps/>
          <w:sz w:val="28"/>
          <w:szCs w:val="28"/>
          <w:lang w:val="bg-BG"/>
        </w:rPr>
        <w:t>дейности</w:t>
      </w:r>
      <w:r w:rsidR="005C3D2E" w:rsidRPr="005C3D2E">
        <w:rPr>
          <w:rFonts w:ascii="Arial" w:hAnsi="Arial" w:cs="Arial"/>
          <w:b/>
          <w:smallCaps/>
          <w:sz w:val="28"/>
          <w:szCs w:val="28"/>
          <w:lang w:val="bg-BG"/>
        </w:rPr>
        <w:t xml:space="preserve"> </w:t>
      </w:r>
      <w:r w:rsidR="005C3D2E" w:rsidRPr="005C3D2E">
        <w:rPr>
          <w:rFonts w:ascii="Arial" w:hAnsi="Arial" w:cs="Arial" w:hint="eastAsia"/>
          <w:b/>
          <w:smallCaps/>
          <w:sz w:val="28"/>
          <w:szCs w:val="28"/>
          <w:lang w:val="bg-BG"/>
        </w:rPr>
        <w:t>на</w:t>
      </w:r>
      <w:r w:rsidR="005C3D2E" w:rsidRPr="005C3D2E">
        <w:rPr>
          <w:rFonts w:ascii="Arial" w:hAnsi="Arial" w:cs="Arial"/>
          <w:b/>
          <w:smallCaps/>
          <w:sz w:val="28"/>
          <w:szCs w:val="28"/>
          <w:lang w:val="bg-BG"/>
        </w:rPr>
        <w:t xml:space="preserve"> „</w:t>
      </w:r>
      <w:r w:rsidR="002203F0">
        <w:rPr>
          <w:rFonts w:ascii="Arial" w:hAnsi="Arial" w:cs="Arial" w:hint="eastAsia"/>
          <w:b/>
          <w:smallCaps/>
          <w:sz w:val="28"/>
          <w:szCs w:val="28"/>
          <w:lang w:val="en-US"/>
        </w:rPr>
        <w:t>Б</w:t>
      </w:r>
      <w:proofErr w:type="spellStart"/>
      <w:r w:rsidR="005C3D2E" w:rsidRPr="005C3D2E">
        <w:rPr>
          <w:rFonts w:ascii="Arial" w:hAnsi="Arial" w:cs="Arial" w:hint="eastAsia"/>
          <w:b/>
          <w:smallCaps/>
          <w:sz w:val="28"/>
          <w:szCs w:val="28"/>
          <w:lang w:val="bg-BG"/>
        </w:rPr>
        <w:t>ългарска</w:t>
      </w:r>
      <w:proofErr w:type="spellEnd"/>
      <w:r w:rsidR="005C3D2E" w:rsidRPr="005C3D2E">
        <w:rPr>
          <w:rFonts w:ascii="Arial" w:hAnsi="Arial" w:cs="Arial"/>
          <w:b/>
          <w:smallCaps/>
          <w:sz w:val="28"/>
          <w:szCs w:val="28"/>
          <w:lang w:val="bg-BG"/>
        </w:rPr>
        <w:t xml:space="preserve"> </w:t>
      </w:r>
      <w:r w:rsidR="005C3D2E" w:rsidRPr="005C3D2E">
        <w:rPr>
          <w:rFonts w:ascii="Arial" w:hAnsi="Arial" w:cs="Arial" w:hint="eastAsia"/>
          <w:b/>
          <w:smallCaps/>
          <w:sz w:val="28"/>
          <w:szCs w:val="28"/>
          <w:lang w:val="bg-BG"/>
        </w:rPr>
        <w:t>банка</w:t>
      </w:r>
      <w:r w:rsidR="005C3D2E" w:rsidRPr="005C3D2E">
        <w:rPr>
          <w:rFonts w:ascii="Arial" w:hAnsi="Arial" w:cs="Arial"/>
          <w:b/>
          <w:smallCaps/>
          <w:sz w:val="28"/>
          <w:szCs w:val="28"/>
          <w:lang w:val="bg-BG"/>
        </w:rPr>
        <w:t xml:space="preserve"> </w:t>
      </w:r>
      <w:r w:rsidR="005C3D2E" w:rsidRPr="005C3D2E">
        <w:rPr>
          <w:rFonts w:ascii="Arial" w:hAnsi="Arial" w:cs="Arial" w:hint="eastAsia"/>
          <w:b/>
          <w:smallCaps/>
          <w:sz w:val="28"/>
          <w:szCs w:val="28"/>
          <w:lang w:val="bg-BG"/>
        </w:rPr>
        <w:t>за</w:t>
      </w:r>
      <w:r w:rsidR="005C3D2E" w:rsidRPr="005C3D2E">
        <w:rPr>
          <w:rFonts w:ascii="Arial" w:hAnsi="Arial" w:cs="Arial"/>
          <w:b/>
          <w:smallCaps/>
          <w:sz w:val="28"/>
          <w:szCs w:val="28"/>
          <w:lang w:val="bg-BG"/>
        </w:rPr>
        <w:t xml:space="preserve"> </w:t>
      </w:r>
      <w:r w:rsidR="005C3D2E" w:rsidRPr="005C3D2E">
        <w:rPr>
          <w:rFonts w:ascii="Arial" w:hAnsi="Arial" w:cs="Arial" w:hint="eastAsia"/>
          <w:b/>
          <w:smallCaps/>
          <w:sz w:val="28"/>
          <w:szCs w:val="28"/>
          <w:lang w:val="bg-BG"/>
        </w:rPr>
        <w:t>развитие“</w:t>
      </w:r>
      <w:r w:rsidR="005C3D2E" w:rsidRPr="005C3D2E">
        <w:rPr>
          <w:rFonts w:ascii="Arial" w:hAnsi="Arial" w:cs="Arial"/>
          <w:b/>
          <w:smallCaps/>
          <w:sz w:val="28"/>
          <w:szCs w:val="28"/>
          <w:lang w:val="bg-BG"/>
        </w:rPr>
        <w:t xml:space="preserve"> </w:t>
      </w:r>
      <w:r w:rsidR="005C3D2E">
        <w:rPr>
          <w:rFonts w:ascii="Arial" w:hAnsi="Arial" w:cs="Arial" w:hint="eastAsia"/>
          <w:b/>
          <w:smallCaps/>
          <w:sz w:val="28"/>
          <w:szCs w:val="28"/>
          <w:lang w:val="en-US"/>
        </w:rPr>
        <w:t>Е</w:t>
      </w:r>
      <w:r w:rsidR="005C3D2E">
        <w:rPr>
          <w:rFonts w:ascii="Arial" w:hAnsi="Arial" w:cs="Arial"/>
          <w:b/>
          <w:smallCaps/>
          <w:sz w:val="28"/>
          <w:szCs w:val="28"/>
          <w:lang w:val="bg-BG"/>
        </w:rPr>
        <w:t>АД</w:t>
      </w:r>
    </w:p>
    <w:p w14:paraId="4EA99E59" w14:textId="77777777" w:rsidR="00E22D77" w:rsidRPr="008B1500" w:rsidRDefault="00E22D77" w:rsidP="00E22D77">
      <w:pPr>
        <w:jc w:val="center"/>
        <w:rPr>
          <w:rFonts w:ascii="Times New Roman" w:hAnsi="Times New Roman"/>
          <w:spacing w:val="40"/>
          <w:sz w:val="26"/>
          <w:szCs w:val="26"/>
          <w:lang w:val="bg-BG"/>
        </w:rPr>
      </w:pPr>
    </w:p>
    <w:p w14:paraId="5C2CA0F6" w14:textId="77777777" w:rsidR="00E22D77" w:rsidRPr="008B1500" w:rsidRDefault="00E22D77" w:rsidP="00E22D77">
      <w:pPr>
        <w:jc w:val="center"/>
        <w:rPr>
          <w:rFonts w:ascii="Times New Roman" w:hAnsi="Times New Roman"/>
          <w:smallCaps/>
          <w:sz w:val="26"/>
          <w:szCs w:val="26"/>
          <w:lang w:val="bg-BG"/>
        </w:rPr>
      </w:pPr>
    </w:p>
    <w:p w14:paraId="3727D509" w14:textId="77777777" w:rsidR="0069784B" w:rsidRPr="00951281" w:rsidRDefault="00FD000C">
      <w:pPr>
        <w:pStyle w:val="Heading1"/>
        <w:widowControl/>
        <w:spacing w:line="360" w:lineRule="auto"/>
        <w:rPr>
          <w:rFonts w:ascii="Times New Roman" w:hAnsi="Times New Roman"/>
          <w:spacing w:val="40"/>
          <w:sz w:val="28"/>
          <w:szCs w:val="28"/>
          <w:lang w:val="bg-BG"/>
        </w:rPr>
      </w:pPr>
      <w:r w:rsidRPr="00951281">
        <w:rPr>
          <w:rFonts w:ascii="Times New Roman" w:hAnsi="Times New Roman"/>
          <w:spacing w:val="40"/>
          <w:sz w:val="28"/>
          <w:szCs w:val="28"/>
          <w:lang w:val="bg-BG"/>
        </w:rPr>
        <w:t>М</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И</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Н</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И</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С</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Т</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Е</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Р</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С</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К</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И</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Я</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Т</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С</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Ъ</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В</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Е</w:t>
      </w:r>
      <w:r w:rsidR="0069784B" w:rsidRPr="00951281">
        <w:rPr>
          <w:rFonts w:ascii="Times New Roman" w:hAnsi="Times New Roman"/>
          <w:spacing w:val="40"/>
          <w:sz w:val="28"/>
          <w:szCs w:val="28"/>
          <w:lang w:val="bg-BG"/>
        </w:rPr>
        <w:t xml:space="preserve"> </w:t>
      </w:r>
      <w:r w:rsidRPr="00951281">
        <w:rPr>
          <w:rFonts w:ascii="Times New Roman" w:hAnsi="Times New Roman"/>
          <w:spacing w:val="40"/>
          <w:sz w:val="28"/>
          <w:szCs w:val="28"/>
          <w:lang w:val="bg-BG"/>
        </w:rPr>
        <w:t>Т</w:t>
      </w:r>
    </w:p>
    <w:p w14:paraId="0E2481AE" w14:textId="77777777" w:rsidR="0069784B" w:rsidRPr="00951281" w:rsidRDefault="00FD000C">
      <w:pPr>
        <w:jc w:val="center"/>
        <w:rPr>
          <w:rFonts w:ascii="Times New Roman" w:hAnsi="Times New Roman"/>
          <w:b/>
          <w:spacing w:val="40"/>
          <w:sz w:val="28"/>
          <w:szCs w:val="28"/>
          <w:lang w:val="bg-BG"/>
        </w:rPr>
      </w:pPr>
      <w:r w:rsidRPr="00951281">
        <w:rPr>
          <w:rFonts w:ascii="Times New Roman" w:hAnsi="Times New Roman"/>
          <w:b/>
          <w:spacing w:val="40"/>
          <w:sz w:val="28"/>
          <w:szCs w:val="28"/>
          <w:lang w:val="bg-BG"/>
        </w:rPr>
        <w:t>П</w:t>
      </w:r>
      <w:r w:rsidR="0069784B" w:rsidRPr="00951281">
        <w:rPr>
          <w:rFonts w:ascii="Times New Roman" w:hAnsi="Times New Roman"/>
          <w:b/>
          <w:spacing w:val="40"/>
          <w:sz w:val="28"/>
          <w:szCs w:val="28"/>
          <w:lang w:val="bg-BG"/>
        </w:rPr>
        <w:t xml:space="preserve"> </w:t>
      </w:r>
      <w:r w:rsidRPr="00951281">
        <w:rPr>
          <w:rFonts w:ascii="Times New Roman" w:hAnsi="Times New Roman"/>
          <w:b/>
          <w:spacing w:val="40"/>
          <w:sz w:val="28"/>
          <w:szCs w:val="28"/>
          <w:lang w:val="bg-BG"/>
        </w:rPr>
        <w:t>О</w:t>
      </w:r>
      <w:r w:rsidR="0069784B" w:rsidRPr="00951281">
        <w:rPr>
          <w:rFonts w:ascii="Times New Roman" w:hAnsi="Times New Roman"/>
          <w:b/>
          <w:spacing w:val="40"/>
          <w:sz w:val="28"/>
          <w:szCs w:val="28"/>
          <w:lang w:val="bg-BG"/>
        </w:rPr>
        <w:t xml:space="preserve"> </w:t>
      </w:r>
      <w:r w:rsidRPr="00951281">
        <w:rPr>
          <w:rFonts w:ascii="Times New Roman" w:hAnsi="Times New Roman"/>
          <w:b/>
          <w:spacing w:val="40"/>
          <w:sz w:val="28"/>
          <w:szCs w:val="28"/>
          <w:lang w:val="bg-BG"/>
        </w:rPr>
        <w:t>С</w:t>
      </w:r>
      <w:r w:rsidR="0069784B" w:rsidRPr="00951281">
        <w:rPr>
          <w:rFonts w:ascii="Times New Roman" w:hAnsi="Times New Roman"/>
          <w:b/>
          <w:spacing w:val="40"/>
          <w:sz w:val="28"/>
          <w:szCs w:val="28"/>
          <w:lang w:val="bg-BG"/>
        </w:rPr>
        <w:t xml:space="preserve"> </w:t>
      </w:r>
      <w:r w:rsidRPr="00951281">
        <w:rPr>
          <w:rFonts w:ascii="Times New Roman" w:hAnsi="Times New Roman"/>
          <w:b/>
          <w:spacing w:val="40"/>
          <w:sz w:val="28"/>
          <w:szCs w:val="28"/>
          <w:lang w:val="bg-BG"/>
        </w:rPr>
        <w:t>Т</w:t>
      </w:r>
      <w:r w:rsidR="0069784B" w:rsidRPr="00951281">
        <w:rPr>
          <w:rFonts w:ascii="Times New Roman" w:hAnsi="Times New Roman"/>
          <w:b/>
          <w:spacing w:val="40"/>
          <w:sz w:val="28"/>
          <w:szCs w:val="28"/>
          <w:lang w:val="bg-BG"/>
        </w:rPr>
        <w:t xml:space="preserve"> </w:t>
      </w:r>
      <w:r w:rsidRPr="00951281">
        <w:rPr>
          <w:rFonts w:ascii="Times New Roman" w:hAnsi="Times New Roman"/>
          <w:b/>
          <w:spacing w:val="40"/>
          <w:sz w:val="28"/>
          <w:szCs w:val="28"/>
          <w:lang w:val="bg-BG"/>
        </w:rPr>
        <w:t>А</w:t>
      </w:r>
      <w:r w:rsidR="0069784B" w:rsidRPr="00951281">
        <w:rPr>
          <w:rFonts w:ascii="Times New Roman" w:hAnsi="Times New Roman"/>
          <w:b/>
          <w:spacing w:val="40"/>
          <w:sz w:val="28"/>
          <w:szCs w:val="28"/>
          <w:lang w:val="bg-BG"/>
        </w:rPr>
        <w:t xml:space="preserve"> </w:t>
      </w:r>
      <w:r w:rsidRPr="00951281">
        <w:rPr>
          <w:rFonts w:ascii="Times New Roman" w:hAnsi="Times New Roman"/>
          <w:b/>
          <w:spacing w:val="40"/>
          <w:sz w:val="28"/>
          <w:szCs w:val="28"/>
          <w:lang w:val="bg-BG"/>
        </w:rPr>
        <w:t>Н</w:t>
      </w:r>
      <w:r w:rsidR="0069784B" w:rsidRPr="00951281">
        <w:rPr>
          <w:rFonts w:ascii="Times New Roman" w:hAnsi="Times New Roman"/>
          <w:b/>
          <w:spacing w:val="40"/>
          <w:sz w:val="28"/>
          <w:szCs w:val="28"/>
          <w:lang w:val="bg-BG"/>
        </w:rPr>
        <w:t xml:space="preserve"> </w:t>
      </w:r>
      <w:r w:rsidRPr="00951281">
        <w:rPr>
          <w:rFonts w:ascii="Times New Roman" w:hAnsi="Times New Roman"/>
          <w:b/>
          <w:spacing w:val="40"/>
          <w:sz w:val="28"/>
          <w:szCs w:val="28"/>
          <w:lang w:val="bg-BG"/>
        </w:rPr>
        <w:t>О</w:t>
      </w:r>
      <w:r w:rsidR="0069784B" w:rsidRPr="00951281">
        <w:rPr>
          <w:rFonts w:ascii="Times New Roman" w:hAnsi="Times New Roman"/>
          <w:b/>
          <w:spacing w:val="40"/>
          <w:sz w:val="28"/>
          <w:szCs w:val="28"/>
          <w:lang w:val="bg-BG"/>
        </w:rPr>
        <w:t xml:space="preserve"> </w:t>
      </w:r>
      <w:r w:rsidRPr="00951281">
        <w:rPr>
          <w:rFonts w:ascii="Times New Roman" w:hAnsi="Times New Roman"/>
          <w:b/>
          <w:spacing w:val="40"/>
          <w:sz w:val="28"/>
          <w:szCs w:val="28"/>
          <w:lang w:val="bg-BG"/>
        </w:rPr>
        <w:t>В</w:t>
      </w:r>
      <w:r w:rsidR="0069784B" w:rsidRPr="00951281">
        <w:rPr>
          <w:rFonts w:ascii="Times New Roman" w:hAnsi="Times New Roman"/>
          <w:b/>
          <w:spacing w:val="40"/>
          <w:sz w:val="28"/>
          <w:szCs w:val="28"/>
          <w:lang w:val="bg-BG"/>
        </w:rPr>
        <w:t xml:space="preserve"> </w:t>
      </w:r>
      <w:r w:rsidRPr="00951281">
        <w:rPr>
          <w:rFonts w:ascii="Times New Roman" w:hAnsi="Times New Roman"/>
          <w:b/>
          <w:spacing w:val="40"/>
          <w:sz w:val="28"/>
          <w:szCs w:val="28"/>
          <w:lang w:val="bg-BG"/>
        </w:rPr>
        <w:t>И</w:t>
      </w:r>
      <w:r w:rsidR="0069784B" w:rsidRPr="00951281">
        <w:rPr>
          <w:rFonts w:ascii="Times New Roman" w:hAnsi="Times New Roman"/>
          <w:b/>
          <w:spacing w:val="40"/>
          <w:sz w:val="28"/>
          <w:szCs w:val="28"/>
          <w:lang w:val="bg-BG"/>
        </w:rPr>
        <w:t>:</w:t>
      </w:r>
    </w:p>
    <w:p w14:paraId="298FA7A9" w14:textId="77777777" w:rsidR="0069784B" w:rsidRPr="008B1500" w:rsidRDefault="0069784B">
      <w:pPr>
        <w:jc w:val="center"/>
        <w:rPr>
          <w:rFonts w:ascii="Times New Roman" w:hAnsi="Times New Roman"/>
          <w:spacing w:val="40"/>
          <w:sz w:val="26"/>
          <w:szCs w:val="26"/>
          <w:lang w:val="bg-BG"/>
        </w:rPr>
      </w:pPr>
    </w:p>
    <w:p w14:paraId="071FC1C2" w14:textId="77777777" w:rsidR="00D706BF" w:rsidRPr="008B1500" w:rsidRDefault="00D706BF" w:rsidP="00CB6660">
      <w:pPr>
        <w:jc w:val="center"/>
        <w:rPr>
          <w:rFonts w:ascii="Times New Roman" w:hAnsi="Times New Roman"/>
          <w:smallCaps/>
          <w:sz w:val="26"/>
          <w:szCs w:val="26"/>
          <w:lang w:val="bg-BG"/>
        </w:rPr>
      </w:pPr>
    </w:p>
    <w:p w14:paraId="5D922C72" w14:textId="155B7692" w:rsidR="005C3D2E" w:rsidRPr="005C3D2E" w:rsidRDefault="005C3D2E" w:rsidP="005C3D2E">
      <w:pPr>
        <w:spacing w:before="120" w:line="288" w:lineRule="auto"/>
        <w:ind w:firstLine="1134"/>
        <w:jc w:val="both"/>
        <w:rPr>
          <w:rFonts w:ascii="Arial" w:hAnsi="Arial" w:cs="Arial"/>
          <w:sz w:val="28"/>
          <w:szCs w:val="28"/>
          <w:lang w:val="bg-BG"/>
        </w:rPr>
      </w:pPr>
      <w:r w:rsidRPr="005C3D2E">
        <w:rPr>
          <w:rFonts w:ascii="Arial" w:hAnsi="Arial" w:cs="Arial"/>
          <w:b/>
          <w:bCs/>
          <w:sz w:val="28"/>
          <w:szCs w:val="28"/>
          <w:lang w:val="bg-BG"/>
        </w:rPr>
        <w:t>Чл. 1. (1)</w:t>
      </w:r>
      <w:r w:rsidRPr="005C3D2E">
        <w:rPr>
          <w:rFonts w:ascii="Arial" w:hAnsi="Arial" w:cs="Arial"/>
          <w:sz w:val="28"/>
          <w:szCs w:val="28"/>
          <w:lang w:val="bg-BG"/>
        </w:rPr>
        <w:t xml:space="preserve"> Възлага на „Българска банка за развитие“ ЕАД („Банката“) управлението на Инвестиция 9 (C4.I9): Схема за субсидиране - обновяване на жилищни сгради</w:t>
      </w:r>
      <w:r w:rsidR="00171E72">
        <w:rPr>
          <w:rFonts w:ascii="Arial" w:hAnsi="Arial" w:cs="Arial"/>
          <w:sz w:val="28"/>
          <w:szCs w:val="28"/>
          <w:lang w:val="bg-BG"/>
        </w:rPr>
        <w:t>,</w:t>
      </w:r>
      <w:r w:rsidRPr="005C3D2E">
        <w:rPr>
          <w:rFonts w:ascii="Arial" w:hAnsi="Arial" w:cs="Arial"/>
          <w:sz w:val="28"/>
          <w:szCs w:val="28"/>
          <w:lang w:val="bg-BG"/>
        </w:rPr>
        <w:t xml:space="preserve"> наричана по-нататък „Схема за субсидии“, чрез която да бъдат предоставени безвъзмездни средства на крайни получатели от частния сектор. За целта Министерството на финансите предоставя от Механизма за възстановяване и устойчивост на Банката сума в размер до </w:t>
      </w:r>
      <w:r w:rsidR="00FE1C2A">
        <w:rPr>
          <w:rFonts w:ascii="Arial" w:hAnsi="Arial" w:cs="Arial"/>
          <w:sz w:val="28"/>
          <w:szCs w:val="28"/>
          <w:lang w:val="bg-BG"/>
        </w:rPr>
        <w:br/>
      </w:r>
      <w:r w:rsidRPr="005C3D2E">
        <w:rPr>
          <w:rFonts w:ascii="Arial" w:hAnsi="Arial" w:cs="Arial"/>
          <w:sz w:val="28"/>
          <w:szCs w:val="28"/>
          <w:lang w:val="bg-BG"/>
        </w:rPr>
        <w:t>246 556 225 евро.</w:t>
      </w:r>
    </w:p>
    <w:p w14:paraId="4BBFEC9A" w14:textId="49781957" w:rsidR="005C3D2E" w:rsidRPr="005C3D2E" w:rsidRDefault="005C3D2E" w:rsidP="005C3D2E">
      <w:pPr>
        <w:spacing w:before="120" w:line="288" w:lineRule="auto"/>
        <w:ind w:firstLine="1134"/>
        <w:jc w:val="both"/>
        <w:rPr>
          <w:rFonts w:ascii="Arial" w:hAnsi="Arial" w:cs="Arial"/>
          <w:sz w:val="28"/>
          <w:szCs w:val="28"/>
          <w:lang w:val="bg-BG"/>
        </w:rPr>
      </w:pPr>
      <w:r w:rsidRPr="005C3D2E">
        <w:rPr>
          <w:rFonts w:ascii="Arial" w:hAnsi="Arial" w:cs="Arial"/>
          <w:b/>
          <w:bCs/>
          <w:sz w:val="28"/>
          <w:szCs w:val="28"/>
          <w:lang w:val="bg-BG"/>
        </w:rPr>
        <w:t>(2)</w:t>
      </w:r>
      <w:r w:rsidRPr="005C3D2E">
        <w:rPr>
          <w:rFonts w:ascii="Arial" w:hAnsi="Arial" w:cs="Arial"/>
          <w:sz w:val="28"/>
          <w:szCs w:val="28"/>
          <w:lang w:val="bg-BG"/>
        </w:rPr>
        <w:t xml:space="preserve"> „Българска банка за развитие“ ЕАД и министърът на финансите сключват споразумение за изпълнение на Схемата за субсидии по ал. 1.</w:t>
      </w:r>
    </w:p>
    <w:p w14:paraId="1CE4ABF6" w14:textId="4E2E459C" w:rsidR="005C3D2E" w:rsidRPr="005C3D2E" w:rsidRDefault="005C3D2E" w:rsidP="005C3D2E">
      <w:pPr>
        <w:spacing w:before="120" w:line="288" w:lineRule="auto"/>
        <w:ind w:firstLine="1134"/>
        <w:jc w:val="both"/>
        <w:rPr>
          <w:rFonts w:ascii="Arial" w:hAnsi="Arial" w:cs="Arial"/>
          <w:sz w:val="28"/>
          <w:szCs w:val="28"/>
          <w:lang w:val="bg-BG"/>
        </w:rPr>
      </w:pPr>
      <w:r w:rsidRPr="005C3D2E">
        <w:rPr>
          <w:rFonts w:ascii="Arial" w:hAnsi="Arial" w:cs="Arial"/>
          <w:b/>
          <w:bCs/>
          <w:sz w:val="28"/>
          <w:szCs w:val="28"/>
          <w:lang w:val="bg-BG"/>
        </w:rPr>
        <w:t>(3)</w:t>
      </w:r>
      <w:r w:rsidRPr="005C3D2E">
        <w:rPr>
          <w:rFonts w:ascii="Arial" w:hAnsi="Arial" w:cs="Arial"/>
          <w:sz w:val="28"/>
          <w:szCs w:val="28"/>
          <w:lang w:val="bg-BG"/>
        </w:rPr>
        <w:t xml:space="preserve"> Схемата за субсидии се изпълнява от Банката в качеството ѝ на „Партньор по изпълнението на схемата“ при условията и по реда, определен в постановлението, в споразумението, сключено с министъра на финансите, както и във вътрешните политики, правила, процедури и решения на Банката.</w:t>
      </w:r>
    </w:p>
    <w:p w14:paraId="0BA5B1F2" w14:textId="77777777" w:rsidR="005C3D2E" w:rsidRPr="005C3D2E" w:rsidRDefault="005C3D2E" w:rsidP="005C3D2E">
      <w:pPr>
        <w:spacing w:before="120" w:line="288" w:lineRule="auto"/>
        <w:ind w:firstLine="1134"/>
        <w:jc w:val="both"/>
        <w:rPr>
          <w:rFonts w:ascii="Arial" w:hAnsi="Arial" w:cs="Arial"/>
          <w:sz w:val="28"/>
          <w:szCs w:val="28"/>
          <w:lang w:val="bg-BG"/>
        </w:rPr>
      </w:pPr>
      <w:r w:rsidRPr="005C3D2E">
        <w:rPr>
          <w:rFonts w:ascii="Arial" w:hAnsi="Arial" w:cs="Arial"/>
          <w:b/>
          <w:bCs/>
          <w:sz w:val="28"/>
          <w:szCs w:val="28"/>
          <w:lang w:val="bg-BG"/>
        </w:rPr>
        <w:t>(4)</w:t>
      </w:r>
      <w:r w:rsidRPr="005C3D2E">
        <w:rPr>
          <w:rFonts w:ascii="Arial" w:hAnsi="Arial" w:cs="Arial"/>
          <w:sz w:val="28"/>
          <w:szCs w:val="28"/>
          <w:lang w:val="bg-BG"/>
        </w:rPr>
        <w:t xml:space="preserve"> Интензитетът на финансирането по Схемата за субсидии е 100 %.</w:t>
      </w:r>
    </w:p>
    <w:p w14:paraId="6EA83F84" w14:textId="77777777" w:rsidR="005C3D2E" w:rsidRPr="005C3D2E" w:rsidRDefault="005C3D2E" w:rsidP="005C3D2E">
      <w:pPr>
        <w:spacing w:before="120" w:line="288" w:lineRule="auto"/>
        <w:ind w:firstLine="1134"/>
        <w:jc w:val="both"/>
        <w:rPr>
          <w:rFonts w:ascii="Arial" w:hAnsi="Arial" w:cs="Arial"/>
          <w:sz w:val="28"/>
          <w:szCs w:val="28"/>
          <w:lang w:val="bg-BG"/>
        </w:rPr>
      </w:pPr>
      <w:r w:rsidRPr="005C3D2E">
        <w:rPr>
          <w:rFonts w:ascii="Arial" w:hAnsi="Arial" w:cs="Arial"/>
          <w:b/>
          <w:bCs/>
          <w:sz w:val="28"/>
          <w:szCs w:val="28"/>
          <w:lang w:val="bg-BG"/>
        </w:rPr>
        <w:lastRenderedPageBreak/>
        <w:t>(5)</w:t>
      </w:r>
      <w:r w:rsidRPr="005C3D2E">
        <w:rPr>
          <w:rFonts w:ascii="Arial" w:hAnsi="Arial" w:cs="Arial"/>
          <w:sz w:val="28"/>
          <w:szCs w:val="28"/>
          <w:lang w:val="bg-BG"/>
        </w:rPr>
        <w:t xml:space="preserve"> Сумата по ал. 1 се предоставя от Министерството на финансите по сметка на Банката в срок до юни 2026 г. за:</w:t>
      </w:r>
    </w:p>
    <w:p w14:paraId="4799AA68" w14:textId="77777777" w:rsidR="005C3D2E" w:rsidRPr="005C3D2E" w:rsidRDefault="005C3D2E" w:rsidP="005C3D2E">
      <w:pPr>
        <w:tabs>
          <w:tab w:val="left" w:pos="1560"/>
        </w:tabs>
        <w:spacing w:before="120" w:line="288" w:lineRule="auto"/>
        <w:ind w:firstLine="1134"/>
        <w:jc w:val="both"/>
        <w:rPr>
          <w:rFonts w:ascii="Arial" w:hAnsi="Arial" w:cs="Arial"/>
          <w:sz w:val="28"/>
          <w:szCs w:val="28"/>
          <w:lang w:val="bg-BG"/>
        </w:rPr>
      </w:pPr>
      <w:r w:rsidRPr="005C3D2E">
        <w:rPr>
          <w:rFonts w:ascii="Arial" w:hAnsi="Arial" w:cs="Arial"/>
          <w:sz w:val="28"/>
          <w:szCs w:val="28"/>
          <w:lang w:val="bg-BG"/>
        </w:rPr>
        <w:t>1.</w:t>
      </w:r>
      <w:r w:rsidRPr="005C3D2E">
        <w:rPr>
          <w:rFonts w:ascii="Arial" w:hAnsi="Arial" w:cs="Arial"/>
          <w:sz w:val="28"/>
          <w:szCs w:val="28"/>
          <w:lang w:val="bg-BG"/>
        </w:rPr>
        <w:tab/>
        <w:t>извършване на разплащания по сключени споразумения за финансиране на водещи партньори;</w:t>
      </w:r>
    </w:p>
    <w:p w14:paraId="6D2B3092" w14:textId="77777777" w:rsidR="005C3D2E" w:rsidRPr="005C3D2E" w:rsidRDefault="005C3D2E" w:rsidP="005C3D2E">
      <w:pPr>
        <w:tabs>
          <w:tab w:val="left" w:pos="1560"/>
        </w:tabs>
        <w:spacing w:before="120" w:line="288" w:lineRule="auto"/>
        <w:ind w:firstLine="1134"/>
        <w:jc w:val="both"/>
        <w:rPr>
          <w:rFonts w:ascii="Arial" w:hAnsi="Arial" w:cs="Arial"/>
          <w:sz w:val="28"/>
          <w:szCs w:val="28"/>
          <w:lang w:val="bg-BG"/>
        </w:rPr>
      </w:pPr>
      <w:r w:rsidRPr="005C3D2E">
        <w:rPr>
          <w:rFonts w:ascii="Arial" w:hAnsi="Arial" w:cs="Arial"/>
          <w:sz w:val="28"/>
          <w:szCs w:val="28"/>
          <w:lang w:val="bg-BG"/>
        </w:rPr>
        <w:t>2.</w:t>
      </w:r>
      <w:r w:rsidRPr="005C3D2E">
        <w:rPr>
          <w:rFonts w:ascii="Arial" w:hAnsi="Arial" w:cs="Arial"/>
          <w:sz w:val="28"/>
          <w:szCs w:val="28"/>
          <w:lang w:val="bg-BG"/>
        </w:rPr>
        <w:tab/>
        <w:t>такса за управление на Банката в размер до 5 % от сумата по ал. 1.</w:t>
      </w:r>
    </w:p>
    <w:p w14:paraId="2CF3343F" w14:textId="508ABD76" w:rsidR="005C3D2E" w:rsidRPr="005C3D2E" w:rsidRDefault="005C3D2E" w:rsidP="005C3D2E">
      <w:pPr>
        <w:spacing w:before="120" w:line="288" w:lineRule="auto"/>
        <w:ind w:firstLine="1134"/>
        <w:jc w:val="both"/>
        <w:rPr>
          <w:rFonts w:ascii="Arial" w:hAnsi="Arial" w:cs="Arial"/>
          <w:sz w:val="28"/>
          <w:szCs w:val="28"/>
          <w:lang w:val="bg-BG"/>
        </w:rPr>
      </w:pPr>
      <w:r w:rsidRPr="005C3D2E">
        <w:rPr>
          <w:rFonts w:ascii="Arial" w:hAnsi="Arial" w:cs="Arial"/>
          <w:b/>
          <w:bCs/>
          <w:sz w:val="28"/>
          <w:szCs w:val="28"/>
          <w:lang w:val="bg-BG"/>
        </w:rPr>
        <w:t>Чл. 2. (1)</w:t>
      </w:r>
      <w:r w:rsidRPr="005C3D2E">
        <w:rPr>
          <w:rFonts w:ascii="Arial" w:hAnsi="Arial" w:cs="Arial"/>
          <w:sz w:val="28"/>
          <w:szCs w:val="28"/>
          <w:lang w:val="bg-BG"/>
        </w:rPr>
        <w:t xml:space="preserve"> Средствата по чл. 1, ал. 1 се управляват съобразно приложимото европейско и национално законодателство и в съответствие с принципите на добро финансово управление и прозрачност, определени в Регламент (ЕС, Евратом) 2024/2509 на Европейския парламент и на Съвета от 23 септември 2024 година за финансовите правила, приложими за общия бюджет на Съюза </w:t>
      </w:r>
      <w:r w:rsidR="00FE1C2A">
        <w:rPr>
          <w:rFonts w:ascii="Arial" w:hAnsi="Arial" w:cs="Arial"/>
          <w:sz w:val="28"/>
          <w:szCs w:val="28"/>
          <w:lang w:val="bg-BG"/>
        </w:rPr>
        <w:br/>
      </w:r>
      <w:r w:rsidRPr="005C3D2E">
        <w:rPr>
          <w:rFonts w:ascii="Arial" w:hAnsi="Arial" w:cs="Arial"/>
          <w:sz w:val="28"/>
          <w:szCs w:val="28"/>
          <w:lang w:val="bg-BG"/>
        </w:rPr>
        <w:t>(OB</w:t>
      </w:r>
      <w:r w:rsidR="00FE1C2A">
        <w:rPr>
          <w:rFonts w:ascii="Arial" w:hAnsi="Arial" w:cs="Arial"/>
          <w:sz w:val="28"/>
          <w:szCs w:val="28"/>
          <w:lang w:val="bg-BG"/>
        </w:rPr>
        <w:t>,</w:t>
      </w:r>
      <w:r w:rsidRPr="005C3D2E">
        <w:rPr>
          <w:rFonts w:ascii="Arial" w:hAnsi="Arial" w:cs="Arial"/>
          <w:sz w:val="28"/>
          <w:szCs w:val="28"/>
          <w:lang w:val="bg-BG"/>
        </w:rPr>
        <w:t xml:space="preserve"> L 2024/2509, 26.9.2024 г.), наричан по-нататък „Регламент (ЕС) 2024/2509“.</w:t>
      </w:r>
    </w:p>
    <w:p w14:paraId="09281B40" w14:textId="77777777" w:rsidR="005C3D2E" w:rsidRPr="005C3D2E" w:rsidRDefault="005C3D2E" w:rsidP="005C3D2E">
      <w:pPr>
        <w:spacing w:before="120" w:line="288" w:lineRule="auto"/>
        <w:ind w:firstLine="1134"/>
        <w:jc w:val="both"/>
        <w:rPr>
          <w:rFonts w:ascii="Arial" w:hAnsi="Arial" w:cs="Arial"/>
          <w:sz w:val="28"/>
          <w:szCs w:val="28"/>
          <w:lang w:val="bg-BG"/>
        </w:rPr>
      </w:pPr>
      <w:r w:rsidRPr="005C3D2E">
        <w:rPr>
          <w:rFonts w:ascii="Arial" w:hAnsi="Arial" w:cs="Arial"/>
          <w:b/>
          <w:bCs/>
          <w:sz w:val="28"/>
          <w:szCs w:val="28"/>
          <w:lang w:val="bg-BG"/>
        </w:rPr>
        <w:t>(2)</w:t>
      </w:r>
      <w:r w:rsidRPr="005C3D2E">
        <w:rPr>
          <w:rFonts w:ascii="Arial" w:hAnsi="Arial" w:cs="Arial"/>
          <w:sz w:val="28"/>
          <w:szCs w:val="28"/>
          <w:lang w:val="bg-BG"/>
        </w:rPr>
        <w:t xml:space="preserve"> При управлението и изпълнението на Схемата за субсидии не се допуска конфликт на интереси по смисъла на чл. 61 от Регламент (ЕС) 2024/2509.</w:t>
      </w:r>
    </w:p>
    <w:p w14:paraId="62AA08DD" w14:textId="77777777" w:rsidR="005C3D2E" w:rsidRPr="005C3D2E" w:rsidRDefault="005C3D2E" w:rsidP="005C3D2E">
      <w:pPr>
        <w:spacing w:before="120" w:line="288" w:lineRule="auto"/>
        <w:ind w:firstLine="1134"/>
        <w:jc w:val="both"/>
        <w:rPr>
          <w:rFonts w:ascii="Arial" w:hAnsi="Arial" w:cs="Arial"/>
          <w:sz w:val="28"/>
          <w:szCs w:val="28"/>
          <w:lang w:val="bg-BG"/>
        </w:rPr>
      </w:pPr>
      <w:r w:rsidRPr="005C3D2E">
        <w:rPr>
          <w:rFonts w:ascii="Arial" w:hAnsi="Arial" w:cs="Arial"/>
          <w:b/>
          <w:bCs/>
          <w:sz w:val="28"/>
          <w:szCs w:val="28"/>
          <w:lang w:val="bg-BG"/>
        </w:rPr>
        <w:t>(3)</w:t>
      </w:r>
      <w:r w:rsidRPr="005C3D2E">
        <w:rPr>
          <w:rFonts w:ascii="Arial" w:hAnsi="Arial" w:cs="Arial"/>
          <w:sz w:val="28"/>
          <w:szCs w:val="28"/>
          <w:lang w:val="bg-BG"/>
        </w:rPr>
        <w:t xml:space="preserve"> Лицата, отговорни за управлението и изпълнението на Схемата за субсидии, предприемат необходимите мерки, свързани с предотвратяването на измами, корупция, конфликт на интереси и двойно финансиране от Механизма за възстановяване и устойчивост и от други програми на Съюза, както и от други национални или международни източници на финансиране.</w:t>
      </w:r>
    </w:p>
    <w:p w14:paraId="30230357" w14:textId="0CC17404" w:rsidR="005C3D2E" w:rsidRPr="005C3D2E" w:rsidRDefault="005C3D2E" w:rsidP="005C3D2E">
      <w:pPr>
        <w:spacing w:before="120" w:line="288" w:lineRule="auto"/>
        <w:ind w:firstLine="1134"/>
        <w:jc w:val="both"/>
        <w:rPr>
          <w:rFonts w:ascii="Arial" w:hAnsi="Arial" w:cs="Arial"/>
          <w:sz w:val="28"/>
          <w:szCs w:val="28"/>
          <w:lang w:val="bg-BG"/>
        </w:rPr>
      </w:pPr>
      <w:r w:rsidRPr="005C3D2E">
        <w:rPr>
          <w:rFonts w:ascii="Arial" w:hAnsi="Arial" w:cs="Arial"/>
          <w:b/>
          <w:bCs/>
          <w:sz w:val="28"/>
          <w:szCs w:val="28"/>
          <w:lang w:val="bg-BG"/>
        </w:rPr>
        <w:t>(4)</w:t>
      </w:r>
      <w:r w:rsidRPr="005C3D2E">
        <w:rPr>
          <w:rFonts w:ascii="Arial" w:hAnsi="Arial" w:cs="Arial"/>
          <w:sz w:val="28"/>
          <w:szCs w:val="28"/>
          <w:lang w:val="bg-BG"/>
        </w:rPr>
        <w:t xml:space="preserve"> Средствата по чл. 1, ал. 1 се предоставят и разходват при спазване на принципа „</w:t>
      </w:r>
      <w:proofErr w:type="spellStart"/>
      <w:r w:rsidRPr="005C3D2E">
        <w:rPr>
          <w:rFonts w:ascii="Arial" w:hAnsi="Arial" w:cs="Arial"/>
          <w:sz w:val="28"/>
          <w:szCs w:val="28"/>
          <w:lang w:val="bg-BG"/>
        </w:rPr>
        <w:t>ненанасяне</w:t>
      </w:r>
      <w:proofErr w:type="spellEnd"/>
      <w:r w:rsidRPr="005C3D2E">
        <w:rPr>
          <w:rFonts w:ascii="Arial" w:hAnsi="Arial" w:cs="Arial"/>
          <w:sz w:val="28"/>
          <w:szCs w:val="28"/>
          <w:lang w:val="bg-BG"/>
        </w:rPr>
        <w:t xml:space="preserve"> на значителни вреди“ по смисъла на чл. 2, т. 6 от Регламент (ЕС) 2021/241 на Европейския парламент и на Съвета от 12 февруари 2021 година за създаване на </w:t>
      </w:r>
      <w:r w:rsidR="00FE1C2A">
        <w:rPr>
          <w:rFonts w:ascii="Arial" w:hAnsi="Arial" w:cs="Arial"/>
          <w:sz w:val="28"/>
          <w:szCs w:val="28"/>
          <w:lang w:val="bg-BG"/>
        </w:rPr>
        <w:br/>
      </w:r>
      <w:r w:rsidRPr="005C3D2E">
        <w:rPr>
          <w:rFonts w:ascii="Arial" w:hAnsi="Arial" w:cs="Arial"/>
          <w:sz w:val="28"/>
          <w:szCs w:val="28"/>
          <w:lang w:val="bg-BG"/>
        </w:rPr>
        <w:t xml:space="preserve">Механизъм за възстановяване и устойчивост (OB, L 57/17 от </w:t>
      </w:r>
      <w:r w:rsidR="00FE1C2A">
        <w:rPr>
          <w:rFonts w:ascii="Arial" w:hAnsi="Arial" w:cs="Arial"/>
          <w:sz w:val="28"/>
          <w:szCs w:val="28"/>
          <w:lang w:val="bg-BG"/>
        </w:rPr>
        <w:br/>
      </w:r>
      <w:r w:rsidRPr="005C3D2E">
        <w:rPr>
          <w:rFonts w:ascii="Arial" w:hAnsi="Arial" w:cs="Arial"/>
          <w:sz w:val="28"/>
          <w:szCs w:val="28"/>
          <w:lang w:val="bg-BG"/>
        </w:rPr>
        <w:t>18 февруари 2021 г.).</w:t>
      </w:r>
    </w:p>
    <w:p w14:paraId="4A440083" w14:textId="54A7C087" w:rsidR="005C3D2E" w:rsidRPr="005C3D2E" w:rsidRDefault="005C3D2E" w:rsidP="005C3D2E">
      <w:pPr>
        <w:spacing w:before="120" w:line="288" w:lineRule="auto"/>
        <w:ind w:firstLine="1134"/>
        <w:jc w:val="both"/>
        <w:rPr>
          <w:rFonts w:ascii="Arial" w:hAnsi="Arial" w:cs="Arial"/>
          <w:sz w:val="28"/>
          <w:szCs w:val="28"/>
          <w:lang w:val="bg-BG"/>
        </w:rPr>
      </w:pPr>
      <w:r w:rsidRPr="005C3D2E">
        <w:rPr>
          <w:rFonts w:ascii="Arial" w:hAnsi="Arial" w:cs="Arial"/>
          <w:b/>
          <w:bCs/>
          <w:sz w:val="28"/>
          <w:szCs w:val="28"/>
          <w:lang w:val="bg-BG"/>
        </w:rPr>
        <w:t>(5)</w:t>
      </w:r>
      <w:r w:rsidRPr="005C3D2E">
        <w:rPr>
          <w:rFonts w:ascii="Arial" w:hAnsi="Arial" w:cs="Arial"/>
          <w:sz w:val="28"/>
          <w:szCs w:val="28"/>
          <w:lang w:val="bg-BG"/>
        </w:rPr>
        <w:t xml:space="preserve"> Банката осигурява изпълнение на Схемата за субсидии в съответствие с етап 75а от Решение № 237 на Министерския съвет от 2025 г. за одобряване на проект за изменение на Националния план за възстановяване и устойчивост на Република България и на проект за съдържанието на главата за REPOWEREU и Решение за </w:t>
      </w:r>
      <w:r w:rsidRPr="005C3D2E">
        <w:rPr>
          <w:rFonts w:ascii="Arial" w:hAnsi="Arial" w:cs="Arial"/>
          <w:sz w:val="28"/>
          <w:szCs w:val="28"/>
          <w:lang w:val="bg-BG"/>
        </w:rPr>
        <w:lastRenderedPageBreak/>
        <w:t xml:space="preserve">изпълнение на Съвета от 22.07.2025 г. за изменение на Решение за изпълнение от 4 май 2022 г. за одобряване на оценката на Плана за възстановяване и устойчивост на България (ST 15108/2025) и Приложение към Решение за изпълнение на Съвета от 22 април </w:t>
      </w:r>
      <w:r w:rsidR="00E73264">
        <w:rPr>
          <w:rFonts w:ascii="Arial" w:hAnsi="Arial" w:cs="Arial"/>
          <w:sz w:val="28"/>
          <w:szCs w:val="28"/>
          <w:lang w:val="bg-BG"/>
        </w:rPr>
        <w:br/>
      </w:r>
      <w:r w:rsidRPr="005C3D2E">
        <w:rPr>
          <w:rFonts w:ascii="Arial" w:hAnsi="Arial" w:cs="Arial"/>
          <w:sz w:val="28"/>
          <w:szCs w:val="28"/>
          <w:lang w:val="bg-BG"/>
        </w:rPr>
        <w:t xml:space="preserve">2025 г. за изменение на Решение за изпълнение от 5 декември </w:t>
      </w:r>
      <w:r w:rsidR="00E73264">
        <w:rPr>
          <w:rFonts w:ascii="Arial" w:hAnsi="Arial" w:cs="Arial"/>
          <w:sz w:val="28"/>
          <w:szCs w:val="28"/>
          <w:lang w:val="bg-BG"/>
        </w:rPr>
        <w:br/>
      </w:r>
      <w:r w:rsidRPr="005C3D2E">
        <w:rPr>
          <w:rFonts w:ascii="Arial" w:hAnsi="Arial" w:cs="Arial"/>
          <w:sz w:val="28"/>
          <w:szCs w:val="28"/>
          <w:lang w:val="bg-BG"/>
        </w:rPr>
        <w:t>2023 г. за одобряване на оценката на плана за възстановяване и устойчивост на България (ST 15108/2025 ADD 1).</w:t>
      </w:r>
    </w:p>
    <w:p w14:paraId="2DD48E9D" w14:textId="1F59AB45" w:rsidR="005C3D2E" w:rsidRPr="005C3D2E" w:rsidRDefault="005C3D2E" w:rsidP="005C3D2E">
      <w:pPr>
        <w:spacing w:before="120" w:line="288" w:lineRule="auto"/>
        <w:ind w:firstLine="1134"/>
        <w:jc w:val="both"/>
        <w:rPr>
          <w:rFonts w:ascii="Arial" w:hAnsi="Arial" w:cs="Arial"/>
          <w:sz w:val="28"/>
          <w:szCs w:val="28"/>
          <w:lang w:val="bg-BG"/>
        </w:rPr>
      </w:pPr>
      <w:r w:rsidRPr="005C3D2E">
        <w:rPr>
          <w:rFonts w:ascii="Arial" w:hAnsi="Arial" w:cs="Arial"/>
          <w:b/>
          <w:bCs/>
          <w:sz w:val="28"/>
          <w:szCs w:val="28"/>
          <w:lang w:val="bg-BG"/>
        </w:rPr>
        <w:t>Чл. 3. (1)</w:t>
      </w:r>
      <w:r w:rsidRPr="005C3D2E">
        <w:rPr>
          <w:rFonts w:ascii="Arial" w:hAnsi="Arial" w:cs="Arial"/>
          <w:sz w:val="28"/>
          <w:szCs w:val="28"/>
          <w:lang w:val="bg-BG"/>
        </w:rPr>
        <w:t xml:space="preserve"> Списъкът с проектни предложения за изпълнение на Схемата за субсидии чрез Процедура 4.023 „Подкрепа за устойчиво енергийно обновяване на жилищния сграден фонд - </w:t>
      </w:r>
      <w:r w:rsidR="00E73264">
        <w:rPr>
          <w:rFonts w:ascii="Arial" w:hAnsi="Arial" w:cs="Arial"/>
          <w:sz w:val="28"/>
          <w:szCs w:val="28"/>
          <w:lang w:val="bg-BG"/>
        </w:rPr>
        <w:br/>
      </w:r>
      <w:r w:rsidRPr="005C3D2E">
        <w:rPr>
          <w:rFonts w:ascii="Arial" w:hAnsi="Arial" w:cs="Arial"/>
          <w:sz w:val="28"/>
          <w:szCs w:val="28"/>
          <w:lang w:val="bg-BG"/>
        </w:rPr>
        <w:t xml:space="preserve">Етап I“ и чрез Процедура 4.024 „Подкрепа за устойчиво енергийно обновяване на жилищния сграден фонд - етап II“, които са преминали оценка за административно и техническо съответствие от Министерството на регионалното развитие и благоустройството (МРРБ), и които преминават под управление на Българска банка за развитие, е съгласно </w:t>
      </w:r>
      <w:r w:rsidR="00E73264">
        <w:rPr>
          <w:rFonts w:ascii="Arial" w:hAnsi="Arial" w:cs="Arial"/>
          <w:sz w:val="28"/>
          <w:szCs w:val="28"/>
          <w:lang w:val="bg-BG"/>
        </w:rPr>
        <w:t>П</w:t>
      </w:r>
      <w:r w:rsidRPr="005C3D2E">
        <w:rPr>
          <w:rFonts w:ascii="Arial" w:hAnsi="Arial" w:cs="Arial"/>
          <w:sz w:val="28"/>
          <w:szCs w:val="28"/>
          <w:lang w:val="bg-BG"/>
        </w:rPr>
        <w:t>риложение № 1.</w:t>
      </w:r>
    </w:p>
    <w:p w14:paraId="4E6FDB86" w14:textId="45BEF2DB" w:rsidR="005C3D2E" w:rsidRPr="005C3D2E" w:rsidRDefault="005C3D2E" w:rsidP="005C3D2E">
      <w:pPr>
        <w:spacing w:before="120" w:line="288" w:lineRule="auto"/>
        <w:ind w:firstLine="1134"/>
        <w:jc w:val="both"/>
        <w:rPr>
          <w:rFonts w:ascii="Arial" w:hAnsi="Arial" w:cs="Arial"/>
          <w:sz w:val="28"/>
          <w:szCs w:val="28"/>
          <w:lang w:val="bg-BG"/>
        </w:rPr>
      </w:pPr>
      <w:r w:rsidRPr="005C3D2E">
        <w:rPr>
          <w:rFonts w:ascii="Arial" w:hAnsi="Arial" w:cs="Arial"/>
          <w:b/>
          <w:bCs/>
          <w:sz w:val="28"/>
          <w:szCs w:val="28"/>
          <w:lang w:val="bg-BG"/>
        </w:rPr>
        <w:t>(2)</w:t>
      </w:r>
      <w:r w:rsidRPr="005C3D2E">
        <w:rPr>
          <w:rFonts w:ascii="Arial" w:hAnsi="Arial" w:cs="Arial"/>
          <w:sz w:val="28"/>
          <w:szCs w:val="28"/>
          <w:lang w:val="bg-BG"/>
        </w:rPr>
        <w:t xml:space="preserve"> В </w:t>
      </w:r>
      <w:r w:rsidR="00E73264">
        <w:rPr>
          <w:rFonts w:ascii="Arial" w:hAnsi="Arial" w:cs="Arial"/>
          <w:sz w:val="28"/>
          <w:szCs w:val="28"/>
          <w:lang w:val="bg-BG"/>
        </w:rPr>
        <w:t>П</w:t>
      </w:r>
      <w:r w:rsidRPr="005C3D2E">
        <w:rPr>
          <w:rFonts w:ascii="Arial" w:hAnsi="Arial" w:cs="Arial"/>
          <w:sz w:val="28"/>
          <w:szCs w:val="28"/>
          <w:lang w:val="bg-BG"/>
        </w:rPr>
        <w:t>риложение № 1 са включени само проектни предложения, за които не са извършвани разплащания от МРРБ.</w:t>
      </w:r>
    </w:p>
    <w:p w14:paraId="34459040" w14:textId="0A7A8970" w:rsidR="005C3D2E" w:rsidRPr="005C3D2E" w:rsidRDefault="005C3D2E" w:rsidP="005C3D2E">
      <w:pPr>
        <w:spacing w:before="120" w:line="288" w:lineRule="auto"/>
        <w:ind w:firstLine="1134"/>
        <w:jc w:val="both"/>
        <w:rPr>
          <w:rFonts w:ascii="Arial" w:hAnsi="Arial" w:cs="Arial"/>
          <w:sz w:val="28"/>
          <w:szCs w:val="28"/>
          <w:lang w:val="bg-BG"/>
        </w:rPr>
      </w:pPr>
      <w:r w:rsidRPr="005C3D2E">
        <w:rPr>
          <w:rFonts w:ascii="Arial" w:hAnsi="Arial" w:cs="Arial"/>
          <w:b/>
          <w:bCs/>
          <w:sz w:val="28"/>
          <w:szCs w:val="28"/>
          <w:lang w:val="bg-BG"/>
        </w:rPr>
        <w:t>(3)</w:t>
      </w:r>
      <w:r w:rsidRPr="005C3D2E">
        <w:rPr>
          <w:rFonts w:ascii="Arial" w:hAnsi="Arial" w:cs="Arial"/>
          <w:sz w:val="28"/>
          <w:szCs w:val="28"/>
          <w:lang w:val="bg-BG"/>
        </w:rPr>
        <w:t xml:space="preserve"> Редът за оценка и класиране на проектни предложения от Банката за изпълнение на Схемата за субсидии се извършва съгласно одобрените в </w:t>
      </w:r>
      <w:r w:rsidR="00E73264">
        <w:rPr>
          <w:rFonts w:ascii="Arial" w:hAnsi="Arial" w:cs="Arial"/>
          <w:sz w:val="28"/>
          <w:szCs w:val="28"/>
          <w:lang w:val="bg-BG"/>
        </w:rPr>
        <w:t>П</w:t>
      </w:r>
      <w:r w:rsidRPr="005C3D2E">
        <w:rPr>
          <w:rFonts w:ascii="Arial" w:hAnsi="Arial" w:cs="Arial"/>
          <w:sz w:val="28"/>
          <w:szCs w:val="28"/>
          <w:lang w:val="bg-BG"/>
        </w:rPr>
        <w:t xml:space="preserve">риложение № 2 критерии за оценка, включително при отчитане на критерия за териториален обхват и териториално разпределение на средствата.  </w:t>
      </w:r>
    </w:p>
    <w:p w14:paraId="6BBBC8A8" w14:textId="1C4A11DF" w:rsidR="005C3D2E" w:rsidRPr="005C3D2E" w:rsidRDefault="005C3D2E" w:rsidP="005C3D2E">
      <w:pPr>
        <w:spacing w:before="120" w:line="288" w:lineRule="auto"/>
        <w:ind w:firstLine="1134"/>
        <w:jc w:val="both"/>
        <w:rPr>
          <w:rFonts w:ascii="Arial" w:hAnsi="Arial" w:cs="Arial"/>
          <w:sz w:val="28"/>
          <w:szCs w:val="28"/>
          <w:lang w:val="bg-BG"/>
        </w:rPr>
      </w:pPr>
      <w:r w:rsidRPr="005C3D2E">
        <w:rPr>
          <w:rFonts w:ascii="Arial" w:hAnsi="Arial" w:cs="Arial"/>
          <w:b/>
          <w:bCs/>
          <w:sz w:val="28"/>
          <w:szCs w:val="28"/>
          <w:lang w:val="bg-BG"/>
        </w:rPr>
        <w:t>(4)</w:t>
      </w:r>
      <w:r w:rsidRPr="005C3D2E">
        <w:rPr>
          <w:rFonts w:ascii="Arial" w:hAnsi="Arial" w:cs="Arial"/>
          <w:sz w:val="28"/>
          <w:szCs w:val="28"/>
          <w:lang w:val="bg-BG"/>
        </w:rPr>
        <w:t xml:space="preserve"> За проектните предложения от </w:t>
      </w:r>
      <w:r w:rsidR="00E73264">
        <w:rPr>
          <w:rFonts w:ascii="Arial" w:hAnsi="Arial" w:cs="Arial"/>
          <w:sz w:val="28"/>
          <w:szCs w:val="28"/>
          <w:lang w:val="bg-BG"/>
        </w:rPr>
        <w:t>П</w:t>
      </w:r>
      <w:r w:rsidRPr="005C3D2E">
        <w:rPr>
          <w:rFonts w:ascii="Arial" w:hAnsi="Arial" w:cs="Arial"/>
          <w:sz w:val="28"/>
          <w:szCs w:val="28"/>
          <w:lang w:val="bg-BG"/>
        </w:rPr>
        <w:t xml:space="preserve">риложение № 1, за които към датата на влизане в сила на постановлението са сключени договори за финансиране от МРРБ, Банката извършва проверка за допустимост съгласно условията за кандидатстване съответно по Процедура 4.023 „Подкрепа за устойчиво енергийно обновяване на жилищния сграден фонд - Етап I“ и Процедура 4.024 „Подкрепа за устойчиво енергийно обновяване на жилищния сграден фонд - </w:t>
      </w:r>
      <w:r w:rsidR="00E73264">
        <w:rPr>
          <w:rFonts w:ascii="Arial" w:hAnsi="Arial" w:cs="Arial"/>
          <w:sz w:val="28"/>
          <w:szCs w:val="28"/>
          <w:lang w:val="bg-BG"/>
        </w:rPr>
        <w:br/>
      </w:r>
      <w:r w:rsidRPr="005C3D2E">
        <w:rPr>
          <w:rFonts w:ascii="Arial" w:hAnsi="Arial" w:cs="Arial"/>
          <w:sz w:val="28"/>
          <w:szCs w:val="28"/>
          <w:lang w:val="bg-BG"/>
        </w:rPr>
        <w:t>етап II“ съгласно чл. 7.</w:t>
      </w:r>
    </w:p>
    <w:p w14:paraId="1E0DB3F8" w14:textId="68283F26" w:rsidR="005C3D2E" w:rsidRPr="005C3D2E" w:rsidRDefault="005C3D2E" w:rsidP="005C3D2E">
      <w:pPr>
        <w:spacing w:before="120" w:line="288" w:lineRule="auto"/>
        <w:ind w:firstLine="1134"/>
        <w:jc w:val="both"/>
        <w:rPr>
          <w:rFonts w:ascii="Arial" w:hAnsi="Arial" w:cs="Arial"/>
          <w:sz w:val="28"/>
          <w:szCs w:val="28"/>
          <w:lang w:val="bg-BG"/>
        </w:rPr>
      </w:pPr>
      <w:r w:rsidRPr="005C3D2E">
        <w:rPr>
          <w:rFonts w:ascii="Arial" w:hAnsi="Arial" w:cs="Arial"/>
          <w:b/>
          <w:bCs/>
          <w:sz w:val="28"/>
          <w:szCs w:val="28"/>
          <w:lang w:val="bg-BG"/>
        </w:rPr>
        <w:t>Чл. 4. (1)</w:t>
      </w:r>
      <w:r w:rsidRPr="005C3D2E">
        <w:rPr>
          <w:rFonts w:ascii="Arial" w:hAnsi="Arial" w:cs="Arial"/>
          <w:sz w:val="28"/>
          <w:szCs w:val="28"/>
          <w:lang w:val="bg-BG"/>
        </w:rPr>
        <w:t xml:space="preserve"> За целите на изпълнението на Схемата за субсидии МРРБ предава на Банката в електронен вид информацията по проектните предложения, включени в </w:t>
      </w:r>
      <w:r w:rsidR="00E73264">
        <w:rPr>
          <w:rFonts w:ascii="Arial" w:hAnsi="Arial" w:cs="Arial"/>
          <w:sz w:val="28"/>
          <w:szCs w:val="28"/>
          <w:lang w:val="bg-BG"/>
        </w:rPr>
        <w:t>П</w:t>
      </w:r>
      <w:r w:rsidRPr="005C3D2E">
        <w:rPr>
          <w:rFonts w:ascii="Arial" w:hAnsi="Arial" w:cs="Arial"/>
          <w:sz w:val="28"/>
          <w:szCs w:val="28"/>
          <w:lang w:val="bg-BG"/>
        </w:rPr>
        <w:t>риложение № 1, както и всички други относими документи, свързани с:</w:t>
      </w:r>
    </w:p>
    <w:p w14:paraId="0EBDE9F8" w14:textId="64315B18" w:rsidR="005C3D2E" w:rsidRPr="005C3D2E" w:rsidRDefault="005C3D2E" w:rsidP="005C3D2E">
      <w:pPr>
        <w:tabs>
          <w:tab w:val="left" w:pos="1560"/>
        </w:tabs>
        <w:spacing w:before="120" w:line="288" w:lineRule="auto"/>
        <w:ind w:firstLine="1134"/>
        <w:jc w:val="both"/>
        <w:rPr>
          <w:rFonts w:ascii="Arial" w:hAnsi="Arial" w:cs="Arial"/>
          <w:sz w:val="28"/>
          <w:szCs w:val="28"/>
          <w:lang w:val="bg-BG"/>
        </w:rPr>
      </w:pPr>
      <w:r w:rsidRPr="005C3D2E">
        <w:rPr>
          <w:rFonts w:ascii="Arial" w:hAnsi="Arial" w:cs="Arial"/>
          <w:sz w:val="28"/>
          <w:szCs w:val="28"/>
          <w:lang w:val="bg-BG"/>
        </w:rPr>
        <w:lastRenderedPageBreak/>
        <w:t>1.</w:t>
      </w:r>
      <w:r w:rsidRPr="005C3D2E">
        <w:rPr>
          <w:rFonts w:ascii="Arial" w:hAnsi="Arial" w:cs="Arial"/>
          <w:sz w:val="28"/>
          <w:szCs w:val="28"/>
          <w:lang w:val="bg-BG"/>
        </w:rPr>
        <w:tab/>
        <w:t xml:space="preserve"> извършените дейности по разглеждане и оценка на класираните от МРРБ проектни предложения за изпълнение на инвестиции по Процедура 4.023 „Подкрепа за устойчиво енергийно обновяване на жилищния сграден фонд - Етап I“, включително предложенията за изпълнение на инвестиции, поставени от МРРБ в резервен списък, които се възлагат за управление </w:t>
      </w:r>
      <w:r w:rsidR="00E73264" w:rsidRPr="005C3D2E">
        <w:rPr>
          <w:rFonts w:ascii="Arial" w:hAnsi="Arial" w:cs="Arial"/>
          <w:sz w:val="28"/>
          <w:szCs w:val="28"/>
          <w:lang w:val="bg-BG"/>
        </w:rPr>
        <w:t xml:space="preserve">на Банката </w:t>
      </w:r>
      <w:r w:rsidRPr="005C3D2E">
        <w:rPr>
          <w:rFonts w:ascii="Arial" w:hAnsi="Arial" w:cs="Arial"/>
          <w:sz w:val="28"/>
          <w:szCs w:val="28"/>
          <w:lang w:val="bg-BG"/>
        </w:rPr>
        <w:t xml:space="preserve">по силата на </w:t>
      </w:r>
      <w:r w:rsidR="007C2EE5">
        <w:rPr>
          <w:rFonts w:ascii="Arial" w:hAnsi="Arial" w:cs="Arial"/>
          <w:sz w:val="28"/>
          <w:szCs w:val="28"/>
          <w:lang w:val="bg-BG"/>
        </w:rPr>
        <w:t xml:space="preserve">настоящото </w:t>
      </w:r>
      <w:r w:rsidRPr="005C3D2E">
        <w:rPr>
          <w:rFonts w:ascii="Arial" w:hAnsi="Arial" w:cs="Arial"/>
          <w:sz w:val="28"/>
          <w:szCs w:val="28"/>
          <w:lang w:val="bg-BG"/>
        </w:rPr>
        <w:t>постановление;</w:t>
      </w:r>
    </w:p>
    <w:p w14:paraId="26C57D67" w14:textId="32DAFCDB" w:rsidR="005C3D2E" w:rsidRPr="005C3D2E" w:rsidRDefault="005C3D2E" w:rsidP="005C3D2E">
      <w:pPr>
        <w:tabs>
          <w:tab w:val="left" w:pos="1560"/>
        </w:tabs>
        <w:spacing w:before="120" w:line="288" w:lineRule="auto"/>
        <w:ind w:firstLine="1134"/>
        <w:jc w:val="both"/>
        <w:rPr>
          <w:rFonts w:ascii="Arial" w:hAnsi="Arial" w:cs="Arial"/>
          <w:sz w:val="28"/>
          <w:szCs w:val="28"/>
          <w:lang w:val="bg-BG"/>
        </w:rPr>
      </w:pPr>
      <w:r w:rsidRPr="005C3D2E">
        <w:rPr>
          <w:rFonts w:ascii="Arial" w:hAnsi="Arial" w:cs="Arial"/>
          <w:sz w:val="28"/>
          <w:szCs w:val="28"/>
          <w:lang w:val="bg-BG"/>
        </w:rPr>
        <w:t>2.</w:t>
      </w:r>
      <w:r w:rsidRPr="005C3D2E">
        <w:rPr>
          <w:rFonts w:ascii="Arial" w:hAnsi="Arial" w:cs="Arial"/>
          <w:sz w:val="28"/>
          <w:szCs w:val="28"/>
          <w:lang w:val="bg-BG"/>
        </w:rPr>
        <w:tab/>
        <w:t xml:space="preserve"> извършените дейности по разглеждане и оценка на класираните от МРРБ проектни предложения за изпълнение на инвестиции по Процедура 4.024 „Подкрепа за устойчиво енергийно обновяване на жилищния сграден фонд - етап II“, които се възлагат за управление </w:t>
      </w:r>
      <w:r w:rsidR="003936C6" w:rsidRPr="005C3D2E">
        <w:rPr>
          <w:rFonts w:ascii="Arial" w:hAnsi="Arial" w:cs="Arial"/>
          <w:sz w:val="28"/>
          <w:szCs w:val="28"/>
          <w:lang w:val="bg-BG"/>
        </w:rPr>
        <w:t xml:space="preserve">на Банката </w:t>
      </w:r>
      <w:r w:rsidRPr="005C3D2E">
        <w:rPr>
          <w:rFonts w:ascii="Arial" w:hAnsi="Arial" w:cs="Arial"/>
          <w:sz w:val="28"/>
          <w:szCs w:val="28"/>
          <w:lang w:val="bg-BG"/>
        </w:rPr>
        <w:t>по силата на настоящото постановление;</w:t>
      </w:r>
    </w:p>
    <w:p w14:paraId="016895A3" w14:textId="77777777" w:rsidR="005C3D2E" w:rsidRPr="005C3D2E" w:rsidRDefault="005C3D2E" w:rsidP="005C3D2E">
      <w:pPr>
        <w:tabs>
          <w:tab w:val="left" w:pos="1560"/>
        </w:tabs>
        <w:spacing w:before="120" w:line="288" w:lineRule="auto"/>
        <w:ind w:firstLine="1134"/>
        <w:jc w:val="both"/>
        <w:rPr>
          <w:rFonts w:ascii="Arial" w:hAnsi="Arial" w:cs="Arial"/>
          <w:sz w:val="28"/>
          <w:szCs w:val="28"/>
          <w:lang w:val="bg-BG"/>
        </w:rPr>
      </w:pPr>
      <w:r w:rsidRPr="005C3D2E">
        <w:rPr>
          <w:rFonts w:ascii="Arial" w:hAnsi="Arial" w:cs="Arial"/>
          <w:sz w:val="28"/>
          <w:szCs w:val="28"/>
          <w:lang w:val="bg-BG"/>
        </w:rPr>
        <w:t>3.</w:t>
      </w:r>
      <w:r w:rsidRPr="005C3D2E">
        <w:rPr>
          <w:rFonts w:ascii="Arial" w:hAnsi="Arial" w:cs="Arial"/>
          <w:sz w:val="28"/>
          <w:szCs w:val="28"/>
          <w:lang w:val="bg-BG"/>
        </w:rPr>
        <w:tab/>
        <w:t>сключените към датата на влизане в сила на постановлението договори за предоставяне на средства на крайни получатели от одобрения списък по чл. 3, ал. 1.</w:t>
      </w:r>
    </w:p>
    <w:p w14:paraId="2441510E" w14:textId="6E527529" w:rsidR="005C3D2E" w:rsidRPr="005C3D2E" w:rsidRDefault="005C3D2E" w:rsidP="005C3D2E">
      <w:pPr>
        <w:spacing w:before="120" w:line="288" w:lineRule="auto"/>
        <w:ind w:firstLine="1134"/>
        <w:jc w:val="both"/>
        <w:rPr>
          <w:rFonts w:ascii="Arial" w:hAnsi="Arial" w:cs="Arial"/>
          <w:sz w:val="28"/>
          <w:szCs w:val="28"/>
          <w:lang w:val="bg-BG"/>
        </w:rPr>
      </w:pPr>
      <w:r w:rsidRPr="005C3D2E">
        <w:rPr>
          <w:rFonts w:ascii="Arial" w:hAnsi="Arial" w:cs="Arial"/>
          <w:b/>
          <w:bCs/>
          <w:sz w:val="28"/>
          <w:szCs w:val="28"/>
          <w:lang w:val="bg-BG"/>
        </w:rPr>
        <w:t>(2)</w:t>
      </w:r>
      <w:r w:rsidRPr="005C3D2E">
        <w:rPr>
          <w:rFonts w:ascii="Arial" w:hAnsi="Arial" w:cs="Arial"/>
          <w:sz w:val="28"/>
          <w:szCs w:val="28"/>
          <w:lang w:val="bg-BG"/>
        </w:rPr>
        <w:t xml:space="preserve"> Предоставянето на достъп до електронната информация по проектните предложения в </w:t>
      </w:r>
      <w:r w:rsidR="003936C6">
        <w:rPr>
          <w:rFonts w:ascii="Arial" w:hAnsi="Arial" w:cs="Arial"/>
          <w:sz w:val="28"/>
          <w:szCs w:val="28"/>
          <w:lang w:val="bg-BG"/>
        </w:rPr>
        <w:t>И</w:t>
      </w:r>
      <w:r w:rsidRPr="005C3D2E">
        <w:rPr>
          <w:rFonts w:ascii="Arial" w:hAnsi="Arial" w:cs="Arial"/>
          <w:sz w:val="28"/>
          <w:szCs w:val="28"/>
          <w:lang w:val="bg-BG"/>
        </w:rPr>
        <w:t>нформационната система за управление и наблюдение (ИСУН 2020)  се осигурява чрез администратора на системата – дирекция „Централно координационно звено“ в администрацията на Министерския съвет, по служебен ред в едномесечен срок от влизане</w:t>
      </w:r>
      <w:r w:rsidR="003936C6">
        <w:rPr>
          <w:rFonts w:ascii="Arial" w:hAnsi="Arial" w:cs="Arial"/>
          <w:sz w:val="28"/>
          <w:szCs w:val="28"/>
          <w:lang w:val="bg-BG"/>
        </w:rPr>
        <w:t>то</w:t>
      </w:r>
      <w:r w:rsidRPr="005C3D2E">
        <w:rPr>
          <w:rFonts w:ascii="Arial" w:hAnsi="Arial" w:cs="Arial"/>
          <w:sz w:val="28"/>
          <w:szCs w:val="28"/>
          <w:lang w:val="bg-BG"/>
        </w:rPr>
        <w:t xml:space="preserve"> в сила на постановлението. </w:t>
      </w:r>
    </w:p>
    <w:p w14:paraId="78CF3A75" w14:textId="77777777" w:rsidR="005C3D2E" w:rsidRPr="005C3D2E" w:rsidRDefault="005C3D2E" w:rsidP="005C3D2E">
      <w:pPr>
        <w:spacing w:before="120" w:line="288" w:lineRule="auto"/>
        <w:ind w:firstLine="1134"/>
        <w:jc w:val="both"/>
        <w:rPr>
          <w:rFonts w:ascii="Arial" w:hAnsi="Arial" w:cs="Arial"/>
          <w:sz w:val="28"/>
          <w:szCs w:val="28"/>
          <w:lang w:val="bg-BG"/>
        </w:rPr>
      </w:pPr>
      <w:r w:rsidRPr="005C3D2E">
        <w:rPr>
          <w:rFonts w:ascii="Arial" w:hAnsi="Arial" w:cs="Arial"/>
          <w:b/>
          <w:bCs/>
          <w:sz w:val="28"/>
          <w:szCs w:val="28"/>
          <w:lang w:val="bg-BG"/>
        </w:rPr>
        <w:t>(3)</w:t>
      </w:r>
      <w:r w:rsidRPr="005C3D2E">
        <w:rPr>
          <w:rFonts w:ascii="Arial" w:hAnsi="Arial" w:cs="Arial"/>
          <w:sz w:val="28"/>
          <w:szCs w:val="28"/>
          <w:lang w:val="bg-BG"/>
        </w:rPr>
        <w:t xml:space="preserve"> За целите на изпълнение на постановлението:</w:t>
      </w:r>
    </w:p>
    <w:p w14:paraId="4102A4EF" w14:textId="1744FC8F" w:rsidR="005C3D2E" w:rsidRPr="005C3D2E" w:rsidRDefault="005C3D2E" w:rsidP="005C3D2E">
      <w:pPr>
        <w:spacing w:before="120" w:line="288" w:lineRule="auto"/>
        <w:ind w:firstLine="1134"/>
        <w:jc w:val="both"/>
        <w:rPr>
          <w:rFonts w:ascii="Arial" w:hAnsi="Arial" w:cs="Arial"/>
          <w:sz w:val="28"/>
          <w:szCs w:val="28"/>
          <w:lang w:val="bg-BG"/>
        </w:rPr>
      </w:pPr>
      <w:r w:rsidRPr="005C3D2E">
        <w:rPr>
          <w:rFonts w:ascii="Arial" w:hAnsi="Arial" w:cs="Arial"/>
          <w:sz w:val="28"/>
          <w:szCs w:val="28"/>
          <w:lang w:val="bg-BG"/>
        </w:rPr>
        <w:t xml:space="preserve">1. взетите решения, включително във връзка с етажната собственост, сключените партньорски споразумения между водещите партньори – общинските/райони администрации и сдруженията на собствениците – крайни получатели по процедурата, издадените сертификати за енергийни характеристики на сгради в експлоатация, доклади за техническо и енергийно обследване, технически паспорти, количествено-стойностни сметки по окрупнени показатели, одобрени инвестиционни проекти, разрешения за строеж, количествени и количествено-стойностни сметки, съставени актове и протоколи по време на строителството, удостоверения и други документи, създадени и/или представени и прикачени в </w:t>
      </w:r>
      <w:r w:rsidR="003936C6">
        <w:rPr>
          <w:rFonts w:ascii="Arial" w:hAnsi="Arial" w:cs="Arial"/>
          <w:sz w:val="28"/>
          <w:szCs w:val="28"/>
          <w:lang w:val="bg-BG"/>
        </w:rPr>
        <w:br/>
      </w:r>
      <w:r w:rsidRPr="005C3D2E">
        <w:rPr>
          <w:rFonts w:ascii="Arial" w:hAnsi="Arial" w:cs="Arial"/>
          <w:sz w:val="28"/>
          <w:szCs w:val="28"/>
          <w:lang w:val="bg-BG"/>
        </w:rPr>
        <w:t xml:space="preserve">ИСУН 2020 в рамките на Процедура 4.023 „Подкрепа за устойчиво </w:t>
      </w:r>
      <w:r w:rsidRPr="005C3D2E">
        <w:rPr>
          <w:rFonts w:ascii="Arial" w:hAnsi="Arial" w:cs="Arial"/>
          <w:sz w:val="28"/>
          <w:szCs w:val="28"/>
          <w:lang w:val="bg-BG"/>
        </w:rPr>
        <w:lastRenderedPageBreak/>
        <w:t>енергийно обновяване на жилищния сграден фонд - Етап I“ и Процедура 4.024 „Подкрепа за устойчиво енергийно обновяване на жилищния сграден фонд - етап II“, запазват своето действие;</w:t>
      </w:r>
    </w:p>
    <w:p w14:paraId="1D7E41D0" w14:textId="6D6E3523" w:rsidR="005C3D2E" w:rsidRPr="005C3D2E" w:rsidRDefault="005C3D2E" w:rsidP="005C3D2E">
      <w:pPr>
        <w:spacing w:before="120" w:line="288" w:lineRule="auto"/>
        <w:ind w:firstLine="1134"/>
        <w:jc w:val="both"/>
        <w:rPr>
          <w:rFonts w:ascii="Arial" w:hAnsi="Arial" w:cs="Arial"/>
          <w:sz w:val="28"/>
          <w:szCs w:val="28"/>
          <w:lang w:val="bg-BG"/>
        </w:rPr>
      </w:pPr>
      <w:r w:rsidRPr="005C3D2E">
        <w:rPr>
          <w:rFonts w:ascii="Arial" w:hAnsi="Arial" w:cs="Arial"/>
          <w:sz w:val="28"/>
          <w:szCs w:val="28"/>
          <w:lang w:val="bg-BG"/>
        </w:rPr>
        <w:t>2. процедури за обществени поръчки, проведени от водещия партньор в изпълнение на дейности по Процедура 4.023 „Подкрепа за устойчиво енергийно обновяване на жилищния сграден фонд - Етап I“ и по Процедура 4.024 „Подкрепа за устойчиво енергийно обновяване на жилищния сграден фонд - етап II“, както и сключените договори за възлагане на обществените поръчки запазват своето действие.</w:t>
      </w:r>
    </w:p>
    <w:p w14:paraId="0FAF8C00" w14:textId="37F978E0" w:rsidR="005C3D2E" w:rsidRPr="005C3D2E" w:rsidRDefault="005C3D2E" w:rsidP="005C3D2E">
      <w:pPr>
        <w:spacing w:before="120" w:line="288" w:lineRule="auto"/>
        <w:ind w:firstLine="1134"/>
        <w:jc w:val="both"/>
        <w:rPr>
          <w:rFonts w:ascii="Arial" w:hAnsi="Arial" w:cs="Arial"/>
          <w:sz w:val="28"/>
          <w:szCs w:val="28"/>
          <w:lang w:val="bg-BG"/>
        </w:rPr>
      </w:pPr>
      <w:r w:rsidRPr="00974CB1">
        <w:rPr>
          <w:rFonts w:ascii="Arial" w:hAnsi="Arial" w:cs="Arial"/>
          <w:b/>
          <w:bCs/>
          <w:sz w:val="28"/>
          <w:szCs w:val="28"/>
          <w:lang w:val="bg-BG"/>
        </w:rPr>
        <w:t>Чл. 5. (1)</w:t>
      </w:r>
      <w:r w:rsidRPr="005C3D2E">
        <w:rPr>
          <w:rFonts w:ascii="Arial" w:hAnsi="Arial" w:cs="Arial"/>
          <w:sz w:val="28"/>
          <w:szCs w:val="28"/>
          <w:lang w:val="bg-BG"/>
        </w:rPr>
        <w:t xml:space="preserve"> За управление на дейностите по Схемата за субсидии по чл. 1 Банката създава инвестиционен комитет. При изпълнение на задълженията си членовете на инвестиционния комитет са независими от изпълнителната власт и следва да не бъдат в конфликт на интереси.</w:t>
      </w:r>
    </w:p>
    <w:p w14:paraId="5C9AA1C2" w14:textId="77777777" w:rsidR="005C3D2E" w:rsidRPr="005C3D2E" w:rsidRDefault="005C3D2E" w:rsidP="005C3D2E">
      <w:pPr>
        <w:spacing w:before="120" w:line="288" w:lineRule="auto"/>
        <w:ind w:firstLine="1134"/>
        <w:jc w:val="both"/>
        <w:rPr>
          <w:rFonts w:ascii="Arial" w:hAnsi="Arial" w:cs="Arial"/>
          <w:sz w:val="28"/>
          <w:szCs w:val="28"/>
          <w:lang w:val="bg-BG"/>
        </w:rPr>
      </w:pPr>
      <w:r w:rsidRPr="00974CB1">
        <w:rPr>
          <w:rFonts w:ascii="Arial" w:hAnsi="Arial" w:cs="Arial"/>
          <w:b/>
          <w:bCs/>
          <w:sz w:val="28"/>
          <w:szCs w:val="28"/>
          <w:lang w:val="bg-BG"/>
        </w:rPr>
        <w:t>(2)</w:t>
      </w:r>
      <w:r w:rsidRPr="005C3D2E">
        <w:rPr>
          <w:rFonts w:ascii="Arial" w:hAnsi="Arial" w:cs="Arial"/>
          <w:sz w:val="28"/>
          <w:szCs w:val="28"/>
          <w:lang w:val="bg-BG"/>
        </w:rPr>
        <w:t xml:space="preserve"> Инвестиционният комитет приема:</w:t>
      </w:r>
    </w:p>
    <w:p w14:paraId="333C6D70" w14:textId="77777777" w:rsidR="005C3D2E" w:rsidRPr="005C3D2E" w:rsidRDefault="005C3D2E" w:rsidP="005C3D2E">
      <w:pPr>
        <w:spacing w:before="120" w:line="288" w:lineRule="auto"/>
        <w:ind w:firstLine="1134"/>
        <w:jc w:val="both"/>
        <w:rPr>
          <w:rFonts w:ascii="Arial" w:hAnsi="Arial" w:cs="Arial"/>
          <w:sz w:val="28"/>
          <w:szCs w:val="28"/>
          <w:lang w:val="bg-BG"/>
        </w:rPr>
      </w:pPr>
      <w:r w:rsidRPr="005C3D2E">
        <w:rPr>
          <w:rFonts w:ascii="Arial" w:hAnsi="Arial" w:cs="Arial"/>
          <w:sz w:val="28"/>
          <w:szCs w:val="28"/>
          <w:lang w:val="bg-BG"/>
        </w:rPr>
        <w:t>1. решение за одобрение на списък с проектни предложения за финансиране, предложено по реда на чл. 7, ал. 2;</w:t>
      </w:r>
    </w:p>
    <w:p w14:paraId="303F32FC" w14:textId="77777777" w:rsidR="005C3D2E" w:rsidRPr="005C3D2E" w:rsidRDefault="005C3D2E" w:rsidP="005C3D2E">
      <w:pPr>
        <w:spacing w:before="120" w:line="288" w:lineRule="auto"/>
        <w:ind w:firstLine="1134"/>
        <w:jc w:val="both"/>
        <w:rPr>
          <w:rFonts w:ascii="Arial" w:hAnsi="Arial" w:cs="Arial"/>
          <w:sz w:val="28"/>
          <w:szCs w:val="28"/>
          <w:lang w:val="bg-BG"/>
        </w:rPr>
      </w:pPr>
      <w:r w:rsidRPr="005C3D2E">
        <w:rPr>
          <w:rFonts w:ascii="Arial" w:hAnsi="Arial" w:cs="Arial"/>
          <w:sz w:val="28"/>
          <w:szCs w:val="28"/>
          <w:lang w:val="bg-BG"/>
        </w:rPr>
        <w:t>2. решение за одобрение на списък с проектни предложения, за които се отказва финансиране по реда на чл. 7, ал. 3;</w:t>
      </w:r>
    </w:p>
    <w:p w14:paraId="0393CA76" w14:textId="77777777" w:rsidR="005C3D2E" w:rsidRPr="005C3D2E" w:rsidRDefault="005C3D2E" w:rsidP="005C3D2E">
      <w:pPr>
        <w:spacing w:before="120" w:line="288" w:lineRule="auto"/>
        <w:ind w:firstLine="1134"/>
        <w:jc w:val="both"/>
        <w:rPr>
          <w:rFonts w:ascii="Arial" w:hAnsi="Arial" w:cs="Arial"/>
          <w:sz w:val="28"/>
          <w:szCs w:val="28"/>
          <w:lang w:val="bg-BG"/>
        </w:rPr>
      </w:pPr>
      <w:r w:rsidRPr="005C3D2E">
        <w:rPr>
          <w:rFonts w:ascii="Arial" w:hAnsi="Arial" w:cs="Arial"/>
          <w:sz w:val="28"/>
          <w:szCs w:val="28"/>
          <w:lang w:val="bg-BG"/>
        </w:rPr>
        <w:t xml:space="preserve">3. решения за оценка и класиране на проектни предложения, предложени по реда на чл. 8. </w:t>
      </w:r>
    </w:p>
    <w:p w14:paraId="57CACD55" w14:textId="789EF845" w:rsidR="005C3D2E" w:rsidRPr="005C3D2E" w:rsidRDefault="005C3D2E" w:rsidP="005C3D2E">
      <w:pPr>
        <w:spacing w:before="120" w:line="288" w:lineRule="auto"/>
        <w:ind w:firstLine="1134"/>
        <w:jc w:val="both"/>
        <w:rPr>
          <w:rFonts w:ascii="Arial" w:hAnsi="Arial" w:cs="Arial"/>
          <w:sz w:val="28"/>
          <w:szCs w:val="28"/>
          <w:lang w:val="bg-BG"/>
        </w:rPr>
      </w:pPr>
      <w:r w:rsidRPr="00974CB1">
        <w:rPr>
          <w:rFonts w:ascii="Arial" w:hAnsi="Arial" w:cs="Arial"/>
          <w:b/>
          <w:bCs/>
          <w:sz w:val="28"/>
          <w:szCs w:val="28"/>
          <w:lang w:val="bg-BG"/>
        </w:rPr>
        <w:t>(3)</w:t>
      </w:r>
      <w:r w:rsidRPr="005C3D2E">
        <w:rPr>
          <w:rFonts w:ascii="Arial" w:hAnsi="Arial" w:cs="Arial"/>
          <w:sz w:val="28"/>
          <w:szCs w:val="28"/>
          <w:lang w:val="bg-BG"/>
        </w:rPr>
        <w:t xml:space="preserve"> Решенията на инвестиционния комитет са окончателни.</w:t>
      </w:r>
    </w:p>
    <w:p w14:paraId="1A342620" w14:textId="05A7798A" w:rsidR="005C3D2E" w:rsidRPr="005C3D2E" w:rsidRDefault="005C3D2E" w:rsidP="005C3D2E">
      <w:pPr>
        <w:spacing w:before="120" w:line="288" w:lineRule="auto"/>
        <w:ind w:firstLine="1134"/>
        <w:jc w:val="both"/>
        <w:rPr>
          <w:rFonts w:ascii="Arial" w:hAnsi="Arial" w:cs="Arial"/>
          <w:sz w:val="28"/>
          <w:szCs w:val="28"/>
          <w:lang w:val="bg-BG"/>
        </w:rPr>
      </w:pPr>
      <w:r w:rsidRPr="00974CB1">
        <w:rPr>
          <w:rFonts w:ascii="Arial" w:hAnsi="Arial" w:cs="Arial"/>
          <w:b/>
          <w:bCs/>
          <w:sz w:val="28"/>
          <w:szCs w:val="28"/>
          <w:lang w:val="bg-BG"/>
        </w:rPr>
        <w:t>(4)</w:t>
      </w:r>
      <w:r w:rsidRPr="005C3D2E">
        <w:rPr>
          <w:rFonts w:ascii="Arial" w:hAnsi="Arial" w:cs="Arial"/>
          <w:sz w:val="28"/>
          <w:szCs w:val="28"/>
          <w:lang w:val="bg-BG"/>
        </w:rPr>
        <w:t xml:space="preserve"> Решенията на инвестиционния комитет се публикуват на интернет страницата на Банката, както и в ИСУН 2020 в тридневен срок от тяхното приемане.</w:t>
      </w:r>
    </w:p>
    <w:p w14:paraId="5DA750D8" w14:textId="4A74E5EF" w:rsidR="005C3D2E" w:rsidRPr="005C3D2E" w:rsidRDefault="005C3D2E" w:rsidP="005C3D2E">
      <w:pPr>
        <w:spacing w:before="120" w:line="288" w:lineRule="auto"/>
        <w:ind w:firstLine="1134"/>
        <w:jc w:val="both"/>
        <w:rPr>
          <w:rFonts w:ascii="Arial" w:hAnsi="Arial" w:cs="Arial"/>
          <w:sz w:val="28"/>
          <w:szCs w:val="28"/>
          <w:lang w:val="bg-BG"/>
        </w:rPr>
      </w:pPr>
      <w:r w:rsidRPr="00974CB1">
        <w:rPr>
          <w:rFonts w:ascii="Arial" w:hAnsi="Arial" w:cs="Arial"/>
          <w:b/>
          <w:bCs/>
          <w:sz w:val="28"/>
          <w:szCs w:val="28"/>
          <w:lang w:val="bg-BG"/>
        </w:rPr>
        <w:t>Чл. 6. (1)</w:t>
      </w:r>
      <w:r w:rsidRPr="005C3D2E">
        <w:rPr>
          <w:rFonts w:ascii="Arial" w:hAnsi="Arial" w:cs="Arial"/>
          <w:sz w:val="28"/>
          <w:szCs w:val="28"/>
          <w:lang w:val="bg-BG"/>
        </w:rPr>
        <w:t xml:space="preserve"> За проектните предложения, включени в </w:t>
      </w:r>
      <w:r w:rsidR="003936C6">
        <w:rPr>
          <w:rFonts w:ascii="Arial" w:hAnsi="Arial" w:cs="Arial"/>
          <w:sz w:val="28"/>
          <w:szCs w:val="28"/>
          <w:lang w:val="bg-BG"/>
        </w:rPr>
        <w:t>П</w:t>
      </w:r>
      <w:r w:rsidRPr="005C3D2E">
        <w:rPr>
          <w:rFonts w:ascii="Arial" w:hAnsi="Arial" w:cs="Arial"/>
          <w:sz w:val="28"/>
          <w:szCs w:val="28"/>
          <w:lang w:val="bg-BG"/>
        </w:rPr>
        <w:t>риложение № 1, за които има сключени договори за финансиране с МРРБ, Банката изпраща искане до водещия партньор за потвърждаване на интерес в рамките на 10-дневен срок след получаване на пълната документация по чл. 4.</w:t>
      </w:r>
    </w:p>
    <w:p w14:paraId="76D569A6" w14:textId="77777777" w:rsidR="005C3D2E" w:rsidRPr="005C3D2E" w:rsidRDefault="005C3D2E" w:rsidP="005C3D2E">
      <w:pPr>
        <w:spacing w:before="120" w:line="288" w:lineRule="auto"/>
        <w:ind w:firstLine="1134"/>
        <w:jc w:val="both"/>
        <w:rPr>
          <w:rFonts w:ascii="Arial" w:hAnsi="Arial" w:cs="Arial"/>
          <w:sz w:val="28"/>
          <w:szCs w:val="28"/>
          <w:lang w:val="bg-BG"/>
        </w:rPr>
      </w:pPr>
      <w:r w:rsidRPr="00974CB1">
        <w:rPr>
          <w:rFonts w:ascii="Arial" w:hAnsi="Arial" w:cs="Arial"/>
          <w:b/>
          <w:bCs/>
          <w:sz w:val="28"/>
          <w:szCs w:val="28"/>
          <w:lang w:val="bg-BG"/>
        </w:rPr>
        <w:t>(2)</w:t>
      </w:r>
      <w:r w:rsidRPr="005C3D2E">
        <w:rPr>
          <w:rFonts w:ascii="Arial" w:hAnsi="Arial" w:cs="Arial"/>
          <w:sz w:val="28"/>
          <w:szCs w:val="28"/>
          <w:lang w:val="bg-BG"/>
        </w:rPr>
        <w:t xml:space="preserve"> С потвърждаването на интерес водещият партньор удостоверява съгласието си да изпълни проектното предложение по </w:t>
      </w:r>
      <w:r w:rsidRPr="005C3D2E">
        <w:rPr>
          <w:rFonts w:ascii="Arial" w:hAnsi="Arial" w:cs="Arial"/>
          <w:sz w:val="28"/>
          <w:szCs w:val="28"/>
          <w:lang w:val="bg-BG"/>
        </w:rPr>
        <w:lastRenderedPageBreak/>
        <w:t>начина и чрез дейностите, на базата на които е оценено и одобрено за финансиране от МРРБ. Потвърждаването на интереса се извършва в 10-дневен срок след получаване на искането по ал. 1.</w:t>
      </w:r>
    </w:p>
    <w:p w14:paraId="7442F6D1" w14:textId="77163BB9" w:rsidR="005C3D2E" w:rsidRPr="005C3D2E" w:rsidRDefault="005C3D2E" w:rsidP="005C3D2E">
      <w:pPr>
        <w:spacing w:before="120" w:line="288" w:lineRule="auto"/>
        <w:ind w:firstLine="1134"/>
        <w:jc w:val="both"/>
        <w:rPr>
          <w:rFonts w:ascii="Arial" w:hAnsi="Arial" w:cs="Arial"/>
          <w:sz w:val="28"/>
          <w:szCs w:val="28"/>
          <w:lang w:val="bg-BG"/>
        </w:rPr>
      </w:pPr>
      <w:r w:rsidRPr="00974CB1">
        <w:rPr>
          <w:rFonts w:ascii="Arial" w:hAnsi="Arial" w:cs="Arial"/>
          <w:b/>
          <w:bCs/>
          <w:sz w:val="28"/>
          <w:szCs w:val="28"/>
          <w:lang w:val="bg-BG"/>
        </w:rPr>
        <w:t>(3)</w:t>
      </w:r>
      <w:r w:rsidRPr="005C3D2E">
        <w:rPr>
          <w:rFonts w:ascii="Arial" w:hAnsi="Arial" w:cs="Arial"/>
          <w:sz w:val="28"/>
          <w:szCs w:val="28"/>
          <w:lang w:val="bg-BG"/>
        </w:rPr>
        <w:t xml:space="preserve"> При </w:t>
      </w:r>
      <w:proofErr w:type="spellStart"/>
      <w:r w:rsidRPr="005C3D2E">
        <w:rPr>
          <w:rFonts w:ascii="Arial" w:hAnsi="Arial" w:cs="Arial"/>
          <w:sz w:val="28"/>
          <w:szCs w:val="28"/>
          <w:lang w:val="bg-BG"/>
        </w:rPr>
        <w:t>непотвърждаване</w:t>
      </w:r>
      <w:proofErr w:type="spellEnd"/>
      <w:r w:rsidRPr="005C3D2E">
        <w:rPr>
          <w:rFonts w:ascii="Arial" w:hAnsi="Arial" w:cs="Arial"/>
          <w:sz w:val="28"/>
          <w:szCs w:val="28"/>
          <w:lang w:val="bg-BG"/>
        </w:rPr>
        <w:t xml:space="preserve"> на интерес от водещия партньор в срока по ал. 2 или при отказ от негова страна Банката уведомява МРРБ в срок до 10 дни, след което МРРБ предприема действия за прекратяване на сключения договор за финансиране.</w:t>
      </w:r>
    </w:p>
    <w:p w14:paraId="4803B752" w14:textId="53781B98" w:rsidR="005C3D2E" w:rsidRPr="005C3D2E" w:rsidRDefault="005C3D2E" w:rsidP="005C3D2E">
      <w:pPr>
        <w:spacing w:before="120" w:line="288" w:lineRule="auto"/>
        <w:ind w:firstLine="1134"/>
        <w:jc w:val="both"/>
        <w:rPr>
          <w:rFonts w:ascii="Arial" w:hAnsi="Arial" w:cs="Arial"/>
          <w:sz w:val="28"/>
          <w:szCs w:val="28"/>
          <w:lang w:val="bg-BG"/>
        </w:rPr>
      </w:pPr>
      <w:r w:rsidRPr="00974CB1">
        <w:rPr>
          <w:rFonts w:ascii="Arial" w:hAnsi="Arial" w:cs="Arial"/>
          <w:b/>
          <w:bCs/>
          <w:sz w:val="28"/>
          <w:szCs w:val="28"/>
          <w:lang w:val="bg-BG"/>
        </w:rPr>
        <w:t>Чл. 7. (1)</w:t>
      </w:r>
      <w:r w:rsidRPr="005C3D2E">
        <w:rPr>
          <w:rFonts w:ascii="Arial" w:hAnsi="Arial" w:cs="Arial"/>
          <w:sz w:val="28"/>
          <w:szCs w:val="28"/>
          <w:lang w:val="bg-BG"/>
        </w:rPr>
        <w:t xml:space="preserve"> Банката извършва проверка за допустимост и съответствие с условията за кандидатстване по Процедура 4.023 „Подкрепа за устойчиво енергийно обновяване на жилищния сграден фонд - Етап I“ и </w:t>
      </w:r>
      <w:r w:rsidR="00FC11F3">
        <w:rPr>
          <w:rFonts w:ascii="Arial" w:hAnsi="Arial" w:cs="Arial"/>
          <w:sz w:val="28"/>
          <w:szCs w:val="28"/>
          <w:lang w:val="bg-BG"/>
        </w:rPr>
        <w:t xml:space="preserve">по </w:t>
      </w:r>
      <w:r w:rsidRPr="005C3D2E">
        <w:rPr>
          <w:rFonts w:ascii="Arial" w:hAnsi="Arial" w:cs="Arial"/>
          <w:sz w:val="28"/>
          <w:szCs w:val="28"/>
          <w:lang w:val="bg-BG"/>
        </w:rPr>
        <w:t>Процедура 4.024 „Подкрепа за устойчиво енергийно обновяване на жилищния сграден фонд - етап II“ на проектни предложения по чл. 3, ал. 4, за които е получила потвърждение за интерес по чл. 6, ал. 2.</w:t>
      </w:r>
    </w:p>
    <w:p w14:paraId="519CA752" w14:textId="77777777" w:rsidR="005C3D2E" w:rsidRPr="005C3D2E" w:rsidRDefault="005C3D2E" w:rsidP="005C3D2E">
      <w:pPr>
        <w:spacing w:before="120" w:line="288" w:lineRule="auto"/>
        <w:ind w:firstLine="1134"/>
        <w:jc w:val="both"/>
        <w:rPr>
          <w:rFonts w:ascii="Arial" w:hAnsi="Arial" w:cs="Arial"/>
          <w:sz w:val="28"/>
          <w:szCs w:val="28"/>
          <w:lang w:val="bg-BG"/>
        </w:rPr>
      </w:pPr>
      <w:r w:rsidRPr="00974CB1">
        <w:rPr>
          <w:rFonts w:ascii="Arial" w:hAnsi="Arial" w:cs="Arial"/>
          <w:b/>
          <w:bCs/>
          <w:sz w:val="28"/>
          <w:szCs w:val="28"/>
          <w:lang w:val="bg-BG"/>
        </w:rPr>
        <w:t>(2)</w:t>
      </w:r>
      <w:r w:rsidRPr="005C3D2E">
        <w:rPr>
          <w:rFonts w:ascii="Arial" w:hAnsi="Arial" w:cs="Arial"/>
          <w:sz w:val="28"/>
          <w:szCs w:val="28"/>
          <w:lang w:val="bg-BG"/>
        </w:rPr>
        <w:t xml:space="preserve"> Проверката за допустимост приключва с изготвяне на предложение за решение за одобрение на списък на проектните предложения, които се предлагат за финансиране в рамките на Схемата за субсидии.</w:t>
      </w:r>
    </w:p>
    <w:p w14:paraId="01CBC92A" w14:textId="77777777" w:rsidR="005C3D2E" w:rsidRPr="005C3D2E" w:rsidRDefault="005C3D2E" w:rsidP="005C3D2E">
      <w:pPr>
        <w:spacing w:before="120" w:line="288" w:lineRule="auto"/>
        <w:ind w:firstLine="1134"/>
        <w:jc w:val="both"/>
        <w:rPr>
          <w:rFonts w:ascii="Arial" w:hAnsi="Arial" w:cs="Arial"/>
          <w:sz w:val="28"/>
          <w:szCs w:val="28"/>
          <w:lang w:val="bg-BG"/>
        </w:rPr>
      </w:pPr>
      <w:r w:rsidRPr="00974CB1">
        <w:rPr>
          <w:rFonts w:ascii="Arial" w:hAnsi="Arial" w:cs="Arial"/>
          <w:b/>
          <w:bCs/>
          <w:sz w:val="28"/>
          <w:szCs w:val="28"/>
          <w:lang w:val="bg-BG"/>
        </w:rPr>
        <w:t>(3)</w:t>
      </w:r>
      <w:r w:rsidRPr="005C3D2E">
        <w:rPr>
          <w:rFonts w:ascii="Arial" w:hAnsi="Arial" w:cs="Arial"/>
          <w:sz w:val="28"/>
          <w:szCs w:val="28"/>
          <w:lang w:val="bg-BG"/>
        </w:rPr>
        <w:t xml:space="preserve"> За проектите, по които в рамките на проверката за допустимост по ал. 1 се установи несъответствие, финансиране от Банката не се предоставя.</w:t>
      </w:r>
    </w:p>
    <w:p w14:paraId="01F0F19B" w14:textId="2D6BE069" w:rsidR="005C3D2E" w:rsidRPr="005C3D2E" w:rsidRDefault="005C3D2E" w:rsidP="005C3D2E">
      <w:pPr>
        <w:spacing w:before="120" w:line="288" w:lineRule="auto"/>
        <w:ind w:firstLine="1134"/>
        <w:jc w:val="both"/>
        <w:rPr>
          <w:rFonts w:ascii="Arial" w:hAnsi="Arial" w:cs="Arial"/>
          <w:sz w:val="28"/>
          <w:szCs w:val="28"/>
          <w:lang w:val="bg-BG"/>
        </w:rPr>
      </w:pPr>
      <w:r w:rsidRPr="00974CB1">
        <w:rPr>
          <w:rFonts w:ascii="Arial" w:hAnsi="Arial" w:cs="Arial"/>
          <w:b/>
          <w:bCs/>
          <w:sz w:val="28"/>
          <w:szCs w:val="28"/>
          <w:lang w:val="bg-BG"/>
        </w:rPr>
        <w:t>(4)</w:t>
      </w:r>
      <w:r w:rsidRPr="005C3D2E">
        <w:rPr>
          <w:rFonts w:ascii="Arial" w:hAnsi="Arial" w:cs="Arial"/>
          <w:sz w:val="28"/>
          <w:szCs w:val="28"/>
          <w:lang w:val="bg-BG"/>
        </w:rPr>
        <w:t xml:space="preserve"> Банката уведомява в 10-дневен срок водещия партньор и МРРБ за обстоятелствата по ал. 2 и 3 с оглед </w:t>
      </w:r>
      <w:r w:rsidR="00FC11F3">
        <w:rPr>
          <w:rFonts w:ascii="Arial" w:hAnsi="Arial" w:cs="Arial"/>
          <w:sz w:val="28"/>
          <w:szCs w:val="28"/>
          <w:lang w:val="bg-BG"/>
        </w:rPr>
        <w:t xml:space="preserve">на </w:t>
      </w:r>
      <w:r w:rsidRPr="005C3D2E">
        <w:rPr>
          <w:rFonts w:ascii="Arial" w:hAnsi="Arial" w:cs="Arial"/>
          <w:sz w:val="28"/>
          <w:szCs w:val="28"/>
          <w:lang w:val="bg-BG"/>
        </w:rPr>
        <w:t>предприемане на действия от страна на МРРБ за прекратяване на сключения с водещия партньор договор за финансиране.</w:t>
      </w:r>
    </w:p>
    <w:p w14:paraId="13717445" w14:textId="51538CAA" w:rsidR="005C3D2E" w:rsidRPr="005C3D2E" w:rsidRDefault="005C3D2E" w:rsidP="005C3D2E">
      <w:pPr>
        <w:spacing w:before="120" w:line="288" w:lineRule="auto"/>
        <w:ind w:firstLine="1134"/>
        <w:jc w:val="both"/>
        <w:rPr>
          <w:rFonts w:ascii="Arial" w:hAnsi="Arial" w:cs="Arial"/>
          <w:sz w:val="28"/>
          <w:szCs w:val="28"/>
          <w:lang w:val="bg-BG"/>
        </w:rPr>
      </w:pPr>
      <w:r w:rsidRPr="00974CB1">
        <w:rPr>
          <w:rFonts w:ascii="Arial" w:hAnsi="Arial" w:cs="Arial"/>
          <w:b/>
          <w:bCs/>
          <w:sz w:val="28"/>
          <w:szCs w:val="28"/>
          <w:lang w:val="bg-BG"/>
        </w:rPr>
        <w:t>(5)</w:t>
      </w:r>
      <w:r w:rsidRPr="005C3D2E">
        <w:rPr>
          <w:rFonts w:ascii="Arial" w:hAnsi="Arial" w:cs="Arial"/>
          <w:sz w:val="28"/>
          <w:szCs w:val="28"/>
          <w:lang w:val="bg-BG"/>
        </w:rPr>
        <w:t xml:space="preserve"> След решението по чл. 5, ал. 2, т. 1 в 10-дневен срок Банката сключва с водещия партньор споразумение за предоставяне на субсидия в съответствие със споразумението по чл.</w:t>
      </w:r>
      <w:r w:rsidR="00FC11F3">
        <w:rPr>
          <w:rFonts w:ascii="Arial" w:hAnsi="Arial" w:cs="Arial"/>
          <w:sz w:val="28"/>
          <w:szCs w:val="28"/>
          <w:lang w:val="bg-BG"/>
        </w:rPr>
        <w:t xml:space="preserve"> </w:t>
      </w:r>
      <w:r w:rsidRPr="005C3D2E">
        <w:rPr>
          <w:rFonts w:ascii="Arial" w:hAnsi="Arial" w:cs="Arial"/>
          <w:sz w:val="28"/>
          <w:szCs w:val="28"/>
          <w:lang w:val="bg-BG"/>
        </w:rPr>
        <w:t>1, ал. 2, а МРРБ и водещият партньор предприемат действия за прекратяване на сключения между тях договор за финансиране.</w:t>
      </w:r>
    </w:p>
    <w:p w14:paraId="028644F2" w14:textId="32CC0912" w:rsidR="005C3D2E" w:rsidRPr="005C3D2E" w:rsidRDefault="005C3D2E" w:rsidP="005C3D2E">
      <w:pPr>
        <w:spacing w:before="120" w:line="288" w:lineRule="auto"/>
        <w:ind w:firstLine="1134"/>
        <w:jc w:val="both"/>
        <w:rPr>
          <w:rFonts w:ascii="Arial" w:hAnsi="Arial" w:cs="Arial"/>
          <w:sz w:val="28"/>
          <w:szCs w:val="28"/>
          <w:lang w:val="bg-BG"/>
        </w:rPr>
      </w:pPr>
      <w:r w:rsidRPr="00974CB1">
        <w:rPr>
          <w:rFonts w:ascii="Arial" w:hAnsi="Arial" w:cs="Arial"/>
          <w:b/>
          <w:bCs/>
          <w:sz w:val="28"/>
          <w:szCs w:val="28"/>
          <w:lang w:val="bg-BG"/>
        </w:rPr>
        <w:t>Чл. 8. (1)</w:t>
      </w:r>
      <w:r w:rsidRPr="005C3D2E">
        <w:rPr>
          <w:rFonts w:ascii="Arial" w:hAnsi="Arial" w:cs="Arial"/>
          <w:sz w:val="28"/>
          <w:szCs w:val="28"/>
          <w:lang w:val="bg-BG"/>
        </w:rPr>
        <w:t xml:space="preserve"> Банката в съответствие с чл. 3, ал. 3 извършва оценка и класиране на проектни предложения от </w:t>
      </w:r>
      <w:r w:rsidR="00FC11F3">
        <w:rPr>
          <w:rFonts w:ascii="Arial" w:hAnsi="Arial" w:cs="Arial"/>
          <w:sz w:val="28"/>
          <w:szCs w:val="28"/>
          <w:lang w:val="bg-BG"/>
        </w:rPr>
        <w:t>П</w:t>
      </w:r>
      <w:r w:rsidRPr="005C3D2E">
        <w:rPr>
          <w:rFonts w:ascii="Arial" w:hAnsi="Arial" w:cs="Arial"/>
          <w:sz w:val="28"/>
          <w:szCs w:val="28"/>
          <w:lang w:val="bg-BG"/>
        </w:rPr>
        <w:t xml:space="preserve">риложение № 1, за които няма сключени договори за финансиране с МРРБ и е получено </w:t>
      </w:r>
      <w:r w:rsidRPr="005C3D2E">
        <w:rPr>
          <w:rFonts w:ascii="Arial" w:hAnsi="Arial" w:cs="Arial"/>
          <w:sz w:val="28"/>
          <w:szCs w:val="28"/>
          <w:lang w:val="bg-BG"/>
        </w:rPr>
        <w:lastRenderedPageBreak/>
        <w:t>потвърждение от водещия партньор, че е налице интерес за изпълнение на проектното предложение.</w:t>
      </w:r>
    </w:p>
    <w:p w14:paraId="740FA782" w14:textId="7A5B882A" w:rsidR="005C3D2E" w:rsidRPr="005C3D2E" w:rsidRDefault="005C3D2E" w:rsidP="005C3D2E">
      <w:pPr>
        <w:spacing w:before="120" w:line="288" w:lineRule="auto"/>
        <w:ind w:firstLine="1134"/>
        <w:jc w:val="both"/>
        <w:rPr>
          <w:rFonts w:ascii="Arial" w:hAnsi="Arial" w:cs="Arial"/>
          <w:sz w:val="28"/>
          <w:szCs w:val="28"/>
          <w:lang w:val="bg-BG"/>
        </w:rPr>
      </w:pPr>
      <w:r w:rsidRPr="00974CB1">
        <w:rPr>
          <w:rFonts w:ascii="Arial" w:hAnsi="Arial" w:cs="Arial"/>
          <w:b/>
          <w:bCs/>
          <w:sz w:val="28"/>
          <w:szCs w:val="28"/>
          <w:lang w:val="bg-BG"/>
        </w:rPr>
        <w:t>(2)</w:t>
      </w:r>
      <w:r w:rsidRPr="005C3D2E">
        <w:rPr>
          <w:rFonts w:ascii="Arial" w:hAnsi="Arial" w:cs="Arial"/>
          <w:sz w:val="28"/>
          <w:szCs w:val="28"/>
          <w:lang w:val="bg-BG"/>
        </w:rPr>
        <w:t xml:space="preserve"> Банката класира проектните предложения, базирайки се на възприетия териториален обхват и териториално разпределение по Процедура 4.023 „Подкрепа за устойчиво енергийно обновяване на жилищния сграден фонд - Етап I“ (максимална стойност на БФП на база община и лимит), като градските общини с население над </w:t>
      </w:r>
      <w:r w:rsidR="00FC11F3">
        <w:rPr>
          <w:rFonts w:ascii="Arial" w:hAnsi="Arial" w:cs="Arial"/>
          <w:sz w:val="28"/>
          <w:szCs w:val="28"/>
          <w:lang w:val="bg-BG"/>
        </w:rPr>
        <w:br/>
      </w:r>
      <w:r w:rsidRPr="005C3D2E">
        <w:rPr>
          <w:rFonts w:ascii="Arial" w:hAnsi="Arial" w:cs="Arial"/>
          <w:sz w:val="28"/>
          <w:szCs w:val="28"/>
          <w:lang w:val="bg-BG"/>
        </w:rPr>
        <w:t>150 000 души са обединени в една група.</w:t>
      </w:r>
    </w:p>
    <w:p w14:paraId="179A2BB3" w14:textId="2483BB41" w:rsidR="005C3D2E" w:rsidRPr="005C3D2E" w:rsidRDefault="005C3D2E" w:rsidP="005C3D2E">
      <w:pPr>
        <w:spacing w:before="120" w:line="288" w:lineRule="auto"/>
        <w:ind w:firstLine="1134"/>
        <w:jc w:val="both"/>
        <w:rPr>
          <w:rFonts w:ascii="Arial" w:hAnsi="Arial" w:cs="Arial"/>
          <w:sz w:val="28"/>
          <w:szCs w:val="28"/>
          <w:lang w:val="bg-BG"/>
        </w:rPr>
      </w:pPr>
      <w:r w:rsidRPr="00974CB1">
        <w:rPr>
          <w:rFonts w:ascii="Arial" w:hAnsi="Arial" w:cs="Arial"/>
          <w:b/>
          <w:bCs/>
          <w:sz w:val="28"/>
          <w:szCs w:val="28"/>
          <w:lang w:val="bg-BG"/>
        </w:rPr>
        <w:t>(3)</w:t>
      </w:r>
      <w:r w:rsidRPr="005C3D2E">
        <w:rPr>
          <w:rFonts w:ascii="Arial" w:hAnsi="Arial" w:cs="Arial"/>
          <w:sz w:val="28"/>
          <w:szCs w:val="28"/>
          <w:lang w:val="bg-BG"/>
        </w:rPr>
        <w:t xml:space="preserve"> След одобряване на списъка по чл. 5, ал. 2, т. 1 Банката определя ресурс за проектните предложения по ал. 1, който се разпределя по следния начин:</w:t>
      </w:r>
    </w:p>
    <w:p w14:paraId="108B219C" w14:textId="77777777" w:rsidR="005C3D2E" w:rsidRPr="005C3D2E" w:rsidRDefault="005C3D2E" w:rsidP="00974CB1">
      <w:pPr>
        <w:tabs>
          <w:tab w:val="left" w:pos="1560"/>
        </w:tabs>
        <w:spacing w:before="120" w:line="288" w:lineRule="auto"/>
        <w:ind w:firstLine="1134"/>
        <w:jc w:val="both"/>
        <w:rPr>
          <w:rFonts w:ascii="Arial" w:hAnsi="Arial" w:cs="Arial"/>
          <w:sz w:val="28"/>
          <w:szCs w:val="28"/>
          <w:lang w:val="bg-BG"/>
        </w:rPr>
      </w:pPr>
      <w:r w:rsidRPr="005C3D2E">
        <w:rPr>
          <w:rFonts w:ascii="Arial" w:hAnsi="Arial" w:cs="Arial"/>
          <w:sz w:val="28"/>
          <w:szCs w:val="28"/>
          <w:lang w:val="bg-BG"/>
        </w:rPr>
        <w:t>1.</w:t>
      </w:r>
      <w:r w:rsidRPr="005C3D2E">
        <w:rPr>
          <w:rFonts w:ascii="Arial" w:hAnsi="Arial" w:cs="Arial"/>
          <w:sz w:val="28"/>
          <w:szCs w:val="28"/>
          <w:lang w:val="bg-BG"/>
        </w:rPr>
        <w:tab/>
        <w:t xml:space="preserve">първа група – Столична община и общините Пловдив, Варна и Бургас – 25 564 594 евро; </w:t>
      </w:r>
    </w:p>
    <w:p w14:paraId="44951E43" w14:textId="287CEC09" w:rsidR="005C3D2E" w:rsidRPr="005C3D2E" w:rsidRDefault="005C3D2E" w:rsidP="00974CB1">
      <w:pPr>
        <w:tabs>
          <w:tab w:val="left" w:pos="1560"/>
        </w:tabs>
        <w:spacing w:before="120" w:line="288" w:lineRule="auto"/>
        <w:ind w:firstLine="1134"/>
        <w:jc w:val="both"/>
        <w:rPr>
          <w:rFonts w:ascii="Arial" w:hAnsi="Arial" w:cs="Arial"/>
          <w:sz w:val="28"/>
          <w:szCs w:val="28"/>
          <w:lang w:val="bg-BG"/>
        </w:rPr>
      </w:pPr>
      <w:r w:rsidRPr="005C3D2E">
        <w:rPr>
          <w:rFonts w:ascii="Arial" w:hAnsi="Arial" w:cs="Arial"/>
          <w:sz w:val="28"/>
          <w:szCs w:val="28"/>
          <w:lang w:val="bg-BG"/>
        </w:rPr>
        <w:t>2.</w:t>
      </w:r>
      <w:r w:rsidRPr="005C3D2E">
        <w:rPr>
          <w:rFonts w:ascii="Arial" w:hAnsi="Arial" w:cs="Arial"/>
          <w:sz w:val="28"/>
          <w:szCs w:val="28"/>
          <w:lang w:val="bg-BG"/>
        </w:rPr>
        <w:tab/>
        <w:t>втора група – общините Стара Загора, Русе, Плевен, Велико Търново,  Благоевград</w:t>
      </w:r>
      <w:r w:rsidR="00FC11F3">
        <w:rPr>
          <w:rFonts w:ascii="Arial" w:hAnsi="Arial" w:cs="Arial"/>
          <w:sz w:val="28"/>
          <w:szCs w:val="28"/>
          <w:lang w:val="bg-BG"/>
        </w:rPr>
        <w:t xml:space="preserve"> и</w:t>
      </w:r>
      <w:r w:rsidRPr="005C3D2E">
        <w:rPr>
          <w:rFonts w:ascii="Arial" w:hAnsi="Arial" w:cs="Arial"/>
          <w:sz w:val="28"/>
          <w:szCs w:val="28"/>
          <w:lang w:val="bg-BG"/>
        </w:rPr>
        <w:t xml:space="preserve"> Видин – 25 564 594 евро;</w:t>
      </w:r>
    </w:p>
    <w:p w14:paraId="27B6B9D9" w14:textId="77777777" w:rsidR="005C3D2E" w:rsidRPr="005C3D2E" w:rsidRDefault="005C3D2E" w:rsidP="00974CB1">
      <w:pPr>
        <w:tabs>
          <w:tab w:val="left" w:pos="1560"/>
        </w:tabs>
        <w:spacing w:before="120" w:line="288" w:lineRule="auto"/>
        <w:ind w:firstLine="1134"/>
        <w:jc w:val="both"/>
        <w:rPr>
          <w:rFonts w:ascii="Arial" w:hAnsi="Arial" w:cs="Arial"/>
          <w:sz w:val="28"/>
          <w:szCs w:val="28"/>
          <w:lang w:val="bg-BG"/>
        </w:rPr>
      </w:pPr>
      <w:r w:rsidRPr="005C3D2E">
        <w:rPr>
          <w:rFonts w:ascii="Arial" w:hAnsi="Arial" w:cs="Arial"/>
          <w:sz w:val="28"/>
          <w:szCs w:val="28"/>
          <w:lang w:val="bg-BG"/>
        </w:rPr>
        <w:t>3.</w:t>
      </w:r>
      <w:r w:rsidRPr="005C3D2E">
        <w:rPr>
          <w:rFonts w:ascii="Arial" w:hAnsi="Arial" w:cs="Arial"/>
          <w:sz w:val="28"/>
          <w:szCs w:val="28"/>
          <w:lang w:val="bg-BG"/>
        </w:rPr>
        <w:tab/>
        <w:t>трета група – общините Враца, Ловеч, Лом, Монтана, Троян, Габрово, Горна Оряховица, Севлиево, Разград, Свищов, Силистра, Добрич, Търговище, Шумен, Сливен, Ямбол, Нова Загора, Айтос, Карнобат, Казанлък, Свиленград, Харманли, Димитровград, Кърджали, Хасково, Асеновград, Велинград, Смолян, Пазарджик, Пещера, Панагюрище, Карлово, Ботевград, Гоце Делчев, Дупница, Кюстендил, Перник, Петрич, Самоков и Сандански – 17 895 216 евро;</w:t>
      </w:r>
    </w:p>
    <w:p w14:paraId="28047494" w14:textId="5B77DA5A" w:rsidR="005C3D2E" w:rsidRPr="005C3D2E" w:rsidRDefault="005C3D2E" w:rsidP="00974CB1">
      <w:pPr>
        <w:tabs>
          <w:tab w:val="left" w:pos="1560"/>
        </w:tabs>
        <w:spacing w:before="120" w:line="288" w:lineRule="auto"/>
        <w:ind w:firstLine="1134"/>
        <w:jc w:val="both"/>
        <w:rPr>
          <w:rFonts w:ascii="Arial" w:hAnsi="Arial" w:cs="Arial"/>
          <w:sz w:val="28"/>
          <w:szCs w:val="28"/>
          <w:lang w:val="bg-BG"/>
        </w:rPr>
      </w:pPr>
      <w:r w:rsidRPr="005C3D2E">
        <w:rPr>
          <w:rFonts w:ascii="Arial" w:hAnsi="Arial" w:cs="Arial"/>
          <w:sz w:val="28"/>
          <w:szCs w:val="28"/>
          <w:lang w:val="bg-BG"/>
        </w:rPr>
        <w:t>4.</w:t>
      </w:r>
      <w:r w:rsidRPr="005C3D2E">
        <w:rPr>
          <w:rFonts w:ascii="Arial" w:hAnsi="Arial" w:cs="Arial"/>
          <w:sz w:val="28"/>
          <w:szCs w:val="28"/>
          <w:lang w:val="bg-BG"/>
        </w:rPr>
        <w:tab/>
        <w:t xml:space="preserve">четвърта група - 215 общини, попадащи в дефиницията за селски район, съгласно Споразумението за партньорство </w:t>
      </w:r>
      <w:r w:rsidR="00FC11F3">
        <w:rPr>
          <w:rFonts w:ascii="Arial" w:hAnsi="Arial" w:cs="Arial"/>
          <w:sz w:val="28"/>
          <w:szCs w:val="28"/>
          <w:lang w:val="bg-BG"/>
        </w:rPr>
        <w:br/>
      </w:r>
      <w:r w:rsidRPr="005C3D2E">
        <w:rPr>
          <w:rFonts w:ascii="Arial" w:hAnsi="Arial" w:cs="Arial"/>
          <w:sz w:val="28"/>
          <w:szCs w:val="28"/>
          <w:lang w:val="bg-BG"/>
        </w:rPr>
        <w:t>2021-2027 г. – 17 895 216 евро.</w:t>
      </w:r>
    </w:p>
    <w:p w14:paraId="4DF914D3" w14:textId="77777777" w:rsidR="005C3D2E" w:rsidRPr="005C3D2E" w:rsidRDefault="005C3D2E" w:rsidP="005C3D2E">
      <w:pPr>
        <w:spacing w:before="120" w:line="288" w:lineRule="auto"/>
        <w:ind w:firstLine="1134"/>
        <w:jc w:val="both"/>
        <w:rPr>
          <w:rFonts w:ascii="Arial" w:hAnsi="Arial" w:cs="Arial"/>
          <w:sz w:val="28"/>
          <w:szCs w:val="28"/>
          <w:lang w:val="bg-BG"/>
        </w:rPr>
      </w:pPr>
      <w:r w:rsidRPr="00974CB1">
        <w:rPr>
          <w:rFonts w:ascii="Arial" w:hAnsi="Arial" w:cs="Arial"/>
          <w:b/>
          <w:bCs/>
          <w:sz w:val="28"/>
          <w:szCs w:val="28"/>
          <w:lang w:val="bg-BG"/>
        </w:rPr>
        <w:t>(4)</w:t>
      </w:r>
      <w:r w:rsidRPr="005C3D2E">
        <w:rPr>
          <w:rFonts w:ascii="Arial" w:hAnsi="Arial" w:cs="Arial"/>
          <w:sz w:val="28"/>
          <w:szCs w:val="28"/>
          <w:lang w:val="bg-BG"/>
        </w:rPr>
        <w:t xml:space="preserve"> За целите на осигуряване на финансиране в пълен размер на отделно проектно предложение се допуска отклонение в разпределението по ал. 3, т. 1 – 4  и съответно прехвърляне на средства между отделните групи.</w:t>
      </w:r>
    </w:p>
    <w:p w14:paraId="67A0D24B" w14:textId="77777777" w:rsidR="005C3D2E" w:rsidRPr="005C3D2E" w:rsidRDefault="005C3D2E" w:rsidP="005C3D2E">
      <w:pPr>
        <w:spacing w:before="120" w:line="288" w:lineRule="auto"/>
        <w:ind w:firstLine="1134"/>
        <w:jc w:val="both"/>
        <w:rPr>
          <w:rFonts w:ascii="Arial" w:hAnsi="Arial" w:cs="Arial"/>
          <w:sz w:val="28"/>
          <w:szCs w:val="28"/>
          <w:lang w:val="bg-BG"/>
        </w:rPr>
      </w:pPr>
      <w:r w:rsidRPr="00974CB1">
        <w:rPr>
          <w:rFonts w:ascii="Arial" w:hAnsi="Arial" w:cs="Arial"/>
          <w:b/>
          <w:bCs/>
          <w:sz w:val="28"/>
          <w:szCs w:val="28"/>
          <w:lang w:val="bg-BG"/>
        </w:rPr>
        <w:t>(5)</w:t>
      </w:r>
      <w:r w:rsidRPr="005C3D2E">
        <w:rPr>
          <w:rFonts w:ascii="Arial" w:hAnsi="Arial" w:cs="Arial"/>
          <w:sz w:val="28"/>
          <w:szCs w:val="28"/>
          <w:lang w:val="bg-BG"/>
        </w:rPr>
        <w:t xml:space="preserve"> Оценката и класирането на проектните предложения по ал. 1 приключват с предложение за решение на инвестиционния комитет.</w:t>
      </w:r>
    </w:p>
    <w:p w14:paraId="1FB079D0" w14:textId="77777777" w:rsidR="005C3D2E" w:rsidRPr="005C3D2E" w:rsidRDefault="005C3D2E" w:rsidP="005C3D2E">
      <w:pPr>
        <w:spacing w:before="120" w:line="288" w:lineRule="auto"/>
        <w:ind w:firstLine="1134"/>
        <w:jc w:val="both"/>
        <w:rPr>
          <w:rFonts w:ascii="Arial" w:hAnsi="Arial" w:cs="Arial"/>
          <w:sz w:val="28"/>
          <w:szCs w:val="28"/>
          <w:lang w:val="bg-BG"/>
        </w:rPr>
      </w:pPr>
      <w:r w:rsidRPr="00974CB1">
        <w:rPr>
          <w:rFonts w:ascii="Arial" w:hAnsi="Arial" w:cs="Arial"/>
          <w:b/>
          <w:bCs/>
          <w:sz w:val="28"/>
          <w:szCs w:val="28"/>
          <w:lang w:val="bg-BG"/>
        </w:rPr>
        <w:lastRenderedPageBreak/>
        <w:t>(6)</w:t>
      </w:r>
      <w:r w:rsidRPr="005C3D2E">
        <w:rPr>
          <w:rFonts w:ascii="Arial" w:hAnsi="Arial" w:cs="Arial"/>
          <w:sz w:val="28"/>
          <w:szCs w:val="28"/>
          <w:lang w:val="bg-BG"/>
        </w:rPr>
        <w:t xml:space="preserve"> Банката сключва с водещия партньор споразумение за предоставяне на субсидия в изпълнение на решенията за оценка и класиране на проектните предложения по чл. 5, ал. 2, т. 3.</w:t>
      </w:r>
    </w:p>
    <w:p w14:paraId="503DEFFC" w14:textId="20009AAB" w:rsidR="005C3D2E" w:rsidRPr="005C3D2E" w:rsidRDefault="005C3D2E" w:rsidP="005C3D2E">
      <w:pPr>
        <w:spacing w:before="120" w:line="288" w:lineRule="auto"/>
        <w:ind w:firstLine="1134"/>
        <w:jc w:val="both"/>
        <w:rPr>
          <w:rFonts w:ascii="Arial" w:hAnsi="Arial" w:cs="Arial"/>
          <w:sz w:val="28"/>
          <w:szCs w:val="28"/>
          <w:lang w:val="bg-BG"/>
        </w:rPr>
      </w:pPr>
      <w:r w:rsidRPr="00974CB1">
        <w:rPr>
          <w:rFonts w:ascii="Arial" w:hAnsi="Arial" w:cs="Arial"/>
          <w:b/>
          <w:bCs/>
          <w:sz w:val="28"/>
          <w:szCs w:val="28"/>
          <w:lang w:val="bg-BG"/>
        </w:rPr>
        <w:t>Чл. 9. (1)</w:t>
      </w:r>
      <w:r w:rsidRPr="005C3D2E">
        <w:rPr>
          <w:rFonts w:ascii="Arial" w:hAnsi="Arial" w:cs="Arial"/>
          <w:sz w:val="28"/>
          <w:szCs w:val="28"/>
          <w:lang w:val="bg-BG"/>
        </w:rPr>
        <w:t xml:space="preserve"> Водещият партньор сключва споразумението по </w:t>
      </w:r>
      <w:r w:rsidR="00FC11F3">
        <w:rPr>
          <w:rFonts w:ascii="Arial" w:hAnsi="Arial" w:cs="Arial"/>
          <w:sz w:val="28"/>
          <w:szCs w:val="28"/>
          <w:lang w:val="bg-BG"/>
        </w:rPr>
        <w:br/>
      </w:r>
      <w:r w:rsidRPr="005C3D2E">
        <w:rPr>
          <w:rFonts w:ascii="Arial" w:hAnsi="Arial" w:cs="Arial"/>
          <w:sz w:val="28"/>
          <w:szCs w:val="28"/>
          <w:lang w:val="bg-BG"/>
        </w:rPr>
        <w:t xml:space="preserve">чл. 7, ал. 5 или по чл. 8, ал. 6 от името на крайния получател на средствата. </w:t>
      </w:r>
    </w:p>
    <w:p w14:paraId="732C8510" w14:textId="523A6225" w:rsidR="005C3D2E" w:rsidRPr="005C3D2E" w:rsidRDefault="005C3D2E" w:rsidP="005C3D2E">
      <w:pPr>
        <w:spacing w:before="120" w:line="288" w:lineRule="auto"/>
        <w:ind w:firstLine="1134"/>
        <w:jc w:val="both"/>
        <w:rPr>
          <w:rFonts w:ascii="Arial" w:hAnsi="Arial" w:cs="Arial"/>
          <w:sz w:val="28"/>
          <w:szCs w:val="28"/>
          <w:lang w:val="bg-BG"/>
        </w:rPr>
      </w:pPr>
      <w:r w:rsidRPr="00974CB1">
        <w:rPr>
          <w:rFonts w:ascii="Arial" w:hAnsi="Arial" w:cs="Arial"/>
          <w:b/>
          <w:bCs/>
          <w:sz w:val="28"/>
          <w:szCs w:val="28"/>
          <w:lang w:val="bg-BG"/>
        </w:rPr>
        <w:t>(2)</w:t>
      </w:r>
      <w:r w:rsidRPr="005C3D2E">
        <w:rPr>
          <w:rFonts w:ascii="Arial" w:hAnsi="Arial" w:cs="Arial"/>
          <w:sz w:val="28"/>
          <w:szCs w:val="28"/>
          <w:lang w:val="bg-BG"/>
        </w:rPr>
        <w:t xml:space="preserve"> Водещият партньор отговаря за изпълнението на процеса по обновяване на жилищните сгради на своята територия и за избора на изпълнители по реда на Закона за обществените поръчки за осъществяване на отделните дейности по сградите.</w:t>
      </w:r>
    </w:p>
    <w:p w14:paraId="0DF9B3F2" w14:textId="77777777" w:rsidR="005C3D2E" w:rsidRPr="005C3D2E" w:rsidRDefault="005C3D2E" w:rsidP="005C3D2E">
      <w:pPr>
        <w:spacing w:before="120" w:line="288" w:lineRule="auto"/>
        <w:ind w:firstLine="1134"/>
        <w:jc w:val="both"/>
        <w:rPr>
          <w:rFonts w:ascii="Arial" w:hAnsi="Arial" w:cs="Arial"/>
          <w:sz w:val="28"/>
          <w:szCs w:val="28"/>
          <w:lang w:val="bg-BG"/>
        </w:rPr>
      </w:pPr>
      <w:r w:rsidRPr="00974CB1">
        <w:rPr>
          <w:rFonts w:ascii="Arial" w:hAnsi="Arial" w:cs="Arial"/>
          <w:b/>
          <w:bCs/>
          <w:sz w:val="28"/>
          <w:szCs w:val="28"/>
          <w:lang w:val="bg-BG"/>
        </w:rPr>
        <w:t>Чл. 10. (1)</w:t>
      </w:r>
      <w:r w:rsidRPr="005C3D2E">
        <w:rPr>
          <w:rFonts w:ascii="Arial" w:hAnsi="Arial" w:cs="Arial"/>
          <w:sz w:val="28"/>
          <w:szCs w:val="28"/>
          <w:lang w:val="bg-BG"/>
        </w:rPr>
        <w:t xml:space="preserve"> Предоставянето на средства по реда на постановлението се извършва в съответствие с правилата за държавни помощи, като се отчита принципната недопустимост на държавните помощи и възможните хипотези на съвместимост, които се предвиждат в европейското и националното законодателство.</w:t>
      </w:r>
    </w:p>
    <w:p w14:paraId="3F790B94" w14:textId="2A334E74" w:rsidR="005C3D2E" w:rsidRPr="005C3D2E" w:rsidRDefault="005C3D2E" w:rsidP="005C3D2E">
      <w:pPr>
        <w:spacing w:before="120" w:line="288" w:lineRule="auto"/>
        <w:ind w:firstLine="1134"/>
        <w:jc w:val="both"/>
        <w:rPr>
          <w:rFonts w:ascii="Arial" w:hAnsi="Arial" w:cs="Arial"/>
          <w:sz w:val="28"/>
          <w:szCs w:val="28"/>
          <w:lang w:val="bg-BG"/>
        </w:rPr>
      </w:pPr>
      <w:r w:rsidRPr="00974CB1">
        <w:rPr>
          <w:rFonts w:ascii="Arial" w:hAnsi="Arial" w:cs="Arial"/>
          <w:b/>
          <w:bCs/>
          <w:sz w:val="28"/>
          <w:szCs w:val="28"/>
          <w:lang w:val="bg-BG"/>
        </w:rPr>
        <w:t>(2)</w:t>
      </w:r>
      <w:r w:rsidRPr="005C3D2E">
        <w:rPr>
          <w:rFonts w:ascii="Arial" w:hAnsi="Arial" w:cs="Arial"/>
          <w:sz w:val="28"/>
          <w:szCs w:val="28"/>
          <w:lang w:val="bg-BG"/>
        </w:rPr>
        <w:t xml:space="preserve"> Въз основа на сключените споразумения Банката предоставя средствата по откритата в Банката сметка за средства от Европейския съюз на съответния водещ партньор, която ще се ползва за целите на Схемата за субсидии.</w:t>
      </w:r>
    </w:p>
    <w:p w14:paraId="21BDFD3E" w14:textId="43097A0E" w:rsidR="005C3D2E" w:rsidRPr="005C3D2E" w:rsidRDefault="005C3D2E" w:rsidP="005C3D2E">
      <w:pPr>
        <w:spacing w:before="120" w:line="288" w:lineRule="auto"/>
        <w:ind w:firstLine="1134"/>
        <w:jc w:val="both"/>
        <w:rPr>
          <w:rFonts w:ascii="Arial" w:hAnsi="Arial" w:cs="Arial"/>
          <w:sz w:val="28"/>
          <w:szCs w:val="28"/>
          <w:lang w:val="bg-BG"/>
        </w:rPr>
      </w:pPr>
      <w:r w:rsidRPr="00974CB1">
        <w:rPr>
          <w:rFonts w:ascii="Arial" w:hAnsi="Arial" w:cs="Arial"/>
          <w:b/>
          <w:bCs/>
          <w:sz w:val="28"/>
          <w:szCs w:val="28"/>
          <w:lang w:val="bg-BG"/>
        </w:rPr>
        <w:t>(3)</w:t>
      </w:r>
      <w:r w:rsidRPr="005C3D2E">
        <w:rPr>
          <w:rFonts w:ascii="Arial" w:hAnsi="Arial" w:cs="Arial"/>
          <w:sz w:val="28"/>
          <w:szCs w:val="28"/>
          <w:lang w:val="bg-BG"/>
        </w:rPr>
        <w:t xml:space="preserve"> За откриването и закриването на сметката по ал. 2 не се изисква съгласието на Министерството на финансите. Банката обезпечава средствата по тези сметки и предоставя периодична информация за тях по приложимия за банковите бюджетни сметки на общините ред съгласно указанията на министъра на финансите и </w:t>
      </w:r>
      <w:r w:rsidR="000D7D10">
        <w:rPr>
          <w:rFonts w:ascii="Arial" w:hAnsi="Arial" w:cs="Arial"/>
          <w:sz w:val="28"/>
          <w:szCs w:val="28"/>
          <w:lang w:val="bg-BG"/>
        </w:rPr>
        <w:t xml:space="preserve">на </w:t>
      </w:r>
      <w:r w:rsidRPr="005C3D2E">
        <w:rPr>
          <w:rFonts w:ascii="Arial" w:hAnsi="Arial" w:cs="Arial"/>
          <w:sz w:val="28"/>
          <w:szCs w:val="28"/>
          <w:lang w:val="bg-BG"/>
        </w:rPr>
        <w:t>управителя на Българската народна банка по чл. 152, ал. 13 от Закона за публичните финанси.</w:t>
      </w:r>
    </w:p>
    <w:p w14:paraId="10A8EA26" w14:textId="77777777" w:rsidR="005C3D2E" w:rsidRPr="005C3D2E" w:rsidRDefault="005C3D2E" w:rsidP="005C3D2E">
      <w:pPr>
        <w:spacing w:before="120" w:line="288" w:lineRule="auto"/>
        <w:ind w:firstLine="1134"/>
        <w:jc w:val="both"/>
        <w:rPr>
          <w:rFonts w:ascii="Arial" w:hAnsi="Arial" w:cs="Arial"/>
          <w:sz w:val="28"/>
          <w:szCs w:val="28"/>
          <w:lang w:val="bg-BG"/>
        </w:rPr>
      </w:pPr>
      <w:r w:rsidRPr="00974CB1">
        <w:rPr>
          <w:rFonts w:ascii="Arial" w:hAnsi="Arial" w:cs="Arial"/>
          <w:b/>
          <w:bCs/>
          <w:sz w:val="28"/>
          <w:szCs w:val="28"/>
          <w:lang w:val="bg-BG"/>
        </w:rPr>
        <w:t>Чл. 11. (1)</w:t>
      </w:r>
      <w:r w:rsidRPr="005C3D2E">
        <w:rPr>
          <w:rFonts w:ascii="Arial" w:hAnsi="Arial" w:cs="Arial"/>
          <w:sz w:val="28"/>
          <w:szCs w:val="28"/>
          <w:lang w:val="bg-BG"/>
        </w:rPr>
        <w:t xml:space="preserve"> За изпълнението на постановлението на Банката се осигурява достъп до ИСУН 2020, надградена за целите на Механизма за възстановяване и устойчивост.</w:t>
      </w:r>
    </w:p>
    <w:p w14:paraId="3B2B773E" w14:textId="5D9C5449" w:rsidR="005C3D2E" w:rsidRPr="005C3D2E" w:rsidRDefault="005C3D2E" w:rsidP="005C3D2E">
      <w:pPr>
        <w:spacing w:before="120" w:line="288" w:lineRule="auto"/>
        <w:ind w:firstLine="1134"/>
        <w:jc w:val="both"/>
        <w:rPr>
          <w:rFonts w:ascii="Arial" w:hAnsi="Arial" w:cs="Arial"/>
          <w:sz w:val="28"/>
          <w:szCs w:val="28"/>
          <w:lang w:val="bg-BG"/>
        </w:rPr>
      </w:pPr>
      <w:r w:rsidRPr="00974CB1">
        <w:rPr>
          <w:rFonts w:ascii="Arial" w:hAnsi="Arial" w:cs="Arial"/>
          <w:b/>
          <w:bCs/>
          <w:sz w:val="28"/>
          <w:szCs w:val="28"/>
          <w:lang w:val="bg-BG"/>
        </w:rPr>
        <w:t>(2)</w:t>
      </w:r>
      <w:r w:rsidRPr="005C3D2E">
        <w:rPr>
          <w:rFonts w:ascii="Arial" w:hAnsi="Arial" w:cs="Arial"/>
          <w:sz w:val="28"/>
          <w:szCs w:val="28"/>
          <w:lang w:val="bg-BG"/>
        </w:rPr>
        <w:t xml:space="preserve"> Комуникацията при управление и изпълнение на Схемата за субсидии се осъществява чрез информационната система по </w:t>
      </w:r>
      <w:r w:rsidR="000D7D10">
        <w:rPr>
          <w:rFonts w:ascii="Arial" w:hAnsi="Arial" w:cs="Arial"/>
          <w:sz w:val="28"/>
          <w:szCs w:val="28"/>
          <w:lang w:val="bg-BG"/>
        </w:rPr>
        <w:br/>
      </w:r>
      <w:r w:rsidRPr="005C3D2E">
        <w:rPr>
          <w:rFonts w:ascii="Arial" w:hAnsi="Arial" w:cs="Arial"/>
          <w:sz w:val="28"/>
          <w:szCs w:val="28"/>
          <w:lang w:val="bg-BG"/>
        </w:rPr>
        <w:t>ал. 1.</w:t>
      </w:r>
    </w:p>
    <w:p w14:paraId="0D8A4B49" w14:textId="4F86F5CC" w:rsidR="005C3D2E" w:rsidRPr="005C3D2E" w:rsidRDefault="005C3D2E" w:rsidP="005C3D2E">
      <w:pPr>
        <w:spacing w:before="120" w:line="288" w:lineRule="auto"/>
        <w:ind w:firstLine="1134"/>
        <w:jc w:val="both"/>
        <w:rPr>
          <w:rFonts w:ascii="Arial" w:hAnsi="Arial" w:cs="Arial"/>
          <w:sz w:val="28"/>
          <w:szCs w:val="28"/>
          <w:lang w:val="bg-BG"/>
        </w:rPr>
      </w:pPr>
      <w:r w:rsidRPr="00974CB1">
        <w:rPr>
          <w:rFonts w:ascii="Arial" w:hAnsi="Arial" w:cs="Arial"/>
          <w:b/>
          <w:bCs/>
          <w:sz w:val="28"/>
          <w:szCs w:val="28"/>
          <w:lang w:val="bg-BG"/>
        </w:rPr>
        <w:lastRenderedPageBreak/>
        <w:t>Чл. 12.</w:t>
      </w:r>
      <w:r w:rsidRPr="005C3D2E">
        <w:rPr>
          <w:rFonts w:ascii="Arial" w:hAnsi="Arial" w:cs="Arial"/>
          <w:sz w:val="28"/>
          <w:szCs w:val="28"/>
          <w:lang w:val="bg-BG"/>
        </w:rPr>
        <w:t xml:space="preserve"> Срокът за приключване на всички дейности по Инвестиция 9 (C4.I9): Схема за субсидиране </w:t>
      </w:r>
      <w:r w:rsidR="000D7D10">
        <w:rPr>
          <w:rFonts w:ascii="Arial" w:hAnsi="Arial" w:cs="Arial"/>
          <w:sz w:val="28"/>
          <w:szCs w:val="28"/>
          <w:lang w:val="bg-BG"/>
        </w:rPr>
        <w:t>-</w:t>
      </w:r>
      <w:r w:rsidRPr="005C3D2E">
        <w:rPr>
          <w:rFonts w:ascii="Arial" w:hAnsi="Arial" w:cs="Arial"/>
          <w:sz w:val="28"/>
          <w:szCs w:val="28"/>
          <w:lang w:val="bg-BG"/>
        </w:rPr>
        <w:t xml:space="preserve"> обновяване на жилищни сгради</w:t>
      </w:r>
      <w:r w:rsidR="000D7D10">
        <w:rPr>
          <w:rFonts w:ascii="Arial" w:hAnsi="Arial" w:cs="Arial"/>
          <w:sz w:val="28"/>
          <w:szCs w:val="28"/>
          <w:lang w:val="bg-BG"/>
        </w:rPr>
        <w:t>,</w:t>
      </w:r>
      <w:r w:rsidRPr="005C3D2E">
        <w:rPr>
          <w:rFonts w:ascii="Arial" w:hAnsi="Arial" w:cs="Arial"/>
          <w:sz w:val="28"/>
          <w:szCs w:val="28"/>
          <w:lang w:val="bg-BG"/>
        </w:rPr>
        <w:t xml:space="preserve"> е 31 декември 2029 г.</w:t>
      </w:r>
    </w:p>
    <w:p w14:paraId="258D3B33" w14:textId="77777777" w:rsidR="005C3D2E" w:rsidRPr="00974CB1" w:rsidRDefault="005C3D2E" w:rsidP="00974CB1">
      <w:pPr>
        <w:spacing w:before="240" w:after="120" w:line="288" w:lineRule="auto"/>
        <w:jc w:val="center"/>
        <w:rPr>
          <w:rFonts w:ascii="Arial" w:hAnsi="Arial" w:cs="Arial"/>
          <w:b/>
          <w:bCs/>
          <w:sz w:val="28"/>
          <w:szCs w:val="28"/>
          <w:lang w:val="bg-BG"/>
        </w:rPr>
      </w:pPr>
      <w:r w:rsidRPr="00974CB1">
        <w:rPr>
          <w:rFonts w:ascii="Arial" w:hAnsi="Arial" w:cs="Arial"/>
          <w:b/>
          <w:bCs/>
          <w:sz w:val="28"/>
          <w:szCs w:val="28"/>
          <w:lang w:val="bg-BG"/>
        </w:rPr>
        <w:t>ДОПЪЛНИТЕЛНИ РАЗПОРЕДБИ</w:t>
      </w:r>
    </w:p>
    <w:p w14:paraId="3C691DBC" w14:textId="77777777" w:rsidR="005C3D2E" w:rsidRPr="005C3D2E" w:rsidRDefault="005C3D2E" w:rsidP="005C3D2E">
      <w:pPr>
        <w:spacing w:before="120" w:line="288" w:lineRule="auto"/>
        <w:ind w:firstLine="1134"/>
        <w:jc w:val="both"/>
        <w:rPr>
          <w:rFonts w:ascii="Arial" w:hAnsi="Arial" w:cs="Arial"/>
          <w:sz w:val="28"/>
          <w:szCs w:val="28"/>
          <w:lang w:val="bg-BG"/>
        </w:rPr>
      </w:pPr>
      <w:r w:rsidRPr="00974CB1">
        <w:rPr>
          <w:rFonts w:ascii="Arial" w:hAnsi="Arial" w:cs="Arial"/>
          <w:b/>
          <w:bCs/>
          <w:sz w:val="28"/>
          <w:szCs w:val="28"/>
          <w:lang w:val="bg-BG"/>
        </w:rPr>
        <w:t>§ 1.</w:t>
      </w:r>
      <w:r w:rsidRPr="005C3D2E">
        <w:rPr>
          <w:rFonts w:ascii="Arial" w:hAnsi="Arial" w:cs="Arial"/>
          <w:sz w:val="28"/>
          <w:szCs w:val="28"/>
          <w:lang w:val="bg-BG"/>
        </w:rPr>
        <w:t xml:space="preserve"> По смисъла на постановлението:</w:t>
      </w:r>
    </w:p>
    <w:p w14:paraId="27A67F2E" w14:textId="56714599" w:rsidR="005C3D2E" w:rsidRPr="005C3D2E" w:rsidRDefault="005C3D2E" w:rsidP="005C3D2E">
      <w:pPr>
        <w:spacing w:before="120" w:line="288" w:lineRule="auto"/>
        <w:ind w:firstLine="1134"/>
        <w:jc w:val="both"/>
        <w:rPr>
          <w:rFonts w:ascii="Arial" w:hAnsi="Arial" w:cs="Arial"/>
          <w:sz w:val="28"/>
          <w:szCs w:val="28"/>
          <w:lang w:val="bg-BG"/>
        </w:rPr>
      </w:pPr>
      <w:r w:rsidRPr="005C3D2E">
        <w:rPr>
          <w:rFonts w:ascii="Arial" w:hAnsi="Arial" w:cs="Arial"/>
          <w:sz w:val="28"/>
          <w:szCs w:val="28"/>
          <w:lang w:val="bg-BG"/>
        </w:rPr>
        <w:t>1. „</w:t>
      </w:r>
      <w:r w:rsidR="000D7D10">
        <w:rPr>
          <w:rFonts w:ascii="Arial" w:hAnsi="Arial" w:cs="Arial"/>
          <w:sz w:val="28"/>
          <w:szCs w:val="28"/>
          <w:lang w:val="bg-BG"/>
        </w:rPr>
        <w:t>В</w:t>
      </w:r>
      <w:r w:rsidRPr="005C3D2E">
        <w:rPr>
          <w:rFonts w:ascii="Arial" w:hAnsi="Arial" w:cs="Arial"/>
          <w:sz w:val="28"/>
          <w:szCs w:val="28"/>
          <w:lang w:val="bg-BG"/>
        </w:rPr>
        <w:t xml:space="preserve">одещ партньор/администратор на безвъзмездна финансова помощ“ е общинската администрация/районната администрация, подала формуляр за кандидатстване по Процедура 4.023 „Подкрепа за устойчиво енергийно обновяване на жилищния сграден фонд - Етап I“ или </w:t>
      </w:r>
      <w:r w:rsidR="000D7D10">
        <w:rPr>
          <w:rFonts w:ascii="Arial" w:hAnsi="Arial" w:cs="Arial"/>
          <w:sz w:val="28"/>
          <w:szCs w:val="28"/>
          <w:lang w:val="bg-BG"/>
        </w:rPr>
        <w:t xml:space="preserve">по </w:t>
      </w:r>
      <w:r w:rsidRPr="005C3D2E">
        <w:rPr>
          <w:rFonts w:ascii="Arial" w:hAnsi="Arial" w:cs="Arial"/>
          <w:sz w:val="28"/>
          <w:szCs w:val="28"/>
          <w:lang w:val="bg-BG"/>
        </w:rPr>
        <w:t xml:space="preserve">Процедура 4.024 „Подкрепа за устойчиво енергийно обновяване на жилищния сграден фонд - </w:t>
      </w:r>
      <w:r w:rsidR="000D7D10">
        <w:rPr>
          <w:rFonts w:ascii="Arial" w:hAnsi="Arial" w:cs="Arial"/>
          <w:sz w:val="28"/>
          <w:szCs w:val="28"/>
          <w:lang w:val="bg-BG"/>
        </w:rPr>
        <w:br/>
      </w:r>
      <w:r w:rsidRPr="005C3D2E">
        <w:rPr>
          <w:rFonts w:ascii="Arial" w:hAnsi="Arial" w:cs="Arial"/>
          <w:sz w:val="28"/>
          <w:szCs w:val="28"/>
          <w:lang w:val="bg-BG"/>
        </w:rPr>
        <w:t>етап II“, сключила партньорско споразумение с краен получател и отговорна за изпълнението на всички дейности по Схемата за субсидии след сключване на споразумението за безвъзмездна помощ.</w:t>
      </w:r>
    </w:p>
    <w:p w14:paraId="3969BEEF" w14:textId="32303BE7" w:rsidR="005C3D2E" w:rsidRPr="005C3D2E" w:rsidRDefault="005C3D2E" w:rsidP="005C3D2E">
      <w:pPr>
        <w:spacing w:before="120" w:line="288" w:lineRule="auto"/>
        <w:ind w:firstLine="1134"/>
        <w:jc w:val="both"/>
        <w:rPr>
          <w:rFonts w:ascii="Arial" w:hAnsi="Arial" w:cs="Arial"/>
          <w:sz w:val="28"/>
          <w:szCs w:val="28"/>
          <w:lang w:val="bg-BG"/>
        </w:rPr>
      </w:pPr>
      <w:r w:rsidRPr="005C3D2E">
        <w:rPr>
          <w:rFonts w:ascii="Arial" w:hAnsi="Arial" w:cs="Arial"/>
          <w:sz w:val="28"/>
          <w:szCs w:val="28"/>
          <w:lang w:val="bg-BG"/>
        </w:rPr>
        <w:t>2. „</w:t>
      </w:r>
      <w:r w:rsidR="000D7D10">
        <w:rPr>
          <w:rFonts w:ascii="Arial" w:hAnsi="Arial" w:cs="Arial"/>
          <w:sz w:val="28"/>
          <w:szCs w:val="28"/>
          <w:lang w:val="bg-BG"/>
        </w:rPr>
        <w:t>П</w:t>
      </w:r>
      <w:r w:rsidRPr="005C3D2E">
        <w:rPr>
          <w:rFonts w:ascii="Arial" w:hAnsi="Arial" w:cs="Arial"/>
          <w:sz w:val="28"/>
          <w:szCs w:val="28"/>
          <w:lang w:val="bg-BG"/>
        </w:rPr>
        <w:t xml:space="preserve">артньор по изпълнението на схемата“ е „Българска банка за развитие“ ЕАД, на която се възлага да управлява Схемата за субсидии в съответствие </w:t>
      </w:r>
      <w:r w:rsidR="00171E72">
        <w:rPr>
          <w:rFonts w:ascii="Arial" w:hAnsi="Arial" w:cs="Arial"/>
          <w:sz w:val="28"/>
          <w:szCs w:val="28"/>
          <w:lang w:val="bg-BG"/>
        </w:rPr>
        <w:t xml:space="preserve">с </w:t>
      </w:r>
      <w:r w:rsidR="000D7D10">
        <w:rPr>
          <w:rFonts w:ascii="Arial" w:hAnsi="Arial" w:cs="Arial"/>
          <w:sz w:val="28"/>
          <w:szCs w:val="28"/>
          <w:lang w:val="bg-BG"/>
        </w:rPr>
        <w:t>п</w:t>
      </w:r>
      <w:r w:rsidRPr="005C3D2E">
        <w:rPr>
          <w:rFonts w:ascii="Arial" w:hAnsi="Arial" w:cs="Arial"/>
          <w:sz w:val="28"/>
          <w:szCs w:val="28"/>
          <w:lang w:val="bg-BG"/>
        </w:rPr>
        <w:t>риложение към Решение за изпълнение на Съвета от 25 ноември</w:t>
      </w:r>
      <w:r w:rsidR="00171E72">
        <w:rPr>
          <w:rFonts w:ascii="Arial" w:hAnsi="Arial" w:cs="Arial"/>
          <w:sz w:val="28"/>
          <w:szCs w:val="28"/>
          <w:lang w:val="bg-BG"/>
        </w:rPr>
        <w:t xml:space="preserve"> </w:t>
      </w:r>
      <w:r w:rsidRPr="005C3D2E">
        <w:rPr>
          <w:rFonts w:ascii="Arial" w:hAnsi="Arial" w:cs="Arial"/>
          <w:sz w:val="28"/>
          <w:szCs w:val="28"/>
          <w:lang w:val="bg-BG"/>
        </w:rPr>
        <w:t xml:space="preserve">2025 г. за изменение на Решение за изпълнение от 4 май 2022 г. за одобряване на оценката на Плана за възстановяване и устойчивост на България </w:t>
      </w:r>
      <w:r w:rsidR="00171E72">
        <w:rPr>
          <w:rFonts w:ascii="Arial" w:hAnsi="Arial" w:cs="Arial"/>
          <w:sz w:val="28"/>
          <w:szCs w:val="28"/>
          <w:lang w:val="bg-BG"/>
        </w:rPr>
        <w:br/>
      </w:r>
      <w:r w:rsidRPr="005C3D2E">
        <w:rPr>
          <w:rFonts w:ascii="Arial" w:hAnsi="Arial" w:cs="Arial"/>
          <w:sz w:val="28"/>
          <w:szCs w:val="28"/>
          <w:lang w:val="bg-BG"/>
        </w:rPr>
        <w:t>(ST 15108/25 ADD 1).</w:t>
      </w:r>
    </w:p>
    <w:p w14:paraId="28CEABA5" w14:textId="78EDB4B1" w:rsidR="005C3D2E" w:rsidRPr="005C3D2E" w:rsidRDefault="005C3D2E" w:rsidP="005C3D2E">
      <w:pPr>
        <w:spacing w:before="120" w:line="288" w:lineRule="auto"/>
        <w:ind w:firstLine="1134"/>
        <w:jc w:val="both"/>
        <w:rPr>
          <w:rFonts w:ascii="Arial" w:hAnsi="Arial" w:cs="Arial"/>
          <w:sz w:val="28"/>
          <w:szCs w:val="28"/>
          <w:lang w:val="bg-BG"/>
        </w:rPr>
      </w:pPr>
      <w:r w:rsidRPr="005C3D2E">
        <w:rPr>
          <w:rFonts w:ascii="Arial" w:hAnsi="Arial" w:cs="Arial"/>
          <w:sz w:val="28"/>
          <w:szCs w:val="28"/>
          <w:lang w:val="bg-BG"/>
        </w:rPr>
        <w:t>3. „</w:t>
      </w:r>
      <w:r w:rsidR="000D7D10">
        <w:rPr>
          <w:rFonts w:ascii="Arial" w:hAnsi="Arial" w:cs="Arial"/>
          <w:sz w:val="28"/>
          <w:szCs w:val="28"/>
          <w:lang w:val="bg-BG"/>
        </w:rPr>
        <w:t>К</w:t>
      </w:r>
      <w:r w:rsidRPr="005C3D2E">
        <w:rPr>
          <w:rFonts w:ascii="Arial" w:hAnsi="Arial" w:cs="Arial"/>
          <w:sz w:val="28"/>
          <w:szCs w:val="28"/>
          <w:lang w:val="bg-BG"/>
        </w:rPr>
        <w:t xml:space="preserve">райни получатели“ са сдружения на собствениците, регистрирани по Закона за управление на етажната собственост, в допустимите за финансиране сгради. </w:t>
      </w:r>
    </w:p>
    <w:p w14:paraId="1B9BA419" w14:textId="14C7009F" w:rsidR="005C3D2E" w:rsidRPr="005C3D2E" w:rsidRDefault="005C3D2E" w:rsidP="005C3D2E">
      <w:pPr>
        <w:spacing w:before="120" w:line="288" w:lineRule="auto"/>
        <w:ind w:firstLine="1134"/>
        <w:jc w:val="both"/>
        <w:rPr>
          <w:rFonts w:ascii="Arial" w:hAnsi="Arial" w:cs="Arial"/>
          <w:sz w:val="28"/>
          <w:szCs w:val="28"/>
          <w:lang w:val="bg-BG"/>
        </w:rPr>
      </w:pPr>
      <w:r w:rsidRPr="00974CB1">
        <w:rPr>
          <w:rFonts w:ascii="Arial" w:hAnsi="Arial" w:cs="Arial"/>
          <w:b/>
          <w:bCs/>
          <w:sz w:val="28"/>
          <w:szCs w:val="28"/>
          <w:lang w:val="bg-BG"/>
        </w:rPr>
        <w:t>§ 2.</w:t>
      </w:r>
      <w:r w:rsidRPr="005C3D2E">
        <w:rPr>
          <w:rFonts w:ascii="Arial" w:hAnsi="Arial" w:cs="Arial"/>
          <w:sz w:val="28"/>
          <w:szCs w:val="28"/>
          <w:lang w:val="bg-BG"/>
        </w:rPr>
        <w:t xml:space="preserve"> В сключените споразумения за предоставяне на субсидии по чл. 7, ал. 5 и чл. 8, ал. 6 се посочват задължения за осигуряване на публичност в съответствие с раздел „Публичност и информация“ от Системата за управление и контрол по Плана за възстановяване и устойчивост.</w:t>
      </w:r>
    </w:p>
    <w:p w14:paraId="3CF30DAD" w14:textId="581002FA" w:rsidR="005C3D2E" w:rsidRPr="005C3D2E" w:rsidRDefault="005C3D2E" w:rsidP="005C3D2E">
      <w:pPr>
        <w:spacing w:before="120" w:line="288" w:lineRule="auto"/>
        <w:ind w:firstLine="1134"/>
        <w:jc w:val="both"/>
        <w:rPr>
          <w:rFonts w:ascii="Arial" w:hAnsi="Arial" w:cs="Arial"/>
          <w:sz w:val="28"/>
          <w:szCs w:val="28"/>
          <w:lang w:val="bg-BG"/>
        </w:rPr>
      </w:pPr>
      <w:r w:rsidRPr="00974CB1">
        <w:rPr>
          <w:rFonts w:ascii="Arial" w:hAnsi="Arial" w:cs="Arial"/>
          <w:b/>
          <w:bCs/>
          <w:sz w:val="28"/>
          <w:szCs w:val="28"/>
          <w:lang w:val="bg-BG"/>
        </w:rPr>
        <w:t>§ 3.</w:t>
      </w:r>
      <w:r w:rsidRPr="005C3D2E">
        <w:rPr>
          <w:rFonts w:ascii="Arial" w:hAnsi="Arial" w:cs="Arial"/>
          <w:sz w:val="28"/>
          <w:szCs w:val="28"/>
          <w:lang w:val="bg-BG"/>
        </w:rPr>
        <w:t xml:space="preserve"> Интензитетът на финансиране се прилага за одобреното финансиране в хода на оценка и класиране на проектните предложения по Процедура 4.023 „Подкрепа за устойчиво енергийно </w:t>
      </w:r>
      <w:r w:rsidRPr="005C3D2E">
        <w:rPr>
          <w:rFonts w:ascii="Arial" w:hAnsi="Arial" w:cs="Arial"/>
          <w:sz w:val="28"/>
          <w:szCs w:val="28"/>
          <w:lang w:val="bg-BG"/>
        </w:rPr>
        <w:lastRenderedPageBreak/>
        <w:t xml:space="preserve">обновяване на жилищния сграден фонд - Етап I“ и </w:t>
      </w:r>
      <w:r w:rsidR="000D7D10">
        <w:rPr>
          <w:rFonts w:ascii="Arial" w:hAnsi="Arial" w:cs="Arial"/>
          <w:sz w:val="28"/>
          <w:szCs w:val="28"/>
          <w:lang w:val="bg-BG"/>
        </w:rPr>
        <w:t xml:space="preserve">по </w:t>
      </w:r>
      <w:r w:rsidRPr="005C3D2E">
        <w:rPr>
          <w:rFonts w:ascii="Arial" w:hAnsi="Arial" w:cs="Arial"/>
          <w:sz w:val="28"/>
          <w:szCs w:val="28"/>
          <w:lang w:val="bg-BG"/>
        </w:rPr>
        <w:t>Процедура 4.024 „Подкрепа за устойчиво енергийно обновяване на жилищния сграден фонд - етап II“, включително като самоучастие.</w:t>
      </w:r>
    </w:p>
    <w:p w14:paraId="384E91C4" w14:textId="77777777" w:rsidR="005C3D2E" w:rsidRPr="00974CB1" w:rsidRDefault="005C3D2E" w:rsidP="00974CB1">
      <w:pPr>
        <w:spacing w:before="240" w:after="120" w:line="288" w:lineRule="auto"/>
        <w:jc w:val="center"/>
        <w:rPr>
          <w:rFonts w:ascii="Arial" w:hAnsi="Arial" w:cs="Arial"/>
          <w:b/>
          <w:bCs/>
          <w:sz w:val="28"/>
          <w:szCs w:val="28"/>
          <w:lang w:val="bg-BG"/>
        </w:rPr>
      </w:pPr>
      <w:r w:rsidRPr="00974CB1">
        <w:rPr>
          <w:rFonts w:ascii="Arial" w:hAnsi="Arial" w:cs="Arial"/>
          <w:b/>
          <w:bCs/>
          <w:sz w:val="28"/>
          <w:szCs w:val="28"/>
          <w:lang w:val="bg-BG"/>
        </w:rPr>
        <w:t>ПРЕХОДНИ И ЗАКЛЮЧИТЕЛНИ РАЗПОРЕДБИ</w:t>
      </w:r>
    </w:p>
    <w:p w14:paraId="393AD7A8" w14:textId="60FF097D" w:rsidR="005C3D2E" w:rsidRPr="005C3D2E" w:rsidRDefault="005C3D2E" w:rsidP="005C3D2E">
      <w:pPr>
        <w:spacing w:before="120" w:line="288" w:lineRule="auto"/>
        <w:ind w:firstLine="1134"/>
        <w:jc w:val="both"/>
        <w:rPr>
          <w:rFonts w:ascii="Arial" w:hAnsi="Arial" w:cs="Arial"/>
          <w:sz w:val="28"/>
          <w:szCs w:val="28"/>
          <w:lang w:val="bg-BG"/>
        </w:rPr>
      </w:pPr>
      <w:r w:rsidRPr="00974CB1">
        <w:rPr>
          <w:rFonts w:ascii="Arial" w:hAnsi="Arial" w:cs="Arial"/>
          <w:b/>
          <w:bCs/>
          <w:sz w:val="28"/>
          <w:szCs w:val="28"/>
          <w:lang w:val="bg-BG"/>
        </w:rPr>
        <w:t>§ 4.</w:t>
      </w:r>
      <w:r w:rsidRPr="005C3D2E">
        <w:rPr>
          <w:rFonts w:ascii="Arial" w:hAnsi="Arial" w:cs="Arial"/>
          <w:sz w:val="28"/>
          <w:szCs w:val="28"/>
          <w:lang w:val="bg-BG"/>
        </w:rPr>
        <w:t xml:space="preserve"> Постановлението се приема на основание чл. 7а от Закона за нормативните актове във връзка с чл. 22 от Регламент (ЕС) 2021/241 на Европейския парламент и на Съвета от 12 февруари 2021 година за създаване на Механизъм за възстановяване и устойчивост и § 4 от </w:t>
      </w:r>
      <w:r w:rsidR="00E53FA9">
        <w:rPr>
          <w:rFonts w:ascii="Arial" w:hAnsi="Arial" w:cs="Arial"/>
          <w:sz w:val="28"/>
          <w:szCs w:val="28"/>
          <w:lang w:val="bg-BG"/>
        </w:rPr>
        <w:t>Д</w:t>
      </w:r>
      <w:r w:rsidRPr="005C3D2E">
        <w:rPr>
          <w:rFonts w:ascii="Arial" w:hAnsi="Arial" w:cs="Arial"/>
          <w:sz w:val="28"/>
          <w:szCs w:val="28"/>
          <w:lang w:val="bg-BG"/>
        </w:rPr>
        <w:t xml:space="preserve">опълнителната разпоредба на Постановление № 176 на Министерския съвет от 2025 г. за изменение на Постановление № 157 на Министерския съвет от 2022 г. за определяне на органите и структурите, отговорни за изпълнението на Плана за възстановяване и устойчивост на Република България, и на техните основни функции (ДВ, бр. 74 от 2025 г.; попр., бр. 75 от </w:t>
      </w:r>
      <w:r w:rsidR="00E53FA9">
        <w:rPr>
          <w:rFonts w:ascii="Arial" w:hAnsi="Arial" w:cs="Arial"/>
          <w:sz w:val="28"/>
          <w:szCs w:val="28"/>
          <w:lang w:val="bg-BG"/>
        </w:rPr>
        <w:br/>
      </w:r>
      <w:r w:rsidRPr="005C3D2E">
        <w:rPr>
          <w:rFonts w:ascii="Arial" w:hAnsi="Arial" w:cs="Arial"/>
          <w:sz w:val="28"/>
          <w:szCs w:val="28"/>
          <w:lang w:val="bg-BG"/>
        </w:rPr>
        <w:t>2025 г.).</w:t>
      </w:r>
    </w:p>
    <w:p w14:paraId="21701E80" w14:textId="5059A65C" w:rsidR="005C3D2E" w:rsidRPr="005C3D2E" w:rsidRDefault="005C3D2E" w:rsidP="005C3D2E">
      <w:pPr>
        <w:spacing w:before="120" w:line="288" w:lineRule="auto"/>
        <w:ind w:firstLine="1134"/>
        <w:jc w:val="both"/>
        <w:rPr>
          <w:rFonts w:ascii="Arial" w:hAnsi="Arial" w:cs="Arial"/>
          <w:sz w:val="28"/>
          <w:szCs w:val="28"/>
          <w:lang w:val="bg-BG"/>
        </w:rPr>
      </w:pPr>
      <w:r w:rsidRPr="00974CB1">
        <w:rPr>
          <w:rFonts w:ascii="Arial" w:hAnsi="Arial" w:cs="Arial"/>
          <w:b/>
          <w:bCs/>
          <w:sz w:val="28"/>
          <w:szCs w:val="28"/>
          <w:lang w:val="bg-BG"/>
        </w:rPr>
        <w:t>§ 5.</w:t>
      </w:r>
      <w:r w:rsidRPr="005C3D2E">
        <w:rPr>
          <w:rFonts w:ascii="Arial" w:hAnsi="Arial" w:cs="Arial"/>
          <w:sz w:val="28"/>
          <w:szCs w:val="28"/>
          <w:lang w:val="bg-BG"/>
        </w:rPr>
        <w:t xml:space="preserve"> По договорите, включени в </w:t>
      </w:r>
      <w:r w:rsidR="00E53FA9">
        <w:rPr>
          <w:rFonts w:ascii="Arial" w:hAnsi="Arial" w:cs="Arial"/>
          <w:sz w:val="28"/>
          <w:szCs w:val="28"/>
          <w:lang w:val="bg-BG"/>
        </w:rPr>
        <w:t>П</w:t>
      </w:r>
      <w:r w:rsidRPr="005C3D2E">
        <w:rPr>
          <w:rFonts w:ascii="Arial" w:hAnsi="Arial" w:cs="Arial"/>
          <w:sz w:val="28"/>
          <w:szCs w:val="28"/>
          <w:lang w:val="bg-BG"/>
        </w:rPr>
        <w:t>риложение № 1, МРРБ не дължи финансови средства.</w:t>
      </w:r>
    </w:p>
    <w:p w14:paraId="654EDF80" w14:textId="77777777" w:rsidR="005C3D2E" w:rsidRPr="005C3D2E" w:rsidRDefault="005C3D2E" w:rsidP="005C3D2E">
      <w:pPr>
        <w:spacing w:before="120" w:line="288" w:lineRule="auto"/>
        <w:ind w:firstLine="1134"/>
        <w:jc w:val="both"/>
        <w:rPr>
          <w:rFonts w:ascii="Arial" w:hAnsi="Arial" w:cs="Arial"/>
          <w:sz w:val="28"/>
          <w:szCs w:val="28"/>
          <w:lang w:val="bg-BG"/>
        </w:rPr>
      </w:pPr>
      <w:r w:rsidRPr="00974CB1">
        <w:rPr>
          <w:rFonts w:ascii="Arial" w:hAnsi="Arial" w:cs="Arial"/>
          <w:b/>
          <w:bCs/>
          <w:sz w:val="28"/>
          <w:szCs w:val="28"/>
          <w:lang w:val="bg-BG"/>
        </w:rPr>
        <w:t>§ 6.</w:t>
      </w:r>
      <w:r w:rsidRPr="005C3D2E">
        <w:rPr>
          <w:rFonts w:ascii="Arial" w:hAnsi="Arial" w:cs="Arial"/>
          <w:sz w:val="28"/>
          <w:szCs w:val="28"/>
          <w:lang w:val="bg-BG"/>
        </w:rPr>
        <w:t xml:space="preserve"> „Българска банка за развитие“ ЕАД и министърът на финансите сключват споразумението по чл. 1, ал. 2 в едномесечен срок от влизането в сила на постановлението.</w:t>
      </w:r>
    </w:p>
    <w:p w14:paraId="1DE12AE3" w14:textId="77777777" w:rsidR="005C3D2E" w:rsidRPr="005C3D2E" w:rsidRDefault="005C3D2E" w:rsidP="005C3D2E">
      <w:pPr>
        <w:spacing w:before="120" w:line="288" w:lineRule="auto"/>
        <w:ind w:firstLine="1134"/>
        <w:jc w:val="both"/>
        <w:rPr>
          <w:rFonts w:ascii="Arial" w:hAnsi="Arial" w:cs="Arial"/>
          <w:sz w:val="28"/>
          <w:szCs w:val="28"/>
          <w:lang w:val="bg-BG"/>
        </w:rPr>
      </w:pPr>
      <w:r w:rsidRPr="00974CB1">
        <w:rPr>
          <w:rFonts w:ascii="Arial" w:hAnsi="Arial" w:cs="Arial"/>
          <w:b/>
          <w:bCs/>
          <w:sz w:val="28"/>
          <w:szCs w:val="28"/>
          <w:lang w:val="bg-BG"/>
        </w:rPr>
        <w:t>§ 7.</w:t>
      </w:r>
      <w:r w:rsidRPr="005C3D2E">
        <w:rPr>
          <w:rFonts w:ascii="Arial" w:hAnsi="Arial" w:cs="Arial"/>
          <w:sz w:val="28"/>
          <w:szCs w:val="28"/>
          <w:lang w:val="bg-BG"/>
        </w:rPr>
        <w:t xml:space="preserve"> „Българска банка за развитие“ ЕАД сключва споразуменията за финансиране по чл. 7, ал. 5 или по чл. 8, ал. 6 не по-късно от 30 юни 2026 г.</w:t>
      </w:r>
    </w:p>
    <w:p w14:paraId="6858EE44" w14:textId="623703D4" w:rsidR="003E5FC1" w:rsidRPr="005C3D2E" w:rsidRDefault="005C3D2E" w:rsidP="005C3D2E">
      <w:pPr>
        <w:spacing w:before="120" w:line="288" w:lineRule="auto"/>
        <w:ind w:firstLine="1134"/>
        <w:jc w:val="both"/>
        <w:rPr>
          <w:rFonts w:ascii="Arial" w:hAnsi="Arial" w:cs="Arial"/>
          <w:sz w:val="28"/>
          <w:szCs w:val="28"/>
          <w:lang w:val="bg-BG"/>
        </w:rPr>
      </w:pPr>
      <w:r w:rsidRPr="00974CB1">
        <w:rPr>
          <w:rFonts w:ascii="Arial" w:hAnsi="Arial" w:cs="Arial"/>
          <w:b/>
          <w:bCs/>
          <w:sz w:val="28"/>
          <w:szCs w:val="28"/>
          <w:lang w:val="bg-BG"/>
        </w:rPr>
        <w:t>§ 8.</w:t>
      </w:r>
      <w:r w:rsidRPr="005C3D2E">
        <w:rPr>
          <w:rFonts w:ascii="Arial" w:hAnsi="Arial" w:cs="Arial"/>
          <w:sz w:val="28"/>
          <w:szCs w:val="28"/>
          <w:lang w:val="bg-BG"/>
        </w:rPr>
        <w:t xml:space="preserve"> Постановлението влиза в сила от деня на обнародването му в „Държавен вестник“.</w:t>
      </w:r>
    </w:p>
    <w:p w14:paraId="36B988C9" w14:textId="77777777" w:rsidR="003E5FC1" w:rsidRPr="00AB3FB8" w:rsidRDefault="003E5FC1">
      <w:pPr>
        <w:ind w:firstLine="1134"/>
        <w:rPr>
          <w:rFonts w:ascii="Times New Roman" w:hAnsi="Times New Roman"/>
          <w:b/>
          <w:sz w:val="26"/>
          <w:szCs w:val="26"/>
          <w:lang w:val="bg-BG"/>
        </w:rPr>
      </w:pPr>
    </w:p>
    <w:p w14:paraId="06C157F2" w14:textId="77777777" w:rsidR="00021FCE" w:rsidRDefault="00021FCE">
      <w:pPr>
        <w:ind w:firstLine="1134"/>
        <w:rPr>
          <w:rFonts w:ascii="Times New Roman" w:hAnsi="Times New Roman"/>
          <w:b/>
          <w:sz w:val="26"/>
          <w:szCs w:val="26"/>
          <w:lang w:val="bg-BG"/>
        </w:rPr>
      </w:pPr>
    </w:p>
    <w:p w14:paraId="57907509" w14:textId="77777777" w:rsidR="00E53FA9" w:rsidRPr="00AB3FB8" w:rsidRDefault="00E53FA9">
      <w:pPr>
        <w:ind w:firstLine="1134"/>
        <w:rPr>
          <w:rFonts w:ascii="Times New Roman" w:hAnsi="Times New Roman"/>
          <w:b/>
          <w:sz w:val="26"/>
          <w:szCs w:val="26"/>
          <w:lang w:val="bg-BG"/>
        </w:rPr>
      </w:pPr>
    </w:p>
    <w:p w14:paraId="38B56F0C" w14:textId="77777777" w:rsidR="00597EA5" w:rsidRPr="00597EA5" w:rsidRDefault="00597EA5">
      <w:pPr>
        <w:ind w:firstLine="1134"/>
        <w:rPr>
          <w:rFonts w:ascii="Arial" w:hAnsi="Arial" w:cs="Arial"/>
          <w:b/>
          <w:lang w:val="bg-BG"/>
        </w:rPr>
      </w:pPr>
      <w:r w:rsidRPr="00597EA5">
        <w:rPr>
          <w:rFonts w:ascii="Arial" w:hAnsi="Arial" w:cs="Arial"/>
          <w:b/>
          <w:lang w:val="bg-BG"/>
        </w:rPr>
        <w:t>МИНИСТЪР-ПРЕДСЕДАТЕЛ: /п/ Росен Желязков</w:t>
      </w:r>
    </w:p>
    <w:p w14:paraId="2371E472" w14:textId="77777777" w:rsidR="00597EA5" w:rsidRPr="00597EA5" w:rsidRDefault="00597EA5">
      <w:pPr>
        <w:ind w:firstLine="1134"/>
        <w:rPr>
          <w:rFonts w:ascii="Arial" w:hAnsi="Arial" w:cs="Arial"/>
          <w:b/>
          <w:lang w:val="bg-BG"/>
        </w:rPr>
      </w:pPr>
    </w:p>
    <w:p w14:paraId="6355AF05" w14:textId="77777777" w:rsidR="00597EA5" w:rsidRPr="00597EA5" w:rsidRDefault="00597EA5">
      <w:pPr>
        <w:ind w:firstLine="1134"/>
        <w:rPr>
          <w:rFonts w:ascii="Arial" w:hAnsi="Arial" w:cs="Arial"/>
          <w:b/>
          <w:lang w:val="bg-BG"/>
        </w:rPr>
      </w:pPr>
      <w:r w:rsidRPr="00597EA5">
        <w:rPr>
          <w:rFonts w:ascii="Arial" w:hAnsi="Arial" w:cs="Arial"/>
          <w:b/>
          <w:lang w:val="bg-BG"/>
        </w:rPr>
        <w:t>ГЛАВЕН СЕКРЕТАР НА</w:t>
      </w:r>
    </w:p>
    <w:p w14:paraId="69284933" w14:textId="77777777" w:rsidR="00597EA5" w:rsidRPr="00597EA5" w:rsidRDefault="00597EA5">
      <w:pPr>
        <w:ind w:firstLine="1134"/>
        <w:rPr>
          <w:rFonts w:ascii="Arial" w:hAnsi="Arial" w:cs="Arial"/>
          <w:b/>
          <w:lang w:val="bg-BG"/>
        </w:rPr>
      </w:pPr>
      <w:r w:rsidRPr="00597EA5">
        <w:rPr>
          <w:rFonts w:ascii="Arial" w:hAnsi="Arial" w:cs="Arial"/>
          <w:b/>
          <w:lang w:val="bg-BG"/>
        </w:rPr>
        <w:t>МИНИСТЕРСКИЯ СЪВЕТ: /п/ Габриела Козарева</w:t>
      </w:r>
    </w:p>
    <w:p w14:paraId="498D296E" w14:textId="77777777" w:rsidR="00597EA5" w:rsidRPr="00597EA5" w:rsidRDefault="00597EA5">
      <w:pPr>
        <w:ind w:left="1134"/>
        <w:rPr>
          <w:rFonts w:ascii="Arial" w:hAnsi="Arial" w:cs="Arial"/>
          <w:b/>
          <w:lang w:val="bg-BG"/>
        </w:rPr>
      </w:pPr>
    </w:p>
    <w:sectPr w:rsidR="00597EA5" w:rsidRPr="00597EA5" w:rsidSect="00E53FA9">
      <w:headerReference w:type="even" r:id="rId6"/>
      <w:headerReference w:type="default" r:id="rId7"/>
      <w:pgSz w:w="11906" w:h="16838" w:code="9"/>
      <w:pgMar w:top="567" w:right="1417" w:bottom="851" w:left="1417" w:header="1021"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A72B4" w14:textId="77777777" w:rsidR="00A16BBA" w:rsidRDefault="00A16BBA">
      <w:r>
        <w:separator/>
      </w:r>
    </w:p>
  </w:endnote>
  <w:endnote w:type="continuationSeparator" w:id="0">
    <w:p w14:paraId="0CC9E396" w14:textId="77777777" w:rsidR="00A16BBA" w:rsidRDefault="00A16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Heba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NewSaturionModernCyr">
    <w:altName w:val="Times New Roman"/>
    <w:charset w:val="00"/>
    <w:family w:val="roman"/>
    <w:pitch w:val="variable"/>
    <w:sig w:usb0="00000001" w:usb1="00000000" w:usb2="00000000" w:usb3="00000000" w:csb0="0000001F" w:csb1="00000000"/>
  </w:font>
  <w:font w:name="A4p">
    <w:altName w:val="Arial"/>
    <w:charset w:val="CC"/>
    <w:family w:val="swiss"/>
    <w:pitch w:val="variable"/>
    <w:sig w:usb0="00000287" w:usb1="00000000" w:usb2="00000000" w:usb3="00000000" w:csb0="0000009F" w:csb1="00000000"/>
  </w:font>
  <w:font w:name="HebarU">
    <w:altName w:val="Calibri"/>
    <w:charset w:val="00"/>
    <w:family w:val="auto"/>
    <w:pitch w:val="variable"/>
    <w:sig w:usb0="00000001" w:usb1="00000000" w:usb2="00000000" w:usb3="00000000" w:csb0="0000009F" w:csb1="00000000"/>
  </w:font>
  <w:font w:name="NewSaturionCyr">
    <w:altName w:val="Times New Roman"/>
    <w:charset w:val="00"/>
    <w:family w:val="roman"/>
    <w:pitch w:val="variable"/>
    <w:sig w:usb0="00000001" w:usb1="00000000" w:usb2="00000000" w:usb3="00000000" w:csb0="0000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2D321" w14:textId="77777777" w:rsidR="00A16BBA" w:rsidRDefault="00A16BBA">
      <w:r>
        <w:separator/>
      </w:r>
    </w:p>
  </w:footnote>
  <w:footnote w:type="continuationSeparator" w:id="0">
    <w:p w14:paraId="19C996D2" w14:textId="77777777" w:rsidR="00A16BBA" w:rsidRDefault="00A16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E7291" w14:textId="63E016EB" w:rsidR="00BF6DD0" w:rsidRDefault="00BF6DD0" w:rsidP="00BF6DD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1C2A">
      <w:rPr>
        <w:rStyle w:val="PageNumber"/>
        <w:noProof/>
      </w:rPr>
      <w:t>1</w:t>
    </w:r>
    <w:r>
      <w:rPr>
        <w:rStyle w:val="PageNumber"/>
      </w:rPr>
      <w:fldChar w:fldCharType="end"/>
    </w:r>
  </w:p>
  <w:p w14:paraId="48FE25DA" w14:textId="77777777" w:rsidR="00BF6DD0" w:rsidRDefault="00BF6D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FF1D" w14:textId="77777777" w:rsidR="00BF6DD0" w:rsidRPr="005763F1" w:rsidRDefault="00BF6DD0" w:rsidP="00BF6DD0">
    <w:pPr>
      <w:pStyle w:val="Header"/>
      <w:framePr w:wrap="around" w:vAnchor="text" w:hAnchor="margin" w:xAlign="center" w:y="1"/>
      <w:rPr>
        <w:rStyle w:val="PageNumber"/>
        <w:rFonts w:ascii="NewSaturionCyr" w:hAnsi="NewSaturionCyr"/>
      </w:rPr>
    </w:pPr>
    <w:r w:rsidRPr="005763F1">
      <w:rPr>
        <w:rStyle w:val="PageNumber"/>
        <w:rFonts w:ascii="NewSaturionCyr" w:hAnsi="NewSaturionCyr"/>
      </w:rPr>
      <w:fldChar w:fldCharType="begin"/>
    </w:r>
    <w:r w:rsidRPr="005763F1">
      <w:rPr>
        <w:rStyle w:val="PageNumber"/>
        <w:rFonts w:ascii="NewSaturionCyr" w:hAnsi="NewSaturionCyr"/>
      </w:rPr>
      <w:instrText xml:space="preserve">PAGE  </w:instrText>
    </w:r>
    <w:r w:rsidRPr="005763F1">
      <w:rPr>
        <w:rStyle w:val="PageNumber"/>
        <w:rFonts w:ascii="NewSaturionCyr" w:hAnsi="NewSaturionCyr"/>
      </w:rPr>
      <w:fldChar w:fldCharType="separate"/>
    </w:r>
    <w:r w:rsidR="002D4F09">
      <w:rPr>
        <w:rStyle w:val="PageNumber"/>
        <w:rFonts w:ascii="NewSaturionCyr" w:hAnsi="NewSaturionCyr"/>
        <w:noProof/>
      </w:rPr>
      <w:t>2</w:t>
    </w:r>
    <w:r w:rsidRPr="005763F1">
      <w:rPr>
        <w:rStyle w:val="PageNumber"/>
        <w:rFonts w:ascii="NewSaturionCyr" w:hAnsi="NewSaturionCyr"/>
      </w:rPr>
      <w:fldChar w:fldCharType="end"/>
    </w:r>
  </w:p>
  <w:p w14:paraId="6C46CEA1" w14:textId="77777777" w:rsidR="00A1006E" w:rsidRDefault="00A1006E">
    <w:pPr>
      <w:pStyle w:val="Header"/>
      <w:rPr>
        <w:rFonts w:ascii="Times New Roman" w:hAnsi="Times New Roman"/>
        <w:lang w:val="bg-BG"/>
      </w:rPr>
    </w:pPr>
  </w:p>
  <w:p w14:paraId="7371E12F" w14:textId="77777777" w:rsidR="00EE2BA6" w:rsidRDefault="00EE2BA6">
    <w:pPr>
      <w:pStyle w:val="Header"/>
      <w:rPr>
        <w:rFonts w:ascii="Times New Roman" w:hAnsi="Times New Roman"/>
        <w:lang w:val="bg-BG"/>
      </w:rPr>
    </w:pPr>
  </w:p>
  <w:p w14:paraId="72D8BB16" w14:textId="77777777" w:rsidR="00BF6DD0" w:rsidRDefault="00BF6DD0">
    <w:pPr>
      <w:pStyle w:val="Header"/>
      <w:rPr>
        <w:rFonts w:ascii="Times New Roman" w:hAnsi="Times New Roman"/>
        <w:lang w:val="bg-BG"/>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92"/>
    <w:rsid w:val="00002376"/>
    <w:rsid w:val="000107E8"/>
    <w:rsid w:val="00013631"/>
    <w:rsid w:val="00021FCE"/>
    <w:rsid w:val="0004228B"/>
    <w:rsid w:val="0006327C"/>
    <w:rsid w:val="00067840"/>
    <w:rsid w:val="000900B0"/>
    <w:rsid w:val="00092519"/>
    <w:rsid w:val="000A5A5D"/>
    <w:rsid w:val="000D1B48"/>
    <w:rsid w:val="000D7D10"/>
    <w:rsid w:val="000E0FD4"/>
    <w:rsid w:val="000E4F8B"/>
    <w:rsid w:val="001022B2"/>
    <w:rsid w:val="0012240E"/>
    <w:rsid w:val="0012445B"/>
    <w:rsid w:val="00125CCA"/>
    <w:rsid w:val="001376F5"/>
    <w:rsid w:val="00152094"/>
    <w:rsid w:val="00154A8D"/>
    <w:rsid w:val="00171E72"/>
    <w:rsid w:val="0017323F"/>
    <w:rsid w:val="00191DC5"/>
    <w:rsid w:val="00196159"/>
    <w:rsid w:val="00197ECB"/>
    <w:rsid w:val="001C50AA"/>
    <w:rsid w:val="00216388"/>
    <w:rsid w:val="002203F0"/>
    <w:rsid w:val="00226570"/>
    <w:rsid w:val="00227A73"/>
    <w:rsid w:val="002415EA"/>
    <w:rsid w:val="00252E84"/>
    <w:rsid w:val="00264BAE"/>
    <w:rsid w:val="0027415E"/>
    <w:rsid w:val="002757F0"/>
    <w:rsid w:val="00276539"/>
    <w:rsid w:val="00285C83"/>
    <w:rsid w:val="00294229"/>
    <w:rsid w:val="002A34AE"/>
    <w:rsid w:val="002B17FF"/>
    <w:rsid w:val="002C48A1"/>
    <w:rsid w:val="002D1FC8"/>
    <w:rsid w:val="002D3EAB"/>
    <w:rsid w:val="002D4F09"/>
    <w:rsid w:val="002D6CB7"/>
    <w:rsid w:val="002F5267"/>
    <w:rsid w:val="002F7150"/>
    <w:rsid w:val="00317204"/>
    <w:rsid w:val="003178F6"/>
    <w:rsid w:val="003209F0"/>
    <w:rsid w:val="00324215"/>
    <w:rsid w:val="00330479"/>
    <w:rsid w:val="00342898"/>
    <w:rsid w:val="00342A30"/>
    <w:rsid w:val="003439F5"/>
    <w:rsid w:val="00351B50"/>
    <w:rsid w:val="003679EE"/>
    <w:rsid w:val="00381D3A"/>
    <w:rsid w:val="00381ED3"/>
    <w:rsid w:val="00382499"/>
    <w:rsid w:val="003936C6"/>
    <w:rsid w:val="003A400D"/>
    <w:rsid w:val="003B35E1"/>
    <w:rsid w:val="003B3E9B"/>
    <w:rsid w:val="003B7E56"/>
    <w:rsid w:val="003C09E4"/>
    <w:rsid w:val="003C605A"/>
    <w:rsid w:val="003E0565"/>
    <w:rsid w:val="003E5FC1"/>
    <w:rsid w:val="0041576B"/>
    <w:rsid w:val="00426AA9"/>
    <w:rsid w:val="00436416"/>
    <w:rsid w:val="00444354"/>
    <w:rsid w:val="00464369"/>
    <w:rsid w:val="0046557D"/>
    <w:rsid w:val="00474D98"/>
    <w:rsid w:val="00477457"/>
    <w:rsid w:val="0048190C"/>
    <w:rsid w:val="00486748"/>
    <w:rsid w:val="00492697"/>
    <w:rsid w:val="00493252"/>
    <w:rsid w:val="00495CAA"/>
    <w:rsid w:val="004A748A"/>
    <w:rsid w:val="004A75DA"/>
    <w:rsid w:val="004B0AA8"/>
    <w:rsid w:val="004B2600"/>
    <w:rsid w:val="004B2CDC"/>
    <w:rsid w:val="004F05D9"/>
    <w:rsid w:val="004F61AF"/>
    <w:rsid w:val="005156CD"/>
    <w:rsid w:val="005215A3"/>
    <w:rsid w:val="005227EE"/>
    <w:rsid w:val="00531C93"/>
    <w:rsid w:val="005326F7"/>
    <w:rsid w:val="00534A47"/>
    <w:rsid w:val="00543779"/>
    <w:rsid w:val="00556C1F"/>
    <w:rsid w:val="00567A9A"/>
    <w:rsid w:val="00571D64"/>
    <w:rsid w:val="005763F1"/>
    <w:rsid w:val="005850DD"/>
    <w:rsid w:val="005866D4"/>
    <w:rsid w:val="00587E9E"/>
    <w:rsid w:val="00597EA5"/>
    <w:rsid w:val="005A2374"/>
    <w:rsid w:val="005B0879"/>
    <w:rsid w:val="005B65BD"/>
    <w:rsid w:val="005C05D8"/>
    <w:rsid w:val="005C3D2E"/>
    <w:rsid w:val="005C5DC0"/>
    <w:rsid w:val="005D496C"/>
    <w:rsid w:val="005F0028"/>
    <w:rsid w:val="005F25DA"/>
    <w:rsid w:val="00602070"/>
    <w:rsid w:val="006052C0"/>
    <w:rsid w:val="0061556D"/>
    <w:rsid w:val="0061713D"/>
    <w:rsid w:val="006201D7"/>
    <w:rsid w:val="00620D25"/>
    <w:rsid w:val="0062272A"/>
    <w:rsid w:val="006232FA"/>
    <w:rsid w:val="00623A61"/>
    <w:rsid w:val="0063297D"/>
    <w:rsid w:val="006379BD"/>
    <w:rsid w:val="00640603"/>
    <w:rsid w:val="0064254B"/>
    <w:rsid w:val="00644E50"/>
    <w:rsid w:val="00647707"/>
    <w:rsid w:val="006510AF"/>
    <w:rsid w:val="00656943"/>
    <w:rsid w:val="00661BFD"/>
    <w:rsid w:val="0066353A"/>
    <w:rsid w:val="00683DAE"/>
    <w:rsid w:val="00691DD2"/>
    <w:rsid w:val="00695182"/>
    <w:rsid w:val="0069784B"/>
    <w:rsid w:val="006B5080"/>
    <w:rsid w:val="006C0575"/>
    <w:rsid w:val="006C094E"/>
    <w:rsid w:val="006C221C"/>
    <w:rsid w:val="006C395B"/>
    <w:rsid w:val="006E02FB"/>
    <w:rsid w:val="006E0ADF"/>
    <w:rsid w:val="006E2499"/>
    <w:rsid w:val="006E7153"/>
    <w:rsid w:val="006F1FE2"/>
    <w:rsid w:val="007001C1"/>
    <w:rsid w:val="0074689D"/>
    <w:rsid w:val="00763AF6"/>
    <w:rsid w:val="007754A7"/>
    <w:rsid w:val="00776F6B"/>
    <w:rsid w:val="007813DB"/>
    <w:rsid w:val="007871EC"/>
    <w:rsid w:val="007A4EC2"/>
    <w:rsid w:val="007A5B6B"/>
    <w:rsid w:val="007B19A2"/>
    <w:rsid w:val="007B2F68"/>
    <w:rsid w:val="007B5C00"/>
    <w:rsid w:val="007B6C33"/>
    <w:rsid w:val="007C2EE5"/>
    <w:rsid w:val="007C673D"/>
    <w:rsid w:val="007D0760"/>
    <w:rsid w:val="007E2890"/>
    <w:rsid w:val="007F277B"/>
    <w:rsid w:val="007F2E0F"/>
    <w:rsid w:val="00802EFD"/>
    <w:rsid w:val="00814380"/>
    <w:rsid w:val="00821491"/>
    <w:rsid w:val="0082238E"/>
    <w:rsid w:val="00833158"/>
    <w:rsid w:val="0084141C"/>
    <w:rsid w:val="00857862"/>
    <w:rsid w:val="00861142"/>
    <w:rsid w:val="008650EE"/>
    <w:rsid w:val="00867D3D"/>
    <w:rsid w:val="0087019F"/>
    <w:rsid w:val="00873140"/>
    <w:rsid w:val="00882DB3"/>
    <w:rsid w:val="008B1500"/>
    <w:rsid w:val="008C3CA9"/>
    <w:rsid w:val="008C6302"/>
    <w:rsid w:val="008D2269"/>
    <w:rsid w:val="008D7D91"/>
    <w:rsid w:val="008F603A"/>
    <w:rsid w:val="00906F9F"/>
    <w:rsid w:val="00931FC1"/>
    <w:rsid w:val="0094723C"/>
    <w:rsid w:val="00951281"/>
    <w:rsid w:val="00960F80"/>
    <w:rsid w:val="00972151"/>
    <w:rsid w:val="00974CB1"/>
    <w:rsid w:val="00990EE3"/>
    <w:rsid w:val="009B0DC9"/>
    <w:rsid w:val="009C586E"/>
    <w:rsid w:val="009C5FA0"/>
    <w:rsid w:val="009C648A"/>
    <w:rsid w:val="009F3E15"/>
    <w:rsid w:val="009F3FF0"/>
    <w:rsid w:val="009F49ED"/>
    <w:rsid w:val="00A04226"/>
    <w:rsid w:val="00A04D4B"/>
    <w:rsid w:val="00A063E5"/>
    <w:rsid w:val="00A1006E"/>
    <w:rsid w:val="00A16BBA"/>
    <w:rsid w:val="00A35770"/>
    <w:rsid w:val="00A54B49"/>
    <w:rsid w:val="00A55176"/>
    <w:rsid w:val="00A74CE1"/>
    <w:rsid w:val="00A80729"/>
    <w:rsid w:val="00A85B22"/>
    <w:rsid w:val="00A94062"/>
    <w:rsid w:val="00AA1C46"/>
    <w:rsid w:val="00AB3FB8"/>
    <w:rsid w:val="00AB3FD7"/>
    <w:rsid w:val="00AC0784"/>
    <w:rsid w:val="00AD095F"/>
    <w:rsid w:val="00AD318C"/>
    <w:rsid w:val="00AE2DE6"/>
    <w:rsid w:val="00AE3D48"/>
    <w:rsid w:val="00B11989"/>
    <w:rsid w:val="00B11B93"/>
    <w:rsid w:val="00B1764A"/>
    <w:rsid w:val="00B26240"/>
    <w:rsid w:val="00B2692D"/>
    <w:rsid w:val="00B42829"/>
    <w:rsid w:val="00B6268D"/>
    <w:rsid w:val="00B87109"/>
    <w:rsid w:val="00B907F8"/>
    <w:rsid w:val="00BB5CC5"/>
    <w:rsid w:val="00BC41D2"/>
    <w:rsid w:val="00BE219E"/>
    <w:rsid w:val="00BE443F"/>
    <w:rsid w:val="00BE78D2"/>
    <w:rsid w:val="00BF6DD0"/>
    <w:rsid w:val="00C013F7"/>
    <w:rsid w:val="00C26636"/>
    <w:rsid w:val="00C31898"/>
    <w:rsid w:val="00C32007"/>
    <w:rsid w:val="00C32792"/>
    <w:rsid w:val="00C340AF"/>
    <w:rsid w:val="00C36C74"/>
    <w:rsid w:val="00C37E17"/>
    <w:rsid w:val="00C54D9E"/>
    <w:rsid w:val="00C67F78"/>
    <w:rsid w:val="00C76030"/>
    <w:rsid w:val="00CA55CB"/>
    <w:rsid w:val="00CA635E"/>
    <w:rsid w:val="00CB498E"/>
    <w:rsid w:val="00CB6660"/>
    <w:rsid w:val="00CB7ECE"/>
    <w:rsid w:val="00CD3E96"/>
    <w:rsid w:val="00CD7E3B"/>
    <w:rsid w:val="00CE6258"/>
    <w:rsid w:val="00CF3DED"/>
    <w:rsid w:val="00D0293D"/>
    <w:rsid w:val="00D07D52"/>
    <w:rsid w:val="00D16E50"/>
    <w:rsid w:val="00D24537"/>
    <w:rsid w:val="00D36324"/>
    <w:rsid w:val="00D36EA5"/>
    <w:rsid w:val="00D541F7"/>
    <w:rsid w:val="00D577F6"/>
    <w:rsid w:val="00D64005"/>
    <w:rsid w:val="00D706BF"/>
    <w:rsid w:val="00D72FA1"/>
    <w:rsid w:val="00D77612"/>
    <w:rsid w:val="00DA3660"/>
    <w:rsid w:val="00DB6DFC"/>
    <w:rsid w:val="00DC6623"/>
    <w:rsid w:val="00DD3B8A"/>
    <w:rsid w:val="00DD5D3C"/>
    <w:rsid w:val="00DD65D6"/>
    <w:rsid w:val="00DF44E4"/>
    <w:rsid w:val="00E06857"/>
    <w:rsid w:val="00E12BDF"/>
    <w:rsid w:val="00E1617C"/>
    <w:rsid w:val="00E22D77"/>
    <w:rsid w:val="00E27170"/>
    <w:rsid w:val="00E27CD2"/>
    <w:rsid w:val="00E4091B"/>
    <w:rsid w:val="00E4148B"/>
    <w:rsid w:val="00E52861"/>
    <w:rsid w:val="00E53FA9"/>
    <w:rsid w:val="00E559D6"/>
    <w:rsid w:val="00E73264"/>
    <w:rsid w:val="00E81695"/>
    <w:rsid w:val="00E8632C"/>
    <w:rsid w:val="00E92561"/>
    <w:rsid w:val="00E93D38"/>
    <w:rsid w:val="00EB3DE8"/>
    <w:rsid w:val="00EC1D81"/>
    <w:rsid w:val="00EC4717"/>
    <w:rsid w:val="00EC79BB"/>
    <w:rsid w:val="00ED2ED2"/>
    <w:rsid w:val="00ED33EA"/>
    <w:rsid w:val="00ED554F"/>
    <w:rsid w:val="00EE1225"/>
    <w:rsid w:val="00EE2BA6"/>
    <w:rsid w:val="00F02FD2"/>
    <w:rsid w:val="00F22A8B"/>
    <w:rsid w:val="00F33064"/>
    <w:rsid w:val="00F43D91"/>
    <w:rsid w:val="00F5141D"/>
    <w:rsid w:val="00F55AAE"/>
    <w:rsid w:val="00F569AB"/>
    <w:rsid w:val="00F6574E"/>
    <w:rsid w:val="00F67D0A"/>
    <w:rsid w:val="00F76DDC"/>
    <w:rsid w:val="00F95C17"/>
    <w:rsid w:val="00F96A56"/>
    <w:rsid w:val="00FA3A10"/>
    <w:rsid w:val="00FC11F3"/>
    <w:rsid w:val="00FD000C"/>
    <w:rsid w:val="00FE1C2A"/>
    <w:rsid w:val="00FE4260"/>
    <w:rsid w:val="00FE4818"/>
    <w:rsid w:val="00FE5FAE"/>
    <w:rsid w:val="00FF221B"/>
    <w:rsid w:val="00FF3892"/>
    <w:rsid w:val="00FF624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FF592"/>
  <w15:chartTrackingRefBased/>
  <w15:docId w15:val="{13B4584B-1576-4C49-991F-DCFD4DC1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GB" w:eastAsia="en-US"/>
    </w:rPr>
  </w:style>
  <w:style w:type="paragraph" w:styleId="Heading1">
    <w:name w:val="heading 1"/>
    <w:basedOn w:val="Normal"/>
    <w:next w:val="Normal"/>
    <w:qFormat/>
    <w:pPr>
      <w:keepNext/>
      <w:widowControl w:val="0"/>
      <w:spacing w:line="280" w:lineRule="atLeast"/>
      <w:jc w:val="center"/>
      <w:outlineLvl w:val="0"/>
    </w:pPr>
    <w:rPr>
      <w:rFonts w:ascii="Arial" w:hAnsi="Arial"/>
      <w:b/>
      <w:lang w:val="en-US"/>
    </w:rPr>
  </w:style>
  <w:style w:type="paragraph" w:styleId="Heading2">
    <w:name w:val="heading 2"/>
    <w:basedOn w:val="Normal"/>
    <w:next w:val="Normal"/>
    <w:qFormat/>
    <w:pPr>
      <w:keepNext/>
      <w:jc w:val="right"/>
      <w:outlineLvl w:val="1"/>
    </w:pPr>
    <w:rPr>
      <w:rFonts w:ascii="NewSaturionModernCyr" w:hAnsi="NewSaturionModernCyr"/>
      <w:b/>
      <w:lang w:val="bg-BG"/>
    </w:rPr>
  </w:style>
  <w:style w:type="paragraph" w:styleId="Heading3">
    <w:name w:val="heading 3"/>
    <w:basedOn w:val="Normal"/>
    <w:next w:val="Normal"/>
    <w:qFormat/>
    <w:pPr>
      <w:keepNext/>
      <w:ind w:firstLine="720"/>
      <w:jc w:val="both"/>
      <w:outlineLvl w:val="2"/>
    </w:pPr>
    <w:rPr>
      <w:rFonts w:ascii="Times New Roman" w:hAnsi="Times New Roman"/>
      <w:b/>
      <w:sz w:val="28"/>
      <w:lang w:val="bg-BG"/>
    </w:rPr>
  </w:style>
  <w:style w:type="paragraph" w:styleId="Heading4">
    <w:name w:val="heading 4"/>
    <w:basedOn w:val="Normal"/>
    <w:next w:val="Normal"/>
    <w:qFormat/>
    <w:pPr>
      <w:keepNext/>
      <w:jc w:val="center"/>
      <w:outlineLvl w:val="3"/>
    </w:pPr>
    <w:rPr>
      <w:rFonts w:ascii="Times New Roman" w:hAnsi="Times New Roman"/>
      <w:b/>
      <w:sz w:val="28"/>
      <w:lang w:val="bg-BG"/>
    </w:rPr>
  </w:style>
  <w:style w:type="paragraph" w:styleId="Heading5">
    <w:name w:val="heading 5"/>
    <w:basedOn w:val="Normal"/>
    <w:next w:val="Normal"/>
    <w:qFormat/>
    <w:pPr>
      <w:keepNext/>
      <w:jc w:val="both"/>
      <w:outlineLvl w:val="4"/>
    </w:pPr>
    <w:rPr>
      <w:rFonts w:ascii="A4p" w:hAnsi="A4p"/>
      <w:b/>
      <w:lang w:val="bg-BG"/>
    </w:rPr>
  </w:style>
  <w:style w:type="paragraph" w:styleId="Heading9">
    <w:name w:val="heading 9"/>
    <w:basedOn w:val="Normal"/>
    <w:next w:val="Normal"/>
    <w:qFormat/>
    <w:pPr>
      <w:keepNext/>
      <w:outlineLvl w:val="8"/>
    </w:pPr>
    <w:rPr>
      <w:rFonts w:ascii="Times New Roman" w:hAnsi="Times New Roman"/>
      <w:sz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spacing w:line="280" w:lineRule="atLeast"/>
      <w:jc w:val="both"/>
    </w:pPr>
    <w:rPr>
      <w:rFonts w:ascii="Arial" w:hAnsi="Arial"/>
      <w:lang w:val="en-US"/>
    </w:rPr>
  </w:style>
  <w:style w:type="paragraph" w:styleId="Title">
    <w:name w:val="Title"/>
    <w:basedOn w:val="Normal"/>
    <w:qFormat/>
    <w:pPr>
      <w:jc w:val="center"/>
    </w:pPr>
    <w:rPr>
      <w:rFonts w:ascii="NewSaturionModernCyr" w:hAnsi="NewSaturionModernCyr"/>
      <w:b/>
      <w:spacing w:val="50"/>
      <w:sz w:val="22"/>
    </w:rPr>
  </w:style>
  <w:style w:type="paragraph" w:styleId="BodyTextIndent2">
    <w:name w:val="Body Text Indent 2"/>
    <w:basedOn w:val="Normal"/>
    <w:pPr>
      <w:ind w:left="1170" w:hanging="450"/>
      <w:jc w:val="both"/>
    </w:pPr>
    <w:rPr>
      <w:rFonts w:ascii="Arial" w:hAnsi="Arial"/>
      <w:sz w:val="20"/>
      <w:lang w:val="bg-BG"/>
    </w:rPr>
  </w:style>
  <w:style w:type="paragraph" w:styleId="BodyTextIndent">
    <w:name w:val="Body Text Indent"/>
    <w:basedOn w:val="Normal"/>
    <w:pPr>
      <w:spacing w:before="120"/>
      <w:ind w:firstLine="1134"/>
      <w:jc w:val="both"/>
    </w:pPr>
    <w:rPr>
      <w:rFonts w:ascii="HebarU" w:hAnsi="HebarU"/>
      <w:lang w:val="bg-BG"/>
    </w:rPr>
  </w:style>
  <w:style w:type="paragraph" w:styleId="BodyText2">
    <w:name w:val="Body Text 2"/>
    <w:basedOn w:val="Normal"/>
    <w:pPr>
      <w:jc w:val="center"/>
    </w:pPr>
    <w:rPr>
      <w:rFonts w:ascii="Times New Roman" w:hAnsi="Times New Roman"/>
      <w:spacing w:val="40"/>
      <w:lang w:val="bg-BG"/>
    </w:rPr>
  </w:style>
  <w:style w:type="paragraph" w:styleId="BodyText3">
    <w:name w:val="Body Text 3"/>
    <w:basedOn w:val="Normal"/>
    <w:pPr>
      <w:spacing w:before="120"/>
      <w:jc w:val="center"/>
    </w:pPr>
    <w:rPr>
      <w:rFonts w:ascii="HebarU" w:hAnsi="HebarU"/>
      <w:b/>
      <w:lang w:val="bg-BG"/>
    </w:rPr>
  </w:style>
  <w:style w:type="paragraph" w:styleId="BlockText">
    <w:name w:val="Block Text"/>
    <w:basedOn w:val="Normal"/>
    <w:pPr>
      <w:keepLines/>
      <w:ind w:left="57" w:right="57"/>
    </w:pPr>
    <w:rPr>
      <w:rFonts w:ascii="Times New Roman" w:hAnsi="Times New Roman"/>
      <w:lang w:val="bg-BG"/>
    </w:rPr>
  </w:style>
  <w:style w:type="paragraph" w:styleId="BodyTextIndent3">
    <w:name w:val="Body Text Indent 3"/>
    <w:basedOn w:val="Normal"/>
    <w:pPr>
      <w:ind w:left="420"/>
      <w:jc w:val="both"/>
    </w:pPr>
    <w:rPr>
      <w:rFonts w:ascii="Times New Roman" w:hAnsi="Times New Roman"/>
      <w:i/>
      <w:sz w:val="28"/>
      <w:lang w:val="bg-BG"/>
    </w:rPr>
  </w:style>
  <w:style w:type="paragraph" w:styleId="List2">
    <w:name w:val="List 2"/>
    <w:basedOn w:val="Normal"/>
    <w:pPr>
      <w:overflowPunct w:val="0"/>
      <w:autoSpaceDE w:val="0"/>
      <w:autoSpaceDN w:val="0"/>
      <w:adjustRightInd w:val="0"/>
      <w:ind w:left="283" w:hanging="283"/>
      <w:textAlignment w:val="baseline"/>
    </w:pPr>
    <w:rPr>
      <w:rFonts w:ascii="Times New Roman" w:hAnsi="Times New Roman"/>
      <w:lang w:val="en-AU"/>
    </w:rPr>
  </w:style>
  <w:style w:type="table" w:styleId="TableGrid">
    <w:name w:val="Table Grid"/>
    <w:basedOn w:val="TableNormal"/>
    <w:rsid w:val="005B6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4689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
    <w:name w:val="Style"/>
    <w:rsid w:val="00776F6B"/>
    <w:pPr>
      <w:autoSpaceDE w:val="0"/>
      <w:autoSpaceDN w:val="0"/>
      <w:adjustRightInd w:val="0"/>
      <w:ind w:left="140" w:right="140" w:firstLine="840"/>
      <w:jc w:val="both"/>
    </w:pPr>
    <w:rPr>
      <w:sz w:val="24"/>
      <w:szCs w:val="24"/>
    </w:rPr>
  </w:style>
  <w:style w:type="paragraph" w:customStyle="1" w:styleId="Web1">
    <w:name w:val="Нормален (Web)1"/>
    <w:basedOn w:val="Normal"/>
    <w:rsid w:val="003C605A"/>
    <w:rPr>
      <w:rFonts w:ascii="Times New Roman" w:hAnsi="Times New Roman"/>
      <w:szCs w:val="24"/>
      <w:lang w:val="bg-BG" w:eastAsia="bg-BG"/>
    </w:rPr>
  </w:style>
  <w:style w:type="character" w:customStyle="1" w:styleId="samedocreference1">
    <w:name w:val="samedocreference1"/>
    <w:rsid w:val="003C605A"/>
    <w:rPr>
      <w:b w:val="0"/>
      <w:bCs w:val="0"/>
      <w:i w:val="0"/>
      <w:iCs w:val="0"/>
      <w:color w:val="8B0000"/>
      <w:sz w:val="24"/>
      <w:szCs w:val="24"/>
      <w:u w:val="single"/>
    </w:rPr>
  </w:style>
  <w:style w:type="character" w:customStyle="1" w:styleId="historyitemselected1">
    <w:name w:val="historyitemselected1"/>
    <w:rsid w:val="003C605A"/>
    <w:rPr>
      <w:b/>
      <w:bCs/>
      <w:i/>
      <w:iCs/>
      <w:color w:val="0086C6"/>
      <w:sz w:val="24"/>
      <w:szCs w:val="24"/>
    </w:rPr>
  </w:style>
  <w:style w:type="paragraph" w:styleId="ListParagraph">
    <w:name w:val="List Paragraph"/>
    <w:basedOn w:val="Normal"/>
    <w:qFormat/>
    <w:rsid w:val="003209F0"/>
    <w:pPr>
      <w:widowControl w:val="0"/>
      <w:autoSpaceDE w:val="0"/>
      <w:autoSpaceDN w:val="0"/>
      <w:adjustRightInd w:val="0"/>
      <w:ind w:left="720"/>
      <w:contextualSpacing/>
    </w:pPr>
    <w:rPr>
      <w:rFonts w:ascii="Times New Roman" w:hAnsi="Times New Roman"/>
      <w:sz w:val="20"/>
      <w:lang w:val="en-US" w:eastAsia="bg-BG" w:bidi="my-MM"/>
    </w:rPr>
  </w:style>
  <w:style w:type="character" w:customStyle="1" w:styleId="newdocreference5">
    <w:name w:val="newdocreference5"/>
    <w:rsid w:val="003209F0"/>
    <w:rPr>
      <w:b w:val="0"/>
      <w:bCs w:val="0"/>
      <w:i w:val="0"/>
      <w:iCs w:val="0"/>
      <w:color w:val="0000FF"/>
      <w:sz w:val="24"/>
      <w:szCs w:val="24"/>
      <w:u w:val="single"/>
    </w:rPr>
  </w:style>
  <w:style w:type="paragraph" w:styleId="NormalWeb">
    <w:name w:val="Normal (Web)"/>
    <w:basedOn w:val="Normal"/>
    <w:rsid w:val="00972151"/>
    <w:pPr>
      <w:spacing w:before="100" w:beforeAutospacing="1" w:after="100" w:afterAutospacing="1"/>
    </w:pPr>
    <w:rPr>
      <w:rFonts w:ascii="Times New Roman" w:hAnsi="Times New Roman"/>
      <w:szCs w:val="24"/>
      <w:lang w:val="bg-BG" w:eastAsia="bg-BG"/>
    </w:rPr>
  </w:style>
  <w:style w:type="paragraph" w:styleId="Subtitle">
    <w:name w:val="Subtitle"/>
    <w:basedOn w:val="Normal"/>
    <w:link w:val="SubtitleChar"/>
    <w:qFormat/>
    <w:rsid w:val="00972151"/>
    <w:pPr>
      <w:tabs>
        <w:tab w:val="left" w:pos="567"/>
        <w:tab w:val="left" w:pos="1134"/>
        <w:tab w:val="left" w:pos="1701"/>
        <w:tab w:val="left" w:pos="2268"/>
        <w:tab w:val="left" w:pos="6237"/>
      </w:tabs>
      <w:spacing w:line="288" w:lineRule="auto"/>
      <w:jc w:val="center"/>
    </w:pPr>
    <w:rPr>
      <w:rFonts w:ascii="Times New Roman" w:hAnsi="Times New Roman"/>
      <w:u w:val="single"/>
      <w:lang w:val="ru-RU"/>
    </w:rPr>
  </w:style>
  <w:style w:type="character" w:customStyle="1" w:styleId="SubtitleChar">
    <w:name w:val="Subtitle Char"/>
    <w:link w:val="Subtitle"/>
    <w:locked/>
    <w:rsid w:val="00972151"/>
    <w:rPr>
      <w:sz w:val="24"/>
      <w:u w:val="single"/>
      <w:lang w:val="ru-RU" w:eastAsia="en-US" w:bidi="ar-SA"/>
    </w:rPr>
  </w:style>
  <w:style w:type="character" w:styleId="Hyperlink">
    <w:name w:val="Hyperlink"/>
    <w:rsid w:val="00FF22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6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2666</Words>
  <Characters>14535</Characters>
  <Application>Microsoft Office Word</Application>
  <DocSecurity>0</DocSecurity>
  <Lines>121</Lines>
  <Paragraphs>34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Р Е П У Б Л И К А   Б Ъ Л Г А Р И Я</vt:lpstr>
      <vt:lpstr>Р Е П У Б Л И К А   Б Ъ Л Г А Р И Я</vt:lpstr>
    </vt:vector>
  </TitlesOfParts>
  <Company>Counsil of Ministers</Company>
  <LinksUpToDate>false</LinksUpToDate>
  <CharactersWithSpaces>17167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neli</dc:creator>
  <cp:keywords/>
  <dc:description/>
  <cp:lastModifiedBy>Мария Любомирова Карагьозова</cp:lastModifiedBy>
  <cp:revision>2</cp:revision>
  <cp:lastPrinted>2026-01-28T14:15:00Z</cp:lastPrinted>
  <dcterms:created xsi:type="dcterms:W3CDTF">2026-01-29T11:24:00Z</dcterms:created>
  <dcterms:modified xsi:type="dcterms:W3CDTF">2026-01-29T11:24:00Z</dcterms:modified>
</cp:coreProperties>
</file>