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0015" w14:textId="453AA974" w:rsidR="00606A3E" w:rsidRPr="00606A3E" w:rsidRDefault="00DB38C7" w:rsidP="00606A3E">
      <w:pPr>
        <w:shd w:val="clear" w:color="auto" w:fill="00B05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230AD">
        <w:rPr>
          <w:rFonts w:ascii="Times New Roman" w:hAnsi="Times New Roman" w:cs="Times New Roman"/>
          <w:b/>
          <w:sz w:val="28"/>
          <w:szCs w:val="28"/>
          <w:lang w:val="bg-BG"/>
        </w:rPr>
        <w:t>НАЦ</w:t>
      </w:r>
      <w:r w:rsidR="0078211B" w:rsidRPr="00C230AD">
        <w:rPr>
          <w:rFonts w:ascii="Times New Roman" w:hAnsi="Times New Roman" w:cs="Times New Roman"/>
          <w:b/>
          <w:sz w:val="28"/>
          <w:szCs w:val="28"/>
          <w:lang w:val="bg-BG"/>
        </w:rPr>
        <w:t>ИОНАЛНА ПРОГРАМА З</w:t>
      </w:r>
      <w:r w:rsidRPr="00C230AD">
        <w:rPr>
          <w:rFonts w:ascii="Times New Roman" w:hAnsi="Times New Roman" w:cs="Times New Roman"/>
          <w:b/>
          <w:sz w:val="28"/>
          <w:szCs w:val="28"/>
          <w:lang w:val="bg-BG"/>
        </w:rPr>
        <w:t>А МЛАДЕЖТА (2026-2030)</w:t>
      </w:r>
    </w:p>
    <w:p w14:paraId="17FB9DF4" w14:textId="77777777" w:rsidR="00606A3E" w:rsidRDefault="00606A3E" w:rsidP="00B9444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FF76C2E" w14:textId="09B8F780" w:rsidR="00DB38C7" w:rsidRPr="00C230AD" w:rsidRDefault="00BE3DB2" w:rsidP="00B9444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230AD">
        <w:rPr>
          <w:rFonts w:ascii="Times New Roman" w:hAnsi="Times New Roman" w:cs="Times New Roman"/>
          <w:b/>
          <w:sz w:val="24"/>
          <w:szCs w:val="24"/>
          <w:lang w:val="bg-BG"/>
        </w:rPr>
        <w:t>I. ОБЩИ ПОЛОЖЕНИЯ. ПРИОРИТЕТИ И ЦЕЛИ НА ПРОГРАМАТА</w:t>
      </w:r>
    </w:p>
    <w:p w14:paraId="41FDF993" w14:textId="77777777" w:rsidR="00525F84" w:rsidRP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E3DB2" w:rsidRPr="00DE4337">
        <w:rPr>
          <w:rFonts w:ascii="Times New Roman" w:hAnsi="Times New Roman" w:cs="Times New Roman"/>
          <w:color w:val="auto"/>
          <w:sz w:val="24"/>
          <w:szCs w:val="24"/>
        </w:rPr>
        <w:t>Законът за младежта дефинира държавната политика за младежта като целенасочена и последователна дейност на държавата, общините, младежките организации и обществото, която има за цел създаване на благоприятни условия за пълноценно личностно развитие на младежите и участието им в обществения и икономическия живот, както и приобщаването им в управлението на местно, областно и национално ниво чрез дейности, насърчаващи развитието на младежите в страната.</w:t>
      </w:r>
    </w:p>
    <w:p w14:paraId="475C6693" w14:textId="7DB02754" w:rsidR="005B7086" w:rsidRP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този контекст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, на национално ниво политиките за младите хора се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разработват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и реализират с цел подобряване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 на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качеството на живот и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създаването на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условията за успе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шна и пълноценна реализация на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всеки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 млад човек. Това се постига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чрез устойчиви механизми за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целенасочено инвестиране в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младежите като значим социален капитал и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чрез насърчаване активното ползване на техния потенциал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развитието и просперитета на страната ни.</w:t>
      </w:r>
    </w:p>
    <w:p w14:paraId="3ED7FE01" w14:textId="3DFE9A98" w:rsidR="002F5144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Националната програма за младежта (2026–2030)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, наричана за </w:t>
      </w:r>
      <w:r w:rsidR="00C15B6E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раткост „Програмата“,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е разработена като инструмент за пра</w:t>
      </w:r>
      <w:r w:rsidR="0085230A">
        <w:rPr>
          <w:rFonts w:ascii="Times New Roman" w:hAnsi="Times New Roman" w:cs="Times New Roman"/>
          <w:color w:val="auto"/>
          <w:sz w:val="24"/>
          <w:szCs w:val="24"/>
        </w:rPr>
        <w:t xml:space="preserve">ктическо изпълнение на целите и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приоритетите на Националната стратегия за младежта (2021–2030), която дефинира младежката политика като хоризонтална и междусекторна. В съответствие със стратегическата рамка Програмата отчита, че секторните политики в области като образование, заетост, здравеопазване, култура, социално включване, околна среда, регионално развитие, дигитализация и иновации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 и др.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имат пряко отражение върху живота и развитието на младите хора. Чрез заложените тематични области и механизми за финансиране</w:t>
      </w:r>
      <w:r w:rsidR="0085230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5B6E">
        <w:rPr>
          <w:rFonts w:ascii="Times New Roman" w:hAnsi="Times New Roman" w:cs="Times New Roman"/>
          <w:color w:val="auto"/>
          <w:sz w:val="24"/>
          <w:szCs w:val="24"/>
        </w:rPr>
        <w:t>Програмата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осигурява координирано и целенасочено пр</w:t>
      </w:r>
      <w:r w:rsidR="0085230A">
        <w:rPr>
          <w:rFonts w:ascii="Times New Roman" w:hAnsi="Times New Roman" w:cs="Times New Roman"/>
          <w:color w:val="auto"/>
          <w:sz w:val="24"/>
          <w:szCs w:val="24"/>
        </w:rPr>
        <w:t>илагане на стратегическите цели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като създава условия за отчитане на потребностите и интересите на младите хора</w:t>
      </w:r>
      <w:r w:rsidR="003B0AE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 w:rsidR="0085230A">
        <w:rPr>
          <w:rFonts w:ascii="Times New Roman" w:hAnsi="Times New Roman" w:cs="Times New Roman"/>
          <w:color w:val="auto"/>
          <w:sz w:val="24"/>
          <w:szCs w:val="24"/>
        </w:rPr>
        <w:t xml:space="preserve">Програмата насърчава </w:t>
      </w:r>
      <w:r w:rsidR="005B7086" w:rsidRPr="00C87586">
        <w:rPr>
          <w:rFonts w:ascii="Times New Roman" w:hAnsi="Times New Roman" w:cs="Times New Roman"/>
          <w:color w:val="auto"/>
          <w:sz w:val="24"/>
          <w:szCs w:val="24"/>
        </w:rPr>
        <w:t xml:space="preserve">ефективно взаимодействие между институциите на национално, регионално и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местно ниво и останалите заинтересовани страни в младежкия сектор.</w:t>
      </w:r>
    </w:p>
    <w:p w14:paraId="7F3835B7" w14:textId="2C61D4BE" w:rsidR="005B7086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C15B6E">
        <w:rPr>
          <w:rFonts w:ascii="Times New Roman" w:hAnsi="Times New Roman" w:cs="Times New Roman"/>
          <w:color w:val="auto"/>
          <w:sz w:val="24"/>
          <w:szCs w:val="24"/>
        </w:rPr>
        <w:t>Програмата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е един от основните инструменти, чрез които Министерството на младежта и спорта осъществява държавната политика за младежта на територията на Република България. Програмата е разработена в отговор на динамично променящите се социални, икономически и технологични процеси, които оказват пряко въздействие върху живота и развитието на младите хора</w:t>
      </w:r>
      <w:r w:rsidR="007B14F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B14F9" w:rsidRPr="00C8758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5B7086" w:rsidRPr="00C87586">
        <w:rPr>
          <w:rFonts w:ascii="Times New Roman" w:hAnsi="Times New Roman" w:cs="Times New Roman"/>
          <w:color w:val="auto"/>
          <w:sz w:val="24"/>
          <w:szCs w:val="24"/>
        </w:rPr>
        <w:t xml:space="preserve">ейният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основен фокус е създаването на подкрепяща и насърчаваща среда за тяхното личностно, социално и професиона</w:t>
      </w:r>
      <w:r>
        <w:rPr>
          <w:rFonts w:ascii="Times New Roman" w:hAnsi="Times New Roman" w:cs="Times New Roman"/>
          <w:color w:val="auto"/>
          <w:sz w:val="24"/>
          <w:szCs w:val="24"/>
        </w:rPr>
        <w:t>лно развитие.</w:t>
      </w:r>
    </w:p>
    <w:p w14:paraId="463D8E25" w14:textId="3FC0DA1A" w:rsidR="00845999" w:rsidRPr="00DE4337" w:rsidRDefault="00845999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допълнение</w:t>
      </w:r>
      <w:r w:rsidR="00A80BE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Програмата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създава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условия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укрепване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капацитета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младежките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организации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като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ключови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партньори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разработването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прилагането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lastRenderedPageBreak/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младежките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политики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Чрез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подкрепа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организационно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развитие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повишаване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експертния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потенциал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насърчаване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устойчиви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партньорства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създават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предпоставки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ефективно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планиране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изпълнение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дейности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отговор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реалните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потребности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хора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този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начин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засилва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ролята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младежките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организации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активно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включване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хора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включително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тези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42EB">
        <w:rPr>
          <w:rFonts w:ascii="Times New Roman" w:hAnsi="Times New Roman" w:cs="Times New Roman" w:hint="cs"/>
          <w:color w:val="auto"/>
          <w:sz w:val="24"/>
          <w:szCs w:val="24"/>
        </w:rPr>
        <w:t>от групата NEETs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обществения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живот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процесите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вземане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решения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272E170" w14:textId="5A45A73B" w:rsidR="00A80BEF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Програмата е насочена към подобряване качеството на живот и пълноценната реализация на младите хора чрез прилагане на устойчиви и гъвкави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 xml:space="preserve"> инструменти за развитие на техния потенциал. Младите хора се разглеждат като ключов фактор за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социално-икономическото развитие на страната в контекста на членството на Република България в Европейския съюз. </w:t>
      </w:r>
    </w:p>
    <w:p w14:paraId="2A71A704" w14:textId="4A2CC448" w:rsidR="005B7086" w:rsidRPr="00DE4337" w:rsidRDefault="005B7086" w:rsidP="00A80BEF">
      <w:pPr>
        <w:pStyle w:val="Normal1"/>
        <w:tabs>
          <w:tab w:val="left" w:pos="851"/>
        </w:tabs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На национално ниво Програмата е в пълно съответствие с целите и приоритетите на Националната стратегия за младежта (2021–2030) и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служи като основен механизъм</w:t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за 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нейното изпълнение, отчитайки</w:t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хоризо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нталния и междусектор</w:t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845999">
        <w:rPr>
          <w:rFonts w:ascii="Times New Roman" w:hAnsi="Times New Roman" w:cs="Times New Roman"/>
          <w:color w:val="auto"/>
          <w:sz w:val="24"/>
          <w:szCs w:val="24"/>
        </w:rPr>
        <w:t>ия</w:t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характер на младежката политика.</w:t>
      </w:r>
    </w:p>
    <w:p w14:paraId="65210FE7" w14:textId="4E967212" w:rsidR="005B7086" w:rsidRPr="00DE4337" w:rsidRDefault="00845999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85230A">
        <w:rPr>
          <w:rFonts w:ascii="Times New Roman" w:hAnsi="Times New Roman" w:cs="Times New Roman"/>
          <w:color w:val="auto"/>
          <w:sz w:val="24"/>
          <w:szCs w:val="24"/>
        </w:rPr>
        <w:t xml:space="preserve">При разработването </w:t>
      </w:r>
      <w:r w:rsidR="00AF65DC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AF65DC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са взети предвид изводите и препоръките от анализите и оценките на прилаганите до момента механизми за планиране, мониторинг и отчитане на младежките политики, както и натрупаният институционален и секторен опит. В този смисъл Програмата надгражда постигнатите резултати и въвежда нови тематични приоритети и подходи, насочени към по-ефективно и целенасочено въздействие върху ключови предизвикателства пред младите хора.</w:t>
      </w:r>
    </w:p>
    <w:p w14:paraId="406C0DC0" w14:textId="50D51957" w:rsidR="005B7086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Програмата е съобразена и с рамката на Стратегията на Европейския съюз за младежта (2019–2027), която очертава общата визия и европейските цели за младежта, свързани с овластяването, участието и приобщаването на младите хора. </w:t>
      </w:r>
      <w:r w:rsidR="00AC1245">
        <w:rPr>
          <w:rFonts w:ascii="Times New Roman" w:hAnsi="Times New Roman" w:cs="Times New Roman"/>
          <w:color w:val="auto"/>
          <w:sz w:val="24"/>
          <w:szCs w:val="24"/>
        </w:rPr>
        <w:t xml:space="preserve">Програмата взема предвид и стратегическата рамка на Съвета на Европа, чиито тематични приоритети са свързани със съживяване на плуралистичната демокрация, достъп на младите хора до права, живот в мирни и приобщаващи общества и младежка работа. 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>Въпреки че тези цели не са правно обвързващи, те представляват важна референтна рамка при формира</w:t>
      </w:r>
      <w:r w:rsidR="00802F21">
        <w:rPr>
          <w:rFonts w:ascii="Times New Roman" w:hAnsi="Times New Roman" w:cs="Times New Roman"/>
          <w:color w:val="auto"/>
          <w:sz w:val="24"/>
          <w:szCs w:val="24"/>
        </w:rPr>
        <w:t>нето на националните приоритети</w:t>
      </w:r>
      <w:r w:rsidR="005B7086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като допринасят за съгласуваността на младежката политика в България с европейските ценности и стратегически насоки.</w:t>
      </w:r>
    </w:p>
    <w:p w14:paraId="20AD5C1A" w14:textId="3F409379" w:rsidR="00845999" w:rsidRDefault="00845999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международен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план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контекста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процеса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присъединяване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Република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България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към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Организацията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икономическо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сътрудничество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развитие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ОИСР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Програмата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съответствие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Препоръката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ОИСР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осигуряване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добри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възможности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хора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която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подчертава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необходимостта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от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цялостни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координирани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ориентирани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към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резултати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младежки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политики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този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смисъл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Програмата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допринася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разширяване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възможностите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развитие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участие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реализация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младежите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като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подкрепя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дейности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със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специален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фокус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върху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млади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999">
        <w:rPr>
          <w:rFonts w:ascii="Times New Roman" w:hAnsi="Times New Roman" w:cs="Times New Roman" w:hint="cs"/>
          <w:color w:val="auto"/>
          <w:sz w:val="24"/>
          <w:szCs w:val="24"/>
        </w:rPr>
        <w:t>хора</w:t>
      </w:r>
      <w:r w:rsidRPr="008459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2F21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="003B42EB">
        <w:rPr>
          <w:rFonts w:ascii="Times New Roman" w:hAnsi="Times New Roman" w:cs="Times New Roman" w:hint="cs"/>
          <w:color w:val="auto"/>
          <w:sz w:val="24"/>
          <w:szCs w:val="24"/>
        </w:rPr>
        <w:t>тези от групата NEETs</w:t>
      </w:r>
      <w:r w:rsidR="003B42E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A91D304" w14:textId="77777777" w:rsidR="0085230A" w:rsidRPr="003B42EB" w:rsidRDefault="0085230A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32124423" w14:textId="2165CA58" w:rsidR="00DE4337" w:rsidRPr="007C399D" w:rsidRDefault="00BE3DB2" w:rsidP="00B9444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E4337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II. ПРИЕМАНЕ, СРОК Н</w:t>
      </w:r>
      <w:r w:rsidR="007C3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А ИЗПЪЛНЕНИЕ, ФИНАНСОВА РАМКА И </w:t>
      </w:r>
      <w:r w:rsidRPr="00DE4337">
        <w:rPr>
          <w:rFonts w:ascii="Times New Roman" w:hAnsi="Times New Roman" w:cs="Times New Roman"/>
          <w:b/>
          <w:sz w:val="24"/>
          <w:szCs w:val="24"/>
          <w:lang w:val="bg-BG"/>
        </w:rPr>
        <w:t>ТЕРИТОРИАЛЕН ОБХВАТ</w:t>
      </w:r>
    </w:p>
    <w:p w14:paraId="01CCB016" w14:textId="77777777" w:rsid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E3DB2" w:rsidRPr="00DE4337">
        <w:rPr>
          <w:rFonts w:ascii="Times New Roman" w:hAnsi="Times New Roman" w:cs="Times New Roman"/>
          <w:color w:val="auto"/>
          <w:sz w:val="24"/>
          <w:szCs w:val="24"/>
        </w:rPr>
        <w:t>Програмата се приема от Министерския съвет в съответствие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 чл. 7 от Закона за младежта.</w:t>
      </w:r>
    </w:p>
    <w:p w14:paraId="248BE667" w14:textId="6FCA48B6" w:rsid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127EF">
        <w:rPr>
          <w:rFonts w:ascii="Times New Roman" w:hAnsi="Times New Roman" w:cs="Times New Roman"/>
          <w:color w:val="auto"/>
          <w:sz w:val="24"/>
          <w:szCs w:val="24"/>
        </w:rPr>
        <w:t xml:space="preserve">Продължителността на изпълнението </w:t>
      </w:r>
      <w:r w:rsidRPr="007127E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ѝ</w:t>
      </w:r>
      <w:r w:rsidRPr="007127EF">
        <w:rPr>
          <w:rFonts w:ascii="Times New Roman" w:hAnsi="Times New Roman" w:cs="Times New Roman"/>
          <w:color w:val="auto"/>
          <w:sz w:val="24"/>
          <w:szCs w:val="24"/>
        </w:rPr>
        <w:t xml:space="preserve"> за текущия програмен период е </w:t>
      </w:r>
      <w:r w:rsidR="001961B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5 </w:t>
      </w:r>
      <w:r w:rsidR="001961BB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пет</w:t>
      </w:r>
      <w:r w:rsidR="001961BB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години – от 2026 до 2030 г.</w:t>
      </w:r>
    </w:p>
    <w:p w14:paraId="2612CFEB" w14:textId="77777777" w:rsidR="00DE4337" w:rsidRP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>Необходимите средства за реализацията ѝ през програмния период се осигуряват в рамките на бюджета на Министерството на младежта и спорта за съответната година и съобразно разходните тавани в тригодишната бюджетна прогноза.</w:t>
      </w:r>
    </w:p>
    <w:p w14:paraId="3ABF3453" w14:textId="00991C66" w:rsidR="00DE4337" w:rsidRP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>Национален координатор на Програмата е министърът на младежта и спорта, който определя условията за разработване на проектни предложения по Програмата с подробни указания относно изискванията за кандидатстване</w:t>
      </w:r>
      <w:r w:rsidR="007C6414">
        <w:rPr>
          <w:rFonts w:ascii="Times New Roman" w:hAnsi="Times New Roman" w:cs="Times New Roman"/>
          <w:color w:val="auto"/>
          <w:sz w:val="24"/>
          <w:szCs w:val="24"/>
        </w:rPr>
        <w:t>, изпълнение и отчитане</w:t>
      </w:r>
      <w:r w:rsidR="00802F2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съобразно заложените годишни приоритети и индикативни дейности. Министърът на младежта и спорта обявява годишните приоритети в зависимост от потребностите на младите хора и от социално-икономическата среда в страната. </w:t>
      </w:r>
    </w:p>
    <w:p w14:paraId="544738B5" w14:textId="73AB0265" w:rsidR="00DE4337" w:rsidRP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>Конкретните условия за кандидатстване за всяка текуща година и размерът на отпусканата финансова помощ се оповестяват от националния координатор чрез публикуване</w:t>
      </w:r>
      <w:r w:rsidR="007C6414">
        <w:rPr>
          <w:rFonts w:ascii="Times New Roman" w:hAnsi="Times New Roman" w:cs="Times New Roman"/>
          <w:color w:val="auto"/>
          <w:sz w:val="24"/>
          <w:szCs w:val="24"/>
        </w:rPr>
        <w:t xml:space="preserve"> (обявяване)</w:t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на конкурсните процедури на електронната страница на Министерството на младежта и спорта.</w:t>
      </w:r>
    </w:p>
    <w:p w14:paraId="4B574874" w14:textId="0287DF98" w:rsidR="00DE4337" w:rsidRDefault="00B9444A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DE4337" w:rsidRPr="00DE4337">
        <w:rPr>
          <w:rFonts w:ascii="Times New Roman" w:hAnsi="Times New Roman" w:cs="Times New Roman"/>
          <w:color w:val="auto"/>
          <w:sz w:val="24"/>
          <w:szCs w:val="24"/>
        </w:rPr>
        <w:t>Дейностите по Програмата се осъществяват на територията на Република България при условията и реда на конкретната обявена процедура за кандида</w:t>
      </w:r>
      <w:r w:rsidR="007C6414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DE4337" w:rsidRPr="00DE4337">
        <w:rPr>
          <w:rFonts w:ascii="Times New Roman" w:hAnsi="Times New Roman" w:cs="Times New Roman"/>
          <w:color w:val="auto"/>
          <w:sz w:val="24"/>
          <w:szCs w:val="24"/>
        </w:rPr>
        <w:t>стване.</w:t>
      </w:r>
    </w:p>
    <w:p w14:paraId="6E8355AA" w14:textId="46193E54" w:rsidR="00DE4337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>В зависимост от спецификата на приоритетите и дейностите, които ще се реализират в р</w:t>
      </w:r>
      <w:r w:rsidR="00802F21">
        <w:rPr>
          <w:rFonts w:ascii="Times New Roman" w:hAnsi="Times New Roman" w:cs="Times New Roman"/>
          <w:color w:val="auto"/>
          <w:sz w:val="24"/>
          <w:szCs w:val="24"/>
        </w:rPr>
        <w:t>амките на финансираните проекти</w:t>
      </w:r>
      <w:r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 може да се прилага териториално разделение, съобразено с броя на младите хора по административни единици според приложими данни на Националния статистически институт.</w:t>
      </w:r>
    </w:p>
    <w:p w14:paraId="3F7A5E8F" w14:textId="77777777" w:rsidR="002F5144" w:rsidRDefault="002F5144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48A5AE8" w14:textId="77777777" w:rsidR="00DE4337" w:rsidRPr="007C399D" w:rsidRDefault="00BE3DB2" w:rsidP="00B9444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E4337">
        <w:rPr>
          <w:rFonts w:ascii="Times New Roman" w:hAnsi="Times New Roman" w:cs="Times New Roman"/>
          <w:b/>
          <w:sz w:val="24"/>
          <w:szCs w:val="24"/>
          <w:lang w:val="bg-BG"/>
        </w:rPr>
        <w:t>III. ЦЕЛЕВА ГРУПА ПО ПРОГРАМАТА</w:t>
      </w:r>
    </w:p>
    <w:p w14:paraId="5ACE50A5" w14:textId="6A5AD19C" w:rsidR="00525F84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E3DB2" w:rsidRPr="00DE4337">
        <w:rPr>
          <w:rFonts w:ascii="Times New Roman" w:hAnsi="Times New Roman" w:cs="Times New Roman"/>
          <w:color w:val="auto"/>
          <w:sz w:val="24"/>
          <w:szCs w:val="24"/>
        </w:rPr>
        <w:t>Реализирането на дейностите по Програмата е насочено към млади хора между 15 и 29 години, които са нейната пряка целева група. Непреки участници могат да бъдат национални и местни институции, организации с нестопанска цел и други заинтересовани страни</w:t>
      </w:r>
      <w:r w:rsidR="007C6414">
        <w:rPr>
          <w:rFonts w:ascii="Times New Roman" w:hAnsi="Times New Roman" w:cs="Times New Roman"/>
          <w:color w:val="auto"/>
          <w:sz w:val="24"/>
          <w:szCs w:val="24"/>
        </w:rPr>
        <w:t>, работещи с и за младите хора.</w:t>
      </w:r>
    </w:p>
    <w:p w14:paraId="74E6A311" w14:textId="76B296C9" w:rsidR="004352C1" w:rsidRPr="00DE4337" w:rsidRDefault="004352C1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063D72" w14:textId="77777777" w:rsidR="00DE4337" w:rsidRPr="007C399D" w:rsidRDefault="00BE3DB2" w:rsidP="00B9444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E4337">
        <w:rPr>
          <w:rFonts w:ascii="Times New Roman" w:hAnsi="Times New Roman" w:cs="Times New Roman"/>
          <w:b/>
          <w:sz w:val="24"/>
          <w:szCs w:val="24"/>
          <w:lang w:val="bg-BG"/>
        </w:rPr>
        <w:t>IV. РЕД И УСЛОВИЯ ЗА КАНДИДАТСТВАНЕ ПО ПРОГРАМАТА</w:t>
      </w:r>
    </w:p>
    <w:p w14:paraId="5F7035A0" w14:textId="5D92779D" w:rsidR="00525F84" w:rsidRDefault="00DE4337" w:rsidP="007C399D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E3DB2" w:rsidRPr="00DE4337">
        <w:rPr>
          <w:rFonts w:ascii="Times New Roman" w:hAnsi="Times New Roman" w:cs="Times New Roman"/>
          <w:color w:val="auto"/>
          <w:sz w:val="24"/>
          <w:szCs w:val="24"/>
        </w:rPr>
        <w:t xml:space="preserve">Редът и условията за кандидатстване и финансиране на проекти по Програмата, както и допустимите кандидати, се определят с наредбата по чл. 8, </w:t>
      </w:r>
      <w:r w:rsidR="004352C1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BE3DB2" w:rsidRPr="00DE4337">
        <w:rPr>
          <w:rFonts w:ascii="Times New Roman" w:hAnsi="Times New Roman" w:cs="Times New Roman"/>
          <w:color w:val="auto"/>
          <w:sz w:val="24"/>
          <w:szCs w:val="24"/>
        </w:rPr>
        <w:t>ал. 3 от Закона за младежта.</w:t>
      </w:r>
    </w:p>
    <w:p w14:paraId="3444C5AD" w14:textId="77777777" w:rsidR="00606A3E" w:rsidRDefault="00606A3E" w:rsidP="00B9444A">
      <w:pPr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010BA0D" w14:textId="05B9642D" w:rsidR="00DE4337" w:rsidRPr="007C399D" w:rsidRDefault="00BE3DB2" w:rsidP="00B9444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E4337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V. ИЗПЪЛНЕНИЕ НА ПРОГРАМАТА</w:t>
      </w:r>
    </w:p>
    <w:p w14:paraId="0B86EB49" w14:textId="5371E32F" w:rsidR="00156169" w:rsidRPr="00606A3E" w:rsidRDefault="00DE4337" w:rsidP="00606A3E">
      <w:pPr>
        <w:pStyle w:val="Normal1"/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E3DB2" w:rsidRPr="00DE4337">
        <w:rPr>
          <w:rFonts w:ascii="Times New Roman" w:hAnsi="Times New Roman" w:cs="Times New Roman"/>
          <w:color w:val="auto"/>
          <w:sz w:val="24"/>
          <w:szCs w:val="24"/>
        </w:rPr>
        <w:t>Програмата предвижда финансиране на младежки дейности по следните тематични области:</w:t>
      </w:r>
    </w:p>
    <w:p w14:paraId="51FD0265" w14:textId="77777777" w:rsidR="007C399D" w:rsidRDefault="00540F8B" w:rsidP="007C399D">
      <w:pPr>
        <w:shd w:val="clear" w:color="auto" w:fill="00B05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ТЕМАТИЧНА ОБЛАСТ 1</w:t>
      </w:r>
    </w:p>
    <w:p w14:paraId="7251C357" w14:textId="77777777" w:rsidR="00540F8B" w:rsidRPr="007C399D" w:rsidRDefault="00540F8B" w:rsidP="007C399D">
      <w:pPr>
        <w:shd w:val="clear" w:color="auto" w:fill="00B05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230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ПСИХИЧНО ЗДРАВЕ И БЛАГОПОЛУЧИЕ НА МЛАДИТЕ ХОРА</w:t>
      </w:r>
    </w:p>
    <w:p w14:paraId="45BFDAF7" w14:textId="77777777" w:rsidR="007C399D" w:rsidRDefault="00540F8B" w:rsidP="007C399D">
      <w:pPr>
        <w:pStyle w:val="ListParagraph"/>
        <w:numPr>
          <w:ilvl w:val="1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Представяне</w:t>
      </w:r>
    </w:p>
    <w:p w14:paraId="36DC16E2" w14:textId="32F7C110" w:rsidR="008A64FD" w:rsidRDefault="00540F8B" w:rsidP="0027279E">
      <w:pPr>
        <w:spacing w:before="100" w:beforeAutospacing="1" w:after="0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Психичното здраве е неразделна част от цялостното благополучие на младите хора и основа за тяхното успешно личностно, образователно и професионално развитие. През последните години се наблюдава засилена нужда от подкрепа при справяне със стрес, тревожност, социална изолация</w:t>
      </w:r>
      <w:r w:rsid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E15220" w:rsidRP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депресия</w:t>
      </w:r>
      <w:r w:rsidRPr="007C39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</w:t>
      </w:r>
      <w:r w:rsid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други психични разстройства. </w:t>
      </w:r>
      <w:r w:rsidR="00E704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Данни сочат, че в</w:t>
      </w:r>
      <w:r w:rsidR="00B445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голяма степен тези проблеми се появяват от прекомерна употреба на социални мрежи</w:t>
      </w:r>
      <w:r w:rsid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8A64FD" w:rsidRPr="008A64FD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училищен</w:t>
      </w:r>
      <w:r w:rsidR="008A64FD" w:rsidRP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A64FD" w:rsidRPr="008A64FD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натиск</w:t>
      </w:r>
      <w:r w:rsidR="008A64FD" w:rsidRP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8A64FD" w:rsidRPr="008A64FD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семейна</w:t>
      </w:r>
      <w:r w:rsidR="008A64FD" w:rsidRP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A64FD" w:rsidRPr="008A64FD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среда</w:t>
      </w:r>
      <w:r w:rsid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</w:t>
      </w:r>
      <w:r w:rsidR="008A64FD" w:rsidRP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A64FD" w:rsidRPr="008A64FD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дигитален</w:t>
      </w:r>
      <w:r w:rsidR="008A64FD" w:rsidRP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A64FD" w:rsidRPr="008A64FD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стрес</w:t>
      </w:r>
      <w:r w:rsid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които водят до</w:t>
      </w:r>
      <w:r w:rsidR="00B445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704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нарушаване на междуличностната връзка</w:t>
      </w:r>
      <w:r w:rsidR="006F76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доверието</w:t>
      </w:r>
      <w:r w:rsid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реалния свят.</w:t>
      </w:r>
    </w:p>
    <w:p w14:paraId="063151B9" w14:textId="01642F98" w:rsidR="007C399D" w:rsidRPr="007C399D" w:rsidRDefault="00540F8B" w:rsidP="004352C1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Тематичната област цели да създаде устойчива система от инициативи и услуги, които подкрепят психичното здраве, насърчават</w:t>
      </w:r>
      <w:r w:rsid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себепознанието, </w:t>
      </w:r>
      <w:r w:rsidRPr="007C39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балансиран</w:t>
      </w:r>
      <w:r w:rsidR="008A64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</w:t>
      </w:r>
      <w:r w:rsidR="00802F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Pr="007C39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начин на живот и изграждат </w:t>
      </w:r>
      <w:r w:rsidR="00E15220" w:rsidRPr="00E15220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устойчиви</w:t>
      </w:r>
      <w:r w:rsidR="00E15220" w:rsidRP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15220" w:rsidRPr="00E15220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инициативи</w:t>
      </w:r>
      <w:r w:rsidR="00E15220" w:rsidRP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15220" w:rsidRPr="00E15220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="00E15220" w:rsidRP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15220" w:rsidRPr="00E15220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превенция</w:t>
      </w:r>
      <w:r w:rsidR="00E152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E15220" w:rsidRPr="00E15220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подкрепа</w:t>
      </w:r>
      <w:r w:rsidRPr="007C39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социална свързаност.</w:t>
      </w:r>
    </w:p>
    <w:p w14:paraId="2D18D231" w14:textId="77777777" w:rsidR="00540F8B" w:rsidRPr="00C230AD" w:rsidRDefault="00540F8B" w:rsidP="007C399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1.2. Специфична цел/и на тематичната област</w:t>
      </w:r>
    </w:p>
    <w:p w14:paraId="2C446D2E" w14:textId="01E7A518" w:rsidR="00540F8B" w:rsidRDefault="00540F8B" w:rsidP="007C399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 на информираността относно психичното здраве и преодоляване на стигмата</w:t>
      </w:r>
      <w:r w:rsidR="00FD6D0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F154EBD" w14:textId="45297688" w:rsidR="00FD6D0C" w:rsidRPr="00C230AD" w:rsidRDefault="00FD6D0C" w:rsidP="007C399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 на информираността за въздействието на социалните мрежи върху самочувствието и личностното развитие на младите хора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581D4D35" w14:textId="2EB5401E" w:rsidR="00C230AD" w:rsidRDefault="00C230AD" w:rsidP="007C399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Развитие на модели и дейности за превенция, психологическа подкрепа и взаимопомощ в младежка среда</w:t>
      </w:r>
      <w:r w:rsidR="00FD6D0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6B346B4" w14:textId="16BDAE78" w:rsidR="004352C1" w:rsidRPr="00606A3E" w:rsidRDefault="00540F8B" w:rsidP="007C399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Развитие на умения за </w:t>
      </w:r>
      <w:r w:rsid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себепознание, 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емоционална устойчивост</w:t>
      </w:r>
      <w:r w:rsidR="00FD6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D6D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преодоляване на трудни ситуации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справяне със стреса.</w:t>
      </w:r>
    </w:p>
    <w:p w14:paraId="4FBF4EAB" w14:textId="3DE9356C" w:rsidR="00540F8B" w:rsidRPr="00C230AD" w:rsidRDefault="00540F8B" w:rsidP="007C39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1.3.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Съответствие</w:t>
      </w:r>
    </w:p>
    <w:p w14:paraId="7939DD72" w14:textId="62F79388" w:rsidR="00540F8B" w:rsidRPr="00C230AD" w:rsidRDefault="00531A24" w:rsidP="007C399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Приоритет 6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Насърчаване на здравословен и природощадящ начин на живот.</w:t>
      </w:r>
    </w:p>
    <w:p w14:paraId="3BF14AC3" w14:textId="10E30DD0" w:rsidR="00B9444A" w:rsidRDefault="00531A24" w:rsidP="007C399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Стратегическа 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цел 6.2: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Превенция на проблеми, свързани с психичното здраве на младите хора.</w:t>
      </w:r>
    </w:p>
    <w:p w14:paraId="719599C2" w14:textId="77777777" w:rsidR="00606A3E" w:rsidRPr="00B9444A" w:rsidRDefault="00606A3E" w:rsidP="00606A3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2CDE77E" w14:textId="77777777" w:rsidR="00540F8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ТЕМАТИЧНА ОБЛАСТ 2</w:t>
      </w:r>
    </w:p>
    <w:p w14:paraId="20369FA5" w14:textId="77777777" w:rsidR="00540F8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СОЦИАЛНА ВКЛЮЧЕНОСТ, РАВНИ ВЪЗМОЖНОСТИ И ПОДКРЕПА ЗА УЯЗВИМИ МЛАДЕЖИ</w:t>
      </w:r>
    </w:p>
    <w:p w14:paraId="6A9752BB" w14:textId="77777777" w:rsidR="00C230AD" w:rsidRDefault="00540F8B" w:rsidP="007C39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2.1.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Представяне</w:t>
      </w:r>
    </w:p>
    <w:p w14:paraId="3BA6CDEC" w14:textId="714EDA45" w:rsidR="00C87586" w:rsidRDefault="008F2ED3" w:rsidP="0027279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Социализацията на младия човек се изгражда върху три основни стълба – семейство, училище и общество.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Споделеното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сплотено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общество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изисква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държавата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управлява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активно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процесите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включване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равенство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достъп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както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динамичния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баланс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различията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които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също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оформят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ежедневния</w:t>
      </w:r>
      <w:r w:rsidRPr="008F2E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F2ED3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живот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8B18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Липсата на човешка грижа</w:t>
      </w:r>
      <w:r w:rsidR="00F376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отношение</w:t>
      </w:r>
      <w:r w:rsidR="008B18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н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еравенствата и социалната изолация продължават да бъдат основни пречки за пълноценн</w:t>
      </w:r>
      <w:r w:rsidR="008B18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ата младежка социализация</w:t>
      </w:r>
      <w:r w:rsidR="00D032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8B18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Тематичната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област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насочена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към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създаване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устойчиво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приобщаваща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среда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която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гарантира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равен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достъп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младежко участие, младежка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култура</w:t>
      </w:r>
      <w:r w:rsid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младежки услуги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намалява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социалните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неравенства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предотвратява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социалната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изолация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Тя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подкрепя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активното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гражданско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участие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житейски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умения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както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утвърждаването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недискриминационен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подход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уважение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към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многообразието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основата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ѝ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стои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засиленото</w:t>
      </w:r>
      <w:r w:rsidR="00D032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взаимодействие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между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семейството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училището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общността</w:t>
      </w:r>
      <w:r w:rsid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организации, читалища, младежки центрове и пр.</w:t>
      </w:r>
      <w:r w:rsidR="00F01B79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институциите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постигане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пълноценна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младежка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1B79" w:rsidRPr="00F01B79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социализация</w:t>
      </w:r>
      <w:r w:rsidR="00F01B79" w:rsidRPr="00F01B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261701D0" w14:textId="09369DD8" w:rsidR="00540F8B" w:rsidRPr="00C230AD" w:rsidRDefault="00540F8B" w:rsidP="00F01B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2.2.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Специфична цел/и на тематичната област</w:t>
      </w:r>
    </w:p>
    <w:p w14:paraId="05DD8FAA" w14:textId="5D561C88" w:rsidR="007936DD" w:rsidRPr="007936DD" w:rsidRDefault="004C0F61" w:rsidP="007936D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Засилване на ролята на младежката инфраструктура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младежки центрове,</w:t>
      </w:r>
      <w:r w:rsidR="007936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младежки домове,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читалища, пространства и пр.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свободното време на младия човек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5BAD428E" w14:textId="0204F90C" w:rsidR="00540F8B" w:rsidRPr="00C230AD" w:rsidRDefault="00540F8B" w:rsidP="007C399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Подобряване на достъпа до </w:t>
      </w:r>
      <w:r w:rsidR="00FA49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неформално </w:t>
      </w:r>
      <w:r w:rsid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образование </w:t>
      </w:r>
      <w:r w:rsidR="00470B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младежки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услуги</w:t>
      </w:r>
      <w:r w:rsidR="004C0F6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0DF320E" w14:textId="1D09B8D4" w:rsidR="00540F8B" w:rsidRPr="00C230AD" w:rsidRDefault="00540F8B" w:rsidP="007C399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Насърчаване на приобщаването чрез менторски, доброволчески и общностни </w:t>
      </w:r>
      <w:r w:rsidR="00FA49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дейности и инициативи</w:t>
      </w:r>
      <w:r w:rsidR="004C0F6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C707CEE" w14:textId="77777777" w:rsidR="00D058DA" w:rsidRPr="00D058DA" w:rsidRDefault="00540F8B" w:rsidP="009478D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Развитие на механизми за подкрепа на младеж</w:t>
      </w:r>
      <w:r w:rsidR="00FA49AC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от уязвими групи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от малцинства</w:t>
      </w:r>
      <w:r w:rsidR="00FA49AC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отдалечени региони</w:t>
      </w:r>
      <w:r w:rsidR="00FA49AC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малки населени места</w:t>
      </w:r>
      <w:r w:rsidR="00AA51C0" w:rsidRPr="00D058D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AA47971" w14:textId="6F430E35" w:rsidR="00B9444A" w:rsidRPr="00D058DA" w:rsidRDefault="00AA51C0" w:rsidP="009478D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знанията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уменията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свързани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тяхната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обществена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роля</w:t>
      </w:r>
      <w:r w:rsidR="006E708E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6E708E" w:rsidRPr="00D058D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6E708E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местно, национално и европейско ниво</w:t>
      </w:r>
      <w:r w:rsidR="006E708E" w:rsidRPr="00D058D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правата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им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поемането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отговорности</w:t>
      </w:r>
      <w:r w:rsid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9C27387" w14:textId="77777777" w:rsidR="00606A3E" w:rsidRDefault="00540F8B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2.3.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Съответствие</w:t>
      </w:r>
    </w:p>
    <w:p w14:paraId="553793F7" w14:textId="77777777" w:rsidR="00606A3E" w:rsidRDefault="00531A24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Приоритет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5: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Свързаност, толерантност и европейска принадлежност.</w:t>
      </w:r>
    </w:p>
    <w:p w14:paraId="5DC552A9" w14:textId="54DD9F5D" w:rsidR="00E864DB" w:rsidRPr="00B9444A" w:rsidRDefault="00531A24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Стратегическа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цел 5.1: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Насърчаване на социалното включване на младите хора от уязвими групи.</w:t>
      </w:r>
    </w:p>
    <w:p w14:paraId="7600F488" w14:textId="77777777" w:rsidR="00540F8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ТЕМАТИЧНА ОБЛАСТ 3</w:t>
      </w:r>
    </w:p>
    <w:p w14:paraId="1DB20F20" w14:textId="77777777" w:rsidR="00540F8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ЗЕЛЕНА ТРАНСФОРМАЦИЯ И УСТОЙЧИВИ ОБЩНОСТИ</w:t>
      </w:r>
    </w:p>
    <w:p w14:paraId="52FB1311" w14:textId="77777777" w:rsidR="00E676B8" w:rsidRPr="007C399D" w:rsidRDefault="00B65DBC" w:rsidP="007C39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3.1.</w:t>
      </w:r>
      <w:r w:rsidR="007C399D"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</w:t>
      </w:r>
      <w:r w:rsidR="00540F8B"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Представяне</w:t>
      </w:r>
    </w:p>
    <w:p w14:paraId="05176838" w14:textId="1043BC41" w:rsidR="00540F8B" w:rsidRDefault="00540F8B" w:rsidP="0027279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Младите хора играят ключова роля в процеса на преход към по-зелена, устойчива и климатично отговорна България.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Чрез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своето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ангажиране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подпомагат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изграждането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приобщаващи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устойчиви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зелени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общности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способни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отговарят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екологичните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социалните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предизвикателства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съвремието</w:t>
      </w:r>
      <w:r w:rsid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осъзнаващи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че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действията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днес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имат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своите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положителни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или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отрицателни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последици</w:t>
      </w:r>
      <w:r w:rsidR="007B03C6" w:rsidRP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03C6" w:rsidRPr="007B03C6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утре</w:t>
      </w:r>
      <w:r w:rsidR="007B03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Тематичната област подкрепя </w:t>
      </w:r>
      <w:r w:rsidR="00FB74D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природощадящ</w:t>
      </w:r>
      <w:r w:rsidR="00FB74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</w:t>
      </w:r>
      <w:r w:rsidR="00FB74D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начин на живот</w:t>
      </w:r>
      <w:r w:rsidR="00FB74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D032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екологичното образование, младежки инициативи за опазване на природата, зелени иновации</w:t>
      </w:r>
      <w:r w:rsid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зелени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умения</w:t>
      </w:r>
      <w:r w:rsid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-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енергийна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ефективност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кръгова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икономика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управление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D058DA" w:rsidRPr="00D058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058DA" w:rsidRPr="00D058DA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отпадъци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развитие на локални общности, които споделят ценности на устойчиво развитие и отговорно потребление.</w:t>
      </w:r>
      <w:r w:rsidR="00D058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E05D52D" w14:textId="77777777" w:rsidR="00540F8B" w:rsidRPr="00C230AD" w:rsidRDefault="00540F8B" w:rsidP="007C399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7C39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3.2. Специфична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цел/и на тематичната област</w:t>
      </w:r>
    </w:p>
    <w:p w14:paraId="70D01F53" w14:textId="2C68BE2C" w:rsidR="00540F8B" w:rsidRPr="00C230AD" w:rsidRDefault="00FB74D2" w:rsidP="007C399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Стимулиране на младежки инициативи за формиране на трайни знания, умения и нагласи към екологичните проблеми и тяхното решаване и формиране на устойчива екологична култура и поведение</w:t>
      </w:r>
      <w:r w:rsidR="0085699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B4E9647" w14:textId="7700FD52" w:rsidR="00540F8B" w:rsidRPr="00C230AD" w:rsidRDefault="00540F8B" w:rsidP="007C399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Насърчаване на младежки „зелени“ иновации и предприемачество</w:t>
      </w:r>
      <w:r w:rsidR="0085699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BDBE454" w14:textId="4F4B6DD3" w:rsidR="00E75F79" w:rsidRDefault="00540F8B" w:rsidP="007C399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Подкрепа на местни младежки кампании и общности за устойчиво развитие</w:t>
      </w:r>
      <w:r w:rsidR="0085699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0E82DFD" w14:textId="264860AE" w:rsidR="00540F8B" w:rsidRPr="00C230AD" w:rsidRDefault="00856997" w:rsidP="007C399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Насърчаване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активната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роля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зелената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трансформация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развитието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устойчиви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приобщаващи</w:t>
      </w:r>
      <w:r w:rsidRPr="008569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56997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общности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6C75D92E" w14:textId="77777777" w:rsidR="00606A3E" w:rsidRDefault="00540F8B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3C34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3.3. Съответствие</w:t>
      </w:r>
    </w:p>
    <w:p w14:paraId="2C594E00" w14:textId="77777777" w:rsidR="00606A3E" w:rsidRDefault="00531A24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Приоритет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6: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Насърчаване на здравословен и природощадящ начин на живот.</w:t>
      </w:r>
    </w:p>
    <w:p w14:paraId="33B7FC02" w14:textId="6C7B6FD2" w:rsidR="00606A3E" w:rsidRDefault="00531A24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Стратегическа 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цел 6.4:</w:t>
      </w:r>
      <w:r w:rsidR="0033098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Постигане на о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съзната промяна в мисленето и поведението </w:t>
      </w:r>
      <w:r w:rsidR="0033098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младите хора 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отношение на опазване на околната среда.</w:t>
      </w:r>
    </w:p>
    <w:p w14:paraId="567DAA26" w14:textId="60EEDD3C" w:rsidR="00606A3E" w:rsidRDefault="00606A3E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6AA3CBC" w14:textId="1246B9BD" w:rsidR="00606A3E" w:rsidRDefault="00606A3E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E504F5E" w14:textId="77777777" w:rsidR="00606A3E" w:rsidRPr="00606A3E" w:rsidRDefault="00606A3E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2B89420" w14:textId="77777777" w:rsidR="00540F8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ТЕМАТИЧНА ОБЛАСТ 4</w:t>
      </w:r>
    </w:p>
    <w:p w14:paraId="1E175A7B" w14:textId="77777777" w:rsidR="00540F8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ДИГИТАЛНИ УМЕНИЯ, МЕДИЙНА ГРАМОТНОСТ И ИНОВАЦИИ</w:t>
      </w:r>
    </w:p>
    <w:p w14:paraId="00F6E5C6" w14:textId="77777777" w:rsidR="00FA49AC" w:rsidRDefault="00540F8B" w:rsidP="007C39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606A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4.1.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Представяне</w:t>
      </w:r>
    </w:p>
    <w:p w14:paraId="3CC48286" w14:textId="29249AC5" w:rsidR="00BF646B" w:rsidRDefault="00BF646B" w:rsidP="00BF646B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условията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ускорена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дигитализация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нарастващо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влияние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онлайн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средата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върху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живота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дигитални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умения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следва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бъде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съпътствано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критично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мислене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медийна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грамотност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етична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отговорност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използването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технологиите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Тематичната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област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насочена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към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изграждане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способности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осъзнато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безопасно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участие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дигиталното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пространство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чрез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обучения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инициативи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сферата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дигиталните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компетентности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етиката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използването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технологии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изкуствен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интелект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превенцията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онлайн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рискове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кибертормоза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както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разпознаването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дезинформация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фалшиви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новини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Наред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това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насърчава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прилагането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иновативни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решения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младежки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проекти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които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използват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нови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технологии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изкуствен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интелект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отговорен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обществено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полезен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начин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Чрез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тази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тематична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област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създават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условия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ключови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дигитални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компетентности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които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подпомагат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активното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критично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етично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участие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съвременното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F646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общество</w:t>
      </w:r>
      <w:r w:rsidRP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247D9A60" w14:textId="558725DD" w:rsidR="00540F8B" w:rsidRPr="00C230AD" w:rsidRDefault="00540F8B" w:rsidP="007C39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C34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4.2. Специфична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цел/и на тематичната област</w:t>
      </w:r>
    </w:p>
    <w:p w14:paraId="0198138F" w14:textId="21BC8C8A" w:rsidR="00540F8B" w:rsidRPr="00C230AD" w:rsidRDefault="00540F8B" w:rsidP="007C399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Развитие на дигитална култура и безопасно онлайн поведение</w:t>
      </w:r>
      <w:r w:rsidR="003835C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0653A57" w14:textId="77777777" w:rsidR="003835C6" w:rsidRPr="005E27B2" w:rsidRDefault="00540F8B" w:rsidP="007C399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Насърчаване на критично мислене и медийна грамотност</w:t>
      </w:r>
      <w:r w:rsidR="003835C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232F308" w14:textId="65B9CA14" w:rsidR="00540F8B" w:rsidRPr="00C230AD" w:rsidRDefault="003835C6" w:rsidP="007C399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Формиране на етична и отговорна употреба на технологиите</w:t>
      </w:r>
      <w:r w:rsidR="00BF646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37A26432" w14:textId="77777777" w:rsidR="00540F8B" w:rsidRPr="00C230AD" w:rsidRDefault="00540F8B" w:rsidP="007C399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Подкрепа на иновативни технологични и креативни младежки инициативи.</w:t>
      </w:r>
    </w:p>
    <w:p w14:paraId="4DBBE102" w14:textId="77777777" w:rsidR="00606A3E" w:rsidRDefault="00540F8B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3C34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4.3. Съответствие</w:t>
      </w:r>
    </w:p>
    <w:p w14:paraId="1677FE56" w14:textId="02BD591E" w:rsidR="00606A3E" w:rsidRDefault="00531A24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Приоритет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1: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Насърчаване на неформалното </w:t>
      </w:r>
      <w:r w:rsidR="0033098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обучение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4EEA0C4A" w14:textId="55CC3772" w:rsidR="0001143D" w:rsidRPr="00606A3E" w:rsidRDefault="00531A24" w:rsidP="00606A3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Стратегическа</w:t>
      </w:r>
      <w:r w:rsidR="003309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540F8B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цел 1.2:</w:t>
      </w:r>
      <w:r w:rsidR="00540F8B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3098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 на качеството на неформално обучение</w:t>
      </w:r>
      <w:r w:rsidR="000114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4174741" w14:textId="3CE81292" w:rsidR="00540F8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ТЕМАТИЧНА ОБЛАСТ 5</w:t>
      </w:r>
    </w:p>
    <w:p w14:paraId="0C154216" w14:textId="77777777" w:rsidR="0014776B" w:rsidRPr="00DE4337" w:rsidRDefault="00540F8B" w:rsidP="00DE4337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E433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ПРЕДПРИЕМАЧЕСТВО, СОЦИАЛНИ ИНОВАЦИИ И КАЧЕСТВЕНА ЗАЕТОСТ</w:t>
      </w:r>
    </w:p>
    <w:p w14:paraId="269505AF" w14:textId="77777777" w:rsidR="00E676B8" w:rsidRPr="003C3450" w:rsidRDefault="00705957" w:rsidP="007C39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3C345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5.1.</w:t>
      </w:r>
      <w:r w:rsidR="003C3450" w:rsidRPr="003C345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</w:t>
      </w:r>
      <w:r w:rsidR="0014776B" w:rsidRPr="003C345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Представяне</w:t>
      </w:r>
    </w:p>
    <w:p w14:paraId="02525F2A" w14:textId="2AA492DA" w:rsidR="0027279E" w:rsidRDefault="0027279E" w:rsidP="0027279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двигател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иновациите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икономическия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растеж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подкрепата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им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сферата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предприемачеството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социалните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иновации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ключов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lastRenderedPageBreak/>
        <w:t>фактор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намаляване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младежката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безработица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създаване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устойчиви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бизнес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модели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обществен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ефект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Тематичната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област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насърчава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предприемаческа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култура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ангажираност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иновации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обществено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въздействие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като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обхваща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както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традиционното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така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социалното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предприемачество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Акцент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поставя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върху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ранното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кариерно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ориентиране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изграждането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връзки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между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местната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икономика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общностите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цел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добро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съответствие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между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придобиваните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умения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реалните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потребности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пазара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труда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Чрез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обучения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менторство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сътрудничество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различни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заинтересовани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страни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създават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условия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практическо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прилагане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знанията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реализиране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инициативи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измерима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добавена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стойност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местно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регионално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ниво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дългосрочен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план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тематичната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област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цели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изгради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икономически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активна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отговорна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иновативна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способна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създава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нови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решения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участва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активно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устойчивото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279E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страната</w:t>
      </w:r>
      <w:r w:rsidRP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4C577045" w14:textId="21097175" w:rsidR="00540F8B" w:rsidRPr="00C230AD" w:rsidRDefault="00540F8B" w:rsidP="007C39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3C34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5.2. Специфична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цел/и на тематичната област</w:t>
      </w:r>
    </w:p>
    <w:p w14:paraId="517AEBFE" w14:textId="51CC2637" w:rsidR="002215E5" w:rsidRPr="002215E5" w:rsidRDefault="002215E5" w:rsidP="007C399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215E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Насърчаване на предприемаческото мислене, инициативността и иновациите</w:t>
      </w:r>
      <w:r w:rsidRPr="00221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сред младите хора, включите</w:t>
      </w:r>
      <w:r w:rsid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лно социалното предприемачество;</w:t>
      </w:r>
    </w:p>
    <w:p w14:paraId="73BC62CF" w14:textId="7F6D9C15" w:rsidR="002215E5" w:rsidRPr="002215E5" w:rsidRDefault="002215E5" w:rsidP="007C399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215E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Създаване на условия </w:t>
      </w:r>
      <w:r w:rsidR="006A746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за развитие на ключови умения </w:t>
      </w:r>
      <w:r w:rsidRPr="002215E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за качествена заетост</w:t>
      </w:r>
      <w:r w:rsidRPr="00221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чрез подходи, които подпомагат професионалната подготовка </w:t>
      </w:r>
      <w:r w:rsid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адаптивността на младите хора;</w:t>
      </w:r>
    </w:p>
    <w:p w14:paraId="1D27A2DA" w14:textId="3791E558" w:rsidR="002215E5" w:rsidRPr="002215E5" w:rsidRDefault="002215E5" w:rsidP="007C399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215E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Подкрепа за икономическата и социалната реализация на младите хора</w:t>
      </w:r>
      <w:r w:rsidRPr="00221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включително от </w:t>
      </w:r>
      <w:r w:rsid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групата </w:t>
      </w:r>
      <w:r w:rsidR="0027279E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NEETs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221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цел устойчиво развитие на местните общности и задържане на младежкия потенциал в страната.</w:t>
      </w:r>
    </w:p>
    <w:p w14:paraId="149F3E38" w14:textId="77777777" w:rsidR="00540F8B" w:rsidRPr="00CB61D0" w:rsidRDefault="00540F8B" w:rsidP="007C399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CB61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5.3. Съответствие</w:t>
      </w:r>
    </w:p>
    <w:p w14:paraId="3C22A696" w14:textId="127201EC" w:rsidR="00705957" w:rsidRPr="00C230AD" w:rsidRDefault="00330989" w:rsidP="007C39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Приоритет </w:t>
      </w:r>
      <w:r w:rsidR="00705957" w:rsidRPr="00C230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2:</w:t>
      </w:r>
      <w:r w:rsidR="00705957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Насърчаване на заетостта и подкрепата за млади хора, които не учат, не работят и не се обучават (NEETs).</w:t>
      </w:r>
    </w:p>
    <w:p w14:paraId="185DA3D5" w14:textId="0533E3E3" w:rsidR="00705957" w:rsidRPr="00C230AD" w:rsidRDefault="00330989" w:rsidP="007C39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Стратегическа </w:t>
      </w:r>
      <w:r w:rsidR="00705957" w:rsidRPr="00C230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цел 2.1:</w:t>
      </w:r>
      <w:r w:rsidR="00705957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Насърчаване на заетостта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младите хора.</w:t>
      </w:r>
    </w:p>
    <w:p w14:paraId="6DFA1CDB" w14:textId="76C50398" w:rsidR="00606A3E" w:rsidRDefault="00705957" w:rsidP="00330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Оперативна цел 2.2: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30989" w:rsidRPr="0033098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Насърчаване на включването в образование и заетост на млади хора, които не учат, не работят и не се обучават (NEETs</w:t>
      </w:r>
      <w:r w:rsidR="00330989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52E0C21" w14:textId="1CB15040" w:rsidR="00606A3E" w:rsidRDefault="00606A3E" w:rsidP="00330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9607493" w14:textId="7177A4A4" w:rsidR="00606A3E" w:rsidRDefault="00606A3E" w:rsidP="00330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5F41F04" w14:textId="77777777" w:rsidR="00606A3E" w:rsidRPr="00C230AD" w:rsidRDefault="00606A3E" w:rsidP="003309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C1D086C" w14:textId="77777777" w:rsidR="00540F8B" w:rsidRPr="00DC5040" w:rsidRDefault="00540F8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ТЕМАТИЧНА ОБЛАСТ 6</w:t>
      </w:r>
    </w:p>
    <w:p w14:paraId="00D91352" w14:textId="77777777" w:rsidR="0014776B" w:rsidRPr="00C230AD" w:rsidRDefault="00540F8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ДОБРОВОЛЧЕСТВО И КУЛТУРА НА СОЛИДАРНОСТ</w:t>
      </w:r>
    </w:p>
    <w:p w14:paraId="22C6DC79" w14:textId="285E5331" w:rsidR="00E676B8" w:rsidRDefault="0014776B" w:rsidP="002215E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30AD">
        <w:rPr>
          <w:rFonts w:ascii="Times New Roman" w:hAnsi="Times New Roman" w:cs="Times New Roman"/>
          <w:b/>
          <w:i/>
          <w:sz w:val="24"/>
          <w:szCs w:val="24"/>
          <w:lang w:val="bg-BG"/>
        </w:rPr>
        <w:t>6.1.</w:t>
      </w:r>
      <w:r w:rsidR="00606A3E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C230AD">
        <w:rPr>
          <w:rFonts w:ascii="Times New Roman" w:hAnsi="Times New Roman" w:cs="Times New Roman"/>
          <w:b/>
          <w:i/>
          <w:sz w:val="24"/>
          <w:szCs w:val="24"/>
          <w:lang w:val="bg-BG"/>
        </w:rPr>
        <w:t>Представяне</w:t>
      </w:r>
    </w:p>
    <w:p w14:paraId="4204E3D4" w14:textId="7751C713" w:rsidR="002215E5" w:rsidRDefault="002215E5" w:rsidP="0027279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21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Доброволчеството изгражда ценности на солидарност, съпричастност</w:t>
      </w:r>
      <w:r w:rsidR="00E45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етично поведение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221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активно гражданство и е ключов инструмент за междукултурен диалог, екологична отговорност и гражданско образование. </w:t>
      </w:r>
      <w:r w:rsidR="00E45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Доброволчеството въвежда младите хора в обществена ангажираност и отговорност, както и укрепва връзките между поколенията и самата общност. Доброволческата дейност дава практически опит, стимулира у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частие</w:t>
      </w:r>
      <w:r w:rsidR="00E45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създаване на различни иниц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иативи и кампании, дори спомага </w:t>
      </w:r>
      <w:r w:rsidR="006A74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="00E45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професионалното ориентиране. </w:t>
      </w:r>
      <w:r w:rsidRPr="00221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Тематичната област насърчава развитието на доброволчеството като устойчива обществена практика чрез подкрепа за доброволчески инициативи и мрежи, с цел утвърждаване на доброволчеството като част от културата на младите хора и идентичността на общностите. В дългосрочен план тя допринася за повишаване на социалната ангажираност и активното участие на младите хора в обществения живот.</w:t>
      </w:r>
    </w:p>
    <w:p w14:paraId="50A50123" w14:textId="77777777" w:rsidR="00540F8B" w:rsidRPr="00C230AD" w:rsidRDefault="00540F8B" w:rsidP="002215E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606A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6.2.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Специфична цел/и на тематичната област</w:t>
      </w:r>
    </w:p>
    <w:p w14:paraId="65297806" w14:textId="1285B384" w:rsidR="000F0FA5" w:rsidRPr="00C230AD" w:rsidRDefault="000F0FA5" w:rsidP="0078211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Насърчаване на дългосрочно и устойчиво участие на младит</w:t>
      </w:r>
      <w:r w:rsidR="00A435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хора в доброволчески дейности</w:t>
      </w:r>
      <w:r w:rsidR="007014B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2EE75FE" w14:textId="2E447EAF" w:rsidR="000F0FA5" w:rsidRPr="00A435DB" w:rsidRDefault="000F0FA5" w:rsidP="008F1A36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35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Популяризиране на доброволчеството като ценност и средство </w:t>
      </w:r>
      <w:r w:rsidR="00A435DB" w:rsidRPr="00A435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личностно развитие, както и насърчаване на културата на солидарно</w:t>
      </w:r>
      <w:r w:rsidR="00A435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 и съпричастност в обществото</w:t>
      </w:r>
      <w:r w:rsidR="007014B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13155C3" w14:textId="14BCCE1A" w:rsidR="00A435DB" w:rsidRDefault="00A435DB" w:rsidP="00A435D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35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Развитие на социални и граждански компетентности, свързани с доброволческа дейност, чрез обучения, обмен на опит и практическа ангажираност</w:t>
      </w:r>
      <w:r w:rsidR="007014B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CB3CE12" w14:textId="2A3B7CB6" w:rsidR="00A435DB" w:rsidRPr="00C230AD" w:rsidRDefault="00A435DB" w:rsidP="00A435D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35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Изграждане и развитие на национални, регионални и местни доброволчески мрежи за подкрепа и координация на доброволческите дейности</w:t>
      </w:r>
      <w:r w:rsidR="007014B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8F543D0" w14:textId="77777777" w:rsidR="000F0FA5" w:rsidRPr="00C230AD" w:rsidRDefault="000F0FA5" w:rsidP="0078211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Включване на младежи от уязвими г</w:t>
      </w:r>
      <w:r w:rsidR="00A435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рупи в доброволчески инициативи.</w:t>
      </w:r>
    </w:p>
    <w:p w14:paraId="443729AD" w14:textId="77777777" w:rsidR="00540F8B" w:rsidRPr="00C230AD" w:rsidRDefault="00540F8B" w:rsidP="006C098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B61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6.3.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Съответствие</w:t>
      </w:r>
    </w:p>
    <w:p w14:paraId="1346A4A5" w14:textId="3AA5EB3B" w:rsidR="000F0FA5" w:rsidRPr="00C230AD" w:rsidRDefault="00330989" w:rsidP="0014776B">
      <w:pPr>
        <w:pStyle w:val="NormalWeb"/>
        <w:spacing w:line="276" w:lineRule="auto"/>
        <w:jc w:val="both"/>
      </w:pPr>
      <w:r>
        <w:rPr>
          <w:rStyle w:val="Strong"/>
        </w:rPr>
        <w:t>Приоритет</w:t>
      </w:r>
      <w:r w:rsidR="000F0FA5" w:rsidRPr="00C230AD">
        <w:rPr>
          <w:rStyle w:val="Strong"/>
        </w:rPr>
        <w:t xml:space="preserve"> 3:</w:t>
      </w:r>
      <w:r w:rsidR="000F0FA5" w:rsidRPr="00C230AD">
        <w:t xml:space="preserve"> Насърчаване на ангажираността, участието и овластяването на младите хора.</w:t>
      </w:r>
    </w:p>
    <w:p w14:paraId="18271CC5" w14:textId="78D7A891" w:rsidR="000F0FA5" w:rsidRPr="00C230AD" w:rsidRDefault="00330989" w:rsidP="0014776B">
      <w:pPr>
        <w:pStyle w:val="NormalWeb"/>
        <w:spacing w:line="276" w:lineRule="auto"/>
        <w:jc w:val="both"/>
      </w:pPr>
      <w:r w:rsidRPr="00C230AD">
        <w:rPr>
          <w:rStyle w:val="Strong"/>
        </w:rPr>
        <w:t xml:space="preserve">Стратегическа </w:t>
      </w:r>
      <w:r w:rsidR="000F0FA5" w:rsidRPr="00C230AD">
        <w:rPr>
          <w:rStyle w:val="Strong"/>
        </w:rPr>
        <w:t>цел 3.1:</w:t>
      </w:r>
      <w:r w:rsidR="000F0FA5" w:rsidRPr="00C230AD">
        <w:t xml:space="preserve"> Повишаване на нивото на гражданс</w:t>
      </w:r>
      <w:r>
        <w:t>ка ангажираност на младите хора.</w:t>
      </w:r>
    </w:p>
    <w:p w14:paraId="2F876857" w14:textId="016BFC22" w:rsidR="000F0FA5" w:rsidRPr="00C230AD" w:rsidRDefault="00330989" w:rsidP="0014776B">
      <w:pPr>
        <w:pStyle w:val="NormalWeb"/>
        <w:spacing w:line="276" w:lineRule="auto"/>
        <w:jc w:val="both"/>
      </w:pPr>
      <w:r w:rsidRPr="00C230AD">
        <w:rPr>
          <w:rStyle w:val="Strong"/>
        </w:rPr>
        <w:lastRenderedPageBreak/>
        <w:t xml:space="preserve">Стратегическа </w:t>
      </w:r>
      <w:r w:rsidR="000F0FA5" w:rsidRPr="00C230AD">
        <w:rPr>
          <w:rStyle w:val="Strong"/>
        </w:rPr>
        <w:t>цел 3.2:</w:t>
      </w:r>
      <w:r w:rsidR="000F0FA5" w:rsidRPr="00C230AD">
        <w:t xml:space="preserve"> Повишаване на нивото на овластяване и качествено участие на младите </w:t>
      </w:r>
      <w:r>
        <w:t>хор</w:t>
      </w:r>
      <w:r w:rsidRPr="00330989">
        <w:rPr>
          <w:rFonts w:hint="cs"/>
        </w:rPr>
        <w:t>а</w:t>
      </w:r>
      <w:r w:rsidRPr="00330989">
        <w:t xml:space="preserve"> </w:t>
      </w:r>
      <w:r w:rsidRPr="00330989">
        <w:rPr>
          <w:rFonts w:hint="cs"/>
        </w:rPr>
        <w:t>в</w:t>
      </w:r>
      <w:r w:rsidRPr="00330989">
        <w:t xml:space="preserve"> </w:t>
      </w:r>
      <w:r w:rsidRPr="00330989">
        <w:rPr>
          <w:rFonts w:hint="cs"/>
        </w:rPr>
        <w:t>процесите</w:t>
      </w:r>
      <w:r w:rsidRPr="00330989">
        <w:t xml:space="preserve"> </w:t>
      </w:r>
      <w:r w:rsidRPr="00330989">
        <w:rPr>
          <w:rFonts w:hint="cs"/>
        </w:rPr>
        <w:t>на</w:t>
      </w:r>
      <w:r w:rsidRPr="00330989">
        <w:t xml:space="preserve"> </w:t>
      </w:r>
      <w:r w:rsidRPr="00330989">
        <w:rPr>
          <w:rFonts w:hint="cs"/>
        </w:rPr>
        <w:t>вземане</w:t>
      </w:r>
      <w:r w:rsidRPr="00330989">
        <w:t xml:space="preserve"> </w:t>
      </w:r>
      <w:r w:rsidRPr="00330989">
        <w:rPr>
          <w:rFonts w:hint="cs"/>
        </w:rPr>
        <w:t>на</w:t>
      </w:r>
      <w:r w:rsidRPr="00330989">
        <w:t xml:space="preserve"> </w:t>
      </w:r>
      <w:r w:rsidRPr="00330989">
        <w:rPr>
          <w:rFonts w:hint="cs"/>
        </w:rPr>
        <w:t>решения</w:t>
      </w:r>
      <w:r w:rsidRPr="00330989">
        <w:t xml:space="preserve"> </w:t>
      </w:r>
      <w:r w:rsidRPr="00330989">
        <w:rPr>
          <w:rFonts w:hint="cs"/>
        </w:rPr>
        <w:t>на</w:t>
      </w:r>
      <w:r w:rsidRPr="00330989">
        <w:t xml:space="preserve"> </w:t>
      </w:r>
      <w:r w:rsidRPr="00330989">
        <w:rPr>
          <w:rFonts w:hint="cs"/>
        </w:rPr>
        <w:t>местно</w:t>
      </w:r>
      <w:r w:rsidRPr="00330989">
        <w:t xml:space="preserve">, </w:t>
      </w:r>
      <w:r w:rsidRPr="00330989">
        <w:rPr>
          <w:rFonts w:hint="cs"/>
        </w:rPr>
        <w:t>национално</w:t>
      </w:r>
      <w:r w:rsidRPr="00330989">
        <w:t xml:space="preserve"> </w:t>
      </w:r>
      <w:r w:rsidRPr="00330989">
        <w:rPr>
          <w:rFonts w:hint="cs"/>
        </w:rPr>
        <w:t>и</w:t>
      </w:r>
      <w:r w:rsidRPr="00330989">
        <w:t xml:space="preserve"> </w:t>
      </w:r>
      <w:r w:rsidRPr="00330989">
        <w:rPr>
          <w:rFonts w:hint="cs"/>
        </w:rPr>
        <w:t>европейско</w:t>
      </w:r>
      <w:r w:rsidRPr="00330989">
        <w:t xml:space="preserve"> </w:t>
      </w:r>
      <w:r w:rsidRPr="00330989">
        <w:rPr>
          <w:rFonts w:hint="cs"/>
        </w:rPr>
        <w:t>ниво</w:t>
      </w:r>
      <w:r w:rsidR="000F0FA5" w:rsidRPr="00C230AD">
        <w:t>.</w:t>
      </w:r>
    </w:p>
    <w:p w14:paraId="67F195CF" w14:textId="77777777" w:rsidR="00540F8B" w:rsidRPr="00DC5040" w:rsidRDefault="00540F8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ТЕМАТИЧНА ОБЛАСТ 7</w:t>
      </w:r>
    </w:p>
    <w:p w14:paraId="3A0D1DC9" w14:textId="77777777" w:rsidR="00540F8B" w:rsidRPr="00DC5040" w:rsidRDefault="00540F8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ГРАЖДАНСКО УЧАСТИЕ И ДЕМОКРАТИЧНА АНГАЖИРАНОСТ</w:t>
      </w:r>
    </w:p>
    <w:p w14:paraId="243C7DF7" w14:textId="77777777" w:rsidR="00A435DB" w:rsidRDefault="0014776B" w:rsidP="00A435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7.1 </w:t>
      </w:r>
      <w:r w:rsidR="00540F8B" w:rsidRPr="00C230AD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Представяне</w:t>
      </w:r>
    </w:p>
    <w:p w14:paraId="3FB92D52" w14:textId="0DA48DA6" w:rsidR="00540F8B" w:rsidRPr="00C230AD" w:rsidRDefault="00540F8B" w:rsidP="0027279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Активното участие на младите хора в демократичните процеси е основа за устойчиво</w:t>
      </w:r>
      <w:r w:rsidR="008606D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развитие на обществото. 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То </w:t>
      </w:r>
      <w:r w:rsidR="0071607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укрепва самата демокрация, но и формира бъдещите лидери и активни граждани, гарантира представителност на младите в процеси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</w:t>
      </w:r>
      <w:r w:rsidR="0071607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вземане на решения, осигурява превенция от апатия и радикализация</w:t>
      </w:r>
      <w:r w:rsidR="004A41D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Демократичната ангажираност на младите укрепва прозрачността, отчетността и легитимността на институциите. 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Областта цели да насърчи участието им в младежки съвети,</w:t>
      </w:r>
      <w:r w:rsidR="0071607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младежки организации</w:t>
      </w:r>
      <w:r w:rsidR="002727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обществени обсъждания, инициативи за местно самоуправление и национални </w:t>
      </w:r>
      <w:r w:rsid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местни </w:t>
      </w: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консултативни структури.</w:t>
      </w:r>
      <w:r w:rsidR="000828D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D5076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0828D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ематичната област насърчава и интерактивни подходи – симулации на парламентарни процеси, граждански форуми, младежки парламенти, кампании за демократич</w:t>
      </w:r>
      <w:r w:rsidR="00FD5076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култура и правна грамотност. </w:t>
      </w:r>
      <w:r w:rsidR="000828D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Особено внимание се отделя на младите хора от малки населени места и уязвими групи, за да им се осигури реален достъп до гражданския диалог и решенията, които засягат техния живот.</w:t>
      </w:r>
    </w:p>
    <w:p w14:paraId="3E0C6C4B" w14:textId="77777777" w:rsidR="00540F8B" w:rsidRPr="00C230AD" w:rsidRDefault="0014776B" w:rsidP="006C098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B61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7.2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540F8B"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Специфична цел/и на тематичната област</w:t>
      </w:r>
    </w:p>
    <w:p w14:paraId="7DA35A5A" w14:textId="0012FC0F" w:rsidR="00473C9B" w:rsidRPr="00473C9B" w:rsidRDefault="00473C9B" w:rsidP="00473C9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Насърчаване на активното гражданско участие на младите хора в процесите на вземане на решения на местно, национално и европейско ниво</w:t>
      </w:r>
      <w:r w:rsidR="007C210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ECE181E" w14:textId="64A39DC1" w:rsidR="00473C9B" w:rsidRPr="00473C9B" w:rsidRDefault="00473C9B" w:rsidP="00473C9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 на гражданската информираност и демо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кратичната култура, включително </w:t>
      </w: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знанията за права, отговорност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и принципите на демократично</w:t>
      </w: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управление, както и развитието на дигиталното гражданство</w:t>
      </w:r>
      <w:r w:rsidR="007C210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380269E" w14:textId="77777777" w:rsidR="00473C9B" w:rsidRPr="00473C9B" w:rsidRDefault="00473C9B" w:rsidP="00473C9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Подкрепа за устойчиви форми на младежко участие и диалог, насочени към укрепване на връзката между младите хора и публичните институции.</w:t>
      </w:r>
    </w:p>
    <w:p w14:paraId="26564EA5" w14:textId="77777777" w:rsidR="00540F8B" w:rsidRPr="00C230AD" w:rsidRDefault="0014776B" w:rsidP="00473C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B61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7.3</w:t>
      </w: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540F8B"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Съответствие</w:t>
      </w:r>
    </w:p>
    <w:p w14:paraId="5813E236" w14:textId="0A5CC453" w:rsidR="00DC5040" w:rsidRDefault="00330989" w:rsidP="001477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Приоритет</w:t>
      </w:r>
      <w:r w:rsidR="00785212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3:</w:t>
      </w:r>
      <w:r w:rsidR="0078521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Насърчаване на ангажираността, участието и овластяването на младите хора.</w:t>
      </w:r>
    </w:p>
    <w:p w14:paraId="0DDA1C65" w14:textId="6A645B8A" w:rsidR="00785212" w:rsidRPr="00C230AD" w:rsidRDefault="00330989" w:rsidP="001477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Стратегическа </w:t>
      </w:r>
      <w:r w:rsidR="00785212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цел 3.1:</w:t>
      </w:r>
      <w:r w:rsidR="0078521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Повишаване на нивото на гражданска ангажираност на младите хора.</w:t>
      </w:r>
    </w:p>
    <w:p w14:paraId="037FFBF4" w14:textId="4B0236A7" w:rsidR="00785212" w:rsidRPr="00C230AD" w:rsidRDefault="00330989" w:rsidP="00AD10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 xml:space="preserve">Стратегическа </w:t>
      </w:r>
      <w:r w:rsidR="00785212" w:rsidRPr="00C230A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цел 3.2:</w:t>
      </w:r>
      <w:r w:rsidR="0078521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AD1072" w:rsidRPr="00AD10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 на нивото на овластяване и качествено участие на младите хора в процесите на вземане на решения на местно, национално и европейско ниво</w:t>
      </w:r>
      <w:r w:rsidR="00785212"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5FF16806" w14:textId="77777777" w:rsidR="00540F8B" w:rsidRPr="00DC5040" w:rsidRDefault="00540F8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ТЕМАТИЧНА ОБЛАСТ 8</w:t>
      </w:r>
    </w:p>
    <w:p w14:paraId="4B30AAB6" w14:textId="77777777" w:rsidR="00540F8B" w:rsidRPr="00DC5040" w:rsidRDefault="00540F8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МЛАДЕЖКА РАБОТА И РАЗВИТИЕ НА КАПАЦИТЕТ В МЛАДЕЖКИЯ СЕКТОР</w:t>
      </w:r>
    </w:p>
    <w:p w14:paraId="2511DD9D" w14:textId="77777777" w:rsidR="00CA2B06" w:rsidRPr="00DC5040" w:rsidRDefault="0014776B" w:rsidP="00DC50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8.1</w:t>
      </w:r>
      <w:r w:rsidR="00705957" w:rsidRPr="00DC504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.</w:t>
      </w:r>
      <w:r w:rsidRPr="00DC504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</w:t>
      </w:r>
      <w:r w:rsidR="00540F8B" w:rsidRPr="00DC504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Представяне</w:t>
      </w:r>
    </w:p>
    <w:p w14:paraId="396F8D2D" w14:textId="76BCDDB3" w:rsidR="0016510C" w:rsidRPr="00C230AD" w:rsidRDefault="007B1CC4" w:rsidP="008C259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Младежката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работа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има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ключова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роля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личностното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социалното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подпомага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йки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тяхното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активно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участие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</w:t>
      </w:r>
      <w:r w:rsidRPr="007B1C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B1CC4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обществото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като подкрепя прехода им от дете към самостоятелен и отговорен възрастен.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Тя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представлява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цялостен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подход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овластяване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младежко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включване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който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използва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неформалното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учене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като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основен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инструмент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за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умения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нагласи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74CAB"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компетентности</w:t>
      </w:r>
      <w:r w:rsidR="00274CAB"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73C9B"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Тематичната област е насочена към укрепване на капацитета, качеството и обществената разпознаваемост на младежката работа в България чрез подкрепа за организациите и експертите в сектора, развитие на умения, както и насърчаване на устойчиви форми на координация и обмен на опит.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Тематичната област създава условия за създаване на устойчиви парт</w:t>
      </w:r>
      <w:r w:rsidR="008C25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ьорства между различните заинтересовани страни. </w:t>
      </w:r>
      <w:r w:rsidR="00473C9B"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Младежката работа се разглежда като дългосрочен процес за мотивация, личностно развитие и интеграция на младите хора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и</w:t>
      </w:r>
      <w:r w:rsidR="00473C9B"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като </w:t>
      </w:r>
      <w:r w:rsidR="00473C9B"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неразделна част от системата за образование, социално включване и местно развитие.</w:t>
      </w:r>
    </w:p>
    <w:p w14:paraId="0787D995" w14:textId="77777777" w:rsidR="00540F8B" w:rsidRPr="00C230AD" w:rsidRDefault="00540F8B" w:rsidP="006C098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8.2. Специфична цел/и на тематичната област</w:t>
      </w:r>
    </w:p>
    <w:p w14:paraId="01B2E1A1" w14:textId="17796BCD" w:rsidR="00473C9B" w:rsidRPr="00E676B8" w:rsidRDefault="00473C9B" w:rsidP="00E676B8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 на капацитета на организациите и специалистите, работещи с млади хора, чрез развитие на умения, методическа подкрепа и устойчиви фо</w:t>
      </w:r>
      <w:r w:rsid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рми на организационно укрепване;</w:t>
      </w:r>
    </w:p>
    <w:p w14:paraId="46868F51" w14:textId="2BD6C6A1" w:rsidR="00473C9B" w:rsidRPr="00E676B8" w:rsidRDefault="00473C9B" w:rsidP="00E676B8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Насърчаване на сътрудничеството и обмена на опит в младежката работа, включително чрез изграждане и развитие на мрежи и споделени практики</w:t>
      </w:r>
      <w:r w:rsid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3334E840" w14:textId="3870A451" w:rsidR="00473C9B" w:rsidRPr="00CB61D0" w:rsidRDefault="00473C9B" w:rsidP="00CB61D0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Утвърждаване на младежката работа като инструмент за личностно развитие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</w:t>
      </w:r>
      <w:r w:rsidR="007642C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младежко </w:t>
      </w:r>
      <w:r w:rsidR="00C626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включване</w:t>
      </w:r>
      <w:r w:rsidRPr="00473C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FBEB738" w14:textId="77777777" w:rsidR="00540F8B" w:rsidRPr="00473C9B" w:rsidRDefault="00540F8B" w:rsidP="00473C9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473C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8.3. Съответствие</w:t>
      </w:r>
    </w:p>
    <w:p w14:paraId="22879C43" w14:textId="51B3470E" w:rsidR="0016510C" w:rsidRPr="00C230AD" w:rsidRDefault="00083C64" w:rsidP="00CB2DAE">
      <w:pPr>
        <w:pStyle w:val="NormalWeb"/>
        <w:spacing w:line="276" w:lineRule="auto"/>
        <w:jc w:val="both"/>
      </w:pPr>
      <w:r>
        <w:rPr>
          <w:rStyle w:val="Strong"/>
        </w:rPr>
        <w:t>Приоритет</w:t>
      </w:r>
      <w:r w:rsidR="0016510C" w:rsidRPr="00C230AD">
        <w:rPr>
          <w:rStyle w:val="Strong"/>
        </w:rPr>
        <w:t xml:space="preserve"> 4:</w:t>
      </w:r>
      <w:r w:rsidR="0016510C" w:rsidRPr="00C230AD">
        <w:t xml:space="preserve"> Развитие и утвърждаване на младежката работа в национален мащаб.</w:t>
      </w:r>
    </w:p>
    <w:p w14:paraId="478283AA" w14:textId="1C5E430A" w:rsidR="0016510C" w:rsidRPr="00C230AD" w:rsidRDefault="00083C64" w:rsidP="00AD1072">
      <w:pPr>
        <w:pStyle w:val="NormalWeb"/>
        <w:jc w:val="both"/>
      </w:pPr>
      <w:r w:rsidRPr="00C230AD">
        <w:rPr>
          <w:rStyle w:val="Strong"/>
        </w:rPr>
        <w:t xml:space="preserve">Стратегическа </w:t>
      </w:r>
      <w:r w:rsidR="0016510C" w:rsidRPr="00C230AD">
        <w:rPr>
          <w:rStyle w:val="Strong"/>
        </w:rPr>
        <w:t>цел 4.1:</w:t>
      </w:r>
      <w:r w:rsidR="0016510C" w:rsidRPr="00C230AD">
        <w:t xml:space="preserve"> </w:t>
      </w:r>
      <w:r w:rsidR="00AD1072" w:rsidRPr="00AD1072">
        <w:t>Създаване на механизъм за разпознаване и развитие на младежка работа и разпространението ѝ</w:t>
      </w:r>
      <w:r w:rsidR="0016510C" w:rsidRPr="00C230AD">
        <w:t>.</w:t>
      </w:r>
    </w:p>
    <w:p w14:paraId="23211043" w14:textId="5224FC4A" w:rsidR="003B42EB" w:rsidRDefault="00083C64" w:rsidP="00CB2DAE">
      <w:pPr>
        <w:pStyle w:val="NormalWeb"/>
        <w:spacing w:line="276" w:lineRule="auto"/>
        <w:jc w:val="both"/>
      </w:pPr>
      <w:r w:rsidRPr="00C230AD">
        <w:rPr>
          <w:rStyle w:val="Strong"/>
        </w:rPr>
        <w:lastRenderedPageBreak/>
        <w:t xml:space="preserve">Стратегическа </w:t>
      </w:r>
      <w:r w:rsidR="0016510C" w:rsidRPr="00C230AD">
        <w:rPr>
          <w:rStyle w:val="Strong"/>
        </w:rPr>
        <w:t>цел 4.2:</w:t>
      </w:r>
      <w:r w:rsidR="0016510C" w:rsidRPr="00C230AD">
        <w:t xml:space="preserve"> </w:t>
      </w:r>
      <w:r w:rsidR="00AD1072" w:rsidRPr="00AD1072">
        <w:rPr>
          <w:rFonts w:hint="cs"/>
        </w:rPr>
        <w:t>Насърчаване</w:t>
      </w:r>
      <w:r w:rsidR="00AD1072" w:rsidRPr="00AD1072">
        <w:t xml:space="preserve"> </w:t>
      </w:r>
      <w:r w:rsidR="00AD1072" w:rsidRPr="00AD1072">
        <w:rPr>
          <w:rFonts w:hint="cs"/>
        </w:rPr>
        <w:t>на</w:t>
      </w:r>
      <w:r w:rsidR="00AD1072" w:rsidRPr="00AD1072">
        <w:t xml:space="preserve"> </w:t>
      </w:r>
      <w:r w:rsidR="00AD1072" w:rsidRPr="00AD1072">
        <w:rPr>
          <w:rFonts w:hint="cs"/>
        </w:rPr>
        <w:t>иновативни</w:t>
      </w:r>
      <w:r w:rsidR="00AD1072" w:rsidRPr="00AD1072">
        <w:t xml:space="preserve"> </w:t>
      </w:r>
      <w:r w:rsidR="00AD1072" w:rsidRPr="00AD1072">
        <w:rPr>
          <w:rFonts w:hint="cs"/>
        </w:rPr>
        <w:t>подходи</w:t>
      </w:r>
      <w:r w:rsidR="00AD1072" w:rsidRPr="00AD1072">
        <w:t xml:space="preserve"> </w:t>
      </w:r>
      <w:r w:rsidR="00AD1072" w:rsidRPr="00AD1072">
        <w:rPr>
          <w:rFonts w:hint="cs"/>
        </w:rPr>
        <w:t>в</w:t>
      </w:r>
      <w:r w:rsidR="00AD1072" w:rsidRPr="00AD1072">
        <w:t xml:space="preserve"> </w:t>
      </w:r>
      <w:r w:rsidR="00AD1072" w:rsidRPr="00AD1072">
        <w:rPr>
          <w:rFonts w:hint="cs"/>
        </w:rPr>
        <w:t>младежката</w:t>
      </w:r>
      <w:r w:rsidR="00AD1072" w:rsidRPr="00AD1072">
        <w:t xml:space="preserve"> </w:t>
      </w:r>
      <w:r w:rsidR="00AD1072" w:rsidRPr="00AD1072">
        <w:rPr>
          <w:rFonts w:hint="cs"/>
        </w:rPr>
        <w:t>работа</w:t>
      </w:r>
      <w:r w:rsidR="0016510C" w:rsidRPr="00C230AD">
        <w:t>.</w:t>
      </w:r>
    </w:p>
    <w:p w14:paraId="038E70C2" w14:textId="034FB2AC" w:rsidR="003B42EB" w:rsidRPr="00DC5040" w:rsidRDefault="003B42EB" w:rsidP="003B42EB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ТЕМАТИЧНА ОБЛАСТ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9</w:t>
      </w:r>
    </w:p>
    <w:p w14:paraId="0A888278" w14:textId="77777777" w:rsidR="003B42EB" w:rsidRPr="00DC5040" w:rsidRDefault="003B42EB" w:rsidP="003B42EB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НАЦИОНАЛНА МЛАДЕЖКА СТОЛИЦА НА БЪЛГАРИЯ</w:t>
      </w:r>
    </w:p>
    <w:p w14:paraId="3201EDB7" w14:textId="77777777" w:rsidR="003B42EB" w:rsidRPr="00DC5040" w:rsidRDefault="003B42EB" w:rsidP="003B42E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10.1. Представяне</w:t>
      </w:r>
    </w:p>
    <w:p w14:paraId="0F096132" w14:textId="4ABA6A59" w:rsidR="003B42EB" w:rsidRDefault="003B42EB" w:rsidP="00274CAB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Титлата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Национална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младежка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столица</w:t>
      </w:r>
      <w:r w:rsidRPr="00274CAB">
        <w:rPr>
          <w:rFonts w:ascii="Times New Roman" w:eastAsia="Times New Roman" w:hAnsi="Times New Roman" w:cs="Times New Roman" w:hint="eastAsia"/>
          <w:sz w:val="24"/>
          <w:szCs w:val="24"/>
          <w:lang w:val="bg-BG" w:eastAsia="bg-BG"/>
        </w:rPr>
        <w:t>“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има за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цел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насърчи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развитието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на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местни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младежки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политики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и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да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овласти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младите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хора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стимулирайки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тяхното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74CAB">
        <w:rPr>
          <w:rFonts w:ascii="Times New Roman" w:eastAsia="Times New Roman" w:hAnsi="Times New Roman" w:cs="Times New Roman" w:hint="cs"/>
          <w:sz w:val="24"/>
          <w:szCs w:val="24"/>
          <w:lang w:val="bg-BG" w:eastAsia="bg-BG"/>
        </w:rPr>
        <w:t>участие</w:t>
      </w:r>
      <w:r w:rsidRP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274C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Тематичната област </w:t>
      </w:r>
      <w:r w:rsidR="008832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насочена към насърчаване </w:t>
      </w:r>
      <w:r w:rsidRPr="00A703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развитието на устойчиви местни младежки политики и активно участие на младите хора в обществения живот чрез ежегоден избор на град – носител на титлата. Инициативата стимулира общините да интегрират младежката перспектива в различни сектори на местното развитие, да създават условия за реално участие на младите хора в процесите на вземане на решения и да прилагат иновативни подходи в работата с и за младежта. Чрез реализирането на комплексна годишна програма от дейности с местен, национален и международен елемент се насърчава обменът на добри практики, укрепването на младежкия сектор и утвърждаването на младежкото участие като ключов фактор за устойчивото развитие на общностите.</w:t>
      </w:r>
    </w:p>
    <w:p w14:paraId="75E27B3A" w14:textId="77777777" w:rsidR="003B42EB" w:rsidRPr="00DC5040" w:rsidRDefault="003B42EB" w:rsidP="003B42E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10.2. Специфична цел/и на тематичната област</w:t>
      </w:r>
    </w:p>
    <w:p w14:paraId="0C9E4587" w14:textId="3AE7036D" w:rsidR="003B42EB" w:rsidRDefault="003B42EB" w:rsidP="003B42EB">
      <w:pPr>
        <w:pStyle w:val="ListParagraph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703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Насърчаване на активното участие на младите хора в обществения живот и </w:t>
      </w:r>
      <w:r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местнит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процеси на вземане на решения</w:t>
      </w:r>
      <w:r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чрез създаване на условия за реално младежко включване н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общинско ниво;</w:t>
      </w:r>
    </w:p>
    <w:p w14:paraId="2EDDFD6C" w14:textId="04635441" w:rsidR="003B42EB" w:rsidRPr="00DC5040" w:rsidRDefault="003B42EB" w:rsidP="003B42EB">
      <w:pPr>
        <w:pStyle w:val="ListParagraph"/>
        <w:numPr>
          <w:ilvl w:val="0"/>
          <w:numId w:val="32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Подкрепа за развитието и прилагането на устойчиви местни младежки политики, които интегрират младежката перспектива в различ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 сектори на местното развитие;</w:t>
      </w:r>
    </w:p>
    <w:p w14:paraId="154FE69D" w14:textId="6F44710F" w:rsidR="003B42EB" w:rsidRPr="00DC5040" w:rsidRDefault="003B42EB" w:rsidP="003B42EB">
      <w:pPr>
        <w:pStyle w:val="ListParagraph"/>
        <w:numPr>
          <w:ilvl w:val="0"/>
          <w:numId w:val="32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Стимулиране на иновативни подходи, партньорства и обмен на добри практики в работата с и за младежта, с цел укрепване на младежкия сектор и повишаване 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качеството на младежките дейности.</w:t>
      </w:r>
    </w:p>
    <w:p w14:paraId="354EC85D" w14:textId="77777777" w:rsidR="003B42EB" w:rsidRDefault="003B42EB" w:rsidP="003B42E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8A64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10.3. Съответствие</w:t>
      </w:r>
    </w:p>
    <w:p w14:paraId="2A695B86" w14:textId="77777777" w:rsidR="003B42EB" w:rsidRPr="00083C64" w:rsidRDefault="003B42EB" w:rsidP="003B42EB">
      <w:pPr>
        <w:pStyle w:val="NormalWeb"/>
        <w:jc w:val="both"/>
      </w:pPr>
      <w:r>
        <w:rPr>
          <w:rStyle w:val="Strong"/>
        </w:rPr>
        <w:t>Приоритет</w:t>
      </w:r>
      <w:r w:rsidRPr="00C230AD">
        <w:rPr>
          <w:rStyle w:val="Strong"/>
        </w:rPr>
        <w:t xml:space="preserve"> </w:t>
      </w:r>
      <w:r>
        <w:rPr>
          <w:rStyle w:val="Strong"/>
        </w:rPr>
        <w:t>3</w:t>
      </w:r>
      <w:r w:rsidRPr="00C230AD">
        <w:rPr>
          <w:rStyle w:val="Strong"/>
        </w:rPr>
        <w:t>:</w:t>
      </w:r>
      <w:r w:rsidRPr="00C230AD">
        <w:t xml:space="preserve"> </w:t>
      </w:r>
      <w:r w:rsidRPr="00083C64">
        <w:t xml:space="preserve">Насърчаване на ангажираността, участието и овластяването на </w:t>
      </w:r>
    </w:p>
    <w:p w14:paraId="26E8DEF3" w14:textId="77777777" w:rsidR="003B42EB" w:rsidRPr="00C230AD" w:rsidRDefault="003B42EB" w:rsidP="003B42EB">
      <w:pPr>
        <w:pStyle w:val="NormalWeb"/>
        <w:spacing w:line="276" w:lineRule="auto"/>
        <w:jc w:val="both"/>
      </w:pPr>
      <w:r w:rsidRPr="00083C64">
        <w:t>младите хора</w:t>
      </w:r>
      <w:r w:rsidRPr="00C230AD">
        <w:t>.</w:t>
      </w:r>
    </w:p>
    <w:p w14:paraId="4EBDDDC1" w14:textId="77777777" w:rsidR="003B42EB" w:rsidRDefault="003B42EB" w:rsidP="003B42EB">
      <w:pPr>
        <w:pStyle w:val="NormalWeb"/>
        <w:jc w:val="both"/>
      </w:pPr>
      <w:r w:rsidRPr="00C230AD">
        <w:rPr>
          <w:rStyle w:val="Strong"/>
        </w:rPr>
        <w:t xml:space="preserve">Стратегическа цел </w:t>
      </w:r>
      <w:r>
        <w:rPr>
          <w:rStyle w:val="Strong"/>
        </w:rPr>
        <w:t>3</w:t>
      </w:r>
      <w:r w:rsidRPr="00C230AD">
        <w:rPr>
          <w:rStyle w:val="Strong"/>
        </w:rPr>
        <w:t>.1:</w:t>
      </w:r>
      <w:r w:rsidRPr="00C230AD">
        <w:t xml:space="preserve"> </w:t>
      </w:r>
      <w:r w:rsidRPr="00083C64">
        <w:rPr>
          <w:rFonts w:hint="cs"/>
        </w:rPr>
        <w:t>Повишаване</w:t>
      </w:r>
      <w:r w:rsidRPr="00083C64">
        <w:t xml:space="preserve"> </w:t>
      </w:r>
      <w:r w:rsidRPr="00083C64">
        <w:rPr>
          <w:rFonts w:hint="cs"/>
        </w:rPr>
        <w:t>на</w:t>
      </w:r>
      <w:r w:rsidRPr="00083C64">
        <w:t xml:space="preserve"> </w:t>
      </w:r>
      <w:r w:rsidRPr="00083C64">
        <w:rPr>
          <w:rFonts w:hint="cs"/>
        </w:rPr>
        <w:t>нивото</w:t>
      </w:r>
      <w:r w:rsidRPr="00083C64">
        <w:t xml:space="preserve"> </w:t>
      </w:r>
      <w:r w:rsidRPr="00083C64">
        <w:rPr>
          <w:rFonts w:hint="cs"/>
        </w:rPr>
        <w:t>на</w:t>
      </w:r>
      <w:r w:rsidRPr="00083C64">
        <w:t xml:space="preserve"> </w:t>
      </w:r>
      <w:r w:rsidRPr="00083C64">
        <w:rPr>
          <w:rFonts w:hint="cs"/>
        </w:rPr>
        <w:t>гражданска</w:t>
      </w:r>
      <w:r w:rsidRPr="00083C64">
        <w:t xml:space="preserve"> </w:t>
      </w:r>
      <w:r w:rsidRPr="00083C64">
        <w:rPr>
          <w:rFonts w:hint="cs"/>
        </w:rPr>
        <w:t>ангажираност</w:t>
      </w:r>
      <w:r w:rsidRPr="00083C64">
        <w:t xml:space="preserve"> </w:t>
      </w:r>
      <w:r w:rsidRPr="00083C64">
        <w:rPr>
          <w:rFonts w:hint="cs"/>
        </w:rPr>
        <w:t>на</w:t>
      </w:r>
      <w:r w:rsidRPr="00083C64">
        <w:t xml:space="preserve"> </w:t>
      </w:r>
      <w:r w:rsidRPr="00083C64">
        <w:rPr>
          <w:rFonts w:hint="cs"/>
        </w:rPr>
        <w:t>младите</w:t>
      </w:r>
      <w:r w:rsidRPr="00083C64">
        <w:t xml:space="preserve"> </w:t>
      </w:r>
      <w:r w:rsidRPr="00083C64">
        <w:rPr>
          <w:rFonts w:hint="cs"/>
        </w:rPr>
        <w:t>хора</w:t>
      </w:r>
      <w:r>
        <w:t>.</w:t>
      </w:r>
    </w:p>
    <w:p w14:paraId="12F7ED2F" w14:textId="72532001" w:rsidR="008A64FD" w:rsidRPr="00C230AD" w:rsidRDefault="003B42EB" w:rsidP="003B42EB">
      <w:pPr>
        <w:pStyle w:val="NormalWeb"/>
        <w:jc w:val="both"/>
      </w:pPr>
      <w:r w:rsidRPr="00C230AD">
        <w:rPr>
          <w:rStyle w:val="Strong"/>
        </w:rPr>
        <w:lastRenderedPageBreak/>
        <w:t xml:space="preserve">Стратегическа цел </w:t>
      </w:r>
      <w:r>
        <w:rPr>
          <w:rStyle w:val="Strong"/>
        </w:rPr>
        <w:t>3</w:t>
      </w:r>
      <w:r w:rsidRPr="00C230AD">
        <w:rPr>
          <w:rStyle w:val="Strong"/>
        </w:rPr>
        <w:t>.2:</w:t>
      </w:r>
      <w:r w:rsidRPr="00C230AD">
        <w:t xml:space="preserve"> </w:t>
      </w:r>
      <w:r w:rsidRPr="00083C64">
        <w:t>Повишаване</w:t>
      </w:r>
      <w:r>
        <w:t xml:space="preserve"> </w:t>
      </w:r>
      <w:r w:rsidRPr="00083C64">
        <w:t>на</w:t>
      </w:r>
      <w:r>
        <w:t xml:space="preserve"> </w:t>
      </w:r>
      <w:r w:rsidRPr="00083C64">
        <w:t>нивото</w:t>
      </w:r>
      <w:r>
        <w:t xml:space="preserve"> </w:t>
      </w:r>
      <w:r w:rsidRPr="00083C64">
        <w:t>на</w:t>
      </w:r>
      <w:r>
        <w:t xml:space="preserve"> </w:t>
      </w:r>
      <w:r w:rsidRPr="00083C64">
        <w:t>овластяване</w:t>
      </w:r>
      <w:r>
        <w:t xml:space="preserve"> </w:t>
      </w:r>
      <w:r w:rsidRPr="00083C64">
        <w:t>и</w:t>
      </w:r>
      <w:r>
        <w:t xml:space="preserve"> </w:t>
      </w:r>
      <w:r w:rsidRPr="00083C64">
        <w:t>качествено</w:t>
      </w:r>
      <w:r>
        <w:t xml:space="preserve"> </w:t>
      </w:r>
      <w:r w:rsidRPr="00083C64">
        <w:t>участие</w:t>
      </w:r>
      <w:r>
        <w:t xml:space="preserve"> </w:t>
      </w:r>
      <w:r w:rsidRPr="00083C64">
        <w:t>на</w:t>
      </w:r>
      <w:r>
        <w:t xml:space="preserve"> </w:t>
      </w:r>
      <w:r w:rsidRPr="00083C64">
        <w:t>младите</w:t>
      </w:r>
      <w:r>
        <w:t xml:space="preserve"> </w:t>
      </w:r>
      <w:r w:rsidRPr="00083C64">
        <w:t>хора</w:t>
      </w:r>
      <w:r>
        <w:t xml:space="preserve"> </w:t>
      </w:r>
      <w:r w:rsidRPr="00083C64">
        <w:t>в</w:t>
      </w:r>
      <w:r>
        <w:t xml:space="preserve"> </w:t>
      </w:r>
      <w:r w:rsidRPr="00083C64">
        <w:t>процесите</w:t>
      </w:r>
      <w:r>
        <w:t xml:space="preserve"> </w:t>
      </w:r>
      <w:r w:rsidRPr="00083C64">
        <w:t>на</w:t>
      </w:r>
      <w:r>
        <w:t xml:space="preserve"> </w:t>
      </w:r>
      <w:r w:rsidRPr="00083C64">
        <w:t>вземане</w:t>
      </w:r>
      <w:r>
        <w:t xml:space="preserve"> </w:t>
      </w:r>
      <w:r w:rsidRPr="00083C64">
        <w:t>на</w:t>
      </w:r>
      <w:r>
        <w:t xml:space="preserve"> </w:t>
      </w:r>
      <w:r w:rsidRPr="00083C64">
        <w:t>решения</w:t>
      </w:r>
      <w:r>
        <w:t xml:space="preserve"> </w:t>
      </w:r>
      <w:r w:rsidRPr="00083C64">
        <w:t>на</w:t>
      </w:r>
      <w:r>
        <w:t xml:space="preserve"> </w:t>
      </w:r>
      <w:r w:rsidRPr="00083C64">
        <w:t>местно</w:t>
      </w:r>
      <w:r>
        <w:t xml:space="preserve">, </w:t>
      </w:r>
      <w:r w:rsidRPr="00083C64">
        <w:t>национално</w:t>
      </w:r>
      <w:r>
        <w:t xml:space="preserve"> </w:t>
      </w:r>
      <w:r w:rsidRPr="00083C64">
        <w:t>и</w:t>
      </w:r>
      <w:r>
        <w:t xml:space="preserve"> </w:t>
      </w:r>
      <w:r w:rsidRPr="00083C64">
        <w:t>европейско</w:t>
      </w:r>
      <w:r>
        <w:t xml:space="preserve"> </w:t>
      </w:r>
      <w:r w:rsidRPr="00083C64">
        <w:t>ниво</w:t>
      </w:r>
      <w:r w:rsidRPr="00C230AD">
        <w:t>.</w:t>
      </w:r>
    </w:p>
    <w:p w14:paraId="682CA340" w14:textId="6BDF8A53" w:rsidR="00540F8B" w:rsidRPr="00DC5040" w:rsidRDefault="00540F8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ТЕМАТИЧНА ОБЛАСТ </w:t>
      </w:r>
      <w:r w:rsidR="003B42E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10</w:t>
      </w:r>
    </w:p>
    <w:p w14:paraId="137FAACA" w14:textId="27C21AB4" w:rsidR="00540F8B" w:rsidRPr="00DC5040" w:rsidRDefault="00274CAB" w:rsidP="00DC5040">
      <w:pPr>
        <w:shd w:val="clear" w:color="auto" w:fill="00B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МЛАДЕЖКА ПОЛИТИКА БАЗИРАНА </w:t>
      </w:r>
      <w:r w:rsidR="00540F8B" w:rsidRPr="00DC50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НА ДОКАЗАТЕЛСТВА</w:t>
      </w:r>
    </w:p>
    <w:p w14:paraId="23C7C760" w14:textId="77777777" w:rsidR="0093725C" w:rsidRPr="00C230AD" w:rsidRDefault="00540F8B" w:rsidP="00CA2B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</w:t>
      </w:r>
      <w:r w:rsidR="00CB2DAE"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9.1 </w:t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Представяне</w:t>
      </w:r>
    </w:p>
    <w:p w14:paraId="423865FF" w14:textId="55CED0FE" w:rsidR="00CB61D0" w:rsidRDefault="006F3E44" w:rsidP="00274CAB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Младежките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изследвания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имат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съществен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принос</w:t>
      </w:r>
      <w:r w:rsidR="006565A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както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за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теоретичното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осмисляне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променящите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се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условия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в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прехода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от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дете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към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възрастен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така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за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формулирането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практически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решения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отговарящи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реалните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потребности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младите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хора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Всяко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изследване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предоставя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обобщени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систематизирани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данни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които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само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очертават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текущото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състояние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младежкото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поле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идентифицират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ключови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проблеми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настъпили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промени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позволяващи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обективна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оценка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и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ефективно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управление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на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3E44">
        <w:rPr>
          <w:rFonts w:ascii="Times New Roman" w:hAnsi="Times New Roman" w:cs="Times New Roman" w:hint="cs"/>
          <w:sz w:val="24"/>
          <w:szCs w:val="24"/>
          <w:lang w:val="bg-BG"/>
        </w:rPr>
        <w:t>политиките</w:t>
      </w:r>
      <w:r w:rsidRPr="006F3E44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7245" w:rsidRPr="003A7245">
        <w:rPr>
          <w:rFonts w:ascii="Times New Roman" w:hAnsi="Times New Roman" w:cs="Times New Roman"/>
          <w:sz w:val="24"/>
          <w:szCs w:val="24"/>
          <w:lang w:val="bg-BG"/>
        </w:rPr>
        <w:t>Тематичната област е насочена към подпомагане на изследвания и аналитични дейности в сферата на младежта, които да предоставят надеждна информация за потребностите, нагласите и участието на младите хора. Чрез финансиране на проучвания, анализи и оценки Министерството на младежта и спорта ще разполага с конкретни данни и обосновани изводи, необходими за планиране, подобряване и оценка на младежките политики и програми. Дейностите по тази тематична област ще подпомагат вземането на информирани решения, по-ефективното насочване на публичните средства и разработването на мерки, които отговарят на реалните потребности на младите хора.</w:t>
      </w:r>
    </w:p>
    <w:p w14:paraId="08ADC35A" w14:textId="77777777" w:rsidR="00540F8B" w:rsidRPr="00CB61D0" w:rsidRDefault="00540F8B" w:rsidP="00CB6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</w:r>
      <w:r w:rsidRPr="00C230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9.2. Специфична цел/и на тематичната област</w:t>
      </w:r>
    </w:p>
    <w:p w14:paraId="0D2C13C3" w14:textId="1B1889EA" w:rsidR="003A7245" w:rsidRDefault="003A7245" w:rsidP="00E676B8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A724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Осигуряване на надеждни данни и анализи за състоянието, потребностите и развитието на младите хора, необходими за планиране и усъвършенстване на младежките политики</w:t>
      </w:r>
      <w:r w:rsidR="00A1313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EFEDEED" w14:textId="2E5CFC02" w:rsidR="003A7245" w:rsidRPr="003A7245" w:rsidRDefault="003A7245" w:rsidP="00E676B8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3A724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Подкрепа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провеждане на изследвания, </w:t>
      </w:r>
      <w:r w:rsidR="003C69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анализи и </w:t>
      </w:r>
      <w:r w:rsidRPr="003A724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оценки на въздействието на младежките дейности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3A724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цел повишаване на тяхната ефективност и резултатност</w:t>
      </w:r>
      <w:r w:rsidR="00A1313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2BB280D" w14:textId="1548EBCE" w:rsidR="003A7245" w:rsidRPr="003A7245" w:rsidRDefault="006565A0" w:rsidP="00E676B8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Подобряване</w:t>
      </w:r>
      <w:r w:rsidR="003A7245" w:rsidRPr="003A724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процесите на вземане 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решения в младежката политика</w:t>
      </w:r>
      <w:r w:rsidR="003A7245" w:rsidRPr="003A724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чрез системно използване на данни и доказателства при определяне на приоритети и мерки в подкрепа на младите хора.</w:t>
      </w:r>
      <w:r w:rsidR="003A7245" w:rsidRPr="003A72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</w:t>
      </w:r>
    </w:p>
    <w:p w14:paraId="74717809" w14:textId="5507BC60" w:rsidR="00DC5040" w:rsidRDefault="00DC5040" w:rsidP="00DC504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4D29202" w14:textId="30ABC8FC" w:rsidR="00606A3E" w:rsidRDefault="00606A3E" w:rsidP="00DC504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94A2FA8" w14:textId="77777777" w:rsidR="00606A3E" w:rsidRDefault="00606A3E" w:rsidP="00DC504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820CE96" w14:textId="77777777" w:rsidR="003B42EB" w:rsidRPr="00B819A5" w:rsidRDefault="003B42EB" w:rsidP="00DC504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7DBEB80" w14:textId="77777777" w:rsidR="00525F84" w:rsidRPr="00DC5040" w:rsidRDefault="00BE3DB2" w:rsidP="00B9444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5040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VI. ОБЩИ УСЛОВИЯ. ИНДИКАТОРИ</w:t>
      </w:r>
    </w:p>
    <w:p w14:paraId="3AE65189" w14:textId="77777777" w:rsidR="00DC5040" w:rsidRDefault="00B40EE5" w:rsidP="00DC50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1. Общи условия </w:t>
      </w:r>
    </w:p>
    <w:p w14:paraId="30D2CBEA" w14:textId="1C4A0EE7" w:rsidR="00B40EE5" w:rsidRPr="00DC5040" w:rsidRDefault="00B47028" w:rsidP="00CB61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hAnsi="Times New Roman" w:cs="Times New Roman"/>
          <w:sz w:val="24"/>
          <w:szCs w:val="24"/>
          <w:lang w:val="bg-BG"/>
        </w:rPr>
        <w:t xml:space="preserve">1.1.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осъществяване на дейности, за които е необходимо лицензиране, разрешение, регистрация, вписване или дейността се извършва от лица с нормативно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установена квалификация, кандидатите следва да удостоверят изпълнението им в съответствие с нормативните изисквания.</w:t>
      </w:r>
    </w:p>
    <w:p w14:paraId="21E58D00" w14:textId="77777777" w:rsidR="00B47028" w:rsidRPr="00DC5040" w:rsidRDefault="00B40EE5" w:rsidP="00CB61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1.2. Изработените по проектите материали/продукти не могат да бъдат използвани за стопански цели и не могат да се реализират като търговски стоки.</w:t>
      </w:r>
    </w:p>
    <w:p w14:paraId="7E5F0D4A" w14:textId="7B31A27A" w:rsidR="00B40EE5" w:rsidRDefault="00B47028" w:rsidP="00CB6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1.3.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Всяка тематична област по Програмата може да се обявява самостоятелно или в комбинация с други, в зависимост от </w:t>
      </w:r>
      <w:r w:rsidR="009C73A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степента на изпълнение на стратегическите цели,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установените потребности на младите хора, социално-икономическата динамика и приоритетите, определени от министъра на младежта </w:t>
      </w:r>
      <w:r w:rsidR="008E402E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спорта за съответната го</w:t>
      </w:r>
      <w:r w:rsidR="006565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дина. Поради ротационния подход</w:t>
      </w:r>
      <w:r w:rsidR="008E402E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предвижда в рамките на всеки програмен период да бъдат активирани </w:t>
      </w:r>
      <w:r w:rsid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част от</w:t>
      </w:r>
      <w:r w:rsidR="008E402E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тематични</w:t>
      </w:r>
      <w:r w:rsid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</w:t>
      </w:r>
      <w:r w:rsidR="008E402E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области, а останалите да се реализират в следващи конкурсни цикли или при проя</w:t>
      </w:r>
      <w:r w:rsidR="007274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вен по-висок обществен интерес.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Прилагането на ротационен принцип при обявяв</w:t>
      </w:r>
      <w:r w:rsidR="008E402E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ане на тематичните области цели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равномерно разпред</w:t>
      </w:r>
      <w:r w:rsidR="008E402E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еление на ресурсите във времето,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осигуряване на по-дълбок</w:t>
      </w:r>
      <w:r w:rsidR="008E402E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устойчив ефект на дейностите </w:t>
      </w:r>
      <w:r w:rsidR="00B40EE5" w:rsidRPr="00DC50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възможност за тематичен фокус и детайлна оценка на резултатите по всяка област.</w:t>
      </w:r>
    </w:p>
    <w:p w14:paraId="7F70AEA3" w14:textId="425EFB28" w:rsidR="007B2137" w:rsidRPr="00C230AD" w:rsidRDefault="007B2137" w:rsidP="003B42E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4C8F2F9" w14:textId="77777777" w:rsidR="002B1633" w:rsidRPr="00C230AD" w:rsidRDefault="00B40EE5" w:rsidP="00CB61D0">
      <w:pPr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230AD">
        <w:rPr>
          <w:rFonts w:ascii="Times New Roman" w:hAnsi="Times New Roman" w:cs="Times New Roman"/>
          <w:b/>
          <w:sz w:val="24"/>
          <w:szCs w:val="24"/>
          <w:lang w:val="bg-BG"/>
        </w:rPr>
        <w:t>2. Индикатори</w:t>
      </w:r>
    </w:p>
    <w:p w14:paraId="4C1E03D0" w14:textId="6C3A6AFB" w:rsidR="004D3ED0" w:rsidRPr="00B36419" w:rsidRDefault="00CB61D0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При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реализиране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проекти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Програмата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целия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програмен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период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2026–2030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г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следва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да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бъдат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обхванати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кумулативно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не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малко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от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5144" w:rsidRPr="00606A3E">
        <w:rPr>
          <w:rFonts w:ascii="Times New Roman" w:hAnsi="Times New Roman" w:cs="Times New Roman"/>
          <w:color w:val="auto"/>
          <w:sz w:val="24"/>
          <w:szCs w:val="24"/>
        </w:rPr>
        <w:t>16,5</w:t>
      </w:r>
      <w:r w:rsidR="004D3ED0" w:rsidRPr="00606A3E">
        <w:rPr>
          <w:rFonts w:ascii="Times New Roman" w:hAnsi="Times New Roman" w:cs="Times New Roman"/>
          <w:color w:val="auto"/>
          <w:sz w:val="24"/>
          <w:szCs w:val="24"/>
        </w:rPr>
        <w:t xml:space="preserve"> % </w:t>
      </w:r>
      <w:r w:rsidR="004D3ED0" w:rsidRPr="00606A3E">
        <w:rPr>
          <w:rFonts w:ascii="Times New Roman" w:hAnsi="Times New Roman" w:cs="Times New Roman" w:hint="cs"/>
          <w:color w:val="auto"/>
          <w:sz w:val="24"/>
          <w:szCs w:val="24"/>
        </w:rPr>
        <w:t>от</w:t>
      </w:r>
      <w:r w:rsidR="004D3ED0" w:rsidRPr="00606A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606A3E">
        <w:rPr>
          <w:rFonts w:ascii="Times New Roman" w:hAnsi="Times New Roman" w:cs="Times New Roman" w:hint="cs"/>
          <w:color w:val="auto"/>
          <w:sz w:val="24"/>
          <w:szCs w:val="24"/>
        </w:rPr>
        <w:t>младите</w:t>
      </w:r>
      <w:r w:rsidR="004D3ED0" w:rsidRPr="00606A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606A3E">
        <w:rPr>
          <w:rFonts w:ascii="Times New Roman" w:hAnsi="Times New Roman" w:cs="Times New Roman" w:hint="cs"/>
          <w:color w:val="auto"/>
          <w:sz w:val="24"/>
          <w:szCs w:val="24"/>
        </w:rPr>
        <w:t>хора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страната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съгласно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официалните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данни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Националния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статистически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институт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като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не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малко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от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10 %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от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общия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брой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6A3E">
        <w:rPr>
          <w:rFonts w:ascii="Times New Roman" w:hAnsi="Times New Roman" w:cs="Times New Roman"/>
          <w:color w:val="auto"/>
          <w:sz w:val="24"/>
          <w:szCs w:val="24"/>
        </w:rPr>
        <w:t>обхванати</w:t>
      </w:r>
      <w:r w:rsidR="00606A3E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се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отнасят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до</w:t>
      </w:r>
      <w:r w:rsidR="004D3ED0"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4D3ED0">
        <w:rPr>
          <w:rFonts w:ascii="Times New Roman" w:hAnsi="Times New Roman" w:cs="Times New Roman" w:hint="cs"/>
          <w:color w:val="auto"/>
          <w:sz w:val="24"/>
          <w:szCs w:val="24"/>
        </w:rPr>
        <w:t>млади</w:t>
      </w:r>
      <w:r w:rsidR="004D3ED0" w:rsidRPr="003B42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ED0" w:rsidRPr="003B42EB">
        <w:rPr>
          <w:rFonts w:ascii="Times New Roman" w:hAnsi="Times New Roman" w:cs="Times New Roman" w:hint="cs"/>
          <w:color w:val="auto"/>
          <w:sz w:val="24"/>
          <w:szCs w:val="24"/>
        </w:rPr>
        <w:t>хора</w:t>
      </w:r>
      <w:r w:rsidR="004D3ED0" w:rsidRPr="003B42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42EB" w:rsidRPr="003B42EB">
        <w:rPr>
          <w:rFonts w:ascii="Times New Roman" w:hAnsi="Times New Roman" w:cs="Times New Roman" w:hint="cs"/>
          <w:color w:val="auto"/>
          <w:sz w:val="24"/>
          <w:szCs w:val="24"/>
        </w:rPr>
        <w:t>от групата NEETs</w:t>
      </w:r>
      <w:r w:rsidR="004D3ED0" w:rsidRPr="003B42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68515BC" w14:textId="656AAD04" w:rsidR="004D3ED0" w:rsidRPr="004D3ED0" w:rsidRDefault="004D3ED0" w:rsidP="0001143D">
      <w:pPr>
        <w:pStyle w:val="Normal1"/>
        <w:tabs>
          <w:tab w:val="left" w:pos="284"/>
        </w:tabs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Индикаторът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обхват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отчита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чрез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броя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включени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участници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достигане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целеви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групи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финансираните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дейности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без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изискване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доказване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уникалност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участниците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рамките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програмния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период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условията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конкретните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процедури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кандидатстване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могат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бъдат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залагани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допълнителни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65A0">
        <w:rPr>
          <w:rFonts w:ascii="Times New Roman" w:hAnsi="Times New Roman" w:cs="Times New Roman"/>
          <w:color w:val="auto"/>
          <w:sz w:val="24"/>
          <w:szCs w:val="24"/>
        </w:rPr>
        <w:t>под</w:t>
      </w:r>
      <w:r w:rsidR="006565A0" w:rsidRPr="004D3ED0">
        <w:rPr>
          <w:rFonts w:ascii="Times New Roman" w:hAnsi="Times New Roman" w:cs="Times New Roman"/>
          <w:color w:val="auto"/>
          <w:sz w:val="24"/>
          <w:szCs w:val="24"/>
        </w:rPr>
        <w:t>индикатори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съобразно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годишните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приоритети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спецификата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финансираните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дейности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включително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вид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дейност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териториален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обхват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възрастови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подгрупи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други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релевантни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характеристики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9F989A" w14:textId="6B289EE9" w:rsidR="004D3ED0" w:rsidRPr="004D3ED0" w:rsidRDefault="004D3ED0" w:rsidP="0001143D">
      <w:pPr>
        <w:pStyle w:val="Normal1"/>
        <w:tabs>
          <w:tab w:val="left" w:pos="28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рамките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програмния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период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цели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всяка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тематичните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области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Програмата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бъде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определена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като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приоритет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поне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веднъж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като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зависимост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установените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потребности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отчетените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резултати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проявения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интерес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кандидатстване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отделни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тематични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области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могат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бъдат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65A0" w:rsidRPr="004D3ED0">
        <w:rPr>
          <w:rFonts w:ascii="Times New Roman" w:hAnsi="Times New Roman" w:cs="Times New Roman"/>
          <w:color w:val="auto"/>
          <w:sz w:val="24"/>
          <w:szCs w:val="24"/>
        </w:rPr>
        <w:t>приоритизиране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повторно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7AE147A" w14:textId="016D47D0" w:rsidR="00B47028" w:rsidRDefault="004D3ED0" w:rsidP="0001143D">
      <w:pPr>
        <w:pStyle w:val="Normal1"/>
        <w:tabs>
          <w:tab w:val="left" w:pos="28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всяка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обявена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процедура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залагат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конкретни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6A3E">
        <w:rPr>
          <w:rFonts w:ascii="Times New Roman" w:hAnsi="Times New Roman" w:cs="Times New Roman"/>
          <w:color w:val="auto"/>
          <w:sz w:val="24"/>
          <w:szCs w:val="24"/>
        </w:rPr>
        <w:t>под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индикатори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изпълнение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съобразени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със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съответната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тематична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област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заложените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годишни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приоритети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като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например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брой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включени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участници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брой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реализирани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дейности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брой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създадени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или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приложени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модели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методи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инструменти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достигнати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общности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реализирани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информационни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комуникационни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дейности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изготвени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анализи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изследвания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Отчитането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индикаторите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извършва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съгласно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условията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кандидатстване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утвърдените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правила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мониторинг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контрол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изпълнението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3ED0">
        <w:rPr>
          <w:rFonts w:ascii="Times New Roman" w:hAnsi="Times New Roman" w:cs="Times New Roman" w:hint="cs"/>
          <w:color w:val="auto"/>
          <w:sz w:val="24"/>
          <w:szCs w:val="24"/>
        </w:rPr>
        <w:t>Програмата</w:t>
      </w:r>
      <w:r w:rsidRPr="004D3ED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C545F90" w14:textId="77777777" w:rsidR="004D3ED0" w:rsidRPr="00C230AD" w:rsidRDefault="004D3ED0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BE30FF2" w14:textId="77777777" w:rsidR="00B47028" w:rsidRDefault="00B47028" w:rsidP="00B9444A">
      <w:pPr>
        <w:pStyle w:val="Normal1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b/>
          <w:color w:val="auto"/>
          <w:sz w:val="24"/>
          <w:szCs w:val="24"/>
        </w:rPr>
        <w:t>VII. ОСНОВНИ ПРИНЦИПИ ПРИ ИЗПЪЛНЕНИЕ НА ДЕЙНОСТИ ПО ПРОГРАМАТА</w:t>
      </w:r>
    </w:p>
    <w:p w14:paraId="60E7A1D6" w14:textId="77777777" w:rsidR="00E676B8" w:rsidRPr="00C230AD" w:rsidRDefault="00E676B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138704D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При кандидатстване и реализиране на дейности по Програмата всеки допустим кандидат следва да се води от следните принципи:</w:t>
      </w:r>
    </w:p>
    <w:p w14:paraId="5D39007B" w14:textId="77777777" w:rsidR="00B47028" w:rsidRPr="002F5144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ab/>
        <w:t>1. Законосъобразност;</w:t>
      </w:r>
    </w:p>
    <w:p w14:paraId="6ED44599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ab/>
        <w:t xml:space="preserve">2. Съответствие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на Програмата с относимите спрямо сферата на интервенция национални, европейски и международни стратегически документи;</w:t>
      </w:r>
    </w:p>
    <w:p w14:paraId="607EF365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Ефективност, ефикасност и устойчивост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на младежките проекти, реализирани по Програмата;</w:t>
      </w:r>
    </w:p>
    <w:p w14:paraId="014C4A6E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Многосекторен подход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при планиране и изпълнение на проектните дейности;</w:t>
      </w:r>
    </w:p>
    <w:p w14:paraId="66CFFE2E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Равен достъп и недискриминация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за всички младежи в Република България;</w:t>
      </w:r>
    </w:p>
    <w:p w14:paraId="54570899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Обществена солидарност и толерантност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към всички групи младежи;</w:t>
      </w:r>
    </w:p>
    <w:p w14:paraId="29F1AB60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Иновативност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в процеса на планиране и изпълнение на младежките проекти;</w:t>
      </w:r>
    </w:p>
    <w:p w14:paraId="37485AE4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8.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Професионализъм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при реализиране на дейностите;</w:t>
      </w:r>
    </w:p>
    <w:p w14:paraId="6DD3AE93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9.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Прозрачност и икономичност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при усвояването на финансовите средства;</w:t>
      </w:r>
    </w:p>
    <w:p w14:paraId="6CDD1DC2" w14:textId="77777777" w:rsidR="00B47028" w:rsidRPr="00C230AD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10.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Надграждане и усъвършенстване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на съществуващи практики, опит и услуги;</w:t>
      </w:r>
    </w:p>
    <w:p w14:paraId="79CB8C17" w14:textId="1156C995" w:rsidR="00B47028" w:rsidRDefault="00B4702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11.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Изграждане на мрежа от партньорства </w:t>
      </w:r>
      <w:r w:rsidRPr="00C230AD">
        <w:rPr>
          <w:rFonts w:ascii="Times New Roman" w:hAnsi="Times New Roman" w:cs="Times New Roman"/>
          <w:color w:val="auto"/>
          <w:sz w:val="24"/>
          <w:szCs w:val="24"/>
        </w:rPr>
        <w:t>на местно, регионално и национално ниво с участието на всички заинтересовани страни.</w:t>
      </w:r>
    </w:p>
    <w:p w14:paraId="498017B2" w14:textId="5ED7E22A" w:rsidR="00DF2294" w:rsidRPr="00C230AD" w:rsidRDefault="00DF2294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12. </w:t>
      </w:r>
      <w:r w:rsidRPr="00DF2294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Открито управление – публичност, прозрачност, отчетност и участие на заинтересованите страни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14:paraId="17E18093" w14:textId="3FEE4875" w:rsidR="0001143D" w:rsidRPr="00C230AD" w:rsidRDefault="0001143D" w:rsidP="00CB61D0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3C40152E" w14:textId="77777777" w:rsidR="00525F84" w:rsidRDefault="00BE3DB2" w:rsidP="00B9444A">
      <w:pPr>
        <w:pStyle w:val="Normal1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3ED0">
        <w:rPr>
          <w:rFonts w:ascii="Times New Roman" w:hAnsi="Times New Roman" w:cs="Times New Roman"/>
          <w:b/>
          <w:color w:val="auto"/>
          <w:sz w:val="24"/>
          <w:szCs w:val="24"/>
        </w:rPr>
        <w:t>VIII. ОЧАКВАНИ РЕЗУЛТАТИ</w:t>
      </w:r>
    </w:p>
    <w:p w14:paraId="01795597" w14:textId="77777777" w:rsidR="002F5144" w:rsidRPr="004D3ED0" w:rsidRDefault="002F5144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D52719" w14:textId="39537F2B" w:rsidR="002F5144" w:rsidRDefault="00CB61D0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 xml:space="preserve">Очаква се </w:t>
      </w:r>
      <w:r w:rsidR="002F5144"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изпълнението на дейностите по </w:t>
      </w:r>
      <w:r w:rsidR="0001143D">
        <w:rPr>
          <w:rFonts w:ascii="Times New Roman" w:hAnsi="Times New Roman" w:cs="Times New Roman"/>
          <w:color w:val="auto"/>
          <w:sz w:val="24"/>
          <w:szCs w:val="24"/>
        </w:rPr>
        <w:t>Програмата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 xml:space="preserve"> да</w:t>
      </w:r>
      <w:r w:rsidR="002F5144"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доведе до:</w:t>
      </w:r>
    </w:p>
    <w:p w14:paraId="5A49A81F" w14:textId="77777777" w:rsidR="00E676B8" w:rsidRPr="002F5144" w:rsidRDefault="00E676B8" w:rsidP="00CB61D0">
      <w:pPr>
        <w:pStyle w:val="Normal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C3A1E3" w14:textId="4AF97F20" w:rsidR="002F5144" w:rsidRPr="002F5144" w:rsidRDefault="002F5144" w:rsidP="00CB61D0">
      <w:pPr>
        <w:pStyle w:val="Normal1"/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Подобряване на възможностите за личностно, социално и професионално развитие на младите хора чрез подкрепа за тяхното активно участие в общес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>твото и развитие на нови умения;</w:t>
      </w:r>
    </w:p>
    <w:p w14:paraId="2A2663EC" w14:textId="12FC829B" w:rsidR="002F5144" w:rsidRPr="002F5144" w:rsidRDefault="002F5144" w:rsidP="00CB61D0">
      <w:pPr>
        <w:pStyle w:val="Normal1"/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t>Повишена ангажираност на младите хора в обществените процеси, включително чрез участие в различни инициативи, кампании и форми на младежко учас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>тие на местно и национално ниво;</w:t>
      </w:r>
    </w:p>
    <w:p w14:paraId="1DD42223" w14:textId="0C6523EB" w:rsidR="002F5144" w:rsidRPr="002F5144" w:rsidRDefault="002F5144" w:rsidP="00CB61D0">
      <w:pPr>
        <w:pStyle w:val="Normal1"/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t>Създаване на условия за устойчиво соц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>иално включване на младите хора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с акцент върху равен 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>достъп до ресурси и възможности;</w:t>
      </w:r>
    </w:p>
    <w:p w14:paraId="6E2E648A" w14:textId="1ABA03A9" w:rsidR="002F5144" w:rsidRPr="002F5144" w:rsidRDefault="002F5144" w:rsidP="00CB61D0">
      <w:pPr>
        <w:pStyle w:val="Normal1"/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t>Засилване на младежката култура на доброволчество и гражданска активност, включително чрез реализиране на информационни и комуникационни кампании и младежки ин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>ициативи с обществена значимост;</w:t>
      </w:r>
    </w:p>
    <w:p w14:paraId="04D3FB72" w14:textId="66F17203" w:rsidR="002F5144" w:rsidRPr="002F5144" w:rsidRDefault="002F5144" w:rsidP="00CB61D0">
      <w:pPr>
        <w:pStyle w:val="Normal1"/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t>Подобрено взаимодействие и координация между институции и заинтересовани страни, с цел по-ефективно планиране и изпълнение на младежки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>те политики и дейности;</w:t>
      </w:r>
    </w:p>
    <w:p w14:paraId="5361FAE3" w14:textId="1499096A" w:rsidR="002F5144" w:rsidRPr="002F5144" w:rsidRDefault="002F5144" w:rsidP="00CB61D0">
      <w:pPr>
        <w:pStyle w:val="Normal1"/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/>
          <w:color w:val="auto"/>
          <w:sz w:val="24"/>
          <w:szCs w:val="24"/>
        </w:rPr>
        <w:t>Натрупване на данни, опит и добри практики, които да подпомагат развитието, наблюдението и подоб</w:t>
      </w:r>
      <w:r w:rsidR="00176425">
        <w:rPr>
          <w:rFonts w:ascii="Times New Roman" w:hAnsi="Times New Roman" w:cs="Times New Roman"/>
          <w:color w:val="auto"/>
          <w:sz w:val="24"/>
          <w:szCs w:val="24"/>
        </w:rPr>
        <w:t>ряването на младежките политики;</w:t>
      </w:r>
    </w:p>
    <w:p w14:paraId="70E2B253" w14:textId="77777777" w:rsidR="00B9444A" w:rsidRDefault="002F5144" w:rsidP="00CB61D0">
      <w:pPr>
        <w:pStyle w:val="Normal1"/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Повишена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видимост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обществено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разбиране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за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ролята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младежките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политики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както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утвърждаване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Министерството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младежта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и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спорта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като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водещ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институционален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фактор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в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подкрепа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на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младите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5144">
        <w:rPr>
          <w:rFonts w:ascii="Times New Roman" w:hAnsi="Times New Roman" w:cs="Times New Roman" w:hint="cs"/>
          <w:color w:val="auto"/>
          <w:sz w:val="24"/>
          <w:szCs w:val="24"/>
        </w:rPr>
        <w:t>хора</w:t>
      </w:r>
      <w:r w:rsidRPr="002F51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3E00E84" w14:textId="77777777" w:rsidR="00B9444A" w:rsidRPr="00B9444A" w:rsidRDefault="00B9444A" w:rsidP="00B9444A">
      <w:pPr>
        <w:pStyle w:val="Normal1"/>
        <w:tabs>
          <w:tab w:val="left" w:pos="284"/>
        </w:tabs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99BB3E" w14:textId="77777777" w:rsidR="00525F84" w:rsidRDefault="00BE3DB2" w:rsidP="00B9444A">
      <w:pPr>
        <w:pStyle w:val="Normal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3ED0">
        <w:rPr>
          <w:rFonts w:ascii="Times New Roman" w:hAnsi="Times New Roman" w:cs="Times New Roman"/>
          <w:b/>
          <w:color w:val="auto"/>
          <w:sz w:val="24"/>
          <w:szCs w:val="24"/>
        </w:rPr>
        <w:t>IX. КОНТРОЛ, НАБЛЮДЕНИЕ И ОЦЕНКА НА ПРОГРАМАТА</w:t>
      </w:r>
    </w:p>
    <w:p w14:paraId="75B0F277" w14:textId="77777777" w:rsidR="004D3ED0" w:rsidRPr="004D3ED0" w:rsidRDefault="004D3ED0" w:rsidP="00CB61D0">
      <w:pPr>
        <w:pStyle w:val="Normal1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052C13C" w14:textId="77777777" w:rsidR="009D1AF7" w:rsidRPr="00C230AD" w:rsidRDefault="009D1AF7" w:rsidP="00CB61D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Контрол</w:t>
      </w:r>
    </w:p>
    <w:p w14:paraId="21CBD3F8" w14:textId="77777777" w:rsidR="009D1AF7" w:rsidRPr="00C230AD" w:rsidRDefault="009D1AF7" w:rsidP="00CB61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Контролът по изпълнението на Програмата се осъществява от министъра на младежта и спорта. </w:t>
      </w:r>
    </w:p>
    <w:p w14:paraId="238F9B46" w14:textId="77777777" w:rsidR="009D1AF7" w:rsidRPr="00C230AD" w:rsidRDefault="009D1AF7" w:rsidP="00CB61D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Наблюдение</w:t>
      </w:r>
    </w:p>
    <w:p w14:paraId="57449F86" w14:textId="77777777" w:rsidR="009D1AF7" w:rsidRPr="00C230AD" w:rsidRDefault="009D1AF7" w:rsidP="00CB61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30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Мониторинг на текущото изпълнение на утвърдените дейности по финансираните проекти се извършва от Министерство на младежта и спорта в съответствие с  функциите, описани в Устройствения правилник на министерството.</w:t>
      </w:r>
    </w:p>
    <w:p w14:paraId="7EA8C260" w14:textId="77777777" w:rsidR="009D1AF7" w:rsidRPr="00C230AD" w:rsidRDefault="009D1AF7" w:rsidP="00CB61D0">
      <w:pPr>
        <w:pStyle w:val="Normal1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230AD">
        <w:rPr>
          <w:rFonts w:ascii="Times New Roman" w:hAnsi="Times New Roman" w:cs="Times New Roman"/>
          <w:b/>
          <w:color w:val="auto"/>
          <w:sz w:val="24"/>
          <w:szCs w:val="24"/>
        </w:rPr>
        <w:t>Оценка</w:t>
      </w:r>
    </w:p>
    <w:p w14:paraId="2B35CFE4" w14:textId="77777777" w:rsidR="009D1AF7" w:rsidRPr="00C230AD" w:rsidRDefault="009D1AF7" w:rsidP="00CB61D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C230AD">
        <w:rPr>
          <w:rFonts w:ascii="Times New Roman" w:hAnsi="Times New Roman"/>
          <w:sz w:val="24"/>
          <w:szCs w:val="24"/>
          <w:lang w:val="bg-BG"/>
        </w:rPr>
        <w:t xml:space="preserve">В рамките на програмния период се предвижда да бъдат осъществени междинна и окончателна оценки по Програмата за установяване на съответствието, ефективността, ефикасността и устойчивостта при изпълнението </w:t>
      </w:r>
      <w:r w:rsidRPr="00C230AD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ѝ</w:t>
      </w:r>
      <w:r w:rsidRPr="00C230AD">
        <w:rPr>
          <w:rFonts w:ascii="Times New Roman" w:hAnsi="Times New Roman"/>
          <w:sz w:val="24"/>
          <w:szCs w:val="24"/>
          <w:lang w:val="bg-BG"/>
        </w:rPr>
        <w:t>.</w:t>
      </w:r>
    </w:p>
    <w:p w14:paraId="047F285C" w14:textId="77777777" w:rsidR="00525F84" w:rsidRPr="00C230AD" w:rsidRDefault="00525F84" w:rsidP="00B4702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25F84" w:rsidRPr="00C230AD" w:rsidSect="00CB61D0">
      <w:footerReference w:type="default" r:id="rId8"/>
      <w:pgSz w:w="12240" w:h="15840"/>
      <w:pgMar w:top="1440" w:right="1800" w:bottom="141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4BC2" w14:textId="77777777" w:rsidR="00FF04EE" w:rsidRDefault="00FF04EE" w:rsidP="007C399D">
      <w:pPr>
        <w:spacing w:after="0" w:line="240" w:lineRule="auto"/>
      </w:pPr>
      <w:r>
        <w:separator/>
      </w:r>
    </w:p>
  </w:endnote>
  <w:endnote w:type="continuationSeparator" w:id="0">
    <w:p w14:paraId="008300E8" w14:textId="77777777" w:rsidR="00FF04EE" w:rsidRDefault="00FF04EE" w:rsidP="007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GothicE">
    <w:altName w:val="MS Gothic"/>
    <w:charset w:val="80"/>
    <w:family w:val="modern"/>
    <w:pitch w:val="fixed"/>
    <w:sig w:usb0="E00002FF" w:usb1="2AC7EDFE" w:usb2="00000012" w:usb3="00000000" w:csb0="0002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5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3D8C3" w14:textId="2CADA7D2" w:rsidR="007C399D" w:rsidRDefault="007C39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44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F4F5F85" w14:textId="77777777" w:rsidR="007C399D" w:rsidRDefault="007C3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9CA0" w14:textId="77777777" w:rsidR="00FF04EE" w:rsidRDefault="00FF04EE" w:rsidP="007C399D">
      <w:pPr>
        <w:spacing w:after="0" w:line="240" w:lineRule="auto"/>
      </w:pPr>
      <w:r>
        <w:separator/>
      </w:r>
    </w:p>
  </w:footnote>
  <w:footnote w:type="continuationSeparator" w:id="0">
    <w:p w14:paraId="72C091BF" w14:textId="77777777" w:rsidR="00FF04EE" w:rsidRDefault="00FF04EE" w:rsidP="007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8C23CF"/>
    <w:multiLevelType w:val="hybridMultilevel"/>
    <w:tmpl w:val="E39452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76CF"/>
    <w:multiLevelType w:val="multilevel"/>
    <w:tmpl w:val="6DE2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2290E"/>
    <w:multiLevelType w:val="multilevel"/>
    <w:tmpl w:val="5A2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925A8"/>
    <w:multiLevelType w:val="multilevel"/>
    <w:tmpl w:val="CD6C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008C5"/>
    <w:multiLevelType w:val="multilevel"/>
    <w:tmpl w:val="3D2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161C3"/>
    <w:multiLevelType w:val="hybridMultilevel"/>
    <w:tmpl w:val="EEBC67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932E9"/>
    <w:multiLevelType w:val="multilevel"/>
    <w:tmpl w:val="C4B4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70F37"/>
    <w:multiLevelType w:val="multilevel"/>
    <w:tmpl w:val="C28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F267E"/>
    <w:multiLevelType w:val="hybridMultilevel"/>
    <w:tmpl w:val="C94050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00DA"/>
    <w:multiLevelType w:val="multilevel"/>
    <w:tmpl w:val="CE0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876ED"/>
    <w:multiLevelType w:val="multilevel"/>
    <w:tmpl w:val="6926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C701D"/>
    <w:multiLevelType w:val="multilevel"/>
    <w:tmpl w:val="D13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D386B"/>
    <w:multiLevelType w:val="multilevel"/>
    <w:tmpl w:val="323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277D8"/>
    <w:multiLevelType w:val="multilevel"/>
    <w:tmpl w:val="B7AA9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98531FD"/>
    <w:multiLevelType w:val="multilevel"/>
    <w:tmpl w:val="EF4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A0D18"/>
    <w:multiLevelType w:val="multilevel"/>
    <w:tmpl w:val="0B6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E13A76"/>
    <w:multiLevelType w:val="multilevel"/>
    <w:tmpl w:val="22FA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240652"/>
    <w:multiLevelType w:val="hybridMultilevel"/>
    <w:tmpl w:val="4D4CE0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6C0A"/>
    <w:multiLevelType w:val="multilevel"/>
    <w:tmpl w:val="F9A2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F7C4E"/>
    <w:multiLevelType w:val="hybridMultilevel"/>
    <w:tmpl w:val="41BE6A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D075E"/>
    <w:multiLevelType w:val="multilevel"/>
    <w:tmpl w:val="B8E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534525"/>
    <w:multiLevelType w:val="hybridMultilevel"/>
    <w:tmpl w:val="AB02E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74289"/>
    <w:multiLevelType w:val="multilevel"/>
    <w:tmpl w:val="A5EE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56906"/>
    <w:multiLevelType w:val="multilevel"/>
    <w:tmpl w:val="C6BE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843BF"/>
    <w:multiLevelType w:val="multilevel"/>
    <w:tmpl w:val="658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31197"/>
    <w:multiLevelType w:val="hybridMultilevel"/>
    <w:tmpl w:val="1C621E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06BC2"/>
    <w:multiLevelType w:val="multilevel"/>
    <w:tmpl w:val="9C8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52524"/>
    <w:multiLevelType w:val="multilevel"/>
    <w:tmpl w:val="09B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510001">
    <w:abstractNumId w:val="5"/>
  </w:num>
  <w:num w:numId="2" w16cid:durableId="1247106696">
    <w:abstractNumId w:val="3"/>
  </w:num>
  <w:num w:numId="3" w16cid:durableId="1726683390">
    <w:abstractNumId w:val="2"/>
  </w:num>
  <w:num w:numId="4" w16cid:durableId="113716241">
    <w:abstractNumId w:val="4"/>
  </w:num>
  <w:num w:numId="5" w16cid:durableId="1087921192">
    <w:abstractNumId w:val="1"/>
  </w:num>
  <w:num w:numId="6" w16cid:durableId="1272207777">
    <w:abstractNumId w:val="0"/>
  </w:num>
  <w:num w:numId="7" w16cid:durableId="1877161939">
    <w:abstractNumId w:val="24"/>
  </w:num>
  <w:num w:numId="8" w16cid:durableId="948512481">
    <w:abstractNumId w:val="28"/>
  </w:num>
  <w:num w:numId="9" w16cid:durableId="213084045">
    <w:abstractNumId w:val="12"/>
  </w:num>
  <w:num w:numId="10" w16cid:durableId="1922137527">
    <w:abstractNumId w:val="32"/>
  </w:num>
  <w:num w:numId="11" w16cid:durableId="2061785355">
    <w:abstractNumId w:val="33"/>
  </w:num>
  <w:num w:numId="12" w16cid:durableId="1774936474">
    <w:abstractNumId w:val="26"/>
  </w:num>
  <w:num w:numId="13" w16cid:durableId="177549651">
    <w:abstractNumId w:val="15"/>
  </w:num>
  <w:num w:numId="14" w16cid:durableId="2080057324">
    <w:abstractNumId w:val="29"/>
  </w:num>
  <w:num w:numId="15" w16cid:durableId="2078358566">
    <w:abstractNumId w:val="13"/>
  </w:num>
  <w:num w:numId="16" w16cid:durableId="1749885321">
    <w:abstractNumId w:val="20"/>
  </w:num>
  <w:num w:numId="17" w16cid:durableId="1044477506">
    <w:abstractNumId w:val="10"/>
  </w:num>
  <w:num w:numId="18" w16cid:durableId="291132528">
    <w:abstractNumId w:val="18"/>
  </w:num>
  <w:num w:numId="19" w16cid:durableId="1576209426">
    <w:abstractNumId w:val="16"/>
  </w:num>
  <w:num w:numId="20" w16cid:durableId="382827772">
    <w:abstractNumId w:val="9"/>
  </w:num>
  <w:num w:numId="21" w16cid:durableId="632561092">
    <w:abstractNumId w:val="21"/>
  </w:num>
  <w:num w:numId="22" w16cid:durableId="1811558159">
    <w:abstractNumId w:val="8"/>
  </w:num>
  <w:num w:numId="23" w16cid:durableId="182668610">
    <w:abstractNumId w:val="30"/>
  </w:num>
  <w:num w:numId="24" w16cid:durableId="280496488">
    <w:abstractNumId w:val="17"/>
  </w:num>
  <w:num w:numId="25" w16cid:durableId="435952121">
    <w:abstractNumId w:val="22"/>
  </w:num>
  <w:num w:numId="26" w16cid:durableId="1025865448">
    <w:abstractNumId w:val="6"/>
  </w:num>
  <w:num w:numId="27" w16cid:durableId="2107337271">
    <w:abstractNumId w:val="7"/>
  </w:num>
  <w:num w:numId="28" w16cid:durableId="1160003424">
    <w:abstractNumId w:val="19"/>
  </w:num>
  <w:num w:numId="29" w16cid:durableId="626471673">
    <w:abstractNumId w:val="11"/>
  </w:num>
  <w:num w:numId="30" w16cid:durableId="650332277">
    <w:abstractNumId w:val="23"/>
  </w:num>
  <w:num w:numId="31" w16cid:durableId="1920484736">
    <w:abstractNumId w:val="31"/>
  </w:num>
  <w:num w:numId="32" w16cid:durableId="442305931">
    <w:abstractNumId w:val="14"/>
  </w:num>
  <w:num w:numId="33" w16cid:durableId="692539331">
    <w:abstractNumId w:val="25"/>
  </w:num>
  <w:num w:numId="34" w16cid:durableId="400363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43D"/>
    <w:rsid w:val="00013634"/>
    <w:rsid w:val="00020D01"/>
    <w:rsid w:val="00034616"/>
    <w:rsid w:val="00051CE6"/>
    <w:rsid w:val="0006063C"/>
    <w:rsid w:val="000828D2"/>
    <w:rsid w:val="00083C64"/>
    <w:rsid w:val="000E40F5"/>
    <w:rsid w:val="000F0FA5"/>
    <w:rsid w:val="00124A2E"/>
    <w:rsid w:val="0014776B"/>
    <w:rsid w:val="0015074B"/>
    <w:rsid w:val="00156169"/>
    <w:rsid w:val="0016510C"/>
    <w:rsid w:val="00176425"/>
    <w:rsid w:val="001961BB"/>
    <w:rsid w:val="001A1E5D"/>
    <w:rsid w:val="001E6B30"/>
    <w:rsid w:val="002215E5"/>
    <w:rsid w:val="0027279E"/>
    <w:rsid w:val="00272BF6"/>
    <w:rsid w:val="00274CAB"/>
    <w:rsid w:val="0029639D"/>
    <w:rsid w:val="002B1633"/>
    <w:rsid w:val="002F5144"/>
    <w:rsid w:val="00304DE4"/>
    <w:rsid w:val="00306CF9"/>
    <w:rsid w:val="00312889"/>
    <w:rsid w:val="00326F90"/>
    <w:rsid w:val="00330989"/>
    <w:rsid w:val="003377B5"/>
    <w:rsid w:val="00344DC9"/>
    <w:rsid w:val="00365204"/>
    <w:rsid w:val="003835C6"/>
    <w:rsid w:val="003A7245"/>
    <w:rsid w:val="003B0AEC"/>
    <w:rsid w:val="003B42EB"/>
    <w:rsid w:val="003B6B4B"/>
    <w:rsid w:val="003C3450"/>
    <w:rsid w:val="003C6925"/>
    <w:rsid w:val="003E26BF"/>
    <w:rsid w:val="003F1DAE"/>
    <w:rsid w:val="003F4DBE"/>
    <w:rsid w:val="004147BE"/>
    <w:rsid w:val="00430855"/>
    <w:rsid w:val="004352C1"/>
    <w:rsid w:val="00441D6C"/>
    <w:rsid w:val="00465601"/>
    <w:rsid w:val="00470BDB"/>
    <w:rsid w:val="00473C9B"/>
    <w:rsid w:val="00475F31"/>
    <w:rsid w:val="004A41D3"/>
    <w:rsid w:val="004C0F61"/>
    <w:rsid w:val="004D3ED0"/>
    <w:rsid w:val="004D5671"/>
    <w:rsid w:val="004E35E4"/>
    <w:rsid w:val="00525F84"/>
    <w:rsid w:val="00531A24"/>
    <w:rsid w:val="00540F8B"/>
    <w:rsid w:val="0055030D"/>
    <w:rsid w:val="00594038"/>
    <w:rsid w:val="005B7086"/>
    <w:rsid w:val="005E27B2"/>
    <w:rsid w:val="005F00C8"/>
    <w:rsid w:val="00606A3E"/>
    <w:rsid w:val="006565A0"/>
    <w:rsid w:val="006A7460"/>
    <w:rsid w:val="006A757E"/>
    <w:rsid w:val="006C0989"/>
    <w:rsid w:val="006E708E"/>
    <w:rsid w:val="006F3E44"/>
    <w:rsid w:val="006F76FD"/>
    <w:rsid w:val="007014B1"/>
    <w:rsid w:val="00705957"/>
    <w:rsid w:val="00711728"/>
    <w:rsid w:val="0071607A"/>
    <w:rsid w:val="00727448"/>
    <w:rsid w:val="007642C8"/>
    <w:rsid w:val="007803C9"/>
    <w:rsid w:val="0078211B"/>
    <w:rsid w:val="00785212"/>
    <w:rsid w:val="007936DD"/>
    <w:rsid w:val="007A624E"/>
    <w:rsid w:val="007B03C6"/>
    <w:rsid w:val="007B14F9"/>
    <w:rsid w:val="007B1CC4"/>
    <w:rsid w:val="007B2137"/>
    <w:rsid w:val="007C2100"/>
    <w:rsid w:val="007C399D"/>
    <w:rsid w:val="007C6414"/>
    <w:rsid w:val="007C7B76"/>
    <w:rsid w:val="00802F21"/>
    <w:rsid w:val="00840429"/>
    <w:rsid w:val="00845999"/>
    <w:rsid w:val="0085230A"/>
    <w:rsid w:val="00856997"/>
    <w:rsid w:val="008606D4"/>
    <w:rsid w:val="0088327C"/>
    <w:rsid w:val="00887596"/>
    <w:rsid w:val="008A64FD"/>
    <w:rsid w:val="008B18B7"/>
    <w:rsid w:val="008C2594"/>
    <w:rsid w:val="008E402E"/>
    <w:rsid w:val="008E6116"/>
    <w:rsid w:val="008F2ED3"/>
    <w:rsid w:val="009107EE"/>
    <w:rsid w:val="0093725C"/>
    <w:rsid w:val="00966E04"/>
    <w:rsid w:val="009671AF"/>
    <w:rsid w:val="009C73AF"/>
    <w:rsid w:val="009D1AF7"/>
    <w:rsid w:val="009E6D79"/>
    <w:rsid w:val="00A13133"/>
    <w:rsid w:val="00A17A8E"/>
    <w:rsid w:val="00A435DB"/>
    <w:rsid w:val="00A703CD"/>
    <w:rsid w:val="00A80BEF"/>
    <w:rsid w:val="00AA1D8D"/>
    <w:rsid w:val="00AA51C0"/>
    <w:rsid w:val="00AC1245"/>
    <w:rsid w:val="00AD1072"/>
    <w:rsid w:val="00AD5973"/>
    <w:rsid w:val="00AF65DC"/>
    <w:rsid w:val="00B36419"/>
    <w:rsid w:val="00B40EE5"/>
    <w:rsid w:val="00B43562"/>
    <w:rsid w:val="00B4453F"/>
    <w:rsid w:val="00B47028"/>
    <w:rsid w:val="00B47730"/>
    <w:rsid w:val="00B52FBF"/>
    <w:rsid w:val="00B65DBC"/>
    <w:rsid w:val="00B770E7"/>
    <w:rsid w:val="00B819A5"/>
    <w:rsid w:val="00B9444A"/>
    <w:rsid w:val="00BE3DB2"/>
    <w:rsid w:val="00BF646B"/>
    <w:rsid w:val="00C15B6E"/>
    <w:rsid w:val="00C230AD"/>
    <w:rsid w:val="00C6262B"/>
    <w:rsid w:val="00C87586"/>
    <w:rsid w:val="00CA2B06"/>
    <w:rsid w:val="00CB0664"/>
    <w:rsid w:val="00CB2DAE"/>
    <w:rsid w:val="00CB61D0"/>
    <w:rsid w:val="00CC7C17"/>
    <w:rsid w:val="00CD04EC"/>
    <w:rsid w:val="00CF516C"/>
    <w:rsid w:val="00D03229"/>
    <w:rsid w:val="00D058DA"/>
    <w:rsid w:val="00D179F9"/>
    <w:rsid w:val="00D41BDF"/>
    <w:rsid w:val="00D84BEB"/>
    <w:rsid w:val="00DB38C7"/>
    <w:rsid w:val="00DC08BE"/>
    <w:rsid w:val="00DC5040"/>
    <w:rsid w:val="00DD2B14"/>
    <w:rsid w:val="00DE4337"/>
    <w:rsid w:val="00DF2294"/>
    <w:rsid w:val="00E15220"/>
    <w:rsid w:val="00E459FA"/>
    <w:rsid w:val="00E6047F"/>
    <w:rsid w:val="00E676B8"/>
    <w:rsid w:val="00E70432"/>
    <w:rsid w:val="00E75F79"/>
    <w:rsid w:val="00E864DB"/>
    <w:rsid w:val="00EF7425"/>
    <w:rsid w:val="00F01B79"/>
    <w:rsid w:val="00F36FBC"/>
    <w:rsid w:val="00F37649"/>
    <w:rsid w:val="00F7323A"/>
    <w:rsid w:val="00F739A2"/>
    <w:rsid w:val="00FA49AC"/>
    <w:rsid w:val="00FB74D2"/>
    <w:rsid w:val="00FC693F"/>
    <w:rsid w:val="00FD5076"/>
    <w:rsid w:val="00FD6D0C"/>
    <w:rsid w:val="00FF04EE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C0B38"/>
  <w14:defaultImageDpi w14:val="300"/>
  <w15:docId w15:val="{55640510-C9FD-49C1-8B76-5870473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37"/>
  </w:style>
  <w:style w:type="paragraph" w:styleId="Heading1">
    <w:name w:val="heading 1"/>
    <w:basedOn w:val="Normal"/>
    <w:next w:val="Normal"/>
    <w:link w:val="Heading1Char"/>
    <w:uiPriority w:val="9"/>
    <w:qFormat/>
    <w:rsid w:val="00DE4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3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3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3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3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3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3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3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DE43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E4337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337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337"/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E43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3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433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E43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337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337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337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337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337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3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3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4337"/>
    <w:pPr>
      <w:spacing w:line="240" w:lineRule="auto"/>
    </w:pPr>
    <w:rPr>
      <w:i/>
      <w:iCs/>
      <w:color w:val="696464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E4337"/>
    <w:rPr>
      <w:b/>
      <w:bCs/>
    </w:rPr>
  </w:style>
  <w:style w:type="character" w:styleId="Emphasis">
    <w:name w:val="Emphasis"/>
    <w:basedOn w:val="DefaultParagraphFont"/>
    <w:uiPriority w:val="20"/>
    <w:qFormat/>
    <w:rsid w:val="00DE43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337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D3481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337"/>
    <w:rPr>
      <w:i/>
      <w:iCs/>
      <w:color w:val="D34817" w:themeColor="accent1"/>
    </w:rPr>
  </w:style>
  <w:style w:type="character" w:styleId="SubtleEmphasis">
    <w:name w:val="Subtle Emphasis"/>
    <w:basedOn w:val="DefaultParagraphFont"/>
    <w:uiPriority w:val="19"/>
    <w:qFormat/>
    <w:rsid w:val="00DE433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4337"/>
    <w:rPr>
      <w:i/>
      <w:iCs/>
      <w:color w:val="D34817" w:themeColor="accent1"/>
    </w:rPr>
  </w:style>
  <w:style w:type="character" w:styleId="SubtleReference">
    <w:name w:val="Subtle Reference"/>
    <w:basedOn w:val="DefaultParagraphFont"/>
    <w:uiPriority w:val="31"/>
    <w:qFormat/>
    <w:rsid w:val="00DE433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E4337"/>
    <w:rPr>
      <w:b/>
      <w:bCs/>
      <w:smallCaps/>
      <w:color w:val="D3481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E433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337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48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E6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625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48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5D5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3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Normal1">
    <w:name w:val="Normal1"/>
    <w:rsid w:val="00B47028"/>
    <w:pPr>
      <w:spacing w:after="0"/>
    </w:pPr>
    <w:rPr>
      <w:rFonts w:ascii="Arial" w:eastAsia="Times New Roman" w:hAnsi="Arial" w:cs="Arial"/>
      <w:color w:val="000000"/>
      <w:lang w:val="bg-BG" w:eastAsia="bg-BG"/>
    </w:rPr>
  </w:style>
  <w:style w:type="paragraph" w:styleId="Revision">
    <w:name w:val="Revision"/>
    <w:hidden/>
    <w:uiPriority w:val="99"/>
    <w:semiHidden/>
    <w:rsid w:val="00306C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6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C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7DA3E-22E0-4135-942B-1A5EC1D4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4719</Words>
  <Characters>26904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Галина Смелова</cp:lastModifiedBy>
  <cp:revision>2</cp:revision>
  <dcterms:created xsi:type="dcterms:W3CDTF">2026-02-13T10:58:00Z</dcterms:created>
  <dcterms:modified xsi:type="dcterms:W3CDTF">2026-02-13T10:58:00Z</dcterms:modified>
  <cp:category/>
</cp:coreProperties>
</file>